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03856A">
      <w:pPr>
        <w:spacing w:before="0" w:after="0" w:line="360" w:lineRule="auto"/>
        <w:ind w:firstLine="320"/>
        <w:jc w:val="center"/>
        <w:rPr>
          <w:b/>
          <w:bCs/>
          <w:color w:val="FF0000"/>
          <w:kern w:val="2"/>
          <w:sz w:val="32"/>
          <w:szCs w:val="32"/>
        </w:rPr>
      </w:pPr>
      <w:r>
        <w:rPr>
          <w:rFonts w:hint="eastAsia"/>
          <w:b/>
          <w:bCs/>
          <w:color w:val="FF0000"/>
          <w:kern w:val="2"/>
          <w:sz w:val="32"/>
          <w:szCs w:val="32"/>
        </w:rPr>
        <w:t>特别警示条款</w:t>
      </w:r>
    </w:p>
    <w:p w14:paraId="27E5A778"/>
    <w:p w14:paraId="5E008BF8">
      <w:pPr>
        <w:spacing w:line="360" w:lineRule="auto"/>
        <w:rPr>
          <w:b/>
          <w:bCs/>
          <w:color w:val="FF0000"/>
          <w:kern w:val="2"/>
        </w:rPr>
      </w:pPr>
      <w:r>
        <w:rPr>
          <w:rFonts w:hint="eastAsia"/>
          <w:b/>
          <w:bCs/>
          <w:color w:val="FF0000"/>
          <w:kern w:val="2"/>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p w14:paraId="7D3F16F6">
      <w:pPr>
        <w:spacing w:line="360" w:lineRule="auto"/>
        <w:rPr>
          <w:b/>
          <w:bCs/>
          <w:kern w:val="2"/>
        </w:rPr>
      </w:pPr>
    </w:p>
    <w:tbl>
      <w:tblPr>
        <w:tblStyle w:val="8"/>
        <w:tblW w:w="5000" w:type="pct"/>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1"/>
        <w:gridCol w:w="8235"/>
      </w:tblGrid>
      <w:tr w14:paraId="2586D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0" w:hRule="atLeast"/>
        </w:trPr>
        <w:tc>
          <w:tcPr>
            <w:tcW w:w="561" w:type="dxa"/>
            <w:tcBorders>
              <w:top w:val="single" w:color="auto" w:sz="4" w:space="0"/>
              <w:left w:val="single" w:color="auto" w:sz="4" w:space="0"/>
              <w:bottom w:val="single" w:color="auto" w:sz="4" w:space="0"/>
              <w:right w:val="single" w:color="auto" w:sz="4" w:space="0"/>
            </w:tcBorders>
            <w:vAlign w:val="center"/>
          </w:tcPr>
          <w:p w14:paraId="466828AE">
            <w:pPr>
              <w:widowControl/>
              <w:jc w:val="center"/>
              <w:rPr>
                <w:rFonts w:eastAsia="宋体"/>
                <w:color w:val="FF0000"/>
              </w:rPr>
            </w:pPr>
            <w:r>
              <w:rPr>
                <w:rFonts w:hint="eastAsia" w:eastAsia="宋体"/>
                <w:color w:val="FF0000"/>
              </w:rPr>
              <w:t>序号</w:t>
            </w:r>
          </w:p>
        </w:tc>
        <w:tc>
          <w:tcPr>
            <w:tcW w:w="7439" w:type="dxa"/>
            <w:tcBorders>
              <w:top w:val="single" w:color="auto" w:sz="4" w:space="0"/>
              <w:left w:val="single" w:color="auto" w:sz="4" w:space="0"/>
              <w:bottom w:val="single" w:color="auto" w:sz="4" w:space="0"/>
              <w:right w:val="single" w:color="auto" w:sz="4" w:space="0"/>
            </w:tcBorders>
            <w:vAlign w:val="center"/>
          </w:tcPr>
          <w:p w14:paraId="2C329E8E">
            <w:pPr>
              <w:widowControl/>
              <w:jc w:val="center"/>
              <w:rPr>
                <w:rFonts w:eastAsia="宋体"/>
                <w:color w:val="FF0000"/>
              </w:rPr>
            </w:pPr>
            <w:r>
              <w:rPr>
                <w:rFonts w:hint="eastAsia" w:eastAsia="宋体"/>
                <w:b/>
                <w:bCs/>
                <w:color w:val="FF0000"/>
              </w:rPr>
              <w:t>供应商参与投标禁止情形</w:t>
            </w:r>
          </w:p>
        </w:tc>
      </w:tr>
      <w:tr w14:paraId="31235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tcBorders>
              <w:top w:val="single" w:color="auto" w:sz="4" w:space="0"/>
              <w:left w:val="single" w:color="auto" w:sz="4" w:space="0"/>
              <w:bottom w:val="single" w:color="auto" w:sz="4" w:space="0"/>
              <w:right w:val="single" w:color="auto" w:sz="4" w:space="0"/>
            </w:tcBorders>
            <w:vAlign w:val="center"/>
          </w:tcPr>
          <w:p w14:paraId="2DD165C4">
            <w:pPr>
              <w:widowControl/>
              <w:jc w:val="center"/>
              <w:rPr>
                <w:rFonts w:eastAsia="宋体"/>
                <w:color w:val="FF0000"/>
              </w:rPr>
            </w:pPr>
            <w:r>
              <w:rPr>
                <w:rFonts w:hint="eastAsia" w:eastAsia="宋体"/>
                <w:color w:val="FF0000"/>
              </w:rPr>
              <w:t>1</w:t>
            </w:r>
          </w:p>
        </w:tc>
        <w:tc>
          <w:tcPr>
            <w:tcW w:w="7439" w:type="dxa"/>
            <w:tcBorders>
              <w:top w:val="single" w:color="auto" w:sz="4" w:space="0"/>
              <w:left w:val="single" w:color="auto" w:sz="4" w:space="0"/>
              <w:bottom w:val="single" w:color="auto" w:sz="4" w:space="0"/>
              <w:right w:val="single" w:color="auto" w:sz="4" w:space="0"/>
            </w:tcBorders>
            <w:vAlign w:val="center"/>
          </w:tcPr>
          <w:p w14:paraId="17AF3531">
            <w:pPr>
              <w:widowControl/>
              <w:jc w:val="both"/>
              <w:rPr>
                <w:rFonts w:eastAsia="宋体"/>
                <w:color w:val="FF0000"/>
              </w:rPr>
            </w:pPr>
            <w:r>
              <w:rPr>
                <w:rFonts w:hint="eastAsia" w:eastAsia="宋体"/>
                <w:color w:val="FF0000"/>
              </w:rPr>
              <w:t>与其他投标供应商的法定代表人、主要经营负责人、投标授权代表人、项目负责人、主要技术人员为</w:t>
            </w:r>
            <w:r>
              <w:rPr>
                <w:rFonts w:hint="eastAsia" w:eastAsia="宋体"/>
                <w:b/>
                <w:bCs/>
                <w:color w:val="FF0000"/>
              </w:rPr>
              <w:t>同一人、属同一单位或者在同一单位缴纳社会保险</w:t>
            </w:r>
            <w:r>
              <w:rPr>
                <w:rFonts w:hint="eastAsia" w:eastAsia="宋体"/>
                <w:color w:val="FF0000"/>
              </w:rPr>
              <w:t>。</w:t>
            </w:r>
          </w:p>
        </w:tc>
      </w:tr>
      <w:tr w14:paraId="3A35D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4ECDC19A">
            <w:pPr>
              <w:widowControl/>
              <w:jc w:val="center"/>
              <w:rPr>
                <w:rFonts w:eastAsia="宋体"/>
                <w:color w:val="FF0000"/>
              </w:rPr>
            </w:pPr>
            <w:r>
              <w:rPr>
                <w:rFonts w:hint="eastAsia" w:eastAsia="宋体"/>
                <w:color w:val="FF0000"/>
              </w:rPr>
              <w:t>2</w:t>
            </w:r>
          </w:p>
        </w:tc>
        <w:tc>
          <w:tcPr>
            <w:tcW w:w="7439" w:type="dxa"/>
            <w:tcBorders>
              <w:top w:val="single" w:color="auto" w:sz="4" w:space="0"/>
              <w:left w:val="single" w:color="auto" w:sz="4" w:space="0"/>
              <w:bottom w:val="single" w:color="auto" w:sz="4" w:space="0"/>
              <w:right w:val="single" w:color="auto" w:sz="4" w:space="0"/>
            </w:tcBorders>
            <w:vAlign w:val="center"/>
          </w:tcPr>
          <w:p w14:paraId="3153B1AF">
            <w:pPr>
              <w:widowControl/>
              <w:jc w:val="both"/>
              <w:rPr>
                <w:rFonts w:eastAsia="宋体"/>
                <w:color w:val="FF0000"/>
              </w:rPr>
            </w:pPr>
            <w:r>
              <w:rPr>
                <w:rFonts w:hint="eastAsia" w:eastAsia="宋体"/>
                <w:color w:val="FF0000"/>
              </w:rPr>
              <w:t>参与本项目政府采购活动时，与其他投标供应商存在单位负责人为</w:t>
            </w:r>
            <w:r>
              <w:rPr>
                <w:rFonts w:hint="eastAsia" w:eastAsia="宋体"/>
                <w:b/>
                <w:bCs/>
                <w:color w:val="FF0000"/>
              </w:rPr>
              <w:t>同一人或直接控股、管理关系</w:t>
            </w:r>
            <w:r>
              <w:rPr>
                <w:rFonts w:hint="eastAsia" w:eastAsia="宋体"/>
                <w:color w:val="FF0000"/>
              </w:rPr>
              <w:t>。</w:t>
            </w:r>
          </w:p>
        </w:tc>
      </w:tr>
      <w:tr w14:paraId="5BF26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tcBorders>
              <w:top w:val="single" w:color="auto" w:sz="4" w:space="0"/>
              <w:left w:val="single" w:color="auto" w:sz="4" w:space="0"/>
              <w:bottom w:val="single" w:color="auto" w:sz="4" w:space="0"/>
              <w:right w:val="single" w:color="auto" w:sz="4" w:space="0"/>
            </w:tcBorders>
            <w:vAlign w:val="center"/>
          </w:tcPr>
          <w:p w14:paraId="0E2974D9">
            <w:pPr>
              <w:widowControl/>
              <w:jc w:val="center"/>
              <w:rPr>
                <w:rFonts w:eastAsia="宋体"/>
                <w:color w:val="FF0000"/>
              </w:rPr>
            </w:pPr>
            <w:r>
              <w:rPr>
                <w:rFonts w:hint="eastAsia" w:eastAsia="宋体"/>
                <w:color w:val="FF0000"/>
              </w:rPr>
              <w:t>3</w:t>
            </w:r>
          </w:p>
        </w:tc>
        <w:tc>
          <w:tcPr>
            <w:tcW w:w="7439" w:type="dxa"/>
            <w:tcBorders>
              <w:top w:val="single" w:color="auto" w:sz="4" w:space="0"/>
              <w:left w:val="single" w:color="auto" w:sz="4" w:space="0"/>
              <w:bottom w:val="single" w:color="auto" w:sz="4" w:space="0"/>
              <w:right w:val="single" w:color="auto" w:sz="4" w:space="0"/>
            </w:tcBorders>
            <w:vAlign w:val="center"/>
          </w:tcPr>
          <w:p w14:paraId="71E105BB">
            <w:pPr>
              <w:widowControl/>
              <w:jc w:val="both"/>
              <w:rPr>
                <w:rFonts w:eastAsia="宋体"/>
                <w:color w:val="FF0000"/>
              </w:rPr>
            </w:pPr>
            <w:r>
              <w:rPr>
                <w:rFonts w:hint="eastAsia" w:eastAsia="宋体"/>
                <w:color w:val="FF0000"/>
              </w:rPr>
              <w:t>与其他投标供应商的投标文件或部分投标文件</w:t>
            </w:r>
            <w:r>
              <w:rPr>
                <w:rFonts w:hint="eastAsia" w:eastAsia="宋体"/>
                <w:b/>
                <w:bCs/>
                <w:color w:val="FF0000"/>
              </w:rPr>
              <w:t>相互混装或存在非正常一致</w:t>
            </w:r>
            <w:r>
              <w:rPr>
                <w:rFonts w:hint="eastAsia" w:eastAsia="宋体"/>
                <w:color w:val="FF0000"/>
              </w:rPr>
              <w:t>。</w:t>
            </w:r>
          </w:p>
        </w:tc>
      </w:tr>
      <w:tr w14:paraId="0D346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trPr>
        <w:tc>
          <w:tcPr>
            <w:tcW w:w="561" w:type="dxa"/>
            <w:tcBorders>
              <w:top w:val="single" w:color="auto" w:sz="4" w:space="0"/>
              <w:left w:val="single" w:color="auto" w:sz="4" w:space="0"/>
              <w:bottom w:val="single" w:color="auto" w:sz="4" w:space="0"/>
              <w:right w:val="single" w:color="auto" w:sz="4" w:space="0"/>
            </w:tcBorders>
            <w:vAlign w:val="center"/>
          </w:tcPr>
          <w:p w14:paraId="3B3E742D">
            <w:pPr>
              <w:widowControl/>
              <w:jc w:val="center"/>
              <w:rPr>
                <w:rFonts w:eastAsia="宋体"/>
                <w:color w:val="FF0000"/>
              </w:rPr>
            </w:pPr>
            <w:r>
              <w:rPr>
                <w:rFonts w:hint="eastAsia" w:eastAsia="宋体"/>
                <w:color w:val="FF0000"/>
              </w:rPr>
              <w:t>4</w:t>
            </w:r>
          </w:p>
        </w:tc>
        <w:tc>
          <w:tcPr>
            <w:tcW w:w="7439" w:type="dxa"/>
            <w:tcBorders>
              <w:top w:val="single" w:color="auto" w:sz="4" w:space="0"/>
              <w:left w:val="single" w:color="auto" w:sz="4" w:space="0"/>
              <w:bottom w:val="single" w:color="auto" w:sz="4" w:space="0"/>
              <w:right w:val="single" w:color="auto" w:sz="4" w:space="0"/>
            </w:tcBorders>
            <w:vAlign w:val="center"/>
          </w:tcPr>
          <w:p w14:paraId="19E51553">
            <w:pPr>
              <w:widowControl/>
              <w:jc w:val="both"/>
              <w:rPr>
                <w:rFonts w:eastAsia="宋体"/>
                <w:color w:val="FF0000"/>
              </w:rPr>
            </w:pPr>
            <w:r>
              <w:rPr>
                <w:rFonts w:hint="eastAsia" w:eastAsia="宋体"/>
                <w:color w:val="FF0000"/>
              </w:rPr>
              <w:t>与其他投标供应商的投标文件由</w:t>
            </w:r>
            <w:r>
              <w:rPr>
                <w:rFonts w:hint="eastAsia" w:eastAsia="宋体"/>
                <w:b/>
                <w:bCs/>
                <w:color w:val="FF0000"/>
              </w:rPr>
              <w:t>同一单位或者同一人编制</w:t>
            </w:r>
            <w:r>
              <w:rPr>
                <w:rFonts w:hint="eastAsia" w:eastAsia="宋体"/>
                <w:color w:val="FF0000"/>
              </w:rPr>
              <w:t>，或者使用</w:t>
            </w:r>
            <w:r>
              <w:rPr>
                <w:rFonts w:hint="eastAsia" w:eastAsia="宋体"/>
                <w:b/>
                <w:bCs/>
                <w:color w:val="FF0000"/>
              </w:rPr>
              <w:t>同一设备编制</w:t>
            </w:r>
            <w:r>
              <w:rPr>
                <w:rFonts w:hint="eastAsia" w:eastAsia="宋体"/>
                <w:color w:val="FF0000"/>
              </w:rPr>
              <w:t>（“文件制作机器码”“文件创建标识码”一致）。</w:t>
            </w:r>
          </w:p>
        </w:tc>
      </w:tr>
      <w:tr w14:paraId="5CAAA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561" w:type="dxa"/>
            <w:tcBorders>
              <w:top w:val="single" w:color="auto" w:sz="4" w:space="0"/>
              <w:left w:val="single" w:color="auto" w:sz="4" w:space="0"/>
              <w:bottom w:val="single" w:color="auto" w:sz="4" w:space="0"/>
              <w:right w:val="single" w:color="auto" w:sz="4" w:space="0"/>
            </w:tcBorders>
            <w:vAlign w:val="center"/>
          </w:tcPr>
          <w:p w14:paraId="609FDA97">
            <w:pPr>
              <w:widowControl/>
              <w:jc w:val="center"/>
              <w:rPr>
                <w:rFonts w:eastAsia="宋体"/>
                <w:color w:val="FF0000"/>
              </w:rPr>
            </w:pPr>
            <w:r>
              <w:rPr>
                <w:rFonts w:hint="eastAsia" w:eastAsia="宋体"/>
                <w:color w:val="FF0000"/>
              </w:rPr>
              <w:t>5</w:t>
            </w:r>
          </w:p>
        </w:tc>
        <w:tc>
          <w:tcPr>
            <w:tcW w:w="7439" w:type="dxa"/>
            <w:tcBorders>
              <w:top w:val="single" w:color="auto" w:sz="4" w:space="0"/>
              <w:left w:val="single" w:color="auto" w:sz="4" w:space="0"/>
              <w:bottom w:val="single" w:color="auto" w:sz="4" w:space="0"/>
              <w:right w:val="single" w:color="auto" w:sz="4" w:space="0"/>
            </w:tcBorders>
            <w:vAlign w:val="center"/>
          </w:tcPr>
          <w:p w14:paraId="2D38E080">
            <w:pPr>
              <w:widowControl/>
              <w:jc w:val="both"/>
              <w:rPr>
                <w:rFonts w:eastAsia="宋体"/>
                <w:color w:val="FF0000"/>
              </w:rPr>
            </w:pPr>
            <w:r>
              <w:rPr>
                <w:rFonts w:hint="eastAsia" w:eastAsia="宋体"/>
                <w:color w:val="FF0000"/>
              </w:rPr>
              <w:t>提供</w:t>
            </w:r>
            <w:r>
              <w:rPr>
                <w:rFonts w:hint="eastAsia" w:eastAsia="宋体"/>
                <w:b/>
                <w:bCs/>
                <w:color w:val="FF0000"/>
              </w:rPr>
              <w:t>未经出具机构核实</w:t>
            </w:r>
            <w:r>
              <w:rPr>
                <w:rFonts w:hint="eastAsia" w:eastAsia="宋体"/>
                <w:color w:val="FF0000"/>
              </w:rPr>
              <w:t>的虚假的检验检测报告、业绩材料、社保缴纳证明、学历学位证书、职称认证证书等材料。</w:t>
            </w:r>
          </w:p>
        </w:tc>
      </w:tr>
      <w:tr w14:paraId="41092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561" w:type="dxa"/>
            <w:tcBorders>
              <w:top w:val="single" w:color="auto" w:sz="4" w:space="0"/>
              <w:left w:val="single" w:color="auto" w:sz="4" w:space="0"/>
              <w:bottom w:val="single" w:color="auto" w:sz="4" w:space="0"/>
              <w:right w:val="single" w:color="auto" w:sz="4" w:space="0"/>
            </w:tcBorders>
            <w:vAlign w:val="center"/>
          </w:tcPr>
          <w:p w14:paraId="6F495EBF">
            <w:pPr>
              <w:widowControl/>
              <w:jc w:val="both"/>
              <w:rPr>
                <w:rFonts w:hint="eastAsia" w:eastAsia="宋体"/>
                <w:color w:val="FF0000"/>
              </w:rPr>
            </w:pPr>
            <w:r>
              <w:rPr>
                <w:rFonts w:hint="eastAsia" w:eastAsia="宋体"/>
                <w:color w:val="FF0000"/>
              </w:rPr>
              <w:t>6</w:t>
            </w:r>
          </w:p>
        </w:tc>
        <w:tc>
          <w:tcPr>
            <w:tcW w:w="7439" w:type="dxa"/>
            <w:tcBorders>
              <w:top w:val="single" w:color="auto" w:sz="4" w:space="0"/>
              <w:left w:val="single" w:color="auto" w:sz="4" w:space="0"/>
              <w:bottom w:val="single" w:color="auto" w:sz="4" w:space="0"/>
              <w:right w:val="single" w:color="auto" w:sz="4" w:space="0"/>
            </w:tcBorders>
            <w:vAlign w:val="center"/>
          </w:tcPr>
          <w:p w14:paraId="0D407911">
            <w:pPr>
              <w:widowControl/>
              <w:jc w:val="both"/>
              <w:rPr>
                <w:rFonts w:hint="eastAsia" w:eastAsia="宋体"/>
                <w:color w:val="FF0000"/>
              </w:rPr>
            </w:pPr>
            <w:r>
              <w:rPr>
                <w:rFonts w:hint="eastAsia" w:eastAsia="宋体"/>
                <w:color w:val="FF0000"/>
              </w:rPr>
              <w:t>擅自将投标密钥或电子营业执照出借他人使用或未妥善保管。</w:t>
            </w:r>
          </w:p>
        </w:tc>
      </w:tr>
    </w:tbl>
    <w:p w14:paraId="32CA2703">
      <w:pPr>
        <w:rPr>
          <w:rFonts w:hint="eastAsia"/>
          <w:lang w:eastAsia="zh-CN"/>
        </w:rPr>
      </w:pPr>
    </w:p>
    <w:p w14:paraId="10E45744">
      <w:pPr>
        <w:rPr>
          <w:rFonts w:hint="eastAsia"/>
          <w:lang w:eastAsia="zh-CN"/>
        </w:rPr>
      </w:pPr>
    </w:p>
    <w:p w14:paraId="0C127ACF">
      <w:pPr>
        <w:rPr>
          <w:rFonts w:hint="eastAsia"/>
          <w:lang w:eastAsia="zh-CN"/>
        </w:rPr>
      </w:pPr>
    </w:p>
    <w:p w14:paraId="7F980797">
      <w:pPr>
        <w:rPr>
          <w:rFonts w:hint="eastAsia"/>
          <w:lang w:eastAsia="zh-CN"/>
        </w:rPr>
      </w:pPr>
    </w:p>
    <w:p w14:paraId="7A1AC61F">
      <w:pPr>
        <w:rPr>
          <w:rFonts w:hint="eastAsia"/>
          <w:lang w:eastAsia="zh-CN"/>
        </w:rPr>
      </w:pPr>
    </w:p>
    <w:p w14:paraId="20481CD4">
      <w:pPr>
        <w:rPr>
          <w:rFonts w:hint="eastAsia"/>
          <w:lang w:eastAsia="zh-CN"/>
        </w:rPr>
      </w:pPr>
    </w:p>
    <w:p w14:paraId="58403E38">
      <w:pPr>
        <w:rPr>
          <w:rFonts w:hint="eastAsia"/>
          <w:lang w:eastAsia="zh-CN"/>
        </w:rPr>
      </w:pPr>
    </w:p>
    <w:p w14:paraId="35091045">
      <w:pPr>
        <w:rPr>
          <w:rFonts w:hint="eastAsia"/>
          <w:lang w:eastAsia="zh-CN"/>
        </w:rPr>
      </w:pPr>
    </w:p>
    <w:p w14:paraId="5B27698B">
      <w:pPr>
        <w:rPr>
          <w:rFonts w:hint="eastAsia"/>
          <w:lang w:eastAsia="zh-CN"/>
        </w:rPr>
      </w:pPr>
    </w:p>
    <w:p w14:paraId="3FA8D5A0">
      <w:pPr>
        <w:rPr>
          <w:rFonts w:hint="eastAsia"/>
          <w:lang w:eastAsia="zh-CN"/>
        </w:rPr>
      </w:pPr>
    </w:p>
    <w:p w14:paraId="35B042AB">
      <w:pPr>
        <w:rPr>
          <w:rFonts w:hint="eastAsia"/>
          <w:lang w:eastAsia="zh-CN"/>
        </w:rPr>
      </w:pPr>
    </w:p>
    <w:p w14:paraId="0BC9564C">
      <w:pPr>
        <w:rPr>
          <w:rFonts w:hint="eastAsia"/>
          <w:lang w:eastAsia="zh-CN"/>
        </w:rPr>
      </w:pPr>
    </w:p>
    <w:p w14:paraId="6C1B8D61">
      <w:pPr>
        <w:rPr>
          <w:rFonts w:hint="eastAsia"/>
          <w:lang w:eastAsia="zh-CN"/>
        </w:rPr>
      </w:pPr>
    </w:p>
    <w:p w14:paraId="6A75419B">
      <w:pPr>
        <w:rPr>
          <w:rFonts w:hint="eastAsia"/>
          <w:lang w:eastAsia="zh-CN"/>
        </w:rPr>
      </w:pPr>
    </w:p>
    <w:p w14:paraId="6AF2787F">
      <w:pPr>
        <w:widowControl/>
        <w:spacing w:before="0" w:beforeAutospacing="1" w:after="0" w:afterAutospacing="1"/>
        <w:jc w:val="center"/>
        <w:outlineLvl w:val="0"/>
        <w:rPr>
          <w:rFonts w:hint="eastAsia" w:ascii="黑体" w:hAnsi="宋体" w:eastAsia="黑体" w:cs="黑体"/>
          <w:sz w:val="40"/>
          <w:szCs w:val="40"/>
          <w:lang w:eastAsia="zh-CN"/>
        </w:rPr>
      </w:pPr>
      <w:r>
        <w:rPr>
          <w:rFonts w:hint="eastAsia" w:ascii="黑体" w:hAnsi="宋体" w:eastAsia="黑体" w:cs="黑体"/>
          <w:sz w:val="40"/>
          <w:szCs w:val="40"/>
          <w:lang w:eastAsia="zh-CN"/>
        </w:rPr>
        <w:t>招标文件信息</w:t>
      </w:r>
    </w:p>
    <w:p w14:paraId="475CC241">
      <w:pPr>
        <w:widowControl w:val="0"/>
        <w:tabs>
          <w:tab w:val="left" w:pos="2790"/>
        </w:tabs>
        <w:snapToGrid w:val="0"/>
        <w:jc w:val="center"/>
        <w:outlineLvl w:val="0"/>
        <w:rPr>
          <w:rFonts w:hint="eastAsia" w:ascii="黑体" w:hAnsi="黑体" w:eastAsia="黑体"/>
          <w:kern w:val="2"/>
          <w:sz w:val="40"/>
          <w:szCs w:val="40"/>
          <w:lang w:eastAsia="zh-CN"/>
        </w:rPr>
      </w:pPr>
    </w:p>
    <w:p w14:paraId="3271E3A0">
      <w:pPr>
        <w:widowControl w:val="0"/>
        <w:tabs>
          <w:tab w:val="left" w:pos="2790"/>
        </w:tabs>
        <w:snapToGrid w:val="0"/>
        <w:jc w:val="both"/>
        <w:outlineLvl w:val="0"/>
        <w:rPr>
          <w:rFonts w:ascii="宋体" w:hAnsi="宋体" w:eastAsia="宋体" w:cs="宋体"/>
          <w:kern w:val="2"/>
          <w:sz w:val="32"/>
          <w:szCs w:val="32"/>
          <w:lang w:eastAsia="zh-CN"/>
        </w:rPr>
      </w:pPr>
      <w:r>
        <w:rPr>
          <w:rFonts w:hint="eastAsia" w:ascii="宋体" w:hAnsi="宋体" w:eastAsia="宋体" w:cs="宋体"/>
          <w:kern w:val="2"/>
          <w:sz w:val="32"/>
          <w:szCs w:val="32"/>
          <w:lang w:eastAsia="zh-CN"/>
        </w:rPr>
        <w:t>项目编号：</w:t>
      </w:r>
      <w:r>
        <w:rPr>
          <w:rFonts w:hint="eastAsia" w:ascii="宋体" w:hAnsi="宋体" w:eastAsia="宋体" w:cs="宋体"/>
          <w:kern w:val="2"/>
          <w:sz w:val="32"/>
          <w:szCs w:val="32"/>
          <w:lang w:eastAsia="zh-CN"/>
        </w:rPr>
        <w:tab/>
      </w:r>
      <w:r>
        <w:rPr>
          <w:rFonts w:hint="eastAsia" w:ascii="宋体" w:hAnsi="宋体" w:eastAsia="宋体" w:cs="宋体"/>
          <w:kern w:val="2"/>
          <w:sz w:val="32"/>
          <w:szCs w:val="32"/>
          <w:lang w:eastAsia="zh-CN"/>
        </w:rPr>
        <w:t>LHAZXDL-2025-00097</w:t>
      </w:r>
    </w:p>
    <w:p w14:paraId="39C00859">
      <w:pPr>
        <w:widowControl w:val="0"/>
        <w:tabs>
          <w:tab w:val="left" w:pos="2790"/>
        </w:tabs>
        <w:snapToGrid w:val="0"/>
        <w:jc w:val="left"/>
        <w:outlineLvl w:val="0"/>
        <w:rPr>
          <w:rFonts w:hint="eastAsia" w:ascii="宋体" w:hAnsi="宋体" w:eastAsia="宋体" w:cs="宋体"/>
          <w:kern w:val="2"/>
          <w:sz w:val="32"/>
          <w:szCs w:val="32"/>
          <w:lang w:eastAsia="zh-CN"/>
        </w:rPr>
      </w:pPr>
      <w:r>
        <w:rPr>
          <w:rFonts w:hint="eastAsia" w:ascii="宋体" w:hAnsi="宋体" w:eastAsia="宋体" w:cs="宋体"/>
          <w:kern w:val="2"/>
          <w:sz w:val="32"/>
          <w:szCs w:val="32"/>
          <w:lang w:eastAsia="zh-CN"/>
        </w:rPr>
        <w:t>项目名称：</w:t>
      </w:r>
      <w:r>
        <w:rPr>
          <w:rFonts w:hint="eastAsia" w:ascii="宋体" w:hAnsi="宋体" w:eastAsia="宋体" w:cs="宋体"/>
          <w:kern w:val="2"/>
          <w:sz w:val="32"/>
          <w:szCs w:val="32"/>
          <w:lang w:eastAsia="zh-CN"/>
        </w:rPr>
        <w:tab/>
      </w:r>
      <w:r>
        <w:rPr>
          <w:rFonts w:hint="eastAsia" w:ascii="宋体" w:hAnsi="宋体" w:eastAsia="宋体" w:cs="宋体"/>
          <w:kern w:val="2"/>
          <w:sz w:val="32"/>
          <w:szCs w:val="32"/>
          <w:lang w:eastAsia="zh-CN"/>
        </w:rPr>
        <w:t>大浪校区监控视频存储及光网络交换设备</w:t>
      </w:r>
    </w:p>
    <w:p w14:paraId="3118F53E">
      <w:pPr>
        <w:widowControl w:val="0"/>
        <w:tabs>
          <w:tab w:val="left" w:pos="2790"/>
        </w:tabs>
        <w:snapToGrid w:val="0"/>
        <w:jc w:val="both"/>
        <w:outlineLvl w:val="0"/>
        <w:rPr>
          <w:rFonts w:hint="eastAsia" w:ascii="宋体" w:hAnsi="宋体" w:eastAsia="宋体" w:cs="宋体"/>
          <w:kern w:val="2"/>
          <w:sz w:val="32"/>
          <w:szCs w:val="32"/>
          <w:lang w:eastAsia="zh-CN"/>
        </w:rPr>
      </w:pPr>
      <w:r>
        <w:rPr>
          <w:rFonts w:hint="eastAsia" w:ascii="宋体" w:hAnsi="宋体" w:eastAsia="宋体" w:cs="宋体"/>
          <w:kern w:val="2"/>
          <w:sz w:val="32"/>
          <w:szCs w:val="32"/>
          <w:lang w:eastAsia="zh-CN"/>
        </w:rPr>
        <w:t>包号：</w:t>
      </w:r>
      <w:r>
        <w:rPr>
          <w:rFonts w:hint="eastAsia" w:ascii="宋体" w:hAnsi="宋体" w:eastAsia="宋体" w:cs="宋体"/>
          <w:kern w:val="2"/>
          <w:sz w:val="32"/>
          <w:szCs w:val="32"/>
          <w:lang w:eastAsia="zh-CN"/>
        </w:rPr>
        <w:tab/>
      </w:r>
      <w:r>
        <w:rPr>
          <w:rFonts w:hint="eastAsia" w:ascii="宋体" w:hAnsi="宋体" w:eastAsia="宋体" w:cs="宋体"/>
          <w:kern w:val="2"/>
          <w:sz w:val="32"/>
          <w:szCs w:val="32"/>
          <w:lang w:eastAsia="zh-CN"/>
        </w:rPr>
        <w:t>A</w:t>
      </w:r>
    </w:p>
    <w:p w14:paraId="155F731A">
      <w:pPr>
        <w:widowControl w:val="0"/>
        <w:tabs>
          <w:tab w:val="left" w:pos="2790"/>
        </w:tabs>
        <w:snapToGrid w:val="0"/>
        <w:jc w:val="both"/>
        <w:outlineLvl w:val="0"/>
        <w:rPr>
          <w:rFonts w:hint="eastAsia" w:ascii="宋体" w:hAnsi="宋体" w:eastAsia="宋体" w:cs="宋体"/>
          <w:kern w:val="2"/>
          <w:sz w:val="32"/>
          <w:szCs w:val="32"/>
          <w:lang w:eastAsia="zh-CN"/>
        </w:rPr>
      </w:pPr>
      <w:r>
        <w:rPr>
          <w:rFonts w:hint="eastAsia" w:ascii="宋体" w:hAnsi="宋体" w:eastAsia="宋体" w:cs="宋体"/>
          <w:kern w:val="2"/>
          <w:sz w:val="32"/>
          <w:szCs w:val="32"/>
          <w:lang w:eastAsia="zh-CN"/>
        </w:rPr>
        <w:t>项目类型：</w:t>
      </w:r>
      <w:r>
        <w:rPr>
          <w:rFonts w:hint="eastAsia" w:ascii="宋体" w:hAnsi="宋体" w:eastAsia="宋体" w:cs="宋体"/>
          <w:kern w:val="2"/>
          <w:sz w:val="32"/>
          <w:szCs w:val="32"/>
          <w:lang w:eastAsia="zh-CN"/>
        </w:rPr>
        <w:tab/>
      </w:r>
      <w:r>
        <w:rPr>
          <w:rFonts w:hint="eastAsia" w:ascii="宋体" w:hAnsi="宋体" w:eastAsia="宋体" w:cs="宋体"/>
          <w:kern w:val="2"/>
          <w:sz w:val="32"/>
          <w:szCs w:val="32"/>
          <w:lang w:eastAsia="zh-CN"/>
        </w:rPr>
        <w:t>货物类</w:t>
      </w:r>
    </w:p>
    <w:p w14:paraId="1F4EAA6A">
      <w:pPr>
        <w:widowControl w:val="0"/>
        <w:tabs>
          <w:tab w:val="left" w:pos="2790"/>
        </w:tabs>
        <w:snapToGrid w:val="0"/>
        <w:jc w:val="both"/>
        <w:outlineLvl w:val="0"/>
        <w:rPr>
          <w:rFonts w:hint="eastAsia" w:ascii="宋体" w:hAnsi="宋体" w:eastAsia="宋体" w:cs="宋体"/>
          <w:kern w:val="2"/>
          <w:sz w:val="32"/>
          <w:szCs w:val="32"/>
          <w:lang w:eastAsia="zh-CN"/>
        </w:rPr>
      </w:pPr>
      <w:r>
        <w:rPr>
          <w:rFonts w:hint="eastAsia" w:ascii="宋体" w:hAnsi="宋体" w:eastAsia="宋体" w:cs="宋体"/>
          <w:kern w:val="2"/>
          <w:sz w:val="32"/>
          <w:szCs w:val="32"/>
          <w:lang w:eastAsia="zh-CN"/>
        </w:rPr>
        <w:t>采购方式：</w:t>
      </w:r>
      <w:r>
        <w:rPr>
          <w:rFonts w:hint="eastAsia" w:ascii="宋体" w:hAnsi="宋体" w:eastAsia="宋体" w:cs="宋体"/>
          <w:kern w:val="2"/>
          <w:sz w:val="32"/>
          <w:szCs w:val="32"/>
          <w:lang w:eastAsia="zh-CN"/>
        </w:rPr>
        <w:tab/>
      </w:r>
      <w:r>
        <w:rPr>
          <w:rFonts w:hint="eastAsia" w:ascii="宋体" w:hAnsi="宋体" w:eastAsia="宋体" w:cs="宋体"/>
          <w:kern w:val="2"/>
          <w:sz w:val="32"/>
          <w:szCs w:val="32"/>
          <w:lang w:eastAsia="zh-CN"/>
        </w:rPr>
        <w:t>公开招标</w:t>
      </w:r>
    </w:p>
    <w:p w14:paraId="6773E878">
      <w:pPr>
        <w:widowControl w:val="0"/>
        <w:tabs>
          <w:tab w:val="left" w:pos="2790"/>
        </w:tabs>
        <w:snapToGrid w:val="0"/>
        <w:jc w:val="both"/>
        <w:outlineLvl w:val="0"/>
        <w:rPr>
          <w:rFonts w:hint="eastAsia" w:ascii="宋体" w:hAnsi="宋体" w:eastAsia="宋体" w:cs="宋体"/>
          <w:kern w:val="2"/>
          <w:sz w:val="32"/>
          <w:szCs w:val="32"/>
          <w:lang w:eastAsia="zh-CN"/>
        </w:rPr>
      </w:pPr>
      <w:r>
        <w:rPr>
          <w:rFonts w:hint="eastAsia" w:ascii="宋体" w:hAnsi="宋体" w:eastAsia="宋体" w:cs="宋体"/>
          <w:kern w:val="2"/>
          <w:sz w:val="32"/>
          <w:szCs w:val="32"/>
          <w:lang w:eastAsia="zh-CN"/>
        </w:rPr>
        <w:t>货币类型：</w:t>
      </w:r>
      <w:r>
        <w:rPr>
          <w:rFonts w:hint="eastAsia" w:ascii="宋体" w:hAnsi="宋体" w:eastAsia="宋体" w:cs="宋体"/>
          <w:kern w:val="2"/>
          <w:sz w:val="32"/>
          <w:szCs w:val="32"/>
          <w:lang w:eastAsia="zh-CN"/>
        </w:rPr>
        <w:tab/>
      </w:r>
      <w:r>
        <w:rPr>
          <w:rFonts w:hint="eastAsia" w:ascii="宋体" w:hAnsi="宋体" w:eastAsia="宋体" w:cs="宋体"/>
          <w:kern w:val="2"/>
          <w:sz w:val="32"/>
          <w:szCs w:val="32"/>
          <w:lang w:eastAsia="zh-CN"/>
        </w:rPr>
        <w:t>人民币</w:t>
      </w:r>
    </w:p>
    <w:p w14:paraId="1253ABBB">
      <w:pPr>
        <w:widowControl w:val="0"/>
        <w:tabs>
          <w:tab w:val="left" w:pos="2790"/>
        </w:tabs>
        <w:snapToGrid w:val="0"/>
        <w:jc w:val="both"/>
        <w:outlineLvl w:val="0"/>
        <w:rPr>
          <w:rFonts w:hint="eastAsia" w:ascii="宋体" w:hAnsi="宋体" w:eastAsia="宋体" w:cs="宋体"/>
          <w:kern w:val="2"/>
          <w:sz w:val="32"/>
          <w:szCs w:val="32"/>
          <w:lang w:eastAsia="zh-CN"/>
        </w:rPr>
      </w:pPr>
      <w:r>
        <w:rPr>
          <w:rFonts w:hint="eastAsia" w:ascii="宋体" w:hAnsi="宋体" w:eastAsia="宋体" w:cs="宋体"/>
          <w:kern w:val="2"/>
          <w:sz w:val="32"/>
          <w:szCs w:val="32"/>
          <w:lang w:eastAsia="zh-CN"/>
        </w:rPr>
        <w:t>评标方法：</w:t>
      </w:r>
      <w:r>
        <w:rPr>
          <w:rFonts w:hint="eastAsia" w:ascii="宋体" w:hAnsi="宋体" w:eastAsia="宋体" w:cs="宋体"/>
          <w:kern w:val="2"/>
          <w:sz w:val="32"/>
          <w:szCs w:val="32"/>
          <w:lang w:eastAsia="zh-CN"/>
        </w:rPr>
        <w:tab/>
      </w:r>
      <w:r>
        <w:rPr>
          <w:rFonts w:hint="eastAsia" w:ascii="宋体" w:hAnsi="宋体" w:eastAsia="宋体" w:cs="宋体"/>
          <w:kern w:val="2"/>
          <w:sz w:val="32"/>
          <w:szCs w:val="32"/>
          <w:lang w:eastAsia="zh-CN"/>
        </w:rPr>
        <w:t>综合评分法</w:t>
      </w:r>
    </w:p>
    <w:p w14:paraId="39E82AD8">
      <w:pPr>
        <w:widowControl w:val="0"/>
        <w:spacing w:line="360" w:lineRule="auto"/>
        <w:jc w:val="both"/>
        <w:rPr>
          <w:rFonts w:hint="eastAsia" w:ascii="Calibri" w:hAnsi="Calibri" w:eastAsia="宋体"/>
          <w:b/>
          <w:bCs/>
          <w:kern w:val="2"/>
          <w:szCs w:val="22"/>
          <w:lang w:eastAsia="zh-CN"/>
        </w:rPr>
      </w:pPr>
    </w:p>
    <w:p w14:paraId="33539957">
      <w:pPr>
        <w:widowControl w:val="0"/>
        <w:tabs>
          <w:tab w:val="left" w:pos="2790"/>
        </w:tabs>
        <w:snapToGrid w:val="0"/>
        <w:jc w:val="center"/>
        <w:outlineLvl w:val="0"/>
        <w:rPr>
          <w:rFonts w:ascii="黑体" w:hAnsi="黑体" w:eastAsia="黑体"/>
          <w:kern w:val="2"/>
          <w:sz w:val="40"/>
          <w:szCs w:val="40"/>
          <w:lang w:eastAsia="zh-CN"/>
        </w:rPr>
      </w:pPr>
      <w:r>
        <w:rPr>
          <w:rFonts w:hint="eastAsia" w:ascii="黑体" w:hAnsi="黑体" w:eastAsia="黑体"/>
          <w:kern w:val="2"/>
          <w:sz w:val="40"/>
          <w:szCs w:val="40"/>
          <w:lang w:eastAsia="zh-CN"/>
        </w:rPr>
        <w:t>资格性审查表</w:t>
      </w:r>
    </w:p>
    <w:tbl>
      <w:tblPr>
        <w:tblStyle w:val="7"/>
        <w:tblW w:w="500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56"/>
        <w:gridCol w:w="8100"/>
      </w:tblGrid>
      <w:tr w14:paraId="407330C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65268AED">
            <w:pPr>
              <w:widowControl w:val="0"/>
              <w:spacing w:line="290" w:lineRule="exact"/>
              <w:jc w:val="center"/>
              <w:rPr>
                <w:rFonts w:ascii="宋体" w:hAnsi="宋体" w:eastAsia="宋体" w:cs="宋体"/>
                <w:kern w:val="2"/>
                <w:sz w:val="21"/>
                <w:szCs w:val="21"/>
                <w:lang w:eastAsia="zh-CN"/>
              </w:rPr>
            </w:pPr>
            <w:r>
              <w:rPr>
                <w:rFonts w:ascii="宋体" w:hAnsi="宋体" w:eastAsia="宋体"/>
                <w:kern w:val="2"/>
                <w:sz w:val="21"/>
                <w:szCs w:val="21"/>
                <w:lang w:eastAsia="zh-CN"/>
              </w:rPr>
              <w:t>序号</w:t>
            </w:r>
          </w:p>
        </w:tc>
        <w:tc>
          <w:tcPr>
            <w:tcW w:w="8669"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7CFB1FC2">
            <w:pPr>
              <w:widowControl w:val="0"/>
              <w:spacing w:line="290" w:lineRule="exact"/>
              <w:jc w:val="center"/>
              <w:rPr>
                <w:rFonts w:ascii="宋体" w:hAnsi="宋体" w:eastAsia="宋体" w:cs="宋体"/>
                <w:kern w:val="2"/>
                <w:sz w:val="21"/>
                <w:szCs w:val="21"/>
                <w:lang w:eastAsia="zh-CN"/>
              </w:rPr>
            </w:pPr>
            <w:r>
              <w:rPr>
                <w:rFonts w:ascii="宋体" w:hAnsi="宋体" w:eastAsia="宋体"/>
                <w:kern w:val="2"/>
                <w:sz w:val="21"/>
                <w:szCs w:val="21"/>
                <w:lang w:eastAsia="zh-CN"/>
              </w:rPr>
              <w:t>内容</w:t>
            </w:r>
          </w:p>
        </w:tc>
      </w:tr>
      <w:tr w14:paraId="2DB6971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7D9FBBDE">
            <w:pPr>
              <w:widowControl w:val="0"/>
              <w:spacing w:line="290" w:lineRule="exact"/>
              <w:jc w:val="center"/>
              <w:rPr>
                <w:rFonts w:ascii="宋体" w:hAnsi="宋体" w:eastAsia="宋体" w:cs="宋体"/>
                <w:kern w:val="2"/>
                <w:sz w:val="21"/>
                <w:szCs w:val="21"/>
                <w:lang w:eastAsia="zh-CN"/>
              </w:rPr>
            </w:pPr>
            <w:r>
              <w:rPr>
                <w:rFonts w:ascii="宋体" w:hAnsi="宋体" w:eastAsia="宋体"/>
                <w:kern w:val="2"/>
                <w:sz w:val="21"/>
                <w:szCs w:val="21"/>
                <w:lang w:eastAsia="zh-CN"/>
              </w:rPr>
              <w:t>1</w:t>
            </w:r>
          </w:p>
        </w:tc>
        <w:tc>
          <w:tcPr>
            <w:tcW w:w="8669" w:type="dxa"/>
            <w:tcBorders>
              <w:top w:val="single" w:color="000000" w:sz="8" w:space="0"/>
              <w:left w:val="single" w:color="000000" w:sz="8" w:space="0"/>
              <w:bottom w:val="single" w:color="000000" w:sz="8" w:space="0"/>
              <w:right w:val="single" w:color="000000" w:sz="8" w:space="0"/>
            </w:tcBorders>
          </w:tcPr>
          <w:p w14:paraId="749B2225">
            <w:pPr>
              <w:widowControl w:val="0"/>
              <w:spacing w:line="290" w:lineRule="exact"/>
              <w:jc w:val="both"/>
              <w:rPr>
                <w:rFonts w:ascii="宋体" w:hAnsi="宋体" w:eastAsia="宋体" w:cs="宋体"/>
                <w:kern w:val="2"/>
                <w:sz w:val="21"/>
                <w:szCs w:val="21"/>
                <w:lang w:eastAsia="zh-CN"/>
              </w:rPr>
            </w:pPr>
            <w:r>
              <w:rPr>
                <w:rFonts w:ascii="宋体" w:hAnsi="宋体" w:eastAsia="宋体" w:cs="宋体"/>
                <w:sz w:val="21"/>
                <w:szCs w:val="21"/>
                <w:lang w:eastAsia="zh-CN"/>
              </w:rPr>
              <w:t>投标人不</w:t>
            </w:r>
            <w:r>
              <w:rPr>
                <w:rFonts w:hint="eastAsia" w:ascii="宋体" w:hAnsi="宋体" w:eastAsia="宋体" w:cs="宋体"/>
                <w:sz w:val="21"/>
                <w:szCs w:val="21"/>
                <w:lang w:eastAsia="zh-CN"/>
              </w:rPr>
              <w:t>符合</w:t>
            </w:r>
            <w:r>
              <w:rPr>
                <w:rFonts w:ascii="宋体" w:hAnsi="宋体" w:eastAsia="宋体" w:cs="宋体"/>
                <w:sz w:val="21"/>
                <w:szCs w:val="21"/>
                <w:lang w:eastAsia="zh-CN"/>
              </w:rPr>
              <w:t>资格要求，或未提交相应的资格证明资料（详见招标公告</w:t>
            </w:r>
            <w:r>
              <w:rPr>
                <w:rFonts w:hint="eastAsia" w:ascii="宋体" w:hAnsi="宋体" w:eastAsia="宋体"/>
                <w:kern w:val="2"/>
                <w:sz w:val="21"/>
                <w:szCs w:val="21"/>
                <w:lang w:eastAsia="zh-CN"/>
              </w:rPr>
              <w:t>投标人资格要求，即申请人的资格要求</w:t>
            </w:r>
            <w:r>
              <w:rPr>
                <w:rFonts w:ascii="宋体" w:hAnsi="宋体" w:eastAsia="宋体" w:cs="宋体"/>
                <w:sz w:val="21"/>
                <w:szCs w:val="21"/>
                <w:lang w:eastAsia="zh-CN"/>
              </w:rPr>
              <w:t>）。</w:t>
            </w:r>
          </w:p>
        </w:tc>
      </w:tr>
    </w:tbl>
    <w:p w14:paraId="5E9CB36F">
      <w:pPr>
        <w:widowControl w:val="0"/>
        <w:tabs>
          <w:tab w:val="left" w:pos="2790"/>
        </w:tabs>
        <w:snapToGrid w:val="0"/>
        <w:jc w:val="center"/>
        <w:rPr>
          <w:rFonts w:ascii="黑体" w:hAnsi="黑体" w:eastAsia="黑体"/>
          <w:kern w:val="2"/>
          <w:sz w:val="40"/>
          <w:szCs w:val="40"/>
          <w:lang w:eastAsia="zh-CN"/>
        </w:rPr>
      </w:pPr>
    </w:p>
    <w:p w14:paraId="585F0EDC">
      <w:pPr>
        <w:widowControl w:val="0"/>
        <w:tabs>
          <w:tab w:val="left" w:pos="2790"/>
        </w:tabs>
        <w:snapToGrid w:val="0"/>
        <w:jc w:val="center"/>
        <w:outlineLvl w:val="0"/>
        <w:rPr>
          <w:rFonts w:ascii="黑体" w:hAnsi="黑体" w:eastAsia="黑体"/>
          <w:kern w:val="2"/>
          <w:sz w:val="40"/>
          <w:szCs w:val="40"/>
          <w:lang w:eastAsia="zh-CN"/>
        </w:rPr>
      </w:pPr>
      <w:r>
        <w:rPr>
          <w:rFonts w:hint="eastAsia" w:ascii="黑体" w:hAnsi="黑体" w:eastAsia="黑体"/>
          <w:kern w:val="2"/>
          <w:sz w:val="40"/>
          <w:szCs w:val="40"/>
          <w:lang w:eastAsia="zh-CN"/>
        </w:rPr>
        <w:t>符合性审查表</w:t>
      </w:r>
    </w:p>
    <w:tbl>
      <w:tblPr>
        <w:tblStyle w:val="7"/>
        <w:tblW w:w="500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47"/>
        <w:gridCol w:w="8109"/>
      </w:tblGrid>
      <w:tr w14:paraId="2088D76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82"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3AEFFB02">
            <w:pPr>
              <w:widowControl/>
              <w:jc w:val="center"/>
              <w:rPr>
                <w:rFonts w:ascii="宋体" w:hAnsi="宋体" w:eastAsia="宋体"/>
                <w:kern w:val="2"/>
                <w:sz w:val="21"/>
                <w:szCs w:val="21"/>
                <w:lang w:eastAsia="zh-CN"/>
              </w:rPr>
            </w:pPr>
            <w:r>
              <w:rPr>
                <w:rFonts w:ascii="宋体" w:hAnsi="宋体" w:eastAsia="宋体" w:cs="宋体"/>
                <w:sz w:val="21"/>
                <w:szCs w:val="21"/>
                <w:lang w:eastAsia="zh-CN"/>
              </w:rPr>
              <w:t>序号</w:t>
            </w:r>
          </w:p>
        </w:tc>
        <w:tc>
          <w:tcPr>
            <w:tcW w:w="8647"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7305C31B">
            <w:pPr>
              <w:widowControl/>
              <w:jc w:val="center"/>
              <w:rPr>
                <w:rFonts w:ascii="宋体" w:hAnsi="宋体" w:eastAsia="宋体"/>
                <w:kern w:val="2"/>
                <w:sz w:val="21"/>
                <w:szCs w:val="21"/>
                <w:lang w:eastAsia="zh-CN"/>
              </w:rPr>
            </w:pPr>
            <w:r>
              <w:rPr>
                <w:rFonts w:ascii="宋体" w:hAnsi="宋体" w:eastAsia="宋体" w:cs="宋体"/>
                <w:sz w:val="21"/>
                <w:szCs w:val="21"/>
                <w:lang w:eastAsia="zh-CN"/>
              </w:rPr>
              <w:t>内容</w:t>
            </w:r>
          </w:p>
        </w:tc>
      </w:tr>
      <w:tr w14:paraId="5CE5150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8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3DC527">
            <w:pPr>
              <w:widowControl/>
              <w:jc w:val="center"/>
              <w:textAlignment w:val="top"/>
              <w:rPr>
                <w:rFonts w:ascii="宋体" w:hAnsi="宋体" w:eastAsia="宋体"/>
                <w:kern w:val="2"/>
                <w:sz w:val="21"/>
                <w:szCs w:val="21"/>
                <w:lang w:eastAsia="zh-CN"/>
              </w:rPr>
            </w:pPr>
            <w:r>
              <w:rPr>
                <w:rFonts w:ascii="宋体" w:hAnsi="宋体" w:eastAsia="宋体" w:cs="宋体"/>
                <w:sz w:val="21"/>
                <w:szCs w:val="21"/>
                <w:lang w:eastAsia="zh-CN"/>
              </w:rPr>
              <w:t>1</w:t>
            </w:r>
          </w:p>
        </w:tc>
        <w:tc>
          <w:tcPr>
            <w:tcW w:w="8647" w:type="dxa"/>
            <w:tcBorders>
              <w:top w:val="single" w:color="000000" w:sz="8" w:space="0"/>
              <w:left w:val="single" w:color="000000" w:sz="8" w:space="0"/>
              <w:bottom w:val="single" w:color="000000" w:sz="8" w:space="0"/>
              <w:right w:val="single" w:color="000000" w:sz="8" w:space="0"/>
            </w:tcBorders>
            <w:shd w:val="clear" w:color="auto" w:fill="auto"/>
          </w:tcPr>
          <w:p w14:paraId="4E32C40A">
            <w:pPr>
              <w:widowControl/>
              <w:jc w:val="left"/>
              <w:textAlignment w:val="top"/>
              <w:rPr>
                <w:rFonts w:ascii="宋体" w:hAnsi="宋体" w:eastAsia="宋体"/>
                <w:kern w:val="2"/>
                <w:sz w:val="21"/>
                <w:szCs w:val="21"/>
                <w:lang w:eastAsia="zh-CN"/>
              </w:rPr>
            </w:pPr>
            <w:r>
              <w:rPr>
                <w:rFonts w:hint="eastAsia" w:ascii="宋体" w:hAnsi="宋体" w:eastAsia="宋体" w:cstheme="minorBidi"/>
                <w:kern w:val="2"/>
                <w:sz w:val="21"/>
                <w:szCs w:val="21"/>
                <w:lang w:eastAsia="zh-CN"/>
              </w:rPr>
              <w:t>不得将一个包的内容拆开投标；</w:t>
            </w:r>
          </w:p>
        </w:tc>
      </w:tr>
      <w:tr w14:paraId="44C5266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8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8A6CA8">
            <w:pPr>
              <w:widowControl/>
              <w:jc w:val="center"/>
              <w:textAlignment w:val="top"/>
              <w:rPr>
                <w:rFonts w:ascii="宋体" w:hAnsi="宋体" w:eastAsia="宋体"/>
                <w:kern w:val="2"/>
                <w:sz w:val="21"/>
                <w:szCs w:val="21"/>
                <w:lang w:eastAsia="zh-CN"/>
              </w:rPr>
            </w:pPr>
            <w:r>
              <w:rPr>
                <w:rFonts w:ascii="宋体" w:hAnsi="宋体" w:eastAsia="宋体" w:cs="宋体"/>
                <w:sz w:val="21"/>
                <w:szCs w:val="21"/>
                <w:lang w:eastAsia="zh-CN"/>
              </w:rPr>
              <w:t>2</w:t>
            </w:r>
          </w:p>
        </w:tc>
        <w:tc>
          <w:tcPr>
            <w:tcW w:w="8647" w:type="dxa"/>
            <w:tcBorders>
              <w:top w:val="single" w:color="000000" w:sz="8" w:space="0"/>
              <w:left w:val="single" w:color="000000" w:sz="8" w:space="0"/>
              <w:bottom w:val="single" w:color="000000" w:sz="8" w:space="0"/>
              <w:right w:val="single" w:color="000000" w:sz="8" w:space="0"/>
            </w:tcBorders>
            <w:shd w:val="clear" w:color="auto" w:fill="auto"/>
          </w:tcPr>
          <w:p w14:paraId="2F2C5CB9">
            <w:pPr>
              <w:widowControl/>
              <w:jc w:val="left"/>
              <w:textAlignment w:val="top"/>
              <w:rPr>
                <w:rFonts w:ascii="宋体" w:hAnsi="宋体" w:eastAsia="宋体"/>
                <w:kern w:val="2"/>
                <w:sz w:val="21"/>
                <w:szCs w:val="21"/>
                <w:lang w:eastAsia="zh-CN"/>
              </w:rPr>
            </w:pPr>
            <w:r>
              <w:rPr>
                <w:rFonts w:hint="eastAsia" w:ascii="宋体" w:hAnsi="宋体" w:eastAsia="宋体" w:cstheme="minorBidi"/>
                <w:kern w:val="2"/>
                <w:sz w:val="21"/>
                <w:szCs w:val="21"/>
                <w:lang w:eastAsia="zh-CN"/>
              </w:rPr>
              <w:t>对同一项目投标时，不得提供两套以上的投标方案（招标文件另有规定的除外）；</w:t>
            </w:r>
          </w:p>
        </w:tc>
      </w:tr>
      <w:tr w14:paraId="1197373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8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B62BE8">
            <w:pPr>
              <w:widowControl/>
              <w:jc w:val="center"/>
              <w:textAlignment w:val="top"/>
              <w:rPr>
                <w:rFonts w:ascii="宋体" w:hAnsi="宋体" w:eastAsia="宋体"/>
                <w:kern w:val="2"/>
                <w:sz w:val="21"/>
                <w:szCs w:val="21"/>
                <w:lang w:eastAsia="zh-CN"/>
              </w:rPr>
            </w:pPr>
            <w:r>
              <w:rPr>
                <w:rFonts w:ascii="宋体" w:hAnsi="宋体" w:eastAsia="宋体" w:cs="宋体"/>
                <w:sz w:val="21"/>
                <w:szCs w:val="21"/>
                <w:lang w:eastAsia="zh-CN"/>
              </w:rPr>
              <w:t>3</w:t>
            </w:r>
          </w:p>
        </w:tc>
        <w:tc>
          <w:tcPr>
            <w:tcW w:w="8647" w:type="dxa"/>
            <w:tcBorders>
              <w:top w:val="single" w:color="000000" w:sz="8" w:space="0"/>
              <w:left w:val="single" w:color="000000" w:sz="8" w:space="0"/>
              <w:bottom w:val="single" w:color="000000" w:sz="8" w:space="0"/>
              <w:right w:val="single" w:color="000000" w:sz="8" w:space="0"/>
            </w:tcBorders>
            <w:shd w:val="clear" w:color="auto" w:fill="auto"/>
          </w:tcPr>
          <w:p w14:paraId="32B04911">
            <w:pPr>
              <w:widowControl/>
              <w:jc w:val="left"/>
              <w:textAlignment w:val="top"/>
              <w:rPr>
                <w:rFonts w:ascii="宋体" w:hAnsi="宋体" w:eastAsia="宋体"/>
                <w:kern w:val="2"/>
                <w:sz w:val="21"/>
                <w:szCs w:val="21"/>
                <w:lang w:eastAsia="zh-CN"/>
              </w:rPr>
            </w:pPr>
            <w:r>
              <w:rPr>
                <w:rFonts w:hint="eastAsia" w:ascii="宋体" w:hAnsi="宋体" w:eastAsia="宋体" w:cstheme="minorBidi"/>
                <w:kern w:val="2"/>
                <w:sz w:val="21"/>
                <w:szCs w:val="21"/>
                <w:lang w:eastAsia="zh-CN"/>
              </w:rPr>
              <w:t>分项报价或投标总价不得高于</w:t>
            </w:r>
            <w:bookmarkStart w:id="0" w:name="_Hlk71832186"/>
            <w:r>
              <w:rPr>
                <w:rFonts w:hint="eastAsia" w:ascii="宋体" w:hAnsi="宋体" w:eastAsia="宋体" w:cstheme="minorBidi"/>
                <w:kern w:val="2"/>
                <w:sz w:val="21"/>
                <w:szCs w:val="21"/>
                <w:lang w:eastAsia="zh-CN"/>
              </w:rPr>
              <w:t>相应预算金额（或设定的预算金额下的最高限价）</w:t>
            </w:r>
            <w:bookmarkEnd w:id="0"/>
            <w:r>
              <w:rPr>
                <w:rFonts w:hint="eastAsia" w:ascii="宋体" w:hAnsi="宋体" w:eastAsia="宋体" w:cstheme="minorBidi"/>
                <w:kern w:val="2"/>
                <w:sz w:val="21"/>
                <w:szCs w:val="21"/>
                <w:lang w:eastAsia="zh-CN"/>
              </w:rPr>
              <w:t>；</w:t>
            </w:r>
          </w:p>
        </w:tc>
      </w:tr>
      <w:tr w14:paraId="1E28B1F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8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AE8DB1">
            <w:pPr>
              <w:widowControl/>
              <w:jc w:val="center"/>
              <w:textAlignment w:val="top"/>
              <w:rPr>
                <w:rFonts w:ascii="宋体" w:hAnsi="宋体" w:eastAsia="宋体"/>
                <w:kern w:val="2"/>
                <w:sz w:val="21"/>
                <w:szCs w:val="21"/>
                <w:lang w:eastAsia="zh-CN"/>
              </w:rPr>
            </w:pPr>
            <w:r>
              <w:rPr>
                <w:rFonts w:ascii="宋体" w:hAnsi="宋体" w:eastAsia="宋体" w:cs="宋体"/>
                <w:sz w:val="21"/>
                <w:szCs w:val="21"/>
                <w:lang w:eastAsia="zh-CN"/>
              </w:rPr>
              <w:t>4</w:t>
            </w:r>
          </w:p>
        </w:tc>
        <w:tc>
          <w:tcPr>
            <w:tcW w:w="8647" w:type="dxa"/>
            <w:tcBorders>
              <w:top w:val="single" w:color="000000" w:sz="8" w:space="0"/>
              <w:left w:val="single" w:color="000000" w:sz="8" w:space="0"/>
              <w:bottom w:val="single" w:color="000000" w:sz="8" w:space="0"/>
              <w:right w:val="single" w:color="000000" w:sz="8" w:space="0"/>
            </w:tcBorders>
            <w:shd w:val="clear" w:color="auto" w:fill="auto"/>
          </w:tcPr>
          <w:p w14:paraId="70542D21">
            <w:pPr>
              <w:widowControl/>
              <w:jc w:val="left"/>
              <w:textAlignment w:val="top"/>
              <w:rPr>
                <w:rFonts w:ascii="宋体" w:hAnsi="宋体" w:eastAsia="宋体"/>
                <w:kern w:val="2"/>
                <w:sz w:val="21"/>
                <w:szCs w:val="21"/>
                <w:lang w:eastAsia="zh-CN"/>
              </w:rPr>
            </w:pPr>
            <w:r>
              <w:rPr>
                <w:rFonts w:hint="eastAsia" w:ascii="宋体" w:hAnsi="宋体" w:eastAsia="宋体" w:cstheme="minorBidi"/>
                <w:kern w:val="2"/>
                <w:sz w:val="21"/>
                <w:szCs w:val="21"/>
                <w:lang w:eastAsia="zh-C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17A77E2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8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5B26B0">
            <w:pPr>
              <w:widowControl/>
              <w:jc w:val="center"/>
              <w:textAlignment w:val="top"/>
              <w:rPr>
                <w:rFonts w:ascii="宋体" w:hAnsi="宋体" w:eastAsia="宋体"/>
                <w:kern w:val="2"/>
                <w:sz w:val="21"/>
                <w:szCs w:val="21"/>
                <w:lang w:eastAsia="zh-CN"/>
              </w:rPr>
            </w:pPr>
            <w:r>
              <w:rPr>
                <w:rFonts w:ascii="宋体" w:hAnsi="宋体" w:eastAsia="宋体" w:cs="宋体"/>
                <w:sz w:val="21"/>
                <w:szCs w:val="21"/>
                <w:lang w:eastAsia="zh-CN"/>
              </w:rPr>
              <w:t>5</w:t>
            </w:r>
          </w:p>
        </w:tc>
        <w:tc>
          <w:tcPr>
            <w:tcW w:w="8647" w:type="dxa"/>
            <w:tcBorders>
              <w:top w:val="single" w:color="000000" w:sz="8" w:space="0"/>
              <w:left w:val="single" w:color="000000" w:sz="8" w:space="0"/>
              <w:bottom w:val="single" w:color="000000" w:sz="8" w:space="0"/>
              <w:right w:val="single" w:color="000000" w:sz="8" w:space="0"/>
            </w:tcBorders>
            <w:shd w:val="clear" w:color="auto" w:fill="auto"/>
          </w:tcPr>
          <w:p w14:paraId="5A70A2F5">
            <w:pPr>
              <w:widowControl/>
              <w:jc w:val="left"/>
              <w:textAlignment w:val="top"/>
              <w:rPr>
                <w:rFonts w:ascii="宋体" w:hAnsi="宋体" w:eastAsia="宋体"/>
                <w:kern w:val="2"/>
                <w:sz w:val="21"/>
                <w:szCs w:val="21"/>
                <w:lang w:eastAsia="zh-CN"/>
              </w:rPr>
            </w:pPr>
            <w:r>
              <w:rPr>
                <w:rFonts w:hint="eastAsia" w:ascii="宋体" w:hAnsi="宋体" w:eastAsia="宋体" w:cstheme="minorBidi"/>
                <w:kern w:val="2"/>
                <w:sz w:val="21"/>
                <w:szCs w:val="21"/>
                <w:lang w:eastAsia="zh-C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14:paraId="2997110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8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B61646">
            <w:pPr>
              <w:widowControl/>
              <w:jc w:val="center"/>
              <w:textAlignment w:val="top"/>
              <w:rPr>
                <w:rFonts w:ascii="宋体" w:hAnsi="宋体" w:eastAsia="宋体"/>
                <w:kern w:val="2"/>
                <w:sz w:val="21"/>
                <w:szCs w:val="21"/>
                <w:lang w:eastAsia="zh-CN"/>
              </w:rPr>
            </w:pPr>
            <w:r>
              <w:rPr>
                <w:rFonts w:ascii="宋体" w:hAnsi="宋体" w:eastAsia="宋体" w:cs="宋体"/>
                <w:sz w:val="21"/>
                <w:szCs w:val="21"/>
                <w:lang w:eastAsia="zh-CN"/>
              </w:rPr>
              <w:t>6</w:t>
            </w:r>
          </w:p>
        </w:tc>
        <w:tc>
          <w:tcPr>
            <w:tcW w:w="8647" w:type="dxa"/>
            <w:tcBorders>
              <w:top w:val="single" w:color="000000" w:sz="8" w:space="0"/>
              <w:left w:val="single" w:color="000000" w:sz="8" w:space="0"/>
              <w:bottom w:val="single" w:color="000000" w:sz="8" w:space="0"/>
              <w:right w:val="single" w:color="000000" w:sz="8" w:space="0"/>
            </w:tcBorders>
            <w:shd w:val="clear" w:color="auto" w:fill="auto"/>
          </w:tcPr>
          <w:p w14:paraId="2B3FBD86">
            <w:pPr>
              <w:widowControl/>
              <w:jc w:val="left"/>
              <w:textAlignment w:val="top"/>
              <w:rPr>
                <w:rFonts w:ascii="宋体" w:hAnsi="宋体" w:eastAsia="宋体"/>
                <w:kern w:val="2"/>
                <w:sz w:val="21"/>
                <w:szCs w:val="21"/>
                <w:lang w:eastAsia="zh-CN"/>
              </w:rPr>
            </w:pPr>
            <w:r>
              <w:rPr>
                <w:rFonts w:hint="eastAsia" w:ascii="宋体" w:hAnsi="宋体" w:eastAsia="宋体" w:cstheme="minorBidi"/>
                <w:kern w:val="2"/>
                <w:sz w:val="21"/>
                <w:szCs w:val="21"/>
                <w:lang w:eastAsia="zh-CN"/>
              </w:rPr>
              <w:t>未按招标文件所提供的样式填写《投标函》、《股东构成审查表》；未按招标文件所提供的《龙华区教育局自行采购投标及履约承诺函》进行承诺；未按招标文件对投标文件组成的要求提供投标文件；</w:t>
            </w:r>
          </w:p>
        </w:tc>
      </w:tr>
      <w:tr w14:paraId="29BB72A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8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E1C0FA">
            <w:pPr>
              <w:widowControl/>
              <w:jc w:val="center"/>
              <w:textAlignment w:val="top"/>
              <w:rPr>
                <w:rFonts w:ascii="宋体" w:hAnsi="宋体" w:eastAsia="宋体"/>
                <w:kern w:val="2"/>
                <w:sz w:val="21"/>
                <w:szCs w:val="21"/>
                <w:lang w:eastAsia="zh-CN"/>
              </w:rPr>
            </w:pPr>
            <w:r>
              <w:rPr>
                <w:rFonts w:hint="eastAsia" w:ascii="宋体" w:hAnsi="宋体" w:eastAsia="宋体" w:cstheme="minorBidi"/>
                <w:kern w:val="2"/>
                <w:sz w:val="21"/>
                <w:szCs w:val="21"/>
                <w:lang w:eastAsia="zh-CN"/>
              </w:rPr>
              <w:t>7</w:t>
            </w:r>
          </w:p>
        </w:tc>
        <w:tc>
          <w:tcPr>
            <w:tcW w:w="8647" w:type="dxa"/>
            <w:tcBorders>
              <w:top w:val="single" w:color="000000" w:sz="8" w:space="0"/>
              <w:left w:val="single" w:color="000000" w:sz="8" w:space="0"/>
              <w:bottom w:val="single" w:color="000000" w:sz="8" w:space="0"/>
              <w:right w:val="single" w:color="000000" w:sz="8" w:space="0"/>
            </w:tcBorders>
            <w:shd w:val="clear" w:color="auto" w:fill="auto"/>
          </w:tcPr>
          <w:p w14:paraId="4D1A5FCF">
            <w:pPr>
              <w:widowControl/>
              <w:jc w:val="left"/>
              <w:textAlignment w:val="top"/>
              <w:rPr>
                <w:rFonts w:ascii="宋体" w:hAnsi="宋体" w:eastAsia="宋体"/>
                <w:kern w:val="2"/>
                <w:sz w:val="21"/>
                <w:szCs w:val="21"/>
                <w:lang w:eastAsia="zh-CN"/>
              </w:rPr>
            </w:pPr>
            <w:r>
              <w:rPr>
                <w:rFonts w:hint="eastAsia" w:ascii="宋体" w:hAnsi="宋体" w:eastAsia="宋体" w:cstheme="minorBidi"/>
                <w:kern w:val="2"/>
                <w:sz w:val="21"/>
                <w:szCs w:val="21"/>
                <w:lang w:eastAsia="zh-CN"/>
              </w:rPr>
              <w:t>采购标的/所投产品/货物清单/报价等任意一类有缺漏项或响应不全，或者对招标文件规定的项目需求内容或者需求数量进行修改，评审委员会判定投标响应不满足采购需求；</w:t>
            </w:r>
          </w:p>
        </w:tc>
      </w:tr>
      <w:tr w14:paraId="3730BFA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8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29604B">
            <w:pPr>
              <w:widowControl/>
              <w:jc w:val="center"/>
              <w:textAlignment w:val="top"/>
              <w:rPr>
                <w:rFonts w:ascii="宋体" w:hAnsi="宋体" w:eastAsia="宋体"/>
                <w:kern w:val="2"/>
                <w:sz w:val="21"/>
                <w:szCs w:val="21"/>
                <w:lang w:eastAsia="zh-CN"/>
              </w:rPr>
            </w:pPr>
            <w:r>
              <w:rPr>
                <w:rFonts w:hint="eastAsia" w:ascii="宋体" w:hAnsi="宋体" w:eastAsia="宋体" w:cs="宋体"/>
                <w:sz w:val="21"/>
                <w:szCs w:val="21"/>
                <w:lang w:eastAsia="zh-CN"/>
              </w:rPr>
              <w:t>8</w:t>
            </w:r>
          </w:p>
        </w:tc>
        <w:tc>
          <w:tcPr>
            <w:tcW w:w="8647" w:type="dxa"/>
            <w:tcBorders>
              <w:top w:val="single" w:color="000000" w:sz="8" w:space="0"/>
              <w:left w:val="single" w:color="000000" w:sz="8" w:space="0"/>
              <w:bottom w:val="single" w:color="000000" w:sz="8" w:space="0"/>
              <w:right w:val="single" w:color="000000" w:sz="8" w:space="0"/>
            </w:tcBorders>
            <w:shd w:val="clear" w:color="auto" w:fill="auto"/>
          </w:tcPr>
          <w:p w14:paraId="266C5E41">
            <w:pPr>
              <w:widowControl/>
              <w:jc w:val="left"/>
              <w:textAlignment w:val="top"/>
              <w:rPr>
                <w:rFonts w:ascii="宋体" w:hAnsi="宋体" w:eastAsia="宋体"/>
                <w:kern w:val="2"/>
                <w:sz w:val="21"/>
                <w:szCs w:val="21"/>
                <w:lang w:eastAsia="zh-CN"/>
              </w:rPr>
            </w:pPr>
            <w:r>
              <w:rPr>
                <w:rFonts w:hint="eastAsia" w:ascii="宋体" w:hAnsi="宋体" w:eastAsia="宋体" w:cstheme="minorBidi"/>
                <w:kern w:val="2"/>
                <w:sz w:val="21"/>
                <w:szCs w:val="21"/>
                <w:lang w:eastAsia="zh-CN"/>
              </w:rPr>
              <w:t>投标文件电子文档不得带病毒；</w:t>
            </w:r>
          </w:p>
        </w:tc>
      </w:tr>
      <w:tr w14:paraId="0A3220E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8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E87BFC">
            <w:pPr>
              <w:widowControl/>
              <w:jc w:val="center"/>
              <w:textAlignment w:val="top"/>
              <w:rPr>
                <w:rFonts w:ascii="宋体" w:hAnsi="宋体" w:eastAsia="宋体"/>
                <w:kern w:val="2"/>
                <w:sz w:val="21"/>
                <w:szCs w:val="21"/>
                <w:lang w:eastAsia="zh-CN"/>
              </w:rPr>
            </w:pPr>
            <w:r>
              <w:rPr>
                <w:rFonts w:hint="eastAsia" w:ascii="宋体" w:hAnsi="宋体" w:eastAsia="宋体" w:cs="宋体"/>
                <w:sz w:val="21"/>
                <w:szCs w:val="21"/>
                <w:lang w:eastAsia="zh-CN"/>
              </w:rPr>
              <w:t>9</w:t>
            </w:r>
          </w:p>
        </w:tc>
        <w:tc>
          <w:tcPr>
            <w:tcW w:w="8647" w:type="dxa"/>
            <w:tcBorders>
              <w:top w:val="single" w:color="000000" w:sz="8" w:space="0"/>
              <w:left w:val="single" w:color="000000" w:sz="8" w:space="0"/>
              <w:bottom w:val="single" w:color="000000" w:sz="8" w:space="0"/>
              <w:right w:val="single" w:color="000000" w:sz="8" w:space="0"/>
            </w:tcBorders>
            <w:shd w:val="clear" w:color="auto" w:fill="auto"/>
          </w:tcPr>
          <w:p w14:paraId="4942D38B">
            <w:pPr>
              <w:widowControl/>
              <w:jc w:val="left"/>
              <w:textAlignment w:val="top"/>
              <w:rPr>
                <w:rFonts w:ascii="宋体" w:hAnsi="宋体" w:eastAsia="宋体"/>
                <w:kern w:val="2"/>
                <w:sz w:val="21"/>
                <w:szCs w:val="21"/>
                <w:lang w:eastAsia="zh-CN"/>
              </w:rPr>
            </w:pPr>
            <w:r>
              <w:rPr>
                <w:rFonts w:hint="eastAsia" w:ascii="宋体" w:hAnsi="宋体" w:eastAsia="宋体" w:cstheme="minorBidi"/>
                <w:kern w:val="2"/>
                <w:sz w:val="21"/>
                <w:szCs w:val="21"/>
                <w:lang w:eastAsia="zh-CN"/>
              </w:rPr>
              <w:t>投标文件用不属于本公司的电子密钥进行加密的；</w:t>
            </w:r>
          </w:p>
        </w:tc>
      </w:tr>
      <w:tr w14:paraId="3677F40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280" w:hRule="atLeast"/>
          <w:jc w:val="center"/>
        </w:trPr>
        <w:tc>
          <w:tcPr>
            <w:tcW w:w="78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2E68ED">
            <w:pPr>
              <w:widowControl/>
              <w:jc w:val="center"/>
              <w:textAlignment w:val="top"/>
              <w:rPr>
                <w:rFonts w:ascii="宋体" w:hAnsi="宋体" w:eastAsia="宋体"/>
                <w:kern w:val="2"/>
                <w:sz w:val="21"/>
                <w:szCs w:val="21"/>
                <w:lang w:eastAsia="zh-CN"/>
              </w:rPr>
            </w:pPr>
            <w:r>
              <w:rPr>
                <w:rFonts w:hint="eastAsia" w:ascii="宋体" w:hAnsi="宋体" w:eastAsia="宋体" w:cstheme="minorBidi"/>
                <w:kern w:val="2"/>
                <w:sz w:val="21"/>
                <w:szCs w:val="21"/>
                <w:lang w:eastAsia="zh-CN"/>
              </w:rPr>
              <w:t>10</w:t>
            </w:r>
          </w:p>
        </w:tc>
        <w:tc>
          <w:tcPr>
            <w:tcW w:w="8647" w:type="dxa"/>
            <w:tcBorders>
              <w:top w:val="single" w:color="000000" w:sz="8" w:space="0"/>
              <w:left w:val="single" w:color="000000" w:sz="8" w:space="0"/>
              <w:bottom w:val="single" w:color="000000" w:sz="8" w:space="0"/>
              <w:right w:val="single" w:color="000000" w:sz="8" w:space="0"/>
            </w:tcBorders>
            <w:shd w:val="clear" w:color="auto" w:fill="auto"/>
          </w:tcPr>
          <w:p w14:paraId="1AF9B75A">
            <w:pPr>
              <w:widowControl/>
              <w:jc w:val="left"/>
              <w:textAlignment w:val="top"/>
              <w:rPr>
                <w:rFonts w:ascii="宋体" w:hAnsi="宋体" w:eastAsia="宋体"/>
                <w:kern w:val="2"/>
                <w:sz w:val="21"/>
                <w:szCs w:val="21"/>
                <w:lang w:eastAsia="zh-CN"/>
              </w:rPr>
            </w:pPr>
            <w:r>
              <w:rPr>
                <w:rFonts w:hint="eastAsia" w:ascii="宋体" w:hAnsi="宋体" w:eastAsia="宋体"/>
                <w:kern w:val="2"/>
                <w:sz w:val="21"/>
                <w:szCs w:val="21"/>
                <w:lang w:eastAsia="zh-CN"/>
              </w:rPr>
              <w:t>不同投标供应商投标文件“文件制作机器码”一致；</w:t>
            </w:r>
          </w:p>
        </w:tc>
      </w:tr>
      <w:tr w14:paraId="008D746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8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BA3A64">
            <w:pPr>
              <w:widowControl/>
              <w:jc w:val="center"/>
              <w:textAlignment w:val="top"/>
              <w:rPr>
                <w:rFonts w:ascii="宋体" w:hAnsi="宋体" w:eastAsia="宋体"/>
                <w:kern w:val="2"/>
                <w:sz w:val="21"/>
                <w:szCs w:val="21"/>
                <w:lang w:eastAsia="zh-CN"/>
              </w:rPr>
            </w:pPr>
            <w:r>
              <w:rPr>
                <w:rFonts w:hint="eastAsia" w:ascii="宋体" w:hAnsi="宋体" w:eastAsia="宋体" w:cstheme="minorBidi"/>
                <w:kern w:val="2"/>
                <w:sz w:val="21"/>
                <w:szCs w:val="21"/>
                <w:lang w:eastAsia="zh-CN"/>
              </w:rPr>
              <w:t>11</w:t>
            </w:r>
          </w:p>
        </w:tc>
        <w:tc>
          <w:tcPr>
            <w:tcW w:w="8647" w:type="dxa"/>
            <w:tcBorders>
              <w:top w:val="single" w:color="000000" w:sz="8" w:space="0"/>
              <w:left w:val="single" w:color="000000" w:sz="8" w:space="0"/>
              <w:bottom w:val="single" w:color="000000" w:sz="8" w:space="0"/>
              <w:right w:val="single" w:color="000000" w:sz="8" w:space="0"/>
            </w:tcBorders>
            <w:shd w:val="clear" w:color="auto" w:fill="auto"/>
          </w:tcPr>
          <w:p w14:paraId="76F1B55D">
            <w:pPr>
              <w:widowControl/>
              <w:jc w:val="left"/>
              <w:textAlignment w:val="top"/>
              <w:rPr>
                <w:rFonts w:ascii="宋体" w:hAnsi="宋体" w:eastAsia="宋体"/>
                <w:kern w:val="2"/>
                <w:sz w:val="21"/>
                <w:szCs w:val="21"/>
                <w:lang w:eastAsia="zh-CN"/>
              </w:rPr>
            </w:pPr>
            <w:r>
              <w:rPr>
                <w:rFonts w:hint="eastAsia" w:ascii="宋体" w:hAnsi="宋体" w:eastAsia="宋体"/>
                <w:kern w:val="2"/>
                <w:sz w:val="21"/>
                <w:szCs w:val="21"/>
                <w:lang w:eastAsia="zh-CN"/>
              </w:rPr>
              <w:t>不同投标供应商投标文件“文件创建标识码”一致；</w:t>
            </w:r>
          </w:p>
        </w:tc>
      </w:tr>
      <w:tr w14:paraId="203B749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8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DFC235">
            <w:pPr>
              <w:widowControl/>
              <w:jc w:val="center"/>
              <w:textAlignment w:val="top"/>
              <w:rPr>
                <w:rFonts w:ascii="宋体" w:hAnsi="宋体" w:eastAsia="宋体"/>
                <w:kern w:val="2"/>
                <w:sz w:val="21"/>
                <w:szCs w:val="21"/>
                <w:lang w:eastAsia="zh-CN"/>
              </w:rPr>
            </w:pPr>
            <w:r>
              <w:rPr>
                <w:rFonts w:hint="eastAsia" w:ascii="宋体" w:hAnsi="宋体" w:eastAsia="宋体" w:cs="宋体"/>
                <w:sz w:val="21"/>
                <w:szCs w:val="21"/>
                <w:lang w:eastAsia="zh-CN"/>
              </w:rPr>
              <w:t>12</w:t>
            </w:r>
          </w:p>
        </w:tc>
        <w:tc>
          <w:tcPr>
            <w:tcW w:w="8647" w:type="dxa"/>
            <w:tcBorders>
              <w:top w:val="single" w:color="000000" w:sz="8" w:space="0"/>
              <w:left w:val="single" w:color="000000" w:sz="8" w:space="0"/>
              <w:bottom w:val="single" w:color="000000" w:sz="8" w:space="0"/>
              <w:right w:val="single" w:color="000000" w:sz="8" w:space="0"/>
            </w:tcBorders>
            <w:shd w:val="clear" w:color="auto" w:fill="auto"/>
          </w:tcPr>
          <w:p w14:paraId="3FF32B43">
            <w:pPr>
              <w:widowControl/>
              <w:jc w:val="left"/>
              <w:textAlignment w:val="top"/>
              <w:rPr>
                <w:rFonts w:ascii="宋体" w:hAnsi="宋体" w:eastAsia="宋体"/>
                <w:kern w:val="2"/>
                <w:sz w:val="21"/>
                <w:szCs w:val="21"/>
                <w:lang w:eastAsia="zh-CN"/>
              </w:rPr>
            </w:pPr>
            <w:r>
              <w:rPr>
                <w:rFonts w:hint="eastAsia" w:ascii="宋体" w:hAnsi="宋体" w:eastAsia="宋体" w:cstheme="minorBidi"/>
                <w:kern w:val="2"/>
                <w:sz w:val="21"/>
                <w:szCs w:val="21"/>
                <w:lang w:eastAsia="zh-CN"/>
              </w:rPr>
              <w:t>法律、法规、规章、规范性文件规定的其他情形。</w:t>
            </w:r>
          </w:p>
        </w:tc>
      </w:tr>
    </w:tbl>
    <w:p w14:paraId="5070413C">
      <w:pPr>
        <w:widowControl w:val="0"/>
        <w:tabs>
          <w:tab w:val="left" w:pos="2790"/>
        </w:tabs>
        <w:snapToGrid w:val="0"/>
        <w:jc w:val="left"/>
        <w:rPr>
          <w:rFonts w:ascii="Calibri" w:hAnsi="Calibri" w:eastAsia="宋体"/>
          <w:kern w:val="2"/>
          <w:lang w:eastAsia="zh-CN"/>
        </w:rPr>
      </w:pPr>
    </w:p>
    <w:p w14:paraId="477BA570">
      <w:pPr>
        <w:widowControl w:val="0"/>
        <w:tabs>
          <w:tab w:val="left" w:pos="2790"/>
        </w:tabs>
        <w:snapToGrid w:val="0"/>
        <w:jc w:val="left"/>
        <w:rPr>
          <w:rFonts w:ascii="Calibri" w:hAnsi="Calibri" w:eastAsia="宋体"/>
          <w:kern w:val="2"/>
          <w:lang w:eastAsia="zh-CN"/>
        </w:rPr>
      </w:pPr>
    </w:p>
    <w:p w14:paraId="5EA28110">
      <w:pPr>
        <w:widowControl w:val="0"/>
        <w:tabs>
          <w:tab w:val="left" w:pos="2790"/>
        </w:tabs>
        <w:snapToGrid w:val="0"/>
        <w:jc w:val="left"/>
        <w:rPr>
          <w:rFonts w:ascii="Calibri" w:hAnsi="Calibri" w:eastAsia="宋体"/>
          <w:kern w:val="2"/>
          <w:lang w:eastAsia="zh-CN"/>
        </w:rPr>
      </w:pPr>
    </w:p>
    <w:p w14:paraId="6BBF4078">
      <w:pPr>
        <w:widowControl w:val="0"/>
        <w:tabs>
          <w:tab w:val="left" w:pos="2790"/>
        </w:tabs>
        <w:snapToGrid w:val="0"/>
        <w:jc w:val="left"/>
        <w:rPr>
          <w:rFonts w:ascii="Calibri" w:hAnsi="Calibri" w:eastAsia="宋体"/>
          <w:kern w:val="2"/>
          <w:lang w:eastAsia="zh-CN"/>
        </w:rPr>
      </w:pPr>
    </w:p>
    <w:p w14:paraId="06A733B4">
      <w:pPr>
        <w:widowControl w:val="0"/>
        <w:tabs>
          <w:tab w:val="left" w:pos="2790"/>
        </w:tabs>
        <w:snapToGrid w:val="0"/>
        <w:jc w:val="left"/>
        <w:rPr>
          <w:rFonts w:ascii="Calibri" w:hAnsi="Calibri" w:eastAsia="宋体"/>
          <w:kern w:val="2"/>
          <w:lang w:eastAsia="zh-CN"/>
        </w:rPr>
      </w:pPr>
    </w:p>
    <w:p w14:paraId="56BE18F4">
      <w:pPr>
        <w:widowControl w:val="0"/>
        <w:tabs>
          <w:tab w:val="left" w:pos="2790"/>
        </w:tabs>
        <w:snapToGrid w:val="0"/>
        <w:jc w:val="left"/>
        <w:rPr>
          <w:rFonts w:ascii="Calibri" w:hAnsi="Calibri" w:eastAsia="宋体"/>
          <w:kern w:val="2"/>
          <w:lang w:eastAsia="zh-CN"/>
        </w:rPr>
      </w:pPr>
    </w:p>
    <w:p w14:paraId="79836D11">
      <w:pPr>
        <w:widowControl w:val="0"/>
        <w:tabs>
          <w:tab w:val="left" w:pos="2790"/>
        </w:tabs>
        <w:snapToGrid w:val="0"/>
        <w:jc w:val="left"/>
        <w:rPr>
          <w:rFonts w:ascii="Calibri" w:hAnsi="Calibri" w:eastAsia="宋体"/>
          <w:kern w:val="2"/>
          <w:lang w:eastAsia="zh-CN"/>
        </w:rPr>
      </w:pPr>
    </w:p>
    <w:p w14:paraId="3C89DB52">
      <w:pPr>
        <w:widowControl w:val="0"/>
        <w:tabs>
          <w:tab w:val="left" w:pos="2790"/>
        </w:tabs>
        <w:snapToGrid w:val="0"/>
        <w:jc w:val="left"/>
        <w:rPr>
          <w:rFonts w:ascii="Calibri" w:hAnsi="Calibri" w:eastAsia="宋体"/>
          <w:kern w:val="2"/>
          <w:lang w:eastAsia="zh-CN"/>
        </w:rPr>
      </w:pPr>
    </w:p>
    <w:p w14:paraId="6AE27610">
      <w:pPr>
        <w:widowControl w:val="0"/>
        <w:tabs>
          <w:tab w:val="left" w:pos="2790"/>
        </w:tabs>
        <w:snapToGrid w:val="0"/>
        <w:jc w:val="left"/>
        <w:rPr>
          <w:rFonts w:ascii="Calibri" w:hAnsi="Calibri" w:eastAsia="宋体"/>
          <w:kern w:val="2"/>
          <w:lang w:eastAsia="zh-CN"/>
        </w:rPr>
      </w:pPr>
    </w:p>
    <w:p w14:paraId="6C249F70">
      <w:pPr>
        <w:widowControl w:val="0"/>
        <w:tabs>
          <w:tab w:val="left" w:pos="2790"/>
        </w:tabs>
        <w:snapToGrid w:val="0"/>
        <w:jc w:val="left"/>
        <w:rPr>
          <w:rFonts w:ascii="Calibri" w:hAnsi="Calibri" w:eastAsia="宋体"/>
          <w:kern w:val="2"/>
          <w:lang w:eastAsia="zh-CN"/>
        </w:rPr>
      </w:pPr>
    </w:p>
    <w:p w14:paraId="62D91905">
      <w:pPr>
        <w:widowControl w:val="0"/>
        <w:tabs>
          <w:tab w:val="left" w:pos="2790"/>
        </w:tabs>
        <w:snapToGrid w:val="0"/>
        <w:jc w:val="left"/>
        <w:rPr>
          <w:rFonts w:ascii="Calibri" w:hAnsi="Calibri" w:eastAsia="宋体"/>
          <w:kern w:val="2"/>
          <w:lang w:eastAsia="zh-CN"/>
        </w:rPr>
      </w:pPr>
    </w:p>
    <w:p w14:paraId="3A820EB3">
      <w:pPr>
        <w:widowControl w:val="0"/>
        <w:tabs>
          <w:tab w:val="left" w:pos="2790"/>
        </w:tabs>
        <w:snapToGrid w:val="0"/>
        <w:jc w:val="left"/>
        <w:rPr>
          <w:rFonts w:ascii="Calibri" w:hAnsi="Calibri" w:eastAsia="宋体"/>
          <w:kern w:val="2"/>
          <w:lang w:eastAsia="zh-CN"/>
        </w:rPr>
      </w:pPr>
    </w:p>
    <w:p w14:paraId="18D73D33">
      <w:pPr>
        <w:widowControl w:val="0"/>
        <w:tabs>
          <w:tab w:val="left" w:pos="2790"/>
        </w:tabs>
        <w:snapToGrid w:val="0"/>
        <w:jc w:val="left"/>
        <w:rPr>
          <w:rFonts w:ascii="Calibri" w:hAnsi="Calibri" w:eastAsia="宋体"/>
          <w:kern w:val="2"/>
          <w:lang w:eastAsia="zh-CN"/>
        </w:rPr>
      </w:pPr>
    </w:p>
    <w:p w14:paraId="7D947B36">
      <w:pPr>
        <w:widowControl w:val="0"/>
        <w:tabs>
          <w:tab w:val="left" w:pos="2790"/>
        </w:tabs>
        <w:snapToGrid w:val="0"/>
        <w:jc w:val="left"/>
        <w:rPr>
          <w:rFonts w:ascii="Calibri" w:hAnsi="Calibri" w:eastAsia="宋体"/>
          <w:kern w:val="2"/>
          <w:lang w:eastAsia="zh-CN"/>
        </w:rPr>
      </w:pPr>
    </w:p>
    <w:p w14:paraId="4B9129A0">
      <w:pPr>
        <w:widowControl w:val="0"/>
        <w:tabs>
          <w:tab w:val="left" w:pos="2790"/>
        </w:tabs>
        <w:snapToGrid w:val="0"/>
        <w:jc w:val="left"/>
        <w:rPr>
          <w:rFonts w:ascii="Calibri" w:hAnsi="Calibri" w:eastAsia="宋体"/>
          <w:kern w:val="2"/>
          <w:lang w:eastAsia="zh-CN"/>
        </w:rPr>
      </w:pPr>
    </w:p>
    <w:p w14:paraId="6B4D75D3">
      <w:pPr>
        <w:widowControl w:val="0"/>
        <w:tabs>
          <w:tab w:val="left" w:pos="2790"/>
        </w:tabs>
        <w:snapToGrid w:val="0"/>
        <w:jc w:val="left"/>
        <w:rPr>
          <w:rFonts w:ascii="Calibri" w:hAnsi="Calibri" w:eastAsia="宋体"/>
          <w:kern w:val="2"/>
          <w:lang w:eastAsia="zh-CN"/>
        </w:rPr>
      </w:pPr>
    </w:p>
    <w:p w14:paraId="5C2A407B">
      <w:pPr>
        <w:widowControl w:val="0"/>
        <w:tabs>
          <w:tab w:val="left" w:pos="2790"/>
        </w:tabs>
        <w:snapToGrid w:val="0"/>
        <w:jc w:val="left"/>
        <w:rPr>
          <w:rFonts w:ascii="Calibri" w:hAnsi="Calibri" w:eastAsia="宋体"/>
          <w:kern w:val="2"/>
          <w:lang w:eastAsia="zh-CN"/>
        </w:rPr>
      </w:pPr>
    </w:p>
    <w:p w14:paraId="27176A01">
      <w:pPr>
        <w:widowControl w:val="0"/>
        <w:tabs>
          <w:tab w:val="left" w:pos="2790"/>
        </w:tabs>
        <w:snapToGrid w:val="0"/>
        <w:jc w:val="left"/>
        <w:rPr>
          <w:rFonts w:ascii="Calibri" w:hAnsi="Calibri" w:eastAsia="宋体"/>
          <w:kern w:val="2"/>
          <w:lang w:eastAsia="zh-CN"/>
        </w:rPr>
      </w:pPr>
    </w:p>
    <w:p w14:paraId="44CF8CFD">
      <w:pPr>
        <w:widowControl w:val="0"/>
        <w:tabs>
          <w:tab w:val="left" w:pos="2790"/>
        </w:tabs>
        <w:snapToGrid w:val="0"/>
        <w:jc w:val="left"/>
        <w:rPr>
          <w:rFonts w:ascii="Calibri" w:hAnsi="Calibri" w:eastAsia="宋体"/>
          <w:kern w:val="2"/>
          <w:lang w:eastAsia="zh-CN"/>
        </w:rPr>
      </w:pPr>
    </w:p>
    <w:p w14:paraId="737A6E7E">
      <w:pPr>
        <w:widowControl w:val="0"/>
        <w:tabs>
          <w:tab w:val="left" w:pos="2790"/>
        </w:tabs>
        <w:snapToGrid w:val="0"/>
        <w:jc w:val="left"/>
        <w:rPr>
          <w:rFonts w:ascii="Calibri" w:hAnsi="Calibri" w:eastAsia="宋体"/>
          <w:kern w:val="2"/>
          <w:lang w:eastAsia="zh-CN"/>
        </w:rPr>
      </w:pPr>
    </w:p>
    <w:p w14:paraId="1BA10ADB">
      <w:pPr>
        <w:widowControl w:val="0"/>
        <w:tabs>
          <w:tab w:val="left" w:pos="2790"/>
        </w:tabs>
        <w:snapToGrid w:val="0"/>
        <w:jc w:val="left"/>
        <w:rPr>
          <w:rFonts w:ascii="Calibri" w:hAnsi="Calibri" w:eastAsia="宋体"/>
          <w:kern w:val="2"/>
          <w:lang w:eastAsia="zh-CN"/>
        </w:rPr>
      </w:pPr>
    </w:p>
    <w:p w14:paraId="27E684DB">
      <w:pPr>
        <w:widowControl w:val="0"/>
        <w:tabs>
          <w:tab w:val="left" w:pos="2790"/>
        </w:tabs>
        <w:snapToGrid w:val="0"/>
        <w:jc w:val="left"/>
        <w:rPr>
          <w:rFonts w:ascii="Calibri" w:hAnsi="Calibri" w:eastAsia="宋体"/>
          <w:kern w:val="2"/>
          <w:lang w:eastAsia="zh-CN"/>
        </w:rPr>
      </w:pPr>
    </w:p>
    <w:p w14:paraId="583D6DD9">
      <w:pPr>
        <w:widowControl w:val="0"/>
        <w:tabs>
          <w:tab w:val="left" w:pos="2790"/>
        </w:tabs>
        <w:snapToGrid w:val="0"/>
        <w:jc w:val="left"/>
        <w:rPr>
          <w:rFonts w:ascii="Calibri" w:hAnsi="Calibri" w:eastAsia="宋体"/>
          <w:kern w:val="2"/>
          <w:lang w:eastAsia="zh-CN"/>
        </w:rPr>
      </w:pPr>
    </w:p>
    <w:p w14:paraId="426E28FD">
      <w:pPr>
        <w:widowControl w:val="0"/>
        <w:tabs>
          <w:tab w:val="left" w:pos="2790"/>
        </w:tabs>
        <w:snapToGrid w:val="0"/>
        <w:jc w:val="left"/>
        <w:rPr>
          <w:rFonts w:ascii="Calibri" w:hAnsi="Calibri" w:eastAsia="宋体"/>
          <w:kern w:val="2"/>
          <w:lang w:eastAsia="zh-CN"/>
        </w:rPr>
      </w:pPr>
    </w:p>
    <w:p w14:paraId="39C14276">
      <w:pPr>
        <w:widowControl w:val="0"/>
        <w:tabs>
          <w:tab w:val="left" w:pos="2790"/>
        </w:tabs>
        <w:snapToGrid w:val="0"/>
        <w:jc w:val="left"/>
        <w:rPr>
          <w:rFonts w:ascii="Calibri" w:hAnsi="Calibri" w:eastAsia="宋体"/>
          <w:kern w:val="2"/>
          <w:lang w:eastAsia="zh-CN"/>
        </w:rPr>
      </w:pPr>
    </w:p>
    <w:p w14:paraId="4409D076">
      <w:pPr>
        <w:widowControl w:val="0"/>
        <w:tabs>
          <w:tab w:val="left" w:pos="2790"/>
        </w:tabs>
        <w:snapToGrid w:val="0"/>
        <w:jc w:val="left"/>
        <w:rPr>
          <w:rFonts w:ascii="Calibri" w:hAnsi="Calibri" w:eastAsia="宋体"/>
          <w:kern w:val="2"/>
          <w:lang w:eastAsia="zh-CN"/>
        </w:rPr>
      </w:pPr>
    </w:p>
    <w:p w14:paraId="3CB6CF9F">
      <w:pPr>
        <w:widowControl w:val="0"/>
        <w:tabs>
          <w:tab w:val="left" w:pos="2790"/>
        </w:tabs>
        <w:snapToGrid w:val="0"/>
        <w:jc w:val="left"/>
        <w:rPr>
          <w:rFonts w:ascii="Calibri" w:hAnsi="Calibri" w:eastAsia="宋体"/>
          <w:kern w:val="2"/>
          <w:lang w:eastAsia="zh-CN"/>
        </w:rPr>
      </w:pPr>
    </w:p>
    <w:p w14:paraId="02D6836B">
      <w:pPr>
        <w:widowControl w:val="0"/>
        <w:tabs>
          <w:tab w:val="left" w:pos="2790"/>
        </w:tabs>
        <w:snapToGrid w:val="0"/>
        <w:jc w:val="left"/>
        <w:rPr>
          <w:rFonts w:ascii="Calibri" w:hAnsi="Calibri" w:eastAsia="宋体"/>
          <w:kern w:val="2"/>
          <w:lang w:eastAsia="zh-CN"/>
        </w:rPr>
      </w:pPr>
    </w:p>
    <w:p w14:paraId="43B23868">
      <w:pPr>
        <w:widowControl w:val="0"/>
        <w:tabs>
          <w:tab w:val="left" w:pos="2790"/>
        </w:tabs>
        <w:snapToGrid w:val="0"/>
        <w:jc w:val="left"/>
        <w:rPr>
          <w:rFonts w:ascii="Calibri" w:hAnsi="Calibri" w:eastAsia="宋体"/>
          <w:kern w:val="2"/>
          <w:lang w:eastAsia="zh-CN"/>
        </w:rPr>
      </w:pPr>
    </w:p>
    <w:p w14:paraId="1621C734">
      <w:pPr>
        <w:widowControl w:val="0"/>
        <w:tabs>
          <w:tab w:val="left" w:pos="2790"/>
        </w:tabs>
        <w:snapToGrid w:val="0"/>
        <w:jc w:val="left"/>
        <w:rPr>
          <w:rFonts w:ascii="Calibri" w:hAnsi="Calibri" w:eastAsia="宋体"/>
          <w:kern w:val="2"/>
          <w:lang w:eastAsia="zh-CN"/>
        </w:rPr>
      </w:pPr>
    </w:p>
    <w:p w14:paraId="09236C74">
      <w:pPr>
        <w:widowControl w:val="0"/>
        <w:tabs>
          <w:tab w:val="left" w:pos="2790"/>
        </w:tabs>
        <w:snapToGrid w:val="0"/>
        <w:jc w:val="left"/>
        <w:rPr>
          <w:rFonts w:ascii="Calibri" w:hAnsi="Calibri" w:eastAsia="宋体"/>
          <w:kern w:val="2"/>
          <w:lang w:eastAsia="zh-CN"/>
        </w:rPr>
      </w:pPr>
    </w:p>
    <w:p w14:paraId="3BBE57D6">
      <w:pPr>
        <w:widowControl w:val="0"/>
        <w:tabs>
          <w:tab w:val="left" w:pos="2790"/>
        </w:tabs>
        <w:snapToGrid w:val="0"/>
        <w:jc w:val="left"/>
        <w:rPr>
          <w:rFonts w:ascii="Calibri" w:hAnsi="Calibri" w:eastAsia="宋体"/>
          <w:kern w:val="2"/>
          <w:lang w:eastAsia="zh-CN"/>
        </w:rPr>
      </w:pPr>
    </w:p>
    <w:p w14:paraId="1F6EF348">
      <w:pPr>
        <w:widowControl w:val="0"/>
        <w:tabs>
          <w:tab w:val="left" w:pos="2790"/>
        </w:tabs>
        <w:snapToGrid w:val="0"/>
        <w:jc w:val="left"/>
        <w:rPr>
          <w:rFonts w:ascii="Calibri" w:hAnsi="Calibri" w:eastAsia="宋体"/>
          <w:kern w:val="2"/>
          <w:lang w:eastAsia="zh-CN"/>
        </w:rPr>
      </w:pPr>
    </w:p>
    <w:p w14:paraId="492D5294">
      <w:pPr>
        <w:widowControl w:val="0"/>
        <w:tabs>
          <w:tab w:val="left" w:pos="2790"/>
        </w:tabs>
        <w:snapToGrid w:val="0"/>
        <w:jc w:val="left"/>
        <w:rPr>
          <w:rFonts w:ascii="Calibri" w:hAnsi="Calibri" w:eastAsia="宋体"/>
          <w:kern w:val="2"/>
          <w:lang w:eastAsia="zh-CN"/>
        </w:rPr>
      </w:pPr>
    </w:p>
    <w:p w14:paraId="353D82B4">
      <w:pPr>
        <w:widowControl w:val="0"/>
        <w:tabs>
          <w:tab w:val="left" w:pos="2790"/>
        </w:tabs>
        <w:snapToGrid w:val="0"/>
        <w:jc w:val="left"/>
        <w:rPr>
          <w:rFonts w:hint="eastAsia" w:ascii="Calibri" w:hAnsi="Calibri" w:eastAsia="宋体"/>
          <w:kern w:val="2"/>
          <w:lang w:eastAsia="zh-CN"/>
        </w:rPr>
      </w:pPr>
    </w:p>
    <w:p w14:paraId="17E9710C">
      <w:pPr>
        <w:widowControl w:val="0"/>
        <w:spacing w:line="360" w:lineRule="auto"/>
        <w:jc w:val="both"/>
        <w:rPr>
          <w:rFonts w:hint="eastAsia" w:ascii="Calibri" w:hAnsi="Calibri" w:eastAsia="宋体"/>
          <w:b/>
          <w:bCs/>
          <w:kern w:val="2"/>
          <w:lang w:eastAsia="zh-CN"/>
        </w:rPr>
      </w:pPr>
    </w:p>
    <w:p w14:paraId="113E7EF4">
      <w:pPr>
        <w:widowControl w:val="0"/>
        <w:spacing w:line="360" w:lineRule="auto"/>
        <w:jc w:val="both"/>
        <w:rPr>
          <w:rFonts w:hint="eastAsia" w:ascii="Calibri" w:hAnsi="Calibri" w:eastAsia="宋体"/>
          <w:b/>
          <w:bCs/>
          <w:kern w:val="2"/>
          <w:lang w:eastAsia="zh-CN"/>
        </w:rPr>
      </w:pPr>
    </w:p>
    <w:p w14:paraId="67425C21">
      <w:pPr>
        <w:widowControl w:val="0"/>
        <w:spacing w:line="360" w:lineRule="auto"/>
        <w:jc w:val="both"/>
        <w:rPr>
          <w:rFonts w:hint="eastAsia" w:ascii="Calibri" w:hAnsi="Calibri" w:eastAsia="宋体"/>
          <w:b/>
          <w:bCs/>
          <w:kern w:val="2"/>
          <w:lang w:eastAsia="zh-CN"/>
        </w:rPr>
      </w:pPr>
    </w:p>
    <w:p w14:paraId="5220ECD6">
      <w:pPr>
        <w:widowControl/>
        <w:spacing w:before="100" w:beforeAutospacing="1" w:afterAutospacing="1"/>
        <w:jc w:val="center"/>
        <w:outlineLvl w:val="0"/>
        <w:rPr>
          <w:rFonts w:ascii="黑体" w:hAnsi="宋体" w:eastAsia="黑体"/>
          <w:kern w:val="2"/>
          <w:sz w:val="40"/>
          <w:szCs w:val="40"/>
          <w:lang w:eastAsia="zh-CN"/>
        </w:rPr>
      </w:pPr>
      <w:r>
        <w:rPr>
          <w:rFonts w:hint="eastAsia" w:ascii="黑体" w:hAnsi="黑体" w:eastAsia="黑体" w:cstheme="minorBidi"/>
          <w:kern w:val="2"/>
          <w:sz w:val="40"/>
          <w:szCs w:val="40"/>
          <w:lang w:eastAsia="zh-CN"/>
        </w:rPr>
        <w:t>评标信息</w:t>
      </w:r>
    </w:p>
    <w:tbl>
      <w:tblPr>
        <w:tblStyle w:val="7"/>
        <w:tblW w:w="5000" w:type="pct"/>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5" w:type="dxa"/>
          <w:left w:w="45" w:type="dxa"/>
          <w:bottom w:w="45" w:type="dxa"/>
          <w:right w:w="45" w:type="dxa"/>
        </w:tblCellMar>
      </w:tblPr>
      <w:tblGrid>
        <w:gridCol w:w="8730"/>
      </w:tblGrid>
      <w:tr w14:paraId="2674C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45" w:type="dxa"/>
            <w:bottom w:w="45" w:type="dxa"/>
            <w:right w:w="45" w:type="dxa"/>
          </w:tblCellMar>
        </w:tblPrEx>
        <w:trPr>
          <w:tblCellSpacing w:w="0" w:type="dxa"/>
          <w:jc w:val="center"/>
        </w:trPr>
        <w:tc>
          <w:tcPr>
            <w:tcW w:w="9078" w:type="dxa"/>
            <w:shd w:val="clear" w:color="auto" w:fill="auto"/>
            <w:vAlign w:val="center"/>
          </w:tcPr>
          <w:p w14:paraId="31978EF9">
            <w:pPr>
              <w:widowControl w:val="0"/>
              <w:jc w:val="left"/>
              <w:rPr>
                <w:rFonts w:ascii="宋体" w:hAnsi="Calibri" w:eastAsia="宋体"/>
                <w:b/>
                <w:bCs/>
                <w:kern w:val="2"/>
                <w:szCs w:val="22"/>
                <w:lang w:eastAsia="zh-CN"/>
              </w:rPr>
            </w:pPr>
            <w:r>
              <w:rPr>
                <w:rFonts w:ascii="Calibri" w:hAnsi="Calibri" w:eastAsia="宋体" w:cstheme="minorBidi"/>
                <w:b/>
                <w:bCs/>
                <w:kern w:val="2"/>
                <w:sz w:val="21"/>
                <w:szCs w:val="22"/>
                <w:lang w:eastAsia="zh-CN"/>
              </w:rPr>
              <w:t>评标方法：综合评分法</w:t>
            </w:r>
          </w:p>
        </w:tc>
      </w:tr>
      <w:tr w14:paraId="2047B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45" w:type="dxa"/>
            <w:bottom w:w="45" w:type="dxa"/>
            <w:right w:w="45" w:type="dxa"/>
          </w:tblCellMar>
        </w:tblPrEx>
        <w:trPr>
          <w:tblCellSpacing w:w="0" w:type="dxa"/>
          <w:jc w:val="center"/>
        </w:trPr>
        <w:tc>
          <w:tcPr>
            <w:tcW w:w="9078" w:type="dxa"/>
            <w:shd w:val="clear" w:color="auto" w:fill="auto"/>
            <w:vAlign w:val="center"/>
          </w:tcPr>
          <w:p w14:paraId="0A683AD3">
            <w:pPr>
              <w:widowControl w:val="0"/>
              <w:ind w:firstLine="420"/>
              <w:jc w:val="both"/>
              <w:rPr>
                <w:rFonts w:ascii="Calibri" w:hAnsi="Calibri" w:eastAsia="宋体"/>
                <w:kern w:val="2"/>
                <w:sz w:val="21"/>
                <w:szCs w:val="21"/>
                <w:lang w:eastAsia="zh-CN"/>
              </w:rPr>
            </w:pPr>
            <w:r>
              <w:rPr>
                <w:rFonts w:ascii="Calibri" w:hAnsi="Calibri" w:eastAsia="宋体" w:cstheme="minorBidi"/>
                <w:kern w:val="2"/>
                <w:sz w:val="21"/>
                <w:szCs w:val="21"/>
                <w:lang w:eastAsia="zh-CN"/>
              </w:rPr>
              <w:t>综合评分法，</w:t>
            </w:r>
            <w:r>
              <w:rPr>
                <w:rFonts w:hint="eastAsia" w:ascii="Calibri" w:hAnsi="Calibri" w:eastAsia="宋体" w:cstheme="minorBidi"/>
                <w:kern w:val="2"/>
                <w:sz w:val="21"/>
                <w:szCs w:val="21"/>
                <w:lang w:eastAsia="zh-CN"/>
              </w:rPr>
              <w:t>是指投标文件满足招标文件全部实质性要求，且按照评审因素的量化指标评审得分排名前列</w:t>
            </w:r>
            <w:r>
              <w:rPr>
                <w:rFonts w:ascii="Calibri" w:hAnsi="Calibri" w:eastAsia="宋体" w:cstheme="minorBidi"/>
                <w:kern w:val="2"/>
                <w:sz w:val="21"/>
                <w:szCs w:val="21"/>
                <w:lang w:eastAsia="zh-CN"/>
              </w:rPr>
              <w:t>的投标人为中标候选人的评标方法。</w:t>
            </w:r>
          </w:p>
          <w:p w14:paraId="73870397">
            <w:pPr>
              <w:widowControl w:val="0"/>
              <w:ind w:firstLine="420"/>
              <w:jc w:val="both"/>
              <w:rPr>
                <w:rFonts w:ascii="Calibri" w:hAnsi="Calibri" w:eastAsia="宋体"/>
                <w:kern w:val="2"/>
                <w:sz w:val="21"/>
                <w:szCs w:val="22"/>
                <w:lang w:eastAsia="zh-CN"/>
              </w:rPr>
            </w:pPr>
          </w:p>
          <w:p w14:paraId="12051914">
            <w:pPr>
              <w:widowControl w:val="0"/>
              <w:ind w:firstLine="420"/>
              <w:jc w:val="both"/>
              <w:rPr>
                <w:rFonts w:ascii="Calibri" w:hAnsi="Calibri" w:eastAsia="宋体"/>
                <w:kern w:val="2"/>
                <w:sz w:val="21"/>
                <w:szCs w:val="21"/>
                <w:lang w:eastAsia="zh-CN"/>
              </w:rPr>
            </w:pPr>
            <w:r>
              <w:rPr>
                <w:rFonts w:ascii="Calibri" w:hAnsi="Calibri" w:eastAsia="宋体" w:cstheme="minorBidi"/>
                <w:kern w:val="2"/>
                <w:sz w:val="21"/>
                <w:szCs w:val="21"/>
                <w:lang w:eastAsia="zh-CN"/>
              </w:rPr>
              <w:t>价格分计算方法：</w:t>
            </w:r>
          </w:p>
          <w:p w14:paraId="66919075">
            <w:pPr>
              <w:widowControl/>
              <w:spacing w:before="100" w:beforeAutospacing="0" w:afterAutospacing="0"/>
              <w:ind w:left="420"/>
              <w:jc w:val="left"/>
              <w:rPr>
                <w:rFonts w:hint="eastAsia" w:ascii="宋体" w:hAnsi="宋体" w:eastAsia="宋体"/>
                <w:kern w:val="2"/>
                <w:sz w:val="21"/>
                <w:szCs w:val="21"/>
                <w:lang w:eastAsia="zh-CN"/>
              </w:rPr>
            </w:pPr>
            <w:r>
              <w:rPr>
                <w:rFonts w:ascii="宋体" w:hAnsi="宋体" w:eastAsia="宋体" w:cstheme="minorBidi"/>
                <w:kern w:val="2"/>
                <w:sz w:val="21"/>
                <w:szCs w:val="21"/>
                <w:lang w:eastAsia="zh-CN"/>
              </w:rPr>
              <w:t>采用低价优先法计算，即满足招标文件要求且投标价格最低的投标报价为评标基准价，其价格分为满分。其他投标人的价格分统一按照下列公式计算：</w:t>
            </w:r>
          </w:p>
          <w:p w14:paraId="08E7A24F">
            <w:pPr>
              <w:widowControl/>
              <w:spacing w:before="100" w:beforeAutospacing="0" w:afterAutospacing="0"/>
              <w:ind w:left="420"/>
              <w:jc w:val="left"/>
              <w:rPr>
                <w:rFonts w:hint="eastAsia" w:ascii="宋体" w:hAnsi="宋体" w:eastAsia="宋体"/>
                <w:kern w:val="2"/>
                <w:sz w:val="21"/>
                <w:szCs w:val="21"/>
                <w:lang w:eastAsia="zh-CN"/>
              </w:rPr>
            </w:pPr>
            <w:r>
              <w:rPr>
                <w:rFonts w:ascii="宋体" w:hAnsi="宋体" w:eastAsia="宋体" w:cstheme="minorBidi"/>
                <w:kern w:val="2"/>
                <w:sz w:val="21"/>
                <w:szCs w:val="21"/>
                <w:lang w:eastAsia="zh-CN"/>
              </w:rPr>
              <w:t>投标报价得分=(评标基准价／投标报价)×100</w:t>
            </w:r>
          </w:p>
          <w:p w14:paraId="64198E9D">
            <w:pPr>
              <w:widowControl/>
              <w:spacing w:before="100" w:beforeAutospacing="0" w:afterAutospacing="0"/>
              <w:ind w:left="420"/>
              <w:jc w:val="left"/>
              <w:rPr>
                <w:rFonts w:hint="eastAsia" w:ascii="宋体" w:hAnsi="宋体" w:eastAsia="宋体"/>
                <w:kern w:val="2"/>
                <w:sz w:val="21"/>
                <w:szCs w:val="21"/>
                <w:lang w:eastAsia="zh-CN"/>
              </w:rPr>
            </w:pPr>
            <w:r>
              <w:rPr>
                <w:rFonts w:ascii="宋体" w:hAnsi="宋体" w:eastAsia="宋体" w:cstheme="minorBidi"/>
                <w:kern w:val="2"/>
                <w:sz w:val="21"/>
                <w:szCs w:val="21"/>
                <w:lang w:eastAsia="zh-CN"/>
              </w:rPr>
              <w:t>评标总得分＝F1×A1＋F2×A2＋……＋Fn×An</w:t>
            </w:r>
          </w:p>
          <w:p w14:paraId="5DFD4809">
            <w:pPr>
              <w:widowControl/>
              <w:spacing w:before="100" w:beforeAutospacing="0" w:afterAutospacing="0"/>
              <w:ind w:left="420"/>
              <w:jc w:val="left"/>
              <w:rPr>
                <w:rFonts w:hint="eastAsia" w:ascii="宋体" w:hAnsi="宋体" w:eastAsia="宋体"/>
                <w:kern w:val="2"/>
                <w:sz w:val="21"/>
                <w:szCs w:val="21"/>
                <w:lang w:eastAsia="zh-CN"/>
              </w:rPr>
            </w:pPr>
            <w:r>
              <w:rPr>
                <w:rFonts w:ascii="宋体" w:hAnsi="宋体" w:eastAsia="宋体" w:cstheme="minorBidi"/>
                <w:kern w:val="2"/>
                <w:sz w:val="21"/>
                <w:szCs w:val="21"/>
                <w:lang w:eastAsia="zh-CN"/>
              </w:rPr>
              <w:t>F1、F2……Fn分别为各项评审因素的得分；</w:t>
            </w:r>
          </w:p>
          <w:p w14:paraId="53CA3453">
            <w:pPr>
              <w:widowControl/>
              <w:spacing w:before="100" w:beforeAutospacing="0" w:afterAutospacing="0"/>
              <w:ind w:left="420"/>
              <w:jc w:val="left"/>
              <w:rPr>
                <w:rFonts w:hint="eastAsia" w:ascii="宋体" w:hAnsi="宋体" w:eastAsia="宋体"/>
                <w:kern w:val="2"/>
                <w:sz w:val="21"/>
                <w:szCs w:val="21"/>
                <w:lang w:eastAsia="zh-CN"/>
              </w:rPr>
            </w:pPr>
            <w:r>
              <w:rPr>
                <w:rFonts w:ascii="宋体" w:hAnsi="宋体" w:eastAsia="宋体" w:cstheme="minorBidi"/>
                <w:kern w:val="2"/>
                <w:sz w:val="21"/>
                <w:szCs w:val="21"/>
                <w:lang w:eastAsia="zh-CN"/>
              </w:rPr>
              <w:t>A1、A2、……An分别为各项评审因素所占的权重(A1＋A2＋……＋An＝1)。</w:t>
            </w:r>
          </w:p>
          <w:p w14:paraId="7F6B74D2">
            <w:pPr>
              <w:widowControl/>
              <w:spacing w:before="100" w:beforeAutospacing="0" w:afterAutospacing="0"/>
              <w:ind w:left="420"/>
              <w:jc w:val="left"/>
              <w:rPr>
                <w:rFonts w:ascii="宋体" w:hAnsi="宋体" w:eastAsia="宋体"/>
                <w:kern w:val="2"/>
                <w:sz w:val="21"/>
                <w:szCs w:val="21"/>
                <w:lang w:eastAsia="zh-CN"/>
              </w:rPr>
            </w:pPr>
            <w:r>
              <w:rPr>
                <w:rFonts w:ascii="宋体" w:hAnsi="宋体" w:eastAsia="宋体" w:cstheme="minorBidi"/>
                <w:kern w:val="2"/>
                <w:sz w:val="21"/>
                <w:szCs w:val="21"/>
                <w:lang w:eastAsia="zh-CN"/>
              </w:rPr>
              <w:t>评标过程中，不得去掉报价中的最高报价和最低报价。</w:t>
            </w:r>
          </w:p>
          <w:p w14:paraId="2DDE65B2">
            <w:pPr>
              <w:widowControl/>
              <w:spacing w:before="100" w:beforeAutospacing="0" w:afterAutospacing="0"/>
              <w:ind w:left="420"/>
              <w:jc w:val="left"/>
              <w:rPr>
                <w:rFonts w:ascii="宋体" w:hAnsi="宋体" w:eastAsia="宋体"/>
                <w:kern w:val="2"/>
                <w:lang w:eastAsia="zh-CN"/>
              </w:rPr>
            </w:pPr>
            <w:r>
              <w:rPr>
                <w:rFonts w:hint="eastAsia" w:ascii="宋体" w:hAnsi="宋体" w:eastAsia="宋体" w:cstheme="minorBidi"/>
                <w:kern w:val="2"/>
                <w:sz w:val="21"/>
                <w:szCs w:val="21"/>
                <w:lang w:eastAsia="zh-CN"/>
              </w:rPr>
              <w:t>因落实政府采购政策进行价格调整的，以调整后的价格计算评标基准价和投标报价。</w:t>
            </w:r>
          </w:p>
        </w:tc>
      </w:tr>
    </w:tbl>
    <w:p w14:paraId="3770F7E5">
      <w:pPr>
        <w:widowControl w:val="0"/>
        <w:jc w:val="both"/>
        <w:rPr>
          <w:rFonts w:ascii="Calibri" w:hAnsi="Calibri" w:eastAsia="宋体"/>
          <w:kern w:val="2"/>
          <w:sz w:val="21"/>
          <w:szCs w:val="22"/>
          <w:lang w:eastAsia="zh-CN"/>
        </w:rPr>
      </w:pPr>
    </w:p>
    <w:tbl>
      <w:tblPr>
        <w:tblStyle w:val="7"/>
        <w:tblW w:w="5000" w:type="pct"/>
        <w:jc w:val="center"/>
        <w:tblCellSpacing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883"/>
        <w:gridCol w:w="843"/>
        <w:gridCol w:w="1915"/>
        <w:gridCol w:w="916"/>
        <w:gridCol w:w="4339"/>
      </w:tblGrid>
      <w:tr w14:paraId="44FA7DD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blCellSpacing w:w="0" w:type="dxa"/>
          <w:jc w:val="center"/>
        </w:trPr>
        <w:tc>
          <w:tcPr>
            <w:tcW w:w="49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25CCC1B">
            <w:pPr>
              <w:wordWrap w:val="0"/>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序号</w:t>
            </w:r>
          </w:p>
        </w:tc>
        <w:tc>
          <w:tcPr>
            <w:tcW w:w="2064"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7DF7FC45">
            <w:pPr>
              <w:wordWrap w:val="0"/>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评分项</w:t>
            </w:r>
          </w:p>
        </w:tc>
        <w:tc>
          <w:tcPr>
            <w:tcW w:w="243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4BC857D">
            <w:pPr>
              <w:wordWrap w:val="0"/>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权重(%)</w:t>
            </w:r>
          </w:p>
        </w:tc>
      </w:tr>
      <w:tr w14:paraId="1AC51C6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blCellSpacing w:w="0" w:type="dxa"/>
          <w:jc w:val="center"/>
        </w:trPr>
        <w:tc>
          <w:tcPr>
            <w:tcW w:w="49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92EB2FF">
            <w:pPr>
              <w:wordWrap w:val="0"/>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1</w:t>
            </w:r>
          </w:p>
        </w:tc>
        <w:tc>
          <w:tcPr>
            <w:tcW w:w="2064"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7E85222B">
            <w:pPr>
              <w:wordWrap w:val="0"/>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价格</w:t>
            </w:r>
          </w:p>
        </w:tc>
        <w:tc>
          <w:tcPr>
            <w:tcW w:w="243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4E6C56F">
            <w:pPr>
              <w:wordWrap w:val="0"/>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30</w:t>
            </w:r>
          </w:p>
        </w:tc>
      </w:tr>
      <w:tr w14:paraId="650BBC3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blCellSpacing w:w="0" w:type="dxa"/>
          <w:jc w:val="center"/>
        </w:trPr>
        <w:tc>
          <w:tcPr>
            <w:tcW w:w="496" w:type="pct"/>
            <w:vMerge w:val="restart"/>
            <w:tcBorders>
              <w:top w:val="single" w:color="000000" w:sz="8" w:space="0"/>
              <w:left w:val="single" w:color="000000" w:sz="8" w:space="0"/>
              <w:right w:val="single" w:color="000000" w:sz="8" w:space="0"/>
            </w:tcBorders>
            <w:shd w:val="clear" w:color="auto" w:fill="auto"/>
            <w:vAlign w:val="center"/>
          </w:tcPr>
          <w:p w14:paraId="5FB03148">
            <w:pPr>
              <w:wordWrap w:val="0"/>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2</w:t>
            </w:r>
          </w:p>
        </w:tc>
        <w:tc>
          <w:tcPr>
            <w:tcW w:w="2064"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5BC072C7">
            <w:pPr>
              <w:wordWrap w:val="0"/>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技术部分</w:t>
            </w:r>
          </w:p>
        </w:tc>
        <w:tc>
          <w:tcPr>
            <w:tcW w:w="243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A798578">
            <w:pPr>
              <w:wordWrap w:val="0"/>
              <w:spacing w:line="360" w:lineRule="auto"/>
              <w:jc w:val="center"/>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51</w:t>
            </w:r>
          </w:p>
        </w:tc>
      </w:tr>
      <w:tr w14:paraId="70C6984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blCellSpacing w:w="0" w:type="dxa"/>
          <w:jc w:val="center"/>
        </w:trPr>
        <w:tc>
          <w:tcPr>
            <w:tcW w:w="496" w:type="pct"/>
            <w:vMerge w:val="continue"/>
            <w:tcBorders>
              <w:left w:val="single" w:color="000000" w:sz="8" w:space="0"/>
              <w:right w:val="single" w:color="000000" w:sz="8" w:space="0"/>
            </w:tcBorders>
            <w:shd w:val="clear" w:color="auto" w:fill="auto"/>
            <w:vAlign w:val="center"/>
          </w:tcPr>
          <w:p w14:paraId="203296BE">
            <w:pPr>
              <w:spacing w:line="360" w:lineRule="auto"/>
              <w:jc w:val="center"/>
              <w:rPr>
                <w:rFonts w:hint="eastAsia" w:ascii="宋体" w:hAnsi="宋体" w:eastAsia="宋体" w:cs="宋体"/>
                <w:b/>
                <w:bCs/>
                <w:sz w:val="21"/>
                <w:szCs w:val="21"/>
              </w:rPr>
            </w:pPr>
          </w:p>
        </w:tc>
        <w:tc>
          <w:tcPr>
            <w:tcW w:w="473" w:type="pct"/>
            <w:tcBorders>
              <w:top w:val="outset" w:color="000000" w:sz="6" w:space="0"/>
              <w:left w:val="outset" w:color="000000" w:sz="6" w:space="0"/>
              <w:bottom w:val="outset" w:color="000000" w:sz="6" w:space="0"/>
              <w:right w:val="outset" w:color="000000" w:sz="6" w:space="0"/>
            </w:tcBorders>
            <w:shd w:val="clear" w:color="auto" w:fill="auto"/>
            <w:vAlign w:val="center"/>
          </w:tcPr>
          <w:p w14:paraId="52C86EDA">
            <w:pPr>
              <w:wordWrap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序号</w:t>
            </w:r>
          </w:p>
        </w:tc>
        <w:tc>
          <w:tcPr>
            <w:tcW w:w="1076" w:type="pct"/>
            <w:tcBorders>
              <w:top w:val="outset" w:color="000000" w:sz="6" w:space="0"/>
              <w:left w:val="outset" w:color="000000" w:sz="6" w:space="0"/>
              <w:bottom w:val="outset" w:color="000000" w:sz="6" w:space="0"/>
              <w:right w:val="outset" w:color="000000" w:sz="6" w:space="0"/>
            </w:tcBorders>
            <w:shd w:val="clear" w:color="auto" w:fill="auto"/>
            <w:vAlign w:val="center"/>
          </w:tcPr>
          <w:p w14:paraId="24D009BF">
            <w:pPr>
              <w:wordWrap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评分因素</w:t>
            </w:r>
          </w:p>
        </w:tc>
        <w:tc>
          <w:tcPr>
            <w:tcW w:w="514" w:type="pct"/>
            <w:tcBorders>
              <w:top w:val="outset" w:color="000000" w:sz="6" w:space="0"/>
              <w:left w:val="outset" w:color="000000" w:sz="6" w:space="0"/>
              <w:bottom w:val="outset" w:color="000000" w:sz="6" w:space="0"/>
              <w:right w:val="outset" w:color="000000" w:sz="6" w:space="0"/>
            </w:tcBorders>
            <w:shd w:val="clear" w:color="auto" w:fill="auto"/>
            <w:vAlign w:val="center"/>
          </w:tcPr>
          <w:p w14:paraId="4DD427BE">
            <w:pPr>
              <w:wordWrap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权重(%)</w:t>
            </w:r>
          </w:p>
        </w:tc>
        <w:tc>
          <w:tcPr>
            <w:tcW w:w="2438" w:type="pct"/>
            <w:tcBorders>
              <w:top w:val="outset" w:color="000000" w:sz="6" w:space="0"/>
              <w:left w:val="outset" w:color="000000" w:sz="6" w:space="0"/>
              <w:bottom w:val="outset" w:color="000000" w:sz="6" w:space="0"/>
              <w:right w:val="outset" w:color="000000" w:sz="6" w:space="0"/>
            </w:tcBorders>
            <w:shd w:val="clear" w:color="auto" w:fill="auto"/>
            <w:vAlign w:val="center"/>
          </w:tcPr>
          <w:p w14:paraId="2E4934FA">
            <w:pPr>
              <w:wordWrap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评分准则</w:t>
            </w:r>
          </w:p>
        </w:tc>
      </w:tr>
      <w:tr w14:paraId="2258008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blCellSpacing w:w="0" w:type="dxa"/>
          <w:jc w:val="center"/>
        </w:trPr>
        <w:tc>
          <w:tcPr>
            <w:tcW w:w="496" w:type="pct"/>
            <w:vMerge w:val="continue"/>
            <w:tcBorders>
              <w:left w:val="single" w:color="000000" w:sz="8" w:space="0"/>
              <w:right w:val="single" w:color="000000" w:sz="8" w:space="0"/>
            </w:tcBorders>
            <w:shd w:val="clear" w:color="auto" w:fill="auto"/>
            <w:vAlign w:val="center"/>
          </w:tcPr>
          <w:p w14:paraId="357D69F3">
            <w:pPr>
              <w:spacing w:line="360" w:lineRule="auto"/>
              <w:jc w:val="center"/>
              <w:rPr>
                <w:rFonts w:hint="eastAsia" w:ascii="宋体" w:hAnsi="宋体" w:eastAsia="宋体" w:cs="宋体"/>
                <w:b/>
                <w:bCs/>
                <w:sz w:val="21"/>
                <w:szCs w:val="21"/>
              </w:rPr>
            </w:pPr>
          </w:p>
        </w:tc>
        <w:tc>
          <w:tcPr>
            <w:tcW w:w="47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7724AFC">
            <w:pPr>
              <w:wordWrap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107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CF1718A">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技术保障措施</w:t>
            </w:r>
          </w:p>
        </w:tc>
        <w:tc>
          <w:tcPr>
            <w:tcW w:w="51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16806E5">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10</w:t>
            </w:r>
          </w:p>
        </w:tc>
        <w:tc>
          <w:tcPr>
            <w:tcW w:w="243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BCB514B">
            <w:pPr>
              <w:rPr>
                <w:rFonts w:hint="eastAsia" w:ascii="宋体" w:hAnsi="宋体" w:eastAsia="宋体" w:cs="宋体"/>
                <w:sz w:val="21"/>
                <w:szCs w:val="21"/>
              </w:rPr>
            </w:pPr>
            <w:r>
              <w:rPr>
                <w:rFonts w:hint="eastAsia" w:ascii="宋体" w:hAnsi="宋体" w:eastAsia="宋体" w:cs="宋体"/>
                <w:sz w:val="21"/>
                <w:szCs w:val="21"/>
              </w:rPr>
              <w:t>1.评审内容：</w:t>
            </w:r>
          </w:p>
          <w:p w14:paraId="3540596F">
            <w:pPr>
              <w:rPr>
                <w:rFonts w:hint="eastAsia" w:ascii="宋体" w:hAnsi="宋体" w:eastAsia="宋体" w:cs="宋体"/>
                <w:sz w:val="21"/>
                <w:szCs w:val="21"/>
              </w:rPr>
            </w:pPr>
            <w:r>
              <w:rPr>
                <w:rFonts w:hint="eastAsia" w:ascii="宋体" w:hAnsi="宋体" w:eastAsia="宋体" w:cs="宋体"/>
                <w:sz w:val="21"/>
                <w:szCs w:val="21"/>
              </w:rPr>
              <w:t>在投标文件中详细说明技术保障措施包括：</w:t>
            </w:r>
          </w:p>
          <w:p w14:paraId="010E3C22">
            <w:pPr>
              <w:rPr>
                <w:rFonts w:hint="eastAsia" w:ascii="宋体" w:hAnsi="宋体" w:eastAsia="宋体" w:cs="宋体"/>
                <w:sz w:val="21"/>
                <w:szCs w:val="21"/>
              </w:rPr>
            </w:pPr>
            <w:r>
              <w:rPr>
                <w:rFonts w:hint="eastAsia" w:ascii="宋体" w:hAnsi="宋体" w:eastAsia="宋体" w:cs="宋体"/>
                <w:sz w:val="21"/>
                <w:szCs w:val="21"/>
                <w:lang w:eastAsia="zh-CN"/>
              </w:rPr>
              <w:t>（1）</w:t>
            </w:r>
            <w:r>
              <w:rPr>
                <w:rFonts w:hint="eastAsia" w:ascii="宋体" w:hAnsi="宋体" w:eastAsia="宋体" w:cs="宋体"/>
                <w:sz w:val="21"/>
                <w:szCs w:val="21"/>
              </w:rPr>
              <w:t>技术团队情况</w:t>
            </w:r>
          </w:p>
          <w:p w14:paraId="25A15C46">
            <w:pPr>
              <w:rPr>
                <w:rFonts w:hint="eastAsia" w:ascii="宋体" w:hAnsi="宋体" w:eastAsia="宋体" w:cs="宋体"/>
                <w:sz w:val="21"/>
                <w:szCs w:val="21"/>
              </w:rPr>
            </w:pPr>
            <w:r>
              <w:rPr>
                <w:rFonts w:hint="eastAsia" w:ascii="宋体" w:hAnsi="宋体" w:eastAsia="宋体" w:cs="宋体"/>
                <w:sz w:val="21"/>
                <w:szCs w:val="21"/>
                <w:lang w:eastAsia="zh-CN"/>
              </w:rPr>
              <w:t>（2）</w:t>
            </w:r>
            <w:r>
              <w:rPr>
                <w:rFonts w:hint="eastAsia" w:ascii="宋体" w:hAnsi="宋体" w:eastAsia="宋体" w:cs="宋体"/>
                <w:sz w:val="21"/>
                <w:szCs w:val="21"/>
              </w:rPr>
              <w:t>技术保障方案</w:t>
            </w:r>
          </w:p>
          <w:p w14:paraId="7B7350EE">
            <w:pPr>
              <w:rPr>
                <w:rFonts w:hint="eastAsia" w:ascii="宋体" w:hAnsi="宋体" w:eastAsia="宋体" w:cs="宋体"/>
                <w:sz w:val="21"/>
                <w:szCs w:val="21"/>
              </w:rPr>
            </w:pPr>
            <w:r>
              <w:rPr>
                <w:rFonts w:hint="eastAsia" w:ascii="宋体" w:hAnsi="宋体" w:eastAsia="宋体" w:cs="宋体"/>
                <w:sz w:val="21"/>
                <w:szCs w:val="21"/>
                <w:lang w:eastAsia="zh-CN"/>
              </w:rPr>
              <w:t>（3）</w:t>
            </w:r>
            <w:r>
              <w:rPr>
                <w:rFonts w:hint="eastAsia" w:ascii="宋体" w:hAnsi="宋体" w:eastAsia="宋体" w:cs="宋体"/>
                <w:sz w:val="21"/>
                <w:szCs w:val="21"/>
              </w:rPr>
              <w:t>工期保证</w:t>
            </w:r>
          </w:p>
          <w:p w14:paraId="4AADAD1C">
            <w:pPr>
              <w:rPr>
                <w:rFonts w:hint="eastAsia" w:ascii="宋体" w:hAnsi="宋体" w:eastAsia="宋体" w:cs="宋体"/>
                <w:sz w:val="21"/>
                <w:szCs w:val="21"/>
              </w:rPr>
            </w:pPr>
            <w:r>
              <w:rPr>
                <w:rFonts w:hint="eastAsia" w:ascii="宋体" w:hAnsi="宋体" w:eastAsia="宋体" w:cs="宋体"/>
                <w:sz w:val="21"/>
                <w:szCs w:val="21"/>
                <w:lang w:eastAsia="zh-CN"/>
              </w:rPr>
              <w:t>（4）</w:t>
            </w:r>
            <w:r>
              <w:rPr>
                <w:rFonts w:hint="eastAsia" w:ascii="宋体" w:hAnsi="宋体" w:eastAsia="宋体" w:cs="宋体"/>
                <w:sz w:val="21"/>
                <w:szCs w:val="21"/>
              </w:rPr>
              <w:t>项目履约进度计划</w:t>
            </w:r>
          </w:p>
          <w:p w14:paraId="6736951C">
            <w:pPr>
              <w:rPr>
                <w:rFonts w:hint="eastAsia" w:ascii="宋体" w:hAnsi="宋体" w:eastAsia="宋体" w:cs="宋体"/>
                <w:sz w:val="21"/>
                <w:szCs w:val="21"/>
              </w:rPr>
            </w:pPr>
            <w:r>
              <w:rPr>
                <w:rFonts w:hint="eastAsia" w:ascii="宋体" w:hAnsi="宋体" w:eastAsia="宋体" w:cs="宋体"/>
                <w:sz w:val="21"/>
                <w:szCs w:val="21"/>
              </w:rPr>
              <w:t>2.评分标准</w:t>
            </w:r>
          </w:p>
          <w:p w14:paraId="34BB8761">
            <w:pPr>
              <w:rPr>
                <w:rFonts w:hint="eastAsia" w:ascii="宋体" w:hAnsi="宋体" w:eastAsia="宋体" w:cs="宋体"/>
                <w:sz w:val="21"/>
                <w:szCs w:val="21"/>
              </w:rPr>
            </w:pPr>
            <w:r>
              <w:rPr>
                <w:rFonts w:hint="eastAsia" w:ascii="宋体" w:hAnsi="宋体" w:eastAsia="宋体" w:cs="宋体"/>
                <w:sz w:val="21"/>
                <w:szCs w:val="21"/>
              </w:rPr>
              <w:t>1）以上内容，每提供任意1项得5分，本项最高得20分。</w:t>
            </w:r>
          </w:p>
          <w:p w14:paraId="37805C78">
            <w:pPr>
              <w:rPr>
                <w:rFonts w:hint="eastAsia" w:ascii="宋体" w:hAnsi="宋体" w:eastAsia="宋体" w:cs="宋体"/>
                <w:sz w:val="21"/>
                <w:szCs w:val="21"/>
              </w:rPr>
            </w:pPr>
            <w:r>
              <w:rPr>
                <w:rFonts w:hint="eastAsia" w:ascii="宋体" w:hAnsi="宋体" w:eastAsia="宋体" w:cs="宋体"/>
                <w:sz w:val="21"/>
                <w:szCs w:val="21"/>
              </w:rPr>
              <w:t>2）在此基础上，根据施工方案详细程度、具体程度、与项目要求的符合性进行评分，本项最高加2分。</w:t>
            </w:r>
          </w:p>
          <w:p w14:paraId="2B26AE0E">
            <w:pPr>
              <w:rPr>
                <w:rFonts w:hint="eastAsia" w:ascii="宋体" w:hAnsi="宋体" w:eastAsia="宋体" w:cs="宋体"/>
                <w:sz w:val="21"/>
                <w:szCs w:val="21"/>
              </w:rPr>
            </w:pPr>
            <w:r>
              <w:rPr>
                <w:rFonts w:hint="eastAsia" w:ascii="宋体" w:hAnsi="宋体" w:eastAsia="宋体" w:cs="宋体"/>
                <w:sz w:val="21"/>
                <w:szCs w:val="21"/>
              </w:rPr>
              <w:t>（1）投标文件响应内容详细；</w:t>
            </w:r>
          </w:p>
          <w:p w14:paraId="2D93CB1E">
            <w:pPr>
              <w:rPr>
                <w:rFonts w:hint="eastAsia" w:ascii="宋体" w:hAnsi="宋体" w:eastAsia="宋体" w:cs="宋体"/>
                <w:sz w:val="21"/>
                <w:szCs w:val="21"/>
              </w:rPr>
            </w:pPr>
            <w:r>
              <w:rPr>
                <w:rFonts w:hint="eastAsia" w:ascii="宋体" w:hAnsi="宋体" w:eastAsia="宋体" w:cs="宋体"/>
                <w:sz w:val="21"/>
                <w:szCs w:val="21"/>
              </w:rPr>
              <w:t>（2）投标文件响应内容具体；</w:t>
            </w:r>
          </w:p>
          <w:p w14:paraId="11BF5122">
            <w:pPr>
              <w:rPr>
                <w:rFonts w:hint="eastAsia" w:ascii="宋体" w:hAnsi="宋体" w:eastAsia="宋体" w:cs="宋体"/>
                <w:sz w:val="21"/>
                <w:szCs w:val="21"/>
              </w:rPr>
            </w:pPr>
            <w:r>
              <w:rPr>
                <w:rFonts w:hint="eastAsia" w:ascii="宋体" w:hAnsi="宋体" w:eastAsia="宋体" w:cs="宋体"/>
                <w:sz w:val="21"/>
                <w:szCs w:val="21"/>
              </w:rPr>
              <w:t>（3）投标文件响应内容符合项目要求；</w:t>
            </w:r>
          </w:p>
          <w:p w14:paraId="064C0BC4">
            <w:pPr>
              <w:rPr>
                <w:rFonts w:hint="eastAsia" w:ascii="宋体" w:hAnsi="宋体" w:eastAsia="宋体" w:cs="宋体"/>
                <w:sz w:val="21"/>
                <w:szCs w:val="21"/>
              </w:rPr>
            </w:pPr>
            <w:r>
              <w:rPr>
                <w:rFonts w:hint="eastAsia" w:ascii="宋体" w:hAnsi="宋体" w:eastAsia="宋体" w:cs="宋体"/>
                <w:sz w:val="21"/>
                <w:szCs w:val="21"/>
              </w:rPr>
              <w:t>满足以上三项要求的评价为优，加80分。</w:t>
            </w:r>
          </w:p>
          <w:p w14:paraId="34F925CF">
            <w:pPr>
              <w:rPr>
                <w:rFonts w:hint="eastAsia" w:ascii="宋体" w:hAnsi="宋体" w:eastAsia="宋体" w:cs="宋体"/>
                <w:sz w:val="21"/>
                <w:szCs w:val="21"/>
              </w:rPr>
            </w:pPr>
            <w:r>
              <w:rPr>
                <w:rFonts w:hint="eastAsia" w:ascii="宋体" w:hAnsi="宋体" w:eastAsia="宋体" w:cs="宋体"/>
                <w:sz w:val="21"/>
                <w:szCs w:val="21"/>
              </w:rPr>
              <w:t>满足以上二项要求的评价为良，加50分。</w:t>
            </w:r>
          </w:p>
          <w:p w14:paraId="4206A386">
            <w:pPr>
              <w:rPr>
                <w:rFonts w:hint="eastAsia" w:ascii="宋体" w:hAnsi="宋体" w:eastAsia="宋体" w:cs="宋体"/>
                <w:sz w:val="21"/>
                <w:szCs w:val="21"/>
              </w:rPr>
            </w:pPr>
            <w:r>
              <w:rPr>
                <w:rFonts w:hint="eastAsia" w:ascii="宋体" w:hAnsi="宋体" w:eastAsia="宋体" w:cs="宋体"/>
                <w:sz w:val="21"/>
                <w:szCs w:val="21"/>
              </w:rPr>
              <w:t>满足以上一项要求的评价为中，加20分。</w:t>
            </w:r>
          </w:p>
          <w:p w14:paraId="5A750196">
            <w:pPr>
              <w:rPr>
                <w:rFonts w:hint="eastAsia" w:ascii="宋体" w:hAnsi="宋体" w:eastAsia="宋体" w:cs="宋体"/>
                <w:sz w:val="21"/>
                <w:szCs w:val="21"/>
              </w:rPr>
            </w:pPr>
            <w:r>
              <w:rPr>
                <w:rFonts w:hint="eastAsia" w:ascii="宋体" w:hAnsi="宋体" w:eastAsia="宋体" w:cs="宋体"/>
                <w:sz w:val="21"/>
                <w:szCs w:val="21"/>
              </w:rPr>
              <w:t>其它情况的评价为差，不加分。</w:t>
            </w:r>
          </w:p>
          <w:p w14:paraId="76FDB15C">
            <w:pPr>
              <w:rPr>
                <w:rFonts w:hint="eastAsia" w:ascii="宋体" w:hAnsi="宋体" w:eastAsia="宋体" w:cs="宋体"/>
                <w:bCs/>
                <w:sz w:val="21"/>
                <w:szCs w:val="21"/>
              </w:rPr>
            </w:pPr>
            <w:r>
              <w:rPr>
                <w:rFonts w:hint="eastAsia" w:ascii="宋体" w:hAnsi="宋体" w:eastAsia="宋体" w:cs="宋体"/>
                <w:sz w:val="21"/>
                <w:szCs w:val="21"/>
              </w:rPr>
              <w:t>本项累计最高得100分，未按要求提供或提供不清晰导致评审无法判别的不得分。</w:t>
            </w:r>
          </w:p>
        </w:tc>
      </w:tr>
      <w:tr w14:paraId="1B29D27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blCellSpacing w:w="0" w:type="dxa"/>
          <w:jc w:val="center"/>
        </w:trPr>
        <w:tc>
          <w:tcPr>
            <w:tcW w:w="496" w:type="pct"/>
            <w:tcBorders>
              <w:left w:val="single" w:color="000000" w:sz="8" w:space="0"/>
              <w:right w:val="single" w:color="000000" w:sz="8" w:space="0"/>
            </w:tcBorders>
            <w:shd w:val="clear" w:color="auto" w:fill="auto"/>
            <w:vAlign w:val="center"/>
          </w:tcPr>
          <w:p w14:paraId="7114378C">
            <w:pPr>
              <w:spacing w:line="360" w:lineRule="auto"/>
              <w:jc w:val="center"/>
              <w:rPr>
                <w:rFonts w:hint="eastAsia" w:ascii="宋体" w:hAnsi="宋体" w:eastAsia="宋体" w:cs="宋体"/>
                <w:b/>
                <w:bCs/>
                <w:sz w:val="21"/>
                <w:szCs w:val="21"/>
              </w:rPr>
            </w:pPr>
          </w:p>
        </w:tc>
        <w:tc>
          <w:tcPr>
            <w:tcW w:w="47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2FF8FE8">
            <w:pPr>
              <w:wordWrap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2</w:t>
            </w:r>
          </w:p>
        </w:tc>
        <w:tc>
          <w:tcPr>
            <w:tcW w:w="107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396534F">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一般技术规格偏离情况</w:t>
            </w:r>
          </w:p>
        </w:tc>
        <w:tc>
          <w:tcPr>
            <w:tcW w:w="51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C2C7C22">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27</w:t>
            </w:r>
          </w:p>
        </w:tc>
        <w:tc>
          <w:tcPr>
            <w:tcW w:w="243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D67EFD8">
            <w:pPr>
              <w:rPr>
                <w:rFonts w:hint="eastAsia" w:ascii="宋体" w:hAnsi="宋体" w:eastAsia="宋体" w:cs="宋体"/>
                <w:sz w:val="21"/>
                <w:szCs w:val="21"/>
              </w:rPr>
            </w:pPr>
            <w:r>
              <w:rPr>
                <w:rFonts w:hint="eastAsia" w:ascii="宋体" w:hAnsi="宋体" w:eastAsia="宋体" w:cs="宋体"/>
                <w:sz w:val="21"/>
                <w:szCs w:val="21"/>
              </w:rPr>
              <w:t>评审小组根据《技术规格偏离表》（以下简称“偏离表”）响应情况进行打分，全部满足的得100分，一般参数负偏离一项扣1.89分，扣完为止。</w:t>
            </w:r>
          </w:p>
          <w:p w14:paraId="51958BCF">
            <w:pPr>
              <w:rPr>
                <w:rFonts w:hint="eastAsia" w:ascii="宋体" w:hAnsi="宋体" w:eastAsia="宋体" w:cs="宋体"/>
                <w:sz w:val="21"/>
                <w:szCs w:val="21"/>
              </w:rPr>
            </w:pPr>
            <w:r>
              <w:rPr>
                <w:rFonts w:hint="eastAsia" w:ascii="宋体" w:hAnsi="宋体" w:eastAsia="宋体" w:cs="宋体"/>
                <w:sz w:val="21"/>
                <w:szCs w:val="21"/>
              </w:rPr>
              <w:t>偏离表应如实对应填写所投产品的具体参数。如要求提供“厂家网站截图/说明书/厂家出具的参数文件/检验报告”等证明资料的，需按要求提供相关证明资料；提供的证明资料与所填写内容不一致的，以证明资料为准，原件备查。</w:t>
            </w:r>
          </w:p>
        </w:tc>
      </w:tr>
      <w:tr w14:paraId="2EE65CA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2685" w:hRule="atLeast"/>
          <w:tblCellSpacing w:w="0" w:type="dxa"/>
          <w:jc w:val="center"/>
        </w:trPr>
        <w:tc>
          <w:tcPr>
            <w:tcW w:w="496" w:type="pct"/>
            <w:tcBorders>
              <w:left w:val="single" w:color="000000" w:sz="8" w:space="0"/>
              <w:right w:val="single" w:color="000000" w:sz="8" w:space="0"/>
            </w:tcBorders>
            <w:shd w:val="clear" w:color="auto" w:fill="auto"/>
            <w:vAlign w:val="center"/>
          </w:tcPr>
          <w:p w14:paraId="6A863A62">
            <w:pPr>
              <w:spacing w:line="360" w:lineRule="auto"/>
              <w:jc w:val="center"/>
              <w:rPr>
                <w:rFonts w:hint="eastAsia" w:ascii="宋体" w:hAnsi="宋体" w:eastAsia="宋体" w:cs="宋体"/>
                <w:b/>
                <w:bCs/>
                <w:sz w:val="21"/>
                <w:szCs w:val="21"/>
              </w:rPr>
            </w:pPr>
          </w:p>
        </w:tc>
        <w:tc>
          <w:tcPr>
            <w:tcW w:w="47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7A30B1B">
            <w:pPr>
              <w:wordWrap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3</w:t>
            </w:r>
          </w:p>
        </w:tc>
        <w:tc>
          <w:tcPr>
            <w:tcW w:w="107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F5AF0BE">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重要技术规格偏离情况</w:t>
            </w:r>
          </w:p>
        </w:tc>
        <w:tc>
          <w:tcPr>
            <w:tcW w:w="51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E53FFE1">
            <w:pPr>
              <w:jc w:val="center"/>
              <w:rPr>
                <w:rFonts w:hint="eastAsia" w:ascii="宋体" w:hAnsi="宋体" w:eastAsia="宋体" w:cs="宋体"/>
                <w:sz w:val="21"/>
                <w:szCs w:val="21"/>
              </w:rPr>
            </w:pPr>
            <w:r>
              <w:rPr>
                <w:rFonts w:hint="eastAsia" w:ascii="宋体" w:hAnsi="宋体" w:eastAsia="宋体" w:cs="宋体"/>
                <w:sz w:val="21"/>
                <w:szCs w:val="21"/>
              </w:rPr>
              <w:t>14</w:t>
            </w:r>
          </w:p>
        </w:tc>
        <w:tc>
          <w:tcPr>
            <w:tcW w:w="243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31814AF">
            <w:pPr>
              <w:rPr>
                <w:rFonts w:hint="eastAsia" w:ascii="宋体" w:hAnsi="宋体" w:eastAsia="宋体" w:cs="宋体"/>
                <w:sz w:val="21"/>
                <w:szCs w:val="21"/>
              </w:rPr>
            </w:pPr>
            <w:r>
              <w:rPr>
                <w:rFonts w:hint="eastAsia" w:ascii="宋体" w:hAnsi="宋体" w:eastAsia="宋体" w:cs="宋体"/>
                <w:sz w:val="21"/>
                <w:szCs w:val="21"/>
              </w:rPr>
              <w:t>评审小组根据《技术规格偏离表》（以下简称“偏离表”）响应情况进行打分，全部满足的得100分，重点技术参数▲项负偏离一项扣14.5分，扣完为止。</w:t>
            </w:r>
          </w:p>
          <w:p w14:paraId="46D414F5">
            <w:pPr>
              <w:rPr>
                <w:rFonts w:hint="eastAsia" w:ascii="宋体" w:hAnsi="宋体" w:eastAsia="宋体" w:cs="宋体"/>
                <w:sz w:val="21"/>
                <w:szCs w:val="21"/>
              </w:rPr>
            </w:pPr>
            <w:r>
              <w:rPr>
                <w:rFonts w:hint="eastAsia" w:ascii="宋体" w:hAnsi="宋体" w:eastAsia="宋体" w:cs="宋体"/>
                <w:sz w:val="21"/>
                <w:szCs w:val="21"/>
              </w:rPr>
              <w:t>偏离表应如实对应填写所投产品的具体参数。如要求提供“厂家网站截图/说明书/厂家出具的参数文件/检验报告”等证明资料的，需按要求提供相关证明资料；提供的证明资料与所填写内容不一致的，以证明资料为准，原件备查。</w:t>
            </w:r>
          </w:p>
        </w:tc>
      </w:tr>
      <w:tr w14:paraId="33325DC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blCellSpacing w:w="0" w:type="dxa"/>
          <w:jc w:val="center"/>
        </w:trPr>
        <w:tc>
          <w:tcPr>
            <w:tcW w:w="496" w:type="pct"/>
            <w:vMerge w:val="restart"/>
            <w:tcBorders>
              <w:top w:val="single" w:color="000000" w:sz="8" w:space="0"/>
              <w:left w:val="single" w:color="000000" w:sz="8" w:space="0"/>
              <w:right w:val="single" w:color="000000" w:sz="8" w:space="0"/>
            </w:tcBorders>
            <w:shd w:val="clear" w:color="auto" w:fill="auto"/>
            <w:vAlign w:val="center"/>
          </w:tcPr>
          <w:p w14:paraId="691E9007">
            <w:pPr>
              <w:wordWrap w:val="0"/>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3</w:t>
            </w:r>
          </w:p>
        </w:tc>
        <w:tc>
          <w:tcPr>
            <w:tcW w:w="2064"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7338FED2">
            <w:pPr>
              <w:wordWrap w:val="0"/>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商务部分</w:t>
            </w:r>
          </w:p>
        </w:tc>
        <w:tc>
          <w:tcPr>
            <w:tcW w:w="243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6FBE6B8">
            <w:pPr>
              <w:wordWrap w:val="0"/>
              <w:spacing w:line="360" w:lineRule="auto"/>
              <w:jc w:val="center"/>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19</w:t>
            </w:r>
          </w:p>
        </w:tc>
      </w:tr>
      <w:tr w14:paraId="2E3C7F6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blCellSpacing w:w="0" w:type="dxa"/>
          <w:jc w:val="center"/>
        </w:trPr>
        <w:tc>
          <w:tcPr>
            <w:tcW w:w="496" w:type="pct"/>
            <w:vMerge w:val="continue"/>
            <w:tcBorders>
              <w:left w:val="single" w:color="000000" w:sz="8" w:space="0"/>
              <w:right w:val="single" w:color="000000" w:sz="8" w:space="0"/>
            </w:tcBorders>
            <w:shd w:val="clear" w:color="auto" w:fill="E6EFFA"/>
            <w:vAlign w:val="center"/>
          </w:tcPr>
          <w:p w14:paraId="72EE7930">
            <w:pPr>
              <w:spacing w:line="360" w:lineRule="auto"/>
              <w:jc w:val="center"/>
              <w:rPr>
                <w:rFonts w:hint="eastAsia" w:ascii="宋体" w:hAnsi="宋体" w:eastAsia="宋体" w:cs="宋体"/>
                <w:b/>
                <w:bCs/>
                <w:sz w:val="21"/>
                <w:szCs w:val="21"/>
              </w:rPr>
            </w:pPr>
          </w:p>
        </w:tc>
        <w:tc>
          <w:tcPr>
            <w:tcW w:w="473" w:type="pct"/>
            <w:tcBorders>
              <w:top w:val="outset" w:color="000000" w:sz="6" w:space="0"/>
              <w:left w:val="outset" w:color="000000" w:sz="6" w:space="0"/>
              <w:bottom w:val="outset" w:color="000000" w:sz="6" w:space="0"/>
              <w:right w:val="outset" w:color="000000" w:sz="6" w:space="0"/>
            </w:tcBorders>
            <w:shd w:val="clear" w:color="auto" w:fill="auto"/>
            <w:vAlign w:val="center"/>
          </w:tcPr>
          <w:p w14:paraId="61234057">
            <w:pPr>
              <w:wordWrap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序号</w:t>
            </w:r>
          </w:p>
        </w:tc>
        <w:tc>
          <w:tcPr>
            <w:tcW w:w="1076" w:type="pct"/>
            <w:tcBorders>
              <w:top w:val="outset" w:color="000000" w:sz="6" w:space="0"/>
              <w:left w:val="outset" w:color="000000" w:sz="6" w:space="0"/>
              <w:bottom w:val="outset" w:color="000000" w:sz="6" w:space="0"/>
              <w:right w:val="outset" w:color="000000" w:sz="6" w:space="0"/>
            </w:tcBorders>
            <w:shd w:val="clear" w:color="auto" w:fill="auto"/>
            <w:vAlign w:val="center"/>
          </w:tcPr>
          <w:p w14:paraId="2EAA55F9">
            <w:pPr>
              <w:wordWrap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评分因素</w:t>
            </w:r>
          </w:p>
        </w:tc>
        <w:tc>
          <w:tcPr>
            <w:tcW w:w="514" w:type="pct"/>
            <w:tcBorders>
              <w:top w:val="outset" w:color="000000" w:sz="6" w:space="0"/>
              <w:left w:val="outset" w:color="000000" w:sz="6" w:space="0"/>
              <w:bottom w:val="outset" w:color="000000" w:sz="6" w:space="0"/>
              <w:right w:val="outset" w:color="000000" w:sz="6" w:space="0"/>
            </w:tcBorders>
            <w:shd w:val="clear" w:color="auto" w:fill="auto"/>
            <w:vAlign w:val="center"/>
          </w:tcPr>
          <w:p w14:paraId="698CAD87">
            <w:pPr>
              <w:wordWrap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权重(%)</w:t>
            </w:r>
          </w:p>
        </w:tc>
        <w:tc>
          <w:tcPr>
            <w:tcW w:w="2438" w:type="pct"/>
            <w:tcBorders>
              <w:top w:val="outset" w:color="000000" w:sz="6" w:space="0"/>
              <w:left w:val="outset" w:color="000000" w:sz="6" w:space="0"/>
              <w:bottom w:val="outset" w:color="000000" w:sz="6" w:space="0"/>
              <w:right w:val="outset" w:color="000000" w:sz="6" w:space="0"/>
            </w:tcBorders>
            <w:shd w:val="clear" w:color="auto" w:fill="auto"/>
            <w:vAlign w:val="center"/>
          </w:tcPr>
          <w:p w14:paraId="5377E52C">
            <w:pPr>
              <w:wordWrap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评分准则</w:t>
            </w:r>
          </w:p>
        </w:tc>
      </w:tr>
      <w:tr w14:paraId="52C69DF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blCellSpacing w:w="0" w:type="dxa"/>
          <w:jc w:val="center"/>
        </w:trPr>
        <w:tc>
          <w:tcPr>
            <w:tcW w:w="496" w:type="pct"/>
            <w:vMerge w:val="continue"/>
            <w:tcBorders>
              <w:left w:val="single" w:color="000000" w:sz="8" w:space="0"/>
              <w:right w:val="single" w:color="000000" w:sz="8" w:space="0"/>
            </w:tcBorders>
            <w:shd w:val="clear" w:color="auto" w:fill="auto"/>
            <w:vAlign w:val="center"/>
          </w:tcPr>
          <w:p w14:paraId="16878C8E">
            <w:pPr>
              <w:spacing w:line="360" w:lineRule="auto"/>
              <w:jc w:val="center"/>
              <w:rPr>
                <w:rFonts w:hint="eastAsia" w:ascii="宋体" w:hAnsi="宋体" w:eastAsia="宋体" w:cs="宋体"/>
                <w:b/>
                <w:bCs/>
                <w:sz w:val="21"/>
                <w:szCs w:val="21"/>
              </w:rPr>
            </w:pPr>
          </w:p>
        </w:tc>
        <w:tc>
          <w:tcPr>
            <w:tcW w:w="47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4B3A41F">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191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1D6A8B">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商务条款偏离情况</w:t>
            </w:r>
          </w:p>
        </w:tc>
        <w:tc>
          <w:tcPr>
            <w:tcW w:w="9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4C0F7D">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3</w:t>
            </w:r>
          </w:p>
        </w:tc>
        <w:tc>
          <w:tcPr>
            <w:tcW w:w="43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1382BD">
            <w:pPr>
              <w:rPr>
                <w:rFonts w:hint="eastAsia" w:ascii="宋体" w:hAnsi="宋体" w:eastAsia="宋体" w:cs="宋体"/>
                <w:sz w:val="21"/>
                <w:szCs w:val="21"/>
              </w:rPr>
            </w:pPr>
            <w:r>
              <w:rPr>
                <w:rFonts w:hint="eastAsia" w:ascii="宋体" w:hAnsi="宋体" w:eastAsia="宋体" w:cs="宋体"/>
                <w:sz w:val="21"/>
                <w:szCs w:val="21"/>
              </w:rPr>
              <w:t>投标人应如实填写《商务条款偏离情况》，评审小组根据响应情况进行打分，除带“★”号实质性条款外，全部满足要求的得100分，每负偏离一项扣7.7分，扣完为止。</w:t>
            </w:r>
          </w:p>
        </w:tc>
      </w:tr>
      <w:tr w14:paraId="5572F36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blCellSpacing w:w="0" w:type="dxa"/>
          <w:jc w:val="center"/>
        </w:trPr>
        <w:tc>
          <w:tcPr>
            <w:tcW w:w="496" w:type="pct"/>
            <w:vMerge w:val="continue"/>
            <w:tcBorders>
              <w:left w:val="single" w:color="000000" w:sz="8" w:space="0"/>
              <w:right w:val="single" w:color="000000" w:sz="8" w:space="0"/>
            </w:tcBorders>
            <w:shd w:val="clear" w:color="auto" w:fill="auto"/>
            <w:vAlign w:val="center"/>
          </w:tcPr>
          <w:p w14:paraId="3389B166">
            <w:pPr>
              <w:spacing w:line="360" w:lineRule="auto"/>
              <w:jc w:val="center"/>
              <w:rPr>
                <w:rFonts w:hint="eastAsia" w:ascii="宋体" w:hAnsi="宋体" w:eastAsia="宋体" w:cs="宋体"/>
                <w:b/>
                <w:bCs/>
                <w:sz w:val="21"/>
                <w:szCs w:val="21"/>
              </w:rPr>
            </w:pPr>
          </w:p>
        </w:tc>
        <w:tc>
          <w:tcPr>
            <w:tcW w:w="47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4B05BF6">
            <w:pPr>
              <w:spacing w:line="360" w:lineRule="auto"/>
              <w:jc w:val="center"/>
              <w:rPr>
                <w:rFonts w:hint="eastAsia" w:ascii="宋体" w:hAnsi="宋体" w:eastAsia="宋体" w:cs="宋体"/>
                <w:sz w:val="21"/>
                <w:szCs w:val="21"/>
              </w:rPr>
            </w:pPr>
            <w:r>
              <w:rPr>
                <w:rFonts w:hint="eastAsia" w:ascii="宋体" w:hAnsi="宋体" w:eastAsia="宋体" w:cs="宋体"/>
                <w:sz w:val="21"/>
                <w:szCs w:val="21"/>
              </w:rPr>
              <w:t>2</w:t>
            </w:r>
          </w:p>
        </w:tc>
        <w:tc>
          <w:tcPr>
            <w:tcW w:w="191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73F107">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同类项目业绩</w:t>
            </w:r>
          </w:p>
        </w:tc>
        <w:tc>
          <w:tcPr>
            <w:tcW w:w="9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B3D869">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2</w:t>
            </w:r>
          </w:p>
        </w:tc>
        <w:tc>
          <w:tcPr>
            <w:tcW w:w="43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02AA45">
            <w:pPr>
              <w:rPr>
                <w:rFonts w:hint="eastAsia" w:ascii="宋体" w:hAnsi="宋体" w:eastAsia="宋体" w:cs="宋体"/>
                <w:sz w:val="21"/>
                <w:szCs w:val="21"/>
              </w:rPr>
            </w:pPr>
            <w:r>
              <w:rPr>
                <w:rFonts w:hint="eastAsia" w:ascii="宋体" w:hAnsi="宋体" w:eastAsia="宋体" w:cs="宋体"/>
                <w:sz w:val="21"/>
                <w:szCs w:val="21"/>
              </w:rPr>
              <w:t>2022年1月1日至本项目投标截止之日（以合同签订日期为准），具有政府单位或事业单位监控类或网络类或信息化类项目经验,每提供1个得50分，最高得100分。</w:t>
            </w:r>
          </w:p>
          <w:p w14:paraId="26BE90DD">
            <w:pPr>
              <w:rPr>
                <w:rFonts w:hint="eastAsia" w:ascii="宋体" w:hAnsi="宋体" w:eastAsia="宋体" w:cs="宋体"/>
                <w:sz w:val="21"/>
                <w:szCs w:val="21"/>
              </w:rPr>
            </w:pPr>
            <w:r>
              <w:rPr>
                <w:rFonts w:hint="eastAsia" w:ascii="宋体" w:hAnsi="宋体" w:eastAsia="宋体" w:cs="宋体"/>
                <w:sz w:val="21"/>
                <w:szCs w:val="21"/>
              </w:rPr>
              <w:t>（提供合同关键页（含签订合同双方的单位名称、合同项目名称、含签订合同双方的落款盖章、签订日期）及验收报告扫描件，原件备查。未提供或提供的不符合或提供不清晰导致无法判断的均不得分）</w:t>
            </w:r>
          </w:p>
        </w:tc>
      </w:tr>
      <w:tr w14:paraId="5E714D1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blCellSpacing w:w="0" w:type="dxa"/>
          <w:jc w:val="center"/>
        </w:trPr>
        <w:tc>
          <w:tcPr>
            <w:tcW w:w="496" w:type="pct"/>
            <w:vMerge w:val="continue"/>
            <w:tcBorders>
              <w:left w:val="single" w:color="000000" w:sz="8" w:space="0"/>
              <w:right w:val="single" w:color="000000" w:sz="8" w:space="0"/>
            </w:tcBorders>
            <w:shd w:val="clear" w:color="auto" w:fill="auto"/>
            <w:vAlign w:val="center"/>
          </w:tcPr>
          <w:p w14:paraId="2DC94308">
            <w:pPr>
              <w:spacing w:line="360" w:lineRule="auto"/>
              <w:jc w:val="center"/>
              <w:rPr>
                <w:rFonts w:hint="eastAsia" w:ascii="宋体" w:hAnsi="宋体" w:eastAsia="宋体" w:cs="宋体"/>
                <w:b/>
                <w:bCs/>
                <w:sz w:val="21"/>
                <w:szCs w:val="21"/>
              </w:rPr>
            </w:pPr>
          </w:p>
        </w:tc>
        <w:tc>
          <w:tcPr>
            <w:tcW w:w="47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C463027">
            <w:pPr>
              <w:spacing w:line="360" w:lineRule="auto"/>
              <w:jc w:val="center"/>
              <w:rPr>
                <w:rFonts w:hint="eastAsia" w:ascii="宋体" w:hAnsi="宋体" w:eastAsia="宋体" w:cs="宋体"/>
                <w:sz w:val="21"/>
                <w:szCs w:val="21"/>
              </w:rPr>
            </w:pPr>
            <w:r>
              <w:rPr>
                <w:rFonts w:hint="eastAsia" w:ascii="宋体" w:hAnsi="宋体" w:eastAsia="宋体" w:cs="宋体"/>
                <w:sz w:val="21"/>
                <w:szCs w:val="21"/>
              </w:rPr>
              <w:t>3</w:t>
            </w:r>
          </w:p>
        </w:tc>
        <w:tc>
          <w:tcPr>
            <w:tcW w:w="191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7C55F1">
            <w:pPr>
              <w:jc w:val="center"/>
              <w:rPr>
                <w:rFonts w:hint="eastAsia" w:ascii="宋体" w:hAnsi="宋体" w:eastAsia="宋体" w:cs="宋体"/>
                <w:sz w:val="21"/>
                <w:szCs w:val="21"/>
              </w:rPr>
            </w:pPr>
            <w:r>
              <w:rPr>
                <w:rFonts w:hint="eastAsia" w:ascii="宋体" w:hAnsi="宋体" w:eastAsia="宋体" w:cs="宋体"/>
                <w:sz w:val="21"/>
                <w:szCs w:val="21"/>
              </w:rPr>
              <w:t>投标人资质证书</w:t>
            </w:r>
          </w:p>
        </w:tc>
        <w:tc>
          <w:tcPr>
            <w:tcW w:w="9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A0214C">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9</w:t>
            </w:r>
          </w:p>
        </w:tc>
        <w:tc>
          <w:tcPr>
            <w:tcW w:w="4339" w:type="dxa"/>
            <w:tcBorders>
              <w:top w:val="single" w:color="000000" w:sz="8" w:space="0"/>
              <w:left w:val="single" w:color="000000" w:sz="8" w:space="0"/>
              <w:bottom w:val="single" w:color="000000" w:sz="8" w:space="0"/>
              <w:right w:val="single" w:color="000000" w:sz="8" w:space="0"/>
            </w:tcBorders>
            <w:shd w:val="clear" w:color="auto" w:fill="auto"/>
            <w:vAlign w:val="top"/>
          </w:tcPr>
          <w:p w14:paraId="6840B92A">
            <w:pPr>
              <w:rPr>
                <w:rFonts w:hint="eastAsia" w:ascii="宋体" w:hAnsi="宋体" w:eastAsia="宋体" w:cs="宋体"/>
                <w:sz w:val="21"/>
                <w:szCs w:val="21"/>
              </w:rPr>
            </w:pPr>
            <w:r>
              <w:rPr>
                <w:rFonts w:hint="eastAsia" w:ascii="宋体" w:hAnsi="宋体" w:eastAsia="宋体" w:cs="宋体"/>
                <w:sz w:val="21"/>
                <w:szCs w:val="21"/>
              </w:rPr>
              <w:t>（一）评分内容：</w:t>
            </w:r>
          </w:p>
          <w:p w14:paraId="6D3430BD">
            <w:pPr>
              <w:rPr>
                <w:rFonts w:hint="eastAsia" w:ascii="宋体" w:hAnsi="宋体" w:eastAsia="宋体" w:cs="宋体"/>
                <w:sz w:val="21"/>
                <w:szCs w:val="21"/>
              </w:rPr>
            </w:pPr>
            <w:r>
              <w:rPr>
                <w:rFonts w:hint="eastAsia" w:ascii="宋体" w:hAnsi="宋体" w:eastAsia="宋体" w:cs="宋体"/>
                <w:sz w:val="21"/>
                <w:szCs w:val="21"/>
              </w:rPr>
              <w:t>1、投标人具有质量管理体系认证证书、环境管理体系认证证书、职业健康安全管理体系认证证书，且以上证书认证范围均需包含计算机系统集成和电教设备的维护的，得30分；</w:t>
            </w:r>
          </w:p>
          <w:p w14:paraId="4DB52D07">
            <w:pPr>
              <w:rPr>
                <w:rFonts w:hint="eastAsia" w:ascii="宋体" w:hAnsi="宋体" w:eastAsia="宋体" w:cs="宋体"/>
                <w:sz w:val="21"/>
                <w:szCs w:val="21"/>
              </w:rPr>
            </w:pPr>
            <w:r>
              <w:rPr>
                <w:rFonts w:hint="eastAsia" w:ascii="宋体" w:hAnsi="宋体" w:eastAsia="宋体" w:cs="宋体"/>
                <w:sz w:val="21"/>
                <w:szCs w:val="21"/>
              </w:rPr>
              <w:t>2、投标人具有售后服务认证证书，且证书认证范围均需包含计算机系统集成、电教设备的维护所涉及的售后服务的，得20分；</w:t>
            </w:r>
          </w:p>
          <w:p w14:paraId="1CB5E5A7">
            <w:pPr>
              <w:rPr>
                <w:rFonts w:hint="eastAsia" w:ascii="宋体" w:hAnsi="宋体" w:eastAsia="宋体" w:cs="宋体"/>
                <w:sz w:val="21"/>
                <w:szCs w:val="21"/>
              </w:rPr>
            </w:pPr>
            <w:r>
              <w:rPr>
                <w:rFonts w:hint="eastAsia" w:ascii="宋体" w:hAnsi="宋体" w:eastAsia="宋体" w:cs="宋体"/>
                <w:sz w:val="21"/>
                <w:szCs w:val="21"/>
              </w:rPr>
              <w:t>3、投标人具有履约能力评价服务认证证书，且证书认证范围均需包含计算机系统集成和电教设备的维护的，得20分；</w:t>
            </w:r>
          </w:p>
          <w:p w14:paraId="1ED804C8">
            <w:pPr>
              <w:rPr>
                <w:rFonts w:hint="eastAsia" w:ascii="宋体" w:hAnsi="宋体" w:eastAsia="宋体" w:cs="宋体"/>
                <w:sz w:val="21"/>
                <w:szCs w:val="21"/>
              </w:rPr>
            </w:pPr>
            <w:r>
              <w:rPr>
                <w:rFonts w:hint="eastAsia" w:ascii="宋体" w:hAnsi="宋体" w:eastAsia="宋体" w:cs="宋体"/>
                <w:sz w:val="21"/>
                <w:szCs w:val="21"/>
              </w:rPr>
              <w:t>4、投标人具有信息系统服务交付能力等级证书（四级）或以上，且证书认证范围均需包含信息系统集成实施和运行维护服务的，得30分。</w:t>
            </w:r>
          </w:p>
          <w:p w14:paraId="6C753A9A">
            <w:pPr>
              <w:rPr>
                <w:rFonts w:hint="eastAsia" w:ascii="宋体" w:hAnsi="宋体" w:eastAsia="宋体" w:cs="宋体"/>
                <w:sz w:val="21"/>
                <w:szCs w:val="21"/>
              </w:rPr>
            </w:pPr>
            <w:r>
              <w:rPr>
                <w:rFonts w:hint="eastAsia" w:ascii="宋体" w:hAnsi="宋体" w:eastAsia="宋体" w:cs="宋体"/>
                <w:sz w:val="21"/>
                <w:szCs w:val="21"/>
              </w:rPr>
              <w:t>以上1-4项累计得分，最高得100分。</w:t>
            </w:r>
          </w:p>
          <w:p w14:paraId="3757EC43">
            <w:pPr>
              <w:rPr>
                <w:rFonts w:hint="eastAsia" w:ascii="宋体" w:hAnsi="宋体" w:eastAsia="宋体" w:cs="宋体"/>
                <w:sz w:val="21"/>
                <w:szCs w:val="21"/>
              </w:rPr>
            </w:pPr>
            <w:r>
              <w:rPr>
                <w:rFonts w:hint="eastAsia" w:ascii="宋体" w:hAnsi="宋体" w:eastAsia="宋体" w:cs="宋体"/>
                <w:sz w:val="21"/>
                <w:szCs w:val="21"/>
              </w:rPr>
              <w:t>（二）评分依据：</w:t>
            </w:r>
          </w:p>
          <w:p w14:paraId="7B14849D">
            <w:pPr>
              <w:rPr>
                <w:rFonts w:hint="eastAsia" w:ascii="宋体" w:hAnsi="宋体" w:eastAsia="宋体" w:cs="宋体"/>
                <w:sz w:val="21"/>
                <w:szCs w:val="21"/>
              </w:rPr>
            </w:pPr>
            <w:r>
              <w:rPr>
                <w:rFonts w:hint="eastAsia" w:ascii="宋体" w:hAnsi="宋体" w:eastAsia="宋体" w:cs="宋体"/>
                <w:sz w:val="21"/>
                <w:szCs w:val="21"/>
              </w:rPr>
              <w:t>提供有效期内的认证证书扫描件（如证书标明需年度审核的，需有已年审标志）及在全国认证认可信息公共服务平台（认e云）（网址：http://cx.cnca.cn/CertECloud/index/index/page）网站查询有效的截图并加盖投标人公章，原件备查。</w:t>
            </w:r>
          </w:p>
          <w:p w14:paraId="0ADC1035">
            <w:pPr>
              <w:rPr>
                <w:rFonts w:hint="eastAsia" w:ascii="宋体" w:hAnsi="宋体" w:eastAsia="宋体" w:cs="宋体"/>
                <w:sz w:val="21"/>
                <w:szCs w:val="21"/>
              </w:rPr>
            </w:pPr>
            <w:r>
              <w:rPr>
                <w:rFonts w:hint="eastAsia" w:ascii="宋体" w:hAnsi="宋体" w:eastAsia="宋体" w:cs="宋体"/>
                <w:sz w:val="21"/>
                <w:szCs w:val="21"/>
              </w:rPr>
              <w:t>上述证书如因投标人为新成立企业且成立时间不足三个月而未能获得的，提供相关情况说明（格式自拟），可获得对应证书得分。评分中出现无证明资料或专家无法凭所提供资料判断是否得分的情况，一律作不得分处理。</w:t>
            </w:r>
          </w:p>
        </w:tc>
      </w:tr>
      <w:tr w14:paraId="6A8D708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blCellSpacing w:w="0" w:type="dxa"/>
          <w:jc w:val="center"/>
        </w:trPr>
        <w:tc>
          <w:tcPr>
            <w:tcW w:w="496" w:type="pct"/>
            <w:vMerge w:val="continue"/>
            <w:tcBorders>
              <w:left w:val="single" w:color="000000" w:sz="8" w:space="0"/>
              <w:right w:val="single" w:color="000000" w:sz="8" w:space="0"/>
            </w:tcBorders>
            <w:shd w:val="clear" w:color="auto" w:fill="auto"/>
            <w:vAlign w:val="center"/>
          </w:tcPr>
          <w:p w14:paraId="1B251A75">
            <w:pPr>
              <w:spacing w:line="360" w:lineRule="auto"/>
              <w:jc w:val="center"/>
              <w:rPr>
                <w:rFonts w:hint="eastAsia" w:ascii="宋体" w:hAnsi="宋体" w:eastAsia="宋体" w:cs="宋体"/>
                <w:b/>
                <w:bCs/>
                <w:sz w:val="21"/>
                <w:szCs w:val="21"/>
              </w:rPr>
            </w:pPr>
          </w:p>
        </w:tc>
        <w:tc>
          <w:tcPr>
            <w:tcW w:w="47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13E256D">
            <w:pPr>
              <w:spacing w:line="360" w:lineRule="auto"/>
              <w:jc w:val="center"/>
              <w:rPr>
                <w:rFonts w:hint="eastAsia" w:ascii="宋体" w:hAnsi="宋体" w:eastAsia="宋体" w:cs="宋体"/>
                <w:sz w:val="21"/>
                <w:szCs w:val="21"/>
              </w:rPr>
            </w:pPr>
            <w:r>
              <w:rPr>
                <w:rFonts w:hint="eastAsia" w:ascii="宋体" w:hAnsi="宋体" w:eastAsia="宋体" w:cs="宋体"/>
                <w:sz w:val="21"/>
                <w:szCs w:val="21"/>
              </w:rPr>
              <w:t>4</w:t>
            </w:r>
          </w:p>
        </w:tc>
        <w:tc>
          <w:tcPr>
            <w:tcW w:w="191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39208D">
            <w:pPr>
              <w:jc w:val="center"/>
              <w:rPr>
                <w:rFonts w:hint="eastAsia" w:ascii="宋体" w:hAnsi="宋体" w:eastAsia="宋体" w:cs="宋体"/>
                <w:sz w:val="21"/>
                <w:szCs w:val="21"/>
              </w:rPr>
            </w:pPr>
            <w:r>
              <w:rPr>
                <w:rFonts w:hint="eastAsia" w:ascii="宋体" w:hAnsi="宋体" w:eastAsia="宋体" w:cs="宋体"/>
                <w:sz w:val="21"/>
                <w:szCs w:val="21"/>
                <w:lang w:bidi="ar"/>
              </w:rPr>
              <w:t>诚信承诺函</w:t>
            </w:r>
          </w:p>
        </w:tc>
        <w:tc>
          <w:tcPr>
            <w:tcW w:w="9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A0AD34">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5</w:t>
            </w:r>
          </w:p>
        </w:tc>
        <w:tc>
          <w:tcPr>
            <w:tcW w:w="4339" w:type="dxa"/>
            <w:tcBorders>
              <w:top w:val="single" w:color="000000" w:sz="8" w:space="0"/>
              <w:left w:val="single" w:color="000000" w:sz="8" w:space="0"/>
              <w:bottom w:val="single" w:color="000000" w:sz="8" w:space="0"/>
              <w:right w:val="single" w:color="000000" w:sz="8" w:space="0"/>
            </w:tcBorders>
            <w:shd w:val="clear" w:color="auto" w:fill="auto"/>
            <w:vAlign w:val="top"/>
          </w:tcPr>
          <w:p w14:paraId="6CC0981B">
            <w:pPr>
              <w:rPr>
                <w:rFonts w:hint="eastAsia" w:ascii="宋体" w:hAnsi="宋体" w:eastAsia="宋体" w:cs="宋体"/>
                <w:sz w:val="21"/>
                <w:szCs w:val="21"/>
              </w:rPr>
            </w:pPr>
            <w:r>
              <w:rPr>
                <w:rFonts w:hint="eastAsia" w:ascii="宋体" w:hAnsi="宋体" w:eastAsia="宋体" w:cs="宋体"/>
                <w:sz w:val="21"/>
                <w:szCs w:val="21"/>
              </w:rPr>
              <w:t>投标人承诺在参与自行采购活动中未出现诚信或安全相关问题且不在相关主管部门处理措施实施期限内的本项得100分，否则不得分。</w:t>
            </w:r>
          </w:p>
          <w:p w14:paraId="6542FBF6">
            <w:pPr>
              <w:rPr>
                <w:rFonts w:hint="eastAsia" w:ascii="宋体" w:hAnsi="宋体" w:eastAsia="宋体" w:cs="宋体"/>
                <w:sz w:val="21"/>
                <w:szCs w:val="21"/>
              </w:rPr>
            </w:pPr>
            <w:r>
              <w:rPr>
                <w:rFonts w:hint="eastAsia" w:ascii="宋体" w:hAnsi="宋体" w:eastAsia="宋体" w:cs="宋体"/>
                <w:sz w:val="21"/>
                <w:szCs w:val="21"/>
              </w:rPr>
              <w:t>评分依据：</w:t>
            </w:r>
          </w:p>
          <w:p w14:paraId="3144D303">
            <w:pPr>
              <w:rPr>
                <w:rFonts w:hint="eastAsia" w:ascii="宋体" w:hAnsi="宋体" w:eastAsia="宋体" w:cs="宋体"/>
                <w:sz w:val="21"/>
                <w:szCs w:val="21"/>
              </w:rPr>
            </w:pPr>
            <w:r>
              <w:rPr>
                <w:rFonts w:hint="eastAsia" w:ascii="宋体" w:hAnsi="宋体" w:eastAsia="宋体" w:cs="宋体"/>
                <w:sz w:val="21"/>
                <w:szCs w:val="21"/>
              </w:rPr>
              <w:t>投标人须提供的《诚信承诺函》，按采购文件格式要求提供，不提供或提供的不符合要求或提供不清晰导致专家无法判断的均不得分。如被认定提供的陈述与事实不符受到行政处罚的，依法追究其责任。</w:t>
            </w:r>
          </w:p>
        </w:tc>
      </w:tr>
    </w:tbl>
    <w:p w14:paraId="68953DCB">
      <w:pPr>
        <w:widowControl w:val="0"/>
        <w:jc w:val="both"/>
        <w:rPr>
          <w:rFonts w:ascii="Calibri" w:hAnsi="Calibri" w:eastAsia="宋体"/>
          <w:b/>
          <w:kern w:val="2"/>
          <w:sz w:val="84"/>
          <w:szCs w:val="84"/>
          <w:lang w:eastAsia="zh-CN"/>
        </w:rPr>
      </w:pPr>
    </w:p>
    <w:p w14:paraId="6831D71A">
      <w:pPr>
        <w:widowControl w:val="0"/>
        <w:jc w:val="both"/>
        <w:rPr>
          <w:rFonts w:ascii="Calibri" w:hAnsi="Calibri" w:eastAsia="宋体"/>
          <w:b/>
          <w:kern w:val="2"/>
          <w:sz w:val="84"/>
          <w:szCs w:val="84"/>
          <w:lang w:eastAsia="zh-CN"/>
        </w:rPr>
      </w:pPr>
    </w:p>
    <w:p w14:paraId="6E76CB84">
      <w:pPr>
        <w:widowControl w:val="0"/>
        <w:jc w:val="both"/>
        <w:rPr>
          <w:rFonts w:ascii="Calibri" w:hAnsi="Calibri" w:eastAsia="宋体"/>
          <w:b/>
          <w:kern w:val="2"/>
          <w:sz w:val="84"/>
          <w:szCs w:val="84"/>
          <w:lang w:eastAsia="zh-CN"/>
        </w:rPr>
      </w:pPr>
    </w:p>
    <w:p w14:paraId="2F97D153">
      <w:pPr>
        <w:widowControl w:val="0"/>
        <w:jc w:val="center"/>
        <w:rPr>
          <w:rFonts w:ascii="Calibri" w:hAnsi="Calibri" w:eastAsia="宋体"/>
          <w:b/>
          <w:kern w:val="2"/>
          <w:sz w:val="120"/>
          <w:szCs w:val="120"/>
          <w:lang w:eastAsia="zh-CN"/>
        </w:rPr>
      </w:pPr>
      <w:bookmarkStart w:id="144" w:name="_GoBack"/>
      <w:bookmarkEnd w:id="144"/>
      <w:r>
        <w:rPr>
          <w:rFonts w:hint="eastAsia" w:ascii="Calibri" w:hAnsi="Calibri" w:eastAsia="宋体" w:cstheme="minorBidi"/>
          <w:b/>
          <w:kern w:val="2"/>
          <w:sz w:val="120"/>
          <w:szCs w:val="120"/>
          <w:lang w:eastAsia="zh-CN"/>
        </w:rPr>
        <w:t>自行采购</w:t>
      </w:r>
    </w:p>
    <w:p w14:paraId="731EE384">
      <w:pPr>
        <w:widowControl w:val="0"/>
        <w:jc w:val="center"/>
        <w:rPr>
          <w:rFonts w:ascii="Calibri" w:hAnsi="Calibri" w:eastAsia="宋体"/>
          <w:b/>
          <w:kern w:val="2"/>
          <w:sz w:val="120"/>
          <w:szCs w:val="120"/>
          <w:lang w:eastAsia="zh-CN"/>
        </w:rPr>
      </w:pPr>
      <w:r>
        <w:rPr>
          <w:rFonts w:hint="eastAsia" w:ascii="Calibri" w:hAnsi="Calibri" w:eastAsia="宋体" w:cstheme="minorBidi"/>
          <w:b/>
          <w:kern w:val="2"/>
          <w:sz w:val="120"/>
          <w:szCs w:val="120"/>
          <w:lang w:eastAsia="zh-CN"/>
        </w:rPr>
        <w:t>招标文件</w:t>
      </w:r>
    </w:p>
    <w:p w14:paraId="7005F4DD">
      <w:pPr>
        <w:widowControl w:val="0"/>
        <w:jc w:val="center"/>
        <w:rPr>
          <w:rFonts w:ascii="Calibri" w:hAnsi="Calibri" w:eastAsia="宋体"/>
          <w:b/>
          <w:kern w:val="2"/>
          <w:sz w:val="52"/>
          <w:szCs w:val="52"/>
          <w:lang w:eastAsia="zh-CN"/>
        </w:rPr>
      </w:pPr>
      <w:r>
        <w:rPr>
          <w:rFonts w:hint="eastAsia" w:ascii="Calibri" w:hAnsi="Calibri" w:eastAsia="宋体" w:cstheme="minorBidi"/>
          <w:b/>
          <w:kern w:val="2"/>
          <w:sz w:val="52"/>
          <w:szCs w:val="52"/>
          <w:lang w:eastAsia="zh-CN"/>
        </w:rPr>
        <w:t>（货物类）</w:t>
      </w:r>
    </w:p>
    <w:p w14:paraId="608A5FC2">
      <w:pPr>
        <w:widowControl w:val="0"/>
        <w:jc w:val="both"/>
        <w:rPr>
          <w:rFonts w:ascii="Calibri" w:hAnsi="Calibri" w:eastAsia="宋体"/>
          <w:kern w:val="2"/>
          <w:sz w:val="21"/>
          <w:szCs w:val="22"/>
          <w:lang w:eastAsia="zh-CN"/>
        </w:rPr>
      </w:pPr>
    </w:p>
    <w:p w14:paraId="30E1F353">
      <w:pPr>
        <w:widowControl w:val="0"/>
        <w:jc w:val="both"/>
        <w:rPr>
          <w:rFonts w:ascii="Calibri" w:hAnsi="Calibri" w:eastAsia="宋体"/>
          <w:kern w:val="2"/>
          <w:sz w:val="21"/>
          <w:szCs w:val="22"/>
          <w:lang w:eastAsia="zh-CN"/>
        </w:rPr>
      </w:pPr>
    </w:p>
    <w:p w14:paraId="61FE6C45">
      <w:pPr>
        <w:widowControl w:val="0"/>
        <w:jc w:val="both"/>
        <w:rPr>
          <w:rFonts w:ascii="Calibri" w:hAnsi="Calibri" w:eastAsia="宋体"/>
          <w:kern w:val="2"/>
          <w:sz w:val="21"/>
          <w:szCs w:val="22"/>
          <w:lang w:eastAsia="zh-CN"/>
        </w:rPr>
      </w:pPr>
    </w:p>
    <w:p w14:paraId="5F215B59">
      <w:pPr>
        <w:widowControl w:val="0"/>
        <w:jc w:val="both"/>
        <w:rPr>
          <w:rFonts w:ascii="Calibri" w:hAnsi="Calibri" w:eastAsia="宋体"/>
          <w:kern w:val="2"/>
          <w:sz w:val="21"/>
          <w:szCs w:val="22"/>
          <w:lang w:eastAsia="zh-CN"/>
        </w:rPr>
      </w:pPr>
    </w:p>
    <w:p w14:paraId="4C6F8573">
      <w:pPr>
        <w:widowControl w:val="0"/>
        <w:jc w:val="both"/>
        <w:rPr>
          <w:rFonts w:ascii="Calibri" w:hAnsi="Calibri" w:eastAsia="宋体"/>
          <w:kern w:val="2"/>
          <w:sz w:val="21"/>
          <w:szCs w:val="22"/>
          <w:lang w:eastAsia="zh-CN"/>
        </w:rPr>
      </w:pPr>
    </w:p>
    <w:p w14:paraId="3381E97E">
      <w:pPr>
        <w:widowControl w:val="0"/>
        <w:jc w:val="both"/>
        <w:rPr>
          <w:rFonts w:ascii="Calibri" w:hAnsi="Calibri" w:eastAsia="宋体"/>
          <w:kern w:val="2"/>
          <w:sz w:val="21"/>
          <w:szCs w:val="22"/>
          <w:lang w:eastAsia="zh-CN"/>
        </w:rPr>
      </w:pPr>
    </w:p>
    <w:p w14:paraId="178225CA">
      <w:pPr>
        <w:widowControl w:val="0"/>
        <w:jc w:val="both"/>
        <w:rPr>
          <w:rFonts w:ascii="Calibri" w:hAnsi="Calibri" w:eastAsia="宋体"/>
          <w:kern w:val="2"/>
          <w:sz w:val="21"/>
          <w:szCs w:val="22"/>
          <w:lang w:eastAsia="zh-CN"/>
        </w:rPr>
      </w:pPr>
    </w:p>
    <w:p w14:paraId="2CAE9718">
      <w:pPr>
        <w:widowControl w:val="0"/>
        <w:jc w:val="both"/>
        <w:rPr>
          <w:rFonts w:ascii="Calibri" w:hAnsi="Calibri" w:eastAsia="宋体"/>
          <w:kern w:val="2"/>
          <w:sz w:val="21"/>
          <w:szCs w:val="22"/>
          <w:lang w:eastAsia="zh-CN"/>
        </w:rPr>
      </w:pPr>
    </w:p>
    <w:p w14:paraId="0E738A0B">
      <w:pPr>
        <w:widowControl w:val="0"/>
        <w:jc w:val="both"/>
        <w:rPr>
          <w:rFonts w:ascii="Calibri" w:hAnsi="Calibri" w:eastAsia="宋体"/>
          <w:kern w:val="2"/>
          <w:sz w:val="21"/>
          <w:szCs w:val="22"/>
          <w:lang w:eastAsia="zh-CN"/>
        </w:rPr>
      </w:pPr>
    </w:p>
    <w:p w14:paraId="59D82FF7">
      <w:pPr>
        <w:widowControl w:val="0"/>
        <w:jc w:val="both"/>
        <w:rPr>
          <w:rFonts w:ascii="Calibri" w:hAnsi="Calibri" w:eastAsia="宋体"/>
          <w:kern w:val="2"/>
          <w:sz w:val="21"/>
          <w:szCs w:val="22"/>
          <w:lang w:eastAsia="zh-CN"/>
        </w:rPr>
      </w:pPr>
    </w:p>
    <w:p w14:paraId="1319D0E0">
      <w:pPr>
        <w:widowControl w:val="0"/>
        <w:jc w:val="both"/>
        <w:rPr>
          <w:rFonts w:ascii="Calibri" w:hAnsi="Calibri" w:eastAsia="宋体"/>
          <w:kern w:val="2"/>
          <w:sz w:val="21"/>
          <w:szCs w:val="22"/>
          <w:lang w:eastAsia="zh-CN"/>
        </w:rPr>
      </w:pPr>
    </w:p>
    <w:p w14:paraId="04BFFAEE">
      <w:pPr>
        <w:widowControl w:val="0"/>
        <w:jc w:val="both"/>
        <w:rPr>
          <w:rFonts w:ascii="Calibri" w:hAnsi="Calibri" w:eastAsia="宋体"/>
          <w:kern w:val="2"/>
          <w:sz w:val="21"/>
          <w:szCs w:val="22"/>
          <w:lang w:eastAsia="zh-CN"/>
        </w:rPr>
      </w:pPr>
    </w:p>
    <w:p w14:paraId="1AFA2813">
      <w:pPr>
        <w:widowControl w:val="0"/>
        <w:jc w:val="center"/>
        <w:rPr>
          <w:rFonts w:ascii="Calibri" w:hAnsi="Calibri" w:eastAsia="宋体"/>
          <w:b/>
          <w:kern w:val="2"/>
          <w:sz w:val="44"/>
          <w:szCs w:val="44"/>
          <w:lang w:eastAsia="zh-CN"/>
        </w:rPr>
      </w:pPr>
      <w:r>
        <w:rPr>
          <w:rFonts w:hint="eastAsia" w:ascii="宋体" w:hAnsi="宋体" w:eastAsia="宋体" w:cstheme="minorBidi"/>
          <w:b/>
          <w:kern w:val="2"/>
          <w:sz w:val="44"/>
          <w:szCs w:val="44"/>
          <w:lang w:eastAsia="zh-CN"/>
        </w:rPr>
        <w:t>深圳市千里招标代理有限公司</w:t>
      </w:r>
    </w:p>
    <w:p w14:paraId="2E378390">
      <w:pPr>
        <w:widowControl w:val="0"/>
        <w:jc w:val="center"/>
        <w:rPr>
          <w:rFonts w:ascii="Calibri" w:hAnsi="Calibri" w:eastAsia="宋体"/>
          <w:b/>
          <w:kern w:val="2"/>
          <w:sz w:val="44"/>
          <w:szCs w:val="44"/>
          <w:lang w:eastAsia="zh-CN"/>
        </w:rPr>
      </w:pPr>
      <w:r>
        <w:rPr>
          <w:rFonts w:hint="eastAsia" w:ascii="宋体" w:hAnsi="宋体" w:eastAsia="宋体" w:cstheme="minorBidi"/>
          <w:b/>
          <w:kern w:val="2"/>
          <w:sz w:val="44"/>
          <w:szCs w:val="44"/>
          <w:lang w:eastAsia="zh-CN"/>
        </w:rPr>
        <w:t>（</w:t>
      </w:r>
      <w:r>
        <w:rPr>
          <w:rFonts w:ascii="Calibri" w:hAnsi="Calibri" w:eastAsia="宋体" w:cstheme="minorBidi"/>
          <w:b/>
          <w:kern w:val="2"/>
          <w:sz w:val="44"/>
          <w:szCs w:val="44"/>
          <w:lang w:eastAsia="zh-CN"/>
        </w:rPr>
        <w:t>20</w:t>
      </w:r>
      <w:r>
        <w:rPr>
          <w:rFonts w:hint="eastAsia" w:ascii="Calibri" w:hAnsi="Calibri" w:eastAsia="宋体" w:cstheme="minorBidi"/>
          <w:b/>
          <w:kern w:val="2"/>
          <w:sz w:val="44"/>
          <w:szCs w:val="44"/>
          <w:lang w:eastAsia="zh-CN"/>
        </w:rPr>
        <w:t>25</w:t>
      </w:r>
      <w:r>
        <w:rPr>
          <w:rFonts w:hint="eastAsia" w:ascii="宋体" w:hAnsi="宋体" w:eastAsia="宋体" w:cstheme="minorBidi"/>
          <w:b/>
          <w:kern w:val="2"/>
          <w:sz w:val="44"/>
          <w:szCs w:val="44"/>
          <w:lang w:eastAsia="zh-CN"/>
        </w:rPr>
        <w:t>）</w:t>
      </w:r>
    </w:p>
    <w:p w14:paraId="6998C7C2">
      <w:pPr>
        <w:widowControl w:val="0"/>
        <w:ind w:firstLine="6786" w:firstLineChars="1300"/>
        <w:jc w:val="center"/>
        <w:rPr>
          <w:rFonts w:ascii="Calibri" w:hAnsi="Calibri" w:eastAsia="宋体"/>
          <w:bCs/>
          <w:color w:val="FF0000"/>
          <w:kern w:val="2"/>
          <w:sz w:val="21"/>
          <w:szCs w:val="22"/>
          <w:lang w:eastAsia="zh-CN"/>
        </w:rPr>
      </w:pPr>
      <w:r>
        <w:rPr>
          <w:rFonts w:hint="eastAsia" w:ascii="Calibri" w:hAnsi="Calibri" w:eastAsia="宋体" w:cstheme="minorBidi"/>
          <w:b/>
          <w:color w:val="FF0000"/>
          <w:kern w:val="2"/>
          <w:sz w:val="52"/>
          <w:szCs w:val="52"/>
          <w:lang w:eastAsia="zh-CN"/>
        </w:rPr>
        <w:br w:type="page"/>
      </w:r>
    </w:p>
    <w:p w14:paraId="593A05AC">
      <w:pPr>
        <w:widowControl w:val="0"/>
        <w:ind w:firstLine="3654" w:firstLineChars="1300"/>
        <w:jc w:val="both"/>
        <w:rPr>
          <w:rFonts w:ascii="宋体" w:hAnsi="宋体" w:eastAsia="宋体"/>
          <w:color w:val="FF0000"/>
          <w:kern w:val="2"/>
          <w:sz w:val="21"/>
          <w:szCs w:val="21"/>
          <w:lang w:eastAsia="zh-CN"/>
        </w:rPr>
      </w:pPr>
      <w:bookmarkStart w:id="1" w:name="_Hlk73564573"/>
      <w:r>
        <w:rPr>
          <w:rFonts w:hint="eastAsia" w:ascii="宋体" w:hAnsi="宋体" w:eastAsia="黑体" w:cstheme="minorBidi"/>
          <w:b/>
          <w:bCs/>
          <w:color w:val="FF0000"/>
          <w:kern w:val="44"/>
          <w:sz w:val="28"/>
          <w:szCs w:val="44"/>
          <w:lang w:eastAsia="zh-CN"/>
        </w:rPr>
        <w:t>警示条款</w:t>
      </w:r>
    </w:p>
    <w:p w14:paraId="111E3C9B">
      <w:pPr>
        <w:widowControl w:val="0"/>
        <w:ind w:firstLine="400" w:firstLineChars="200"/>
        <w:jc w:val="both"/>
        <w:rPr>
          <w:rFonts w:ascii="宋体" w:hAnsi="宋体" w:eastAsia="宋体"/>
          <w:color w:val="FF0000"/>
          <w:kern w:val="2"/>
          <w:sz w:val="20"/>
          <w:szCs w:val="20"/>
          <w:lang w:eastAsia="zh-CN"/>
        </w:rPr>
      </w:pPr>
      <w:r>
        <w:rPr>
          <w:rFonts w:hint="eastAsia" w:ascii="宋体" w:hAnsi="宋体" w:eastAsia="宋体" w:cstheme="minorBidi"/>
          <w:color w:val="FF0000"/>
          <w:kern w:val="2"/>
          <w:sz w:val="20"/>
          <w:szCs w:val="20"/>
          <w:lang w:eastAsia="zh-CN"/>
        </w:rPr>
        <w:t>一、</w:t>
      </w:r>
      <w:r>
        <w:rPr>
          <w:rFonts w:hint="eastAsia" w:ascii="宋体" w:hAnsi="宋体" w:eastAsia="宋体" w:cstheme="minorBidi"/>
          <w:b/>
          <w:bCs/>
          <w:color w:val="FF0000"/>
          <w:kern w:val="2"/>
          <w:sz w:val="20"/>
          <w:szCs w:val="20"/>
          <w:lang w:eastAsia="zh-CN"/>
        </w:rPr>
        <w:t>《深圳经济特区政府采购条例》第五十七条</w:t>
      </w:r>
      <w:r>
        <w:rPr>
          <w:rFonts w:hint="eastAsia" w:ascii="宋体" w:hAnsi="宋体" w:eastAsia="宋体" w:cstheme="minorBidi"/>
          <w:color w:val="FF0000"/>
          <w:kern w:val="2"/>
          <w:sz w:val="20"/>
          <w:szCs w:val="20"/>
          <w:lang w:eastAsia="zh-CN"/>
        </w:rPr>
        <w:t>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14:paraId="1B4FD745">
      <w:pPr>
        <w:widowControl w:val="0"/>
        <w:ind w:firstLine="400" w:firstLineChars="200"/>
        <w:jc w:val="both"/>
        <w:rPr>
          <w:rFonts w:ascii="宋体" w:hAnsi="宋体" w:eastAsia="宋体"/>
          <w:color w:val="FF0000"/>
          <w:kern w:val="2"/>
          <w:sz w:val="20"/>
          <w:szCs w:val="20"/>
          <w:lang w:eastAsia="zh-CN"/>
        </w:rPr>
      </w:pPr>
      <w:r>
        <w:rPr>
          <w:rFonts w:hint="eastAsia" w:ascii="宋体" w:hAnsi="宋体" w:eastAsia="宋体" w:cstheme="minorBidi"/>
          <w:color w:val="FF0000"/>
          <w:kern w:val="2"/>
          <w:sz w:val="20"/>
          <w:szCs w:val="20"/>
          <w:lang w:eastAsia="zh-CN"/>
        </w:rPr>
        <w:t>（一）在采购活动中应当回避而未回避的；</w:t>
      </w:r>
    </w:p>
    <w:p w14:paraId="6BD3B445">
      <w:pPr>
        <w:widowControl w:val="0"/>
        <w:ind w:firstLine="400" w:firstLineChars="200"/>
        <w:jc w:val="both"/>
        <w:rPr>
          <w:rFonts w:ascii="宋体" w:hAnsi="宋体" w:eastAsia="宋体"/>
          <w:color w:val="FF0000"/>
          <w:kern w:val="2"/>
          <w:sz w:val="20"/>
          <w:szCs w:val="20"/>
          <w:lang w:eastAsia="zh-CN"/>
        </w:rPr>
      </w:pPr>
      <w:r>
        <w:rPr>
          <w:rFonts w:hint="eastAsia" w:ascii="宋体" w:hAnsi="宋体" w:eastAsia="宋体" w:cstheme="minorBidi"/>
          <w:color w:val="FF0000"/>
          <w:kern w:val="2"/>
          <w:sz w:val="20"/>
          <w:szCs w:val="20"/>
          <w:lang w:eastAsia="zh-CN"/>
        </w:rPr>
        <w:t>（二）未按本条例规定签订、履行采购合同，造成严重后果的；</w:t>
      </w:r>
    </w:p>
    <w:p w14:paraId="726ECC5E">
      <w:pPr>
        <w:widowControl w:val="0"/>
        <w:ind w:firstLine="400" w:firstLineChars="200"/>
        <w:jc w:val="both"/>
        <w:rPr>
          <w:rFonts w:ascii="宋体" w:hAnsi="宋体" w:eastAsia="宋体"/>
          <w:color w:val="FF0000"/>
          <w:kern w:val="2"/>
          <w:sz w:val="20"/>
          <w:szCs w:val="20"/>
          <w:lang w:eastAsia="zh-CN"/>
        </w:rPr>
      </w:pPr>
      <w:r>
        <w:rPr>
          <w:rFonts w:hint="eastAsia" w:ascii="宋体" w:hAnsi="宋体" w:eastAsia="宋体" w:cstheme="minorBidi"/>
          <w:color w:val="FF0000"/>
          <w:kern w:val="2"/>
          <w:sz w:val="20"/>
          <w:szCs w:val="20"/>
          <w:lang w:eastAsia="zh-CN"/>
        </w:rPr>
        <w:t>（三）隐瞒真实情况，提供虚假资料的；</w:t>
      </w:r>
    </w:p>
    <w:p w14:paraId="09BBD779">
      <w:pPr>
        <w:widowControl w:val="0"/>
        <w:ind w:firstLine="400" w:firstLineChars="200"/>
        <w:jc w:val="both"/>
        <w:rPr>
          <w:rFonts w:ascii="宋体" w:hAnsi="宋体" w:eastAsia="宋体"/>
          <w:color w:val="FF0000"/>
          <w:kern w:val="2"/>
          <w:sz w:val="20"/>
          <w:szCs w:val="20"/>
          <w:lang w:eastAsia="zh-CN"/>
        </w:rPr>
      </w:pPr>
      <w:r>
        <w:rPr>
          <w:rFonts w:hint="eastAsia" w:ascii="宋体" w:hAnsi="宋体" w:eastAsia="宋体" w:cstheme="minorBidi"/>
          <w:color w:val="FF0000"/>
          <w:kern w:val="2"/>
          <w:sz w:val="20"/>
          <w:szCs w:val="20"/>
          <w:lang w:eastAsia="zh-CN"/>
        </w:rPr>
        <w:t>（四）以非法手段排斥其他供应商参与竞争的；</w:t>
      </w:r>
    </w:p>
    <w:p w14:paraId="3AF7B627">
      <w:pPr>
        <w:widowControl w:val="0"/>
        <w:ind w:firstLine="400" w:firstLineChars="200"/>
        <w:jc w:val="both"/>
        <w:rPr>
          <w:rFonts w:ascii="宋体" w:hAnsi="宋体" w:eastAsia="宋体"/>
          <w:color w:val="FF0000"/>
          <w:kern w:val="2"/>
          <w:sz w:val="20"/>
          <w:szCs w:val="20"/>
          <w:lang w:eastAsia="zh-CN"/>
        </w:rPr>
      </w:pPr>
      <w:r>
        <w:rPr>
          <w:rFonts w:hint="eastAsia" w:ascii="宋体" w:hAnsi="宋体" w:eastAsia="宋体" w:cstheme="minorBidi"/>
          <w:color w:val="FF0000"/>
          <w:kern w:val="2"/>
          <w:sz w:val="20"/>
          <w:szCs w:val="20"/>
          <w:lang w:eastAsia="zh-CN"/>
        </w:rPr>
        <w:t>（五）与其他采购参加人串通投标的；</w:t>
      </w:r>
    </w:p>
    <w:p w14:paraId="78202B7C">
      <w:pPr>
        <w:widowControl w:val="0"/>
        <w:ind w:firstLine="400" w:firstLineChars="200"/>
        <w:jc w:val="both"/>
        <w:rPr>
          <w:rFonts w:ascii="宋体" w:hAnsi="宋体" w:eastAsia="宋体"/>
          <w:color w:val="FF0000"/>
          <w:kern w:val="2"/>
          <w:sz w:val="20"/>
          <w:szCs w:val="20"/>
          <w:lang w:eastAsia="zh-CN"/>
        </w:rPr>
      </w:pPr>
      <w:r>
        <w:rPr>
          <w:rFonts w:hint="eastAsia" w:ascii="宋体" w:hAnsi="宋体" w:eastAsia="宋体" w:cstheme="minorBidi"/>
          <w:color w:val="FF0000"/>
          <w:kern w:val="2"/>
          <w:sz w:val="20"/>
          <w:szCs w:val="20"/>
          <w:lang w:eastAsia="zh-CN"/>
        </w:rPr>
        <w:t>（六）恶意投诉的；</w:t>
      </w:r>
    </w:p>
    <w:p w14:paraId="0EF02B80">
      <w:pPr>
        <w:widowControl w:val="0"/>
        <w:ind w:firstLine="400" w:firstLineChars="200"/>
        <w:jc w:val="both"/>
        <w:rPr>
          <w:rFonts w:ascii="宋体" w:hAnsi="宋体" w:eastAsia="宋体"/>
          <w:color w:val="FF0000"/>
          <w:kern w:val="2"/>
          <w:sz w:val="20"/>
          <w:szCs w:val="20"/>
          <w:lang w:eastAsia="zh-CN"/>
        </w:rPr>
      </w:pPr>
      <w:r>
        <w:rPr>
          <w:rFonts w:hint="eastAsia" w:ascii="宋体" w:hAnsi="宋体" w:eastAsia="宋体" w:cstheme="minorBidi"/>
          <w:color w:val="FF0000"/>
          <w:kern w:val="2"/>
          <w:sz w:val="20"/>
          <w:szCs w:val="20"/>
          <w:lang w:eastAsia="zh-CN"/>
        </w:rPr>
        <w:t>（七）向采购项目相关人行贿或者提供其他不当利益的；</w:t>
      </w:r>
    </w:p>
    <w:p w14:paraId="32329409">
      <w:pPr>
        <w:widowControl w:val="0"/>
        <w:ind w:firstLine="400" w:firstLineChars="200"/>
        <w:jc w:val="both"/>
        <w:rPr>
          <w:rFonts w:ascii="宋体" w:hAnsi="宋体" w:eastAsia="宋体"/>
          <w:color w:val="FF0000"/>
          <w:kern w:val="2"/>
          <w:sz w:val="20"/>
          <w:szCs w:val="20"/>
          <w:lang w:eastAsia="zh-CN"/>
        </w:rPr>
      </w:pPr>
      <w:r>
        <w:rPr>
          <w:rFonts w:hint="eastAsia" w:ascii="宋体" w:hAnsi="宋体" w:eastAsia="宋体" w:cstheme="minorBidi"/>
          <w:color w:val="FF0000"/>
          <w:kern w:val="2"/>
          <w:sz w:val="20"/>
          <w:szCs w:val="20"/>
          <w:lang w:eastAsia="zh-CN"/>
        </w:rPr>
        <w:t>（八）阻碍、抗拒主管部门监督检查的；</w:t>
      </w:r>
    </w:p>
    <w:p w14:paraId="12B8633C">
      <w:pPr>
        <w:widowControl w:val="0"/>
        <w:ind w:firstLine="400" w:firstLineChars="200"/>
        <w:jc w:val="both"/>
        <w:rPr>
          <w:rFonts w:ascii="宋体" w:hAnsi="宋体" w:eastAsia="宋体"/>
          <w:color w:val="FF0000"/>
          <w:kern w:val="2"/>
          <w:sz w:val="20"/>
          <w:szCs w:val="20"/>
          <w:lang w:eastAsia="zh-CN"/>
        </w:rPr>
      </w:pPr>
      <w:r>
        <w:rPr>
          <w:rFonts w:hint="eastAsia" w:ascii="宋体" w:hAnsi="宋体" w:eastAsia="宋体" w:cstheme="minorBidi"/>
          <w:color w:val="FF0000"/>
          <w:kern w:val="2"/>
          <w:sz w:val="20"/>
          <w:szCs w:val="20"/>
          <w:lang w:eastAsia="zh-CN"/>
        </w:rPr>
        <w:t>（九）其他违反本条例规定的行为。</w:t>
      </w:r>
    </w:p>
    <w:p w14:paraId="0A1228F1">
      <w:pPr>
        <w:widowControl w:val="0"/>
        <w:ind w:firstLine="402" w:firstLineChars="200"/>
        <w:jc w:val="both"/>
        <w:rPr>
          <w:rFonts w:ascii="宋体" w:hAnsi="宋体" w:eastAsia="宋体"/>
          <w:color w:val="FF0000"/>
          <w:kern w:val="2"/>
          <w:sz w:val="20"/>
          <w:szCs w:val="20"/>
          <w:lang w:eastAsia="zh-CN"/>
        </w:rPr>
      </w:pPr>
      <w:r>
        <w:rPr>
          <w:rFonts w:hint="eastAsia" w:ascii="宋体" w:hAnsi="宋体" w:eastAsia="宋体" w:cstheme="minorBidi"/>
          <w:b/>
          <w:bCs/>
          <w:color w:val="FF0000"/>
          <w:kern w:val="2"/>
          <w:sz w:val="20"/>
          <w:szCs w:val="20"/>
          <w:lang w:eastAsia="zh-CN"/>
        </w:rPr>
        <w:t>二、《深圳经济特区政府采购条例实施细则》第七十五条</w:t>
      </w:r>
      <w:r>
        <w:rPr>
          <w:rFonts w:hint="eastAsia" w:ascii="宋体" w:hAnsi="宋体" w:eastAsia="宋体" w:cstheme="minorBidi"/>
          <w:color w:val="FF0000"/>
          <w:kern w:val="2"/>
          <w:sz w:val="20"/>
          <w:szCs w:val="20"/>
          <w:lang w:eastAsia="zh-CN"/>
        </w:rPr>
        <w:t>供应商有下列情形之一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14:paraId="461956E6">
      <w:pPr>
        <w:widowControl w:val="0"/>
        <w:ind w:firstLine="402" w:firstLineChars="200"/>
        <w:jc w:val="both"/>
        <w:rPr>
          <w:rFonts w:ascii="宋体" w:hAnsi="宋体" w:eastAsia="宋体"/>
          <w:color w:val="FF0000"/>
          <w:kern w:val="2"/>
          <w:sz w:val="20"/>
          <w:szCs w:val="20"/>
          <w:lang w:eastAsia="zh-CN"/>
        </w:rPr>
      </w:pPr>
      <w:r>
        <w:rPr>
          <w:rFonts w:hint="eastAsia" w:ascii="宋体" w:hAnsi="宋体" w:eastAsia="宋体" w:cstheme="minorBidi"/>
          <w:b/>
          <w:bCs/>
          <w:color w:val="FF0000"/>
          <w:kern w:val="2"/>
          <w:sz w:val="20"/>
          <w:szCs w:val="20"/>
          <w:lang w:eastAsia="zh-CN"/>
        </w:rPr>
        <w:t>三、《深圳经济特区政府采购条例实施细则》第七十七条</w:t>
      </w:r>
      <w:r>
        <w:rPr>
          <w:rFonts w:hint="eastAsia" w:ascii="宋体" w:hAnsi="宋体" w:eastAsia="宋体" w:cstheme="minorBidi"/>
          <w:color w:val="FF0000"/>
          <w:kern w:val="2"/>
          <w:sz w:val="20"/>
          <w:szCs w:val="20"/>
          <w:lang w:eastAsia="zh-CN"/>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14:paraId="02A4B1DD">
      <w:pPr>
        <w:widowControl w:val="0"/>
        <w:ind w:firstLine="400" w:firstLineChars="200"/>
        <w:jc w:val="both"/>
        <w:rPr>
          <w:rFonts w:ascii="宋体" w:hAnsi="宋体" w:eastAsia="宋体"/>
          <w:color w:val="FF0000"/>
          <w:kern w:val="2"/>
          <w:sz w:val="20"/>
          <w:szCs w:val="20"/>
          <w:lang w:eastAsia="zh-CN"/>
        </w:rPr>
      </w:pPr>
      <w:r>
        <w:rPr>
          <w:rFonts w:hint="eastAsia" w:ascii="宋体" w:hAnsi="宋体" w:eastAsia="宋体" w:cstheme="minorBidi"/>
          <w:color w:val="FF0000"/>
          <w:kern w:val="2"/>
          <w:sz w:val="20"/>
          <w:szCs w:val="20"/>
          <w:lang w:eastAsia="zh-CN"/>
        </w:rPr>
        <w:t>投标供应商不能提供项目负责人或者主要技术人员的劳动合同、社会保险等劳动关系证明材料的，视为存在前款第（三）项规定的情形。</w:t>
      </w:r>
    </w:p>
    <w:bookmarkEnd w:id="1"/>
    <w:p w14:paraId="49A3AF88">
      <w:pPr>
        <w:widowControl w:val="0"/>
        <w:ind w:firstLine="422" w:firstLineChars="200"/>
        <w:jc w:val="both"/>
        <w:rPr>
          <w:rFonts w:ascii="Calibri" w:hAnsi="Calibri" w:eastAsia="宋体"/>
          <w:b/>
          <w:color w:val="FF0000"/>
          <w:kern w:val="2"/>
          <w:sz w:val="21"/>
          <w:szCs w:val="22"/>
          <w:lang w:eastAsia="zh-CN"/>
        </w:rPr>
      </w:pPr>
      <w:r>
        <w:rPr>
          <w:rFonts w:hint="eastAsia" w:ascii="Calibri" w:hAnsi="Calibri" w:eastAsia="宋体" w:cstheme="minorBidi"/>
          <w:b/>
          <w:color w:val="FF0000"/>
          <w:kern w:val="2"/>
          <w:sz w:val="21"/>
          <w:szCs w:val="22"/>
          <w:lang w:eastAsia="zh-CN"/>
        </w:rPr>
        <w:t>四、请投标供应商阅读《政府采购违法行为风险知悉确认书》（内容详见“投标文件附件（信息不公开部分）”中节点“投标人认为需要加以说明的其他内容（格式自定）”），并经各投标供应商负责人或投标授权代表签字并加盖单位公章后，扫描上传至投标文件一并提交。注：该风险知悉确认书用于对供应商违法行为的警示，不作为供应商资格性审查及符合性审查条件。</w:t>
      </w:r>
    </w:p>
    <w:p w14:paraId="50FADEB5">
      <w:pPr>
        <w:widowControl w:val="0"/>
        <w:ind w:firstLine="400" w:firstLineChars="200"/>
        <w:jc w:val="both"/>
        <w:rPr>
          <w:rFonts w:ascii="Calibri" w:hAnsi="Calibri" w:eastAsia="宋体"/>
          <w:bCs/>
          <w:color w:val="FF0000"/>
          <w:kern w:val="2"/>
          <w:sz w:val="20"/>
          <w:szCs w:val="20"/>
          <w:lang w:eastAsia="zh-CN"/>
        </w:rPr>
      </w:pPr>
      <w:r>
        <w:rPr>
          <w:rFonts w:hint="eastAsia" w:ascii="Calibri" w:hAnsi="Calibri" w:eastAsia="宋体" w:cstheme="minorBidi"/>
          <w:bCs/>
          <w:color w:val="FF0000"/>
          <w:kern w:val="2"/>
          <w:sz w:val="20"/>
          <w:szCs w:val="20"/>
          <w:lang w:eastAsia="zh-CN"/>
        </w:rPr>
        <w:t>五、供应商在使用深圳政府采购智慧平台的投标文件制作工具创建投标文件时，该工具将自动在投标文件中记录文件创建标识码，同时提取投标文件制作电脑的网卡MAC地址、硬盘序列号、CPU序列号、主板序列号和工具标识号，经加密生成文件制作机器码并在投标文件中记录。文件制作机器码一致表明不同供应商使用了同一设备编制投标文件，文件创建标识码一致表明不同供应商的投标文件为同一份文件，IP地址一致表明上传投标文件时使用了相同的网络。</w:t>
      </w:r>
    </w:p>
    <w:p w14:paraId="346081B4">
      <w:pPr>
        <w:widowControl w:val="0"/>
        <w:ind w:firstLine="400" w:firstLineChars="200"/>
        <w:jc w:val="both"/>
        <w:rPr>
          <w:rFonts w:ascii="Calibri" w:hAnsi="Calibri" w:eastAsia="宋体"/>
          <w:bCs/>
          <w:color w:val="FF0000"/>
          <w:kern w:val="2"/>
          <w:sz w:val="20"/>
          <w:szCs w:val="20"/>
          <w:lang w:eastAsia="zh-CN"/>
        </w:rPr>
      </w:pPr>
      <w:r>
        <w:rPr>
          <w:rFonts w:hint="eastAsia" w:ascii="Calibri" w:hAnsi="Calibri" w:eastAsia="宋体" w:cstheme="minorBidi"/>
          <w:bCs/>
          <w:color w:val="FF0000"/>
          <w:kern w:val="2"/>
          <w:sz w:val="20"/>
          <w:szCs w:val="20"/>
          <w:lang w:eastAsia="zh-CN"/>
        </w:rPr>
        <w:t>为避免出现不同供应商投标文件的文件制作机器码、文件创建标识码、IP地址一致的异常情况，建议各供应商编制、上传投标文件时不要使用公共电脑设备或公共网络。</w:t>
      </w:r>
    </w:p>
    <w:p w14:paraId="055158AC">
      <w:pPr>
        <w:widowControl w:val="0"/>
        <w:ind w:firstLine="400" w:firstLineChars="200"/>
        <w:jc w:val="both"/>
        <w:rPr>
          <w:rFonts w:ascii="Calibri" w:hAnsi="Calibri" w:eastAsia="宋体"/>
          <w:bCs/>
          <w:color w:val="FF0000"/>
          <w:kern w:val="2"/>
          <w:sz w:val="20"/>
          <w:szCs w:val="20"/>
          <w:lang w:eastAsia="zh-CN"/>
        </w:rPr>
      </w:pPr>
      <w:r>
        <w:rPr>
          <w:rFonts w:hint="eastAsia" w:ascii="Calibri" w:hAnsi="Calibri" w:eastAsia="宋体" w:cstheme="minorBidi"/>
          <w:bCs/>
          <w:color w:val="FF0000"/>
          <w:kern w:val="2"/>
          <w:sz w:val="20"/>
          <w:szCs w:val="20"/>
          <w:lang w:eastAsia="zh-CN"/>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w:t>
      </w:r>
      <w:r>
        <w:rPr>
          <w:rFonts w:hint="eastAsia" w:ascii="宋体" w:hAnsi="宋体" w:eastAsia="宋体" w:cstheme="minorBidi"/>
          <w:color w:val="FF0000"/>
          <w:kern w:val="2"/>
          <w:sz w:val="20"/>
          <w:szCs w:val="20"/>
          <w:lang w:eastAsia="zh-CN"/>
        </w:rPr>
        <w:t>取消参与本市政府采购资格</w:t>
      </w:r>
      <w:r>
        <w:rPr>
          <w:rFonts w:hint="eastAsia" w:ascii="Calibri" w:hAnsi="宋体" w:eastAsia="宋体" w:cstheme="minorBidi"/>
          <w:color w:val="FF0000"/>
          <w:kern w:val="2"/>
          <w:sz w:val="20"/>
          <w:szCs w:val="20"/>
          <w:lang w:eastAsia="zh-CN"/>
        </w:rPr>
        <w:t>、</w:t>
      </w:r>
      <w:r>
        <w:rPr>
          <w:rFonts w:hint="eastAsia" w:ascii="宋体" w:hAnsi="宋体" w:eastAsia="宋体" w:cstheme="minorBidi"/>
          <w:color w:val="FF0000"/>
          <w:kern w:val="2"/>
          <w:sz w:val="20"/>
          <w:szCs w:val="20"/>
          <w:lang w:eastAsia="zh-CN"/>
        </w:rPr>
        <w:t>依法吊销其营业</w:t>
      </w:r>
      <w:r>
        <w:rPr>
          <w:rFonts w:hint="eastAsia" w:ascii="Calibri" w:hAnsi="宋体" w:eastAsia="宋体" w:cstheme="minorBidi"/>
          <w:color w:val="FF0000"/>
          <w:kern w:val="2"/>
          <w:sz w:val="20"/>
          <w:szCs w:val="20"/>
          <w:lang w:eastAsia="zh-CN"/>
        </w:rPr>
        <w:t>执照等行政处罚，</w:t>
      </w:r>
      <w:r>
        <w:rPr>
          <w:rFonts w:hint="eastAsia" w:ascii="宋体" w:hAnsi="宋体" w:eastAsia="宋体" w:cstheme="minorBidi"/>
          <w:color w:val="FF0000"/>
          <w:kern w:val="2"/>
          <w:sz w:val="20"/>
          <w:szCs w:val="20"/>
          <w:lang w:eastAsia="zh-CN"/>
        </w:rPr>
        <w:t>构成犯罪的，依法追究刑事责任</w:t>
      </w:r>
      <w:r>
        <w:rPr>
          <w:rFonts w:hint="eastAsia" w:ascii="Calibri" w:hAnsi="Calibri" w:eastAsia="宋体" w:cstheme="minorBidi"/>
          <w:bCs/>
          <w:color w:val="FF0000"/>
          <w:kern w:val="2"/>
          <w:sz w:val="20"/>
          <w:szCs w:val="20"/>
          <w:lang w:eastAsia="zh-CN"/>
        </w:rPr>
        <w:t>，请各供应商独立编制、上传投标文件，妥善保管和使用电子秘钥。</w:t>
      </w:r>
    </w:p>
    <w:p w14:paraId="6FBEF864">
      <w:pPr>
        <w:widowControl w:val="0"/>
        <w:snapToGrid w:val="0"/>
        <w:spacing w:line="360" w:lineRule="exact"/>
        <w:jc w:val="left"/>
        <w:rPr>
          <w:rFonts w:ascii="宋体" w:hAnsi="宋体" w:eastAsia="宋体" w:cs="宋体"/>
          <w:color w:val="000000"/>
          <w:lang w:eastAsia="zh-CN"/>
        </w:rPr>
      </w:pPr>
    </w:p>
    <w:p w14:paraId="1BF4337C">
      <w:pPr>
        <w:widowControl w:val="0"/>
        <w:snapToGrid w:val="0"/>
        <w:spacing w:line="360" w:lineRule="exact"/>
        <w:jc w:val="left"/>
        <w:rPr>
          <w:rFonts w:ascii="宋体" w:hAnsi="宋体" w:eastAsia="宋体" w:cs="宋体"/>
          <w:color w:val="000000"/>
          <w:lang w:eastAsia="zh-CN"/>
        </w:rPr>
      </w:pPr>
    </w:p>
    <w:p w14:paraId="70147025">
      <w:pPr>
        <w:widowControl w:val="0"/>
        <w:jc w:val="center"/>
        <w:outlineLvl w:val="0"/>
        <w:rPr>
          <w:rFonts w:ascii="Arial" w:hAnsi="Arial" w:eastAsia="宋体"/>
          <w:b/>
          <w:bCs/>
          <w:kern w:val="44"/>
          <w:sz w:val="32"/>
          <w:szCs w:val="32"/>
          <w:lang w:eastAsia="zh-CN"/>
        </w:rPr>
      </w:pPr>
      <w:r>
        <w:rPr>
          <w:rFonts w:hint="eastAsia" w:ascii="Arial" w:hAnsi="Arial" w:eastAsia="宋体"/>
          <w:b/>
          <w:bCs/>
          <w:kern w:val="44"/>
          <w:sz w:val="32"/>
          <w:szCs w:val="32"/>
          <w:lang w:eastAsia="zh-CN"/>
        </w:rPr>
        <w:t>目录</w:t>
      </w:r>
    </w:p>
    <w:p w14:paraId="2ED4EB08">
      <w:pPr>
        <w:widowControl w:val="0"/>
        <w:spacing w:line="360" w:lineRule="auto"/>
        <w:jc w:val="both"/>
        <w:rPr>
          <w:rFonts w:ascii="Calibri" w:hAnsi="Calibri" w:eastAsia="宋体"/>
          <w:b/>
          <w:kern w:val="2"/>
          <w:lang w:eastAsia="zh-CN"/>
        </w:rPr>
      </w:pPr>
      <w:r>
        <w:rPr>
          <w:rFonts w:hint="eastAsia" w:ascii="Calibri" w:hAnsi="Calibri" w:eastAsia="宋体" w:cstheme="minorBidi"/>
          <w:b/>
          <w:kern w:val="2"/>
          <w:lang w:eastAsia="zh-CN"/>
        </w:rPr>
        <w:t>第一册专用条款</w:t>
      </w:r>
    </w:p>
    <w:p w14:paraId="1D9DC064">
      <w:pPr>
        <w:widowControl w:val="0"/>
        <w:spacing w:line="360" w:lineRule="auto"/>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ab/>
      </w:r>
      <w:r>
        <w:rPr>
          <w:rFonts w:hint="eastAsia" w:ascii="宋体" w:hAnsi="宋体" w:eastAsia="宋体" w:cstheme="minorBidi"/>
          <w:kern w:val="2"/>
          <w:sz w:val="21"/>
          <w:szCs w:val="21"/>
          <w:lang w:eastAsia="zh-CN"/>
        </w:rPr>
        <w:t>关键信息</w:t>
      </w:r>
    </w:p>
    <w:p w14:paraId="2F314C32">
      <w:pPr>
        <w:widowControl w:val="0"/>
        <w:spacing w:line="360" w:lineRule="auto"/>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第一章招标公告</w:t>
      </w:r>
    </w:p>
    <w:p w14:paraId="0BA15445">
      <w:pPr>
        <w:widowControl w:val="0"/>
        <w:spacing w:line="360" w:lineRule="auto"/>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第二章对通用条款的补充内容及其他关键信息</w:t>
      </w:r>
    </w:p>
    <w:p w14:paraId="10EE4F46">
      <w:pPr>
        <w:widowControl w:val="0"/>
        <w:spacing w:line="360" w:lineRule="auto"/>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第三章用户需求书</w:t>
      </w:r>
    </w:p>
    <w:p w14:paraId="6D8E6DD8">
      <w:pPr>
        <w:widowControl w:val="0"/>
        <w:spacing w:line="360" w:lineRule="auto"/>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第四章投标文件组成要求及格式</w:t>
      </w:r>
    </w:p>
    <w:p w14:paraId="61760F37">
      <w:pPr>
        <w:widowControl w:val="0"/>
        <w:spacing w:line="360" w:lineRule="auto"/>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第五章合同条款及格式</w:t>
      </w:r>
    </w:p>
    <w:p w14:paraId="0BFC4B14">
      <w:pPr>
        <w:widowControl w:val="0"/>
        <w:spacing w:line="360" w:lineRule="auto"/>
        <w:jc w:val="both"/>
        <w:rPr>
          <w:rFonts w:ascii="Calibri" w:hAnsi="Calibri" w:eastAsia="宋体"/>
          <w:b/>
          <w:kern w:val="2"/>
          <w:szCs w:val="22"/>
          <w:lang w:eastAsia="zh-CN"/>
        </w:rPr>
      </w:pPr>
    </w:p>
    <w:p w14:paraId="0B55FC95">
      <w:pPr>
        <w:widowControl w:val="0"/>
        <w:spacing w:line="360" w:lineRule="auto"/>
        <w:jc w:val="both"/>
        <w:rPr>
          <w:rFonts w:ascii="Calibri" w:hAnsi="Calibri" w:eastAsia="宋体"/>
          <w:b/>
          <w:kern w:val="2"/>
          <w:lang w:eastAsia="zh-CN"/>
        </w:rPr>
      </w:pPr>
      <w:r>
        <w:rPr>
          <w:rFonts w:hint="eastAsia" w:ascii="Calibri" w:hAnsi="Calibri" w:eastAsia="宋体" w:cstheme="minorBidi"/>
          <w:b/>
          <w:kern w:val="2"/>
          <w:lang w:eastAsia="zh-CN"/>
        </w:rPr>
        <w:t>第二册通用条款</w:t>
      </w:r>
    </w:p>
    <w:p w14:paraId="1B873F33">
      <w:pPr>
        <w:widowControl w:val="0"/>
        <w:spacing w:line="360" w:lineRule="auto"/>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第一章总则</w:t>
      </w:r>
    </w:p>
    <w:p w14:paraId="13D05340">
      <w:pPr>
        <w:widowControl w:val="0"/>
        <w:spacing w:line="360" w:lineRule="auto"/>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第二章招标文件</w:t>
      </w:r>
    </w:p>
    <w:p w14:paraId="02300CA7">
      <w:pPr>
        <w:widowControl w:val="0"/>
        <w:spacing w:line="360" w:lineRule="auto"/>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第三章投标文件的编制</w:t>
      </w:r>
    </w:p>
    <w:p w14:paraId="30D6DE29">
      <w:pPr>
        <w:widowControl w:val="0"/>
        <w:spacing w:line="360" w:lineRule="auto"/>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第四章投标文件的递交</w:t>
      </w:r>
    </w:p>
    <w:p w14:paraId="6FC68D37">
      <w:pPr>
        <w:widowControl w:val="0"/>
        <w:spacing w:line="360" w:lineRule="auto"/>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第五章开标</w:t>
      </w:r>
    </w:p>
    <w:p w14:paraId="3FE64D2A">
      <w:pPr>
        <w:widowControl w:val="0"/>
        <w:spacing w:line="360" w:lineRule="auto"/>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第六章评审要求</w:t>
      </w:r>
    </w:p>
    <w:p w14:paraId="3F6E375F">
      <w:pPr>
        <w:widowControl w:val="0"/>
        <w:spacing w:line="360" w:lineRule="auto"/>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第七章评审程序及评审方法</w:t>
      </w:r>
    </w:p>
    <w:p w14:paraId="28E84248">
      <w:pPr>
        <w:widowControl w:val="0"/>
        <w:spacing w:line="360" w:lineRule="auto"/>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第八章定标及公示</w:t>
      </w:r>
    </w:p>
    <w:p w14:paraId="11142F2B">
      <w:pPr>
        <w:widowControl w:val="0"/>
        <w:spacing w:line="360" w:lineRule="auto"/>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第九章公开招标失败的后续处理</w:t>
      </w:r>
    </w:p>
    <w:p w14:paraId="3083E072">
      <w:pPr>
        <w:widowControl w:val="0"/>
        <w:spacing w:line="360" w:lineRule="auto"/>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第十章合同的授予与备案</w:t>
      </w:r>
    </w:p>
    <w:p w14:paraId="62E51EB4">
      <w:pPr>
        <w:widowControl w:val="0"/>
        <w:spacing w:line="360" w:lineRule="auto"/>
        <w:ind w:firstLine="1050" w:firstLineChars="50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第十一章质疑处理</w:t>
      </w:r>
    </w:p>
    <w:p w14:paraId="7C8EA617">
      <w:pPr>
        <w:widowControl w:val="0"/>
        <w:jc w:val="both"/>
        <w:rPr>
          <w:rFonts w:ascii="Calibri" w:hAnsi="Calibri" w:eastAsia="宋体"/>
          <w:kern w:val="2"/>
          <w:sz w:val="21"/>
          <w:szCs w:val="22"/>
          <w:lang w:eastAsia="zh-CN"/>
        </w:rPr>
      </w:pPr>
    </w:p>
    <w:p w14:paraId="081C8CD2">
      <w:pPr>
        <w:widowControl w:val="0"/>
        <w:jc w:val="both"/>
        <w:rPr>
          <w:rFonts w:ascii="Calibri" w:hAnsi="Calibri" w:eastAsia="宋体"/>
          <w:kern w:val="2"/>
          <w:sz w:val="21"/>
          <w:szCs w:val="22"/>
          <w:lang w:eastAsia="zh-CN"/>
        </w:rPr>
      </w:pPr>
    </w:p>
    <w:p w14:paraId="5B8FC7A4">
      <w:pPr>
        <w:widowControl/>
        <w:jc w:val="center"/>
        <w:rPr>
          <w:rFonts w:ascii="Arial" w:hAnsi="Arial" w:eastAsia="宋体"/>
          <w:b/>
          <w:bCs/>
          <w:kern w:val="44"/>
          <w:sz w:val="32"/>
          <w:szCs w:val="32"/>
          <w:lang w:eastAsia="zh-CN"/>
        </w:rPr>
      </w:pPr>
      <w:r>
        <w:rPr>
          <w:rFonts w:ascii="Calibri" w:hAnsi="Calibri" w:eastAsia="宋体" w:cstheme="minorBidi"/>
          <w:kern w:val="2"/>
          <w:sz w:val="21"/>
          <w:szCs w:val="22"/>
          <w:lang w:eastAsia="zh-CN"/>
        </w:rPr>
        <w:br w:type="page"/>
      </w:r>
      <w:r>
        <w:rPr>
          <w:rFonts w:hint="eastAsia" w:ascii="Arial" w:hAnsi="Arial" w:eastAsia="宋体"/>
          <w:b/>
          <w:bCs/>
          <w:kern w:val="44"/>
          <w:sz w:val="32"/>
          <w:szCs w:val="32"/>
          <w:lang w:eastAsia="zh-CN"/>
        </w:rPr>
        <w:t>第一册  专用条款</w:t>
      </w:r>
    </w:p>
    <w:p w14:paraId="1BBA26EC">
      <w:pPr>
        <w:keepNext/>
        <w:keepLines/>
        <w:widowControl w:val="0"/>
        <w:adjustRightInd w:val="0"/>
        <w:spacing w:before="260" w:after="260" w:line="360" w:lineRule="auto"/>
        <w:jc w:val="center"/>
        <w:textAlignment w:val="baseline"/>
        <w:outlineLvl w:val="1"/>
        <w:rPr>
          <w:rFonts w:ascii="宋体" w:hAnsi="宋体" w:eastAsia="宋体"/>
          <w:b/>
          <w:bCs/>
          <w:sz w:val="28"/>
          <w:szCs w:val="28"/>
          <w:lang w:eastAsia="zh-CN"/>
        </w:rPr>
      </w:pPr>
      <w:r>
        <w:rPr>
          <w:rFonts w:hint="eastAsia" w:ascii="宋体" w:hAnsi="宋体" w:eastAsia="宋体"/>
          <w:b/>
          <w:bCs/>
          <w:sz w:val="28"/>
          <w:szCs w:val="28"/>
          <w:lang w:eastAsia="zh-CN"/>
        </w:rPr>
        <w:t>第一章  招标公告</w:t>
      </w:r>
    </w:p>
    <w:p w14:paraId="688D2D13">
      <w:pPr>
        <w:widowControl w:val="0"/>
        <w:spacing w:line="360" w:lineRule="auto"/>
        <w:jc w:val="both"/>
        <w:rPr>
          <w:rFonts w:ascii="宋体" w:hAnsi="宋体" w:eastAsia="宋体" w:cs="宋体"/>
          <w:b/>
          <w:bCs/>
          <w:sz w:val="21"/>
          <w:szCs w:val="21"/>
          <w:lang w:eastAsia="zh-CN"/>
        </w:rPr>
      </w:pPr>
      <w:r>
        <w:rPr>
          <w:rFonts w:hint="eastAsia" w:ascii="宋体" w:hAnsi="宋体" w:eastAsia="宋体" w:cs="宋体"/>
          <w:b/>
          <w:bCs/>
          <w:sz w:val="21"/>
          <w:szCs w:val="21"/>
          <w:lang w:eastAsia="zh-CN"/>
        </w:rPr>
        <w:t>申请人的资格要求：</w:t>
      </w:r>
    </w:p>
    <w:p w14:paraId="2E927279">
      <w:pPr>
        <w:spacing w:after="60" w:afterLines="25" w:line="300" w:lineRule="auto"/>
        <w:rPr>
          <w:rFonts w:hint="eastAsia" w:ascii="宋体" w:hAnsi="宋体" w:eastAsia="宋体" w:cs="宋体"/>
          <w:sz w:val="21"/>
          <w:szCs w:val="21"/>
        </w:rPr>
      </w:pPr>
      <w:r>
        <w:rPr>
          <w:rFonts w:hint="eastAsia" w:ascii="宋体" w:hAnsi="宋体" w:eastAsia="宋体" w:cs="宋体"/>
          <w:sz w:val="21"/>
          <w:szCs w:val="21"/>
          <w:lang w:eastAsia="zh-CN"/>
        </w:rPr>
        <w:t>1</w:t>
      </w:r>
      <w:r>
        <w:rPr>
          <w:rFonts w:hint="eastAsia" w:ascii="宋体" w:hAnsi="宋体" w:eastAsia="宋体" w:cs="宋体"/>
          <w:sz w:val="21"/>
          <w:szCs w:val="21"/>
        </w:rPr>
        <w:t>、具有独立法人资格或具有独立承担民事责任的能力的其它组织（提供营业执照或事业单位法人证等法人证明扫描件，原件备查）。</w:t>
      </w:r>
    </w:p>
    <w:p w14:paraId="22D4F670">
      <w:pPr>
        <w:spacing w:after="60" w:afterLines="25" w:line="300" w:lineRule="auto"/>
        <w:rPr>
          <w:rFonts w:hint="eastAsia" w:ascii="宋体" w:hAnsi="宋体" w:eastAsia="宋体" w:cs="宋体"/>
          <w:sz w:val="21"/>
          <w:szCs w:val="21"/>
        </w:rPr>
      </w:pPr>
      <w:r>
        <w:rPr>
          <w:rFonts w:hint="eastAsia" w:ascii="宋体" w:hAnsi="宋体" w:eastAsia="宋体" w:cs="宋体"/>
          <w:sz w:val="21"/>
          <w:szCs w:val="21"/>
        </w:rPr>
        <w:t>2、参与本项目投标前三年内，在经营活动中没有重大违法记录（由供应商在《龙华区教育局自行采购投标及履约承诺函》中作出声明）。</w:t>
      </w:r>
    </w:p>
    <w:p w14:paraId="4139C00E">
      <w:pPr>
        <w:spacing w:after="60" w:afterLines="25" w:line="300" w:lineRule="auto"/>
        <w:rPr>
          <w:rFonts w:hint="eastAsia" w:ascii="宋体" w:hAnsi="宋体" w:eastAsia="宋体" w:cs="宋体"/>
          <w:sz w:val="21"/>
          <w:szCs w:val="21"/>
        </w:rPr>
      </w:pPr>
      <w:r>
        <w:rPr>
          <w:rFonts w:hint="eastAsia" w:ascii="宋体" w:hAnsi="宋体" w:eastAsia="宋体" w:cs="宋体"/>
          <w:sz w:val="21"/>
          <w:szCs w:val="21"/>
        </w:rPr>
        <w:t>3、参与本项目政府采购活动时不存在被有关部门禁止参与政府采购活动且在有效期内的情况（由供应商在《龙华区教育局自行采购投标及履约承诺函》中作出声明）。</w:t>
      </w:r>
    </w:p>
    <w:p w14:paraId="308592AB">
      <w:pPr>
        <w:spacing w:after="60" w:afterLines="25" w:line="300" w:lineRule="auto"/>
        <w:rPr>
          <w:rFonts w:hint="eastAsia" w:ascii="宋体" w:hAnsi="宋体" w:eastAsia="宋体" w:cs="宋体"/>
          <w:sz w:val="21"/>
          <w:szCs w:val="21"/>
        </w:rPr>
      </w:pPr>
      <w:r>
        <w:rPr>
          <w:rFonts w:hint="eastAsia" w:ascii="宋体" w:hAnsi="宋体" w:eastAsia="宋体" w:cs="宋体"/>
          <w:sz w:val="21"/>
          <w:szCs w:val="21"/>
        </w:rPr>
        <w:t>4、具备《中华人民共和国政府采购法》第二十二条第一款的条件（由供应商在《龙华区教育局自行采购投标及履约承诺函》中作出声明）。</w:t>
      </w:r>
    </w:p>
    <w:p w14:paraId="5477372F">
      <w:pPr>
        <w:spacing w:after="60" w:afterLines="25" w:line="300" w:lineRule="auto"/>
        <w:rPr>
          <w:rFonts w:hint="eastAsia" w:ascii="宋体" w:hAnsi="宋体" w:eastAsia="宋体" w:cs="宋体"/>
          <w:sz w:val="21"/>
          <w:szCs w:val="21"/>
        </w:rPr>
      </w:pPr>
      <w:r>
        <w:rPr>
          <w:rFonts w:hint="eastAsia" w:ascii="宋体" w:hAnsi="宋体" w:eastAsia="宋体" w:cs="宋体"/>
          <w:sz w:val="21"/>
          <w:szCs w:val="21"/>
        </w:rPr>
        <w:t>5、参与本项目政府采购活动时未被列入失信被执行人、重大税收违法失信主体、政府采购严重违法失信行为记录名单（由供应商在《龙华区教育局自行采购投标及履约承诺函》中作出承诺）。</w:t>
      </w:r>
    </w:p>
    <w:p w14:paraId="4250ADA0">
      <w:pPr>
        <w:spacing w:after="60" w:afterLines="25" w:line="300" w:lineRule="auto"/>
        <w:rPr>
          <w:rFonts w:hint="eastAsia" w:ascii="宋体" w:hAnsi="宋体" w:eastAsia="宋体" w:cs="宋体"/>
          <w:sz w:val="21"/>
          <w:szCs w:val="21"/>
        </w:rPr>
      </w:pPr>
      <w:r>
        <w:rPr>
          <w:rFonts w:hint="eastAsia" w:ascii="宋体" w:hAnsi="宋体" w:eastAsia="宋体" w:cs="宋体"/>
          <w:sz w:val="21"/>
          <w:szCs w:val="21"/>
        </w:rPr>
        <w:t>备注：“信用中国”中“信用服务”栏的“重大税收违法失信主体”“失信被执行人”“中国政府采购网”中的“政府采购严重违法失信行为记录名单”， “深圳信用网”以及 “深圳市政府采购监管网”为供应商信用信息的查询渠道，相关信息以开标当日的查询结果为准。</w:t>
      </w:r>
    </w:p>
    <w:p w14:paraId="2F1E66A8">
      <w:pPr>
        <w:spacing w:after="60" w:afterLines="25" w:line="300" w:lineRule="auto"/>
        <w:rPr>
          <w:rFonts w:hint="eastAsia" w:ascii="宋体" w:hAnsi="宋体" w:eastAsia="宋体" w:cs="宋体"/>
          <w:sz w:val="21"/>
          <w:szCs w:val="21"/>
        </w:rPr>
      </w:pPr>
      <w:r>
        <w:rPr>
          <w:rFonts w:hint="eastAsia" w:ascii="宋体" w:hAnsi="宋体" w:eastAsia="宋体" w:cs="宋体"/>
          <w:sz w:val="21"/>
          <w:szCs w:val="21"/>
        </w:rPr>
        <w:t>6、投标人不存在《深圳市财政局政府采购供应商信用信息管理办法》（深财规〔2023〕3 号）列明的严重违法失信行为（由供应商在</w:t>
      </w:r>
      <w:r>
        <w:rPr>
          <w:rFonts w:hint="eastAsia" w:ascii="宋体" w:hAnsi="宋体" w:eastAsia="宋体" w:cs="宋体"/>
          <w:bCs/>
          <w:sz w:val="21"/>
          <w:szCs w:val="21"/>
        </w:rPr>
        <w:t>《龙华区教育局自行采购投标及履约承诺函》</w:t>
      </w:r>
      <w:r>
        <w:rPr>
          <w:rFonts w:hint="eastAsia" w:ascii="宋体" w:hAnsi="宋体" w:eastAsia="宋体" w:cs="宋体"/>
          <w:sz w:val="21"/>
          <w:szCs w:val="21"/>
        </w:rPr>
        <w:t>中作出声明）。</w:t>
      </w:r>
    </w:p>
    <w:p w14:paraId="4D0F49E4">
      <w:pPr>
        <w:spacing w:after="60" w:afterLines="25" w:line="300" w:lineRule="auto"/>
        <w:rPr>
          <w:rFonts w:hint="eastAsia" w:ascii="宋体" w:hAnsi="宋体" w:eastAsia="宋体" w:cs="宋体"/>
          <w:sz w:val="21"/>
          <w:szCs w:val="21"/>
        </w:rPr>
      </w:pPr>
      <w:r>
        <w:rPr>
          <w:rFonts w:hint="eastAsia" w:ascii="宋体" w:hAnsi="宋体" w:eastAsia="宋体" w:cs="宋体"/>
          <w:sz w:val="21"/>
          <w:szCs w:val="21"/>
        </w:rPr>
        <w:t>7、为采购项目提供整体设计、规范编制或者项目管理、监理、检测等服务的供应商，不得再参加该采购项目同一合同项下的其他采购活动。（由供应商在《龙华区教育局自行采购投标及履约承诺函》中作出承诺）。</w:t>
      </w:r>
    </w:p>
    <w:p w14:paraId="583A6D14">
      <w:pPr>
        <w:spacing w:after="60" w:afterLines="25" w:line="300" w:lineRule="auto"/>
        <w:rPr>
          <w:rFonts w:hint="eastAsia" w:ascii="宋体" w:hAnsi="宋体" w:eastAsia="宋体" w:cs="宋体"/>
          <w:sz w:val="21"/>
          <w:szCs w:val="21"/>
        </w:rPr>
      </w:pPr>
      <w:r>
        <w:rPr>
          <w:rFonts w:hint="eastAsia" w:ascii="宋体" w:hAnsi="宋体" w:eastAsia="宋体" w:cs="宋体"/>
          <w:sz w:val="21"/>
          <w:szCs w:val="21"/>
        </w:rPr>
        <w:t>8、单位负责人为同一人或者存在直接控股、管理关系的不同供应商，不得参加同一合同项下的政府采购活动。（由供应商在《龙华区教育局自行采购投标及履约承诺函》中作出承诺）。</w:t>
      </w:r>
    </w:p>
    <w:p w14:paraId="5B0AF56C">
      <w:pPr>
        <w:spacing w:after="60" w:afterLines="25" w:line="300" w:lineRule="auto"/>
        <w:rPr>
          <w:rFonts w:hint="eastAsia" w:ascii="宋体" w:hAnsi="宋体" w:eastAsia="宋体" w:cs="宋体"/>
          <w:color w:val="FF0000"/>
          <w:sz w:val="21"/>
          <w:szCs w:val="21"/>
        </w:rPr>
      </w:pPr>
      <w:r>
        <w:rPr>
          <w:rFonts w:hint="eastAsia" w:ascii="宋体" w:hAnsi="宋体" w:eastAsia="宋体" w:cs="宋体"/>
          <w:color w:val="FF0000"/>
          <w:sz w:val="21"/>
          <w:szCs w:val="21"/>
        </w:rPr>
        <w:t>9、本项目不属于专门面向中小微企业采购项目。</w:t>
      </w:r>
    </w:p>
    <w:p w14:paraId="1ADAC8B5">
      <w:pPr>
        <w:spacing w:after="60" w:afterLines="25" w:line="300" w:lineRule="auto"/>
        <w:rPr>
          <w:rFonts w:hint="eastAsia" w:ascii="宋体" w:hAnsi="宋体" w:eastAsia="宋体" w:cs="宋体"/>
          <w:sz w:val="21"/>
          <w:szCs w:val="21"/>
        </w:rPr>
      </w:pPr>
      <w:r>
        <w:rPr>
          <w:rFonts w:hint="eastAsia" w:ascii="宋体" w:hAnsi="宋体" w:eastAsia="宋体" w:cs="宋体"/>
          <w:sz w:val="21"/>
          <w:szCs w:val="21"/>
        </w:rPr>
        <w:t>10、本项目不接受联合体投标，不接受进口产品参与投标，不允许转包、分包。（由供应商在《龙华区教育局自行采购投标及履约承诺函》中作出承诺）。</w:t>
      </w:r>
    </w:p>
    <w:p w14:paraId="3D097FEC">
      <w:pPr>
        <w:widowControl w:val="0"/>
        <w:spacing w:after="60" w:afterLines="25"/>
        <w:jc w:val="center"/>
        <w:rPr>
          <w:rFonts w:hint="eastAsia" w:ascii="宋体" w:hAnsi="宋体" w:eastAsia="宋体" w:cs="宋体"/>
          <w:sz w:val="21"/>
          <w:szCs w:val="21"/>
        </w:rPr>
      </w:pPr>
      <w:r>
        <w:rPr>
          <w:rFonts w:hint="eastAsia" w:ascii="宋体" w:hAnsi="宋体" w:eastAsia="宋体" w:cs="宋体"/>
          <w:sz w:val="21"/>
          <w:szCs w:val="21"/>
        </w:rPr>
        <w:t>11、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14:paraId="68E8AFE8">
      <w:pPr>
        <w:widowControl w:val="0"/>
        <w:spacing w:after="60" w:afterLines="25"/>
        <w:jc w:val="center"/>
        <w:rPr>
          <w:rFonts w:ascii="Calibri" w:hAnsi="Calibri" w:eastAsia="宋体"/>
          <w:b/>
          <w:color w:val="FF0000"/>
          <w:kern w:val="2"/>
          <w:sz w:val="30"/>
          <w:szCs w:val="30"/>
          <w:lang w:eastAsia="zh-CN"/>
        </w:rPr>
      </w:pPr>
      <w:r>
        <w:rPr>
          <w:rFonts w:hint="eastAsia" w:ascii="Arial" w:hAnsi="Arial" w:eastAsia="宋体"/>
          <w:b/>
          <w:color w:val="FF0000"/>
          <w:kern w:val="2"/>
          <w:sz w:val="30"/>
          <w:szCs w:val="30"/>
          <w:lang w:eastAsia="zh-CN"/>
        </w:rPr>
        <w:t>完整公告内容以网站公布信息为准，详见：深圳政府采购自行采购系统</w:t>
      </w:r>
      <w:r>
        <w:rPr>
          <w:rFonts w:hint="eastAsia" w:ascii="Calibri" w:hAnsi="Calibri" w:eastAsia="宋体" w:cstheme="minorBidi"/>
          <w:b/>
          <w:color w:val="FF0000"/>
          <w:kern w:val="2"/>
          <w:sz w:val="30"/>
          <w:szCs w:val="30"/>
          <w:lang w:eastAsia="zh-CN"/>
        </w:rPr>
        <w:t>网（https://zxcg.szggzy.com/home/index.html）</w:t>
      </w:r>
    </w:p>
    <w:p w14:paraId="5588847F">
      <w:pPr>
        <w:widowControl w:val="0"/>
        <w:spacing w:after="60" w:afterLines="25"/>
        <w:jc w:val="both"/>
        <w:rPr>
          <w:rFonts w:ascii="Arial" w:hAnsi="Arial" w:eastAsia="宋体"/>
          <w:b/>
          <w:color w:val="FF0000"/>
          <w:kern w:val="2"/>
          <w:sz w:val="30"/>
          <w:szCs w:val="30"/>
          <w:lang w:eastAsia="zh-CN"/>
        </w:rPr>
      </w:pPr>
    </w:p>
    <w:p w14:paraId="4ACE2762">
      <w:pPr>
        <w:widowControl w:val="0"/>
        <w:spacing w:after="60" w:afterLines="25"/>
        <w:jc w:val="both"/>
        <w:rPr>
          <w:rFonts w:ascii="Arial" w:hAnsi="Arial" w:eastAsia="宋体"/>
          <w:b/>
          <w:color w:val="FF0000"/>
          <w:kern w:val="2"/>
          <w:sz w:val="30"/>
          <w:szCs w:val="30"/>
          <w:lang w:eastAsia="zh-CN"/>
        </w:rPr>
      </w:pPr>
    </w:p>
    <w:p w14:paraId="4F34948B">
      <w:pPr>
        <w:keepNext/>
        <w:keepLines/>
        <w:widowControl w:val="0"/>
        <w:spacing w:before="260" w:after="260" w:line="416" w:lineRule="auto"/>
        <w:jc w:val="center"/>
        <w:outlineLvl w:val="1"/>
        <w:rPr>
          <w:rFonts w:ascii="宋体" w:hAnsi="宋体" w:eastAsia="宋体"/>
          <w:b/>
          <w:bCs/>
          <w:sz w:val="28"/>
          <w:szCs w:val="28"/>
          <w:lang w:eastAsia="zh-CN"/>
        </w:rPr>
      </w:pPr>
      <w:r>
        <w:rPr>
          <w:rFonts w:hint="eastAsia" w:ascii="宋体" w:hAnsi="宋体" w:eastAsia="宋体"/>
          <w:b/>
          <w:bCs/>
          <w:sz w:val="28"/>
          <w:szCs w:val="28"/>
          <w:lang w:eastAsia="zh-CN"/>
        </w:rPr>
        <w:t>第二章</w:t>
      </w:r>
      <w:bookmarkStart w:id="2" w:name="_Hlk71926094"/>
      <w:r>
        <w:rPr>
          <w:rFonts w:hint="eastAsia" w:ascii="宋体" w:hAnsi="宋体" w:eastAsia="宋体"/>
          <w:b/>
          <w:bCs/>
          <w:sz w:val="28"/>
          <w:szCs w:val="28"/>
          <w:lang w:eastAsia="zh-CN"/>
        </w:rPr>
        <w:t xml:space="preserve">  对通用条款的补充内容及其他关键信息</w:t>
      </w:r>
      <w:bookmarkEnd w:id="2"/>
    </w:p>
    <w:p w14:paraId="17723BE7">
      <w:pPr>
        <w:keepNext/>
        <w:keepLines/>
        <w:widowControl w:val="0"/>
        <w:adjustRightInd w:val="0"/>
        <w:spacing w:before="120" w:beforeLines="50" w:after="120" w:afterLines="50"/>
        <w:jc w:val="center"/>
        <w:textAlignment w:val="baseline"/>
        <w:outlineLvl w:val="2"/>
        <w:rPr>
          <w:rFonts w:ascii="宋体" w:hAnsi="宋体" w:eastAsia="宋体"/>
          <w:b/>
          <w:bCs/>
          <w:lang w:eastAsia="zh-CN"/>
        </w:rPr>
      </w:pPr>
      <w:bookmarkStart w:id="3" w:name="_Toc73517639"/>
      <w:bookmarkStart w:id="4" w:name="_Toc73521547"/>
      <w:bookmarkStart w:id="5" w:name="_Toc73518117"/>
      <w:bookmarkStart w:id="6" w:name="_Toc60560625"/>
      <w:bookmarkStart w:id="7" w:name="_Toc101074876"/>
      <w:bookmarkStart w:id="8" w:name="_Toc73521635"/>
      <w:bookmarkStart w:id="9" w:name="_Toc100052364"/>
      <w:bookmarkStart w:id="10" w:name="_Toc60631620"/>
      <w:r>
        <w:rPr>
          <w:rFonts w:hint="eastAsia" w:ascii="宋体" w:hAnsi="宋体" w:eastAsia="宋体"/>
          <w:b/>
          <w:bCs/>
          <w:lang w:eastAsia="zh-CN"/>
        </w:rPr>
        <w:t>一、对通用条款的补充内容</w:t>
      </w:r>
    </w:p>
    <w:tbl>
      <w:tblPr>
        <w:tblStyle w:val="7"/>
        <w:tblW w:w="5000" w:type="pct"/>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22"/>
        <w:gridCol w:w="1639"/>
        <w:gridCol w:w="6295"/>
      </w:tblGrid>
      <w:tr w14:paraId="45C2C2A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17B96378">
            <w:pPr>
              <w:widowControl w:val="0"/>
              <w:jc w:val="center"/>
              <w:rPr>
                <w:rFonts w:ascii="宋体" w:hAnsi="宋体" w:eastAsia="宋体"/>
                <w:b/>
                <w:bCs/>
                <w:kern w:val="2"/>
                <w:sz w:val="21"/>
                <w:szCs w:val="21"/>
                <w:lang w:eastAsia="zh-CN"/>
              </w:rPr>
            </w:pPr>
            <w:r>
              <w:rPr>
                <w:rFonts w:hint="eastAsia" w:ascii="宋体" w:hAnsi="宋体" w:eastAsia="宋体" w:cstheme="minorBidi"/>
                <w:b/>
                <w:bCs/>
                <w:kern w:val="2"/>
                <w:sz w:val="21"/>
                <w:szCs w:val="21"/>
                <w:lang w:eastAsia="zh-CN"/>
              </w:rPr>
              <w:t>通用条款序号</w:t>
            </w:r>
          </w:p>
        </w:tc>
        <w:tc>
          <w:tcPr>
            <w:tcW w:w="1755" w:type="dxa"/>
            <w:vAlign w:val="center"/>
          </w:tcPr>
          <w:p w14:paraId="0EAB0BEB">
            <w:pPr>
              <w:widowControl w:val="0"/>
              <w:jc w:val="center"/>
              <w:rPr>
                <w:rFonts w:ascii="宋体" w:hAnsi="宋体" w:eastAsia="宋体"/>
                <w:b/>
                <w:bCs/>
                <w:kern w:val="2"/>
                <w:sz w:val="21"/>
                <w:szCs w:val="21"/>
                <w:lang w:eastAsia="zh-CN"/>
              </w:rPr>
            </w:pPr>
            <w:r>
              <w:rPr>
                <w:rFonts w:hint="eastAsia" w:ascii="宋体" w:hAnsi="宋体" w:eastAsia="宋体" w:cstheme="minorBidi"/>
                <w:b/>
                <w:bCs/>
                <w:kern w:val="2"/>
                <w:sz w:val="21"/>
                <w:szCs w:val="21"/>
                <w:lang w:eastAsia="zh-CN"/>
              </w:rPr>
              <w:t>涉及事项</w:t>
            </w:r>
          </w:p>
        </w:tc>
        <w:tc>
          <w:tcPr>
            <w:tcW w:w="6795" w:type="dxa"/>
            <w:vAlign w:val="center"/>
          </w:tcPr>
          <w:p w14:paraId="58B4FEF3">
            <w:pPr>
              <w:widowControl w:val="0"/>
              <w:jc w:val="center"/>
              <w:rPr>
                <w:rFonts w:ascii="宋体" w:hAnsi="宋体" w:eastAsia="宋体"/>
                <w:b/>
                <w:bCs/>
                <w:kern w:val="2"/>
                <w:sz w:val="21"/>
                <w:szCs w:val="21"/>
                <w:lang w:eastAsia="zh-CN"/>
              </w:rPr>
            </w:pPr>
            <w:r>
              <w:rPr>
                <w:rFonts w:hint="eastAsia" w:ascii="宋体" w:hAnsi="宋体" w:eastAsia="宋体" w:cstheme="minorBidi"/>
                <w:b/>
                <w:bCs/>
                <w:kern w:val="2"/>
                <w:sz w:val="21"/>
                <w:szCs w:val="21"/>
                <w:lang w:eastAsia="zh-CN"/>
              </w:rPr>
              <w:t>具体补充内容</w:t>
            </w:r>
          </w:p>
        </w:tc>
      </w:tr>
      <w:tr w14:paraId="5CE843F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0B664C08">
            <w:pPr>
              <w:widowControl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3</w:t>
            </w:r>
            <w:r>
              <w:rPr>
                <w:rFonts w:ascii="宋体" w:hAnsi="宋体" w:eastAsia="宋体" w:cstheme="minorBidi"/>
                <w:kern w:val="2"/>
                <w:sz w:val="21"/>
                <w:szCs w:val="21"/>
                <w:lang w:eastAsia="zh-CN"/>
              </w:rPr>
              <w:t>.1</w:t>
            </w:r>
          </w:p>
        </w:tc>
        <w:tc>
          <w:tcPr>
            <w:tcW w:w="1755" w:type="dxa"/>
            <w:vAlign w:val="center"/>
          </w:tcPr>
          <w:p w14:paraId="05E9707F">
            <w:pPr>
              <w:widowControl w:val="0"/>
              <w:jc w:val="center"/>
              <w:rPr>
                <w:rFonts w:ascii="宋体" w:hAnsi="宋体" w:eastAsia="宋体"/>
                <w:kern w:val="2"/>
                <w:sz w:val="21"/>
                <w:szCs w:val="21"/>
                <w:highlight w:val="yellow"/>
                <w:lang w:eastAsia="zh-CN"/>
              </w:rPr>
            </w:pPr>
            <w:r>
              <w:rPr>
                <w:rFonts w:hint="eastAsia" w:ascii="宋体" w:hAnsi="宋体" w:eastAsia="宋体" w:cstheme="minorBidi"/>
                <w:kern w:val="2"/>
                <w:sz w:val="21"/>
                <w:szCs w:val="21"/>
                <w:lang w:eastAsia="zh-CN"/>
              </w:rPr>
              <w:t>采购人</w:t>
            </w:r>
          </w:p>
        </w:tc>
        <w:tc>
          <w:tcPr>
            <w:tcW w:w="6795" w:type="dxa"/>
            <w:vAlign w:val="center"/>
          </w:tcPr>
          <w:p w14:paraId="22321C7C">
            <w:pPr>
              <w:widowControl w:val="0"/>
              <w:jc w:val="left"/>
              <w:rPr>
                <w:rFonts w:hint="eastAsia" w:ascii="宋体" w:hAnsi="宋体" w:eastAsia="宋体"/>
                <w:kern w:val="2"/>
                <w:sz w:val="21"/>
                <w:szCs w:val="21"/>
                <w:highlight w:val="yellow"/>
                <w:lang w:eastAsia="zh-CN"/>
              </w:rPr>
            </w:pPr>
            <w:r>
              <w:rPr>
                <w:rFonts w:hint="eastAsia" w:ascii="宋体" w:hAnsi="宋体" w:eastAsia="宋体"/>
                <w:kern w:val="2"/>
                <w:sz w:val="21"/>
                <w:szCs w:val="21"/>
                <w:lang w:eastAsia="zh-CN"/>
              </w:rPr>
              <w:t>深圳市龙华高级中学教育集团</w:t>
            </w:r>
          </w:p>
        </w:tc>
      </w:tr>
      <w:tr w14:paraId="448F4F8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444CBC25">
            <w:pPr>
              <w:widowControl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3</w:t>
            </w:r>
            <w:r>
              <w:rPr>
                <w:rFonts w:ascii="宋体" w:hAnsi="宋体" w:eastAsia="宋体" w:cstheme="minorBidi"/>
                <w:kern w:val="2"/>
                <w:sz w:val="21"/>
                <w:szCs w:val="21"/>
                <w:lang w:eastAsia="zh-CN"/>
              </w:rPr>
              <w:t>.2</w:t>
            </w:r>
          </w:p>
        </w:tc>
        <w:tc>
          <w:tcPr>
            <w:tcW w:w="1755" w:type="dxa"/>
            <w:vAlign w:val="center"/>
          </w:tcPr>
          <w:p w14:paraId="32C936D9">
            <w:pPr>
              <w:widowControl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社会代理机构</w:t>
            </w:r>
          </w:p>
        </w:tc>
        <w:tc>
          <w:tcPr>
            <w:tcW w:w="6795" w:type="dxa"/>
            <w:vAlign w:val="center"/>
          </w:tcPr>
          <w:p w14:paraId="23658A0F">
            <w:pPr>
              <w:widowControl w:val="0"/>
              <w:jc w:val="left"/>
              <w:rPr>
                <w:rFonts w:ascii="宋体" w:hAnsi="宋体" w:eastAsia="宋体"/>
                <w:kern w:val="2"/>
                <w:sz w:val="21"/>
                <w:szCs w:val="21"/>
                <w:lang w:eastAsia="zh-CN"/>
              </w:rPr>
            </w:pPr>
            <w:r>
              <w:rPr>
                <w:rFonts w:hint="eastAsia" w:ascii="宋体" w:hAnsi="宋体" w:eastAsia="宋体" w:cs="Arial"/>
                <w:kern w:val="2"/>
                <w:sz w:val="21"/>
                <w:szCs w:val="21"/>
                <w:lang w:eastAsia="zh-CN"/>
              </w:rPr>
              <w:t>本文件所述的“</w:t>
            </w:r>
            <w:r>
              <w:rPr>
                <w:rFonts w:hint="eastAsia" w:ascii="宋体" w:hAnsi="宋体" w:eastAsia="宋体" w:cstheme="minorBidi"/>
                <w:kern w:val="2"/>
                <w:sz w:val="21"/>
                <w:szCs w:val="21"/>
                <w:lang w:eastAsia="zh-CN"/>
              </w:rPr>
              <w:t>社会代理机构</w:t>
            </w:r>
            <w:r>
              <w:rPr>
                <w:rFonts w:hint="eastAsia" w:ascii="宋体" w:hAnsi="宋体" w:eastAsia="宋体" w:cs="Arial"/>
                <w:kern w:val="2"/>
                <w:sz w:val="21"/>
                <w:szCs w:val="21"/>
                <w:lang w:eastAsia="zh-CN"/>
              </w:rPr>
              <w:t>”</w:t>
            </w:r>
            <w:r>
              <w:rPr>
                <w:rFonts w:ascii="宋体" w:hAnsi="宋体" w:eastAsia="宋体" w:cs="Arial"/>
                <w:kern w:val="2"/>
                <w:sz w:val="21"/>
                <w:szCs w:val="21"/>
                <w:lang w:eastAsia="zh-CN"/>
              </w:rPr>
              <w:t>指</w:t>
            </w:r>
            <w:r>
              <w:rPr>
                <w:rFonts w:hint="eastAsia" w:ascii="宋体" w:hAnsi="宋体" w:eastAsia="宋体" w:cs="Arial"/>
                <w:b/>
                <w:bCs/>
                <w:kern w:val="2"/>
                <w:sz w:val="21"/>
                <w:szCs w:val="21"/>
                <w:lang w:eastAsia="zh-CN"/>
              </w:rPr>
              <w:t>深圳市千里招标代理有限公司</w:t>
            </w:r>
            <w:r>
              <w:rPr>
                <w:rFonts w:hint="eastAsia" w:ascii="宋体" w:hAnsi="宋体" w:eastAsia="宋体"/>
                <w:kern w:val="2"/>
                <w:sz w:val="21"/>
                <w:szCs w:val="21"/>
                <w:lang w:eastAsia="zh-CN"/>
              </w:rPr>
              <w:t>。</w:t>
            </w:r>
          </w:p>
        </w:tc>
      </w:tr>
      <w:tr w14:paraId="59AA04A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568AFA26">
            <w:pPr>
              <w:widowControl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5</w:t>
            </w:r>
            <w:r>
              <w:rPr>
                <w:rFonts w:ascii="宋体" w:hAnsi="宋体" w:eastAsia="宋体" w:cstheme="minorBidi"/>
                <w:kern w:val="2"/>
                <w:sz w:val="21"/>
                <w:szCs w:val="21"/>
                <w:lang w:eastAsia="zh-CN"/>
              </w:rPr>
              <w:t>.3</w:t>
            </w:r>
          </w:p>
        </w:tc>
        <w:tc>
          <w:tcPr>
            <w:tcW w:w="1755" w:type="dxa"/>
            <w:vAlign w:val="center"/>
          </w:tcPr>
          <w:p w14:paraId="53937CED">
            <w:pPr>
              <w:widowControl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联合体投标</w:t>
            </w:r>
          </w:p>
        </w:tc>
        <w:tc>
          <w:tcPr>
            <w:tcW w:w="6795" w:type="dxa"/>
            <w:vAlign w:val="center"/>
          </w:tcPr>
          <w:p w14:paraId="2782A10A">
            <w:pPr>
              <w:widowControl w:val="0"/>
              <w:jc w:val="left"/>
              <w:rPr>
                <w:rFonts w:ascii="宋体" w:hAnsi="宋体" w:eastAsia="宋体"/>
                <w:kern w:val="2"/>
                <w:sz w:val="21"/>
                <w:szCs w:val="21"/>
                <w:lang w:eastAsia="zh-CN"/>
              </w:rPr>
            </w:pPr>
            <w:r>
              <w:rPr>
                <w:rFonts w:hint="eastAsia" w:ascii="宋体" w:hAnsi="宋体" w:eastAsia="宋体"/>
                <w:kern w:val="2"/>
                <w:sz w:val="21"/>
                <w:szCs w:val="21"/>
                <w:lang w:eastAsia="zh-CN"/>
              </w:rPr>
              <w:t>不接受</w:t>
            </w:r>
          </w:p>
        </w:tc>
      </w:tr>
      <w:tr w14:paraId="25B58A1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283A7815">
            <w:pPr>
              <w:widowControl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9</w:t>
            </w:r>
          </w:p>
        </w:tc>
        <w:tc>
          <w:tcPr>
            <w:tcW w:w="1755" w:type="dxa"/>
            <w:vAlign w:val="center"/>
          </w:tcPr>
          <w:p w14:paraId="6C18DA01">
            <w:pPr>
              <w:widowControl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踏勘现场</w:t>
            </w:r>
          </w:p>
        </w:tc>
        <w:tc>
          <w:tcPr>
            <w:tcW w:w="6795" w:type="dxa"/>
            <w:vAlign w:val="center"/>
          </w:tcPr>
          <w:p w14:paraId="1EE130A5">
            <w:pPr>
              <w:widowControl w:val="0"/>
              <w:jc w:val="left"/>
              <w:rPr>
                <w:rFonts w:ascii="宋体" w:hAnsi="宋体" w:eastAsia="宋体"/>
                <w:kern w:val="2"/>
                <w:sz w:val="21"/>
                <w:szCs w:val="21"/>
                <w:highlight w:val="yellow"/>
                <w:lang w:eastAsia="zh-CN"/>
              </w:rPr>
            </w:pPr>
            <w:r>
              <w:rPr>
                <w:rFonts w:hint="eastAsia" w:ascii="宋体" w:hAnsi="宋体" w:eastAsia="宋体"/>
                <w:kern w:val="2"/>
                <w:sz w:val="21"/>
                <w:szCs w:val="21"/>
                <w:lang w:eastAsia="zh-CN"/>
              </w:rPr>
              <w:t>不组织</w:t>
            </w:r>
          </w:p>
        </w:tc>
      </w:tr>
      <w:tr w14:paraId="27BF289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28902074">
            <w:pPr>
              <w:widowControl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1</w:t>
            </w:r>
            <w:r>
              <w:rPr>
                <w:rFonts w:ascii="宋体" w:hAnsi="宋体" w:eastAsia="宋体" w:cstheme="minorBidi"/>
                <w:kern w:val="2"/>
                <w:sz w:val="21"/>
                <w:szCs w:val="21"/>
                <w:lang w:eastAsia="zh-CN"/>
              </w:rPr>
              <w:t>0</w:t>
            </w:r>
          </w:p>
        </w:tc>
        <w:tc>
          <w:tcPr>
            <w:tcW w:w="1755" w:type="dxa"/>
            <w:vAlign w:val="center"/>
          </w:tcPr>
          <w:p w14:paraId="1C09A718">
            <w:pPr>
              <w:widowControl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标前会议</w:t>
            </w:r>
          </w:p>
        </w:tc>
        <w:tc>
          <w:tcPr>
            <w:tcW w:w="6795" w:type="dxa"/>
            <w:vAlign w:val="center"/>
          </w:tcPr>
          <w:p w14:paraId="0947442F">
            <w:pPr>
              <w:widowControl w:val="0"/>
              <w:jc w:val="left"/>
              <w:rPr>
                <w:rFonts w:ascii="宋体" w:hAnsi="宋体" w:eastAsia="宋体"/>
                <w:kern w:val="2"/>
                <w:sz w:val="21"/>
                <w:szCs w:val="21"/>
                <w:lang w:eastAsia="zh-CN"/>
              </w:rPr>
            </w:pPr>
            <w:r>
              <w:rPr>
                <w:rFonts w:hint="eastAsia" w:ascii="宋体" w:hAnsi="宋体" w:eastAsia="宋体"/>
                <w:kern w:val="2"/>
                <w:sz w:val="21"/>
                <w:szCs w:val="21"/>
                <w:lang w:eastAsia="zh-CN"/>
              </w:rPr>
              <w:t>不组织</w:t>
            </w:r>
          </w:p>
        </w:tc>
      </w:tr>
      <w:tr w14:paraId="2AE0610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4FFD9C03">
            <w:pPr>
              <w:widowControl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1</w:t>
            </w:r>
            <w:r>
              <w:rPr>
                <w:rFonts w:ascii="宋体" w:hAnsi="宋体" w:eastAsia="宋体" w:cstheme="minorBidi"/>
                <w:kern w:val="2"/>
                <w:sz w:val="21"/>
                <w:szCs w:val="21"/>
                <w:lang w:eastAsia="zh-CN"/>
              </w:rPr>
              <w:t>2</w:t>
            </w:r>
            <w:r>
              <w:rPr>
                <w:rFonts w:hint="eastAsia" w:ascii="宋体" w:hAnsi="宋体" w:eastAsia="宋体" w:cstheme="minorBidi"/>
                <w:kern w:val="2"/>
                <w:sz w:val="21"/>
                <w:szCs w:val="21"/>
                <w:lang w:eastAsia="zh-CN"/>
              </w:rPr>
              <w:t>/1</w:t>
            </w:r>
            <w:r>
              <w:rPr>
                <w:rFonts w:ascii="宋体" w:hAnsi="宋体" w:eastAsia="宋体" w:cstheme="minorBidi"/>
                <w:kern w:val="2"/>
                <w:sz w:val="21"/>
                <w:szCs w:val="21"/>
                <w:lang w:eastAsia="zh-CN"/>
              </w:rPr>
              <w:t>3</w:t>
            </w:r>
          </w:p>
        </w:tc>
        <w:tc>
          <w:tcPr>
            <w:tcW w:w="1755" w:type="dxa"/>
            <w:vAlign w:val="center"/>
          </w:tcPr>
          <w:p w14:paraId="24330EE7">
            <w:pPr>
              <w:widowControl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招标文件的澄清和修改</w:t>
            </w:r>
          </w:p>
        </w:tc>
        <w:tc>
          <w:tcPr>
            <w:tcW w:w="6795" w:type="dxa"/>
            <w:vAlign w:val="center"/>
          </w:tcPr>
          <w:p w14:paraId="6FCBFAE0">
            <w:pPr>
              <w:widowControl w:val="0"/>
              <w:jc w:val="left"/>
              <w:rPr>
                <w:rFonts w:ascii="宋体" w:hAnsi="宋体" w:eastAsia="宋体"/>
                <w:kern w:val="2"/>
                <w:sz w:val="21"/>
                <w:szCs w:val="21"/>
                <w:lang w:eastAsia="zh-CN"/>
              </w:rPr>
            </w:pPr>
            <w:r>
              <w:rPr>
                <w:rFonts w:hint="eastAsia" w:ascii="宋体" w:hAnsi="宋体" w:eastAsia="宋体" w:cstheme="minorBidi"/>
                <w:kern w:val="2"/>
                <w:sz w:val="21"/>
                <w:szCs w:val="21"/>
                <w:lang w:eastAsia="zh-CN"/>
              </w:rPr>
              <w:t>不晚于投标截止日三日前，投标人有义务在招标期间在采购代理机构网站浏览与本项目有关的澄清和修改信息。</w:t>
            </w:r>
          </w:p>
        </w:tc>
      </w:tr>
      <w:tr w14:paraId="6040C38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08E3BE98">
            <w:pPr>
              <w:widowControl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2</w:t>
            </w:r>
            <w:r>
              <w:rPr>
                <w:rFonts w:ascii="宋体" w:hAnsi="宋体" w:eastAsia="宋体" w:cstheme="minorBidi"/>
                <w:kern w:val="2"/>
                <w:sz w:val="21"/>
                <w:szCs w:val="21"/>
                <w:lang w:eastAsia="zh-CN"/>
              </w:rPr>
              <w:t>0</w:t>
            </w:r>
          </w:p>
        </w:tc>
        <w:tc>
          <w:tcPr>
            <w:tcW w:w="1755" w:type="dxa"/>
            <w:vAlign w:val="center"/>
          </w:tcPr>
          <w:p w14:paraId="078B9670">
            <w:pPr>
              <w:widowControl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投标有效期</w:t>
            </w:r>
          </w:p>
        </w:tc>
        <w:tc>
          <w:tcPr>
            <w:tcW w:w="6795" w:type="dxa"/>
            <w:vAlign w:val="center"/>
          </w:tcPr>
          <w:p w14:paraId="3DA2D068">
            <w:pPr>
              <w:widowControl w:val="0"/>
              <w:jc w:val="left"/>
              <w:rPr>
                <w:rFonts w:ascii="宋体" w:hAnsi="宋体" w:eastAsia="宋体"/>
                <w:kern w:val="2"/>
                <w:sz w:val="21"/>
                <w:szCs w:val="21"/>
                <w:lang w:eastAsia="zh-CN"/>
              </w:rPr>
            </w:pPr>
            <w:r>
              <w:rPr>
                <w:rFonts w:hint="eastAsia" w:ascii="宋体" w:hAnsi="宋体" w:eastAsia="宋体" w:cstheme="minorBidi"/>
                <w:kern w:val="2"/>
                <w:sz w:val="21"/>
                <w:szCs w:val="21"/>
                <w:lang w:eastAsia="zh-CN"/>
              </w:rPr>
              <w:t>120日历天（从投标截止之日算起）</w:t>
            </w:r>
          </w:p>
        </w:tc>
      </w:tr>
      <w:tr w14:paraId="2E8F8FF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0EC624CB">
            <w:pPr>
              <w:widowControl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2</w:t>
            </w:r>
            <w:r>
              <w:rPr>
                <w:rFonts w:ascii="宋体" w:hAnsi="宋体" w:eastAsia="宋体" w:cstheme="minorBidi"/>
                <w:kern w:val="2"/>
                <w:sz w:val="21"/>
                <w:szCs w:val="21"/>
                <w:lang w:eastAsia="zh-CN"/>
              </w:rPr>
              <w:t>2</w:t>
            </w:r>
          </w:p>
        </w:tc>
        <w:tc>
          <w:tcPr>
            <w:tcW w:w="1755" w:type="dxa"/>
            <w:vAlign w:val="center"/>
          </w:tcPr>
          <w:p w14:paraId="2AFA61CD">
            <w:pPr>
              <w:widowControl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投标人的替代方案</w:t>
            </w:r>
          </w:p>
        </w:tc>
        <w:tc>
          <w:tcPr>
            <w:tcW w:w="6795" w:type="dxa"/>
            <w:vAlign w:val="center"/>
          </w:tcPr>
          <w:p w14:paraId="0CCBD9D1">
            <w:pPr>
              <w:widowControl w:val="0"/>
              <w:jc w:val="left"/>
              <w:rPr>
                <w:rFonts w:ascii="宋体" w:hAnsi="宋体" w:eastAsia="宋体"/>
                <w:kern w:val="2"/>
                <w:sz w:val="21"/>
                <w:szCs w:val="21"/>
                <w:lang w:eastAsia="zh-CN"/>
              </w:rPr>
            </w:pPr>
            <w:r>
              <w:rPr>
                <w:rFonts w:hint="eastAsia" w:ascii="宋体" w:hAnsi="宋体" w:eastAsia="宋体" w:cstheme="minorBidi"/>
                <w:kern w:val="2"/>
                <w:sz w:val="21"/>
                <w:szCs w:val="21"/>
                <w:lang w:eastAsia="zh-CN"/>
              </w:rPr>
              <w:t>不接受</w:t>
            </w:r>
          </w:p>
        </w:tc>
      </w:tr>
      <w:tr w14:paraId="68B1E99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7ACA9874">
            <w:pPr>
              <w:widowControl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2</w:t>
            </w:r>
            <w:r>
              <w:rPr>
                <w:rFonts w:ascii="宋体" w:hAnsi="宋体" w:eastAsia="宋体" w:cstheme="minorBidi"/>
                <w:kern w:val="2"/>
                <w:sz w:val="21"/>
                <w:szCs w:val="21"/>
                <w:lang w:eastAsia="zh-CN"/>
              </w:rPr>
              <w:t>5</w:t>
            </w:r>
          </w:p>
        </w:tc>
        <w:tc>
          <w:tcPr>
            <w:tcW w:w="1755" w:type="dxa"/>
            <w:vAlign w:val="center"/>
          </w:tcPr>
          <w:p w14:paraId="01A88D2C">
            <w:pPr>
              <w:widowControl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投标文件的大小</w:t>
            </w:r>
          </w:p>
        </w:tc>
        <w:tc>
          <w:tcPr>
            <w:tcW w:w="6795" w:type="dxa"/>
            <w:vAlign w:val="center"/>
          </w:tcPr>
          <w:p w14:paraId="53FE017C">
            <w:pPr>
              <w:widowControl w:val="0"/>
              <w:jc w:val="left"/>
              <w:rPr>
                <w:rFonts w:ascii="宋体" w:hAnsi="宋体" w:eastAsia="宋体"/>
                <w:kern w:val="2"/>
                <w:sz w:val="21"/>
                <w:szCs w:val="21"/>
                <w:lang w:eastAsia="zh-CN"/>
              </w:rPr>
            </w:pPr>
            <w:r>
              <w:rPr>
                <w:rFonts w:hint="eastAsia" w:ascii="宋体" w:hAnsi="宋体" w:eastAsia="宋体" w:cstheme="minorBidi"/>
                <w:kern w:val="2"/>
                <w:sz w:val="21"/>
                <w:szCs w:val="21"/>
                <w:lang w:eastAsia="zh-CN"/>
              </w:rPr>
              <w:t>投标文件大小不得超过100MB</w:t>
            </w:r>
          </w:p>
        </w:tc>
      </w:tr>
      <w:tr w14:paraId="68EDB7E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4B25F716">
            <w:pPr>
              <w:widowControl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2</w:t>
            </w:r>
            <w:r>
              <w:rPr>
                <w:rFonts w:ascii="宋体" w:hAnsi="宋体" w:eastAsia="宋体" w:cstheme="minorBidi"/>
                <w:kern w:val="2"/>
                <w:sz w:val="21"/>
                <w:szCs w:val="21"/>
                <w:lang w:eastAsia="zh-CN"/>
              </w:rPr>
              <w:t>6</w:t>
            </w:r>
          </w:p>
        </w:tc>
        <w:tc>
          <w:tcPr>
            <w:tcW w:w="1755" w:type="dxa"/>
            <w:vAlign w:val="center"/>
          </w:tcPr>
          <w:p w14:paraId="7B47EAE6">
            <w:pPr>
              <w:widowControl w:val="0"/>
              <w:jc w:val="center"/>
              <w:rPr>
                <w:rFonts w:ascii="宋体" w:hAnsi="宋体" w:eastAsia="宋体"/>
                <w:kern w:val="2"/>
                <w:sz w:val="21"/>
                <w:szCs w:val="21"/>
                <w:lang w:eastAsia="zh-CN"/>
              </w:rPr>
            </w:pPr>
            <w:bookmarkStart w:id="11" w:name="_Hlk71664860"/>
            <w:r>
              <w:rPr>
                <w:rFonts w:hint="eastAsia" w:ascii="宋体" w:hAnsi="宋体" w:eastAsia="宋体" w:cstheme="minorBidi"/>
                <w:kern w:val="2"/>
                <w:sz w:val="21"/>
                <w:szCs w:val="21"/>
                <w:lang w:eastAsia="zh-CN"/>
              </w:rPr>
              <w:t>样品、现场演示、方案讲解</w:t>
            </w:r>
            <w:bookmarkEnd w:id="11"/>
          </w:p>
        </w:tc>
        <w:tc>
          <w:tcPr>
            <w:tcW w:w="6795" w:type="dxa"/>
            <w:vAlign w:val="center"/>
          </w:tcPr>
          <w:p w14:paraId="7D2FA9D3">
            <w:pPr>
              <w:widowControl w:val="0"/>
              <w:jc w:val="left"/>
              <w:rPr>
                <w:rFonts w:ascii="宋体" w:hAnsi="宋体" w:eastAsia="宋体"/>
                <w:kern w:val="2"/>
                <w:sz w:val="21"/>
                <w:szCs w:val="21"/>
                <w:lang w:eastAsia="zh-CN"/>
              </w:rPr>
            </w:pPr>
            <w:r>
              <w:rPr>
                <w:rFonts w:hint="eastAsia" w:ascii="宋体" w:hAnsi="宋体" w:eastAsia="宋体" w:cstheme="minorBidi"/>
                <w:kern w:val="2"/>
                <w:sz w:val="21"/>
                <w:szCs w:val="21"/>
                <w:lang w:eastAsia="zh-CN"/>
              </w:rPr>
              <w:t>“无”</w:t>
            </w:r>
          </w:p>
        </w:tc>
      </w:tr>
      <w:tr w14:paraId="6E5EB8D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50CF0A68">
            <w:pPr>
              <w:widowControl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3</w:t>
            </w:r>
            <w:r>
              <w:rPr>
                <w:rFonts w:ascii="宋体" w:hAnsi="宋体" w:eastAsia="宋体" w:cstheme="minorBidi"/>
                <w:kern w:val="2"/>
                <w:sz w:val="21"/>
                <w:szCs w:val="21"/>
                <w:lang w:eastAsia="zh-CN"/>
              </w:rPr>
              <w:t>7</w:t>
            </w:r>
          </w:p>
        </w:tc>
        <w:tc>
          <w:tcPr>
            <w:tcW w:w="1755" w:type="dxa"/>
            <w:vAlign w:val="center"/>
          </w:tcPr>
          <w:p w14:paraId="72C9D128">
            <w:pPr>
              <w:widowControl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评审方法</w:t>
            </w:r>
          </w:p>
        </w:tc>
        <w:tc>
          <w:tcPr>
            <w:tcW w:w="6795" w:type="dxa"/>
            <w:vAlign w:val="center"/>
          </w:tcPr>
          <w:p w14:paraId="7F069BF6">
            <w:pPr>
              <w:widowControl w:val="0"/>
              <w:jc w:val="left"/>
              <w:rPr>
                <w:rFonts w:ascii="宋体" w:hAnsi="宋体" w:eastAsia="宋体"/>
                <w:kern w:val="2"/>
                <w:sz w:val="21"/>
                <w:szCs w:val="21"/>
                <w:lang w:eastAsia="zh-CN"/>
              </w:rPr>
            </w:pPr>
            <w:r>
              <w:rPr>
                <w:rFonts w:ascii="宋体" w:hAnsi="宋体" w:eastAsia="宋体" w:cstheme="minorBidi"/>
                <w:b/>
                <w:bCs/>
                <w:kern w:val="2"/>
                <w:sz w:val="21"/>
                <w:szCs w:val="21"/>
                <w:lang w:eastAsia="zh-CN"/>
              </w:rPr>
              <w:t>综合评分法</w:t>
            </w:r>
          </w:p>
        </w:tc>
      </w:tr>
      <w:tr w14:paraId="6AF6245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6956BDD4">
            <w:pPr>
              <w:widowControl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3</w:t>
            </w:r>
            <w:r>
              <w:rPr>
                <w:rFonts w:ascii="宋体" w:hAnsi="宋体" w:eastAsia="宋体" w:cstheme="minorBidi"/>
                <w:kern w:val="2"/>
                <w:sz w:val="21"/>
                <w:szCs w:val="21"/>
                <w:lang w:eastAsia="zh-CN"/>
              </w:rPr>
              <w:t>8</w:t>
            </w:r>
          </w:p>
        </w:tc>
        <w:tc>
          <w:tcPr>
            <w:tcW w:w="1755" w:type="dxa"/>
            <w:vAlign w:val="center"/>
          </w:tcPr>
          <w:p w14:paraId="7ACEF018">
            <w:pPr>
              <w:widowControl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定标方法</w:t>
            </w:r>
          </w:p>
        </w:tc>
        <w:tc>
          <w:tcPr>
            <w:tcW w:w="6795" w:type="dxa"/>
            <w:vAlign w:val="center"/>
          </w:tcPr>
          <w:p w14:paraId="2C3CAB7E">
            <w:pPr>
              <w:widowControl w:val="0"/>
              <w:jc w:val="left"/>
              <w:rPr>
                <w:rFonts w:ascii="宋体" w:hAnsi="宋体" w:eastAsia="宋体"/>
                <w:b/>
                <w:bCs/>
                <w:kern w:val="2"/>
                <w:sz w:val="21"/>
                <w:szCs w:val="21"/>
                <w:lang w:eastAsia="zh-CN"/>
              </w:rPr>
            </w:pPr>
            <w:r>
              <w:rPr>
                <w:rFonts w:hint="eastAsia" w:ascii="宋体" w:hAnsi="宋体" w:eastAsia="宋体"/>
                <w:b/>
                <w:bCs/>
                <w:kern w:val="2"/>
                <w:sz w:val="21"/>
                <w:szCs w:val="21"/>
                <w:lang w:eastAsia="zh-CN"/>
              </w:rPr>
              <w:t>非评定分离</w:t>
            </w:r>
          </w:p>
        </w:tc>
      </w:tr>
      <w:tr w14:paraId="47AEE4D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45836444">
            <w:pPr>
              <w:widowControl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4</w:t>
            </w:r>
            <w:r>
              <w:rPr>
                <w:rFonts w:ascii="宋体" w:hAnsi="宋体" w:eastAsia="宋体" w:cstheme="minorBidi"/>
                <w:kern w:val="2"/>
                <w:sz w:val="21"/>
                <w:szCs w:val="21"/>
                <w:lang w:eastAsia="zh-CN"/>
              </w:rPr>
              <w:t>6</w:t>
            </w:r>
          </w:p>
        </w:tc>
        <w:tc>
          <w:tcPr>
            <w:tcW w:w="1755" w:type="dxa"/>
            <w:vAlign w:val="center"/>
          </w:tcPr>
          <w:p w14:paraId="594BE2DC">
            <w:pPr>
              <w:widowControl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履约担保</w:t>
            </w:r>
          </w:p>
        </w:tc>
        <w:tc>
          <w:tcPr>
            <w:tcW w:w="6795" w:type="dxa"/>
            <w:vAlign w:val="center"/>
          </w:tcPr>
          <w:p w14:paraId="433D937C">
            <w:pPr>
              <w:widowControl w:val="0"/>
              <w:jc w:val="left"/>
              <w:rPr>
                <w:rFonts w:ascii="宋体" w:hAnsi="宋体" w:eastAsia="宋体"/>
                <w:kern w:val="2"/>
                <w:sz w:val="21"/>
                <w:szCs w:val="21"/>
                <w:lang w:eastAsia="zh-CN"/>
              </w:rPr>
            </w:pPr>
            <w:r>
              <w:rPr>
                <w:rFonts w:hint="eastAsia" w:ascii="宋体" w:hAnsi="宋体" w:eastAsia="宋体" w:cstheme="minorBidi"/>
                <w:kern w:val="2"/>
                <w:sz w:val="21"/>
                <w:szCs w:val="21"/>
                <w:lang w:eastAsia="zh-CN"/>
              </w:rPr>
              <w:t>不需要</w:t>
            </w:r>
          </w:p>
        </w:tc>
      </w:tr>
      <w:bookmarkEnd w:id="3"/>
      <w:bookmarkEnd w:id="4"/>
      <w:bookmarkEnd w:id="5"/>
      <w:bookmarkEnd w:id="6"/>
      <w:bookmarkEnd w:id="7"/>
      <w:bookmarkEnd w:id="8"/>
      <w:bookmarkEnd w:id="9"/>
      <w:bookmarkEnd w:id="10"/>
    </w:tbl>
    <w:p w14:paraId="1D9670DE">
      <w:pPr>
        <w:widowControl/>
        <w:jc w:val="center"/>
        <w:rPr>
          <w:rFonts w:ascii="Calibri" w:hAnsi="Calibri" w:eastAsia="宋体"/>
          <w:kern w:val="2"/>
          <w:sz w:val="21"/>
          <w:szCs w:val="21"/>
          <w:lang w:eastAsia="zh-CN"/>
        </w:rPr>
      </w:pPr>
      <w:r>
        <w:rPr>
          <w:rFonts w:hint="eastAsia" w:ascii="Calibri" w:hAnsi="Calibri" w:eastAsia="宋体" w:cstheme="minorBidi"/>
          <w:kern w:val="2"/>
          <w:sz w:val="21"/>
          <w:szCs w:val="21"/>
          <w:lang w:eastAsia="zh-CN"/>
        </w:rPr>
        <w:t>备注：本表是通用条款相关条款的补充和明确，如与通用条款内容相冲突的，以本表为准。</w:t>
      </w:r>
    </w:p>
    <w:p w14:paraId="5E4CCF5E">
      <w:pPr>
        <w:keepNext/>
        <w:keepLines/>
        <w:widowControl w:val="0"/>
        <w:adjustRightInd w:val="0"/>
        <w:spacing w:before="120" w:beforeLines="50" w:after="120" w:afterLines="50"/>
        <w:jc w:val="center"/>
        <w:textAlignment w:val="baseline"/>
        <w:outlineLvl w:val="2"/>
        <w:rPr>
          <w:rFonts w:ascii="宋体" w:hAnsi="宋体" w:eastAsia="宋体"/>
          <w:b/>
          <w:bCs/>
          <w:lang w:eastAsia="zh-CN"/>
        </w:rPr>
      </w:pPr>
      <w:r>
        <w:rPr>
          <w:rFonts w:hint="eastAsia" w:ascii="宋体" w:hAnsi="宋体" w:eastAsia="宋体"/>
          <w:b/>
          <w:bCs/>
          <w:lang w:eastAsia="zh-CN"/>
        </w:rPr>
        <w:t>二、其他关键信息</w:t>
      </w:r>
    </w:p>
    <w:p w14:paraId="6349148D">
      <w:pPr>
        <w:widowControl w:val="0"/>
        <w:tabs>
          <w:tab w:val="left" w:pos="720"/>
        </w:tabs>
        <w:jc w:val="both"/>
        <w:rPr>
          <w:rFonts w:ascii="黑体" w:hAnsi="宋体" w:eastAsia="黑体"/>
          <w:kern w:val="2"/>
          <w:szCs w:val="22"/>
          <w:lang w:eastAsia="zh-CN"/>
        </w:rPr>
      </w:pPr>
      <w:r>
        <w:rPr>
          <w:rFonts w:hint="eastAsia" w:ascii="黑体" w:hAnsi="宋体" w:eastAsia="黑体" w:cstheme="minorBidi"/>
          <w:kern w:val="2"/>
          <w:szCs w:val="22"/>
          <w:lang w:eastAsia="zh-CN"/>
        </w:rPr>
        <w:t>（一）</w:t>
      </w:r>
      <w:r>
        <w:rPr>
          <w:rFonts w:hint="eastAsia" w:ascii="黑体" w:hAnsi="宋体" w:eastAsia="黑体" w:cstheme="minorBidi"/>
          <w:bCs/>
          <w:kern w:val="2"/>
          <w:szCs w:val="22"/>
          <w:lang w:eastAsia="zh-CN"/>
        </w:rPr>
        <w:t>与“对通用条款的补充内容”章节相关的事项</w:t>
      </w:r>
    </w:p>
    <w:p w14:paraId="64AEC91D">
      <w:pPr>
        <w:widowControl w:val="0"/>
        <w:tabs>
          <w:tab w:val="left" w:pos="720"/>
        </w:tabs>
        <w:jc w:val="both"/>
        <w:rPr>
          <w:rFonts w:ascii="黑体" w:hAnsi="宋体" w:eastAsia="黑体"/>
          <w:bCs/>
          <w:kern w:val="2"/>
          <w:szCs w:val="22"/>
          <w:lang w:eastAsia="zh-CN"/>
        </w:rPr>
      </w:pPr>
      <w:r>
        <w:rPr>
          <w:rFonts w:hint="eastAsia" w:ascii="黑体" w:hAnsi="宋体" w:eastAsia="黑体" w:cstheme="minorBidi"/>
          <w:bCs/>
          <w:kern w:val="2"/>
          <w:szCs w:val="22"/>
          <w:lang w:eastAsia="zh-CN"/>
        </w:rPr>
        <w:t>1、评标定标信息</w:t>
      </w:r>
    </w:p>
    <w:p w14:paraId="0093D759">
      <w:pPr>
        <w:widowControl w:val="0"/>
        <w:jc w:val="center"/>
        <w:rPr>
          <w:rFonts w:ascii="Calibri" w:hAnsi="Calibri" w:eastAsia="宋体"/>
          <w:kern w:val="2"/>
          <w:sz w:val="21"/>
          <w:szCs w:val="22"/>
          <w:lang w:eastAsia="zh-CN"/>
        </w:rPr>
      </w:pPr>
      <w:r>
        <w:rPr>
          <w:rFonts w:hint="eastAsia" w:ascii="Calibri" w:hAnsi="Calibri" w:eastAsia="宋体" w:cstheme="minorBidi"/>
          <w:b/>
          <w:kern w:val="2"/>
          <w:sz w:val="21"/>
          <w:szCs w:val="22"/>
          <w:lang w:eastAsia="zh-CN"/>
        </w:rPr>
        <w:t>非评定分离项目</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62"/>
        <w:gridCol w:w="4994"/>
      </w:tblGrid>
      <w:tr w14:paraId="1119B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25" w:type="dxa"/>
          </w:tcPr>
          <w:p w14:paraId="49E3EFA2">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评标方法</w:t>
            </w:r>
          </w:p>
        </w:tc>
        <w:tc>
          <w:tcPr>
            <w:tcW w:w="5339" w:type="dxa"/>
          </w:tcPr>
          <w:p w14:paraId="6C7BAEB9">
            <w:pPr>
              <w:widowControl w:val="0"/>
              <w:jc w:val="center"/>
              <w:rPr>
                <w:rFonts w:ascii="宋体" w:hAnsi="宋体" w:eastAsia="宋体"/>
                <w:kern w:val="2"/>
                <w:sz w:val="21"/>
                <w:szCs w:val="22"/>
                <w:lang w:eastAsia="zh-CN"/>
              </w:rPr>
            </w:pPr>
            <w:r>
              <w:rPr>
                <w:rFonts w:ascii="Wingdings" w:hAnsi="Wingdings" w:eastAsia="宋体" w:cstheme="minorBidi"/>
                <w:kern w:val="2"/>
                <w:sz w:val="21"/>
                <w:szCs w:val="22"/>
                <w:lang w:eastAsia="zh-CN"/>
              </w:rPr>
              <w:sym w:font="Wingdings" w:char="F0FE"/>
            </w:r>
            <w:r>
              <w:rPr>
                <w:rFonts w:hint="eastAsia" w:ascii="宋体" w:hAnsi="宋体" w:eastAsia="宋体" w:cstheme="minorBidi"/>
                <w:kern w:val="2"/>
                <w:sz w:val="21"/>
                <w:szCs w:val="22"/>
                <w:lang w:eastAsia="zh-CN"/>
              </w:rPr>
              <w:t>综合评分法</w:t>
            </w:r>
          </w:p>
        </w:tc>
      </w:tr>
      <w:tr w14:paraId="6ACF7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25" w:type="dxa"/>
          </w:tcPr>
          <w:p w14:paraId="2AB5B4AF">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候选中标供应商家数</w:t>
            </w:r>
          </w:p>
        </w:tc>
        <w:tc>
          <w:tcPr>
            <w:tcW w:w="5339" w:type="dxa"/>
          </w:tcPr>
          <w:p w14:paraId="16B554EE">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3</w:t>
            </w:r>
          </w:p>
        </w:tc>
      </w:tr>
      <w:tr w14:paraId="7BCDD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125" w:type="dxa"/>
          </w:tcPr>
          <w:p w14:paraId="3BCB85DD">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中标供应商家数</w:t>
            </w:r>
          </w:p>
        </w:tc>
        <w:tc>
          <w:tcPr>
            <w:tcW w:w="5339" w:type="dxa"/>
          </w:tcPr>
          <w:p w14:paraId="1FF32527">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1</w:t>
            </w:r>
          </w:p>
        </w:tc>
      </w:tr>
    </w:tbl>
    <w:p w14:paraId="05F5B0C3">
      <w:pPr>
        <w:widowControl w:val="0"/>
        <w:tabs>
          <w:tab w:val="left" w:pos="720"/>
        </w:tabs>
        <w:spacing w:line="240" w:lineRule="atLeast"/>
        <w:jc w:val="both"/>
        <w:rPr>
          <w:rFonts w:ascii="宋体" w:hAnsi="宋体" w:eastAsia="宋体" w:cs="宋体"/>
          <w:bCs/>
          <w:kern w:val="2"/>
          <w:sz w:val="21"/>
          <w:szCs w:val="21"/>
          <w:lang w:eastAsia="zh-CN"/>
        </w:rPr>
      </w:pPr>
    </w:p>
    <w:p w14:paraId="7B08DFA5">
      <w:pPr>
        <w:widowControl w:val="0"/>
        <w:tabs>
          <w:tab w:val="left" w:pos="720"/>
        </w:tabs>
        <w:jc w:val="both"/>
        <w:rPr>
          <w:rFonts w:ascii="黑体" w:hAnsi="宋体" w:eastAsia="黑体"/>
          <w:kern w:val="2"/>
          <w:szCs w:val="22"/>
          <w:lang w:eastAsia="zh-CN"/>
        </w:rPr>
      </w:pPr>
      <w:r>
        <w:rPr>
          <w:rFonts w:hint="eastAsia" w:ascii="黑体" w:hAnsi="宋体" w:eastAsia="黑体" w:cstheme="minorBidi"/>
          <w:kern w:val="2"/>
          <w:szCs w:val="22"/>
          <w:lang w:eastAsia="zh-CN"/>
        </w:rPr>
        <w:t>（二）其他事项</w:t>
      </w:r>
    </w:p>
    <w:p w14:paraId="40A28CEF">
      <w:pPr>
        <w:widowControl w:val="0"/>
        <w:tabs>
          <w:tab w:val="left" w:pos="720"/>
        </w:tabs>
        <w:jc w:val="both"/>
        <w:rPr>
          <w:rFonts w:ascii="黑体" w:hAnsi="宋体" w:eastAsia="黑体"/>
          <w:kern w:val="2"/>
          <w:szCs w:val="22"/>
          <w:lang w:eastAsia="zh-CN"/>
        </w:rPr>
      </w:pPr>
      <w:r>
        <w:rPr>
          <w:rFonts w:hint="eastAsia" w:ascii="黑体" w:hAnsi="宋体" w:eastAsia="黑体" w:cstheme="minorBidi"/>
          <w:kern w:val="2"/>
          <w:szCs w:val="22"/>
          <w:lang w:eastAsia="zh-CN"/>
        </w:rPr>
        <w:t>1、关于享受优惠政策的主体、价格扣除比例及采购标的所属行业</w:t>
      </w:r>
    </w:p>
    <w:p w14:paraId="35D5B605">
      <w:pPr>
        <w:widowControl w:val="0"/>
        <w:ind w:firstLine="420" w:firstLineChars="200"/>
        <w:jc w:val="both"/>
        <w:rPr>
          <w:rFonts w:ascii="Calibri" w:hAnsi="Calibri" w:eastAsia="宋体"/>
          <w:kern w:val="2"/>
          <w:sz w:val="21"/>
          <w:szCs w:val="22"/>
          <w:lang w:eastAsia="zh-CN"/>
        </w:rPr>
      </w:pPr>
      <w:r>
        <w:rPr>
          <w:rFonts w:ascii="Calibri" w:hAnsi="Calibri" w:eastAsia="宋体" w:cstheme="minorBidi"/>
          <w:kern w:val="2"/>
          <w:sz w:val="21"/>
          <w:szCs w:val="22"/>
          <w:lang w:eastAsia="zh-CN"/>
        </w:rPr>
        <w:t>1</w:t>
      </w:r>
      <w:r>
        <w:rPr>
          <w:rFonts w:hint="eastAsia" w:ascii="Calibri" w:hAnsi="Calibri" w:eastAsia="宋体" w:cstheme="minorBidi"/>
          <w:kern w:val="2"/>
          <w:sz w:val="21"/>
          <w:szCs w:val="22"/>
          <w:lang w:eastAsia="zh-CN"/>
        </w:rPr>
        <w:t>、关于享受优惠政策的主体及价格扣除比例</w:t>
      </w:r>
    </w:p>
    <w:p w14:paraId="241A48A9">
      <w:pPr>
        <w:widowControl w:val="0"/>
        <w:ind w:firstLine="420" w:firstLineChars="200"/>
        <w:jc w:val="both"/>
        <w:rPr>
          <w:rFonts w:hint="eastAsia" w:ascii="Calibri" w:hAnsi="Calibri" w:eastAsia="宋体"/>
          <w:kern w:val="2"/>
          <w:sz w:val="21"/>
          <w:szCs w:val="22"/>
          <w:lang w:eastAsia="zh-CN"/>
        </w:rPr>
      </w:pPr>
      <w:r>
        <w:rPr>
          <w:rFonts w:hint="eastAsia" w:ascii="Calibri" w:hAnsi="Calibri" w:eastAsia="宋体" w:cstheme="minorBidi"/>
          <w:kern w:val="2"/>
          <w:sz w:val="21"/>
          <w:szCs w:val="22"/>
          <w:lang w:eastAsia="zh-CN"/>
        </w:rPr>
        <w:t>非专门面向中小企业采购的项目，应执行价格扣除比例：投标人提供的货物（以招标文件用户需求书“货物需求明细”的“货物名称”一栏为准）全部均由优惠主体制造的，对其投标总价给予10%的扣除，用扣除后的价格参与评审。满足多项优惠政策的企业，不重复享受多项价格扣除政策。政策调整后价格仅作为评审依据，不作为中标价格。</w:t>
      </w:r>
    </w:p>
    <w:p w14:paraId="795E2AB3">
      <w:pPr>
        <w:keepNext w:val="0"/>
        <w:keepLines w:val="0"/>
        <w:pageBreakBefore w:val="0"/>
        <w:widowControl w:val="0"/>
        <w:numPr>
          <w:ilvl w:val="0"/>
          <w:numId w:val="0"/>
        </w:numPr>
        <w:kinsoku/>
        <w:wordWrap/>
        <w:overflowPunct/>
        <w:topLinePunct w:val="0"/>
        <w:autoSpaceDE/>
        <w:autoSpaceDN/>
        <w:bidi w:val="0"/>
        <w:adjustRightInd/>
        <w:snapToGrid/>
        <w:ind w:left="0" w:firstLine="420" w:firstLineChars="200"/>
        <w:jc w:val="both"/>
        <w:textAlignment w:val="auto"/>
        <w:rPr>
          <w:rFonts w:hint="eastAsia" w:ascii="Calibri" w:hAnsi="Calibri" w:eastAsia="宋体"/>
          <w:kern w:val="2"/>
          <w:sz w:val="21"/>
          <w:szCs w:val="21"/>
          <w:lang w:eastAsia="zh-CN"/>
        </w:rPr>
      </w:pPr>
      <w:r>
        <w:rPr>
          <w:rFonts w:hint="eastAsia" w:ascii="Calibri" w:hAnsi="Calibri" w:eastAsia="宋体" w:cstheme="minorBidi"/>
          <w:kern w:val="2"/>
          <w:sz w:val="21"/>
          <w:szCs w:val="22"/>
          <w:lang w:eastAsia="zh-CN"/>
        </w:rPr>
        <w:t>（2）</w:t>
      </w:r>
      <w:r>
        <w:rPr>
          <w:rFonts w:ascii="宋体" w:hAnsi="宋体" w:eastAsia="宋体" w:cs="宋体"/>
          <w:kern w:val="2"/>
          <w:sz w:val="21"/>
          <w:szCs w:val="21"/>
          <w:lang w:eastAsia="zh-CN"/>
        </w:rPr>
        <w:t>中小企业参加政府采购活动，应当按照国务院批准的《中小企业划型标准规定》（工信部联企 业〔2011〕300号）、《金融业企业划型标准规定》（银发〔2015〕309号）和《财政部 工业和信息化部关于印发〈政府采购促进中小企业发展管理办法〉的通知》（财库〔2020〕46 号）的规定，出具《中小企业声明函》，</w:t>
      </w:r>
      <w:r>
        <w:rPr>
          <w:rFonts w:ascii="宋体" w:hAnsi="宋体" w:eastAsia="宋体" w:cs="宋体"/>
          <w:b/>
          <w:bCs/>
          <w:color w:val="FF0000"/>
          <w:kern w:val="2"/>
          <w:sz w:val="21"/>
          <w:szCs w:val="21"/>
          <w:lang w:eastAsia="zh-CN"/>
        </w:rPr>
        <w:t>《中小企业声明函》中相关企业所属行业应当与采购标的所属行业相一致。</w:t>
      </w:r>
      <w:r>
        <w:rPr>
          <w:rFonts w:hint="eastAsia" w:ascii="Calibri" w:hAnsi="Calibri" w:eastAsia="宋体" w:cstheme="minorBidi"/>
          <w:kern w:val="2"/>
          <w:sz w:val="21"/>
          <w:szCs w:val="21"/>
          <w:lang w:eastAsia="zh-CN"/>
        </w:rPr>
        <w:t>本项目采购标的（</w:t>
      </w:r>
      <w:r>
        <w:rPr>
          <w:rFonts w:hint="eastAsia" w:hAnsi="Calibri" w:eastAsia="宋体" w:cstheme="minorBidi"/>
          <w:kern w:val="2"/>
          <w:sz w:val="21"/>
          <w:szCs w:val="21"/>
          <w:lang w:eastAsia="zh-CN"/>
        </w:rPr>
        <w:t>服务需求</w:t>
      </w:r>
      <w:r>
        <w:rPr>
          <w:rFonts w:hint="eastAsia" w:ascii="Calibri" w:hAnsi="Calibri" w:eastAsia="宋体" w:cstheme="minorBidi"/>
          <w:kern w:val="2"/>
          <w:sz w:val="21"/>
          <w:szCs w:val="21"/>
          <w:lang w:eastAsia="zh-CN"/>
        </w:rPr>
        <w:t>）对应的中小企业划分标准所属行业为</w:t>
      </w:r>
      <w:r>
        <w:rPr>
          <w:rFonts w:hint="eastAsia" w:ascii="Calibri" w:hAnsi="Calibri" w:eastAsia="宋体" w:cstheme="minorBidi"/>
          <w:b/>
          <w:bCs/>
          <w:color w:val="FF0000"/>
          <w:kern w:val="2"/>
          <w:sz w:val="21"/>
          <w:szCs w:val="21"/>
          <w:u w:val="single"/>
          <w:lang w:eastAsia="zh-CN"/>
        </w:rPr>
        <w:t>工业</w:t>
      </w:r>
      <w:r>
        <w:rPr>
          <w:rFonts w:hint="eastAsia" w:ascii="Calibri" w:hAnsi="Calibri" w:eastAsia="宋体" w:cstheme="minorBidi"/>
          <w:kern w:val="2"/>
          <w:sz w:val="21"/>
          <w:szCs w:val="21"/>
          <w:lang w:eastAsia="zh-CN"/>
        </w:rPr>
        <w:t>。</w:t>
      </w:r>
    </w:p>
    <w:p w14:paraId="40979A46">
      <w:pPr>
        <w:keepNext w:val="0"/>
        <w:keepLines w:val="0"/>
        <w:pageBreakBefore w:val="0"/>
        <w:widowControl w:val="0"/>
        <w:numPr>
          <w:ilvl w:val="0"/>
          <w:numId w:val="0"/>
        </w:numPr>
        <w:kinsoku/>
        <w:wordWrap/>
        <w:overflowPunct/>
        <w:topLinePunct w:val="0"/>
        <w:autoSpaceDE/>
        <w:autoSpaceDN/>
        <w:bidi w:val="0"/>
        <w:adjustRightInd/>
        <w:snapToGrid/>
        <w:ind w:left="0" w:firstLine="420" w:firstLineChars="200"/>
        <w:jc w:val="both"/>
        <w:textAlignment w:val="auto"/>
        <w:rPr>
          <w:rFonts w:ascii="Calibri" w:hAnsi="Calibri" w:eastAsia="宋体"/>
          <w:kern w:val="2"/>
          <w:sz w:val="21"/>
          <w:szCs w:val="22"/>
          <w:lang w:eastAsia="zh-CN"/>
        </w:rPr>
      </w:pPr>
      <w:r>
        <w:rPr>
          <w:rFonts w:hint="eastAsia" w:ascii="Calibri" w:hAnsi="Calibri" w:eastAsia="宋体" w:cstheme="minorBidi"/>
          <w:kern w:val="2"/>
          <w:sz w:val="21"/>
          <w:szCs w:val="21"/>
          <w:lang w:eastAsia="zh-CN"/>
        </w:rPr>
        <w:t>（3）小型企业、微</w:t>
      </w:r>
      <w:r>
        <w:rPr>
          <w:rFonts w:hint="eastAsia" w:ascii="Calibri" w:hAnsi="Calibri" w:eastAsia="宋体" w:cstheme="minorBidi"/>
          <w:kern w:val="2"/>
          <w:sz w:val="21"/>
          <w:szCs w:val="22"/>
          <w:lang w:eastAsia="zh-CN"/>
        </w:rPr>
        <w:t>型企业、残疾人福利性单位作为优惠主体的认定资料为《中小企业声明函》、《残疾人福利性单位声明函》；监狱企业作为优惠主体的认定资料为省级以上监狱管理局、戒毒管理局出具的监狱企业证明文件（声明函样式详见采购文件相应章节）。</w:t>
      </w:r>
    </w:p>
    <w:p w14:paraId="798F9F7B">
      <w:pPr>
        <w:widowControl w:val="0"/>
        <w:tabs>
          <w:tab w:val="left" w:pos="720"/>
        </w:tabs>
        <w:ind w:firstLine="420" w:firstLineChars="200"/>
        <w:jc w:val="both"/>
        <w:rPr>
          <w:rFonts w:ascii="黑体" w:hAnsi="宋体" w:eastAsia="黑体"/>
          <w:kern w:val="2"/>
          <w:szCs w:val="22"/>
          <w:lang w:eastAsia="zh-CN"/>
        </w:rPr>
      </w:pPr>
      <w:r>
        <w:rPr>
          <w:rFonts w:hint="eastAsia" w:ascii="Calibri" w:hAnsi="Calibri" w:eastAsia="宋体" w:cstheme="minorBidi"/>
          <w:kern w:val="2"/>
          <w:sz w:val="21"/>
          <w:szCs w:val="22"/>
          <w:lang w:eastAsia="zh-CN"/>
        </w:rPr>
        <w:t>（5）享受价格扣除获得政府采购合同的，小微企业不得将合同分包给大中型企业。</w:t>
      </w:r>
    </w:p>
    <w:p w14:paraId="5FBE2A87">
      <w:pPr>
        <w:widowControl w:val="0"/>
        <w:spacing w:line="360" w:lineRule="auto"/>
        <w:jc w:val="both"/>
        <w:rPr>
          <w:rFonts w:ascii="宋体" w:hAnsi="宋体" w:eastAsia="宋体" w:cs="宋体"/>
          <w:b/>
          <w:bCs/>
          <w:kern w:val="2"/>
          <w:sz w:val="21"/>
          <w:lang w:eastAsia="zh-CN"/>
        </w:rPr>
      </w:pPr>
      <w:r>
        <w:rPr>
          <w:rFonts w:hint="eastAsia" w:ascii="宋体" w:hAnsi="宋体" w:eastAsia="宋体" w:cs="宋体"/>
          <w:b/>
          <w:bCs/>
          <w:kern w:val="2"/>
          <w:sz w:val="21"/>
          <w:lang w:eastAsia="zh-CN"/>
        </w:rPr>
        <w:t>2.关于政府采购订单融资政策</w:t>
      </w:r>
    </w:p>
    <w:p w14:paraId="51C2B0DA">
      <w:pPr>
        <w:widowControl w:val="0"/>
        <w:ind w:firstLine="420" w:firstLineChars="200"/>
        <w:jc w:val="both"/>
        <w:rPr>
          <w:rFonts w:ascii="宋体" w:hAnsi="宋体" w:eastAsia="宋体"/>
          <w:b/>
          <w:kern w:val="2"/>
          <w:sz w:val="21"/>
          <w:lang w:eastAsia="zh-CN"/>
        </w:rPr>
      </w:pPr>
      <w:r>
        <w:rPr>
          <w:rFonts w:hint="eastAsia" w:eastAsia="宋体"/>
          <w:kern w:val="2"/>
          <w:sz w:val="21"/>
          <w:lang w:eastAsia="zh-CN"/>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14:paraId="61F2B7AD">
      <w:pPr>
        <w:widowControl w:val="0"/>
        <w:tabs>
          <w:tab w:val="left" w:pos="720"/>
        </w:tabs>
        <w:jc w:val="both"/>
        <w:rPr>
          <w:rFonts w:ascii="黑体" w:hAnsi="宋体" w:eastAsia="黑体"/>
          <w:kern w:val="2"/>
          <w:szCs w:val="22"/>
          <w:lang w:eastAsia="zh-CN"/>
        </w:rPr>
      </w:pPr>
    </w:p>
    <w:p w14:paraId="77CC52CF">
      <w:pPr>
        <w:widowControl w:val="0"/>
        <w:tabs>
          <w:tab w:val="left" w:pos="720"/>
        </w:tabs>
        <w:jc w:val="both"/>
        <w:rPr>
          <w:rFonts w:ascii="宋体" w:hAnsi="宋体" w:eastAsia="宋体"/>
          <w:b/>
          <w:bCs/>
          <w:kern w:val="2"/>
          <w:sz w:val="21"/>
          <w:szCs w:val="22"/>
          <w:lang w:eastAsia="zh-CN"/>
        </w:rPr>
      </w:pPr>
      <w:r>
        <w:rPr>
          <w:rFonts w:hint="eastAsia" w:ascii="宋体" w:hAnsi="宋体" w:eastAsia="宋体" w:cstheme="minorBidi"/>
          <w:b/>
          <w:bCs/>
          <w:kern w:val="2"/>
          <w:sz w:val="21"/>
          <w:szCs w:val="22"/>
          <w:lang w:eastAsia="zh-CN"/>
        </w:rPr>
        <w:t>3、</w:t>
      </w:r>
      <w:r>
        <w:rPr>
          <w:rFonts w:ascii="宋体" w:hAnsi="宋体" w:eastAsia="宋体" w:cstheme="minorBidi"/>
          <w:b/>
          <w:bCs/>
          <w:kern w:val="2"/>
          <w:sz w:val="21"/>
          <w:szCs w:val="22"/>
          <w:lang w:eastAsia="zh-CN"/>
        </w:rPr>
        <w:t>本项目将向中标</w:t>
      </w:r>
      <w:r>
        <w:rPr>
          <w:rFonts w:hint="eastAsia" w:ascii="宋体" w:hAnsi="宋体" w:eastAsia="宋体" w:cstheme="minorBidi"/>
          <w:b/>
          <w:bCs/>
          <w:kern w:val="2"/>
          <w:sz w:val="21"/>
          <w:szCs w:val="22"/>
          <w:lang w:eastAsia="zh-CN"/>
        </w:rPr>
        <w:t>（成交）</w:t>
      </w:r>
      <w:r>
        <w:rPr>
          <w:rFonts w:ascii="宋体" w:hAnsi="宋体" w:eastAsia="宋体" w:cstheme="minorBidi"/>
          <w:b/>
          <w:bCs/>
          <w:kern w:val="2"/>
          <w:sz w:val="21"/>
          <w:szCs w:val="22"/>
          <w:lang w:eastAsia="zh-CN"/>
        </w:rPr>
        <w:t>供应商收取代理服务费</w:t>
      </w:r>
      <w:r>
        <w:rPr>
          <w:rFonts w:hint="eastAsia" w:ascii="宋体" w:hAnsi="宋体" w:eastAsia="宋体" w:cstheme="minorBidi"/>
          <w:b/>
          <w:bCs/>
          <w:kern w:val="2"/>
          <w:sz w:val="21"/>
          <w:szCs w:val="22"/>
          <w:lang w:eastAsia="zh-CN"/>
        </w:rPr>
        <w:t>。</w:t>
      </w:r>
    </w:p>
    <w:p w14:paraId="75C01483">
      <w:pPr>
        <w:widowControl/>
        <w:ind w:firstLine="420"/>
        <w:jc w:val="left"/>
        <w:rPr>
          <w:rFonts w:ascii="宋体" w:hAnsi="宋体" w:eastAsia="宋体"/>
          <w:kern w:val="2"/>
          <w:sz w:val="21"/>
          <w:szCs w:val="21"/>
          <w:lang w:eastAsia="zh-CN"/>
        </w:rPr>
      </w:pPr>
      <w:r>
        <w:rPr>
          <w:rFonts w:hint="eastAsia" w:ascii="宋体" w:hAnsi="宋体" w:eastAsia="宋体" w:cstheme="minorBidi"/>
          <w:kern w:val="2"/>
          <w:sz w:val="21"/>
          <w:szCs w:val="21"/>
          <w:lang w:eastAsia="zh-CN"/>
        </w:rPr>
        <w:t>中标（成交）供应商在领取《中标（成交）通知书》之前须向深圳市千里招标代理有限公司交纳代理服务费。若因中标（成交）供应商交纳代理服务费所产生的时间影响到合同签订的，由中标（成交）供应商自行承担责任。代理服务费标准参照下列标准收取。本项目类型为</w:t>
      </w:r>
      <w:r>
        <w:rPr>
          <w:rFonts w:hint="eastAsia" w:ascii="宋体" w:hAnsi="宋体" w:eastAsia="宋体" w:cstheme="minorBidi"/>
          <w:b/>
          <w:bCs/>
          <w:kern w:val="2"/>
          <w:sz w:val="21"/>
          <w:szCs w:val="21"/>
          <w:u w:val="single"/>
          <w:lang w:eastAsia="zh-CN"/>
        </w:rPr>
        <w:t>货物采购</w:t>
      </w:r>
      <w:r>
        <w:rPr>
          <w:rFonts w:hint="eastAsia" w:ascii="宋体" w:hAnsi="宋体" w:eastAsia="宋体" w:cstheme="minorBidi"/>
          <w:kern w:val="2"/>
          <w:sz w:val="21"/>
          <w:szCs w:val="21"/>
          <w:lang w:eastAsia="zh-CN"/>
        </w:rPr>
        <w:t>：</w:t>
      </w:r>
    </w:p>
    <w:p w14:paraId="2B40B668">
      <w:pPr>
        <w:widowControl/>
        <w:ind w:firstLine="420"/>
        <w:jc w:val="left"/>
        <w:rPr>
          <w:rFonts w:ascii="宋体" w:hAnsi="宋体" w:eastAsia="宋体"/>
          <w:kern w:val="2"/>
          <w:sz w:val="21"/>
          <w:szCs w:val="21"/>
          <w:lang w:eastAsia="zh-CN"/>
        </w:rPr>
      </w:pPr>
      <w:r>
        <w:rPr>
          <w:rFonts w:hint="eastAsia" w:ascii="宋体" w:hAnsi="宋体" w:eastAsia="宋体" w:cstheme="minorBidi"/>
          <w:kern w:val="2"/>
          <w:sz w:val="21"/>
          <w:szCs w:val="21"/>
          <w:lang w:eastAsia="zh-CN"/>
        </w:rPr>
        <w:t>（1）代理服务费以《中标（成交）通知书》确定的中标（成交）金额作为计算基数，按差额定率累进法计算。</w:t>
      </w:r>
    </w:p>
    <w:p w14:paraId="2B6CBA7B">
      <w:pPr>
        <w:widowControl/>
        <w:wordWrap w:val="0"/>
        <w:autoSpaceDE w:val="0"/>
        <w:autoSpaceDN w:val="0"/>
        <w:spacing w:line="400" w:lineRule="exact"/>
        <w:ind w:right="808" w:firstLine="420" w:firstLineChars="200"/>
        <w:jc w:val="both"/>
        <w:rPr>
          <w:rFonts w:eastAsia="宋体"/>
          <w:lang w:eastAsia="zh-CN"/>
        </w:rPr>
      </w:pPr>
      <w:r>
        <w:rPr>
          <w:rFonts w:hint="eastAsia" w:eastAsia="宋体"/>
          <w:kern w:val="2"/>
          <w:sz w:val="21"/>
          <w:lang w:eastAsia="zh-CN"/>
        </w:rPr>
        <w:t>（2）</w:t>
      </w:r>
      <w:r>
        <w:rPr>
          <w:rFonts w:hint="eastAsia" w:eastAsia="宋体"/>
          <w:lang w:eastAsia="zh-CN"/>
        </w:rPr>
        <w:t>招标代理服务费</w:t>
      </w:r>
    </w:p>
    <w:p w14:paraId="1886337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根据深圳市财政委员会关于规范深圳市社会采购代理机构管理有关事项的补充通知》（深财购〔2018〕27号）文件相关规定，招标代理服务费以中标金额为基数、按差额定率累进法计算。具体计取费率标准如下表所示：</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03"/>
        <w:gridCol w:w="1914"/>
        <w:gridCol w:w="1914"/>
        <w:gridCol w:w="1825"/>
      </w:tblGrid>
      <w:tr w14:paraId="0F1CB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shd w:val="clear" w:color="auto" w:fill="auto"/>
            <w:vAlign w:val="center"/>
          </w:tcPr>
          <w:p w14:paraId="3A9BED81">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服费务类率型</w:t>
            </w:r>
          </w:p>
          <w:p w14:paraId="52F0D86A">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中标金额</w:t>
            </w:r>
          </w:p>
        </w:tc>
        <w:tc>
          <w:tcPr>
            <w:tcW w:w="1843" w:type="dxa"/>
            <w:shd w:val="clear" w:color="auto" w:fill="auto"/>
            <w:vAlign w:val="center"/>
          </w:tcPr>
          <w:p w14:paraId="0998B319">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货物采购</w:t>
            </w:r>
          </w:p>
        </w:tc>
        <w:tc>
          <w:tcPr>
            <w:tcW w:w="1843" w:type="dxa"/>
            <w:shd w:val="clear" w:color="auto" w:fill="auto"/>
            <w:vAlign w:val="center"/>
          </w:tcPr>
          <w:p w14:paraId="573BE518">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服务采购</w:t>
            </w:r>
          </w:p>
        </w:tc>
        <w:tc>
          <w:tcPr>
            <w:tcW w:w="1758" w:type="dxa"/>
            <w:shd w:val="clear" w:color="auto" w:fill="auto"/>
            <w:vAlign w:val="center"/>
          </w:tcPr>
          <w:p w14:paraId="04421582">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工程采购</w:t>
            </w:r>
          </w:p>
        </w:tc>
      </w:tr>
      <w:tr w14:paraId="5AC4A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085" w:type="dxa"/>
            <w:shd w:val="clear" w:color="auto" w:fill="auto"/>
            <w:vAlign w:val="center"/>
          </w:tcPr>
          <w:p w14:paraId="7B6C0BBC">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100 万元以下</w:t>
            </w:r>
          </w:p>
        </w:tc>
        <w:tc>
          <w:tcPr>
            <w:tcW w:w="1843" w:type="dxa"/>
            <w:shd w:val="clear" w:color="auto" w:fill="auto"/>
            <w:vAlign w:val="center"/>
          </w:tcPr>
          <w:p w14:paraId="203D6A25">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1.5%</w:t>
            </w:r>
          </w:p>
        </w:tc>
        <w:tc>
          <w:tcPr>
            <w:tcW w:w="1843" w:type="dxa"/>
            <w:shd w:val="clear" w:color="auto" w:fill="auto"/>
            <w:vAlign w:val="center"/>
          </w:tcPr>
          <w:p w14:paraId="4B843D89">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1.5%</w:t>
            </w:r>
          </w:p>
        </w:tc>
        <w:tc>
          <w:tcPr>
            <w:tcW w:w="1758" w:type="dxa"/>
            <w:shd w:val="clear" w:color="auto" w:fill="auto"/>
            <w:vAlign w:val="center"/>
          </w:tcPr>
          <w:p w14:paraId="30A6F300">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1.0%</w:t>
            </w:r>
          </w:p>
        </w:tc>
      </w:tr>
      <w:tr w14:paraId="757A1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shd w:val="clear" w:color="auto" w:fill="auto"/>
            <w:vAlign w:val="center"/>
          </w:tcPr>
          <w:p w14:paraId="2D58BDDA">
            <w:pPr>
              <w:widowControl/>
              <w:spacing w:line="360" w:lineRule="auto"/>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100 万元（含）-500 万元</w:t>
            </w:r>
          </w:p>
        </w:tc>
        <w:tc>
          <w:tcPr>
            <w:tcW w:w="1843" w:type="dxa"/>
            <w:shd w:val="clear" w:color="auto" w:fill="auto"/>
            <w:vAlign w:val="center"/>
          </w:tcPr>
          <w:p w14:paraId="77EE2F8D">
            <w:pPr>
              <w:widowControl/>
              <w:spacing w:line="360" w:lineRule="auto"/>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1.1%</w:t>
            </w:r>
          </w:p>
        </w:tc>
        <w:tc>
          <w:tcPr>
            <w:tcW w:w="1843" w:type="dxa"/>
            <w:shd w:val="clear" w:color="auto" w:fill="auto"/>
            <w:vAlign w:val="center"/>
          </w:tcPr>
          <w:p w14:paraId="51D90F92">
            <w:pPr>
              <w:widowControl/>
              <w:spacing w:line="360" w:lineRule="auto"/>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0.8%</w:t>
            </w:r>
          </w:p>
        </w:tc>
        <w:tc>
          <w:tcPr>
            <w:tcW w:w="1758" w:type="dxa"/>
            <w:shd w:val="clear" w:color="auto" w:fill="auto"/>
            <w:vAlign w:val="center"/>
          </w:tcPr>
          <w:p w14:paraId="5C297F6C">
            <w:pPr>
              <w:widowControl/>
              <w:spacing w:line="360" w:lineRule="auto"/>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0.7%</w:t>
            </w:r>
          </w:p>
        </w:tc>
      </w:tr>
      <w:tr w14:paraId="5013F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shd w:val="clear" w:color="auto" w:fill="auto"/>
            <w:vAlign w:val="center"/>
          </w:tcPr>
          <w:p w14:paraId="6BD732CE">
            <w:pPr>
              <w:widowControl/>
              <w:spacing w:line="360" w:lineRule="auto"/>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500 万元（含）-1000 万元</w:t>
            </w:r>
          </w:p>
        </w:tc>
        <w:tc>
          <w:tcPr>
            <w:tcW w:w="1843" w:type="dxa"/>
            <w:shd w:val="clear" w:color="auto" w:fill="auto"/>
            <w:vAlign w:val="center"/>
          </w:tcPr>
          <w:p w14:paraId="3BFDB78B">
            <w:pPr>
              <w:widowControl/>
              <w:spacing w:line="360" w:lineRule="auto"/>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0.8%</w:t>
            </w:r>
          </w:p>
        </w:tc>
        <w:tc>
          <w:tcPr>
            <w:tcW w:w="1843" w:type="dxa"/>
            <w:shd w:val="clear" w:color="auto" w:fill="auto"/>
            <w:vAlign w:val="center"/>
          </w:tcPr>
          <w:p w14:paraId="4194EB56">
            <w:pPr>
              <w:widowControl/>
              <w:spacing w:line="360" w:lineRule="auto"/>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0.45%</w:t>
            </w:r>
          </w:p>
        </w:tc>
        <w:tc>
          <w:tcPr>
            <w:tcW w:w="1758" w:type="dxa"/>
            <w:shd w:val="clear" w:color="auto" w:fill="auto"/>
            <w:vAlign w:val="center"/>
          </w:tcPr>
          <w:p w14:paraId="18A2CD9C">
            <w:pPr>
              <w:widowControl/>
              <w:spacing w:line="360" w:lineRule="auto"/>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0.55%</w:t>
            </w:r>
          </w:p>
        </w:tc>
      </w:tr>
      <w:tr w14:paraId="667DE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shd w:val="clear" w:color="auto" w:fill="auto"/>
            <w:vAlign w:val="center"/>
          </w:tcPr>
          <w:p w14:paraId="27600FAE">
            <w:pPr>
              <w:widowControl/>
              <w:spacing w:line="360" w:lineRule="auto"/>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1000 万元（含）-5000 万元</w:t>
            </w:r>
          </w:p>
        </w:tc>
        <w:tc>
          <w:tcPr>
            <w:tcW w:w="1843" w:type="dxa"/>
            <w:shd w:val="clear" w:color="auto" w:fill="auto"/>
            <w:vAlign w:val="center"/>
          </w:tcPr>
          <w:p w14:paraId="5631A4A0">
            <w:pPr>
              <w:widowControl/>
              <w:spacing w:line="360" w:lineRule="auto"/>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0.5%</w:t>
            </w:r>
          </w:p>
        </w:tc>
        <w:tc>
          <w:tcPr>
            <w:tcW w:w="1843" w:type="dxa"/>
            <w:shd w:val="clear" w:color="auto" w:fill="auto"/>
            <w:vAlign w:val="center"/>
          </w:tcPr>
          <w:p w14:paraId="7CFF3F49">
            <w:pPr>
              <w:widowControl/>
              <w:spacing w:line="360" w:lineRule="auto"/>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0.25%</w:t>
            </w:r>
          </w:p>
        </w:tc>
        <w:tc>
          <w:tcPr>
            <w:tcW w:w="1758" w:type="dxa"/>
            <w:shd w:val="clear" w:color="auto" w:fill="auto"/>
            <w:vAlign w:val="center"/>
          </w:tcPr>
          <w:p w14:paraId="200B30E0">
            <w:pPr>
              <w:widowControl/>
              <w:spacing w:line="360" w:lineRule="auto"/>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0.35%</w:t>
            </w:r>
          </w:p>
        </w:tc>
      </w:tr>
      <w:tr w14:paraId="1997C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shd w:val="clear" w:color="auto" w:fill="auto"/>
            <w:vAlign w:val="center"/>
          </w:tcPr>
          <w:p w14:paraId="76A66E06">
            <w:pPr>
              <w:widowControl/>
              <w:spacing w:line="360" w:lineRule="auto"/>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5000 万元（含）-1 亿元</w:t>
            </w:r>
          </w:p>
        </w:tc>
        <w:tc>
          <w:tcPr>
            <w:tcW w:w="1843" w:type="dxa"/>
            <w:shd w:val="clear" w:color="auto" w:fill="auto"/>
            <w:vAlign w:val="center"/>
          </w:tcPr>
          <w:p w14:paraId="036D53D4">
            <w:pPr>
              <w:widowControl/>
              <w:spacing w:line="360" w:lineRule="auto"/>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0.25%</w:t>
            </w:r>
          </w:p>
        </w:tc>
        <w:tc>
          <w:tcPr>
            <w:tcW w:w="1843" w:type="dxa"/>
            <w:shd w:val="clear" w:color="auto" w:fill="auto"/>
            <w:vAlign w:val="center"/>
          </w:tcPr>
          <w:p w14:paraId="4497B585">
            <w:pPr>
              <w:widowControl/>
              <w:spacing w:line="360" w:lineRule="auto"/>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0.1%</w:t>
            </w:r>
          </w:p>
        </w:tc>
        <w:tc>
          <w:tcPr>
            <w:tcW w:w="1758" w:type="dxa"/>
            <w:shd w:val="clear" w:color="auto" w:fill="auto"/>
            <w:vAlign w:val="center"/>
          </w:tcPr>
          <w:p w14:paraId="79115A29">
            <w:pPr>
              <w:widowControl/>
              <w:spacing w:line="360" w:lineRule="auto"/>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0.2%</w:t>
            </w:r>
          </w:p>
        </w:tc>
      </w:tr>
      <w:tr w14:paraId="5E9DD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shd w:val="clear" w:color="auto" w:fill="auto"/>
            <w:vAlign w:val="center"/>
          </w:tcPr>
          <w:p w14:paraId="0541F091">
            <w:pPr>
              <w:widowControl/>
              <w:spacing w:line="360" w:lineRule="auto"/>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1 亿元（含）-5 亿</w:t>
            </w:r>
          </w:p>
        </w:tc>
        <w:tc>
          <w:tcPr>
            <w:tcW w:w="1843" w:type="dxa"/>
            <w:shd w:val="clear" w:color="auto" w:fill="auto"/>
            <w:vAlign w:val="center"/>
          </w:tcPr>
          <w:p w14:paraId="7F978470">
            <w:pPr>
              <w:widowControl/>
              <w:spacing w:line="360" w:lineRule="auto"/>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0.05%</w:t>
            </w:r>
          </w:p>
        </w:tc>
        <w:tc>
          <w:tcPr>
            <w:tcW w:w="1843" w:type="dxa"/>
            <w:shd w:val="clear" w:color="auto" w:fill="auto"/>
            <w:vAlign w:val="center"/>
          </w:tcPr>
          <w:p w14:paraId="61C75D99">
            <w:pPr>
              <w:widowControl/>
              <w:spacing w:line="360" w:lineRule="auto"/>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0.05%</w:t>
            </w:r>
          </w:p>
        </w:tc>
        <w:tc>
          <w:tcPr>
            <w:tcW w:w="1758" w:type="dxa"/>
            <w:shd w:val="clear" w:color="auto" w:fill="auto"/>
            <w:vAlign w:val="center"/>
          </w:tcPr>
          <w:p w14:paraId="6761B4E3">
            <w:pPr>
              <w:widowControl/>
              <w:spacing w:line="360" w:lineRule="auto"/>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0.05%</w:t>
            </w:r>
          </w:p>
        </w:tc>
      </w:tr>
      <w:tr w14:paraId="704DC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shd w:val="clear" w:color="auto" w:fill="auto"/>
            <w:vAlign w:val="center"/>
          </w:tcPr>
          <w:p w14:paraId="5F7309AC">
            <w:pPr>
              <w:widowControl/>
              <w:spacing w:line="360" w:lineRule="auto"/>
              <w:jc w:val="center"/>
              <w:rPr>
                <w:rFonts w:ascii="宋体" w:hAnsi="宋体" w:eastAsia="宋体" w:cs="宋体"/>
                <w:kern w:val="2"/>
                <w:sz w:val="21"/>
                <w:szCs w:val="21"/>
                <w:lang w:eastAsia="zh-CN"/>
              </w:rPr>
            </w:pPr>
            <w:r>
              <w:rPr>
                <w:rFonts w:hint="eastAsia" w:ascii="宋体" w:hAnsi="宋体" w:eastAsia="宋体" w:cs="宋体"/>
                <w:color w:val="333333"/>
                <w:kern w:val="2"/>
                <w:sz w:val="21"/>
                <w:szCs w:val="21"/>
                <w:lang w:eastAsia="zh-CN"/>
              </w:rPr>
              <w:t>5 亿元（含）-10 亿元</w:t>
            </w:r>
          </w:p>
        </w:tc>
        <w:tc>
          <w:tcPr>
            <w:tcW w:w="1843" w:type="dxa"/>
            <w:shd w:val="clear" w:color="auto" w:fill="auto"/>
            <w:vAlign w:val="center"/>
          </w:tcPr>
          <w:p w14:paraId="6AC58A61">
            <w:pPr>
              <w:widowControl/>
              <w:spacing w:line="360" w:lineRule="auto"/>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0.035%</w:t>
            </w:r>
          </w:p>
        </w:tc>
        <w:tc>
          <w:tcPr>
            <w:tcW w:w="1843" w:type="dxa"/>
            <w:shd w:val="clear" w:color="auto" w:fill="auto"/>
            <w:vAlign w:val="center"/>
          </w:tcPr>
          <w:p w14:paraId="3B2B9A0A">
            <w:pPr>
              <w:widowControl/>
              <w:spacing w:line="360" w:lineRule="auto"/>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0.035%</w:t>
            </w:r>
          </w:p>
        </w:tc>
        <w:tc>
          <w:tcPr>
            <w:tcW w:w="1758" w:type="dxa"/>
            <w:shd w:val="clear" w:color="auto" w:fill="auto"/>
            <w:vAlign w:val="center"/>
          </w:tcPr>
          <w:p w14:paraId="11CF3095">
            <w:pPr>
              <w:widowControl/>
              <w:spacing w:line="360" w:lineRule="auto"/>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0.035%</w:t>
            </w:r>
          </w:p>
        </w:tc>
      </w:tr>
      <w:tr w14:paraId="75EEC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shd w:val="clear" w:color="auto" w:fill="auto"/>
            <w:vAlign w:val="center"/>
          </w:tcPr>
          <w:p w14:paraId="3B5AA853">
            <w:pPr>
              <w:widowControl/>
              <w:spacing w:line="360" w:lineRule="auto"/>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10 亿元（含）-50 亿元</w:t>
            </w:r>
          </w:p>
        </w:tc>
        <w:tc>
          <w:tcPr>
            <w:tcW w:w="1843" w:type="dxa"/>
            <w:shd w:val="clear" w:color="auto" w:fill="auto"/>
            <w:vAlign w:val="center"/>
          </w:tcPr>
          <w:p w14:paraId="655F4B5C">
            <w:pPr>
              <w:widowControl/>
              <w:spacing w:line="360" w:lineRule="auto"/>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0.008%</w:t>
            </w:r>
          </w:p>
        </w:tc>
        <w:tc>
          <w:tcPr>
            <w:tcW w:w="1843" w:type="dxa"/>
            <w:shd w:val="clear" w:color="auto" w:fill="auto"/>
            <w:vAlign w:val="center"/>
          </w:tcPr>
          <w:p w14:paraId="1392CB3C">
            <w:pPr>
              <w:widowControl/>
              <w:spacing w:line="360" w:lineRule="auto"/>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0.008%</w:t>
            </w:r>
          </w:p>
        </w:tc>
        <w:tc>
          <w:tcPr>
            <w:tcW w:w="1758" w:type="dxa"/>
            <w:shd w:val="clear" w:color="auto" w:fill="auto"/>
            <w:vAlign w:val="center"/>
          </w:tcPr>
          <w:p w14:paraId="579B89CA">
            <w:pPr>
              <w:widowControl/>
              <w:spacing w:line="360" w:lineRule="auto"/>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0.008%</w:t>
            </w:r>
          </w:p>
        </w:tc>
      </w:tr>
      <w:tr w14:paraId="7A6CF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shd w:val="clear" w:color="auto" w:fill="auto"/>
            <w:vAlign w:val="center"/>
          </w:tcPr>
          <w:p w14:paraId="5BB3EDCD">
            <w:pPr>
              <w:widowControl/>
              <w:spacing w:line="360" w:lineRule="auto"/>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50 亿元（含）-100 亿元</w:t>
            </w:r>
          </w:p>
        </w:tc>
        <w:tc>
          <w:tcPr>
            <w:tcW w:w="1843" w:type="dxa"/>
            <w:shd w:val="clear" w:color="auto" w:fill="auto"/>
            <w:vAlign w:val="center"/>
          </w:tcPr>
          <w:p w14:paraId="116C3882">
            <w:pPr>
              <w:widowControl/>
              <w:spacing w:line="360" w:lineRule="auto"/>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0.006%</w:t>
            </w:r>
          </w:p>
        </w:tc>
        <w:tc>
          <w:tcPr>
            <w:tcW w:w="1843" w:type="dxa"/>
            <w:shd w:val="clear" w:color="auto" w:fill="auto"/>
            <w:vAlign w:val="center"/>
          </w:tcPr>
          <w:p w14:paraId="7CE01748">
            <w:pPr>
              <w:widowControl/>
              <w:spacing w:line="360" w:lineRule="auto"/>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0.006%</w:t>
            </w:r>
          </w:p>
        </w:tc>
        <w:tc>
          <w:tcPr>
            <w:tcW w:w="1758" w:type="dxa"/>
            <w:shd w:val="clear" w:color="auto" w:fill="auto"/>
            <w:vAlign w:val="center"/>
          </w:tcPr>
          <w:p w14:paraId="12475C1D">
            <w:pPr>
              <w:widowControl/>
              <w:spacing w:line="360" w:lineRule="auto"/>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0.006%</w:t>
            </w:r>
          </w:p>
        </w:tc>
      </w:tr>
      <w:tr w14:paraId="69D7A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shd w:val="clear" w:color="auto" w:fill="auto"/>
            <w:vAlign w:val="center"/>
          </w:tcPr>
          <w:p w14:paraId="478B7DB4">
            <w:pPr>
              <w:widowControl/>
              <w:spacing w:line="360" w:lineRule="auto"/>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100 亿元（含）以</w:t>
            </w:r>
          </w:p>
        </w:tc>
        <w:tc>
          <w:tcPr>
            <w:tcW w:w="1843" w:type="dxa"/>
            <w:shd w:val="clear" w:color="auto" w:fill="auto"/>
            <w:vAlign w:val="center"/>
          </w:tcPr>
          <w:p w14:paraId="371C7885">
            <w:pPr>
              <w:widowControl/>
              <w:spacing w:line="360" w:lineRule="auto"/>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0.004%</w:t>
            </w:r>
          </w:p>
        </w:tc>
        <w:tc>
          <w:tcPr>
            <w:tcW w:w="1843" w:type="dxa"/>
            <w:shd w:val="clear" w:color="auto" w:fill="auto"/>
            <w:vAlign w:val="center"/>
          </w:tcPr>
          <w:p w14:paraId="33FB5FB8">
            <w:pPr>
              <w:widowControl/>
              <w:spacing w:line="360" w:lineRule="auto"/>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0.004%</w:t>
            </w:r>
          </w:p>
        </w:tc>
        <w:tc>
          <w:tcPr>
            <w:tcW w:w="1758" w:type="dxa"/>
            <w:shd w:val="clear" w:color="auto" w:fill="auto"/>
            <w:vAlign w:val="center"/>
          </w:tcPr>
          <w:p w14:paraId="005FF608">
            <w:pPr>
              <w:widowControl/>
              <w:spacing w:line="360" w:lineRule="auto"/>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0.004%</w:t>
            </w:r>
          </w:p>
        </w:tc>
      </w:tr>
    </w:tbl>
    <w:p w14:paraId="39FAD6B3">
      <w:pPr>
        <w:widowControl w:val="0"/>
        <w:spacing w:line="360" w:lineRule="auto"/>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注：</w:t>
      </w:r>
    </w:p>
    <w:p w14:paraId="754D1FAD">
      <w:pPr>
        <w:widowControl w:val="0"/>
        <w:spacing w:line="360" w:lineRule="auto"/>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（1）按本表费率计算的收费为招标代理服务的收费基准价格。</w:t>
      </w:r>
    </w:p>
    <w:p w14:paraId="4CA349F2">
      <w:pPr>
        <w:widowControl w:val="0"/>
        <w:spacing w:line="360" w:lineRule="auto"/>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（2）招标代理服务收费按差额定率累进法计算。</w:t>
      </w:r>
    </w:p>
    <w:p w14:paraId="731A5208">
      <w:pPr>
        <w:widowControl w:val="0"/>
        <w:spacing w:line="360" w:lineRule="auto"/>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例如：某服务招标代理业务中标金额为600万元，计算招标代理服务收费额如下：</w:t>
      </w:r>
    </w:p>
    <w:p w14:paraId="1BFAF3FE">
      <w:pPr>
        <w:widowControl w:val="0"/>
        <w:spacing w:line="360" w:lineRule="auto"/>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100万元×1.5%=1.5万元</w:t>
      </w:r>
    </w:p>
    <w:p w14:paraId="17AE50F4">
      <w:pPr>
        <w:widowControl w:val="0"/>
        <w:spacing w:line="360" w:lineRule="auto"/>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（500-100）万元×0.8%=3.2万元</w:t>
      </w:r>
    </w:p>
    <w:p w14:paraId="0006FAF6">
      <w:pPr>
        <w:widowControl w:val="0"/>
        <w:spacing w:line="360" w:lineRule="auto"/>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（600-500）万元×0.45%=0.45万元</w:t>
      </w:r>
    </w:p>
    <w:p w14:paraId="4C772C10">
      <w:pPr>
        <w:widowControl w:val="0"/>
        <w:spacing w:line="360" w:lineRule="auto"/>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合计收费=1.5+3.2+0.45=5.15万元</w:t>
      </w:r>
    </w:p>
    <w:p w14:paraId="22D93720">
      <w:pPr>
        <w:widowControl w:val="0"/>
        <w:spacing w:line="360" w:lineRule="auto"/>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备注：最低收费不低于人民币6000元。代理服务费用超过6000元，则按国家计费规定收取代理服务费。</w:t>
      </w:r>
    </w:p>
    <w:p w14:paraId="4D3F3C7C">
      <w:pPr>
        <w:widowControl w:val="0"/>
        <w:spacing w:line="360" w:lineRule="auto"/>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收款单位：深圳市千里招标代理有限公司</w:t>
      </w:r>
    </w:p>
    <w:p w14:paraId="74ADB7EA">
      <w:pPr>
        <w:widowControl w:val="0"/>
        <w:spacing w:line="360" w:lineRule="auto"/>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开户银行：中国平安银行深圳创业路支行</w:t>
      </w:r>
    </w:p>
    <w:p w14:paraId="47046744">
      <w:pPr>
        <w:widowControl w:val="0"/>
        <w:spacing w:line="360" w:lineRule="auto"/>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帐号：（人民币）15000094959311（用于支付标书费和中标服务费）</w:t>
      </w:r>
    </w:p>
    <w:p w14:paraId="4894A1BF">
      <w:pPr>
        <w:widowControl w:val="0"/>
        <w:spacing w:line="360" w:lineRule="auto"/>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中标人须在中标公告公示期结束后，领取《中标通知书》前，向招标（采购）代理机构缴纳招标代理服务费。</w:t>
      </w:r>
    </w:p>
    <w:p w14:paraId="7696A232">
      <w:pPr>
        <w:widowControl/>
        <w:spacing w:line="360" w:lineRule="auto"/>
        <w:ind w:firstLine="420"/>
        <w:jc w:val="lef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招标代理服务费以转账、银行汇票形式交付。</w:t>
      </w:r>
    </w:p>
    <w:p w14:paraId="19AAA3CA">
      <w:pPr>
        <w:widowControl/>
        <w:jc w:val="left"/>
        <w:rPr>
          <w:rFonts w:ascii="宋体" w:hAnsi="宋体" w:eastAsia="黑体"/>
          <w:bCs/>
          <w:kern w:val="44"/>
          <w:sz w:val="28"/>
          <w:szCs w:val="44"/>
          <w:lang w:eastAsia="zh-CN"/>
        </w:rPr>
      </w:pPr>
      <w:r>
        <w:rPr>
          <w:rFonts w:ascii="宋体" w:hAnsi="宋体" w:eastAsia="黑体"/>
          <w:bCs/>
          <w:kern w:val="44"/>
          <w:sz w:val="28"/>
          <w:szCs w:val="44"/>
          <w:lang w:eastAsia="zh-CN"/>
        </w:rPr>
        <w:br w:type="page"/>
      </w:r>
    </w:p>
    <w:p w14:paraId="4A475883">
      <w:pPr>
        <w:keepNext/>
        <w:keepLines/>
        <w:widowControl w:val="0"/>
        <w:adjustRightInd w:val="0"/>
        <w:spacing w:before="260" w:after="260"/>
        <w:jc w:val="center"/>
        <w:textAlignment w:val="baseline"/>
        <w:outlineLvl w:val="1"/>
        <w:rPr>
          <w:rFonts w:ascii="宋体" w:hAnsi="宋体" w:eastAsia="宋体"/>
          <w:b/>
          <w:bCs/>
          <w:sz w:val="28"/>
          <w:szCs w:val="28"/>
          <w:lang w:eastAsia="zh-CN"/>
        </w:rPr>
      </w:pPr>
      <w:r>
        <w:rPr>
          <w:rFonts w:hint="eastAsia" w:ascii="宋体" w:hAnsi="宋体" w:eastAsia="宋体"/>
          <w:b/>
          <w:bCs/>
          <w:sz w:val="28"/>
          <w:szCs w:val="28"/>
          <w:lang w:eastAsia="zh-CN"/>
        </w:rPr>
        <w:t>第三章  用户需求书</w:t>
      </w:r>
    </w:p>
    <w:p w14:paraId="55417CAF">
      <w:pPr>
        <w:keepNext/>
        <w:keepLines/>
        <w:widowControl w:val="0"/>
        <w:tabs>
          <w:tab w:val="left" w:pos="1680"/>
        </w:tabs>
        <w:spacing w:before="260" w:after="60" w:afterLines="25"/>
        <w:jc w:val="center"/>
        <w:outlineLvl w:val="2"/>
        <w:rPr>
          <w:rFonts w:ascii="Arial" w:hAnsi="Arial" w:eastAsia="宋体"/>
          <w:b/>
          <w:kern w:val="2"/>
          <w:sz w:val="32"/>
          <w:szCs w:val="32"/>
          <w:lang w:eastAsia="zh-CN"/>
        </w:rPr>
      </w:pPr>
      <w:r>
        <w:rPr>
          <w:rFonts w:hint="eastAsia" w:ascii="Arial" w:hAnsi="Arial" w:eastAsia="宋体"/>
          <w:b/>
          <w:kern w:val="2"/>
          <w:sz w:val="32"/>
          <w:szCs w:val="32"/>
          <w:lang w:eastAsia="zh-CN"/>
        </w:rPr>
        <w:t>一、项目基本信息</w:t>
      </w:r>
    </w:p>
    <w:tbl>
      <w:tblPr>
        <w:tblStyle w:val="7"/>
        <w:tblW w:w="5000" w:type="pct"/>
        <w:tblInd w:w="-149" w:type="dxa"/>
        <w:tblLayout w:type="fixed"/>
        <w:tblCellMar>
          <w:top w:w="15" w:type="dxa"/>
          <w:left w:w="15" w:type="dxa"/>
          <w:bottom w:w="15" w:type="dxa"/>
          <w:right w:w="15" w:type="dxa"/>
        </w:tblCellMar>
      </w:tblPr>
      <w:tblGrid>
        <w:gridCol w:w="805"/>
        <w:gridCol w:w="2538"/>
        <w:gridCol w:w="2892"/>
        <w:gridCol w:w="2435"/>
      </w:tblGrid>
      <w:tr w14:paraId="155E6708">
        <w:tblPrEx>
          <w:tblCellMar>
            <w:top w:w="15" w:type="dxa"/>
            <w:left w:w="15" w:type="dxa"/>
            <w:bottom w:w="15" w:type="dxa"/>
            <w:right w:w="15" w:type="dxa"/>
          </w:tblCellMar>
        </w:tblPrEx>
        <w:trPr>
          <w:trHeight w:val="552" w:hRule="atLeast"/>
        </w:trPr>
        <w:tc>
          <w:tcPr>
            <w:tcW w:w="867" w:type="dxa"/>
            <w:tcBorders>
              <w:top w:val="single" w:color="000000" w:sz="4" w:space="0"/>
              <w:left w:val="single" w:color="000000" w:sz="4" w:space="0"/>
              <w:bottom w:val="single" w:color="000000" w:sz="4" w:space="0"/>
              <w:right w:val="single" w:color="auto" w:sz="4" w:space="0"/>
            </w:tcBorders>
            <w:shd w:val="clear" w:color="auto" w:fill="FFFFFF"/>
            <w:vAlign w:val="center"/>
          </w:tcPr>
          <w:p w14:paraId="1B50210B">
            <w:pPr>
              <w:widowControl w:val="0"/>
              <w:jc w:val="center"/>
              <w:rPr>
                <w:rFonts w:ascii="Calibri" w:hAnsi="Calibri" w:eastAsia="宋体"/>
                <w:b/>
                <w:kern w:val="2"/>
                <w:sz w:val="21"/>
                <w:szCs w:val="21"/>
                <w:lang w:eastAsia="zh-CN"/>
              </w:rPr>
            </w:pPr>
            <w:r>
              <w:rPr>
                <w:rFonts w:hint="eastAsia" w:ascii="Calibri" w:hAnsi="Calibri" w:eastAsia="宋体" w:cstheme="minorBidi"/>
                <w:b/>
                <w:kern w:val="2"/>
                <w:sz w:val="21"/>
                <w:szCs w:val="21"/>
                <w:lang w:eastAsia="zh-CN"/>
              </w:rPr>
              <w:t>序号</w:t>
            </w:r>
          </w:p>
        </w:tc>
        <w:tc>
          <w:tcPr>
            <w:tcW w:w="2742" w:type="dxa"/>
            <w:tcBorders>
              <w:top w:val="single" w:color="000000" w:sz="4" w:space="0"/>
              <w:left w:val="single" w:color="auto" w:sz="4" w:space="0"/>
              <w:bottom w:val="single" w:color="000000" w:sz="4" w:space="0"/>
              <w:right w:val="single" w:color="000000" w:sz="4" w:space="0"/>
            </w:tcBorders>
            <w:shd w:val="clear" w:color="auto" w:fill="FFFFFF"/>
            <w:vAlign w:val="center"/>
          </w:tcPr>
          <w:p w14:paraId="29A480B8">
            <w:pPr>
              <w:widowControl w:val="0"/>
              <w:jc w:val="center"/>
              <w:rPr>
                <w:rFonts w:ascii="Calibri" w:hAnsi="Calibri" w:eastAsia="宋体"/>
                <w:b/>
                <w:kern w:val="2"/>
                <w:sz w:val="21"/>
                <w:szCs w:val="21"/>
                <w:lang w:eastAsia="zh-CN"/>
              </w:rPr>
            </w:pPr>
            <w:r>
              <w:rPr>
                <w:rFonts w:hint="eastAsia" w:ascii="Calibri" w:hAnsi="Calibri" w:eastAsia="宋体" w:cstheme="minorBidi"/>
                <w:b/>
                <w:kern w:val="2"/>
                <w:sz w:val="21"/>
                <w:szCs w:val="21"/>
                <w:lang w:eastAsia="zh-CN"/>
              </w:rPr>
              <w:t>项目编号</w:t>
            </w:r>
          </w:p>
        </w:tc>
        <w:tc>
          <w:tcPr>
            <w:tcW w:w="3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2E1820">
            <w:pPr>
              <w:widowControl w:val="0"/>
              <w:jc w:val="center"/>
              <w:rPr>
                <w:rFonts w:ascii="Calibri" w:hAnsi="Calibri" w:eastAsia="宋体"/>
                <w:b/>
                <w:kern w:val="2"/>
                <w:sz w:val="21"/>
                <w:szCs w:val="21"/>
                <w:lang w:eastAsia="zh-CN"/>
              </w:rPr>
            </w:pPr>
            <w:r>
              <w:rPr>
                <w:rFonts w:hint="eastAsia" w:ascii="Calibri" w:hAnsi="Calibri" w:eastAsia="宋体" w:cstheme="minorBidi"/>
                <w:b/>
                <w:kern w:val="2"/>
                <w:sz w:val="21"/>
                <w:szCs w:val="21"/>
                <w:lang w:eastAsia="zh-CN"/>
              </w:rPr>
              <w:t>项目名称</w:t>
            </w:r>
          </w:p>
        </w:tc>
        <w:tc>
          <w:tcPr>
            <w:tcW w:w="2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CCD766">
            <w:pPr>
              <w:widowControl w:val="0"/>
              <w:jc w:val="center"/>
              <w:rPr>
                <w:rFonts w:ascii="Calibri" w:hAnsi="Calibri" w:eastAsia="宋体"/>
                <w:b/>
                <w:kern w:val="2"/>
                <w:sz w:val="21"/>
                <w:szCs w:val="21"/>
                <w:lang w:eastAsia="zh-CN"/>
              </w:rPr>
            </w:pPr>
            <w:r>
              <w:rPr>
                <w:rFonts w:hint="eastAsia" w:ascii="宋体" w:hAnsi="宋体" w:eastAsia="宋体" w:cstheme="minorBidi"/>
                <w:b/>
                <w:kern w:val="2"/>
                <w:sz w:val="21"/>
                <w:szCs w:val="21"/>
                <w:lang w:eastAsia="zh-CN"/>
              </w:rPr>
              <w:t>财政预算限额（元）</w:t>
            </w:r>
          </w:p>
        </w:tc>
      </w:tr>
      <w:tr w14:paraId="0B1F33D2">
        <w:tblPrEx>
          <w:tblCellMar>
            <w:top w:w="15" w:type="dxa"/>
            <w:left w:w="15" w:type="dxa"/>
            <w:bottom w:w="15" w:type="dxa"/>
            <w:right w:w="15" w:type="dxa"/>
          </w:tblCellMar>
        </w:tblPrEx>
        <w:trPr>
          <w:trHeight w:val="485" w:hRule="atLeast"/>
        </w:trPr>
        <w:tc>
          <w:tcPr>
            <w:tcW w:w="867" w:type="dxa"/>
            <w:tcBorders>
              <w:top w:val="single" w:color="000000" w:sz="4" w:space="0"/>
              <w:left w:val="single" w:color="000000" w:sz="4" w:space="0"/>
              <w:bottom w:val="single" w:color="000000" w:sz="4" w:space="0"/>
              <w:right w:val="single" w:color="auto" w:sz="4" w:space="0"/>
            </w:tcBorders>
            <w:vAlign w:val="center"/>
          </w:tcPr>
          <w:p w14:paraId="057295E5">
            <w:pPr>
              <w:widowControl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1</w:t>
            </w:r>
          </w:p>
        </w:tc>
        <w:tc>
          <w:tcPr>
            <w:tcW w:w="2742" w:type="dxa"/>
            <w:tcBorders>
              <w:top w:val="single" w:color="000000" w:sz="4" w:space="0"/>
              <w:left w:val="single" w:color="auto" w:sz="4" w:space="0"/>
              <w:bottom w:val="single" w:color="000000" w:sz="4" w:space="0"/>
              <w:right w:val="single" w:color="000000" w:sz="4" w:space="0"/>
            </w:tcBorders>
            <w:vAlign w:val="center"/>
          </w:tcPr>
          <w:p w14:paraId="65DC136E">
            <w:pPr>
              <w:widowControl w:val="0"/>
              <w:jc w:val="center"/>
              <w:rPr>
                <w:rFonts w:ascii="宋体" w:hAnsi="宋体" w:eastAsia="宋体"/>
                <w:kern w:val="2"/>
                <w:sz w:val="21"/>
                <w:szCs w:val="21"/>
                <w:lang w:eastAsia="zh-CN"/>
              </w:rPr>
            </w:pPr>
            <w:r>
              <w:rPr>
                <w:rFonts w:ascii="宋体" w:hAnsi="宋体" w:eastAsia="宋体"/>
                <w:kern w:val="2"/>
                <w:sz w:val="21"/>
                <w:szCs w:val="21"/>
                <w:lang w:eastAsia="zh-CN"/>
              </w:rPr>
              <w:t>LHAZXDL-2025-00097</w:t>
            </w:r>
          </w:p>
        </w:tc>
        <w:tc>
          <w:tcPr>
            <w:tcW w:w="3125" w:type="dxa"/>
            <w:tcBorders>
              <w:top w:val="single" w:color="000000" w:sz="4" w:space="0"/>
              <w:left w:val="single" w:color="000000" w:sz="4" w:space="0"/>
              <w:bottom w:val="single" w:color="auto" w:sz="4" w:space="0"/>
              <w:right w:val="single" w:color="000000" w:sz="4" w:space="0"/>
            </w:tcBorders>
            <w:vAlign w:val="center"/>
          </w:tcPr>
          <w:p w14:paraId="370C5A97">
            <w:pPr>
              <w:widowControl w:val="0"/>
              <w:jc w:val="center"/>
              <w:rPr>
                <w:rFonts w:hint="eastAsia" w:ascii="Calibri" w:hAnsi="Calibri" w:eastAsia="宋体"/>
                <w:kern w:val="2"/>
                <w:sz w:val="21"/>
                <w:szCs w:val="21"/>
                <w:lang w:eastAsia="zh-CN"/>
              </w:rPr>
            </w:pPr>
            <w:r>
              <w:rPr>
                <w:rFonts w:hint="eastAsia" w:ascii="Calibri" w:hAnsi="Calibri" w:eastAsia="宋体" w:cstheme="minorBidi"/>
                <w:kern w:val="2"/>
                <w:sz w:val="21"/>
                <w:szCs w:val="21"/>
                <w:lang w:eastAsia="zh-CN"/>
              </w:rPr>
              <w:t>大浪校区监控视频存储及光网络交换设备</w:t>
            </w:r>
          </w:p>
        </w:tc>
        <w:tc>
          <w:tcPr>
            <w:tcW w:w="2630" w:type="dxa"/>
            <w:tcBorders>
              <w:top w:val="single" w:color="000000" w:sz="4" w:space="0"/>
              <w:left w:val="single" w:color="000000" w:sz="4" w:space="0"/>
              <w:bottom w:val="single" w:color="auto" w:sz="4" w:space="0"/>
              <w:right w:val="single" w:color="000000" w:sz="4" w:space="0"/>
            </w:tcBorders>
            <w:vAlign w:val="center"/>
          </w:tcPr>
          <w:p w14:paraId="5106A569">
            <w:pPr>
              <w:widowControl w:val="0"/>
              <w:jc w:val="center"/>
              <w:rPr>
                <w:rFonts w:ascii="宋体" w:hAnsi="宋体" w:eastAsia="宋体"/>
                <w:kern w:val="2"/>
                <w:sz w:val="21"/>
                <w:szCs w:val="21"/>
                <w:lang w:eastAsia="zh-CN"/>
              </w:rPr>
            </w:pPr>
            <w:r>
              <w:rPr>
                <w:rFonts w:hint="eastAsia" w:ascii="宋体" w:hAnsi="宋体" w:eastAsia="宋体"/>
                <w:kern w:val="2"/>
                <w:sz w:val="21"/>
                <w:szCs w:val="21"/>
                <w:lang w:eastAsia="zh-CN"/>
              </w:rPr>
              <w:t>632,912.00</w:t>
            </w:r>
          </w:p>
        </w:tc>
      </w:tr>
    </w:tbl>
    <w:p w14:paraId="5A7A9761">
      <w:pPr>
        <w:keepNext/>
        <w:keepLines/>
        <w:widowControl w:val="0"/>
        <w:tabs>
          <w:tab w:val="left" w:pos="1680"/>
        </w:tabs>
        <w:spacing w:before="260" w:after="60" w:afterLines="25"/>
        <w:jc w:val="center"/>
        <w:outlineLvl w:val="2"/>
        <w:rPr>
          <w:rFonts w:hint="eastAsia" w:ascii="宋体" w:hAnsi="宋体" w:eastAsia="宋体"/>
          <w:b/>
          <w:color w:val="000000"/>
          <w:sz w:val="21"/>
          <w:szCs w:val="21"/>
          <w:lang w:eastAsia="zh-CN"/>
        </w:rPr>
      </w:pPr>
      <w:r>
        <w:rPr>
          <w:rFonts w:hint="eastAsia" w:ascii="Arial" w:hAnsi="Arial" w:eastAsia="宋体"/>
          <w:b/>
          <w:kern w:val="2"/>
          <w:sz w:val="32"/>
          <w:szCs w:val="32"/>
          <w:lang w:eastAsia="zh-CN"/>
        </w:rPr>
        <w:t>二、货物需求明细</w:t>
      </w:r>
      <w:bookmarkStart w:id="12" w:name="_Toc128884461"/>
    </w:p>
    <w:tbl>
      <w:tblPr>
        <w:tblStyle w:val="7"/>
        <w:tblpPr w:leftFromText="180" w:rightFromText="180" w:vertAnchor="text" w:horzAnchor="page" w:tblpX="1800" w:tblpY="450"/>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1724"/>
        <w:gridCol w:w="696"/>
        <w:gridCol w:w="712"/>
        <w:gridCol w:w="1147"/>
        <w:gridCol w:w="1375"/>
        <w:gridCol w:w="781"/>
        <w:gridCol w:w="1742"/>
      </w:tblGrid>
      <w:tr w14:paraId="4B042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708" w:type="dxa"/>
            <w:vMerge w:val="restart"/>
            <w:noWrap w:val="0"/>
            <w:vAlign w:val="center"/>
          </w:tcPr>
          <w:p w14:paraId="453D6A21">
            <w:pPr>
              <w:jc w:val="center"/>
              <w:rPr>
                <w:rFonts w:hint="eastAsia" w:ascii="宋体" w:hAnsi="宋体" w:eastAsia="宋体" w:cs="宋体"/>
                <w:b/>
                <w:sz w:val="21"/>
                <w:szCs w:val="21"/>
              </w:rPr>
            </w:pPr>
            <w:r>
              <w:rPr>
                <w:rFonts w:hint="eastAsia" w:ascii="宋体" w:hAnsi="宋体" w:eastAsia="宋体" w:cs="宋体"/>
                <w:b/>
                <w:sz w:val="21"/>
                <w:szCs w:val="21"/>
              </w:rPr>
              <w:t>序号</w:t>
            </w:r>
          </w:p>
        </w:tc>
        <w:tc>
          <w:tcPr>
            <w:tcW w:w="1824" w:type="dxa"/>
            <w:vMerge w:val="restart"/>
            <w:noWrap w:val="0"/>
            <w:vAlign w:val="center"/>
          </w:tcPr>
          <w:p w14:paraId="100DCA0D">
            <w:pPr>
              <w:jc w:val="center"/>
              <w:rPr>
                <w:rFonts w:hint="eastAsia" w:ascii="宋体" w:hAnsi="宋体" w:eastAsia="宋体" w:cs="宋体"/>
                <w:b/>
                <w:sz w:val="21"/>
                <w:szCs w:val="21"/>
              </w:rPr>
            </w:pPr>
            <w:r>
              <w:rPr>
                <w:rFonts w:hint="eastAsia" w:ascii="宋体" w:hAnsi="宋体" w:eastAsia="宋体" w:cs="宋体"/>
                <w:b/>
                <w:sz w:val="21"/>
                <w:szCs w:val="21"/>
              </w:rPr>
              <w:t>货物名称</w:t>
            </w:r>
          </w:p>
        </w:tc>
        <w:tc>
          <w:tcPr>
            <w:tcW w:w="727" w:type="dxa"/>
            <w:vMerge w:val="restart"/>
            <w:noWrap w:val="0"/>
            <w:vAlign w:val="center"/>
          </w:tcPr>
          <w:p w14:paraId="5E50D14B">
            <w:pPr>
              <w:jc w:val="center"/>
              <w:rPr>
                <w:rFonts w:hint="eastAsia" w:ascii="宋体" w:hAnsi="宋体" w:eastAsia="宋体" w:cs="宋体"/>
                <w:b/>
                <w:sz w:val="21"/>
                <w:szCs w:val="21"/>
              </w:rPr>
            </w:pPr>
            <w:r>
              <w:rPr>
                <w:rFonts w:hint="eastAsia" w:ascii="宋体" w:hAnsi="宋体" w:eastAsia="宋体" w:cs="宋体"/>
                <w:b/>
                <w:sz w:val="21"/>
                <w:szCs w:val="21"/>
              </w:rPr>
              <w:t>数量</w:t>
            </w:r>
          </w:p>
        </w:tc>
        <w:tc>
          <w:tcPr>
            <w:tcW w:w="744" w:type="dxa"/>
            <w:vMerge w:val="restart"/>
            <w:noWrap w:val="0"/>
            <w:vAlign w:val="center"/>
          </w:tcPr>
          <w:p w14:paraId="38CD58E2">
            <w:pPr>
              <w:jc w:val="center"/>
              <w:rPr>
                <w:rFonts w:hint="eastAsia" w:ascii="宋体" w:hAnsi="宋体" w:eastAsia="宋体" w:cs="宋体"/>
                <w:b/>
                <w:sz w:val="21"/>
                <w:szCs w:val="21"/>
              </w:rPr>
            </w:pPr>
            <w:r>
              <w:rPr>
                <w:rFonts w:hint="eastAsia" w:ascii="宋体" w:hAnsi="宋体" w:eastAsia="宋体" w:cs="宋体"/>
                <w:b/>
                <w:sz w:val="21"/>
                <w:szCs w:val="21"/>
              </w:rPr>
              <w:t>单位</w:t>
            </w:r>
          </w:p>
        </w:tc>
        <w:tc>
          <w:tcPr>
            <w:tcW w:w="2659" w:type="dxa"/>
            <w:gridSpan w:val="2"/>
            <w:noWrap w:val="0"/>
            <w:vAlign w:val="center"/>
          </w:tcPr>
          <w:p w14:paraId="68492303">
            <w:pPr>
              <w:jc w:val="center"/>
              <w:rPr>
                <w:rFonts w:hint="eastAsia" w:ascii="宋体" w:hAnsi="宋体" w:eastAsia="宋体" w:cs="宋体"/>
                <w:b/>
                <w:sz w:val="21"/>
                <w:szCs w:val="21"/>
              </w:rPr>
            </w:pPr>
            <w:r>
              <w:rPr>
                <w:rFonts w:hint="eastAsia" w:ascii="宋体" w:hAnsi="宋体" w:eastAsia="宋体" w:cs="宋体"/>
                <w:b/>
                <w:sz w:val="21"/>
                <w:szCs w:val="21"/>
              </w:rPr>
              <w:t>单价限额（元）</w:t>
            </w:r>
          </w:p>
        </w:tc>
        <w:tc>
          <w:tcPr>
            <w:tcW w:w="817" w:type="dxa"/>
            <w:noWrap w:val="0"/>
            <w:vAlign w:val="center"/>
          </w:tcPr>
          <w:p w14:paraId="6ADE5854">
            <w:pPr>
              <w:jc w:val="center"/>
              <w:rPr>
                <w:rFonts w:hint="eastAsia" w:ascii="宋体" w:hAnsi="宋体" w:eastAsia="宋体" w:cs="宋体"/>
                <w:b/>
                <w:color w:val="FF0000"/>
                <w:sz w:val="21"/>
                <w:szCs w:val="21"/>
              </w:rPr>
            </w:pPr>
            <w:r>
              <w:rPr>
                <w:rFonts w:hint="eastAsia" w:ascii="宋体" w:hAnsi="宋体" w:eastAsia="宋体" w:cs="宋体"/>
                <w:b/>
                <w:color w:val="FF0000"/>
                <w:sz w:val="21"/>
                <w:szCs w:val="21"/>
              </w:rPr>
              <w:t>备注</w:t>
            </w:r>
          </w:p>
        </w:tc>
        <w:tc>
          <w:tcPr>
            <w:tcW w:w="1843" w:type="dxa"/>
            <w:noWrap w:val="0"/>
            <w:vAlign w:val="center"/>
          </w:tcPr>
          <w:p w14:paraId="138611E3">
            <w:pPr>
              <w:jc w:val="center"/>
              <w:rPr>
                <w:rFonts w:hint="eastAsia" w:ascii="宋体" w:hAnsi="宋体" w:eastAsia="宋体" w:cs="宋体"/>
                <w:b/>
                <w:color w:val="FF0000"/>
                <w:sz w:val="21"/>
                <w:szCs w:val="21"/>
              </w:rPr>
            </w:pPr>
            <w:r>
              <w:rPr>
                <w:rFonts w:hint="eastAsia" w:ascii="宋体" w:hAnsi="宋体" w:eastAsia="宋体" w:cs="宋体"/>
                <w:b/>
                <w:color w:val="FF0000"/>
                <w:sz w:val="21"/>
                <w:szCs w:val="21"/>
              </w:rPr>
              <w:t>财政预算限额（元）</w:t>
            </w:r>
          </w:p>
        </w:tc>
      </w:tr>
      <w:tr w14:paraId="1DE69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708" w:type="dxa"/>
            <w:vMerge w:val="continue"/>
            <w:noWrap w:val="0"/>
            <w:vAlign w:val="center"/>
          </w:tcPr>
          <w:p w14:paraId="43E8D31F">
            <w:pPr>
              <w:jc w:val="center"/>
              <w:rPr>
                <w:rFonts w:hint="eastAsia" w:ascii="宋体" w:hAnsi="宋体" w:eastAsia="宋体" w:cs="宋体"/>
                <w:b/>
                <w:sz w:val="21"/>
                <w:szCs w:val="21"/>
              </w:rPr>
            </w:pPr>
          </w:p>
        </w:tc>
        <w:tc>
          <w:tcPr>
            <w:tcW w:w="1824" w:type="dxa"/>
            <w:vMerge w:val="continue"/>
            <w:noWrap w:val="0"/>
            <w:vAlign w:val="center"/>
          </w:tcPr>
          <w:p w14:paraId="02529041">
            <w:pPr>
              <w:jc w:val="center"/>
              <w:rPr>
                <w:rFonts w:hint="eastAsia" w:ascii="宋体" w:hAnsi="宋体" w:eastAsia="宋体" w:cs="宋体"/>
                <w:b/>
                <w:sz w:val="21"/>
                <w:szCs w:val="21"/>
              </w:rPr>
            </w:pPr>
          </w:p>
        </w:tc>
        <w:tc>
          <w:tcPr>
            <w:tcW w:w="727" w:type="dxa"/>
            <w:vMerge w:val="continue"/>
            <w:noWrap w:val="0"/>
            <w:vAlign w:val="center"/>
          </w:tcPr>
          <w:p w14:paraId="568B0E24">
            <w:pPr>
              <w:jc w:val="center"/>
              <w:rPr>
                <w:rFonts w:hint="eastAsia" w:ascii="宋体" w:hAnsi="宋体" w:eastAsia="宋体" w:cs="宋体"/>
                <w:b/>
                <w:sz w:val="21"/>
                <w:szCs w:val="21"/>
              </w:rPr>
            </w:pPr>
          </w:p>
        </w:tc>
        <w:tc>
          <w:tcPr>
            <w:tcW w:w="744" w:type="dxa"/>
            <w:vMerge w:val="continue"/>
            <w:noWrap w:val="0"/>
            <w:vAlign w:val="center"/>
          </w:tcPr>
          <w:p w14:paraId="62A70795">
            <w:pPr>
              <w:jc w:val="center"/>
              <w:rPr>
                <w:rFonts w:hint="eastAsia" w:ascii="宋体" w:hAnsi="宋体" w:eastAsia="宋体" w:cs="宋体"/>
                <w:b/>
                <w:sz w:val="21"/>
                <w:szCs w:val="21"/>
              </w:rPr>
            </w:pPr>
          </w:p>
        </w:tc>
        <w:tc>
          <w:tcPr>
            <w:tcW w:w="1208" w:type="dxa"/>
            <w:noWrap w:val="0"/>
            <w:vAlign w:val="center"/>
          </w:tcPr>
          <w:p w14:paraId="04CB2D7D">
            <w:pPr>
              <w:jc w:val="center"/>
              <w:rPr>
                <w:rFonts w:hint="eastAsia" w:ascii="宋体" w:hAnsi="宋体" w:eastAsia="宋体" w:cs="宋体"/>
                <w:b/>
                <w:sz w:val="21"/>
                <w:szCs w:val="21"/>
              </w:rPr>
            </w:pPr>
            <w:r>
              <w:rPr>
                <w:rFonts w:hint="eastAsia" w:ascii="宋体" w:hAnsi="宋体" w:eastAsia="宋体" w:cs="宋体"/>
                <w:b/>
                <w:sz w:val="21"/>
                <w:szCs w:val="21"/>
              </w:rPr>
              <w:t>单价</w:t>
            </w:r>
          </w:p>
        </w:tc>
        <w:tc>
          <w:tcPr>
            <w:tcW w:w="1451" w:type="dxa"/>
            <w:noWrap w:val="0"/>
            <w:vAlign w:val="center"/>
          </w:tcPr>
          <w:p w14:paraId="5B81B532">
            <w:pPr>
              <w:jc w:val="center"/>
              <w:rPr>
                <w:rFonts w:hint="eastAsia" w:ascii="宋体" w:hAnsi="宋体" w:eastAsia="宋体" w:cs="宋体"/>
                <w:b/>
                <w:sz w:val="21"/>
                <w:szCs w:val="21"/>
              </w:rPr>
            </w:pPr>
            <w:r>
              <w:rPr>
                <w:rFonts w:hint="eastAsia" w:ascii="宋体" w:hAnsi="宋体" w:eastAsia="宋体" w:cs="宋体"/>
                <w:b/>
                <w:sz w:val="21"/>
                <w:szCs w:val="21"/>
              </w:rPr>
              <w:t>单价限额（单价乘以数量）</w:t>
            </w:r>
          </w:p>
        </w:tc>
        <w:tc>
          <w:tcPr>
            <w:tcW w:w="817" w:type="dxa"/>
            <w:noWrap w:val="0"/>
            <w:vAlign w:val="center"/>
          </w:tcPr>
          <w:p w14:paraId="4950713D">
            <w:pPr>
              <w:jc w:val="center"/>
              <w:rPr>
                <w:rFonts w:hint="eastAsia" w:ascii="宋体" w:hAnsi="宋体" w:eastAsia="宋体" w:cs="宋体"/>
                <w:b/>
                <w:color w:val="FF0000"/>
                <w:sz w:val="21"/>
                <w:szCs w:val="21"/>
              </w:rPr>
            </w:pPr>
          </w:p>
        </w:tc>
        <w:tc>
          <w:tcPr>
            <w:tcW w:w="1843" w:type="dxa"/>
            <w:noWrap w:val="0"/>
            <w:vAlign w:val="center"/>
          </w:tcPr>
          <w:p w14:paraId="1CF74C15">
            <w:pPr>
              <w:jc w:val="center"/>
              <w:rPr>
                <w:rFonts w:hint="eastAsia" w:ascii="宋体" w:hAnsi="宋体" w:eastAsia="宋体" w:cs="宋体"/>
                <w:b/>
                <w:color w:val="FF0000"/>
                <w:sz w:val="21"/>
                <w:szCs w:val="21"/>
              </w:rPr>
            </w:pPr>
          </w:p>
        </w:tc>
      </w:tr>
      <w:tr w14:paraId="3904D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708" w:type="dxa"/>
            <w:noWrap w:val="0"/>
            <w:vAlign w:val="center"/>
          </w:tcPr>
          <w:p w14:paraId="0C26776F">
            <w:pPr>
              <w:jc w:val="center"/>
              <w:rPr>
                <w:rFonts w:hint="eastAsia" w:ascii="宋体" w:hAnsi="宋体" w:eastAsia="宋体" w:cs="宋体"/>
                <w:sz w:val="21"/>
                <w:szCs w:val="21"/>
              </w:rPr>
            </w:pPr>
            <w:r>
              <w:rPr>
                <w:rFonts w:hint="eastAsia" w:ascii="宋体" w:hAnsi="宋体" w:eastAsia="宋体" w:cs="宋体"/>
                <w:color w:val="000000"/>
                <w:sz w:val="21"/>
                <w:szCs w:val="21"/>
              </w:rPr>
              <w:t>1</w:t>
            </w:r>
          </w:p>
        </w:tc>
        <w:tc>
          <w:tcPr>
            <w:tcW w:w="1824" w:type="dxa"/>
            <w:noWrap w:val="0"/>
            <w:vAlign w:val="center"/>
          </w:tcPr>
          <w:p w14:paraId="4147C3ED">
            <w:pPr>
              <w:jc w:val="center"/>
              <w:rPr>
                <w:rFonts w:hint="eastAsia" w:ascii="宋体" w:hAnsi="宋体" w:eastAsia="宋体" w:cs="宋体"/>
                <w:sz w:val="21"/>
                <w:szCs w:val="21"/>
              </w:rPr>
            </w:pPr>
            <w:r>
              <w:rPr>
                <w:rFonts w:hint="eastAsia" w:ascii="宋体" w:hAnsi="宋体" w:eastAsia="宋体" w:cs="宋体"/>
                <w:color w:val="000000"/>
                <w:sz w:val="21"/>
                <w:szCs w:val="21"/>
              </w:rPr>
              <w:t>监控视频存储</w:t>
            </w:r>
          </w:p>
          <w:p w14:paraId="0E6F4039">
            <w:pPr>
              <w:jc w:val="center"/>
              <w:rPr>
                <w:rFonts w:hint="eastAsia" w:ascii="宋体" w:hAnsi="宋体" w:eastAsia="宋体" w:cs="宋体"/>
                <w:bCs/>
                <w:sz w:val="21"/>
                <w:szCs w:val="21"/>
              </w:rPr>
            </w:pPr>
            <w:r>
              <w:rPr>
                <w:rFonts w:hint="eastAsia" w:ascii="宋体" w:hAnsi="宋体" w:eastAsia="宋体" w:cs="宋体"/>
                <w:b/>
                <w:bCs/>
                <w:sz w:val="21"/>
                <w:szCs w:val="21"/>
              </w:rPr>
              <w:t>（核心产品）</w:t>
            </w:r>
          </w:p>
        </w:tc>
        <w:tc>
          <w:tcPr>
            <w:tcW w:w="727" w:type="dxa"/>
            <w:noWrap w:val="0"/>
            <w:vAlign w:val="center"/>
          </w:tcPr>
          <w:p w14:paraId="7516ED53">
            <w:pPr>
              <w:jc w:val="center"/>
              <w:rPr>
                <w:rFonts w:hint="eastAsia" w:ascii="宋体" w:hAnsi="宋体" w:eastAsia="宋体" w:cs="宋体"/>
                <w:bCs/>
                <w:sz w:val="21"/>
                <w:szCs w:val="21"/>
              </w:rPr>
            </w:pPr>
            <w:r>
              <w:rPr>
                <w:rFonts w:hint="eastAsia" w:ascii="宋体" w:hAnsi="宋体" w:eastAsia="宋体" w:cs="宋体"/>
                <w:color w:val="000000"/>
                <w:sz w:val="21"/>
                <w:szCs w:val="21"/>
              </w:rPr>
              <w:t>4</w:t>
            </w:r>
          </w:p>
        </w:tc>
        <w:tc>
          <w:tcPr>
            <w:tcW w:w="744" w:type="dxa"/>
            <w:noWrap w:val="0"/>
            <w:vAlign w:val="center"/>
          </w:tcPr>
          <w:p w14:paraId="69BA9F6B">
            <w:pPr>
              <w:jc w:val="center"/>
              <w:rPr>
                <w:rFonts w:hint="eastAsia" w:ascii="宋体" w:hAnsi="宋体" w:eastAsia="宋体" w:cs="宋体"/>
                <w:bCs/>
                <w:sz w:val="21"/>
                <w:szCs w:val="21"/>
              </w:rPr>
            </w:pPr>
            <w:r>
              <w:rPr>
                <w:rFonts w:hint="eastAsia" w:ascii="宋体" w:hAnsi="宋体" w:eastAsia="宋体" w:cs="宋体"/>
                <w:color w:val="000000"/>
                <w:sz w:val="21"/>
                <w:szCs w:val="21"/>
              </w:rPr>
              <w:t>台</w:t>
            </w:r>
          </w:p>
        </w:tc>
        <w:tc>
          <w:tcPr>
            <w:tcW w:w="1208" w:type="dxa"/>
            <w:noWrap w:val="0"/>
            <w:vAlign w:val="center"/>
          </w:tcPr>
          <w:p w14:paraId="150317DD">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138293.00 </w:t>
            </w:r>
          </w:p>
        </w:tc>
        <w:tc>
          <w:tcPr>
            <w:tcW w:w="1451" w:type="dxa"/>
            <w:noWrap w:val="0"/>
            <w:vAlign w:val="center"/>
          </w:tcPr>
          <w:p w14:paraId="40E94EC8">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553172.00 </w:t>
            </w:r>
          </w:p>
        </w:tc>
        <w:tc>
          <w:tcPr>
            <w:tcW w:w="817" w:type="dxa"/>
            <w:vMerge w:val="restart"/>
            <w:noWrap w:val="0"/>
            <w:vAlign w:val="center"/>
          </w:tcPr>
          <w:p w14:paraId="52AACEF2">
            <w:pPr>
              <w:jc w:val="center"/>
              <w:rPr>
                <w:rFonts w:hint="eastAsia" w:ascii="宋体" w:hAnsi="宋体" w:eastAsia="宋体" w:cs="宋体"/>
                <w:b/>
                <w:bCs/>
                <w:color w:val="FF0000"/>
                <w:sz w:val="21"/>
                <w:szCs w:val="21"/>
              </w:rPr>
            </w:pPr>
            <w:r>
              <w:rPr>
                <w:rFonts w:hint="eastAsia" w:ascii="宋体" w:hAnsi="宋体" w:eastAsia="宋体" w:cs="宋体"/>
                <w:b/>
                <w:bCs/>
                <w:color w:val="FF0000"/>
                <w:sz w:val="21"/>
                <w:szCs w:val="21"/>
              </w:rPr>
              <w:t>拒绝进口</w:t>
            </w:r>
          </w:p>
        </w:tc>
        <w:tc>
          <w:tcPr>
            <w:tcW w:w="1843" w:type="dxa"/>
            <w:vMerge w:val="restart"/>
            <w:noWrap w:val="0"/>
            <w:vAlign w:val="center"/>
          </w:tcPr>
          <w:p w14:paraId="09B2E346">
            <w:pPr>
              <w:jc w:val="center"/>
              <w:rPr>
                <w:rFonts w:hint="eastAsia" w:ascii="宋体" w:hAnsi="宋体" w:eastAsia="宋体" w:cs="宋体"/>
                <w:b/>
                <w:bCs/>
                <w:color w:val="FF0000"/>
                <w:sz w:val="21"/>
                <w:szCs w:val="21"/>
              </w:rPr>
            </w:pPr>
            <w:r>
              <w:rPr>
                <w:rFonts w:hint="eastAsia" w:ascii="宋体" w:hAnsi="宋体" w:eastAsia="宋体" w:cs="宋体"/>
                <w:b/>
                <w:bCs/>
                <w:color w:val="FF0000"/>
                <w:sz w:val="21"/>
                <w:szCs w:val="21"/>
              </w:rPr>
              <w:t>632912.00</w:t>
            </w:r>
          </w:p>
        </w:tc>
      </w:tr>
      <w:tr w14:paraId="6FD53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708" w:type="dxa"/>
            <w:noWrap w:val="0"/>
            <w:vAlign w:val="center"/>
          </w:tcPr>
          <w:p w14:paraId="34E4F82F">
            <w:pPr>
              <w:jc w:val="center"/>
              <w:rPr>
                <w:rFonts w:hint="eastAsia" w:ascii="宋体" w:hAnsi="宋体" w:eastAsia="宋体" w:cs="宋体"/>
                <w:sz w:val="21"/>
                <w:szCs w:val="21"/>
              </w:rPr>
            </w:pPr>
            <w:r>
              <w:rPr>
                <w:rFonts w:hint="eastAsia" w:ascii="宋体" w:hAnsi="宋体" w:eastAsia="宋体" w:cs="宋体"/>
                <w:color w:val="000000"/>
                <w:sz w:val="21"/>
                <w:szCs w:val="21"/>
              </w:rPr>
              <w:t>2</w:t>
            </w:r>
          </w:p>
        </w:tc>
        <w:tc>
          <w:tcPr>
            <w:tcW w:w="1824" w:type="dxa"/>
            <w:noWrap w:val="0"/>
            <w:vAlign w:val="center"/>
          </w:tcPr>
          <w:p w14:paraId="350EBC27">
            <w:pPr>
              <w:jc w:val="center"/>
              <w:rPr>
                <w:rFonts w:hint="eastAsia" w:ascii="宋体" w:hAnsi="宋体" w:eastAsia="宋体" w:cs="宋体"/>
                <w:bCs/>
                <w:sz w:val="21"/>
                <w:szCs w:val="21"/>
              </w:rPr>
            </w:pPr>
            <w:r>
              <w:rPr>
                <w:rFonts w:hint="eastAsia" w:ascii="宋体" w:hAnsi="宋体" w:eastAsia="宋体" w:cs="宋体"/>
                <w:color w:val="000000"/>
                <w:sz w:val="21"/>
                <w:szCs w:val="21"/>
              </w:rPr>
              <w:t>黑光枪型摄像头</w:t>
            </w:r>
          </w:p>
        </w:tc>
        <w:tc>
          <w:tcPr>
            <w:tcW w:w="727" w:type="dxa"/>
            <w:noWrap w:val="0"/>
            <w:vAlign w:val="center"/>
          </w:tcPr>
          <w:p w14:paraId="1659046E">
            <w:pPr>
              <w:jc w:val="center"/>
              <w:rPr>
                <w:rFonts w:hint="eastAsia" w:ascii="宋体" w:hAnsi="宋体" w:eastAsia="宋体" w:cs="宋体"/>
                <w:bCs/>
                <w:sz w:val="21"/>
                <w:szCs w:val="21"/>
              </w:rPr>
            </w:pPr>
            <w:r>
              <w:rPr>
                <w:rFonts w:hint="eastAsia" w:ascii="宋体" w:hAnsi="宋体" w:eastAsia="宋体" w:cs="宋体"/>
                <w:color w:val="000000"/>
                <w:sz w:val="21"/>
                <w:szCs w:val="21"/>
              </w:rPr>
              <w:t>1</w:t>
            </w:r>
          </w:p>
        </w:tc>
        <w:tc>
          <w:tcPr>
            <w:tcW w:w="744" w:type="dxa"/>
            <w:noWrap w:val="0"/>
            <w:vAlign w:val="center"/>
          </w:tcPr>
          <w:p w14:paraId="30397396">
            <w:pPr>
              <w:jc w:val="center"/>
              <w:rPr>
                <w:rFonts w:hint="eastAsia" w:ascii="宋体" w:hAnsi="宋体" w:eastAsia="宋体" w:cs="宋体"/>
                <w:bCs/>
                <w:sz w:val="21"/>
                <w:szCs w:val="21"/>
              </w:rPr>
            </w:pPr>
            <w:r>
              <w:rPr>
                <w:rFonts w:hint="eastAsia" w:ascii="宋体" w:hAnsi="宋体" w:eastAsia="宋体" w:cs="宋体"/>
                <w:color w:val="000000"/>
                <w:sz w:val="21"/>
                <w:szCs w:val="21"/>
              </w:rPr>
              <w:t>台</w:t>
            </w:r>
          </w:p>
        </w:tc>
        <w:tc>
          <w:tcPr>
            <w:tcW w:w="1208" w:type="dxa"/>
            <w:noWrap w:val="0"/>
            <w:vAlign w:val="center"/>
          </w:tcPr>
          <w:p w14:paraId="635F3E41">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880.00 </w:t>
            </w:r>
          </w:p>
        </w:tc>
        <w:tc>
          <w:tcPr>
            <w:tcW w:w="1451" w:type="dxa"/>
            <w:noWrap w:val="0"/>
            <w:vAlign w:val="center"/>
          </w:tcPr>
          <w:p w14:paraId="5D146D77">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880.00 </w:t>
            </w:r>
          </w:p>
        </w:tc>
        <w:tc>
          <w:tcPr>
            <w:tcW w:w="817" w:type="dxa"/>
            <w:vMerge w:val="continue"/>
            <w:noWrap w:val="0"/>
            <w:vAlign w:val="center"/>
          </w:tcPr>
          <w:p w14:paraId="04119A56">
            <w:pPr>
              <w:jc w:val="center"/>
              <w:rPr>
                <w:rFonts w:hint="eastAsia" w:ascii="宋体" w:hAnsi="宋体" w:eastAsia="宋体" w:cs="宋体"/>
                <w:b/>
                <w:bCs/>
                <w:color w:val="FF0000"/>
                <w:sz w:val="21"/>
                <w:szCs w:val="21"/>
              </w:rPr>
            </w:pPr>
          </w:p>
        </w:tc>
        <w:tc>
          <w:tcPr>
            <w:tcW w:w="1843" w:type="dxa"/>
            <w:vMerge w:val="continue"/>
            <w:noWrap w:val="0"/>
            <w:vAlign w:val="center"/>
          </w:tcPr>
          <w:p w14:paraId="7262849A">
            <w:pPr>
              <w:jc w:val="center"/>
              <w:rPr>
                <w:rFonts w:hint="eastAsia" w:ascii="宋体" w:hAnsi="宋体" w:eastAsia="宋体" w:cs="宋体"/>
                <w:b/>
                <w:bCs/>
                <w:color w:val="FF0000"/>
                <w:sz w:val="21"/>
                <w:szCs w:val="21"/>
              </w:rPr>
            </w:pPr>
          </w:p>
        </w:tc>
      </w:tr>
      <w:tr w14:paraId="7C5B6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708" w:type="dxa"/>
            <w:noWrap w:val="0"/>
            <w:vAlign w:val="center"/>
          </w:tcPr>
          <w:p w14:paraId="028C946E">
            <w:pPr>
              <w:jc w:val="center"/>
              <w:rPr>
                <w:rFonts w:hint="eastAsia" w:ascii="宋体" w:hAnsi="宋体" w:eastAsia="宋体" w:cs="宋体"/>
                <w:sz w:val="21"/>
                <w:szCs w:val="21"/>
              </w:rPr>
            </w:pPr>
            <w:r>
              <w:rPr>
                <w:rFonts w:hint="eastAsia" w:ascii="宋体" w:hAnsi="宋体" w:eastAsia="宋体" w:cs="宋体"/>
                <w:color w:val="000000"/>
                <w:sz w:val="21"/>
                <w:szCs w:val="21"/>
              </w:rPr>
              <w:t>3</w:t>
            </w:r>
          </w:p>
        </w:tc>
        <w:tc>
          <w:tcPr>
            <w:tcW w:w="1824" w:type="dxa"/>
            <w:noWrap w:val="0"/>
            <w:vAlign w:val="center"/>
          </w:tcPr>
          <w:p w14:paraId="73A68558">
            <w:pPr>
              <w:jc w:val="center"/>
              <w:rPr>
                <w:rFonts w:hint="eastAsia" w:ascii="宋体" w:hAnsi="宋体" w:eastAsia="宋体" w:cs="宋体"/>
                <w:bCs/>
                <w:sz w:val="21"/>
                <w:szCs w:val="21"/>
              </w:rPr>
            </w:pPr>
            <w:r>
              <w:rPr>
                <w:rFonts w:hint="eastAsia" w:ascii="宋体" w:hAnsi="宋体" w:eastAsia="宋体" w:cs="宋体"/>
                <w:color w:val="000000"/>
                <w:sz w:val="21"/>
                <w:szCs w:val="21"/>
              </w:rPr>
              <w:t>8口光网络交换设备</w:t>
            </w:r>
          </w:p>
        </w:tc>
        <w:tc>
          <w:tcPr>
            <w:tcW w:w="727" w:type="dxa"/>
            <w:noWrap w:val="0"/>
            <w:vAlign w:val="center"/>
          </w:tcPr>
          <w:p w14:paraId="299B6829">
            <w:pPr>
              <w:jc w:val="center"/>
              <w:rPr>
                <w:rFonts w:hint="eastAsia" w:ascii="宋体" w:hAnsi="宋体" w:eastAsia="宋体" w:cs="宋体"/>
                <w:bCs/>
                <w:sz w:val="21"/>
                <w:szCs w:val="21"/>
              </w:rPr>
            </w:pPr>
            <w:r>
              <w:rPr>
                <w:rFonts w:hint="eastAsia" w:ascii="宋体" w:hAnsi="宋体" w:eastAsia="宋体" w:cs="宋体"/>
                <w:color w:val="000000"/>
                <w:sz w:val="21"/>
                <w:szCs w:val="21"/>
              </w:rPr>
              <w:t>3</w:t>
            </w:r>
          </w:p>
        </w:tc>
        <w:tc>
          <w:tcPr>
            <w:tcW w:w="744" w:type="dxa"/>
            <w:noWrap w:val="0"/>
            <w:vAlign w:val="center"/>
          </w:tcPr>
          <w:p w14:paraId="20982DB5">
            <w:pPr>
              <w:jc w:val="center"/>
              <w:rPr>
                <w:rFonts w:hint="eastAsia" w:ascii="宋体" w:hAnsi="宋体" w:eastAsia="宋体" w:cs="宋体"/>
                <w:bCs/>
                <w:sz w:val="21"/>
                <w:szCs w:val="21"/>
              </w:rPr>
            </w:pPr>
            <w:r>
              <w:rPr>
                <w:rFonts w:hint="eastAsia" w:ascii="宋体" w:hAnsi="宋体" w:eastAsia="宋体" w:cs="宋体"/>
                <w:color w:val="000000"/>
                <w:sz w:val="21"/>
                <w:szCs w:val="21"/>
              </w:rPr>
              <w:t>台</w:t>
            </w:r>
          </w:p>
        </w:tc>
        <w:tc>
          <w:tcPr>
            <w:tcW w:w="1208" w:type="dxa"/>
            <w:noWrap w:val="0"/>
            <w:vAlign w:val="center"/>
          </w:tcPr>
          <w:p w14:paraId="7E469549">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8600.00 </w:t>
            </w:r>
          </w:p>
        </w:tc>
        <w:tc>
          <w:tcPr>
            <w:tcW w:w="1451" w:type="dxa"/>
            <w:noWrap w:val="0"/>
            <w:vAlign w:val="center"/>
          </w:tcPr>
          <w:p w14:paraId="040EAE2E">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25800.00 </w:t>
            </w:r>
          </w:p>
        </w:tc>
        <w:tc>
          <w:tcPr>
            <w:tcW w:w="817" w:type="dxa"/>
            <w:vMerge w:val="continue"/>
            <w:noWrap w:val="0"/>
            <w:vAlign w:val="center"/>
          </w:tcPr>
          <w:p w14:paraId="2691C413">
            <w:pPr>
              <w:jc w:val="center"/>
              <w:rPr>
                <w:rFonts w:hint="eastAsia" w:ascii="宋体" w:hAnsi="宋体" w:eastAsia="宋体" w:cs="宋体"/>
                <w:b/>
                <w:bCs/>
                <w:color w:val="FF0000"/>
                <w:sz w:val="21"/>
                <w:szCs w:val="21"/>
              </w:rPr>
            </w:pPr>
          </w:p>
        </w:tc>
        <w:tc>
          <w:tcPr>
            <w:tcW w:w="1843" w:type="dxa"/>
            <w:vMerge w:val="continue"/>
            <w:noWrap w:val="0"/>
            <w:vAlign w:val="center"/>
          </w:tcPr>
          <w:p w14:paraId="30805C1A">
            <w:pPr>
              <w:jc w:val="center"/>
              <w:rPr>
                <w:rFonts w:hint="eastAsia" w:ascii="宋体" w:hAnsi="宋体" w:eastAsia="宋体" w:cs="宋体"/>
                <w:b/>
                <w:bCs/>
                <w:color w:val="FF0000"/>
                <w:sz w:val="21"/>
                <w:szCs w:val="21"/>
              </w:rPr>
            </w:pPr>
          </w:p>
        </w:tc>
      </w:tr>
      <w:tr w14:paraId="4F450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708" w:type="dxa"/>
            <w:noWrap w:val="0"/>
            <w:vAlign w:val="center"/>
          </w:tcPr>
          <w:p w14:paraId="37228EC9">
            <w:pPr>
              <w:jc w:val="center"/>
              <w:rPr>
                <w:rFonts w:hint="eastAsia" w:ascii="宋体" w:hAnsi="宋体" w:eastAsia="宋体" w:cs="宋体"/>
                <w:sz w:val="21"/>
                <w:szCs w:val="21"/>
              </w:rPr>
            </w:pPr>
            <w:r>
              <w:rPr>
                <w:rFonts w:hint="eastAsia" w:ascii="宋体" w:hAnsi="宋体" w:eastAsia="宋体" w:cs="宋体"/>
                <w:color w:val="000000"/>
                <w:sz w:val="21"/>
                <w:szCs w:val="21"/>
              </w:rPr>
              <w:t>4</w:t>
            </w:r>
          </w:p>
        </w:tc>
        <w:tc>
          <w:tcPr>
            <w:tcW w:w="1824" w:type="dxa"/>
            <w:noWrap w:val="0"/>
            <w:vAlign w:val="center"/>
          </w:tcPr>
          <w:p w14:paraId="7CE6D03B">
            <w:pPr>
              <w:jc w:val="center"/>
              <w:rPr>
                <w:rFonts w:hint="eastAsia" w:ascii="宋体" w:hAnsi="宋体" w:eastAsia="宋体" w:cs="宋体"/>
                <w:bCs/>
                <w:sz w:val="21"/>
                <w:szCs w:val="21"/>
              </w:rPr>
            </w:pPr>
            <w:r>
              <w:rPr>
                <w:rFonts w:hint="eastAsia" w:ascii="宋体" w:hAnsi="宋体" w:eastAsia="宋体" w:cs="宋体"/>
                <w:color w:val="000000"/>
                <w:sz w:val="21"/>
                <w:szCs w:val="21"/>
              </w:rPr>
              <w:t>24口光网络交换设备</w:t>
            </w:r>
          </w:p>
        </w:tc>
        <w:tc>
          <w:tcPr>
            <w:tcW w:w="727" w:type="dxa"/>
            <w:noWrap w:val="0"/>
            <w:vAlign w:val="center"/>
          </w:tcPr>
          <w:p w14:paraId="2635B1E4">
            <w:pPr>
              <w:jc w:val="center"/>
              <w:rPr>
                <w:rFonts w:hint="eastAsia" w:ascii="宋体" w:hAnsi="宋体" w:eastAsia="宋体" w:cs="宋体"/>
                <w:bCs/>
                <w:sz w:val="21"/>
                <w:szCs w:val="21"/>
              </w:rPr>
            </w:pPr>
            <w:r>
              <w:rPr>
                <w:rFonts w:hint="eastAsia" w:ascii="宋体" w:hAnsi="宋体" w:eastAsia="宋体" w:cs="宋体"/>
                <w:color w:val="000000"/>
                <w:sz w:val="21"/>
                <w:szCs w:val="21"/>
              </w:rPr>
              <w:t>2</w:t>
            </w:r>
          </w:p>
        </w:tc>
        <w:tc>
          <w:tcPr>
            <w:tcW w:w="744" w:type="dxa"/>
            <w:noWrap w:val="0"/>
            <w:vAlign w:val="center"/>
          </w:tcPr>
          <w:p w14:paraId="0C00CBA7">
            <w:pPr>
              <w:jc w:val="center"/>
              <w:rPr>
                <w:rFonts w:hint="eastAsia" w:ascii="宋体" w:hAnsi="宋体" w:eastAsia="宋体" w:cs="宋体"/>
                <w:bCs/>
                <w:sz w:val="21"/>
                <w:szCs w:val="21"/>
              </w:rPr>
            </w:pPr>
            <w:r>
              <w:rPr>
                <w:rFonts w:hint="eastAsia" w:ascii="宋体" w:hAnsi="宋体" w:eastAsia="宋体" w:cs="宋体"/>
                <w:color w:val="000000"/>
                <w:sz w:val="21"/>
                <w:szCs w:val="21"/>
              </w:rPr>
              <w:t>台</w:t>
            </w:r>
          </w:p>
        </w:tc>
        <w:tc>
          <w:tcPr>
            <w:tcW w:w="1208" w:type="dxa"/>
            <w:noWrap w:val="0"/>
            <w:vAlign w:val="center"/>
          </w:tcPr>
          <w:p w14:paraId="71A0211B">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15400.00 </w:t>
            </w:r>
          </w:p>
        </w:tc>
        <w:tc>
          <w:tcPr>
            <w:tcW w:w="1451" w:type="dxa"/>
            <w:noWrap w:val="0"/>
            <w:vAlign w:val="center"/>
          </w:tcPr>
          <w:p w14:paraId="6594480C">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30800.00 </w:t>
            </w:r>
          </w:p>
        </w:tc>
        <w:tc>
          <w:tcPr>
            <w:tcW w:w="817" w:type="dxa"/>
            <w:vMerge w:val="continue"/>
            <w:noWrap w:val="0"/>
            <w:vAlign w:val="center"/>
          </w:tcPr>
          <w:p w14:paraId="5A95BA29">
            <w:pPr>
              <w:jc w:val="center"/>
              <w:rPr>
                <w:rFonts w:hint="eastAsia" w:ascii="宋体" w:hAnsi="宋体" w:eastAsia="宋体" w:cs="宋体"/>
                <w:b/>
                <w:bCs/>
                <w:color w:val="FF0000"/>
                <w:sz w:val="21"/>
                <w:szCs w:val="21"/>
              </w:rPr>
            </w:pPr>
          </w:p>
        </w:tc>
        <w:tc>
          <w:tcPr>
            <w:tcW w:w="1843" w:type="dxa"/>
            <w:vMerge w:val="continue"/>
            <w:noWrap w:val="0"/>
            <w:vAlign w:val="center"/>
          </w:tcPr>
          <w:p w14:paraId="7FBE38A8">
            <w:pPr>
              <w:jc w:val="center"/>
              <w:rPr>
                <w:rFonts w:hint="eastAsia" w:ascii="宋体" w:hAnsi="宋体" w:eastAsia="宋体" w:cs="宋体"/>
                <w:b/>
                <w:bCs/>
                <w:color w:val="FF0000"/>
                <w:sz w:val="21"/>
                <w:szCs w:val="21"/>
              </w:rPr>
            </w:pPr>
          </w:p>
        </w:tc>
      </w:tr>
      <w:tr w14:paraId="73D27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708" w:type="dxa"/>
            <w:noWrap w:val="0"/>
            <w:vAlign w:val="center"/>
          </w:tcPr>
          <w:p w14:paraId="67444823">
            <w:pPr>
              <w:jc w:val="center"/>
              <w:rPr>
                <w:rFonts w:hint="eastAsia" w:ascii="宋体" w:hAnsi="宋体" w:eastAsia="宋体" w:cs="宋体"/>
                <w:sz w:val="21"/>
                <w:szCs w:val="21"/>
              </w:rPr>
            </w:pPr>
            <w:r>
              <w:rPr>
                <w:rFonts w:hint="eastAsia" w:ascii="宋体" w:hAnsi="宋体" w:eastAsia="宋体" w:cs="宋体"/>
                <w:color w:val="000000"/>
                <w:sz w:val="21"/>
                <w:szCs w:val="21"/>
              </w:rPr>
              <w:t>5</w:t>
            </w:r>
          </w:p>
        </w:tc>
        <w:tc>
          <w:tcPr>
            <w:tcW w:w="1824" w:type="dxa"/>
            <w:noWrap w:val="0"/>
            <w:vAlign w:val="center"/>
          </w:tcPr>
          <w:p w14:paraId="51984F4C">
            <w:pPr>
              <w:jc w:val="center"/>
              <w:rPr>
                <w:rFonts w:hint="eastAsia" w:ascii="宋体" w:hAnsi="宋体" w:eastAsia="宋体" w:cs="宋体"/>
                <w:bCs/>
                <w:sz w:val="21"/>
                <w:szCs w:val="21"/>
              </w:rPr>
            </w:pPr>
            <w:r>
              <w:rPr>
                <w:rFonts w:hint="eastAsia" w:ascii="宋体" w:hAnsi="宋体" w:eastAsia="宋体" w:cs="宋体"/>
                <w:color w:val="000000"/>
                <w:sz w:val="21"/>
                <w:szCs w:val="21"/>
              </w:rPr>
              <w:t>无线AP</w:t>
            </w:r>
          </w:p>
        </w:tc>
        <w:tc>
          <w:tcPr>
            <w:tcW w:w="727" w:type="dxa"/>
            <w:noWrap w:val="0"/>
            <w:vAlign w:val="center"/>
          </w:tcPr>
          <w:p w14:paraId="0B55EB5E">
            <w:pPr>
              <w:jc w:val="center"/>
              <w:rPr>
                <w:rFonts w:hint="eastAsia" w:ascii="宋体" w:hAnsi="宋体" w:eastAsia="宋体" w:cs="宋体"/>
                <w:bCs/>
                <w:sz w:val="21"/>
                <w:szCs w:val="21"/>
              </w:rPr>
            </w:pPr>
            <w:r>
              <w:rPr>
                <w:rFonts w:hint="eastAsia" w:ascii="宋体" w:hAnsi="宋体" w:eastAsia="宋体" w:cs="宋体"/>
                <w:color w:val="000000"/>
                <w:sz w:val="21"/>
                <w:szCs w:val="21"/>
              </w:rPr>
              <w:t>8</w:t>
            </w:r>
          </w:p>
        </w:tc>
        <w:tc>
          <w:tcPr>
            <w:tcW w:w="744" w:type="dxa"/>
            <w:noWrap w:val="0"/>
            <w:vAlign w:val="center"/>
          </w:tcPr>
          <w:p w14:paraId="0AF42FD6">
            <w:pPr>
              <w:jc w:val="center"/>
              <w:rPr>
                <w:rFonts w:hint="eastAsia" w:ascii="宋体" w:hAnsi="宋体" w:eastAsia="宋体" w:cs="宋体"/>
                <w:bCs/>
                <w:sz w:val="21"/>
                <w:szCs w:val="21"/>
              </w:rPr>
            </w:pPr>
            <w:r>
              <w:rPr>
                <w:rFonts w:hint="eastAsia" w:ascii="宋体" w:hAnsi="宋体" w:eastAsia="宋体" w:cs="宋体"/>
                <w:color w:val="000000"/>
                <w:sz w:val="21"/>
                <w:szCs w:val="21"/>
              </w:rPr>
              <w:t>个</w:t>
            </w:r>
          </w:p>
        </w:tc>
        <w:tc>
          <w:tcPr>
            <w:tcW w:w="1208" w:type="dxa"/>
            <w:noWrap w:val="0"/>
            <w:vAlign w:val="center"/>
          </w:tcPr>
          <w:p w14:paraId="148F5869">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1000.00 </w:t>
            </w:r>
          </w:p>
        </w:tc>
        <w:tc>
          <w:tcPr>
            <w:tcW w:w="1451" w:type="dxa"/>
            <w:noWrap w:val="0"/>
            <w:vAlign w:val="center"/>
          </w:tcPr>
          <w:p w14:paraId="326DFD7D">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8000.00 </w:t>
            </w:r>
          </w:p>
        </w:tc>
        <w:tc>
          <w:tcPr>
            <w:tcW w:w="817" w:type="dxa"/>
            <w:vMerge w:val="continue"/>
            <w:noWrap w:val="0"/>
            <w:vAlign w:val="center"/>
          </w:tcPr>
          <w:p w14:paraId="6C04400E">
            <w:pPr>
              <w:jc w:val="center"/>
              <w:rPr>
                <w:rFonts w:hint="eastAsia" w:ascii="宋体" w:hAnsi="宋体" w:eastAsia="宋体" w:cs="宋体"/>
                <w:b/>
                <w:bCs/>
                <w:color w:val="FF0000"/>
                <w:sz w:val="21"/>
                <w:szCs w:val="21"/>
              </w:rPr>
            </w:pPr>
          </w:p>
        </w:tc>
        <w:tc>
          <w:tcPr>
            <w:tcW w:w="1843" w:type="dxa"/>
            <w:vMerge w:val="continue"/>
            <w:noWrap w:val="0"/>
            <w:vAlign w:val="center"/>
          </w:tcPr>
          <w:p w14:paraId="7F2F07F2">
            <w:pPr>
              <w:jc w:val="center"/>
              <w:rPr>
                <w:rFonts w:hint="eastAsia" w:ascii="宋体" w:hAnsi="宋体" w:eastAsia="宋体" w:cs="宋体"/>
                <w:b/>
                <w:bCs/>
                <w:color w:val="FF0000"/>
                <w:sz w:val="21"/>
                <w:szCs w:val="21"/>
              </w:rPr>
            </w:pPr>
          </w:p>
        </w:tc>
      </w:tr>
      <w:tr w14:paraId="6DF35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708" w:type="dxa"/>
            <w:noWrap w:val="0"/>
            <w:vAlign w:val="center"/>
          </w:tcPr>
          <w:p w14:paraId="088D9EE2">
            <w:pPr>
              <w:jc w:val="center"/>
              <w:rPr>
                <w:rFonts w:hint="eastAsia" w:ascii="宋体" w:hAnsi="宋体" w:eastAsia="宋体" w:cs="宋体"/>
                <w:sz w:val="21"/>
                <w:szCs w:val="21"/>
              </w:rPr>
            </w:pPr>
            <w:r>
              <w:rPr>
                <w:rFonts w:hint="eastAsia" w:ascii="宋体" w:hAnsi="宋体" w:eastAsia="宋体" w:cs="宋体"/>
                <w:color w:val="000000"/>
                <w:sz w:val="21"/>
                <w:szCs w:val="21"/>
              </w:rPr>
              <w:t>6</w:t>
            </w:r>
          </w:p>
        </w:tc>
        <w:tc>
          <w:tcPr>
            <w:tcW w:w="1824" w:type="dxa"/>
            <w:noWrap w:val="0"/>
            <w:vAlign w:val="center"/>
          </w:tcPr>
          <w:p w14:paraId="5A2AB303">
            <w:pPr>
              <w:jc w:val="center"/>
              <w:rPr>
                <w:rFonts w:hint="eastAsia" w:ascii="宋体" w:hAnsi="宋体" w:eastAsia="宋体" w:cs="宋体"/>
                <w:bCs/>
                <w:sz w:val="21"/>
                <w:szCs w:val="21"/>
              </w:rPr>
            </w:pPr>
            <w:r>
              <w:rPr>
                <w:rFonts w:hint="eastAsia" w:ascii="宋体" w:hAnsi="宋体" w:eastAsia="宋体" w:cs="宋体"/>
                <w:color w:val="000000"/>
                <w:sz w:val="21"/>
                <w:szCs w:val="21"/>
              </w:rPr>
              <w:t>AC控制器</w:t>
            </w:r>
          </w:p>
        </w:tc>
        <w:tc>
          <w:tcPr>
            <w:tcW w:w="727" w:type="dxa"/>
            <w:noWrap w:val="0"/>
            <w:vAlign w:val="center"/>
          </w:tcPr>
          <w:p w14:paraId="7ECA7D01">
            <w:pPr>
              <w:jc w:val="center"/>
              <w:rPr>
                <w:rFonts w:hint="eastAsia" w:ascii="宋体" w:hAnsi="宋体" w:eastAsia="宋体" w:cs="宋体"/>
                <w:bCs/>
                <w:sz w:val="21"/>
                <w:szCs w:val="21"/>
              </w:rPr>
            </w:pPr>
            <w:r>
              <w:rPr>
                <w:rFonts w:hint="eastAsia" w:ascii="宋体" w:hAnsi="宋体" w:eastAsia="宋体" w:cs="宋体"/>
                <w:color w:val="000000"/>
                <w:sz w:val="21"/>
                <w:szCs w:val="21"/>
              </w:rPr>
              <w:t>1</w:t>
            </w:r>
          </w:p>
        </w:tc>
        <w:tc>
          <w:tcPr>
            <w:tcW w:w="744" w:type="dxa"/>
            <w:noWrap w:val="0"/>
            <w:vAlign w:val="center"/>
          </w:tcPr>
          <w:p w14:paraId="60E78640">
            <w:pPr>
              <w:jc w:val="center"/>
              <w:rPr>
                <w:rFonts w:hint="eastAsia" w:ascii="宋体" w:hAnsi="宋体" w:eastAsia="宋体" w:cs="宋体"/>
                <w:bCs/>
                <w:sz w:val="21"/>
                <w:szCs w:val="21"/>
              </w:rPr>
            </w:pPr>
            <w:r>
              <w:rPr>
                <w:rFonts w:hint="eastAsia" w:ascii="宋体" w:hAnsi="宋体" w:eastAsia="宋体" w:cs="宋体"/>
                <w:color w:val="000000"/>
                <w:sz w:val="21"/>
                <w:szCs w:val="21"/>
              </w:rPr>
              <w:t>台</w:t>
            </w:r>
          </w:p>
        </w:tc>
        <w:tc>
          <w:tcPr>
            <w:tcW w:w="1208" w:type="dxa"/>
            <w:noWrap w:val="0"/>
            <w:vAlign w:val="center"/>
          </w:tcPr>
          <w:p w14:paraId="683DE393">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1780.00 </w:t>
            </w:r>
          </w:p>
        </w:tc>
        <w:tc>
          <w:tcPr>
            <w:tcW w:w="1451" w:type="dxa"/>
            <w:noWrap w:val="0"/>
            <w:vAlign w:val="center"/>
          </w:tcPr>
          <w:p w14:paraId="166F19D2">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1780.00 </w:t>
            </w:r>
          </w:p>
        </w:tc>
        <w:tc>
          <w:tcPr>
            <w:tcW w:w="817" w:type="dxa"/>
            <w:vMerge w:val="continue"/>
            <w:noWrap w:val="0"/>
            <w:vAlign w:val="center"/>
          </w:tcPr>
          <w:p w14:paraId="47809401">
            <w:pPr>
              <w:jc w:val="center"/>
              <w:rPr>
                <w:rFonts w:hint="eastAsia" w:ascii="宋体" w:hAnsi="宋体" w:eastAsia="宋体" w:cs="宋体"/>
                <w:b/>
                <w:bCs/>
                <w:color w:val="FF0000"/>
                <w:sz w:val="21"/>
                <w:szCs w:val="21"/>
              </w:rPr>
            </w:pPr>
          </w:p>
        </w:tc>
        <w:tc>
          <w:tcPr>
            <w:tcW w:w="1843" w:type="dxa"/>
            <w:vMerge w:val="continue"/>
            <w:noWrap w:val="0"/>
            <w:vAlign w:val="center"/>
          </w:tcPr>
          <w:p w14:paraId="43948C65">
            <w:pPr>
              <w:jc w:val="center"/>
              <w:rPr>
                <w:rFonts w:hint="eastAsia" w:ascii="宋体" w:hAnsi="宋体" w:eastAsia="宋体" w:cs="宋体"/>
                <w:b/>
                <w:bCs/>
                <w:color w:val="FF0000"/>
                <w:sz w:val="21"/>
                <w:szCs w:val="21"/>
              </w:rPr>
            </w:pPr>
          </w:p>
        </w:tc>
      </w:tr>
      <w:tr w14:paraId="3CB88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708" w:type="dxa"/>
            <w:noWrap w:val="0"/>
            <w:vAlign w:val="center"/>
          </w:tcPr>
          <w:p w14:paraId="069DE015">
            <w:pPr>
              <w:jc w:val="center"/>
              <w:rPr>
                <w:rFonts w:hint="eastAsia" w:ascii="宋体" w:hAnsi="宋体" w:eastAsia="宋体" w:cs="宋体"/>
                <w:sz w:val="21"/>
                <w:szCs w:val="21"/>
              </w:rPr>
            </w:pPr>
            <w:r>
              <w:rPr>
                <w:rFonts w:hint="eastAsia" w:ascii="宋体" w:hAnsi="宋体" w:eastAsia="宋体" w:cs="宋体"/>
                <w:color w:val="000000"/>
                <w:sz w:val="21"/>
                <w:szCs w:val="21"/>
              </w:rPr>
              <w:t>7</w:t>
            </w:r>
          </w:p>
        </w:tc>
        <w:tc>
          <w:tcPr>
            <w:tcW w:w="1824" w:type="dxa"/>
            <w:noWrap w:val="0"/>
            <w:vAlign w:val="center"/>
          </w:tcPr>
          <w:p w14:paraId="7FFEEB79">
            <w:pPr>
              <w:jc w:val="center"/>
              <w:rPr>
                <w:rFonts w:hint="eastAsia" w:ascii="宋体" w:hAnsi="宋体" w:eastAsia="宋体" w:cs="宋体"/>
                <w:bCs/>
                <w:sz w:val="21"/>
                <w:szCs w:val="21"/>
              </w:rPr>
            </w:pPr>
            <w:r>
              <w:rPr>
                <w:rFonts w:hint="eastAsia" w:ascii="宋体" w:hAnsi="宋体" w:eastAsia="宋体" w:cs="宋体"/>
                <w:color w:val="000000"/>
                <w:sz w:val="21"/>
                <w:szCs w:val="21"/>
              </w:rPr>
              <w:t>POE交换机</w:t>
            </w:r>
          </w:p>
        </w:tc>
        <w:tc>
          <w:tcPr>
            <w:tcW w:w="727" w:type="dxa"/>
            <w:noWrap w:val="0"/>
            <w:vAlign w:val="center"/>
          </w:tcPr>
          <w:p w14:paraId="7B61DCC6">
            <w:pPr>
              <w:jc w:val="center"/>
              <w:rPr>
                <w:rFonts w:hint="eastAsia" w:ascii="宋体" w:hAnsi="宋体" w:eastAsia="宋体" w:cs="宋体"/>
                <w:bCs/>
                <w:sz w:val="21"/>
                <w:szCs w:val="21"/>
              </w:rPr>
            </w:pPr>
            <w:r>
              <w:rPr>
                <w:rFonts w:hint="eastAsia" w:ascii="宋体" w:hAnsi="宋体" w:eastAsia="宋体" w:cs="宋体"/>
                <w:color w:val="000000"/>
                <w:sz w:val="21"/>
                <w:szCs w:val="21"/>
              </w:rPr>
              <w:t>1</w:t>
            </w:r>
          </w:p>
        </w:tc>
        <w:tc>
          <w:tcPr>
            <w:tcW w:w="744" w:type="dxa"/>
            <w:noWrap w:val="0"/>
            <w:vAlign w:val="center"/>
          </w:tcPr>
          <w:p w14:paraId="47F85BE0">
            <w:pPr>
              <w:jc w:val="center"/>
              <w:rPr>
                <w:rFonts w:hint="eastAsia" w:ascii="宋体" w:hAnsi="宋体" w:eastAsia="宋体" w:cs="宋体"/>
                <w:bCs/>
                <w:sz w:val="21"/>
                <w:szCs w:val="21"/>
              </w:rPr>
            </w:pPr>
            <w:r>
              <w:rPr>
                <w:rFonts w:hint="eastAsia" w:ascii="宋体" w:hAnsi="宋体" w:eastAsia="宋体" w:cs="宋体"/>
                <w:color w:val="000000"/>
                <w:sz w:val="21"/>
                <w:szCs w:val="21"/>
              </w:rPr>
              <w:t>台</w:t>
            </w:r>
          </w:p>
        </w:tc>
        <w:tc>
          <w:tcPr>
            <w:tcW w:w="1208" w:type="dxa"/>
            <w:noWrap w:val="0"/>
            <w:vAlign w:val="center"/>
          </w:tcPr>
          <w:p w14:paraId="34AA1CB4">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830.00 </w:t>
            </w:r>
          </w:p>
        </w:tc>
        <w:tc>
          <w:tcPr>
            <w:tcW w:w="1451" w:type="dxa"/>
            <w:noWrap w:val="0"/>
            <w:vAlign w:val="center"/>
          </w:tcPr>
          <w:p w14:paraId="662784E5">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830.00 </w:t>
            </w:r>
          </w:p>
        </w:tc>
        <w:tc>
          <w:tcPr>
            <w:tcW w:w="817" w:type="dxa"/>
            <w:vMerge w:val="continue"/>
            <w:noWrap w:val="0"/>
            <w:vAlign w:val="center"/>
          </w:tcPr>
          <w:p w14:paraId="78DB4969">
            <w:pPr>
              <w:jc w:val="center"/>
              <w:rPr>
                <w:rFonts w:hint="eastAsia" w:ascii="宋体" w:hAnsi="宋体" w:eastAsia="宋体" w:cs="宋体"/>
                <w:b/>
                <w:bCs/>
                <w:color w:val="FF0000"/>
                <w:sz w:val="21"/>
                <w:szCs w:val="21"/>
              </w:rPr>
            </w:pPr>
          </w:p>
        </w:tc>
        <w:tc>
          <w:tcPr>
            <w:tcW w:w="1843" w:type="dxa"/>
            <w:vMerge w:val="continue"/>
            <w:noWrap w:val="0"/>
            <w:vAlign w:val="center"/>
          </w:tcPr>
          <w:p w14:paraId="59F1D6ED">
            <w:pPr>
              <w:jc w:val="center"/>
              <w:rPr>
                <w:rFonts w:hint="eastAsia" w:ascii="宋体" w:hAnsi="宋体" w:eastAsia="宋体" w:cs="宋体"/>
                <w:b/>
                <w:bCs/>
                <w:color w:val="FF0000"/>
                <w:sz w:val="21"/>
                <w:szCs w:val="21"/>
              </w:rPr>
            </w:pPr>
          </w:p>
        </w:tc>
      </w:tr>
      <w:tr w14:paraId="3049F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708" w:type="dxa"/>
            <w:noWrap w:val="0"/>
            <w:vAlign w:val="center"/>
          </w:tcPr>
          <w:p w14:paraId="00D02151">
            <w:pPr>
              <w:jc w:val="center"/>
              <w:rPr>
                <w:rFonts w:hint="eastAsia" w:ascii="宋体" w:hAnsi="宋体" w:eastAsia="宋体" w:cs="宋体"/>
                <w:sz w:val="21"/>
                <w:szCs w:val="21"/>
              </w:rPr>
            </w:pPr>
            <w:r>
              <w:rPr>
                <w:rFonts w:hint="eastAsia" w:ascii="宋体" w:hAnsi="宋体" w:eastAsia="宋体" w:cs="宋体"/>
                <w:color w:val="000000"/>
                <w:sz w:val="21"/>
                <w:szCs w:val="21"/>
              </w:rPr>
              <w:t>8</w:t>
            </w:r>
          </w:p>
        </w:tc>
        <w:tc>
          <w:tcPr>
            <w:tcW w:w="1824" w:type="dxa"/>
            <w:noWrap w:val="0"/>
            <w:vAlign w:val="center"/>
          </w:tcPr>
          <w:p w14:paraId="7D41D081">
            <w:pPr>
              <w:jc w:val="center"/>
              <w:rPr>
                <w:rFonts w:hint="eastAsia" w:ascii="宋体" w:hAnsi="宋体" w:eastAsia="宋体" w:cs="宋体"/>
                <w:bCs/>
                <w:sz w:val="21"/>
                <w:szCs w:val="21"/>
              </w:rPr>
            </w:pPr>
            <w:r>
              <w:rPr>
                <w:rFonts w:hint="eastAsia" w:ascii="宋体" w:hAnsi="宋体" w:eastAsia="宋体" w:cs="宋体"/>
                <w:color w:val="000000"/>
                <w:sz w:val="21"/>
                <w:szCs w:val="21"/>
              </w:rPr>
              <w:t>网线</w:t>
            </w:r>
          </w:p>
        </w:tc>
        <w:tc>
          <w:tcPr>
            <w:tcW w:w="727" w:type="dxa"/>
            <w:noWrap w:val="0"/>
            <w:vAlign w:val="center"/>
          </w:tcPr>
          <w:p w14:paraId="29C6742F">
            <w:pPr>
              <w:jc w:val="center"/>
              <w:rPr>
                <w:rFonts w:hint="eastAsia" w:ascii="宋体" w:hAnsi="宋体" w:eastAsia="宋体" w:cs="宋体"/>
                <w:bCs/>
                <w:sz w:val="21"/>
                <w:szCs w:val="21"/>
              </w:rPr>
            </w:pPr>
            <w:r>
              <w:rPr>
                <w:rFonts w:hint="eastAsia" w:ascii="宋体" w:hAnsi="宋体" w:eastAsia="宋体" w:cs="宋体"/>
                <w:color w:val="000000"/>
                <w:sz w:val="21"/>
                <w:szCs w:val="21"/>
              </w:rPr>
              <w:t>4</w:t>
            </w:r>
          </w:p>
        </w:tc>
        <w:tc>
          <w:tcPr>
            <w:tcW w:w="744" w:type="dxa"/>
            <w:noWrap w:val="0"/>
            <w:vAlign w:val="center"/>
          </w:tcPr>
          <w:p w14:paraId="5A582479">
            <w:pPr>
              <w:jc w:val="center"/>
              <w:rPr>
                <w:rFonts w:hint="eastAsia" w:ascii="宋体" w:hAnsi="宋体" w:eastAsia="宋体" w:cs="宋体"/>
                <w:bCs/>
                <w:sz w:val="21"/>
                <w:szCs w:val="21"/>
              </w:rPr>
            </w:pPr>
            <w:r>
              <w:rPr>
                <w:rFonts w:hint="eastAsia" w:ascii="宋体" w:hAnsi="宋体" w:eastAsia="宋体" w:cs="宋体"/>
                <w:color w:val="000000"/>
                <w:sz w:val="21"/>
                <w:szCs w:val="21"/>
              </w:rPr>
              <w:t>箱</w:t>
            </w:r>
          </w:p>
        </w:tc>
        <w:tc>
          <w:tcPr>
            <w:tcW w:w="1208" w:type="dxa"/>
            <w:noWrap w:val="0"/>
            <w:vAlign w:val="center"/>
          </w:tcPr>
          <w:p w14:paraId="789483C9">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850.00 </w:t>
            </w:r>
          </w:p>
        </w:tc>
        <w:tc>
          <w:tcPr>
            <w:tcW w:w="1451" w:type="dxa"/>
            <w:noWrap w:val="0"/>
            <w:vAlign w:val="center"/>
          </w:tcPr>
          <w:p w14:paraId="1CC49B93">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3400.00 </w:t>
            </w:r>
          </w:p>
        </w:tc>
        <w:tc>
          <w:tcPr>
            <w:tcW w:w="817" w:type="dxa"/>
            <w:vMerge w:val="continue"/>
            <w:noWrap w:val="0"/>
            <w:vAlign w:val="center"/>
          </w:tcPr>
          <w:p w14:paraId="490A1313">
            <w:pPr>
              <w:jc w:val="center"/>
              <w:rPr>
                <w:rFonts w:hint="eastAsia" w:ascii="宋体" w:hAnsi="宋体" w:eastAsia="宋体" w:cs="宋体"/>
                <w:b/>
                <w:bCs/>
                <w:color w:val="FF0000"/>
                <w:sz w:val="21"/>
                <w:szCs w:val="21"/>
              </w:rPr>
            </w:pPr>
          </w:p>
        </w:tc>
        <w:tc>
          <w:tcPr>
            <w:tcW w:w="1843" w:type="dxa"/>
            <w:vMerge w:val="continue"/>
            <w:noWrap w:val="0"/>
            <w:vAlign w:val="center"/>
          </w:tcPr>
          <w:p w14:paraId="7326CDF5">
            <w:pPr>
              <w:jc w:val="center"/>
              <w:rPr>
                <w:rFonts w:hint="eastAsia" w:ascii="宋体" w:hAnsi="宋体" w:eastAsia="宋体" w:cs="宋体"/>
                <w:b/>
                <w:bCs/>
                <w:color w:val="FF0000"/>
                <w:sz w:val="21"/>
                <w:szCs w:val="21"/>
              </w:rPr>
            </w:pPr>
          </w:p>
        </w:tc>
      </w:tr>
      <w:tr w14:paraId="5468C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708" w:type="dxa"/>
            <w:noWrap w:val="0"/>
            <w:vAlign w:val="center"/>
          </w:tcPr>
          <w:p w14:paraId="4565C119">
            <w:pPr>
              <w:jc w:val="center"/>
              <w:rPr>
                <w:rFonts w:hint="eastAsia" w:ascii="宋体" w:hAnsi="宋体" w:eastAsia="宋体" w:cs="宋体"/>
                <w:sz w:val="21"/>
                <w:szCs w:val="21"/>
              </w:rPr>
            </w:pPr>
            <w:r>
              <w:rPr>
                <w:rFonts w:hint="eastAsia" w:ascii="宋体" w:hAnsi="宋体" w:eastAsia="宋体" w:cs="宋体"/>
                <w:color w:val="000000"/>
                <w:sz w:val="21"/>
                <w:szCs w:val="21"/>
              </w:rPr>
              <w:t>9</w:t>
            </w:r>
          </w:p>
        </w:tc>
        <w:tc>
          <w:tcPr>
            <w:tcW w:w="1824" w:type="dxa"/>
            <w:noWrap w:val="0"/>
            <w:vAlign w:val="center"/>
          </w:tcPr>
          <w:p w14:paraId="3E351A86">
            <w:pPr>
              <w:jc w:val="center"/>
              <w:rPr>
                <w:rFonts w:hint="eastAsia" w:ascii="宋体" w:hAnsi="宋体" w:eastAsia="宋体" w:cs="宋体"/>
                <w:bCs/>
                <w:sz w:val="21"/>
                <w:szCs w:val="21"/>
              </w:rPr>
            </w:pPr>
            <w:r>
              <w:rPr>
                <w:rFonts w:hint="eastAsia" w:ascii="宋体" w:hAnsi="宋体" w:eastAsia="宋体" w:cs="宋体"/>
                <w:color w:val="000000"/>
                <w:sz w:val="21"/>
                <w:szCs w:val="21"/>
              </w:rPr>
              <w:t>6U壁挂机柜</w:t>
            </w:r>
          </w:p>
        </w:tc>
        <w:tc>
          <w:tcPr>
            <w:tcW w:w="727" w:type="dxa"/>
            <w:noWrap w:val="0"/>
            <w:vAlign w:val="center"/>
          </w:tcPr>
          <w:p w14:paraId="41387A9E">
            <w:pPr>
              <w:jc w:val="center"/>
              <w:rPr>
                <w:rFonts w:hint="eastAsia" w:ascii="宋体" w:hAnsi="宋体" w:eastAsia="宋体" w:cs="宋体"/>
                <w:bCs/>
                <w:sz w:val="21"/>
                <w:szCs w:val="21"/>
              </w:rPr>
            </w:pPr>
            <w:r>
              <w:rPr>
                <w:rFonts w:hint="eastAsia" w:ascii="宋体" w:hAnsi="宋体" w:eastAsia="宋体" w:cs="宋体"/>
                <w:color w:val="000000"/>
                <w:sz w:val="21"/>
                <w:szCs w:val="21"/>
              </w:rPr>
              <w:t>5</w:t>
            </w:r>
          </w:p>
        </w:tc>
        <w:tc>
          <w:tcPr>
            <w:tcW w:w="744" w:type="dxa"/>
            <w:noWrap w:val="0"/>
            <w:vAlign w:val="center"/>
          </w:tcPr>
          <w:p w14:paraId="761627C2">
            <w:pPr>
              <w:jc w:val="center"/>
              <w:rPr>
                <w:rFonts w:hint="eastAsia" w:ascii="宋体" w:hAnsi="宋体" w:eastAsia="宋体" w:cs="宋体"/>
                <w:bCs/>
                <w:sz w:val="21"/>
                <w:szCs w:val="21"/>
              </w:rPr>
            </w:pPr>
            <w:r>
              <w:rPr>
                <w:rFonts w:hint="eastAsia" w:ascii="宋体" w:hAnsi="宋体" w:eastAsia="宋体" w:cs="宋体"/>
                <w:color w:val="000000"/>
                <w:sz w:val="21"/>
                <w:szCs w:val="21"/>
              </w:rPr>
              <w:t>个</w:t>
            </w:r>
          </w:p>
        </w:tc>
        <w:tc>
          <w:tcPr>
            <w:tcW w:w="1208" w:type="dxa"/>
            <w:noWrap w:val="0"/>
            <w:vAlign w:val="center"/>
          </w:tcPr>
          <w:p w14:paraId="77B73322">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1650.00 </w:t>
            </w:r>
          </w:p>
        </w:tc>
        <w:tc>
          <w:tcPr>
            <w:tcW w:w="1451" w:type="dxa"/>
            <w:noWrap w:val="0"/>
            <w:vAlign w:val="center"/>
          </w:tcPr>
          <w:p w14:paraId="77E315BD">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8250.00 </w:t>
            </w:r>
          </w:p>
        </w:tc>
        <w:tc>
          <w:tcPr>
            <w:tcW w:w="817" w:type="dxa"/>
            <w:vMerge w:val="continue"/>
            <w:noWrap w:val="0"/>
            <w:vAlign w:val="center"/>
          </w:tcPr>
          <w:p w14:paraId="168D2559">
            <w:pPr>
              <w:jc w:val="center"/>
              <w:rPr>
                <w:rFonts w:hint="eastAsia" w:ascii="宋体" w:hAnsi="宋体" w:eastAsia="宋体" w:cs="宋体"/>
                <w:b/>
                <w:bCs/>
                <w:color w:val="FF0000"/>
                <w:sz w:val="21"/>
                <w:szCs w:val="21"/>
              </w:rPr>
            </w:pPr>
          </w:p>
        </w:tc>
        <w:tc>
          <w:tcPr>
            <w:tcW w:w="1843" w:type="dxa"/>
            <w:vMerge w:val="continue"/>
            <w:noWrap w:val="0"/>
            <w:vAlign w:val="center"/>
          </w:tcPr>
          <w:p w14:paraId="366A4F7D">
            <w:pPr>
              <w:jc w:val="center"/>
              <w:rPr>
                <w:rFonts w:hint="eastAsia" w:ascii="宋体" w:hAnsi="宋体" w:eastAsia="宋体" w:cs="宋体"/>
                <w:b/>
                <w:bCs/>
                <w:color w:val="FF0000"/>
                <w:sz w:val="21"/>
                <w:szCs w:val="21"/>
              </w:rPr>
            </w:pPr>
          </w:p>
        </w:tc>
      </w:tr>
      <w:tr w14:paraId="60238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708" w:type="dxa"/>
            <w:noWrap w:val="0"/>
            <w:vAlign w:val="top"/>
          </w:tcPr>
          <w:p w14:paraId="58AA2F95">
            <w:pPr>
              <w:jc w:val="center"/>
              <w:rPr>
                <w:rFonts w:hint="eastAsia" w:ascii="宋体" w:hAnsi="宋体" w:eastAsia="宋体" w:cs="宋体"/>
                <w:bCs/>
                <w:sz w:val="21"/>
                <w:szCs w:val="21"/>
              </w:rPr>
            </w:pPr>
            <w:r>
              <w:rPr>
                <w:rFonts w:hint="eastAsia" w:ascii="宋体" w:hAnsi="宋体" w:eastAsia="宋体" w:cs="宋体"/>
                <w:bCs/>
                <w:sz w:val="21"/>
                <w:szCs w:val="21"/>
              </w:rPr>
              <w:t>合计</w:t>
            </w:r>
          </w:p>
        </w:tc>
        <w:tc>
          <w:tcPr>
            <w:tcW w:w="1824" w:type="dxa"/>
            <w:noWrap w:val="0"/>
            <w:vAlign w:val="top"/>
          </w:tcPr>
          <w:p w14:paraId="3B938095">
            <w:pPr>
              <w:jc w:val="center"/>
              <w:rPr>
                <w:rFonts w:hint="eastAsia" w:ascii="宋体" w:hAnsi="宋体" w:eastAsia="宋体" w:cs="宋体"/>
                <w:bCs/>
                <w:sz w:val="21"/>
                <w:szCs w:val="21"/>
              </w:rPr>
            </w:pPr>
            <w:r>
              <w:rPr>
                <w:rFonts w:hint="eastAsia" w:ascii="宋体" w:hAnsi="宋体" w:eastAsia="宋体" w:cs="宋体"/>
                <w:bCs/>
                <w:sz w:val="21"/>
                <w:szCs w:val="21"/>
              </w:rPr>
              <w:t>\</w:t>
            </w:r>
          </w:p>
        </w:tc>
        <w:tc>
          <w:tcPr>
            <w:tcW w:w="727" w:type="dxa"/>
            <w:noWrap w:val="0"/>
            <w:vAlign w:val="top"/>
          </w:tcPr>
          <w:p w14:paraId="05BAF731">
            <w:pPr>
              <w:jc w:val="center"/>
              <w:rPr>
                <w:rFonts w:hint="eastAsia" w:ascii="宋体" w:hAnsi="宋体" w:eastAsia="宋体" w:cs="宋体"/>
                <w:bCs/>
                <w:sz w:val="21"/>
                <w:szCs w:val="21"/>
              </w:rPr>
            </w:pPr>
            <w:r>
              <w:rPr>
                <w:rFonts w:hint="eastAsia" w:ascii="宋体" w:hAnsi="宋体" w:eastAsia="宋体" w:cs="宋体"/>
                <w:bCs/>
                <w:sz w:val="21"/>
                <w:szCs w:val="21"/>
              </w:rPr>
              <w:t>\</w:t>
            </w:r>
          </w:p>
        </w:tc>
        <w:tc>
          <w:tcPr>
            <w:tcW w:w="744" w:type="dxa"/>
            <w:noWrap w:val="0"/>
            <w:vAlign w:val="top"/>
          </w:tcPr>
          <w:p w14:paraId="71BD2A78">
            <w:pPr>
              <w:jc w:val="center"/>
              <w:rPr>
                <w:rFonts w:hint="eastAsia" w:ascii="宋体" w:hAnsi="宋体" w:eastAsia="宋体" w:cs="宋体"/>
                <w:bCs/>
                <w:sz w:val="21"/>
                <w:szCs w:val="21"/>
              </w:rPr>
            </w:pPr>
            <w:r>
              <w:rPr>
                <w:rFonts w:hint="eastAsia" w:ascii="宋体" w:hAnsi="宋体" w:eastAsia="宋体" w:cs="宋体"/>
                <w:bCs/>
                <w:sz w:val="21"/>
                <w:szCs w:val="21"/>
              </w:rPr>
              <w:t>\</w:t>
            </w:r>
          </w:p>
        </w:tc>
        <w:tc>
          <w:tcPr>
            <w:tcW w:w="1208" w:type="dxa"/>
            <w:noWrap w:val="0"/>
            <w:vAlign w:val="top"/>
          </w:tcPr>
          <w:p w14:paraId="5102E5C2">
            <w:pPr>
              <w:jc w:val="center"/>
              <w:rPr>
                <w:rFonts w:hint="eastAsia" w:ascii="宋体" w:hAnsi="宋体" w:eastAsia="宋体" w:cs="宋体"/>
                <w:bCs/>
                <w:sz w:val="21"/>
                <w:szCs w:val="21"/>
              </w:rPr>
            </w:pPr>
            <w:r>
              <w:rPr>
                <w:rFonts w:hint="eastAsia" w:ascii="宋体" w:hAnsi="宋体" w:eastAsia="宋体" w:cs="宋体"/>
                <w:bCs/>
                <w:sz w:val="21"/>
                <w:szCs w:val="21"/>
              </w:rPr>
              <w:t>\</w:t>
            </w:r>
          </w:p>
        </w:tc>
        <w:tc>
          <w:tcPr>
            <w:tcW w:w="1451" w:type="dxa"/>
            <w:noWrap w:val="0"/>
            <w:vAlign w:val="top"/>
          </w:tcPr>
          <w:p w14:paraId="64DD193F">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632912.00</w:t>
            </w:r>
          </w:p>
        </w:tc>
        <w:tc>
          <w:tcPr>
            <w:tcW w:w="817" w:type="dxa"/>
            <w:noWrap w:val="0"/>
            <w:vAlign w:val="top"/>
          </w:tcPr>
          <w:p w14:paraId="70F5CB71">
            <w:pPr>
              <w:jc w:val="center"/>
              <w:rPr>
                <w:rFonts w:hint="eastAsia" w:ascii="宋体" w:hAnsi="宋体" w:eastAsia="宋体" w:cs="宋体"/>
                <w:bCs/>
                <w:sz w:val="21"/>
                <w:szCs w:val="21"/>
              </w:rPr>
            </w:pPr>
          </w:p>
        </w:tc>
        <w:tc>
          <w:tcPr>
            <w:tcW w:w="1843" w:type="dxa"/>
            <w:vMerge w:val="continue"/>
            <w:noWrap w:val="0"/>
            <w:vAlign w:val="top"/>
          </w:tcPr>
          <w:p w14:paraId="512B585C">
            <w:pPr>
              <w:jc w:val="center"/>
              <w:rPr>
                <w:rFonts w:hint="eastAsia" w:ascii="宋体" w:hAnsi="宋体" w:eastAsia="宋体" w:cs="宋体"/>
                <w:bCs/>
                <w:sz w:val="21"/>
                <w:szCs w:val="21"/>
              </w:rPr>
            </w:pPr>
          </w:p>
        </w:tc>
      </w:tr>
    </w:tbl>
    <w:p w14:paraId="498A150F">
      <w:pPr>
        <w:spacing w:after="120" w:line="360" w:lineRule="auto"/>
        <w:ind w:firstLine="480" w:firstLineChars="200"/>
        <w:rPr>
          <w:rFonts w:hint="eastAsia" w:ascii="宋体" w:hAnsi="宋体"/>
          <w:b/>
          <w:color w:val="000000"/>
          <w:szCs w:val="21"/>
        </w:rPr>
      </w:pPr>
    </w:p>
    <w:p w14:paraId="68B96CFD">
      <w:pPr>
        <w:spacing w:after="120" w:line="360" w:lineRule="auto"/>
        <w:ind w:firstLine="420" w:firstLineChars="200"/>
        <w:rPr>
          <w:rFonts w:ascii="宋体" w:hAnsi="宋体"/>
          <w:b/>
          <w:color w:val="000000"/>
          <w:sz w:val="21"/>
          <w:szCs w:val="21"/>
        </w:rPr>
      </w:pPr>
      <w:r>
        <w:rPr>
          <w:rFonts w:hint="eastAsia" w:ascii="宋体" w:hAnsi="宋体"/>
          <w:b/>
          <w:color w:val="000000"/>
          <w:sz w:val="21"/>
          <w:szCs w:val="21"/>
        </w:rPr>
        <w:t>1、本项目总预算为632912.00元。投标总价不得超过项目总预算限额，分项报价不得超过相应单价限额。</w:t>
      </w:r>
    </w:p>
    <w:p w14:paraId="30FB12E7">
      <w:pPr>
        <w:spacing w:after="120" w:line="360" w:lineRule="auto"/>
        <w:ind w:firstLine="420" w:firstLineChars="200"/>
        <w:rPr>
          <w:rFonts w:ascii="宋体" w:hAnsi="宋体"/>
          <w:b/>
          <w:color w:val="000000"/>
          <w:sz w:val="21"/>
          <w:szCs w:val="21"/>
        </w:rPr>
      </w:pPr>
      <w:r>
        <w:rPr>
          <w:rFonts w:hint="eastAsia" w:ascii="宋体" w:hAnsi="宋体"/>
          <w:b/>
          <w:color w:val="000000"/>
          <w:sz w:val="21"/>
          <w:szCs w:val="21"/>
        </w:rPr>
        <w:t>2、本项目备注栏注明“拒绝进口”的产品不接受投标人选用进口产品参与投标；注明“接受进口”的产品允许投标人选用进口产品参与投标，但不排斥国内产品。进口产品是指通过中国海关报关验放进入中国境内且产自关境外的产品（以“财库〔2007〕119号文”和“财办库〔2008〕248号文”的相关规定为准）。</w:t>
      </w:r>
    </w:p>
    <w:p w14:paraId="2273C984">
      <w:pPr>
        <w:rPr>
          <w:b/>
          <w:sz w:val="21"/>
          <w:szCs w:val="21"/>
        </w:rPr>
      </w:pPr>
      <w:r>
        <w:rPr>
          <w:rFonts w:hint="eastAsia" w:ascii="宋体" w:hAnsi="宋体"/>
          <w:color w:val="000000"/>
          <w:sz w:val="21"/>
          <w:szCs w:val="21"/>
        </w:rPr>
        <w:t xml:space="preserve">    </w:t>
      </w:r>
      <w:r>
        <w:rPr>
          <w:rFonts w:hint="eastAsia" w:ascii="宋体" w:hAnsi="宋体"/>
          <w:b/>
          <w:color w:val="000000"/>
          <w:sz w:val="21"/>
          <w:szCs w:val="21"/>
        </w:rPr>
        <w:t>3、核心产品：</w:t>
      </w:r>
      <w:r>
        <w:rPr>
          <w:rFonts w:hint="eastAsia" w:ascii="宋体" w:hAnsi="宋体"/>
          <w:b/>
          <w:color w:val="000000"/>
          <w:sz w:val="21"/>
          <w:szCs w:val="21"/>
          <w:u w:val="single"/>
        </w:rPr>
        <w:t>监控视频存储</w:t>
      </w:r>
    </w:p>
    <w:p w14:paraId="5B5F0BDE">
      <w:pPr>
        <w:widowControl w:val="0"/>
        <w:spacing w:after="120" w:line="360" w:lineRule="auto"/>
        <w:ind w:firstLine="422" w:firstLineChars="200"/>
        <w:jc w:val="both"/>
        <w:rPr>
          <w:rFonts w:ascii="宋体" w:hAnsi="宋体" w:eastAsia="宋体"/>
          <w:b/>
          <w:color w:val="000000"/>
          <w:sz w:val="21"/>
          <w:szCs w:val="21"/>
          <w:u w:val="single"/>
          <w:lang w:eastAsia="zh-CN"/>
        </w:rPr>
      </w:pPr>
    </w:p>
    <w:p w14:paraId="3A0DBEAC">
      <w:pPr>
        <w:keepNext/>
        <w:keepLines/>
        <w:widowControl w:val="0"/>
        <w:spacing w:before="260" w:after="260" w:line="240" w:lineRule="auto"/>
        <w:jc w:val="center"/>
        <w:outlineLvl w:val="2"/>
        <w:rPr>
          <w:rFonts w:ascii="宋体" w:hAnsi="宋体" w:eastAsia="宋体"/>
          <w:b/>
          <w:bCs/>
          <w:kern w:val="2"/>
          <w:sz w:val="28"/>
          <w:szCs w:val="32"/>
          <w:lang w:eastAsia="zh-CN"/>
        </w:rPr>
      </w:pPr>
      <w:r>
        <w:rPr>
          <w:rFonts w:hint="eastAsia" w:ascii="宋体" w:hAnsi="宋体" w:eastAsia="宋体" w:cstheme="minorBidi"/>
          <w:b/>
          <w:bCs/>
          <w:kern w:val="2"/>
          <w:sz w:val="28"/>
          <w:szCs w:val="32"/>
          <w:lang w:eastAsia="zh-CN"/>
        </w:rPr>
        <w:t>三、实质性条款</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
        <w:gridCol w:w="8170"/>
      </w:tblGrid>
      <w:tr w14:paraId="1AF63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11" w:type="dxa"/>
            <w:vAlign w:val="center"/>
          </w:tcPr>
          <w:p w14:paraId="03D2B3C3">
            <w:pPr>
              <w:widowControl w:val="0"/>
              <w:jc w:val="center"/>
              <w:rPr>
                <w:rFonts w:ascii="宋体" w:hAnsi="宋体" w:eastAsia="宋体"/>
                <w:b/>
                <w:kern w:val="2"/>
                <w:sz w:val="21"/>
                <w:szCs w:val="22"/>
                <w:lang w:eastAsia="zh-CN"/>
              </w:rPr>
            </w:pPr>
            <w:r>
              <w:rPr>
                <w:rFonts w:hint="eastAsia" w:ascii="宋体" w:hAnsi="宋体" w:eastAsia="宋体" w:cstheme="minorBidi"/>
                <w:b/>
                <w:kern w:val="2"/>
                <w:sz w:val="21"/>
                <w:szCs w:val="22"/>
                <w:lang w:eastAsia="zh-CN"/>
              </w:rPr>
              <w:t>序号</w:t>
            </w:r>
          </w:p>
        </w:tc>
        <w:tc>
          <w:tcPr>
            <w:tcW w:w="8614" w:type="dxa"/>
            <w:vAlign w:val="center"/>
          </w:tcPr>
          <w:p w14:paraId="2EDFD6E7">
            <w:pPr>
              <w:widowControl w:val="0"/>
              <w:jc w:val="center"/>
              <w:rPr>
                <w:rFonts w:ascii="宋体" w:hAnsi="宋体" w:eastAsia="宋体"/>
                <w:b/>
                <w:kern w:val="2"/>
                <w:sz w:val="21"/>
                <w:szCs w:val="22"/>
                <w:lang w:eastAsia="zh-CN"/>
              </w:rPr>
            </w:pPr>
            <w:r>
              <w:rPr>
                <w:rFonts w:hint="eastAsia" w:ascii="宋体" w:hAnsi="宋体" w:eastAsia="宋体" w:cstheme="minorBidi"/>
                <w:b/>
                <w:kern w:val="2"/>
                <w:sz w:val="21"/>
                <w:szCs w:val="22"/>
                <w:lang w:eastAsia="zh-CN"/>
              </w:rPr>
              <w:t>实质性条款具体内容</w:t>
            </w:r>
          </w:p>
        </w:tc>
      </w:tr>
      <w:tr w14:paraId="45EBB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7BEA6BA7">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1</w:t>
            </w:r>
          </w:p>
        </w:tc>
        <w:tc>
          <w:tcPr>
            <w:tcW w:w="8614" w:type="dxa"/>
          </w:tcPr>
          <w:p w14:paraId="654C71D9">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本项目招标文件中所有带★号条款内容</w:t>
            </w:r>
          </w:p>
        </w:tc>
      </w:tr>
      <w:bookmarkEnd w:id="12"/>
    </w:tbl>
    <w:p w14:paraId="415B50A7">
      <w:pPr>
        <w:widowControl w:val="0"/>
        <w:ind w:firstLine="420" w:firstLineChars="200"/>
        <w:jc w:val="both"/>
        <w:rPr>
          <w:rFonts w:ascii="Calibri" w:hAnsi="Calibri" w:eastAsia="宋体"/>
          <w:color w:val="FF0000"/>
          <w:kern w:val="2"/>
          <w:sz w:val="21"/>
          <w:szCs w:val="22"/>
          <w:lang w:eastAsia="zh-CN"/>
        </w:rPr>
      </w:pPr>
      <w:r>
        <w:rPr>
          <w:rFonts w:hint="eastAsia" w:ascii="Calibri" w:hAnsi="Calibri" w:eastAsia="宋体" w:cstheme="minorBidi"/>
          <w:color w:val="FF0000"/>
          <w:kern w:val="2"/>
          <w:sz w:val="21"/>
          <w:szCs w:val="22"/>
          <w:lang w:eastAsia="zh-CN"/>
        </w:rPr>
        <w:t>注：上表所列内容为不可负偏离条款，负偏离将视为未实质性满足招标文件要求，作投标无效处理。投标人是否满足以上实质性条款要求，以《实质性条款响应情况表》响应为准。如投标人中标后被发现不能满足以上实质性条款要求的，采购单位有权拒绝签订合同，一切后果由投标人承担。</w:t>
      </w:r>
    </w:p>
    <w:p w14:paraId="201CD60B">
      <w:pPr>
        <w:widowControl w:val="0"/>
        <w:jc w:val="both"/>
        <w:rPr>
          <w:rFonts w:ascii="Calibri" w:hAnsi="Calibri" w:eastAsia="宋体"/>
          <w:b/>
          <w:color w:val="FF0000"/>
          <w:kern w:val="2"/>
          <w:sz w:val="21"/>
          <w:szCs w:val="22"/>
          <w:lang w:eastAsia="zh-CN"/>
        </w:rPr>
      </w:pPr>
    </w:p>
    <w:p w14:paraId="1FAF772B">
      <w:pPr>
        <w:keepNext/>
        <w:keepLines/>
        <w:widowControl w:val="0"/>
        <w:spacing w:before="260" w:after="260" w:line="240" w:lineRule="auto"/>
        <w:jc w:val="center"/>
        <w:outlineLvl w:val="2"/>
        <w:rPr>
          <w:rFonts w:ascii="宋体" w:hAnsi="宋体" w:eastAsia="宋体"/>
          <w:b/>
          <w:bCs/>
          <w:kern w:val="2"/>
          <w:sz w:val="28"/>
          <w:szCs w:val="32"/>
          <w:lang w:eastAsia="zh-CN"/>
        </w:rPr>
      </w:pPr>
      <w:r>
        <w:rPr>
          <w:rFonts w:hint="eastAsia" w:ascii="宋体" w:hAnsi="宋体" w:eastAsia="宋体" w:cstheme="minorBidi"/>
          <w:b/>
          <w:bCs/>
          <w:kern w:val="2"/>
          <w:sz w:val="28"/>
          <w:szCs w:val="32"/>
          <w:lang w:eastAsia="zh-CN"/>
        </w:rPr>
        <w:t>四、商务条款要求</w:t>
      </w:r>
    </w:p>
    <w:p w14:paraId="207C9E3A">
      <w:pPr>
        <w:widowControl w:val="0"/>
        <w:ind w:firstLine="422" w:firstLineChars="200"/>
        <w:jc w:val="both"/>
        <w:rPr>
          <w:rFonts w:hint="eastAsia" w:ascii="Calibri" w:hAnsi="Calibri" w:eastAsia="宋体"/>
          <w:b/>
          <w:kern w:val="2"/>
          <w:sz w:val="21"/>
          <w:szCs w:val="21"/>
          <w:lang w:eastAsia="zh-CN"/>
        </w:rPr>
      </w:pPr>
      <w:r>
        <w:rPr>
          <w:rFonts w:hint="eastAsia" w:ascii="Calibri" w:hAnsi="Calibri" w:eastAsia="宋体" w:cstheme="minorBidi"/>
          <w:b/>
          <w:kern w:val="2"/>
          <w:sz w:val="21"/>
          <w:szCs w:val="21"/>
          <w:lang w:eastAsia="zh-CN"/>
        </w:rPr>
        <w:t>说明：带★号条款为不可偏离条款，不作为评分准则中的评分内容，如未响应或出现负偏离的，将作投标无效处理；带“</w:t>
      </w:r>
      <w:r>
        <w:rPr>
          <w:rFonts w:ascii="Calibri" w:hAnsi="Calibri" w:eastAsia="宋体" w:cstheme="minorBidi"/>
          <w:kern w:val="2"/>
          <w:sz w:val="21"/>
          <w:szCs w:val="22"/>
          <w:lang w:eastAsia="zh-CN"/>
        </w:rPr>
        <w:t>▲</w:t>
      </w:r>
      <w:r>
        <w:rPr>
          <w:rFonts w:hint="eastAsia" w:ascii="Calibri" w:hAnsi="Calibri" w:eastAsia="宋体" w:cstheme="minorBidi"/>
          <w:b/>
          <w:kern w:val="2"/>
          <w:sz w:val="21"/>
          <w:szCs w:val="21"/>
          <w:lang w:eastAsia="zh-CN"/>
        </w:rPr>
        <w:t>”指标项为重要参数，负偏离时依相关评分准则内容作重点扣分处理。</w:t>
      </w:r>
    </w:p>
    <w:tbl>
      <w:tblPr>
        <w:tblStyle w:val="7"/>
        <w:tblW w:w="5000"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9"/>
        <w:gridCol w:w="1563"/>
        <w:gridCol w:w="6074"/>
      </w:tblGrid>
      <w:tr w14:paraId="5B894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60" w:type="dxa"/>
            <w:noWrap w:val="0"/>
            <w:vAlign w:val="center"/>
          </w:tcPr>
          <w:p w14:paraId="68D0AAE6">
            <w:pPr>
              <w:jc w:val="center"/>
              <w:rPr>
                <w:rFonts w:hint="eastAsia" w:ascii="宋体" w:hAnsi="宋体" w:eastAsia="宋体" w:cs="宋体"/>
                <w:b/>
                <w:sz w:val="21"/>
                <w:szCs w:val="21"/>
              </w:rPr>
            </w:pPr>
            <w:r>
              <w:rPr>
                <w:rFonts w:hint="eastAsia" w:ascii="宋体" w:hAnsi="宋体" w:eastAsia="宋体" w:cs="宋体"/>
                <w:b/>
                <w:sz w:val="21"/>
                <w:szCs w:val="21"/>
              </w:rPr>
              <w:t>序号</w:t>
            </w:r>
          </w:p>
        </w:tc>
        <w:tc>
          <w:tcPr>
            <w:tcW w:w="1620" w:type="dxa"/>
            <w:noWrap w:val="0"/>
            <w:vAlign w:val="center"/>
          </w:tcPr>
          <w:p w14:paraId="7771FE70">
            <w:pPr>
              <w:jc w:val="center"/>
              <w:rPr>
                <w:rFonts w:hint="eastAsia" w:ascii="宋体" w:hAnsi="宋体" w:eastAsia="宋体" w:cs="宋体"/>
                <w:b/>
                <w:sz w:val="21"/>
                <w:szCs w:val="21"/>
              </w:rPr>
            </w:pPr>
            <w:r>
              <w:rPr>
                <w:rFonts w:hint="eastAsia" w:ascii="宋体" w:hAnsi="宋体" w:eastAsia="宋体" w:cs="宋体"/>
                <w:b/>
                <w:sz w:val="21"/>
                <w:szCs w:val="21"/>
              </w:rPr>
              <w:t>目录</w:t>
            </w:r>
          </w:p>
        </w:tc>
        <w:tc>
          <w:tcPr>
            <w:tcW w:w="6323" w:type="dxa"/>
            <w:noWrap w:val="0"/>
            <w:vAlign w:val="center"/>
          </w:tcPr>
          <w:p w14:paraId="60FCADEA">
            <w:pPr>
              <w:jc w:val="center"/>
              <w:rPr>
                <w:rFonts w:hint="eastAsia" w:ascii="宋体" w:hAnsi="宋体" w:eastAsia="宋体" w:cs="宋体"/>
                <w:b/>
                <w:sz w:val="21"/>
                <w:szCs w:val="21"/>
              </w:rPr>
            </w:pPr>
            <w:r>
              <w:rPr>
                <w:rFonts w:hint="eastAsia" w:ascii="宋体" w:hAnsi="宋体" w:eastAsia="宋体" w:cs="宋体"/>
                <w:b/>
                <w:sz w:val="21"/>
                <w:szCs w:val="21"/>
              </w:rPr>
              <w:t>采购商务需求</w:t>
            </w:r>
          </w:p>
        </w:tc>
      </w:tr>
      <w:tr w14:paraId="6A76F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203" w:type="dxa"/>
            <w:gridSpan w:val="3"/>
            <w:noWrap w:val="0"/>
            <w:vAlign w:val="top"/>
          </w:tcPr>
          <w:p w14:paraId="431C0B38">
            <w:pPr>
              <w:rPr>
                <w:rFonts w:hint="eastAsia" w:ascii="宋体" w:hAnsi="宋体" w:eastAsia="宋体" w:cs="宋体"/>
                <w:b/>
                <w:sz w:val="21"/>
                <w:szCs w:val="21"/>
              </w:rPr>
            </w:pPr>
            <w:r>
              <w:rPr>
                <w:rFonts w:hint="eastAsia" w:ascii="宋体" w:hAnsi="宋体" w:eastAsia="宋体" w:cs="宋体"/>
                <w:b/>
                <w:sz w:val="21"/>
                <w:szCs w:val="21"/>
              </w:rPr>
              <w:t>（一）免费保修期内售后服务要求</w:t>
            </w:r>
          </w:p>
        </w:tc>
      </w:tr>
      <w:tr w14:paraId="34C49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1260" w:type="dxa"/>
            <w:noWrap w:val="0"/>
            <w:vAlign w:val="center"/>
          </w:tcPr>
          <w:p w14:paraId="31F394F4">
            <w:pPr>
              <w:jc w:val="center"/>
              <w:rPr>
                <w:rFonts w:hint="eastAsia" w:ascii="宋体" w:hAnsi="宋体" w:eastAsia="宋体" w:cs="宋体"/>
                <w:b/>
                <w:sz w:val="21"/>
                <w:szCs w:val="21"/>
              </w:rPr>
            </w:pPr>
            <w:r>
              <w:rPr>
                <w:rFonts w:hint="eastAsia" w:ascii="宋体" w:hAnsi="宋体" w:eastAsia="宋体" w:cs="宋体"/>
                <w:b/>
                <w:sz w:val="21"/>
                <w:szCs w:val="21"/>
              </w:rPr>
              <w:t>1</w:t>
            </w:r>
          </w:p>
        </w:tc>
        <w:tc>
          <w:tcPr>
            <w:tcW w:w="1620" w:type="dxa"/>
            <w:noWrap w:val="0"/>
            <w:vAlign w:val="center"/>
          </w:tcPr>
          <w:p w14:paraId="75958DAE">
            <w:pPr>
              <w:rPr>
                <w:rFonts w:hint="eastAsia" w:ascii="宋体" w:hAnsi="宋体" w:eastAsia="宋体" w:cs="宋体"/>
                <w:sz w:val="21"/>
                <w:szCs w:val="21"/>
              </w:rPr>
            </w:pPr>
            <w:r>
              <w:rPr>
                <w:rFonts w:hint="eastAsia" w:ascii="宋体" w:hAnsi="宋体" w:eastAsia="宋体" w:cs="宋体"/>
                <w:sz w:val="21"/>
                <w:szCs w:val="21"/>
              </w:rPr>
              <w:t>免费保修期</w:t>
            </w:r>
          </w:p>
        </w:tc>
        <w:tc>
          <w:tcPr>
            <w:tcW w:w="6323" w:type="dxa"/>
            <w:noWrap w:val="0"/>
            <w:vAlign w:val="top"/>
          </w:tcPr>
          <w:p w14:paraId="150124AF">
            <w:pPr>
              <w:rPr>
                <w:rFonts w:hint="eastAsia" w:ascii="宋体" w:hAnsi="宋体" w:eastAsia="宋体" w:cs="宋体"/>
                <w:b/>
                <w:sz w:val="21"/>
                <w:szCs w:val="21"/>
              </w:rPr>
            </w:pPr>
            <w:r>
              <w:rPr>
                <w:rFonts w:hint="eastAsia" w:ascii="宋体" w:hAnsi="宋体" w:eastAsia="宋体" w:cs="宋体"/>
                <w:sz w:val="21"/>
                <w:szCs w:val="21"/>
              </w:rPr>
              <w:t>★</w:t>
            </w:r>
            <w:r>
              <w:rPr>
                <w:rFonts w:hint="eastAsia" w:ascii="宋体" w:hAnsi="宋体" w:eastAsia="宋体" w:cs="宋体"/>
                <w:bCs/>
                <w:sz w:val="21"/>
                <w:szCs w:val="21"/>
              </w:rPr>
              <w:t>货物免费保修期2年，时间自最终验收合格并交付使用之日起计算。</w:t>
            </w:r>
          </w:p>
        </w:tc>
      </w:tr>
      <w:tr w14:paraId="6BCE7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260" w:type="dxa"/>
            <w:noWrap w:val="0"/>
            <w:vAlign w:val="center"/>
          </w:tcPr>
          <w:p w14:paraId="5547FF8C">
            <w:pPr>
              <w:jc w:val="center"/>
              <w:rPr>
                <w:rFonts w:hint="eastAsia" w:ascii="宋体" w:hAnsi="宋体" w:eastAsia="宋体" w:cs="宋体"/>
                <w:b/>
                <w:sz w:val="21"/>
                <w:szCs w:val="21"/>
              </w:rPr>
            </w:pPr>
            <w:r>
              <w:rPr>
                <w:rFonts w:hint="eastAsia" w:ascii="宋体" w:hAnsi="宋体" w:eastAsia="宋体" w:cs="宋体"/>
                <w:b/>
                <w:sz w:val="21"/>
                <w:szCs w:val="21"/>
              </w:rPr>
              <w:t>2</w:t>
            </w:r>
          </w:p>
        </w:tc>
        <w:tc>
          <w:tcPr>
            <w:tcW w:w="1620" w:type="dxa"/>
            <w:noWrap w:val="0"/>
            <w:vAlign w:val="top"/>
          </w:tcPr>
          <w:p w14:paraId="345DEA1B">
            <w:pPr>
              <w:rPr>
                <w:rFonts w:hint="eastAsia" w:ascii="宋体" w:hAnsi="宋体" w:eastAsia="宋体" w:cs="宋体"/>
                <w:sz w:val="21"/>
                <w:szCs w:val="21"/>
              </w:rPr>
            </w:pPr>
            <w:r>
              <w:rPr>
                <w:rFonts w:hint="eastAsia" w:ascii="宋体" w:hAnsi="宋体" w:eastAsia="宋体" w:cs="宋体"/>
                <w:sz w:val="21"/>
                <w:szCs w:val="21"/>
              </w:rPr>
              <w:t>维修响应及故障解决时间</w:t>
            </w:r>
          </w:p>
        </w:tc>
        <w:tc>
          <w:tcPr>
            <w:tcW w:w="6323" w:type="dxa"/>
            <w:noWrap w:val="0"/>
            <w:vAlign w:val="top"/>
          </w:tcPr>
          <w:p w14:paraId="5BE1B1AA">
            <w:pPr>
              <w:rPr>
                <w:rFonts w:hint="eastAsia" w:ascii="宋体" w:hAnsi="宋体" w:eastAsia="宋体" w:cs="宋体"/>
                <w:b/>
                <w:sz w:val="21"/>
                <w:szCs w:val="21"/>
              </w:rPr>
            </w:pPr>
            <w:r>
              <w:rPr>
                <w:rFonts w:hint="eastAsia" w:ascii="宋体" w:hAnsi="宋体" w:eastAsia="宋体" w:cs="宋体"/>
                <w:bCs/>
                <w:sz w:val="21"/>
                <w:szCs w:val="21"/>
              </w:rPr>
              <w:t>投标人承诺中标后，在保修期内，一旦发生质量问题，投标人保证在接到通知24小时内赶到现场进行修理或更换。</w:t>
            </w:r>
          </w:p>
        </w:tc>
      </w:tr>
      <w:tr w14:paraId="54884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260" w:type="dxa"/>
            <w:noWrap w:val="0"/>
            <w:vAlign w:val="center"/>
          </w:tcPr>
          <w:p w14:paraId="2387C8A5">
            <w:pPr>
              <w:jc w:val="center"/>
              <w:rPr>
                <w:rFonts w:hint="eastAsia" w:ascii="宋体" w:hAnsi="宋体" w:eastAsia="宋体" w:cs="宋体"/>
                <w:b/>
                <w:sz w:val="21"/>
                <w:szCs w:val="21"/>
              </w:rPr>
            </w:pPr>
            <w:r>
              <w:rPr>
                <w:rFonts w:hint="eastAsia" w:ascii="宋体" w:hAnsi="宋体" w:eastAsia="宋体" w:cs="宋体"/>
                <w:b/>
                <w:sz w:val="21"/>
                <w:szCs w:val="21"/>
              </w:rPr>
              <w:t>3</w:t>
            </w:r>
          </w:p>
        </w:tc>
        <w:tc>
          <w:tcPr>
            <w:tcW w:w="1620" w:type="dxa"/>
            <w:noWrap w:val="0"/>
            <w:vAlign w:val="center"/>
          </w:tcPr>
          <w:p w14:paraId="6F50560F">
            <w:pPr>
              <w:rPr>
                <w:rFonts w:hint="eastAsia" w:ascii="宋体" w:hAnsi="宋体" w:eastAsia="宋体" w:cs="宋体"/>
                <w:b/>
                <w:sz w:val="21"/>
                <w:szCs w:val="21"/>
              </w:rPr>
            </w:pPr>
            <w:r>
              <w:rPr>
                <w:rFonts w:hint="eastAsia" w:ascii="宋体" w:hAnsi="宋体" w:eastAsia="宋体" w:cs="宋体"/>
                <w:sz w:val="21"/>
                <w:szCs w:val="21"/>
              </w:rPr>
              <w:t>其他</w:t>
            </w:r>
          </w:p>
        </w:tc>
        <w:tc>
          <w:tcPr>
            <w:tcW w:w="6323" w:type="dxa"/>
            <w:noWrap w:val="0"/>
            <w:vAlign w:val="center"/>
          </w:tcPr>
          <w:p w14:paraId="61598DD7">
            <w:pPr>
              <w:rPr>
                <w:rFonts w:hint="eastAsia" w:ascii="宋体" w:hAnsi="宋体" w:eastAsia="宋体" w:cs="宋体"/>
                <w:b/>
                <w:sz w:val="21"/>
                <w:szCs w:val="21"/>
              </w:rPr>
            </w:pPr>
            <w:r>
              <w:rPr>
                <w:rFonts w:hint="eastAsia" w:ascii="宋体" w:hAnsi="宋体" w:eastAsia="宋体" w:cs="宋体"/>
                <w:bCs/>
                <w:sz w:val="21"/>
                <w:szCs w:val="21"/>
              </w:rPr>
              <w:t>投标人中标后，应按其投标文件中的承诺，进行其他售后服务工作。</w:t>
            </w:r>
          </w:p>
        </w:tc>
      </w:tr>
      <w:tr w14:paraId="5E7FA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203" w:type="dxa"/>
            <w:gridSpan w:val="3"/>
            <w:noWrap w:val="0"/>
            <w:vAlign w:val="top"/>
          </w:tcPr>
          <w:p w14:paraId="6E988029">
            <w:pPr>
              <w:rPr>
                <w:rFonts w:hint="eastAsia" w:ascii="宋体" w:hAnsi="宋体" w:eastAsia="宋体" w:cs="宋体"/>
                <w:b/>
                <w:sz w:val="21"/>
                <w:szCs w:val="21"/>
              </w:rPr>
            </w:pPr>
            <w:r>
              <w:rPr>
                <w:rFonts w:hint="eastAsia" w:ascii="宋体" w:hAnsi="宋体" w:eastAsia="宋体" w:cs="宋体"/>
                <w:b/>
                <w:sz w:val="21"/>
                <w:szCs w:val="21"/>
              </w:rPr>
              <w:t>（二）免费保修期外售后服务要求</w:t>
            </w:r>
          </w:p>
        </w:tc>
      </w:tr>
      <w:tr w14:paraId="625EB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60" w:type="dxa"/>
            <w:noWrap w:val="0"/>
            <w:vAlign w:val="center"/>
          </w:tcPr>
          <w:p w14:paraId="17780649">
            <w:pPr>
              <w:jc w:val="center"/>
              <w:rPr>
                <w:rFonts w:hint="eastAsia" w:ascii="宋体" w:hAnsi="宋体" w:eastAsia="宋体" w:cs="宋体"/>
                <w:b/>
                <w:sz w:val="21"/>
                <w:szCs w:val="21"/>
              </w:rPr>
            </w:pPr>
            <w:r>
              <w:rPr>
                <w:rFonts w:hint="eastAsia" w:ascii="宋体" w:hAnsi="宋体" w:eastAsia="宋体" w:cs="宋体"/>
                <w:b/>
                <w:sz w:val="21"/>
                <w:szCs w:val="21"/>
              </w:rPr>
              <w:t>1</w:t>
            </w:r>
          </w:p>
        </w:tc>
        <w:tc>
          <w:tcPr>
            <w:tcW w:w="1620" w:type="dxa"/>
            <w:noWrap w:val="0"/>
            <w:vAlign w:val="top"/>
          </w:tcPr>
          <w:p w14:paraId="779C02C8">
            <w:pPr>
              <w:rPr>
                <w:rFonts w:hint="eastAsia" w:ascii="宋体" w:hAnsi="宋体" w:eastAsia="宋体" w:cs="宋体"/>
                <w:sz w:val="21"/>
                <w:szCs w:val="21"/>
              </w:rPr>
            </w:pPr>
            <w:r>
              <w:rPr>
                <w:rFonts w:hint="eastAsia" w:ascii="宋体" w:hAnsi="宋体" w:eastAsia="宋体" w:cs="宋体"/>
                <w:sz w:val="21"/>
                <w:szCs w:val="21"/>
              </w:rPr>
              <w:t>维修零配件、消耗品和延续保修合同的报价</w:t>
            </w:r>
          </w:p>
        </w:tc>
        <w:tc>
          <w:tcPr>
            <w:tcW w:w="6323" w:type="dxa"/>
            <w:noWrap w:val="0"/>
            <w:vAlign w:val="top"/>
          </w:tcPr>
          <w:p w14:paraId="6F80044C">
            <w:pPr>
              <w:rPr>
                <w:rFonts w:hint="eastAsia" w:ascii="宋体" w:hAnsi="宋体" w:eastAsia="宋体" w:cs="宋体"/>
                <w:b/>
                <w:sz w:val="21"/>
                <w:szCs w:val="21"/>
              </w:rPr>
            </w:pPr>
            <w:r>
              <w:rPr>
                <w:rFonts w:hint="eastAsia" w:ascii="宋体" w:hAnsi="宋体" w:eastAsia="宋体" w:cs="宋体"/>
                <w:color w:val="000000"/>
                <w:sz w:val="21"/>
                <w:szCs w:val="21"/>
              </w:rPr>
              <w:t>1.1由设备制造商提供售后服务，</w:t>
            </w:r>
            <w:r>
              <w:rPr>
                <w:rFonts w:hint="eastAsia" w:ascii="宋体" w:hAnsi="宋体" w:eastAsia="宋体" w:cs="宋体"/>
                <w:color w:val="000000"/>
                <w:sz w:val="21"/>
                <w:szCs w:val="21"/>
                <w:u w:val="single"/>
              </w:rPr>
              <w:t xml:space="preserve"> 1 </w:t>
            </w:r>
            <w:r>
              <w:rPr>
                <w:rFonts w:hint="eastAsia" w:ascii="宋体" w:hAnsi="宋体" w:eastAsia="宋体" w:cs="宋体"/>
                <w:color w:val="000000"/>
                <w:sz w:val="21"/>
                <w:szCs w:val="21"/>
              </w:rPr>
              <w:t>小时内响应，</w:t>
            </w:r>
            <w:r>
              <w:rPr>
                <w:rFonts w:hint="eastAsia" w:ascii="宋体" w:hAnsi="宋体" w:eastAsia="宋体" w:cs="宋体"/>
                <w:color w:val="000000"/>
                <w:sz w:val="21"/>
                <w:szCs w:val="21"/>
                <w:u w:val="single"/>
              </w:rPr>
              <w:t> 24 </w:t>
            </w:r>
            <w:r>
              <w:rPr>
                <w:rFonts w:hint="eastAsia" w:ascii="宋体" w:hAnsi="宋体" w:eastAsia="宋体" w:cs="宋体"/>
                <w:color w:val="000000"/>
                <w:sz w:val="21"/>
                <w:szCs w:val="21"/>
              </w:rPr>
              <w:t>小时维修到位，并在48小时内消除故障（不可抗力情况除外）。消耗品和零配件供应及时，特殊情况下可提供备用机。</w:t>
            </w:r>
          </w:p>
        </w:tc>
      </w:tr>
      <w:tr w14:paraId="135F2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9203" w:type="dxa"/>
            <w:gridSpan w:val="3"/>
            <w:noWrap w:val="0"/>
            <w:vAlign w:val="top"/>
          </w:tcPr>
          <w:p w14:paraId="57EF0BCD">
            <w:pPr>
              <w:rPr>
                <w:rFonts w:hint="eastAsia" w:ascii="宋体" w:hAnsi="宋体" w:eastAsia="宋体" w:cs="宋体"/>
                <w:b/>
                <w:sz w:val="21"/>
                <w:szCs w:val="21"/>
              </w:rPr>
            </w:pPr>
            <w:r>
              <w:rPr>
                <w:rFonts w:hint="eastAsia" w:ascii="宋体" w:hAnsi="宋体" w:eastAsia="宋体" w:cs="宋体"/>
                <w:b/>
                <w:sz w:val="21"/>
                <w:szCs w:val="21"/>
              </w:rPr>
              <w:t>（三）其他商务要求</w:t>
            </w:r>
          </w:p>
        </w:tc>
      </w:tr>
      <w:tr w14:paraId="2E2B2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60" w:type="dxa"/>
            <w:vMerge w:val="restart"/>
            <w:noWrap w:val="0"/>
            <w:vAlign w:val="center"/>
          </w:tcPr>
          <w:p w14:paraId="6962B068">
            <w:pPr>
              <w:jc w:val="center"/>
              <w:rPr>
                <w:rFonts w:hint="eastAsia" w:ascii="宋体" w:hAnsi="宋体" w:eastAsia="宋体" w:cs="宋体"/>
                <w:b/>
                <w:sz w:val="21"/>
                <w:szCs w:val="21"/>
              </w:rPr>
            </w:pPr>
            <w:r>
              <w:rPr>
                <w:rFonts w:hint="eastAsia" w:ascii="宋体" w:hAnsi="宋体" w:eastAsia="宋体" w:cs="宋体"/>
                <w:b/>
                <w:sz w:val="21"/>
                <w:szCs w:val="21"/>
              </w:rPr>
              <w:t>1</w:t>
            </w:r>
          </w:p>
        </w:tc>
        <w:tc>
          <w:tcPr>
            <w:tcW w:w="1620" w:type="dxa"/>
            <w:vMerge w:val="restart"/>
            <w:noWrap w:val="0"/>
            <w:vAlign w:val="center"/>
          </w:tcPr>
          <w:p w14:paraId="2BE67959">
            <w:pPr>
              <w:jc w:val="center"/>
              <w:rPr>
                <w:rFonts w:hint="eastAsia" w:ascii="宋体" w:hAnsi="宋体" w:eastAsia="宋体" w:cs="宋体"/>
                <w:sz w:val="21"/>
                <w:szCs w:val="21"/>
              </w:rPr>
            </w:pPr>
            <w:r>
              <w:rPr>
                <w:rFonts w:hint="eastAsia" w:ascii="宋体" w:hAnsi="宋体" w:eastAsia="宋体" w:cs="宋体"/>
                <w:sz w:val="21"/>
                <w:szCs w:val="21"/>
              </w:rPr>
              <w:t>关于交货</w:t>
            </w:r>
          </w:p>
        </w:tc>
        <w:tc>
          <w:tcPr>
            <w:tcW w:w="6323" w:type="dxa"/>
            <w:noWrap w:val="0"/>
            <w:vAlign w:val="top"/>
          </w:tcPr>
          <w:p w14:paraId="31B9C1DD">
            <w:pPr>
              <w:rPr>
                <w:rFonts w:hint="eastAsia" w:ascii="宋体" w:hAnsi="宋体" w:eastAsia="宋体" w:cs="宋体"/>
                <w:b/>
                <w:sz w:val="21"/>
                <w:szCs w:val="21"/>
              </w:rPr>
            </w:pPr>
            <w:r>
              <w:rPr>
                <w:rFonts w:hint="eastAsia" w:ascii="宋体" w:hAnsi="宋体" w:eastAsia="宋体" w:cs="宋体"/>
                <w:bCs/>
                <w:sz w:val="21"/>
                <w:szCs w:val="21"/>
              </w:rPr>
              <w:t>1.1</w:t>
            </w:r>
            <w:r>
              <w:rPr>
                <w:rFonts w:hint="eastAsia" w:ascii="宋体" w:hAnsi="宋体" w:eastAsia="宋体" w:cs="宋体"/>
                <w:sz w:val="21"/>
                <w:szCs w:val="21"/>
              </w:rPr>
              <w:t>★</w:t>
            </w:r>
            <w:r>
              <w:rPr>
                <w:rFonts w:hint="eastAsia" w:ascii="宋体" w:hAnsi="宋体" w:eastAsia="宋体" w:cs="宋体"/>
                <w:bCs/>
                <w:sz w:val="21"/>
                <w:szCs w:val="21"/>
              </w:rPr>
              <w:t>签订合同后_</w:t>
            </w:r>
            <w:r>
              <w:rPr>
                <w:rFonts w:hint="eastAsia" w:ascii="宋体" w:hAnsi="宋体" w:eastAsia="宋体" w:cs="宋体"/>
                <w:bCs/>
                <w:sz w:val="21"/>
                <w:szCs w:val="21"/>
                <w:u w:val="single"/>
              </w:rPr>
              <w:t>15</w:t>
            </w:r>
            <w:r>
              <w:rPr>
                <w:rFonts w:hint="eastAsia" w:ascii="宋体" w:hAnsi="宋体" w:eastAsia="宋体" w:cs="宋体"/>
                <w:bCs/>
                <w:sz w:val="21"/>
                <w:szCs w:val="21"/>
              </w:rPr>
              <w:t>_天（日历日）内。</w:t>
            </w:r>
          </w:p>
        </w:tc>
      </w:tr>
      <w:tr w14:paraId="7B249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260" w:type="dxa"/>
            <w:vMerge w:val="continue"/>
            <w:noWrap w:val="0"/>
            <w:vAlign w:val="center"/>
          </w:tcPr>
          <w:p w14:paraId="73C722BE">
            <w:pPr>
              <w:jc w:val="center"/>
              <w:rPr>
                <w:rFonts w:hint="eastAsia" w:ascii="宋体" w:hAnsi="宋体" w:eastAsia="宋体" w:cs="宋体"/>
                <w:b/>
                <w:sz w:val="21"/>
                <w:szCs w:val="21"/>
              </w:rPr>
            </w:pPr>
          </w:p>
        </w:tc>
        <w:tc>
          <w:tcPr>
            <w:tcW w:w="1620" w:type="dxa"/>
            <w:vMerge w:val="continue"/>
            <w:noWrap w:val="0"/>
            <w:vAlign w:val="center"/>
          </w:tcPr>
          <w:p w14:paraId="71EF5B14">
            <w:pPr>
              <w:jc w:val="center"/>
              <w:rPr>
                <w:rFonts w:hint="eastAsia" w:ascii="宋体" w:hAnsi="宋体" w:eastAsia="宋体" w:cs="宋体"/>
                <w:sz w:val="21"/>
                <w:szCs w:val="21"/>
              </w:rPr>
            </w:pPr>
          </w:p>
        </w:tc>
        <w:tc>
          <w:tcPr>
            <w:tcW w:w="6323" w:type="dxa"/>
            <w:noWrap w:val="0"/>
            <w:vAlign w:val="top"/>
          </w:tcPr>
          <w:p w14:paraId="2BE3DDBE">
            <w:pPr>
              <w:rPr>
                <w:rFonts w:hint="eastAsia" w:ascii="宋体" w:hAnsi="宋体" w:eastAsia="宋体" w:cs="宋体"/>
                <w:bCs/>
                <w:sz w:val="21"/>
                <w:szCs w:val="21"/>
              </w:rPr>
            </w:pPr>
            <w:r>
              <w:rPr>
                <w:rFonts w:hint="eastAsia" w:ascii="宋体" w:hAnsi="宋体" w:eastAsia="宋体" w:cs="宋体"/>
                <w:bCs/>
                <w:sz w:val="21"/>
                <w:szCs w:val="21"/>
              </w:rPr>
              <w:t>1.2投标人中标后，必须承担设备运输、安装调试、验收检测和提供设备操作说明书、图纸等其他类似的义务。</w:t>
            </w:r>
          </w:p>
        </w:tc>
      </w:tr>
      <w:tr w14:paraId="4F4B9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60" w:type="dxa"/>
            <w:vMerge w:val="restart"/>
            <w:noWrap w:val="0"/>
            <w:vAlign w:val="center"/>
          </w:tcPr>
          <w:p w14:paraId="78E4F130">
            <w:pPr>
              <w:jc w:val="center"/>
              <w:rPr>
                <w:rFonts w:hint="eastAsia" w:ascii="宋体" w:hAnsi="宋体" w:eastAsia="宋体" w:cs="宋体"/>
                <w:b/>
                <w:sz w:val="21"/>
                <w:szCs w:val="21"/>
              </w:rPr>
            </w:pPr>
            <w:r>
              <w:rPr>
                <w:rFonts w:hint="eastAsia" w:ascii="宋体" w:hAnsi="宋体" w:eastAsia="宋体" w:cs="宋体"/>
                <w:b/>
                <w:sz w:val="21"/>
                <w:szCs w:val="21"/>
              </w:rPr>
              <w:t>2</w:t>
            </w:r>
          </w:p>
        </w:tc>
        <w:tc>
          <w:tcPr>
            <w:tcW w:w="1620" w:type="dxa"/>
            <w:vMerge w:val="restart"/>
            <w:noWrap w:val="0"/>
            <w:vAlign w:val="center"/>
          </w:tcPr>
          <w:p w14:paraId="381724BF">
            <w:pPr>
              <w:jc w:val="center"/>
              <w:rPr>
                <w:rFonts w:hint="eastAsia" w:ascii="宋体" w:hAnsi="宋体" w:eastAsia="宋体" w:cs="宋体"/>
                <w:sz w:val="21"/>
                <w:szCs w:val="21"/>
              </w:rPr>
            </w:pPr>
            <w:r>
              <w:rPr>
                <w:rFonts w:hint="eastAsia" w:ascii="宋体" w:hAnsi="宋体" w:eastAsia="宋体" w:cs="宋体"/>
                <w:sz w:val="21"/>
                <w:szCs w:val="21"/>
              </w:rPr>
              <w:t>关于验收</w:t>
            </w:r>
          </w:p>
        </w:tc>
        <w:tc>
          <w:tcPr>
            <w:tcW w:w="6323" w:type="dxa"/>
            <w:noWrap w:val="0"/>
            <w:vAlign w:val="top"/>
          </w:tcPr>
          <w:p w14:paraId="2EA0E5A7">
            <w:pPr>
              <w:spacing w:line="340" w:lineRule="exact"/>
              <w:rPr>
                <w:rFonts w:hint="eastAsia" w:ascii="宋体" w:hAnsi="宋体" w:eastAsia="宋体" w:cs="宋体"/>
                <w:bCs/>
                <w:sz w:val="21"/>
                <w:szCs w:val="21"/>
              </w:rPr>
            </w:pPr>
            <w:r>
              <w:rPr>
                <w:rFonts w:hint="eastAsia" w:ascii="宋体" w:hAnsi="宋体" w:eastAsia="宋体" w:cs="宋体"/>
                <w:bCs/>
                <w:sz w:val="21"/>
                <w:szCs w:val="21"/>
              </w:rPr>
              <w:t>2.1投标人中标后，其货物经过双方检验认可后，签署验收报告，产品保修期自验收合格之日起算，由投标人提供产品保修文件。</w:t>
            </w:r>
          </w:p>
        </w:tc>
      </w:tr>
      <w:tr w14:paraId="68790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60" w:type="dxa"/>
            <w:vMerge w:val="continue"/>
            <w:noWrap w:val="0"/>
            <w:vAlign w:val="center"/>
          </w:tcPr>
          <w:p w14:paraId="2F990789">
            <w:pPr>
              <w:jc w:val="center"/>
              <w:rPr>
                <w:rFonts w:hint="eastAsia" w:ascii="宋体" w:hAnsi="宋体" w:eastAsia="宋体" w:cs="宋体"/>
                <w:b/>
                <w:sz w:val="21"/>
                <w:szCs w:val="21"/>
              </w:rPr>
            </w:pPr>
          </w:p>
        </w:tc>
        <w:tc>
          <w:tcPr>
            <w:tcW w:w="1620" w:type="dxa"/>
            <w:vMerge w:val="continue"/>
            <w:noWrap w:val="0"/>
            <w:vAlign w:val="top"/>
          </w:tcPr>
          <w:p w14:paraId="08BE6A51">
            <w:pPr>
              <w:rPr>
                <w:rFonts w:hint="eastAsia" w:ascii="宋体" w:hAnsi="宋体" w:eastAsia="宋体" w:cs="宋体"/>
                <w:b/>
                <w:sz w:val="21"/>
                <w:szCs w:val="21"/>
              </w:rPr>
            </w:pPr>
          </w:p>
        </w:tc>
        <w:tc>
          <w:tcPr>
            <w:tcW w:w="6323" w:type="dxa"/>
            <w:noWrap w:val="0"/>
            <w:vAlign w:val="top"/>
          </w:tcPr>
          <w:p w14:paraId="1F1E7E22">
            <w:pPr>
              <w:spacing w:line="340" w:lineRule="exact"/>
              <w:rPr>
                <w:rFonts w:hint="eastAsia" w:ascii="宋体" w:hAnsi="宋体" w:eastAsia="宋体" w:cs="宋体"/>
                <w:bCs/>
                <w:sz w:val="21"/>
                <w:szCs w:val="21"/>
              </w:rPr>
            </w:pPr>
            <w:r>
              <w:rPr>
                <w:rFonts w:hint="eastAsia" w:ascii="宋体" w:hAnsi="宋体" w:eastAsia="宋体" w:cs="宋体"/>
                <w:bCs/>
                <w:sz w:val="21"/>
                <w:szCs w:val="21"/>
              </w:rPr>
              <w:t>2.2投标人中标后，当满足以下条件时，采购人才向投标人签发货物验收报告：</w:t>
            </w:r>
          </w:p>
          <w:p w14:paraId="56086C1E">
            <w:pPr>
              <w:tabs>
                <w:tab w:val="left" w:pos="1260"/>
              </w:tabs>
              <w:spacing w:line="340" w:lineRule="exact"/>
              <w:rPr>
                <w:rFonts w:hint="eastAsia" w:ascii="宋体" w:hAnsi="宋体" w:eastAsia="宋体" w:cs="宋体"/>
                <w:bCs/>
                <w:sz w:val="21"/>
                <w:szCs w:val="21"/>
              </w:rPr>
            </w:pPr>
            <w:r>
              <w:rPr>
                <w:rFonts w:hint="eastAsia" w:ascii="宋体" w:hAnsi="宋体" w:eastAsia="宋体" w:cs="宋体"/>
                <w:bCs/>
                <w:sz w:val="21"/>
                <w:szCs w:val="21"/>
              </w:rPr>
              <w:t>a、投标人已按照合同规定提供了全部产品及完整的技术资料。</w:t>
            </w:r>
          </w:p>
          <w:p w14:paraId="53FCAFDD">
            <w:pPr>
              <w:tabs>
                <w:tab w:val="left" w:pos="1260"/>
              </w:tabs>
              <w:spacing w:line="340" w:lineRule="exact"/>
              <w:rPr>
                <w:rFonts w:hint="eastAsia" w:ascii="宋体" w:hAnsi="宋体" w:eastAsia="宋体" w:cs="宋体"/>
                <w:bCs/>
                <w:sz w:val="21"/>
                <w:szCs w:val="21"/>
              </w:rPr>
            </w:pPr>
            <w:r>
              <w:rPr>
                <w:rFonts w:hint="eastAsia" w:ascii="宋体" w:hAnsi="宋体" w:eastAsia="宋体" w:cs="宋体"/>
                <w:bCs/>
                <w:sz w:val="21"/>
                <w:szCs w:val="21"/>
              </w:rPr>
              <w:t>b、货物符合采购文件技术规格书的要求，性能满足要求。</w:t>
            </w:r>
          </w:p>
          <w:p w14:paraId="3E373D82">
            <w:pPr>
              <w:tabs>
                <w:tab w:val="left" w:pos="1260"/>
              </w:tabs>
              <w:spacing w:line="340" w:lineRule="exact"/>
              <w:rPr>
                <w:rFonts w:hint="eastAsia" w:ascii="宋体" w:hAnsi="宋体" w:eastAsia="宋体" w:cs="宋体"/>
                <w:bCs/>
                <w:sz w:val="21"/>
                <w:szCs w:val="21"/>
              </w:rPr>
            </w:pPr>
            <w:r>
              <w:rPr>
                <w:rFonts w:hint="eastAsia" w:ascii="宋体" w:hAnsi="宋体" w:eastAsia="宋体" w:cs="宋体"/>
                <w:bCs/>
                <w:sz w:val="21"/>
                <w:szCs w:val="21"/>
              </w:rPr>
              <w:t>c、货物具备产品合格证。</w:t>
            </w:r>
          </w:p>
        </w:tc>
      </w:tr>
      <w:tr w14:paraId="738FF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60" w:type="dxa"/>
            <w:vMerge w:val="restart"/>
            <w:noWrap w:val="0"/>
            <w:vAlign w:val="center"/>
          </w:tcPr>
          <w:p w14:paraId="507549AC">
            <w:pPr>
              <w:jc w:val="center"/>
              <w:rPr>
                <w:rFonts w:hint="eastAsia" w:ascii="宋体" w:hAnsi="宋体" w:eastAsia="宋体" w:cs="宋体"/>
                <w:bCs/>
                <w:sz w:val="21"/>
                <w:szCs w:val="21"/>
              </w:rPr>
            </w:pPr>
            <w:r>
              <w:rPr>
                <w:rFonts w:hint="eastAsia" w:ascii="宋体" w:hAnsi="宋体" w:eastAsia="宋体" w:cs="宋体"/>
                <w:bCs/>
                <w:sz w:val="21"/>
                <w:szCs w:val="21"/>
              </w:rPr>
              <w:t>3</w:t>
            </w:r>
          </w:p>
        </w:tc>
        <w:tc>
          <w:tcPr>
            <w:tcW w:w="1620" w:type="dxa"/>
            <w:vMerge w:val="restart"/>
            <w:noWrap w:val="0"/>
            <w:vAlign w:val="center"/>
          </w:tcPr>
          <w:p w14:paraId="7CAD489E">
            <w:pPr>
              <w:jc w:val="center"/>
              <w:rPr>
                <w:rFonts w:hint="eastAsia" w:ascii="宋体" w:hAnsi="宋体" w:eastAsia="宋体" w:cs="宋体"/>
                <w:bCs/>
                <w:sz w:val="21"/>
                <w:szCs w:val="21"/>
              </w:rPr>
            </w:pPr>
            <w:r>
              <w:rPr>
                <w:rFonts w:hint="eastAsia" w:ascii="宋体" w:hAnsi="宋体" w:eastAsia="宋体" w:cs="宋体"/>
                <w:bCs/>
                <w:sz w:val="21"/>
                <w:szCs w:val="21"/>
              </w:rPr>
              <w:t>违约责任</w:t>
            </w:r>
          </w:p>
        </w:tc>
        <w:tc>
          <w:tcPr>
            <w:tcW w:w="6323" w:type="dxa"/>
            <w:noWrap w:val="0"/>
            <w:vAlign w:val="top"/>
          </w:tcPr>
          <w:p w14:paraId="5BA5FB9B">
            <w:pPr>
              <w:spacing w:line="340" w:lineRule="exact"/>
              <w:rPr>
                <w:rFonts w:hint="eastAsia" w:ascii="宋体" w:hAnsi="宋体" w:eastAsia="宋体" w:cs="宋体"/>
                <w:bCs/>
                <w:sz w:val="21"/>
                <w:szCs w:val="21"/>
              </w:rPr>
            </w:pPr>
            <w:r>
              <w:rPr>
                <w:rFonts w:hint="eastAsia" w:ascii="宋体" w:hAnsi="宋体" w:eastAsia="宋体" w:cs="宋体"/>
                <w:sz w:val="21"/>
                <w:szCs w:val="21"/>
              </w:rPr>
              <w:t>3.1如</w:t>
            </w:r>
            <w:r>
              <w:rPr>
                <w:rFonts w:hint="eastAsia" w:ascii="宋体" w:hAnsi="宋体" w:eastAsia="宋体" w:cs="宋体"/>
                <w:bCs/>
                <w:sz w:val="21"/>
                <w:szCs w:val="21"/>
              </w:rPr>
              <w:t>投标人中标后</w:t>
            </w:r>
            <w:r>
              <w:rPr>
                <w:rFonts w:hint="eastAsia" w:ascii="宋体" w:hAnsi="宋体" w:eastAsia="宋体" w:cs="宋体"/>
                <w:sz w:val="21"/>
                <w:szCs w:val="21"/>
              </w:rPr>
              <w:t>未按照投标文件中承诺的时间交货或提供服务，</w:t>
            </w:r>
            <w:r>
              <w:rPr>
                <w:rFonts w:hint="eastAsia" w:ascii="宋体" w:hAnsi="宋体" w:eastAsia="宋体" w:cs="宋体"/>
                <w:bCs/>
                <w:sz w:val="21"/>
                <w:szCs w:val="21"/>
              </w:rPr>
              <w:t>投标人</w:t>
            </w:r>
            <w:r>
              <w:rPr>
                <w:rFonts w:hint="eastAsia" w:ascii="宋体" w:hAnsi="宋体" w:eastAsia="宋体" w:cs="宋体"/>
                <w:sz w:val="21"/>
                <w:szCs w:val="21"/>
              </w:rPr>
              <w:t>应承担延期交货和延期服务的违约责任，并赔偿采购人因此造成的实际经济损失，采购人有权终止合同。</w:t>
            </w:r>
          </w:p>
        </w:tc>
      </w:tr>
      <w:tr w14:paraId="4A512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60" w:type="dxa"/>
            <w:vMerge w:val="continue"/>
            <w:noWrap w:val="0"/>
            <w:vAlign w:val="center"/>
          </w:tcPr>
          <w:p w14:paraId="041720A1">
            <w:pPr>
              <w:jc w:val="center"/>
              <w:rPr>
                <w:rFonts w:hint="eastAsia" w:ascii="宋体" w:hAnsi="宋体" w:eastAsia="宋体" w:cs="宋体"/>
                <w:bCs/>
                <w:sz w:val="21"/>
                <w:szCs w:val="21"/>
              </w:rPr>
            </w:pPr>
          </w:p>
        </w:tc>
        <w:tc>
          <w:tcPr>
            <w:tcW w:w="1620" w:type="dxa"/>
            <w:vMerge w:val="continue"/>
            <w:noWrap w:val="0"/>
            <w:vAlign w:val="center"/>
          </w:tcPr>
          <w:p w14:paraId="1CF1099C">
            <w:pPr>
              <w:jc w:val="center"/>
              <w:rPr>
                <w:rFonts w:hint="eastAsia" w:ascii="宋体" w:hAnsi="宋体" w:eastAsia="宋体" w:cs="宋体"/>
                <w:bCs/>
                <w:sz w:val="21"/>
                <w:szCs w:val="21"/>
              </w:rPr>
            </w:pPr>
          </w:p>
        </w:tc>
        <w:tc>
          <w:tcPr>
            <w:tcW w:w="6323" w:type="dxa"/>
            <w:noWrap w:val="0"/>
            <w:vAlign w:val="top"/>
          </w:tcPr>
          <w:p w14:paraId="7CBEDC03">
            <w:pPr>
              <w:spacing w:line="340" w:lineRule="exact"/>
              <w:rPr>
                <w:rFonts w:hint="eastAsia" w:ascii="宋体" w:hAnsi="宋体" w:eastAsia="宋体" w:cs="宋体"/>
                <w:bCs/>
                <w:sz w:val="21"/>
                <w:szCs w:val="21"/>
              </w:rPr>
            </w:pPr>
            <w:r>
              <w:rPr>
                <w:rFonts w:hint="eastAsia" w:ascii="宋体" w:hAnsi="宋体" w:eastAsia="宋体" w:cs="宋体"/>
                <w:bCs/>
                <w:sz w:val="21"/>
                <w:szCs w:val="21"/>
              </w:rPr>
              <w:t xml:space="preserve">3.2投标人中标后所交设备的品种、型号、规格、质量、功能、技术参数等方面不能实质性满足采购文件要求的，采购人有权拒绝收货，投标人向采购人偿付项目采购金额【15】% （10%以上20%以下）的违约金并采取更换、补足等补救措施，致使逾期交付的，还应承担逾期交付的违约责任。 </w:t>
            </w:r>
          </w:p>
        </w:tc>
      </w:tr>
      <w:tr w14:paraId="31B2D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60" w:type="dxa"/>
            <w:vMerge w:val="continue"/>
            <w:noWrap w:val="0"/>
            <w:vAlign w:val="center"/>
          </w:tcPr>
          <w:p w14:paraId="2F0A4397">
            <w:pPr>
              <w:jc w:val="center"/>
              <w:rPr>
                <w:rFonts w:hint="eastAsia" w:ascii="宋体" w:hAnsi="宋体" w:eastAsia="宋体" w:cs="宋体"/>
                <w:bCs/>
                <w:sz w:val="21"/>
                <w:szCs w:val="21"/>
              </w:rPr>
            </w:pPr>
          </w:p>
        </w:tc>
        <w:tc>
          <w:tcPr>
            <w:tcW w:w="1620" w:type="dxa"/>
            <w:vMerge w:val="continue"/>
            <w:noWrap w:val="0"/>
            <w:vAlign w:val="center"/>
          </w:tcPr>
          <w:p w14:paraId="7D3F3629">
            <w:pPr>
              <w:jc w:val="center"/>
              <w:rPr>
                <w:rFonts w:hint="eastAsia" w:ascii="宋体" w:hAnsi="宋体" w:eastAsia="宋体" w:cs="宋体"/>
                <w:bCs/>
                <w:sz w:val="21"/>
                <w:szCs w:val="21"/>
              </w:rPr>
            </w:pPr>
          </w:p>
        </w:tc>
        <w:tc>
          <w:tcPr>
            <w:tcW w:w="6323" w:type="dxa"/>
            <w:noWrap w:val="0"/>
            <w:vAlign w:val="top"/>
          </w:tcPr>
          <w:p w14:paraId="4C3588BB">
            <w:pPr>
              <w:spacing w:line="340" w:lineRule="exact"/>
              <w:rPr>
                <w:rFonts w:hint="eastAsia" w:ascii="宋体" w:hAnsi="宋体" w:eastAsia="宋体" w:cs="宋体"/>
                <w:bCs/>
                <w:sz w:val="21"/>
                <w:szCs w:val="21"/>
              </w:rPr>
            </w:pPr>
            <w:r>
              <w:rPr>
                <w:rFonts w:hint="eastAsia" w:ascii="宋体" w:hAnsi="宋体" w:eastAsia="宋体" w:cs="宋体"/>
                <w:bCs/>
                <w:sz w:val="21"/>
                <w:szCs w:val="21"/>
              </w:rPr>
              <w:t>3.3投标人中标后不能交付设备的，投标人向采购人偿付项目采购金额【15】%（10%以上20%以下）的违约金。</w:t>
            </w:r>
          </w:p>
        </w:tc>
      </w:tr>
      <w:tr w14:paraId="513BA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60" w:type="dxa"/>
            <w:vMerge w:val="continue"/>
            <w:noWrap w:val="0"/>
            <w:vAlign w:val="center"/>
          </w:tcPr>
          <w:p w14:paraId="63ABDD69">
            <w:pPr>
              <w:jc w:val="center"/>
              <w:rPr>
                <w:rFonts w:hint="eastAsia" w:ascii="宋体" w:hAnsi="宋体" w:eastAsia="宋体" w:cs="宋体"/>
                <w:bCs/>
                <w:sz w:val="21"/>
                <w:szCs w:val="21"/>
              </w:rPr>
            </w:pPr>
          </w:p>
        </w:tc>
        <w:tc>
          <w:tcPr>
            <w:tcW w:w="1620" w:type="dxa"/>
            <w:vMerge w:val="continue"/>
            <w:noWrap w:val="0"/>
            <w:vAlign w:val="top"/>
          </w:tcPr>
          <w:p w14:paraId="794EA706">
            <w:pPr>
              <w:rPr>
                <w:rFonts w:hint="eastAsia" w:ascii="宋体" w:hAnsi="宋体" w:eastAsia="宋体" w:cs="宋体"/>
                <w:bCs/>
                <w:sz w:val="21"/>
                <w:szCs w:val="21"/>
              </w:rPr>
            </w:pPr>
          </w:p>
        </w:tc>
        <w:tc>
          <w:tcPr>
            <w:tcW w:w="6323" w:type="dxa"/>
            <w:noWrap w:val="0"/>
            <w:vAlign w:val="top"/>
          </w:tcPr>
          <w:p w14:paraId="26AF9751">
            <w:pPr>
              <w:spacing w:line="340" w:lineRule="exact"/>
              <w:rPr>
                <w:rFonts w:hint="eastAsia" w:ascii="宋体" w:hAnsi="宋体" w:eastAsia="宋体" w:cs="宋体"/>
                <w:bCs/>
                <w:sz w:val="21"/>
                <w:szCs w:val="21"/>
              </w:rPr>
            </w:pPr>
            <w:r>
              <w:rPr>
                <w:rFonts w:hint="eastAsia" w:ascii="宋体" w:hAnsi="宋体" w:eastAsia="宋体" w:cs="宋体"/>
                <w:bCs/>
                <w:sz w:val="21"/>
                <w:szCs w:val="21"/>
              </w:rPr>
              <w:t>3.4投标人中标后逾期交付货物的，每逾期1天，投标人向采购人偿付项目采购金额的【5】‰（1‰以上5‰以下）的违约金。如投标人逾期交货达</w:t>
            </w:r>
            <w:r>
              <w:rPr>
                <w:rFonts w:hint="eastAsia" w:ascii="宋体" w:hAnsi="宋体" w:eastAsia="宋体" w:cs="宋体"/>
                <w:bCs/>
                <w:sz w:val="21"/>
                <w:szCs w:val="21"/>
                <w:u w:val="single"/>
              </w:rPr>
              <w:t xml:space="preserve"> 30 </w:t>
            </w:r>
            <w:r>
              <w:rPr>
                <w:rFonts w:hint="eastAsia" w:ascii="宋体" w:hAnsi="宋体" w:eastAsia="宋体" w:cs="宋体"/>
                <w:bCs/>
                <w:sz w:val="21"/>
                <w:szCs w:val="21"/>
              </w:rPr>
              <w:t>天，采购人有权解除合同。</w:t>
            </w:r>
          </w:p>
        </w:tc>
      </w:tr>
      <w:tr w14:paraId="18BF3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60" w:type="dxa"/>
            <w:vMerge w:val="continue"/>
            <w:noWrap w:val="0"/>
            <w:vAlign w:val="center"/>
          </w:tcPr>
          <w:p w14:paraId="3F5FB8D7">
            <w:pPr>
              <w:jc w:val="center"/>
              <w:rPr>
                <w:rFonts w:hint="eastAsia" w:ascii="宋体" w:hAnsi="宋体" w:eastAsia="宋体" w:cs="宋体"/>
                <w:bCs/>
                <w:sz w:val="21"/>
                <w:szCs w:val="21"/>
              </w:rPr>
            </w:pPr>
          </w:p>
        </w:tc>
        <w:tc>
          <w:tcPr>
            <w:tcW w:w="1620" w:type="dxa"/>
            <w:vMerge w:val="continue"/>
            <w:noWrap w:val="0"/>
            <w:vAlign w:val="top"/>
          </w:tcPr>
          <w:p w14:paraId="43D3CAD0">
            <w:pPr>
              <w:rPr>
                <w:rFonts w:hint="eastAsia" w:ascii="宋体" w:hAnsi="宋体" w:eastAsia="宋体" w:cs="宋体"/>
                <w:bCs/>
                <w:sz w:val="21"/>
                <w:szCs w:val="21"/>
              </w:rPr>
            </w:pPr>
          </w:p>
        </w:tc>
        <w:tc>
          <w:tcPr>
            <w:tcW w:w="6323" w:type="dxa"/>
            <w:noWrap w:val="0"/>
            <w:vAlign w:val="top"/>
          </w:tcPr>
          <w:p w14:paraId="269FD30F">
            <w:pPr>
              <w:rPr>
                <w:rFonts w:hint="eastAsia" w:ascii="宋体" w:hAnsi="宋体" w:eastAsia="宋体" w:cs="宋体"/>
                <w:b/>
                <w:sz w:val="21"/>
                <w:szCs w:val="21"/>
              </w:rPr>
            </w:pPr>
            <w:r>
              <w:rPr>
                <w:rFonts w:hint="eastAsia" w:ascii="宋体" w:hAnsi="宋体" w:eastAsia="宋体" w:cs="宋体"/>
                <w:bCs/>
                <w:sz w:val="21"/>
                <w:szCs w:val="21"/>
              </w:rPr>
              <w:t>3.5投标人中标后，在其承诺的或国家规定的质量保证期内（取两者中最长的期限），如经投标人两次维修或更换，货物仍不能达到采购文件要求及投标文件承诺的质量标准，采购人有权退货，投标人应退回全部货款并赔偿采购人因此遭受的损失。</w:t>
            </w:r>
          </w:p>
        </w:tc>
      </w:tr>
      <w:tr w14:paraId="68864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60" w:type="dxa"/>
            <w:vMerge w:val="continue"/>
            <w:noWrap w:val="0"/>
            <w:vAlign w:val="center"/>
          </w:tcPr>
          <w:p w14:paraId="25995995">
            <w:pPr>
              <w:jc w:val="center"/>
              <w:rPr>
                <w:rFonts w:hint="eastAsia" w:ascii="宋体" w:hAnsi="宋体" w:eastAsia="宋体" w:cs="宋体"/>
                <w:bCs/>
                <w:sz w:val="21"/>
                <w:szCs w:val="21"/>
              </w:rPr>
            </w:pPr>
          </w:p>
        </w:tc>
        <w:tc>
          <w:tcPr>
            <w:tcW w:w="1620" w:type="dxa"/>
            <w:vMerge w:val="continue"/>
            <w:noWrap w:val="0"/>
            <w:vAlign w:val="top"/>
          </w:tcPr>
          <w:p w14:paraId="5D3EA353">
            <w:pPr>
              <w:rPr>
                <w:rFonts w:hint="eastAsia" w:ascii="宋体" w:hAnsi="宋体" w:eastAsia="宋体" w:cs="宋体"/>
                <w:bCs/>
                <w:sz w:val="21"/>
                <w:szCs w:val="21"/>
              </w:rPr>
            </w:pPr>
          </w:p>
        </w:tc>
        <w:tc>
          <w:tcPr>
            <w:tcW w:w="6323" w:type="dxa"/>
            <w:noWrap w:val="0"/>
            <w:vAlign w:val="top"/>
          </w:tcPr>
          <w:p w14:paraId="0B94FFFC">
            <w:pPr>
              <w:rPr>
                <w:rFonts w:hint="eastAsia" w:ascii="宋体" w:hAnsi="宋体" w:eastAsia="宋体" w:cs="宋体"/>
                <w:b/>
                <w:sz w:val="21"/>
                <w:szCs w:val="21"/>
              </w:rPr>
            </w:pPr>
            <w:r>
              <w:rPr>
                <w:rFonts w:hint="eastAsia" w:ascii="宋体" w:hAnsi="宋体" w:eastAsia="宋体" w:cs="宋体"/>
                <w:bCs/>
                <w:sz w:val="21"/>
                <w:szCs w:val="21"/>
              </w:rPr>
              <w:t>3.6投标人中标后在承担上述一项或多项违约责任后，仍应继续履行合同规定的义务（采购人解除合同的除外）。采购人未能及时追究投标人的任何一项违约责任并不表明采购人放弃追究投标人该项或其他违约责任。</w:t>
            </w:r>
          </w:p>
        </w:tc>
      </w:tr>
      <w:tr w14:paraId="51D26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60" w:type="dxa"/>
            <w:noWrap w:val="0"/>
            <w:vAlign w:val="center"/>
          </w:tcPr>
          <w:p w14:paraId="6E1900A7">
            <w:pPr>
              <w:jc w:val="center"/>
              <w:rPr>
                <w:rFonts w:hint="eastAsia" w:ascii="宋体" w:hAnsi="宋体" w:eastAsia="宋体" w:cs="宋体"/>
                <w:bCs/>
                <w:sz w:val="21"/>
                <w:szCs w:val="21"/>
              </w:rPr>
            </w:pPr>
            <w:r>
              <w:rPr>
                <w:rFonts w:hint="eastAsia" w:ascii="宋体" w:hAnsi="宋体" w:eastAsia="宋体" w:cs="宋体"/>
                <w:bCs/>
                <w:sz w:val="21"/>
                <w:szCs w:val="21"/>
              </w:rPr>
              <w:t>4</w:t>
            </w:r>
          </w:p>
        </w:tc>
        <w:tc>
          <w:tcPr>
            <w:tcW w:w="1620" w:type="dxa"/>
            <w:noWrap w:val="0"/>
            <w:vAlign w:val="center"/>
          </w:tcPr>
          <w:p w14:paraId="45F88561">
            <w:pPr>
              <w:jc w:val="center"/>
              <w:rPr>
                <w:rFonts w:hint="eastAsia" w:ascii="宋体" w:hAnsi="宋体" w:eastAsia="宋体" w:cs="宋体"/>
                <w:bCs/>
                <w:sz w:val="21"/>
                <w:szCs w:val="21"/>
              </w:rPr>
            </w:pPr>
            <w:r>
              <w:rPr>
                <w:rFonts w:hint="eastAsia" w:ascii="宋体" w:hAnsi="宋体" w:eastAsia="宋体" w:cs="宋体"/>
                <w:bCs/>
                <w:sz w:val="21"/>
                <w:szCs w:val="21"/>
              </w:rPr>
              <w:t>其他</w:t>
            </w:r>
          </w:p>
        </w:tc>
        <w:tc>
          <w:tcPr>
            <w:tcW w:w="6323" w:type="dxa"/>
            <w:noWrap w:val="0"/>
            <w:vAlign w:val="top"/>
          </w:tcPr>
          <w:p w14:paraId="03AE6169">
            <w:pPr>
              <w:rPr>
                <w:rFonts w:hint="eastAsia" w:ascii="宋体" w:hAnsi="宋体" w:eastAsia="宋体" w:cs="宋体"/>
                <w:bCs/>
                <w:sz w:val="21"/>
                <w:szCs w:val="21"/>
              </w:rPr>
            </w:pPr>
            <w:r>
              <w:rPr>
                <w:rFonts w:hint="eastAsia" w:ascii="宋体" w:hAnsi="宋体" w:eastAsia="宋体" w:cs="宋体"/>
                <w:bCs/>
                <w:sz w:val="21"/>
                <w:szCs w:val="21"/>
              </w:rPr>
              <w:t>投标人中标后应按其投标文件中的承诺，进行其他售后服务工作。</w:t>
            </w:r>
          </w:p>
        </w:tc>
      </w:tr>
    </w:tbl>
    <w:p w14:paraId="3567533B">
      <w:pPr>
        <w:widowControl w:val="0"/>
        <w:ind w:firstLine="422" w:firstLineChars="200"/>
        <w:jc w:val="both"/>
        <w:rPr>
          <w:rFonts w:hint="eastAsia" w:ascii="Calibri" w:hAnsi="Calibri" w:eastAsia="宋体"/>
          <w:b/>
          <w:kern w:val="2"/>
          <w:sz w:val="21"/>
          <w:szCs w:val="21"/>
          <w:lang w:eastAsia="zh-CN"/>
        </w:rPr>
      </w:pPr>
    </w:p>
    <w:p w14:paraId="71CD9C7E">
      <w:pPr>
        <w:keepNext/>
        <w:keepLines/>
        <w:widowControl w:val="0"/>
        <w:tabs>
          <w:tab w:val="left" w:pos="1680"/>
        </w:tabs>
        <w:spacing w:before="260" w:after="60" w:afterLines="25"/>
        <w:jc w:val="center"/>
        <w:outlineLvl w:val="2"/>
        <w:rPr>
          <w:rFonts w:ascii="Arial" w:hAnsi="Arial" w:eastAsia="宋体"/>
          <w:b/>
          <w:bCs/>
          <w:kern w:val="2"/>
          <w:sz w:val="32"/>
          <w:szCs w:val="32"/>
          <w:lang w:eastAsia="zh-CN"/>
        </w:rPr>
      </w:pPr>
      <w:r>
        <w:rPr>
          <w:rFonts w:hint="eastAsia" w:ascii="Arial" w:hAnsi="Arial" w:eastAsia="宋体"/>
          <w:b/>
          <w:bCs/>
          <w:kern w:val="2"/>
          <w:sz w:val="32"/>
          <w:szCs w:val="32"/>
          <w:lang w:eastAsia="zh-CN"/>
        </w:rPr>
        <w:t>五、技术要求</w:t>
      </w:r>
    </w:p>
    <w:p w14:paraId="4A3C578B">
      <w:pPr>
        <w:widowControl w:val="0"/>
        <w:jc w:val="both"/>
        <w:rPr>
          <w:rFonts w:hint="eastAsia" w:ascii="Calibri" w:hAnsi="Calibri" w:eastAsia="宋体"/>
          <w:b/>
          <w:color w:val="000000"/>
          <w:kern w:val="2"/>
          <w:sz w:val="21"/>
          <w:szCs w:val="21"/>
          <w:lang w:eastAsia="zh-CN"/>
        </w:rPr>
      </w:pPr>
      <w:r>
        <w:rPr>
          <w:rFonts w:hint="eastAsia" w:ascii="Calibri" w:hAnsi="Calibri" w:eastAsia="宋体" w:cstheme="minorBidi"/>
          <w:b/>
          <w:color w:val="000000"/>
          <w:kern w:val="2"/>
          <w:sz w:val="21"/>
          <w:szCs w:val="21"/>
          <w:lang w:eastAsia="zh-CN"/>
        </w:rPr>
        <w:t>说明：</w:t>
      </w:r>
    </w:p>
    <w:p w14:paraId="4589BBF4">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Calibri" w:hAnsi="Calibri" w:eastAsia="宋体"/>
          <w:bCs/>
          <w:kern w:val="2"/>
          <w:sz w:val="21"/>
          <w:szCs w:val="21"/>
          <w:lang w:eastAsia="zh-CN"/>
        </w:rPr>
      </w:pPr>
      <w:r>
        <w:rPr>
          <w:rFonts w:hint="eastAsia" w:ascii="Calibri" w:hAnsi="Calibri" w:eastAsia="宋体" w:cstheme="minorBidi"/>
          <w:bCs/>
          <w:kern w:val="2"/>
          <w:sz w:val="21"/>
          <w:szCs w:val="21"/>
          <w:lang w:eastAsia="zh-CN"/>
        </w:rPr>
        <w:t>1、</w:t>
      </w:r>
      <w:r>
        <w:rPr>
          <w:rFonts w:hint="eastAsia" w:ascii="Calibri" w:hAnsi="Calibri" w:eastAsia="宋体" w:cstheme="minorBidi"/>
          <w:bCs/>
          <w:kern w:val="2"/>
          <w:sz w:val="21"/>
          <w:szCs w:val="22"/>
          <w:lang w:eastAsia="zh-CN"/>
        </w:rPr>
        <w:t>评分时，如对一项招标技术要求（以划分框为准）中的内容存在两处（或以上）负偏离的，在评分时只作一项负偏离扣分。</w:t>
      </w:r>
    </w:p>
    <w:p w14:paraId="4208BA02">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420" w:firstLineChars="200"/>
        <w:jc w:val="both"/>
        <w:textAlignment w:val="auto"/>
        <w:rPr>
          <w:rFonts w:hint="eastAsia" w:ascii="宋体" w:hAnsi="宋体" w:eastAsia="宋体" w:cs="宋体"/>
          <w:bCs/>
          <w:kern w:val="2"/>
          <w:sz w:val="21"/>
          <w:szCs w:val="21"/>
          <w:highlight w:val="yellow"/>
          <w:lang w:eastAsia="zh-CN"/>
        </w:rPr>
      </w:pPr>
      <w:r>
        <w:rPr>
          <w:rFonts w:hint="eastAsia" w:ascii="宋体" w:hAnsi="宋体" w:eastAsia="宋体" w:cs="宋体"/>
          <w:bCs/>
          <w:kern w:val="2"/>
          <w:sz w:val="21"/>
          <w:szCs w:val="21"/>
          <w:lang w:eastAsia="zh-CN"/>
        </w:rPr>
        <w:t>2、带★号条款为不可负偏离条款，不作为评分准则中的评分内容，如未响应或出现负偏离的，将作投标无效处理。带▲号参数为重要参数，其他参数（非▲号参数）为普通参数，如出现负偏离，将按照评分准则做扣分处理。如注明要求提供相关佐证材料的，需以佐证材料作为是否偏离的依据。</w:t>
      </w:r>
    </w:p>
    <w:tbl>
      <w:tblPr>
        <w:tblStyle w:val="7"/>
        <w:tblW w:w="5000" w:type="pct"/>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012"/>
        <w:gridCol w:w="7154"/>
      </w:tblGrid>
      <w:tr w14:paraId="099B9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noWrap w:val="0"/>
            <w:vAlign w:val="center"/>
          </w:tcPr>
          <w:p w14:paraId="0A15F5ED">
            <w:pPr>
              <w:jc w:val="center"/>
              <w:rPr>
                <w:rFonts w:hint="eastAsia" w:ascii="宋体" w:hAnsi="宋体" w:eastAsia="宋体" w:cs="宋体"/>
                <w:b/>
                <w:bCs/>
                <w:sz w:val="21"/>
                <w:szCs w:val="21"/>
              </w:rPr>
            </w:pPr>
            <w:r>
              <w:rPr>
                <w:rFonts w:hint="eastAsia" w:ascii="宋体" w:hAnsi="宋体" w:eastAsia="宋体" w:cs="宋体"/>
                <w:b/>
                <w:bCs/>
                <w:sz w:val="21"/>
                <w:szCs w:val="21"/>
              </w:rPr>
              <w:t>序号</w:t>
            </w:r>
          </w:p>
        </w:tc>
        <w:tc>
          <w:tcPr>
            <w:tcW w:w="1047" w:type="dxa"/>
            <w:noWrap w:val="0"/>
            <w:vAlign w:val="center"/>
          </w:tcPr>
          <w:p w14:paraId="2EC85C65">
            <w:pPr>
              <w:widowControl/>
              <w:jc w:val="center"/>
              <w:rPr>
                <w:rFonts w:hint="eastAsia" w:ascii="宋体" w:hAnsi="宋体" w:eastAsia="宋体" w:cs="宋体"/>
                <w:b/>
                <w:bCs/>
                <w:sz w:val="21"/>
                <w:szCs w:val="21"/>
              </w:rPr>
            </w:pPr>
            <w:r>
              <w:rPr>
                <w:rFonts w:hint="eastAsia" w:ascii="宋体" w:hAnsi="宋体" w:eastAsia="宋体" w:cs="宋体"/>
                <w:b/>
                <w:bCs/>
                <w:sz w:val="21"/>
                <w:szCs w:val="21"/>
              </w:rPr>
              <w:t>货物名称</w:t>
            </w:r>
          </w:p>
        </w:tc>
        <w:tc>
          <w:tcPr>
            <w:tcW w:w="7464" w:type="dxa"/>
            <w:noWrap w:val="0"/>
            <w:vAlign w:val="center"/>
          </w:tcPr>
          <w:p w14:paraId="0F7DA8E8">
            <w:pPr>
              <w:jc w:val="center"/>
              <w:rPr>
                <w:rFonts w:hint="eastAsia" w:ascii="宋体" w:hAnsi="宋体" w:eastAsia="宋体" w:cs="宋体"/>
                <w:b/>
                <w:bCs/>
                <w:sz w:val="21"/>
                <w:szCs w:val="21"/>
              </w:rPr>
            </w:pPr>
            <w:r>
              <w:rPr>
                <w:rFonts w:hint="eastAsia" w:ascii="宋体" w:hAnsi="宋体" w:eastAsia="宋体" w:cs="宋体"/>
                <w:b/>
                <w:bCs/>
                <w:sz w:val="21"/>
                <w:szCs w:val="21"/>
              </w:rPr>
              <w:t>招标技术要求</w:t>
            </w:r>
          </w:p>
        </w:tc>
      </w:tr>
      <w:tr w14:paraId="3A751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Merge w:val="restart"/>
            <w:noWrap w:val="0"/>
            <w:vAlign w:val="center"/>
          </w:tcPr>
          <w:p w14:paraId="2FD8BFBD">
            <w:pPr>
              <w:jc w:val="center"/>
              <w:rPr>
                <w:rFonts w:hint="eastAsia" w:ascii="宋体" w:hAnsi="宋体" w:eastAsia="宋体" w:cs="宋体"/>
                <w:b/>
                <w:sz w:val="21"/>
                <w:szCs w:val="21"/>
              </w:rPr>
            </w:pPr>
            <w:r>
              <w:rPr>
                <w:rFonts w:hint="eastAsia" w:ascii="宋体" w:hAnsi="宋体" w:eastAsia="宋体" w:cs="宋体"/>
                <w:color w:val="000000"/>
                <w:sz w:val="21"/>
                <w:szCs w:val="21"/>
              </w:rPr>
              <w:t>1</w:t>
            </w:r>
          </w:p>
        </w:tc>
        <w:tc>
          <w:tcPr>
            <w:tcW w:w="1047" w:type="dxa"/>
            <w:vMerge w:val="restart"/>
            <w:noWrap w:val="0"/>
            <w:vAlign w:val="center"/>
          </w:tcPr>
          <w:p w14:paraId="062CD803">
            <w:pPr>
              <w:jc w:val="left"/>
              <w:rPr>
                <w:rFonts w:hint="eastAsia" w:ascii="宋体" w:hAnsi="宋体" w:eastAsia="宋体" w:cs="宋体"/>
                <w:b/>
                <w:sz w:val="21"/>
                <w:szCs w:val="21"/>
              </w:rPr>
            </w:pPr>
            <w:r>
              <w:rPr>
                <w:rFonts w:hint="eastAsia" w:ascii="宋体" w:hAnsi="宋体" w:eastAsia="宋体" w:cs="宋体"/>
                <w:sz w:val="21"/>
                <w:szCs w:val="21"/>
              </w:rPr>
              <w:t>监控视频存储</w:t>
            </w:r>
          </w:p>
        </w:tc>
        <w:tc>
          <w:tcPr>
            <w:tcW w:w="7464" w:type="dxa"/>
            <w:noWrap w:val="0"/>
            <w:vAlign w:val="center"/>
          </w:tcPr>
          <w:p w14:paraId="2C9D5D83">
            <w:pPr>
              <w:rPr>
                <w:rFonts w:hint="eastAsia" w:ascii="宋体" w:hAnsi="宋体" w:eastAsia="宋体" w:cs="宋体"/>
                <w:b/>
                <w:sz w:val="21"/>
                <w:szCs w:val="21"/>
              </w:rPr>
            </w:pPr>
            <w:r>
              <w:rPr>
                <w:rFonts w:hint="eastAsia" w:ascii="宋体" w:hAnsi="宋体" w:eastAsia="宋体" w:cs="宋体"/>
                <w:color w:val="000000"/>
                <w:sz w:val="21"/>
                <w:szCs w:val="21"/>
              </w:rPr>
              <w:t>1、配置：≥1颗64位多核处理器，≥4GB内存，内存支持扩展到≥64GB，可以扩展到≥2个SSD作为缓盘，可支持 ≥6个风扇，风扇支持热插拔并可冗余温控调速，采用可热插拔 1+1AC220V 电源</w:t>
            </w:r>
          </w:p>
        </w:tc>
      </w:tr>
      <w:tr w14:paraId="651D7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Merge w:val="continue"/>
            <w:noWrap w:val="0"/>
            <w:vAlign w:val="center"/>
          </w:tcPr>
          <w:p w14:paraId="28009EA9">
            <w:pPr>
              <w:jc w:val="center"/>
              <w:rPr>
                <w:rFonts w:hint="eastAsia" w:ascii="宋体" w:hAnsi="宋体" w:eastAsia="宋体" w:cs="宋体"/>
                <w:b/>
                <w:sz w:val="21"/>
                <w:szCs w:val="21"/>
              </w:rPr>
            </w:pPr>
          </w:p>
        </w:tc>
        <w:tc>
          <w:tcPr>
            <w:tcW w:w="1047" w:type="dxa"/>
            <w:vMerge w:val="continue"/>
            <w:noWrap w:val="0"/>
            <w:vAlign w:val="center"/>
          </w:tcPr>
          <w:p w14:paraId="77E0E36B">
            <w:pPr>
              <w:jc w:val="left"/>
              <w:rPr>
                <w:rFonts w:hint="eastAsia" w:ascii="宋体" w:hAnsi="宋体" w:eastAsia="宋体" w:cs="宋体"/>
                <w:b/>
                <w:sz w:val="21"/>
                <w:szCs w:val="21"/>
              </w:rPr>
            </w:pPr>
          </w:p>
        </w:tc>
        <w:tc>
          <w:tcPr>
            <w:tcW w:w="7464" w:type="dxa"/>
            <w:noWrap w:val="0"/>
            <w:vAlign w:val="center"/>
          </w:tcPr>
          <w:p w14:paraId="44D33F48">
            <w:pPr>
              <w:rPr>
                <w:rFonts w:hint="eastAsia" w:ascii="宋体" w:hAnsi="宋体" w:eastAsia="宋体" w:cs="宋体"/>
                <w:b/>
                <w:sz w:val="21"/>
                <w:szCs w:val="21"/>
              </w:rPr>
            </w:pPr>
            <w:r>
              <w:rPr>
                <w:rFonts w:hint="eastAsia" w:ascii="宋体" w:hAnsi="宋体" w:eastAsia="宋体" w:cs="宋体"/>
                <w:color w:val="000000"/>
                <w:sz w:val="21"/>
                <w:szCs w:val="21"/>
              </w:rPr>
              <w:t>2、支持红灯/蓝灯报警，可根据故障紧急程度分级报警，不同级别闪烁不同颜色保养灯，保养灯闪烁时长、频率可设</w:t>
            </w:r>
          </w:p>
        </w:tc>
      </w:tr>
      <w:tr w14:paraId="1EE36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Merge w:val="continue"/>
            <w:noWrap w:val="0"/>
            <w:vAlign w:val="center"/>
          </w:tcPr>
          <w:p w14:paraId="6999443D">
            <w:pPr>
              <w:jc w:val="center"/>
              <w:rPr>
                <w:rFonts w:hint="eastAsia" w:ascii="宋体" w:hAnsi="宋体" w:eastAsia="宋体" w:cs="宋体"/>
                <w:b/>
                <w:sz w:val="21"/>
                <w:szCs w:val="21"/>
              </w:rPr>
            </w:pPr>
          </w:p>
        </w:tc>
        <w:tc>
          <w:tcPr>
            <w:tcW w:w="1047" w:type="dxa"/>
            <w:vMerge w:val="continue"/>
            <w:noWrap w:val="0"/>
            <w:vAlign w:val="center"/>
          </w:tcPr>
          <w:p w14:paraId="35564C60">
            <w:pPr>
              <w:jc w:val="left"/>
              <w:rPr>
                <w:rFonts w:hint="eastAsia" w:ascii="宋体" w:hAnsi="宋体" w:eastAsia="宋体" w:cs="宋体"/>
                <w:b/>
                <w:sz w:val="21"/>
                <w:szCs w:val="21"/>
              </w:rPr>
            </w:pPr>
          </w:p>
        </w:tc>
        <w:tc>
          <w:tcPr>
            <w:tcW w:w="7464" w:type="dxa"/>
            <w:noWrap w:val="0"/>
            <w:vAlign w:val="center"/>
          </w:tcPr>
          <w:p w14:paraId="2E3513D9">
            <w:pPr>
              <w:rPr>
                <w:rFonts w:hint="eastAsia" w:ascii="宋体" w:hAnsi="宋体" w:eastAsia="宋体" w:cs="宋体"/>
                <w:b/>
                <w:sz w:val="21"/>
                <w:szCs w:val="21"/>
              </w:rPr>
            </w:pPr>
            <w:r>
              <w:rPr>
                <w:rFonts w:hint="eastAsia" w:ascii="宋体" w:hAnsi="宋体" w:eastAsia="宋体" w:cs="宋体"/>
                <w:color w:val="000000"/>
                <w:sz w:val="21"/>
                <w:szCs w:val="21"/>
              </w:rPr>
              <w:t>3、标配≥2个千兆网口，支持 PCI-E3.0 插槽，可扩展 RS485 接口、eSATA 接口，可扩展至≥7个千兆网口或增配≥2个10Gb/25Gb光纤接口或增配≥4个8Gb/16Gb光纤接口或增配≥4个HDMI接口或增配≥3个Mini SAS HD接口，可支持 PCI-E X16和 PCI-E X8 ，可支持≥12GB SAS扩展口</w:t>
            </w:r>
          </w:p>
        </w:tc>
      </w:tr>
      <w:tr w14:paraId="2F2DB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Merge w:val="continue"/>
            <w:noWrap w:val="0"/>
            <w:vAlign w:val="center"/>
          </w:tcPr>
          <w:p w14:paraId="2B9C4404">
            <w:pPr>
              <w:jc w:val="center"/>
              <w:rPr>
                <w:rFonts w:hint="eastAsia" w:ascii="宋体" w:hAnsi="宋体" w:eastAsia="宋体" w:cs="宋体"/>
                <w:b/>
                <w:sz w:val="21"/>
                <w:szCs w:val="21"/>
              </w:rPr>
            </w:pPr>
          </w:p>
        </w:tc>
        <w:tc>
          <w:tcPr>
            <w:tcW w:w="1047" w:type="dxa"/>
            <w:vMerge w:val="continue"/>
            <w:noWrap w:val="0"/>
            <w:vAlign w:val="center"/>
          </w:tcPr>
          <w:p w14:paraId="0BF24F82">
            <w:pPr>
              <w:jc w:val="left"/>
              <w:rPr>
                <w:rFonts w:hint="eastAsia" w:ascii="宋体" w:hAnsi="宋体" w:eastAsia="宋体" w:cs="宋体"/>
                <w:b/>
                <w:sz w:val="21"/>
                <w:szCs w:val="21"/>
              </w:rPr>
            </w:pPr>
          </w:p>
        </w:tc>
        <w:tc>
          <w:tcPr>
            <w:tcW w:w="7464" w:type="dxa"/>
            <w:noWrap w:val="0"/>
            <w:vAlign w:val="center"/>
          </w:tcPr>
          <w:p w14:paraId="04ADBF58">
            <w:pPr>
              <w:rPr>
                <w:rFonts w:hint="eastAsia" w:ascii="宋体" w:hAnsi="宋体" w:eastAsia="宋体" w:cs="宋体"/>
                <w:b/>
                <w:sz w:val="21"/>
                <w:szCs w:val="21"/>
              </w:rPr>
            </w:pPr>
            <w:r>
              <w:rPr>
                <w:rFonts w:hint="eastAsia" w:ascii="宋体" w:hAnsi="宋体" w:eastAsia="宋体" w:cs="宋体"/>
                <w:color w:val="000000"/>
                <w:sz w:val="21"/>
                <w:szCs w:val="21"/>
              </w:rPr>
              <w:t>4、可接入2T/3T/4T/6T/8T/10T/12T/14T/16T/18T/20T/25T/26T SATA/SAS硬盘；支持NL-SAS 硬盘、HDD硬盘、SSD硬盘、氦气硬盘、空气硬盘；支持 CMR或SMR硬盘；支持硬盘交错/分时启动，节省功耗。</w:t>
            </w:r>
          </w:p>
        </w:tc>
      </w:tr>
      <w:tr w14:paraId="084BD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Merge w:val="continue"/>
            <w:noWrap w:val="0"/>
            <w:vAlign w:val="center"/>
          </w:tcPr>
          <w:p w14:paraId="05599937">
            <w:pPr>
              <w:jc w:val="center"/>
              <w:rPr>
                <w:rFonts w:hint="eastAsia" w:ascii="宋体" w:hAnsi="宋体" w:eastAsia="宋体" w:cs="宋体"/>
                <w:b/>
                <w:sz w:val="21"/>
                <w:szCs w:val="21"/>
              </w:rPr>
            </w:pPr>
          </w:p>
        </w:tc>
        <w:tc>
          <w:tcPr>
            <w:tcW w:w="1047" w:type="dxa"/>
            <w:vMerge w:val="continue"/>
            <w:noWrap w:val="0"/>
            <w:vAlign w:val="center"/>
          </w:tcPr>
          <w:p w14:paraId="25C0005D">
            <w:pPr>
              <w:jc w:val="left"/>
              <w:rPr>
                <w:rFonts w:hint="eastAsia" w:ascii="宋体" w:hAnsi="宋体" w:eastAsia="宋体" w:cs="宋体"/>
                <w:b/>
                <w:sz w:val="21"/>
                <w:szCs w:val="21"/>
              </w:rPr>
            </w:pPr>
          </w:p>
        </w:tc>
        <w:tc>
          <w:tcPr>
            <w:tcW w:w="7464" w:type="dxa"/>
            <w:noWrap w:val="0"/>
            <w:vAlign w:val="center"/>
          </w:tcPr>
          <w:p w14:paraId="30D5C2D3">
            <w:pPr>
              <w:rPr>
                <w:rFonts w:hint="eastAsia" w:ascii="宋体" w:hAnsi="宋体" w:eastAsia="宋体" w:cs="宋体"/>
                <w:b/>
                <w:sz w:val="21"/>
                <w:szCs w:val="21"/>
              </w:rPr>
            </w:pPr>
            <w:r>
              <w:rPr>
                <w:rFonts w:hint="eastAsia" w:ascii="宋体" w:hAnsi="宋体" w:eastAsia="宋体" w:cs="宋体"/>
                <w:sz w:val="21"/>
                <w:szCs w:val="21"/>
              </w:rPr>
              <w:t>▲</w:t>
            </w:r>
            <w:r>
              <w:rPr>
                <w:rFonts w:hint="eastAsia" w:ascii="宋体" w:hAnsi="宋体" w:eastAsia="宋体" w:cs="宋体"/>
                <w:color w:val="000000"/>
                <w:sz w:val="21"/>
                <w:szCs w:val="21"/>
              </w:rPr>
              <w:t>5、支持国际GB/T 28181和Onvif视频流直存模式；支持iSCSI直存功能，前端网络摄像机和设备之间可直接通过iSCSI协议进行块存储；</w:t>
            </w:r>
            <w:r>
              <w:rPr>
                <w:rFonts w:hint="eastAsia" w:ascii="宋体" w:hAnsi="宋体" w:eastAsia="宋体" w:cs="宋体"/>
                <w:b/>
                <w:bCs/>
                <w:color w:val="000000"/>
                <w:sz w:val="21"/>
                <w:szCs w:val="21"/>
              </w:rPr>
              <w:t>（需提供拥有CMA认证标识的第三方检测机构出具检测报告扫描件，</w:t>
            </w:r>
            <w:r>
              <w:rPr>
                <w:rFonts w:hint="eastAsia" w:ascii="宋体" w:hAnsi="宋体" w:eastAsia="宋体" w:cs="宋体"/>
                <w:b/>
                <w:bCs/>
                <w:sz w:val="21"/>
                <w:szCs w:val="21"/>
              </w:rPr>
              <w:t>要求内容能体现满足上述参数要求。检测报告需提供全国认证认可信息公共服务平台网站（http://cx.cnca.cn/CertECloud/qts/qts/qtsPage）查询截图作为证明材料）</w:t>
            </w:r>
          </w:p>
        </w:tc>
      </w:tr>
      <w:tr w14:paraId="7E772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Merge w:val="continue"/>
            <w:noWrap w:val="0"/>
            <w:vAlign w:val="center"/>
          </w:tcPr>
          <w:p w14:paraId="3D635465">
            <w:pPr>
              <w:jc w:val="center"/>
              <w:rPr>
                <w:rFonts w:hint="eastAsia" w:ascii="宋体" w:hAnsi="宋体" w:eastAsia="宋体" w:cs="宋体"/>
                <w:b/>
                <w:sz w:val="21"/>
                <w:szCs w:val="21"/>
              </w:rPr>
            </w:pPr>
          </w:p>
        </w:tc>
        <w:tc>
          <w:tcPr>
            <w:tcW w:w="1047" w:type="dxa"/>
            <w:vMerge w:val="continue"/>
            <w:noWrap w:val="0"/>
            <w:vAlign w:val="center"/>
          </w:tcPr>
          <w:p w14:paraId="1A94F739">
            <w:pPr>
              <w:jc w:val="left"/>
              <w:rPr>
                <w:rFonts w:hint="eastAsia" w:ascii="宋体" w:hAnsi="宋体" w:eastAsia="宋体" w:cs="宋体"/>
                <w:b/>
                <w:sz w:val="21"/>
                <w:szCs w:val="21"/>
              </w:rPr>
            </w:pPr>
          </w:p>
        </w:tc>
        <w:tc>
          <w:tcPr>
            <w:tcW w:w="7464" w:type="dxa"/>
            <w:noWrap w:val="0"/>
            <w:vAlign w:val="center"/>
          </w:tcPr>
          <w:p w14:paraId="5BDAE16E">
            <w:pPr>
              <w:rPr>
                <w:rFonts w:hint="eastAsia" w:ascii="宋体" w:hAnsi="宋体" w:eastAsia="宋体" w:cs="宋体"/>
                <w:b/>
                <w:sz w:val="21"/>
                <w:szCs w:val="21"/>
              </w:rPr>
            </w:pPr>
            <w:r>
              <w:rPr>
                <w:rFonts w:hint="eastAsia" w:ascii="宋体" w:hAnsi="宋体" w:eastAsia="宋体" w:cs="宋体"/>
                <w:sz w:val="21"/>
                <w:szCs w:val="21"/>
              </w:rPr>
              <w:t>▲</w:t>
            </w:r>
            <w:r>
              <w:rPr>
                <w:rFonts w:hint="eastAsia" w:ascii="宋体" w:hAnsi="宋体" w:eastAsia="宋体" w:cs="宋体"/>
                <w:color w:val="000000"/>
                <w:sz w:val="21"/>
                <w:szCs w:val="21"/>
              </w:rPr>
              <w:t>6、支持查看硬盘体检的历史记录、硬盘健康状态，并对硬盘健康状态进行分级分类，包括健康（良好、正常）、亚健康（警告、即将损坏）、故障（错误、损坏）等；支持硬盘体检报告打印输出；</w:t>
            </w:r>
            <w:r>
              <w:rPr>
                <w:rFonts w:hint="eastAsia" w:ascii="宋体" w:hAnsi="宋体" w:eastAsia="宋体" w:cs="宋体"/>
                <w:b/>
                <w:bCs/>
                <w:color w:val="000000"/>
                <w:sz w:val="21"/>
                <w:szCs w:val="21"/>
              </w:rPr>
              <w:t>（需提供拥有CMA认证标识的第三方检测机构出具检测报告扫描件，</w:t>
            </w:r>
            <w:r>
              <w:rPr>
                <w:rFonts w:hint="eastAsia" w:ascii="宋体" w:hAnsi="宋体" w:eastAsia="宋体" w:cs="宋体"/>
                <w:b/>
                <w:bCs/>
                <w:sz w:val="21"/>
                <w:szCs w:val="21"/>
              </w:rPr>
              <w:t>要求内容能体现满足上述参数要求。检测报告需提供全国认证认可信息公共服务平台网站（http://cx.cnca.cn/CertECloud/qts/qts/qtsPage）查询截图作为证明材料）</w:t>
            </w:r>
          </w:p>
        </w:tc>
      </w:tr>
      <w:tr w14:paraId="633FE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Merge w:val="continue"/>
            <w:noWrap w:val="0"/>
            <w:vAlign w:val="center"/>
          </w:tcPr>
          <w:p w14:paraId="15D72880">
            <w:pPr>
              <w:jc w:val="center"/>
              <w:rPr>
                <w:rFonts w:hint="eastAsia" w:ascii="宋体" w:hAnsi="宋体" w:eastAsia="宋体" w:cs="宋体"/>
                <w:b/>
                <w:sz w:val="21"/>
                <w:szCs w:val="21"/>
              </w:rPr>
            </w:pPr>
          </w:p>
        </w:tc>
        <w:tc>
          <w:tcPr>
            <w:tcW w:w="1047" w:type="dxa"/>
            <w:vMerge w:val="continue"/>
            <w:noWrap w:val="0"/>
            <w:vAlign w:val="center"/>
          </w:tcPr>
          <w:p w14:paraId="04C3B9A1">
            <w:pPr>
              <w:jc w:val="left"/>
              <w:rPr>
                <w:rFonts w:hint="eastAsia" w:ascii="宋体" w:hAnsi="宋体" w:eastAsia="宋体" w:cs="宋体"/>
                <w:b/>
                <w:sz w:val="21"/>
                <w:szCs w:val="21"/>
              </w:rPr>
            </w:pPr>
          </w:p>
        </w:tc>
        <w:tc>
          <w:tcPr>
            <w:tcW w:w="7464" w:type="dxa"/>
            <w:noWrap w:val="0"/>
            <w:vAlign w:val="center"/>
          </w:tcPr>
          <w:p w14:paraId="71FB5F6F">
            <w:pPr>
              <w:rPr>
                <w:rFonts w:hint="eastAsia" w:ascii="宋体" w:hAnsi="宋体" w:eastAsia="宋体" w:cs="宋体"/>
                <w:b/>
                <w:sz w:val="21"/>
                <w:szCs w:val="21"/>
              </w:rPr>
            </w:pPr>
            <w:r>
              <w:rPr>
                <w:rFonts w:hint="eastAsia" w:ascii="宋体" w:hAnsi="宋体" w:eastAsia="宋体" w:cs="宋体"/>
                <w:color w:val="000000"/>
                <w:sz w:val="21"/>
                <w:szCs w:val="21"/>
              </w:rPr>
              <w:t>7、支持内存资源动态调节，根据业务需求进行自动分配，当业务压力增加时，内存自动分配</w:t>
            </w:r>
          </w:p>
        </w:tc>
      </w:tr>
      <w:tr w14:paraId="08C28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Merge w:val="continue"/>
            <w:noWrap w:val="0"/>
            <w:vAlign w:val="center"/>
          </w:tcPr>
          <w:p w14:paraId="39D417B8">
            <w:pPr>
              <w:jc w:val="center"/>
              <w:rPr>
                <w:rFonts w:hint="eastAsia" w:ascii="宋体" w:hAnsi="宋体" w:eastAsia="宋体" w:cs="宋体"/>
                <w:b/>
                <w:sz w:val="21"/>
                <w:szCs w:val="21"/>
              </w:rPr>
            </w:pPr>
          </w:p>
        </w:tc>
        <w:tc>
          <w:tcPr>
            <w:tcW w:w="1047" w:type="dxa"/>
            <w:vMerge w:val="continue"/>
            <w:noWrap w:val="0"/>
            <w:vAlign w:val="center"/>
          </w:tcPr>
          <w:p w14:paraId="407FFA51">
            <w:pPr>
              <w:jc w:val="left"/>
              <w:rPr>
                <w:rFonts w:hint="eastAsia" w:ascii="宋体" w:hAnsi="宋体" w:eastAsia="宋体" w:cs="宋体"/>
                <w:b/>
                <w:sz w:val="21"/>
                <w:szCs w:val="21"/>
              </w:rPr>
            </w:pPr>
          </w:p>
        </w:tc>
        <w:tc>
          <w:tcPr>
            <w:tcW w:w="7464" w:type="dxa"/>
            <w:noWrap w:val="0"/>
            <w:vAlign w:val="center"/>
          </w:tcPr>
          <w:p w14:paraId="11C590C0">
            <w:pPr>
              <w:rPr>
                <w:rFonts w:hint="eastAsia" w:ascii="宋体" w:hAnsi="宋体" w:eastAsia="宋体" w:cs="宋体"/>
                <w:bCs/>
                <w:sz w:val="21"/>
                <w:szCs w:val="21"/>
              </w:rPr>
            </w:pPr>
            <w:r>
              <w:rPr>
                <w:rFonts w:hint="eastAsia" w:ascii="宋体" w:hAnsi="宋体" w:eastAsia="宋体" w:cs="宋体"/>
                <w:color w:val="000000"/>
                <w:sz w:val="21"/>
                <w:szCs w:val="21"/>
              </w:rPr>
              <w:t>8、支持通过IE、火狐、Google、QQ、360、遨游、搜狗、百度、猎豹、欧朋浏览器对样机进行操作；对单个或多个设备或设备内的磁盘进行定位，并可设置时间，支持存储硬盘出现故障，对应硬盘槽位有报警灯光提示</w:t>
            </w:r>
          </w:p>
        </w:tc>
      </w:tr>
      <w:tr w14:paraId="33047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Merge w:val="restart"/>
            <w:noWrap w:val="0"/>
            <w:vAlign w:val="center"/>
          </w:tcPr>
          <w:p w14:paraId="6CF38B18">
            <w:pPr>
              <w:jc w:val="center"/>
              <w:rPr>
                <w:rFonts w:hint="eastAsia" w:ascii="宋体" w:hAnsi="宋体" w:eastAsia="宋体" w:cs="宋体"/>
                <w:b/>
                <w:sz w:val="21"/>
                <w:szCs w:val="21"/>
              </w:rPr>
            </w:pPr>
            <w:r>
              <w:rPr>
                <w:rFonts w:hint="eastAsia" w:ascii="宋体" w:hAnsi="宋体" w:eastAsia="宋体" w:cs="宋体"/>
                <w:color w:val="000000"/>
                <w:sz w:val="21"/>
                <w:szCs w:val="21"/>
              </w:rPr>
              <w:t>2</w:t>
            </w:r>
          </w:p>
        </w:tc>
        <w:tc>
          <w:tcPr>
            <w:tcW w:w="1047" w:type="dxa"/>
            <w:vMerge w:val="restart"/>
            <w:noWrap w:val="0"/>
            <w:vAlign w:val="center"/>
          </w:tcPr>
          <w:p w14:paraId="268DF4A2">
            <w:pPr>
              <w:jc w:val="left"/>
              <w:rPr>
                <w:rFonts w:hint="eastAsia" w:ascii="宋体" w:hAnsi="宋体" w:eastAsia="宋体" w:cs="宋体"/>
                <w:b/>
                <w:sz w:val="21"/>
                <w:szCs w:val="21"/>
              </w:rPr>
            </w:pPr>
            <w:r>
              <w:rPr>
                <w:rFonts w:hint="eastAsia" w:ascii="宋体" w:hAnsi="宋体" w:eastAsia="宋体" w:cs="宋体"/>
                <w:color w:val="000000"/>
                <w:sz w:val="21"/>
                <w:szCs w:val="21"/>
              </w:rPr>
              <w:t>黑光枪型摄像头</w:t>
            </w:r>
          </w:p>
        </w:tc>
        <w:tc>
          <w:tcPr>
            <w:tcW w:w="7464" w:type="dxa"/>
            <w:noWrap w:val="0"/>
            <w:vAlign w:val="center"/>
          </w:tcPr>
          <w:p w14:paraId="24F5F197">
            <w:pPr>
              <w:rPr>
                <w:rFonts w:hint="eastAsia" w:ascii="宋体" w:hAnsi="宋体" w:eastAsia="宋体" w:cs="宋体"/>
                <w:b/>
                <w:sz w:val="21"/>
                <w:szCs w:val="21"/>
              </w:rPr>
            </w:pPr>
            <w:r>
              <w:rPr>
                <w:rFonts w:hint="eastAsia" w:ascii="宋体" w:hAnsi="宋体" w:eastAsia="宋体" w:cs="宋体"/>
                <w:color w:val="000000"/>
                <w:sz w:val="21"/>
                <w:szCs w:val="21"/>
              </w:rPr>
              <w:t>1、分辨率设置为≥2560×1440@25fps，分辨力不小于1400TVL；</w:t>
            </w:r>
          </w:p>
        </w:tc>
      </w:tr>
      <w:tr w14:paraId="0B485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Merge w:val="continue"/>
            <w:noWrap w:val="0"/>
            <w:vAlign w:val="center"/>
          </w:tcPr>
          <w:p w14:paraId="36E26A3C">
            <w:pPr>
              <w:jc w:val="center"/>
              <w:rPr>
                <w:rFonts w:hint="eastAsia" w:ascii="宋体" w:hAnsi="宋体" w:eastAsia="宋体" w:cs="宋体"/>
                <w:color w:val="000000"/>
                <w:sz w:val="21"/>
                <w:szCs w:val="21"/>
              </w:rPr>
            </w:pPr>
          </w:p>
        </w:tc>
        <w:tc>
          <w:tcPr>
            <w:tcW w:w="1047" w:type="dxa"/>
            <w:vMerge w:val="continue"/>
            <w:noWrap w:val="0"/>
            <w:vAlign w:val="center"/>
          </w:tcPr>
          <w:p w14:paraId="7BD13964">
            <w:pPr>
              <w:jc w:val="left"/>
              <w:rPr>
                <w:rFonts w:hint="eastAsia" w:ascii="宋体" w:hAnsi="宋体" w:eastAsia="宋体" w:cs="宋体"/>
                <w:color w:val="000000"/>
                <w:sz w:val="21"/>
                <w:szCs w:val="21"/>
              </w:rPr>
            </w:pPr>
          </w:p>
        </w:tc>
        <w:tc>
          <w:tcPr>
            <w:tcW w:w="7464" w:type="dxa"/>
            <w:noWrap w:val="0"/>
            <w:vAlign w:val="center"/>
          </w:tcPr>
          <w:p w14:paraId="27AC3E9C">
            <w:pPr>
              <w:rPr>
                <w:rFonts w:hint="eastAsia" w:ascii="宋体" w:hAnsi="宋体" w:eastAsia="宋体" w:cs="宋体"/>
                <w:b/>
                <w:sz w:val="21"/>
                <w:szCs w:val="21"/>
              </w:rPr>
            </w:pPr>
            <w:r>
              <w:rPr>
                <w:rFonts w:hint="eastAsia" w:ascii="宋体" w:hAnsi="宋体" w:eastAsia="宋体" w:cs="宋体"/>
                <w:color w:val="000000"/>
                <w:sz w:val="21"/>
                <w:szCs w:val="21"/>
              </w:rPr>
              <w:t>2、内置双镜头，靶面尺寸均不低于1/1.8英寸；</w:t>
            </w:r>
          </w:p>
        </w:tc>
      </w:tr>
      <w:tr w14:paraId="11105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Merge w:val="continue"/>
            <w:noWrap w:val="0"/>
            <w:vAlign w:val="center"/>
          </w:tcPr>
          <w:p w14:paraId="771A53BD">
            <w:pPr>
              <w:jc w:val="center"/>
              <w:rPr>
                <w:rFonts w:hint="eastAsia" w:ascii="宋体" w:hAnsi="宋体" w:eastAsia="宋体" w:cs="宋体"/>
                <w:color w:val="000000"/>
                <w:sz w:val="21"/>
                <w:szCs w:val="21"/>
              </w:rPr>
            </w:pPr>
          </w:p>
        </w:tc>
        <w:tc>
          <w:tcPr>
            <w:tcW w:w="1047" w:type="dxa"/>
            <w:vMerge w:val="continue"/>
            <w:noWrap w:val="0"/>
            <w:vAlign w:val="center"/>
          </w:tcPr>
          <w:p w14:paraId="2B83BC74">
            <w:pPr>
              <w:jc w:val="left"/>
              <w:rPr>
                <w:rFonts w:hint="eastAsia" w:ascii="宋体" w:hAnsi="宋体" w:eastAsia="宋体" w:cs="宋体"/>
                <w:color w:val="000000"/>
                <w:sz w:val="21"/>
                <w:szCs w:val="21"/>
              </w:rPr>
            </w:pPr>
          </w:p>
        </w:tc>
        <w:tc>
          <w:tcPr>
            <w:tcW w:w="7464" w:type="dxa"/>
            <w:noWrap w:val="0"/>
            <w:vAlign w:val="center"/>
          </w:tcPr>
          <w:p w14:paraId="0F778E9D">
            <w:pPr>
              <w:rPr>
                <w:rFonts w:hint="eastAsia" w:ascii="宋体" w:hAnsi="宋体" w:eastAsia="宋体" w:cs="宋体"/>
                <w:b/>
                <w:sz w:val="21"/>
                <w:szCs w:val="21"/>
              </w:rPr>
            </w:pPr>
            <w:r>
              <w:rPr>
                <w:rFonts w:hint="eastAsia" w:ascii="宋体" w:hAnsi="宋体" w:eastAsia="宋体" w:cs="宋体"/>
                <w:sz w:val="21"/>
                <w:szCs w:val="21"/>
              </w:rPr>
              <w:t>▲</w:t>
            </w:r>
            <w:r>
              <w:rPr>
                <w:rFonts w:hint="eastAsia" w:ascii="宋体" w:hAnsi="宋体" w:eastAsia="宋体" w:cs="宋体"/>
                <w:color w:val="000000"/>
                <w:sz w:val="21"/>
                <w:szCs w:val="21"/>
              </w:rPr>
              <w:t>3、内置两个图像传感器，分别输出黑白及彩色图像，可对视频图像进行融合输出；</w:t>
            </w:r>
            <w:r>
              <w:rPr>
                <w:rFonts w:hint="eastAsia" w:ascii="宋体" w:hAnsi="宋体" w:eastAsia="宋体" w:cs="宋体"/>
                <w:b/>
                <w:bCs/>
                <w:color w:val="000000"/>
                <w:sz w:val="21"/>
                <w:szCs w:val="21"/>
              </w:rPr>
              <w:t>（需提供拥有CMA认证标识的第三方检测机构出具检测报告扫描件，</w:t>
            </w:r>
            <w:r>
              <w:rPr>
                <w:rFonts w:hint="eastAsia" w:ascii="宋体" w:hAnsi="宋体" w:eastAsia="宋体" w:cs="宋体"/>
                <w:b/>
                <w:bCs/>
                <w:sz w:val="21"/>
                <w:szCs w:val="21"/>
              </w:rPr>
              <w:t>要求内容能体现满足上述参数要求。检测报告需提供全国认证认可信息公共服务平台网站（http://cx.cnca.cn/CertECloud/qts/qts/qtsPage）查询截图作为证明材料）</w:t>
            </w:r>
          </w:p>
        </w:tc>
      </w:tr>
      <w:tr w14:paraId="15DA7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Merge w:val="continue"/>
            <w:noWrap w:val="0"/>
            <w:vAlign w:val="center"/>
          </w:tcPr>
          <w:p w14:paraId="56D8DFB3">
            <w:pPr>
              <w:jc w:val="center"/>
              <w:rPr>
                <w:rFonts w:hint="eastAsia" w:ascii="宋体" w:hAnsi="宋体" w:eastAsia="宋体" w:cs="宋体"/>
                <w:color w:val="000000"/>
                <w:sz w:val="21"/>
                <w:szCs w:val="21"/>
              </w:rPr>
            </w:pPr>
          </w:p>
        </w:tc>
        <w:tc>
          <w:tcPr>
            <w:tcW w:w="1047" w:type="dxa"/>
            <w:vMerge w:val="continue"/>
            <w:noWrap w:val="0"/>
            <w:vAlign w:val="center"/>
          </w:tcPr>
          <w:p w14:paraId="26C68B7F">
            <w:pPr>
              <w:jc w:val="left"/>
              <w:rPr>
                <w:rFonts w:hint="eastAsia" w:ascii="宋体" w:hAnsi="宋体" w:eastAsia="宋体" w:cs="宋体"/>
                <w:color w:val="000000"/>
                <w:sz w:val="21"/>
                <w:szCs w:val="21"/>
              </w:rPr>
            </w:pPr>
          </w:p>
        </w:tc>
        <w:tc>
          <w:tcPr>
            <w:tcW w:w="7464" w:type="dxa"/>
            <w:noWrap w:val="0"/>
            <w:vAlign w:val="center"/>
          </w:tcPr>
          <w:p w14:paraId="0697C756">
            <w:pPr>
              <w:rPr>
                <w:rFonts w:hint="eastAsia" w:ascii="宋体" w:hAnsi="宋体" w:eastAsia="宋体" w:cs="宋体"/>
                <w:b/>
                <w:sz w:val="21"/>
                <w:szCs w:val="21"/>
              </w:rPr>
            </w:pPr>
            <w:r>
              <w:rPr>
                <w:rFonts w:hint="eastAsia" w:ascii="宋体" w:hAnsi="宋体" w:eastAsia="宋体" w:cs="宋体"/>
                <w:color w:val="000000"/>
                <w:sz w:val="21"/>
                <w:szCs w:val="21"/>
              </w:rPr>
              <w:t>4、内置GPU芯片；</w:t>
            </w:r>
          </w:p>
        </w:tc>
      </w:tr>
      <w:tr w14:paraId="48BFE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Merge w:val="continue"/>
            <w:noWrap w:val="0"/>
            <w:vAlign w:val="center"/>
          </w:tcPr>
          <w:p w14:paraId="1DC8F547">
            <w:pPr>
              <w:jc w:val="center"/>
              <w:rPr>
                <w:rFonts w:hint="eastAsia" w:ascii="宋体" w:hAnsi="宋体" w:eastAsia="宋体" w:cs="宋体"/>
                <w:color w:val="000000"/>
                <w:sz w:val="21"/>
                <w:szCs w:val="21"/>
              </w:rPr>
            </w:pPr>
          </w:p>
        </w:tc>
        <w:tc>
          <w:tcPr>
            <w:tcW w:w="1047" w:type="dxa"/>
            <w:vMerge w:val="continue"/>
            <w:noWrap w:val="0"/>
            <w:vAlign w:val="center"/>
          </w:tcPr>
          <w:p w14:paraId="7807DCC0">
            <w:pPr>
              <w:jc w:val="left"/>
              <w:rPr>
                <w:rFonts w:hint="eastAsia" w:ascii="宋体" w:hAnsi="宋体" w:eastAsia="宋体" w:cs="宋体"/>
                <w:color w:val="000000"/>
                <w:sz w:val="21"/>
                <w:szCs w:val="21"/>
              </w:rPr>
            </w:pPr>
          </w:p>
        </w:tc>
        <w:tc>
          <w:tcPr>
            <w:tcW w:w="7464" w:type="dxa"/>
            <w:noWrap w:val="0"/>
            <w:vAlign w:val="center"/>
          </w:tcPr>
          <w:p w14:paraId="62A4AFFE">
            <w:pPr>
              <w:rPr>
                <w:rFonts w:hint="eastAsia" w:ascii="宋体" w:hAnsi="宋体" w:eastAsia="宋体" w:cs="宋体"/>
                <w:b/>
                <w:sz w:val="21"/>
                <w:szCs w:val="21"/>
              </w:rPr>
            </w:pPr>
            <w:r>
              <w:rPr>
                <w:rFonts w:hint="eastAsia" w:ascii="宋体" w:hAnsi="宋体" w:eastAsia="宋体" w:cs="宋体"/>
                <w:color w:val="000000"/>
                <w:sz w:val="21"/>
                <w:szCs w:val="21"/>
              </w:rPr>
              <w:t>5、最低照度彩色：0.0002 lx，黑白:0.0001 lx，最大亮度鉴别等级（灰度等级）不小于11级；</w:t>
            </w:r>
          </w:p>
        </w:tc>
      </w:tr>
      <w:tr w14:paraId="7036F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Merge w:val="continue"/>
            <w:noWrap w:val="0"/>
            <w:vAlign w:val="center"/>
          </w:tcPr>
          <w:p w14:paraId="63859BA3">
            <w:pPr>
              <w:jc w:val="center"/>
              <w:rPr>
                <w:rFonts w:hint="eastAsia" w:ascii="宋体" w:hAnsi="宋体" w:eastAsia="宋体" w:cs="宋体"/>
                <w:color w:val="000000"/>
                <w:sz w:val="21"/>
                <w:szCs w:val="21"/>
              </w:rPr>
            </w:pPr>
          </w:p>
        </w:tc>
        <w:tc>
          <w:tcPr>
            <w:tcW w:w="1047" w:type="dxa"/>
            <w:vMerge w:val="continue"/>
            <w:noWrap w:val="0"/>
            <w:vAlign w:val="center"/>
          </w:tcPr>
          <w:p w14:paraId="4E8C212E">
            <w:pPr>
              <w:jc w:val="left"/>
              <w:rPr>
                <w:rFonts w:hint="eastAsia" w:ascii="宋体" w:hAnsi="宋体" w:eastAsia="宋体" w:cs="宋体"/>
                <w:sz w:val="21"/>
                <w:szCs w:val="21"/>
              </w:rPr>
            </w:pPr>
          </w:p>
        </w:tc>
        <w:tc>
          <w:tcPr>
            <w:tcW w:w="7464" w:type="dxa"/>
            <w:noWrap w:val="0"/>
            <w:vAlign w:val="center"/>
          </w:tcPr>
          <w:p w14:paraId="2D83E9D1">
            <w:pPr>
              <w:rPr>
                <w:rFonts w:hint="eastAsia" w:ascii="宋体" w:hAnsi="宋体" w:eastAsia="宋体" w:cs="宋体"/>
                <w:b/>
                <w:sz w:val="21"/>
                <w:szCs w:val="21"/>
              </w:rPr>
            </w:pPr>
            <w:r>
              <w:rPr>
                <w:rFonts w:hint="eastAsia" w:ascii="宋体" w:hAnsi="宋体" w:eastAsia="宋体" w:cs="宋体"/>
                <w:color w:val="000000"/>
                <w:sz w:val="21"/>
                <w:szCs w:val="21"/>
              </w:rPr>
              <w:t>6、内置混合补光灯，每颗补光灯由红外灯、白光灯组成，可自动或手动调节补光灯的亮度；</w:t>
            </w:r>
          </w:p>
        </w:tc>
      </w:tr>
      <w:tr w14:paraId="00DC5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Merge w:val="continue"/>
            <w:noWrap w:val="0"/>
            <w:vAlign w:val="center"/>
          </w:tcPr>
          <w:p w14:paraId="1272B6D5">
            <w:pPr>
              <w:jc w:val="center"/>
              <w:rPr>
                <w:rFonts w:hint="eastAsia" w:ascii="宋体" w:hAnsi="宋体" w:eastAsia="宋体" w:cs="宋体"/>
                <w:color w:val="000000"/>
                <w:sz w:val="21"/>
                <w:szCs w:val="21"/>
              </w:rPr>
            </w:pPr>
          </w:p>
        </w:tc>
        <w:tc>
          <w:tcPr>
            <w:tcW w:w="1047" w:type="dxa"/>
            <w:vMerge w:val="continue"/>
            <w:noWrap w:val="0"/>
            <w:vAlign w:val="center"/>
          </w:tcPr>
          <w:p w14:paraId="19D0ACBB">
            <w:pPr>
              <w:jc w:val="left"/>
              <w:rPr>
                <w:rFonts w:hint="eastAsia" w:ascii="宋体" w:hAnsi="宋体" w:eastAsia="宋体" w:cs="宋体"/>
                <w:sz w:val="21"/>
                <w:szCs w:val="21"/>
              </w:rPr>
            </w:pPr>
          </w:p>
        </w:tc>
        <w:tc>
          <w:tcPr>
            <w:tcW w:w="7464" w:type="dxa"/>
            <w:noWrap w:val="0"/>
            <w:vAlign w:val="center"/>
          </w:tcPr>
          <w:p w14:paraId="73BFD3F2">
            <w:pPr>
              <w:rPr>
                <w:rFonts w:hint="eastAsia" w:ascii="宋体" w:hAnsi="宋体" w:eastAsia="宋体" w:cs="宋体"/>
                <w:b/>
                <w:sz w:val="21"/>
                <w:szCs w:val="21"/>
              </w:rPr>
            </w:pPr>
            <w:r>
              <w:rPr>
                <w:rFonts w:hint="eastAsia" w:ascii="宋体" w:hAnsi="宋体" w:eastAsia="宋体" w:cs="宋体"/>
                <w:color w:val="000000"/>
                <w:sz w:val="21"/>
                <w:szCs w:val="21"/>
              </w:rPr>
              <w:t>7、人脸检出率不小于99%；</w:t>
            </w:r>
          </w:p>
        </w:tc>
      </w:tr>
      <w:tr w14:paraId="285A8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Merge w:val="continue"/>
            <w:noWrap w:val="0"/>
            <w:vAlign w:val="center"/>
          </w:tcPr>
          <w:p w14:paraId="077E2888">
            <w:pPr>
              <w:jc w:val="center"/>
              <w:rPr>
                <w:rFonts w:hint="eastAsia" w:ascii="宋体" w:hAnsi="宋体" w:eastAsia="宋体" w:cs="宋体"/>
                <w:color w:val="000000"/>
                <w:sz w:val="21"/>
                <w:szCs w:val="21"/>
              </w:rPr>
            </w:pPr>
          </w:p>
        </w:tc>
        <w:tc>
          <w:tcPr>
            <w:tcW w:w="1047" w:type="dxa"/>
            <w:vMerge w:val="continue"/>
            <w:noWrap w:val="0"/>
            <w:vAlign w:val="center"/>
          </w:tcPr>
          <w:p w14:paraId="61F1ED7B">
            <w:pPr>
              <w:jc w:val="left"/>
              <w:rPr>
                <w:rFonts w:hint="eastAsia" w:ascii="宋体" w:hAnsi="宋体" w:eastAsia="宋体" w:cs="宋体"/>
                <w:sz w:val="21"/>
                <w:szCs w:val="21"/>
              </w:rPr>
            </w:pPr>
          </w:p>
        </w:tc>
        <w:tc>
          <w:tcPr>
            <w:tcW w:w="7464" w:type="dxa"/>
            <w:noWrap w:val="0"/>
            <w:vAlign w:val="center"/>
          </w:tcPr>
          <w:p w14:paraId="0D1A996C">
            <w:pPr>
              <w:rPr>
                <w:rFonts w:hint="eastAsia" w:ascii="宋体" w:hAnsi="宋体" w:eastAsia="宋体" w:cs="宋体"/>
                <w:b/>
                <w:sz w:val="21"/>
                <w:szCs w:val="21"/>
              </w:rPr>
            </w:pPr>
            <w:r>
              <w:rPr>
                <w:rFonts w:hint="eastAsia" w:ascii="宋体" w:hAnsi="宋体" w:eastAsia="宋体" w:cs="宋体"/>
                <w:sz w:val="21"/>
                <w:szCs w:val="21"/>
              </w:rPr>
              <w:t>▲</w:t>
            </w:r>
            <w:r>
              <w:rPr>
                <w:rFonts w:hint="eastAsia" w:ascii="宋体" w:hAnsi="宋体" w:eastAsia="宋体" w:cs="宋体"/>
                <w:color w:val="000000"/>
                <w:sz w:val="21"/>
                <w:szCs w:val="21"/>
              </w:rPr>
              <w:t>8、设备具有耀光抑制功能，耀光区域≤1%；</w:t>
            </w:r>
            <w:r>
              <w:rPr>
                <w:rFonts w:hint="eastAsia" w:ascii="宋体" w:hAnsi="宋体" w:eastAsia="宋体" w:cs="宋体"/>
                <w:b/>
                <w:bCs/>
                <w:color w:val="000000"/>
                <w:sz w:val="21"/>
                <w:szCs w:val="21"/>
              </w:rPr>
              <w:t>（需提供拥有CMA标识的第三方检测机构出具检测报告扫描件，</w:t>
            </w:r>
            <w:r>
              <w:rPr>
                <w:rFonts w:hint="eastAsia" w:ascii="宋体" w:hAnsi="宋体" w:eastAsia="宋体" w:cs="宋体"/>
                <w:b/>
                <w:bCs/>
                <w:sz w:val="21"/>
                <w:szCs w:val="21"/>
              </w:rPr>
              <w:t>要求内容能体现满足上述参数要求。检测报告需提供全国认证认可信息公共服务平台网站（http://cx.cnca.cn/CertECloud/qts/qts/qtsPage）查询截图作为证明材料）</w:t>
            </w:r>
          </w:p>
        </w:tc>
      </w:tr>
      <w:tr w14:paraId="7B2A7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Merge w:val="continue"/>
            <w:noWrap w:val="0"/>
            <w:vAlign w:val="center"/>
          </w:tcPr>
          <w:p w14:paraId="5BA3A0DB">
            <w:pPr>
              <w:jc w:val="center"/>
              <w:rPr>
                <w:rFonts w:hint="eastAsia" w:ascii="宋体" w:hAnsi="宋体" w:eastAsia="宋体" w:cs="宋体"/>
                <w:b/>
                <w:sz w:val="21"/>
                <w:szCs w:val="21"/>
              </w:rPr>
            </w:pPr>
          </w:p>
        </w:tc>
        <w:tc>
          <w:tcPr>
            <w:tcW w:w="1047" w:type="dxa"/>
            <w:vMerge w:val="continue"/>
            <w:noWrap w:val="0"/>
            <w:vAlign w:val="center"/>
          </w:tcPr>
          <w:p w14:paraId="62293457">
            <w:pPr>
              <w:jc w:val="left"/>
              <w:rPr>
                <w:rFonts w:hint="eastAsia" w:ascii="宋体" w:hAnsi="宋体" w:eastAsia="宋体" w:cs="宋体"/>
                <w:b/>
                <w:sz w:val="21"/>
                <w:szCs w:val="21"/>
              </w:rPr>
            </w:pPr>
          </w:p>
        </w:tc>
        <w:tc>
          <w:tcPr>
            <w:tcW w:w="7464" w:type="dxa"/>
            <w:noWrap w:val="0"/>
            <w:vAlign w:val="center"/>
          </w:tcPr>
          <w:p w14:paraId="0343FCC2">
            <w:pPr>
              <w:rPr>
                <w:rFonts w:hint="eastAsia" w:ascii="宋体" w:hAnsi="宋体" w:eastAsia="宋体" w:cs="宋体"/>
                <w:b/>
                <w:sz w:val="21"/>
                <w:szCs w:val="21"/>
              </w:rPr>
            </w:pPr>
            <w:r>
              <w:rPr>
                <w:rFonts w:hint="eastAsia" w:ascii="宋体" w:hAnsi="宋体" w:eastAsia="宋体" w:cs="宋体"/>
                <w:color w:val="000000"/>
                <w:sz w:val="21"/>
                <w:szCs w:val="21"/>
              </w:rPr>
              <w:t>9、不低于IP67防尘防水等级</w:t>
            </w:r>
          </w:p>
        </w:tc>
      </w:tr>
      <w:tr w14:paraId="2560C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Merge w:val="restart"/>
            <w:noWrap w:val="0"/>
            <w:vAlign w:val="center"/>
          </w:tcPr>
          <w:p w14:paraId="7D08C4E4">
            <w:pPr>
              <w:jc w:val="center"/>
              <w:rPr>
                <w:rFonts w:hint="eastAsia" w:ascii="宋体" w:hAnsi="宋体" w:eastAsia="宋体" w:cs="宋体"/>
                <w:bCs/>
                <w:sz w:val="21"/>
                <w:szCs w:val="21"/>
              </w:rPr>
            </w:pPr>
            <w:r>
              <w:rPr>
                <w:rFonts w:hint="eastAsia" w:ascii="宋体" w:hAnsi="宋体" w:eastAsia="宋体" w:cs="宋体"/>
                <w:color w:val="000000"/>
                <w:sz w:val="21"/>
                <w:szCs w:val="21"/>
              </w:rPr>
              <w:t>3</w:t>
            </w:r>
          </w:p>
        </w:tc>
        <w:tc>
          <w:tcPr>
            <w:tcW w:w="1047" w:type="dxa"/>
            <w:vMerge w:val="restart"/>
            <w:noWrap w:val="0"/>
            <w:vAlign w:val="center"/>
          </w:tcPr>
          <w:p w14:paraId="02845BD2">
            <w:pPr>
              <w:jc w:val="left"/>
              <w:rPr>
                <w:rFonts w:hint="eastAsia" w:ascii="宋体" w:hAnsi="宋体" w:eastAsia="宋体" w:cs="宋体"/>
                <w:b/>
                <w:sz w:val="21"/>
                <w:szCs w:val="21"/>
              </w:rPr>
            </w:pPr>
            <w:r>
              <w:rPr>
                <w:rFonts w:hint="eastAsia" w:ascii="宋体" w:hAnsi="宋体" w:eastAsia="宋体" w:cs="宋体"/>
                <w:color w:val="000000"/>
                <w:sz w:val="21"/>
                <w:szCs w:val="21"/>
              </w:rPr>
              <w:t>8口光网络交换设备</w:t>
            </w:r>
          </w:p>
        </w:tc>
        <w:tc>
          <w:tcPr>
            <w:tcW w:w="7464" w:type="dxa"/>
            <w:noWrap w:val="0"/>
            <w:vAlign w:val="center"/>
          </w:tcPr>
          <w:p w14:paraId="37D775B5">
            <w:pPr>
              <w:rPr>
                <w:rFonts w:hint="eastAsia" w:ascii="宋体" w:hAnsi="宋体" w:eastAsia="宋体" w:cs="宋体"/>
                <w:bCs/>
                <w:sz w:val="21"/>
                <w:szCs w:val="21"/>
              </w:rPr>
            </w:pPr>
            <w:r>
              <w:rPr>
                <w:rFonts w:hint="eastAsia" w:ascii="宋体" w:hAnsi="宋体" w:eastAsia="宋体" w:cs="宋体"/>
                <w:bCs/>
                <w:sz w:val="21"/>
                <w:szCs w:val="21"/>
              </w:rPr>
              <w:t>1、上行提供≥1个GPON接口、下行支持≥8*GE，其中 PoE1~PoE4 接口支持PoE/PoE+；</w:t>
            </w:r>
          </w:p>
        </w:tc>
      </w:tr>
      <w:tr w14:paraId="69D10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Merge w:val="continue"/>
            <w:noWrap w:val="0"/>
            <w:vAlign w:val="center"/>
          </w:tcPr>
          <w:p w14:paraId="31528FEF">
            <w:pPr>
              <w:jc w:val="center"/>
              <w:rPr>
                <w:rFonts w:hint="eastAsia" w:ascii="宋体" w:hAnsi="宋体" w:eastAsia="宋体" w:cs="宋体"/>
                <w:bCs/>
                <w:sz w:val="21"/>
                <w:szCs w:val="21"/>
              </w:rPr>
            </w:pPr>
          </w:p>
        </w:tc>
        <w:tc>
          <w:tcPr>
            <w:tcW w:w="1047" w:type="dxa"/>
            <w:vMerge w:val="continue"/>
            <w:noWrap w:val="0"/>
            <w:vAlign w:val="center"/>
          </w:tcPr>
          <w:p w14:paraId="2FB1FBF1">
            <w:pPr>
              <w:jc w:val="left"/>
              <w:rPr>
                <w:rFonts w:hint="eastAsia" w:ascii="宋体" w:hAnsi="宋体" w:eastAsia="宋体" w:cs="宋体"/>
                <w:sz w:val="21"/>
                <w:szCs w:val="21"/>
              </w:rPr>
            </w:pPr>
          </w:p>
        </w:tc>
        <w:tc>
          <w:tcPr>
            <w:tcW w:w="7464" w:type="dxa"/>
            <w:noWrap w:val="0"/>
            <w:vAlign w:val="center"/>
          </w:tcPr>
          <w:p w14:paraId="1CB56515">
            <w:pPr>
              <w:rPr>
                <w:rFonts w:hint="eastAsia" w:ascii="宋体" w:hAnsi="宋体" w:eastAsia="宋体" w:cs="宋体"/>
                <w:bCs/>
                <w:sz w:val="21"/>
                <w:szCs w:val="21"/>
              </w:rPr>
            </w:pPr>
            <w:r>
              <w:rPr>
                <w:rFonts w:hint="eastAsia" w:ascii="宋体" w:hAnsi="宋体" w:eastAsia="宋体" w:cs="宋体"/>
                <w:bCs/>
                <w:sz w:val="21"/>
                <w:szCs w:val="21"/>
              </w:rPr>
              <w:t>2、防雷性能：</w:t>
            </w:r>
            <w:r>
              <w:rPr>
                <w:rFonts w:hint="eastAsia" w:ascii="宋体" w:hAnsi="宋体" w:eastAsia="宋体" w:cs="宋体"/>
                <w:color w:val="000000"/>
                <w:sz w:val="21"/>
                <w:szCs w:val="21"/>
              </w:rPr>
              <w:t>≥</w:t>
            </w:r>
            <w:r>
              <w:rPr>
                <w:rFonts w:hint="eastAsia" w:ascii="宋体" w:hAnsi="宋体" w:eastAsia="宋体" w:cs="宋体"/>
                <w:bCs/>
                <w:sz w:val="21"/>
                <w:szCs w:val="21"/>
              </w:rPr>
              <w:t xml:space="preserve"> 6kV；</w:t>
            </w:r>
          </w:p>
        </w:tc>
      </w:tr>
      <w:tr w14:paraId="43443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Merge w:val="continue"/>
            <w:noWrap w:val="0"/>
            <w:vAlign w:val="center"/>
          </w:tcPr>
          <w:p w14:paraId="180E3CE8">
            <w:pPr>
              <w:jc w:val="center"/>
              <w:rPr>
                <w:rFonts w:hint="eastAsia" w:ascii="宋体" w:hAnsi="宋体" w:eastAsia="宋体" w:cs="宋体"/>
                <w:bCs/>
                <w:sz w:val="21"/>
                <w:szCs w:val="21"/>
              </w:rPr>
            </w:pPr>
          </w:p>
        </w:tc>
        <w:tc>
          <w:tcPr>
            <w:tcW w:w="1047" w:type="dxa"/>
            <w:vMerge w:val="continue"/>
            <w:noWrap w:val="0"/>
            <w:vAlign w:val="center"/>
          </w:tcPr>
          <w:p w14:paraId="39230118">
            <w:pPr>
              <w:jc w:val="left"/>
              <w:rPr>
                <w:rFonts w:hint="eastAsia" w:ascii="宋体" w:hAnsi="宋体" w:eastAsia="宋体" w:cs="宋体"/>
                <w:sz w:val="21"/>
                <w:szCs w:val="21"/>
              </w:rPr>
            </w:pPr>
          </w:p>
        </w:tc>
        <w:tc>
          <w:tcPr>
            <w:tcW w:w="7464" w:type="dxa"/>
            <w:noWrap w:val="0"/>
            <w:vAlign w:val="center"/>
          </w:tcPr>
          <w:p w14:paraId="1B3D1CDD">
            <w:pPr>
              <w:rPr>
                <w:rFonts w:hint="eastAsia" w:ascii="宋体" w:hAnsi="宋体" w:eastAsia="宋体" w:cs="宋体"/>
                <w:bCs/>
                <w:sz w:val="21"/>
                <w:szCs w:val="21"/>
              </w:rPr>
            </w:pPr>
            <w:r>
              <w:rPr>
                <w:rFonts w:hint="eastAsia" w:ascii="宋体" w:hAnsi="宋体" w:eastAsia="宋体" w:cs="宋体"/>
                <w:bCs/>
                <w:sz w:val="21"/>
                <w:szCs w:val="21"/>
              </w:rPr>
              <w:t>3、工作温度:-5°C ~ +45°C；</w:t>
            </w:r>
          </w:p>
        </w:tc>
      </w:tr>
      <w:tr w14:paraId="2CE05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Merge w:val="continue"/>
            <w:noWrap w:val="0"/>
            <w:vAlign w:val="center"/>
          </w:tcPr>
          <w:p w14:paraId="2825EFB3">
            <w:pPr>
              <w:jc w:val="center"/>
              <w:rPr>
                <w:rFonts w:hint="eastAsia" w:ascii="宋体" w:hAnsi="宋体" w:eastAsia="宋体" w:cs="宋体"/>
                <w:bCs/>
                <w:sz w:val="21"/>
                <w:szCs w:val="21"/>
              </w:rPr>
            </w:pPr>
          </w:p>
        </w:tc>
        <w:tc>
          <w:tcPr>
            <w:tcW w:w="1047" w:type="dxa"/>
            <w:vMerge w:val="continue"/>
            <w:noWrap w:val="0"/>
            <w:vAlign w:val="center"/>
          </w:tcPr>
          <w:p w14:paraId="5762FA3D">
            <w:pPr>
              <w:jc w:val="left"/>
              <w:rPr>
                <w:rFonts w:hint="eastAsia" w:ascii="宋体" w:hAnsi="宋体" w:eastAsia="宋体" w:cs="宋体"/>
                <w:sz w:val="21"/>
                <w:szCs w:val="21"/>
              </w:rPr>
            </w:pPr>
          </w:p>
        </w:tc>
        <w:tc>
          <w:tcPr>
            <w:tcW w:w="7464" w:type="dxa"/>
            <w:noWrap w:val="0"/>
            <w:vAlign w:val="center"/>
          </w:tcPr>
          <w:p w14:paraId="69DFE7DF">
            <w:pPr>
              <w:rPr>
                <w:rFonts w:hint="eastAsia" w:ascii="宋体" w:hAnsi="宋体" w:eastAsia="宋体" w:cs="宋体"/>
                <w:bCs/>
                <w:sz w:val="21"/>
                <w:szCs w:val="21"/>
              </w:rPr>
            </w:pPr>
            <w:r>
              <w:rPr>
                <w:rFonts w:hint="eastAsia" w:ascii="宋体" w:hAnsi="宋体" w:eastAsia="宋体" w:cs="宋体"/>
                <w:bCs/>
                <w:sz w:val="21"/>
                <w:szCs w:val="21"/>
              </w:rPr>
              <w:t>4、环境湿度:5% RH ～ 95% RH，非凝结；</w:t>
            </w:r>
          </w:p>
        </w:tc>
      </w:tr>
      <w:tr w14:paraId="50156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Merge w:val="continue"/>
            <w:noWrap w:val="0"/>
            <w:vAlign w:val="center"/>
          </w:tcPr>
          <w:p w14:paraId="2D853D59">
            <w:pPr>
              <w:jc w:val="center"/>
              <w:rPr>
                <w:rFonts w:hint="eastAsia" w:ascii="宋体" w:hAnsi="宋体" w:eastAsia="宋体" w:cs="宋体"/>
                <w:bCs/>
                <w:sz w:val="21"/>
                <w:szCs w:val="21"/>
              </w:rPr>
            </w:pPr>
          </w:p>
        </w:tc>
        <w:tc>
          <w:tcPr>
            <w:tcW w:w="1047" w:type="dxa"/>
            <w:vMerge w:val="continue"/>
            <w:noWrap w:val="0"/>
            <w:vAlign w:val="center"/>
          </w:tcPr>
          <w:p w14:paraId="38C4182F">
            <w:pPr>
              <w:jc w:val="left"/>
              <w:rPr>
                <w:rFonts w:hint="eastAsia" w:ascii="宋体" w:hAnsi="宋体" w:eastAsia="宋体" w:cs="宋体"/>
                <w:sz w:val="21"/>
                <w:szCs w:val="21"/>
              </w:rPr>
            </w:pPr>
          </w:p>
        </w:tc>
        <w:tc>
          <w:tcPr>
            <w:tcW w:w="7464" w:type="dxa"/>
            <w:noWrap w:val="0"/>
            <w:vAlign w:val="center"/>
          </w:tcPr>
          <w:p w14:paraId="1E08AED0">
            <w:pPr>
              <w:rPr>
                <w:rFonts w:hint="eastAsia" w:ascii="宋体" w:hAnsi="宋体" w:eastAsia="宋体" w:cs="宋体"/>
                <w:bCs/>
                <w:sz w:val="21"/>
                <w:szCs w:val="21"/>
              </w:rPr>
            </w:pPr>
            <w:r>
              <w:rPr>
                <w:rFonts w:hint="eastAsia" w:ascii="宋体" w:hAnsi="宋体" w:eastAsia="宋体" w:cs="宋体"/>
                <w:bCs/>
                <w:sz w:val="21"/>
                <w:szCs w:val="21"/>
              </w:rPr>
              <w:t>5、统一网管：支持网管系统集中管理</w:t>
            </w:r>
          </w:p>
        </w:tc>
      </w:tr>
      <w:tr w14:paraId="648F3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Merge w:val="continue"/>
            <w:noWrap w:val="0"/>
            <w:vAlign w:val="center"/>
          </w:tcPr>
          <w:p w14:paraId="1E220394">
            <w:pPr>
              <w:jc w:val="center"/>
              <w:rPr>
                <w:rFonts w:hint="eastAsia" w:ascii="宋体" w:hAnsi="宋体" w:eastAsia="宋体" w:cs="宋体"/>
                <w:bCs/>
                <w:sz w:val="21"/>
                <w:szCs w:val="21"/>
              </w:rPr>
            </w:pPr>
          </w:p>
        </w:tc>
        <w:tc>
          <w:tcPr>
            <w:tcW w:w="1047" w:type="dxa"/>
            <w:vMerge w:val="continue"/>
            <w:noWrap w:val="0"/>
            <w:vAlign w:val="center"/>
          </w:tcPr>
          <w:p w14:paraId="282931B0">
            <w:pPr>
              <w:jc w:val="left"/>
              <w:rPr>
                <w:rFonts w:hint="eastAsia" w:ascii="宋体" w:hAnsi="宋体" w:eastAsia="宋体" w:cs="宋体"/>
                <w:sz w:val="21"/>
                <w:szCs w:val="21"/>
              </w:rPr>
            </w:pPr>
          </w:p>
        </w:tc>
        <w:tc>
          <w:tcPr>
            <w:tcW w:w="7464" w:type="dxa"/>
            <w:noWrap w:val="0"/>
            <w:vAlign w:val="center"/>
          </w:tcPr>
          <w:p w14:paraId="27BF9596">
            <w:pPr>
              <w:rPr>
                <w:rFonts w:hint="eastAsia" w:ascii="宋体" w:hAnsi="宋体" w:eastAsia="宋体" w:cs="宋体"/>
                <w:b/>
                <w:sz w:val="21"/>
                <w:szCs w:val="21"/>
              </w:rPr>
            </w:pPr>
            <w:r>
              <w:rPr>
                <w:rFonts w:hint="eastAsia" w:ascii="宋体" w:hAnsi="宋体" w:eastAsia="宋体" w:cs="宋体"/>
                <w:b/>
                <w:sz w:val="21"/>
                <w:szCs w:val="21"/>
              </w:rPr>
              <w:t>6、支持802.1x，提供官网链接和截图或产品彩页</w:t>
            </w:r>
            <w:r>
              <w:rPr>
                <w:rFonts w:hint="eastAsia" w:ascii="宋体" w:hAnsi="宋体" w:eastAsia="宋体" w:cs="宋体"/>
                <w:b/>
                <w:bCs/>
                <w:color w:val="000000"/>
                <w:sz w:val="21"/>
                <w:szCs w:val="21"/>
              </w:rPr>
              <w:t>扫描件</w:t>
            </w:r>
            <w:r>
              <w:rPr>
                <w:rFonts w:hint="eastAsia" w:ascii="宋体" w:hAnsi="宋体" w:eastAsia="宋体" w:cs="宋体"/>
                <w:b/>
                <w:sz w:val="21"/>
                <w:szCs w:val="21"/>
              </w:rPr>
              <w:t>；</w:t>
            </w:r>
          </w:p>
        </w:tc>
      </w:tr>
      <w:tr w14:paraId="66AED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Merge w:val="continue"/>
            <w:noWrap w:val="0"/>
            <w:vAlign w:val="center"/>
          </w:tcPr>
          <w:p w14:paraId="2B451229">
            <w:pPr>
              <w:jc w:val="center"/>
              <w:rPr>
                <w:rFonts w:hint="eastAsia" w:ascii="宋体" w:hAnsi="宋体" w:eastAsia="宋体" w:cs="宋体"/>
                <w:bCs/>
                <w:sz w:val="21"/>
                <w:szCs w:val="21"/>
              </w:rPr>
            </w:pPr>
          </w:p>
        </w:tc>
        <w:tc>
          <w:tcPr>
            <w:tcW w:w="1047" w:type="dxa"/>
            <w:vMerge w:val="continue"/>
            <w:noWrap w:val="0"/>
            <w:vAlign w:val="center"/>
          </w:tcPr>
          <w:p w14:paraId="42856D67">
            <w:pPr>
              <w:jc w:val="left"/>
              <w:rPr>
                <w:rFonts w:hint="eastAsia" w:ascii="宋体" w:hAnsi="宋体" w:eastAsia="宋体" w:cs="宋体"/>
                <w:sz w:val="21"/>
                <w:szCs w:val="21"/>
              </w:rPr>
            </w:pPr>
          </w:p>
        </w:tc>
        <w:tc>
          <w:tcPr>
            <w:tcW w:w="7464" w:type="dxa"/>
            <w:noWrap w:val="0"/>
            <w:vAlign w:val="center"/>
          </w:tcPr>
          <w:p w14:paraId="02458BC4">
            <w:pPr>
              <w:rPr>
                <w:rFonts w:hint="eastAsia" w:ascii="宋体" w:hAnsi="宋体" w:eastAsia="宋体" w:cs="宋体"/>
                <w:bCs/>
                <w:sz w:val="21"/>
                <w:szCs w:val="21"/>
              </w:rPr>
            </w:pPr>
            <w:r>
              <w:rPr>
                <w:rFonts w:hint="eastAsia" w:ascii="宋体" w:hAnsi="宋体" w:eastAsia="宋体" w:cs="宋体"/>
                <w:bCs/>
                <w:sz w:val="21"/>
                <w:szCs w:val="21"/>
              </w:rPr>
              <w:t>7、支持静态 MAC 地址绑定；</w:t>
            </w:r>
          </w:p>
        </w:tc>
      </w:tr>
      <w:tr w14:paraId="1CC20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Merge w:val="continue"/>
            <w:noWrap w:val="0"/>
            <w:vAlign w:val="center"/>
          </w:tcPr>
          <w:p w14:paraId="13B53982">
            <w:pPr>
              <w:jc w:val="center"/>
              <w:rPr>
                <w:rFonts w:hint="eastAsia" w:ascii="宋体" w:hAnsi="宋体" w:eastAsia="宋体" w:cs="宋体"/>
                <w:bCs/>
                <w:sz w:val="21"/>
                <w:szCs w:val="21"/>
              </w:rPr>
            </w:pPr>
          </w:p>
        </w:tc>
        <w:tc>
          <w:tcPr>
            <w:tcW w:w="1047" w:type="dxa"/>
            <w:vMerge w:val="continue"/>
            <w:noWrap w:val="0"/>
            <w:vAlign w:val="center"/>
          </w:tcPr>
          <w:p w14:paraId="5BC8A840">
            <w:pPr>
              <w:jc w:val="left"/>
              <w:rPr>
                <w:rFonts w:hint="eastAsia" w:ascii="宋体" w:hAnsi="宋体" w:eastAsia="宋体" w:cs="宋体"/>
                <w:sz w:val="21"/>
                <w:szCs w:val="21"/>
              </w:rPr>
            </w:pPr>
          </w:p>
        </w:tc>
        <w:tc>
          <w:tcPr>
            <w:tcW w:w="7464" w:type="dxa"/>
            <w:noWrap w:val="0"/>
            <w:vAlign w:val="center"/>
          </w:tcPr>
          <w:p w14:paraId="35CD63F1">
            <w:pPr>
              <w:rPr>
                <w:rFonts w:hint="eastAsia" w:ascii="宋体" w:hAnsi="宋体" w:eastAsia="宋体" w:cs="宋体"/>
                <w:b/>
                <w:sz w:val="21"/>
                <w:szCs w:val="21"/>
              </w:rPr>
            </w:pPr>
            <w:r>
              <w:rPr>
                <w:rFonts w:hint="eastAsia" w:ascii="宋体" w:hAnsi="宋体" w:eastAsia="宋体" w:cs="宋体"/>
                <w:b/>
                <w:sz w:val="21"/>
                <w:szCs w:val="21"/>
              </w:rPr>
              <w:t>8、支持Type B（单双归属）保护，提供官网链接和截图或产品彩页</w:t>
            </w:r>
            <w:r>
              <w:rPr>
                <w:rFonts w:hint="eastAsia" w:ascii="宋体" w:hAnsi="宋体" w:eastAsia="宋体" w:cs="宋体"/>
                <w:b/>
                <w:bCs/>
                <w:color w:val="000000"/>
                <w:sz w:val="21"/>
                <w:szCs w:val="21"/>
              </w:rPr>
              <w:t>扫描件</w:t>
            </w:r>
            <w:r>
              <w:rPr>
                <w:rFonts w:hint="eastAsia" w:ascii="宋体" w:hAnsi="宋体" w:eastAsia="宋体" w:cs="宋体"/>
                <w:b/>
                <w:sz w:val="21"/>
                <w:szCs w:val="21"/>
              </w:rPr>
              <w:t>；</w:t>
            </w:r>
          </w:p>
        </w:tc>
      </w:tr>
      <w:tr w14:paraId="6E794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0" w:type="dxa"/>
            <w:vMerge w:val="continue"/>
            <w:noWrap w:val="0"/>
            <w:vAlign w:val="center"/>
          </w:tcPr>
          <w:p w14:paraId="692BD29A">
            <w:pPr>
              <w:jc w:val="center"/>
              <w:rPr>
                <w:rFonts w:hint="eastAsia" w:ascii="宋体" w:hAnsi="宋体" w:eastAsia="宋体" w:cs="宋体"/>
                <w:bCs/>
                <w:sz w:val="21"/>
                <w:szCs w:val="21"/>
              </w:rPr>
            </w:pPr>
          </w:p>
        </w:tc>
        <w:tc>
          <w:tcPr>
            <w:tcW w:w="1047" w:type="dxa"/>
            <w:vMerge w:val="continue"/>
            <w:noWrap w:val="0"/>
            <w:vAlign w:val="center"/>
          </w:tcPr>
          <w:p w14:paraId="5A179747">
            <w:pPr>
              <w:jc w:val="left"/>
              <w:rPr>
                <w:rFonts w:hint="eastAsia" w:ascii="宋体" w:hAnsi="宋体" w:eastAsia="宋体" w:cs="宋体"/>
                <w:sz w:val="21"/>
                <w:szCs w:val="21"/>
              </w:rPr>
            </w:pPr>
          </w:p>
        </w:tc>
        <w:tc>
          <w:tcPr>
            <w:tcW w:w="7464" w:type="dxa"/>
            <w:noWrap w:val="0"/>
            <w:vAlign w:val="center"/>
          </w:tcPr>
          <w:p w14:paraId="0C867078">
            <w:pPr>
              <w:rPr>
                <w:rFonts w:hint="eastAsia" w:ascii="宋体" w:hAnsi="宋体" w:eastAsia="宋体" w:cs="宋体"/>
                <w:bCs/>
                <w:sz w:val="21"/>
                <w:szCs w:val="21"/>
              </w:rPr>
            </w:pPr>
            <w:r>
              <w:rPr>
                <w:rFonts w:hint="eastAsia" w:ascii="宋体" w:hAnsi="宋体" w:eastAsia="宋体" w:cs="宋体"/>
                <w:bCs/>
                <w:sz w:val="21"/>
                <w:szCs w:val="21"/>
              </w:rPr>
              <w:t>9、支持IPv6；</w:t>
            </w:r>
          </w:p>
        </w:tc>
      </w:tr>
      <w:tr w14:paraId="115F2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Merge w:val="continue"/>
            <w:noWrap w:val="0"/>
            <w:vAlign w:val="center"/>
          </w:tcPr>
          <w:p w14:paraId="2EFB6BD0">
            <w:pPr>
              <w:jc w:val="center"/>
              <w:rPr>
                <w:rFonts w:hint="eastAsia" w:ascii="宋体" w:hAnsi="宋体" w:eastAsia="宋体" w:cs="宋体"/>
                <w:bCs/>
                <w:sz w:val="21"/>
                <w:szCs w:val="21"/>
              </w:rPr>
            </w:pPr>
          </w:p>
        </w:tc>
        <w:tc>
          <w:tcPr>
            <w:tcW w:w="1047" w:type="dxa"/>
            <w:vMerge w:val="continue"/>
            <w:noWrap w:val="0"/>
            <w:vAlign w:val="center"/>
          </w:tcPr>
          <w:p w14:paraId="490C8EAD">
            <w:pPr>
              <w:jc w:val="left"/>
              <w:rPr>
                <w:rFonts w:hint="eastAsia" w:ascii="宋体" w:hAnsi="宋体" w:eastAsia="宋体" w:cs="宋体"/>
                <w:sz w:val="21"/>
                <w:szCs w:val="21"/>
              </w:rPr>
            </w:pPr>
          </w:p>
        </w:tc>
        <w:tc>
          <w:tcPr>
            <w:tcW w:w="7464" w:type="dxa"/>
            <w:noWrap w:val="0"/>
            <w:vAlign w:val="center"/>
          </w:tcPr>
          <w:p w14:paraId="372EFBF1">
            <w:pPr>
              <w:rPr>
                <w:rFonts w:hint="eastAsia" w:ascii="宋体" w:hAnsi="宋体" w:eastAsia="宋体" w:cs="宋体"/>
                <w:b/>
                <w:sz w:val="21"/>
                <w:szCs w:val="21"/>
              </w:rPr>
            </w:pPr>
            <w:r>
              <w:rPr>
                <w:rFonts w:hint="eastAsia" w:ascii="宋体" w:hAnsi="宋体" w:eastAsia="宋体" w:cs="宋体"/>
                <w:bCs/>
                <w:sz w:val="21"/>
                <w:szCs w:val="21"/>
              </w:rPr>
              <w:t>10、为确保网络兼容性和稳定性，要求此设备和现有OLT设备同一品牌；</w:t>
            </w:r>
          </w:p>
        </w:tc>
      </w:tr>
      <w:tr w14:paraId="05B23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Merge w:val="restart"/>
            <w:noWrap w:val="0"/>
            <w:vAlign w:val="center"/>
          </w:tcPr>
          <w:p w14:paraId="21ED0720">
            <w:pPr>
              <w:jc w:val="center"/>
              <w:rPr>
                <w:rFonts w:hint="eastAsia" w:ascii="宋体" w:hAnsi="宋体" w:eastAsia="宋体" w:cs="宋体"/>
                <w:b/>
                <w:sz w:val="21"/>
                <w:szCs w:val="21"/>
              </w:rPr>
            </w:pPr>
            <w:r>
              <w:rPr>
                <w:rFonts w:hint="eastAsia" w:ascii="宋体" w:hAnsi="宋体" w:eastAsia="宋体" w:cs="宋体"/>
                <w:color w:val="000000"/>
                <w:sz w:val="21"/>
                <w:szCs w:val="21"/>
              </w:rPr>
              <w:t>4</w:t>
            </w:r>
          </w:p>
        </w:tc>
        <w:tc>
          <w:tcPr>
            <w:tcW w:w="1047" w:type="dxa"/>
            <w:vMerge w:val="restart"/>
            <w:noWrap w:val="0"/>
            <w:vAlign w:val="center"/>
          </w:tcPr>
          <w:p w14:paraId="7DCECE3D">
            <w:pPr>
              <w:rPr>
                <w:rFonts w:hint="eastAsia" w:ascii="宋体" w:hAnsi="宋体" w:eastAsia="宋体" w:cs="宋体"/>
                <w:b/>
                <w:sz w:val="21"/>
                <w:szCs w:val="21"/>
              </w:rPr>
            </w:pPr>
            <w:r>
              <w:rPr>
                <w:rFonts w:hint="eastAsia" w:ascii="宋体" w:hAnsi="宋体" w:eastAsia="宋体" w:cs="宋体"/>
                <w:color w:val="000000"/>
                <w:sz w:val="21"/>
                <w:szCs w:val="21"/>
              </w:rPr>
              <w:t>24口光网络交换设备</w:t>
            </w:r>
          </w:p>
        </w:tc>
        <w:tc>
          <w:tcPr>
            <w:tcW w:w="7464" w:type="dxa"/>
            <w:noWrap w:val="0"/>
            <w:vAlign w:val="center"/>
          </w:tcPr>
          <w:p w14:paraId="1D0E8C53">
            <w:pPr>
              <w:widowControl/>
              <w:rPr>
                <w:rFonts w:hint="eastAsia" w:ascii="宋体" w:hAnsi="宋体" w:eastAsia="宋体" w:cs="宋体"/>
                <w:b/>
                <w:bCs/>
                <w:sz w:val="21"/>
                <w:szCs w:val="21"/>
              </w:rPr>
            </w:pPr>
            <w:r>
              <w:rPr>
                <w:rFonts w:hint="eastAsia" w:ascii="宋体" w:hAnsi="宋体" w:eastAsia="宋体" w:cs="宋体"/>
                <w:b/>
                <w:bCs/>
                <w:sz w:val="21"/>
                <w:szCs w:val="21"/>
              </w:rPr>
              <w:t>1、上行最大提供≥2*GPON(1*BOB+1*SFP),下行支持≥2*10GE(光) + 2*10GE(电) + 24*GE, 10GE(电)和 GE 接口支持 PoE++，提供官网链接和截图或产品彩页</w:t>
            </w:r>
            <w:r>
              <w:rPr>
                <w:rFonts w:hint="eastAsia" w:ascii="宋体" w:hAnsi="宋体" w:eastAsia="宋体" w:cs="宋体"/>
                <w:b/>
                <w:bCs/>
                <w:color w:val="000000"/>
                <w:sz w:val="21"/>
                <w:szCs w:val="21"/>
              </w:rPr>
              <w:t>扫描件</w:t>
            </w:r>
            <w:r>
              <w:rPr>
                <w:rFonts w:hint="eastAsia" w:ascii="宋体" w:hAnsi="宋体" w:eastAsia="宋体" w:cs="宋体"/>
                <w:b/>
                <w:bCs/>
                <w:sz w:val="21"/>
                <w:szCs w:val="21"/>
              </w:rPr>
              <w:t>；</w:t>
            </w:r>
          </w:p>
        </w:tc>
      </w:tr>
      <w:tr w14:paraId="18260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Merge w:val="continue"/>
            <w:noWrap w:val="0"/>
            <w:vAlign w:val="center"/>
          </w:tcPr>
          <w:p w14:paraId="04519FFF">
            <w:pPr>
              <w:jc w:val="center"/>
              <w:rPr>
                <w:rFonts w:hint="eastAsia" w:ascii="宋体" w:hAnsi="宋体" w:eastAsia="宋体" w:cs="宋体"/>
                <w:color w:val="000000"/>
                <w:sz w:val="21"/>
                <w:szCs w:val="21"/>
              </w:rPr>
            </w:pPr>
          </w:p>
        </w:tc>
        <w:tc>
          <w:tcPr>
            <w:tcW w:w="1047" w:type="dxa"/>
            <w:vMerge w:val="continue"/>
            <w:noWrap w:val="0"/>
            <w:vAlign w:val="center"/>
          </w:tcPr>
          <w:p w14:paraId="6A8319A0">
            <w:pPr>
              <w:rPr>
                <w:rFonts w:hint="eastAsia" w:ascii="宋体" w:hAnsi="宋体" w:eastAsia="宋体" w:cs="宋体"/>
                <w:color w:val="000000"/>
                <w:sz w:val="21"/>
                <w:szCs w:val="21"/>
              </w:rPr>
            </w:pPr>
          </w:p>
        </w:tc>
        <w:tc>
          <w:tcPr>
            <w:tcW w:w="7464" w:type="dxa"/>
            <w:noWrap w:val="0"/>
            <w:vAlign w:val="center"/>
          </w:tcPr>
          <w:p w14:paraId="545329DF">
            <w:pPr>
              <w:rPr>
                <w:rFonts w:hint="eastAsia" w:ascii="宋体" w:hAnsi="宋体" w:eastAsia="宋体" w:cs="宋体"/>
                <w:b/>
                <w:sz w:val="21"/>
                <w:szCs w:val="21"/>
              </w:rPr>
            </w:pPr>
            <w:r>
              <w:rPr>
                <w:rFonts w:hint="eastAsia" w:ascii="宋体" w:hAnsi="宋体" w:eastAsia="宋体" w:cs="宋体"/>
                <w:color w:val="000000"/>
                <w:sz w:val="21"/>
                <w:szCs w:val="21"/>
              </w:rPr>
              <w:t>2、防雷性能：AC 电源 6kV；</w:t>
            </w:r>
          </w:p>
        </w:tc>
      </w:tr>
      <w:tr w14:paraId="4A3A8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Merge w:val="continue"/>
            <w:noWrap w:val="0"/>
            <w:vAlign w:val="center"/>
          </w:tcPr>
          <w:p w14:paraId="630B3732">
            <w:pPr>
              <w:jc w:val="center"/>
              <w:rPr>
                <w:rFonts w:hint="eastAsia" w:ascii="宋体" w:hAnsi="宋体" w:eastAsia="宋体" w:cs="宋体"/>
                <w:color w:val="000000"/>
                <w:sz w:val="21"/>
                <w:szCs w:val="21"/>
              </w:rPr>
            </w:pPr>
          </w:p>
        </w:tc>
        <w:tc>
          <w:tcPr>
            <w:tcW w:w="1047" w:type="dxa"/>
            <w:vMerge w:val="continue"/>
            <w:noWrap w:val="0"/>
            <w:vAlign w:val="center"/>
          </w:tcPr>
          <w:p w14:paraId="15B3E133">
            <w:pPr>
              <w:rPr>
                <w:rFonts w:hint="eastAsia" w:ascii="宋体" w:hAnsi="宋体" w:eastAsia="宋体" w:cs="宋体"/>
                <w:color w:val="000000"/>
                <w:sz w:val="21"/>
                <w:szCs w:val="21"/>
              </w:rPr>
            </w:pPr>
          </w:p>
        </w:tc>
        <w:tc>
          <w:tcPr>
            <w:tcW w:w="7464" w:type="dxa"/>
            <w:noWrap w:val="0"/>
            <w:vAlign w:val="center"/>
          </w:tcPr>
          <w:p w14:paraId="00AF76C5">
            <w:pPr>
              <w:rPr>
                <w:rFonts w:hint="eastAsia" w:ascii="宋体" w:hAnsi="宋体" w:eastAsia="宋体" w:cs="宋体"/>
                <w:b/>
                <w:bCs/>
                <w:sz w:val="21"/>
                <w:szCs w:val="21"/>
              </w:rPr>
            </w:pPr>
            <w:r>
              <w:rPr>
                <w:rFonts w:hint="eastAsia" w:ascii="宋体" w:hAnsi="宋体" w:eastAsia="宋体" w:cs="宋体"/>
                <w:b/>
                <w:bCs/>
                <w:sz w:val="21"/>
                <w:szCs w:val="21"/>
              </w:rPr>
              <w:t>3、工作温度:-40°C～65°C，提供官网链接和截图或产品彩页</w:t>
            </w:r>
            <w:r>
              <w:rPr>
                <w:rFonts w:hint="eastAsia" w:ascii="宋体" w:hAnsi="宋体" w:eastAsia="宋体" w:cs="宋体"/>
                <w:b/>
                <w:bCs/>
                <w:color w:val="000000"/>
                <w:sz w:val="21"/>
                <w:szCs w:val="21"/>
              </w:rPr>
              <w:t>扫描件</w:t>
            </w:r>
            <w:r>
              <w:rPr>
                <w:rFonts w:hint="eastAsia" w:ascii="宋体" w:hAnsi="宋体" w:eastAsia="宋体" w:cs="宋体"/>
                <w:b/>
                <w:bCs/>
                <w:sz w:val="21"/>
                <w:szCs w:val="21"/>
              </w:rPr>
              <w:t>；</w:t>
            </w:r>
          </w:p>
        </w:tc>
      </w:tr>
      <w:tr w14:paraId="3881B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Merge w:val="continue"/>
            <w:noWrap w:val="0"/>
            <w:vAlign w:val="center"/>
          </w:tcPr>
          <w:p w14:paraId="091DE72C">
            <w:pPr>
              <w:jc w:val="center"/>
              <w:rPr>
                <w:rFonts w:hint="eastAsia" w:ascii="宋体" w:hAnsi="宋体" w:eastAsia="宋体" w:cs="宋体"/>
                <w:color w:val="000000"/>
                <w:sz w:val="21"/>
                <w:szCs w:val="21"/>
              </w:rPr>
            </w:pPr>
          </w:p>
        </w:tc>
        <w:tc>
          <w:tcPr>
            <w:tcW w:w="1047" w:type="dxa"/>
            <w:vMerge w:val="continue"/>
            <w:noWrap w:val="0"/>
            <w:vAlign w:val="center"/>
          </w:tcPr>
          <w:p w14:paraId="44485DCC">
            <w:pPr>
              <w:rPr>
                <w:rFonts w:hint="eastAsia" w:ascii="宋体" w:hAnsi="宋体" w:eastAsia="宋体" w:cs="宋体"/>
                <w:color w:val="000000"/>
                <w:sz w:val="21"/>
                <w:szCs w:val="21"/>
              </w:rPr>
            </w:pPr>
          </w:p>
        </w:tc>
        <w:tc>
          <w:tcPr>
            <w:tcW w:w="7464" w:type="dxa"/>
            <w:noWrap w:val="0"/>
            <w:vAlign w:val="center"/>
          </w:tcPr>
          <w:p w14:paraId="16B93008">
            <w:pPr>
              <w:rPr>
                <w:rFonts w:hint="eastAsia" w:ascii="宋体" w:hAnsi="宋体" w:eastAsia="宋体" w:cs="宋体"/>
                <w:b/>
                <w:sz w:val="21"/>
                <w:szCs w:val="21"/>
              </w:rPr>
            </w:pPr>
            <w:r>
              <w:rPr>
                <w:rFonts w:hint="eastAsia" w:ascii="宋体" w:hAnsi="宋体" w:eastAsia="宋体" w:cs="宋体"/>
                <w:color w:val="000000"/>
                <w:sz w:val="21"/>
                <w:szCs w:val="21"/>
              </w:rPr>
              <w:t>4、环境湿度:5%～95%，非凝结；</w:t>
            </w:r>
          </w:p>
        </w:tc>
      </w:tr>
      <w:tr w14:paraId="42EBE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Merge w:val="continue"/>
            <w:noWrap w:val="0"/>
            <w:vAlign w:val="center"/>
          </w:tcPr>
          <w:p w14:paraId="3E0AAA71">
            <w:pPr>
              <w:jc w:val="center"/>
              <w:rPr>
                <w:rFonts w:hint="eastAsia" w:ascii="宋体" w:hAnsi="宋体" w:eastAsia="宋体" w:cs="宋体"/>
                <w:color w:val="000000"/>
                <w:sz w:val="21"/>
                <w:szCs w:val="21"/>
              </w:rPr>
            </w:pPr>
          </w:p>
        </w:tc>
        <w:tc>
          <w:tcPr>
            <w:tcW w:w="1047" w:type="dxa"/>
            <w:vMerge w:val="continue"/>
            <w:noWrap w:val="0"/>
            <w:vAlign w:val="center"/>
          </w:tcPr>
          <w:p w14:paraId="7091A072">
            <w:pPr>
              <w:rPr>
                <w:rFonts w:hint="eastAsia" w:ascii="宋体" w:hAnsi="宋体" w:eastAsia="宋体" w:cs="宋体"/>
                <w:color w:val="000000"/>
                <w:sz w:val="21"/>
                <w:szCs w:val="21"/>
              </w:rPr>
            </w:pPr>
          </w:p>
        </w:tc>
        <w:tc>
          <w:tcPr>
            <w:tcW w:w="7464" w:type="dxa"/>
            <w:noWrap w:val="0"/>
            <w:vAlign w:val="center"/>
          </w:tcPr>
          <w:p w14:paraId="5DF2E227">
            <w:pPr>
              <w:rPr>
                <w:rFonts w:hint="eastAsia" w:ascii="宋体" w:hAnsi="宋体" w:eastAsia="宋体" w:cs="宋体"/>
                <w:b/>
                <w:bCs/>
                <w:sz w:val="21"/>
                <w:szCs w:val="21"/>
              </w:rPr>
            </w:pPr>
            <w:r>
              <w:rPr>
                <w:rFonts w:hint="eastAsia" w:ascii="宋体" w:hAnsi="宋体" w:eastAsia="宋体" w:cs="宋体"/>
                <w:b/>
                <w:bCs/>
                <w:sz w:val="21"/>
                <w:szCs w:val="21"/>
              </w:rPr>
              <w:t>5、认证方式：支持802.1x，提供官网链接和截图或产品彩页</w:t>
            </w:r>
            <w:r>
              <w:rPr>
                <w:rFonts w:hint="eastAsia" w:ascii="宋体" w:hAnsi="宋体" w:eastAsia="宋体" w:cs="宋体"/>
                <w:b/>
                <w:bCs/>
                <w:color w:val="000000"/>
                <w:sz w:val="21"/>
                <w:szCs w:val="21"/>
              </w:rPr>
              <w:t>扫描件</w:t>
            </w:r>
            <w:r>
              <w:rPr>
                <w:rFonts w:hint="eastAsia" w:ascii="宋体" w:hAnsi="宋体" w:eastAsia="宋体" w:cs="宋体"/>
                <w:b/>
                <w:bCs/>
                <w:sz w:val="21"/>
                <w:szCs w:val="21"/>
              </w:rPr>
              <w:t>；</w:t>
            </w:r>
          </w:p>
        </w:tc>
      </w:tr>
      <w:tr w14:paraId="52CF6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Merge w:val="continue"/>
            <w:noWrap w:val="0"/>
            <w:vAlign w:val="center"/>
          </w:tcPr>
          <w:p w14:paraId="38652B33">
            <w:pPr>
              <w:jc w:val="center"/>
              <w:rPr>
                <w:rFonts w:hint="eastAsia" w:ascii="宋体" w:hAnsi="宋体" w:eastAsia="宋体" w:cs="宋体"/>
                <w:color w:val="000000"/>
                <w:sz w:val="21"/>
                <w:szCs w:val="21"/>
              </w:rPr>
            </w:pPr>
          </w:p>
        </w:tc>
        <w:tc>
          <w:tcPr>
            <w:tcW w:w="1047" w:type="dxa"/>
            <w:vMerge w:val="continue"/>
            <w:noWrap w:val="0"/>
            <w:vAlign w:val="center"/>
          </w:tcPr>
          <w:p w14:paraId="2774D5FB">
            <w:pPr>
              <w:rPr>
                <w:rFonts w:hint="eastAsia" w:ascii="宋体" w:hAnsi="宋体" w:eastAsia="宋体" w:cs="宋体"/>
                <w:color w:val="000000"/>
                <w:sz w:val="21"/>
                <w:szCs w:val="21"/>
              </w:rPr>
            </w:pPr>
          </w:p>
        </w:tc>
        <w:tc>
          <w:tcPr>
            <w:tcW w:w="7464" w:type="dxa"/>
            <w:noWrap w:val="0"/>
            <w:vAlign w:val="center"/>
          </w:tcPr>
          <w:p w14:paraId="1446FB91">
            <w:pPr>
              <w:rPr>
                <w:rFonts w:hint="eastAsia" w:ascii="宋体" w:hAnsi="宋体" w:eastAsia="宋体" w:cs="宋体"/>
                <w:b/>
                <w:bCs/>
                <w:sz w:val="21"/>
                <w:szCs w:val="21"/>
              </w:rPr>
            </w:pPr>
            <w:r>
              <w:rPr>
                <w:rFonts w:hint="eastAsia" w:ascii="宋体" w:hAnsi="宋体" w:eastAsia="宋体" w:cs="宋体"/>
                <w:b/>
                <w:bCs/>
                <w:sz w:val="21"/>
                <w:szCs w:val="21"/>
              </w:rPr>
              <w:t>6、支持 PoE++功能，提供官网链接和截图或产品彩页</w:t>
            </w:r>
            <w:r>
              <w:rPr>
                <w:rFonts w:hint="eastAsia" w:ascii="宋体" w:hAnsi="宋体" w:eastAsia="宋体" w:cs="宋体"/>
                <w:b/>
                <w:bCs/>
                <w:color w:val="000000"/>
                <w:sz w:val="21"/>
                <w:szCs w:val="21"/>
              </w:rPr>
              <w:t>扫描件</w:t>
            </w:r>
            <w:r>
              <w:rPr>
                <w:rFonts w:hint="eastAsia" w:ascii="宋体" w:hAnsi="宋体" w:eastAsia="宋体" w:cs="宋体"/>
                <w:b/>
                <w:bCs/>
                <w:sz w:val="21"/>
                <w:szCs w:val="21"/>
              </w:rPr>
              <w:t>；</w:t>
            </w:r>
          </w:p>
        </w:tc>
      </w:tr>
      <w:tr w14:paraId="58907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Merge w:val="continue"/>
            <w:noWrap w:val="0"/>
            <w:vAlign w:val="center"/>
          </w:tcPr>
          <w:p w14:paraId="19C60B9F">
            <w:pPr>
              <w:jc w:val="center"/>
              <w:rPr>
                <w:rFonts w:hint="eastAsia" w:ascii="宋体" w:hAnsi="宋体" w:eastAsia="宋体" w:cs="宋体"/>
                <w:color w:val="000000"/>
                <w:sz w:val="21"/>
                <w:szCs w:val="21"/>
              </w:rPr>
            </w:pPr>
          </w:p>
        </w:tc>
        <w:tc>
          <w:tcPr>
            <w:tcW w:w="1047" w:type="dxa"/>
            <w:vMerge w:val="continue"/>
            <w:noWrap w:val="0"/>
            <w:vAlign w:val="center"/>
          </w:tcPr>
          <w:p w14:paraId="41E0964C">
            <w:pPr>
              <w:rPr>
                <w:rFonts w:hint="eastAsia" w:ascii="宋体" w:hAnsi="宋体" w:eastAsia="宋体" w:cs="宋体"/>
                <w:color w:val="000000"/>
                <w:sz w:val="21"/>
                <w:szCs w:val="21"/>
              </w:rPr>
            </w:pPr>
          </w:p>
        </w:tc>
        <w:tc>
          <w:tcPr>
            <w:tcW w:w="7464" w:type="dxa"/>
            <w:noWrap w:val="0"/>
            <w:vAlign w:val="center"/>
          </w:tcPr>
          <w:p w14:paraId="31C7895B">
            <w:pPr>
              <w:rPr>
                <w:rFonts w:hint="eastAsia" w:ascii="宋体" w:hAnsi="宋体" w:eastAsia="宋体" w:cs="宋体"/>
                <w:b/>
                <w:bCs/>
                <w:sz w:val="21"/>
                <w:szCs w:val="21"/>
              </w:rPr>
            </w:pPr>
            <w:r>
              <w:rPr>
                <w:rFonts w:hint="eastAsia" w:ascii="宋体" w:hAnsi="宋体" w:eastAsia="宋体" w:cs="宋体"/>
                <w:b/>
                <w:bCs/>
                <w:sz w:val="21"/>
                <w:szCs w:val="21"/>
              </w:rPr>
              <w:t>7、支持Type B、Type C保护，提供官网链接和截图或产品彩页</w:t>
            </w:r>
            <w:r>
              <w:rPr>
                <w:rFonts w:hint="eastAsia" w:ascii="宋体" w:hAnsi="宋体" w:eastAsia="宋体" w:cs="宋体"/>
                <w:b/>
                <w:bCs/>
                <w:color w:val="000000"/>
                <w:sz w:val="21"/>
                <w:szCs w:val="21"/>
              </w:rPr>
              <w:t>扫描件</w:t>
            </w:r>
            <w:r>
              <w:rPr>
                <w:rFonts w:hint="eastAsia" w:ascii="宋体" w:hAnsi="宋体" w:eastAsia="宋体" w:cs="宋体"/>
                <w:b/>
                <w:bCs/>
                <w:sz w:val="21"/>
                <w:szCs w:val="21"/>
              </w:rPr>
              <w:t>；</w:t>
            </w:r>
          </w:p>
        </w:tc>
      </w:tr>
      <w:tr w14:paraId="192EA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Merge w:val="continue"/>
            <w:noWrap w:val="0"/>
            <w:vAlign w:val="center"/>
          </w:tcPr>
          <w:p w14:paraId="5D8F164F">
            <w:pPr>
              <w:jc w:val="center"/>
              <w:rPr>
                <w:rFonts w:hint="eastAsia" w:ascii="宋体" w:hAnsi="宋体" w:eastAsia="宋体" w:cs="宋体"/>
                <w:color w:val="000000"/>
                <w:sz w:val="21"/>
                <w:szCs w:val="21"/>
              </w:rPr>
            </w:pPr>
          </w:p>
        </w:tc>
        <w:tc>
          <w:tcPr>
            <w:tcW w:w="1047" w:type="dxa"/>
            <w:vMerge w:val="continue"/>
            <w:noWrap w:val="0"/>
            <w:vAlign w:val="center"/>
          </w:tcPr>
          <w:p w14:paraId="07E601F5">
            <w:pPr>
              <w:rPr>
                <w:rFonts w:hint="eastAsia" w:ascii="宋体" w:hAnsi="宋体" w:eastAsia="宋体" w:cs="宋体"/>
                <w:color w:val="000000"/>
                <w:sz w:val="21"/>
                <w:szCs w:val="21"/>
              </w:rPr>
            </w:pPr>
          </w:p>
        </w:tc>
        <w:tc>
          <w:tcPr>
            <w:tcW w:w="7464" w:type="dxa"/>
            <w:noWrap w:val="0"/>
            <w:vAlign w:val="center"/>
          </w:tcPr>
          <w:p w14:paraId="6635B953">
            <w:pPr>
              <w:rPr>
                <w:rFonts w:hint="eastAsia" w:ascii="宋体" w:hAnsi="宋体" w:eastAsia="宋体" w:cs="宋体"/>
                <w:b/>
                <w:sz w:val="21"/>
                <w:szCs w:val="21"/>
              </w:rPr>
            </w:pPr>
            <w:r>
              <w:rPr>
                <w:rFonts w:hint="eastAsia" w:ascii="宋体" w:hAnsi="宋体" w:eastAsia="宋体" w:cs="宋体"/>
                <w:color w:val="000000"/>
                <w:sz w:val="21"/>
                <w:szCs w:val="21"/>
              </w:rPr>
              <w:t>8、支持IPv6；</w:t>
            </w:r>
          </w:p>
        </w:tc>
      </w:tr>
      <w:tr w14:paraId="15034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Merge w:val="continue"/>
            <w:noWrap w:val="0"/>
            <w:vAlign w:val="center"/>
          </w:tcPr>
          <w:p w14:paraId="4A9CB736">
            <w:pPr>
              <w:jc w:val="center"/>
              <w:rPr>
                <w:rFonts w:hint="eastAsia" w:ascii="宋体" w:hAnsi="宋体" w:eastAsia="宋体" w:cs="宋体"/>
                <w:color w:val="000000"/>
                <w:sz w:val="21"/>
                <w:szCs w:val="21"/>
              </w:rPr>
            </w:pPr>
          </w:p>
        </w:tc>
        <w:tc>
          <w:tcPr>
            <w:tcW w:w="1047" w:type="dxa"/>
            <w:vMerge w:val="continue"/>
            <w:noWrap w:val="0"/>
            <w:vAlign w:val="center"/>
          </w:tcPr>
          <w:p w14:paraId="264D9856">
            <w:pPr>
              <w:rPr>
                <w:rFonts w:hint="eastAsia" w:ascii="宋体" w:hAnsi="宋体" w:eastAsia="宋体" w:cs="宋体"/>
                <w:sz w:val="21"/>
                <w:szCs w:val="21"/>
              </w:rPr>
            </w:pPr>
          </w:p>
        </w:tc>
        <w:tc>
          <w:tcPr>
            <w:tcW w:w="7464" w:type="dxa"/>
            <w:noWrap w:val="0"/>
            <w:vAlign w:val="center"/>
          </w:tcPr>
          <w:p w14:paraId="56376904">
            <w:pPr>
              <w:rPr>
                <w:rFonts w:hint="eastAsia" w:ascii="宋体" w:hAnsi="宋体" w:eastAsia="宋体" w:cs="宋体"/>
                <w:sz w:val="21"/>
                <w:szCs w:val="21"/>
              </w:rPr>
            </w:pPr>
            <w:r>
              <w:rPr>
                <w:rFonts w:hint="eastAsia" w:ascii="宋体" w:hAnsi="宋体" w:eastAsia="宋体" w:cs="宋体"/>
                <w:color w:val="000000"/>
                <w:sz w:val="21"/>
                <w:szCs w:val="21"/>
              </w:rPr>
              <w:t>9、为确保网络兼容性和稳定性，要求此设备和现有OLT设备同一品牌；</w:t>
            </w:r>
          </w:p>
        </w:tc>
      </w:tr>
      <w:tr w14:paraId="300ED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Merge w:val="restart"/>
            <w:noWrap w:val="0"/>
            <w:vAlign w:val="center"/>
          </w:tcPr>
          <w:p w14:paraId="367D4428">
            <w:pPr>
              <w:widowControl/>
              <w:jc w:val="center"/>
              <w:rPr>
                <w:rFonts w:hint="eastAsia" w:ascii="宋体" w:hAnsi="宋体" w:eastAsia="宋体" w:cs="宋体"/>
                <w:sz w:val="21"/>
                <w:szCs w:val="21"/>
              </w:rPr>
            </w:pPr>
            <w:r>
              <w:rPr>
                <w:rFonts w:hint="eastAsia" w:ascii="宋体" w:hAnsi="宋体" w:eastAsia="宋体" w:cs="宋体"/>
                <w:sz w:val="21"/>
                <w:szCs w:val="21"/>
              </w:rPr>
              <w:t>5</w:t>
            </w:r>
          </w:p>
        </w:tc>
        <w:tc>
          <w:tcPr>
            <w:tcW w:w="1047" w:type="dxa"/>
            <w:vMerge w:val="restart"/>
            <w:noWrap w:val="0"/>
            <w:vAlign w:val="center"/>
          </w:tcPr>
          <w:p w14:paraId="7DD82E5A">
            <w:pPr>
              <w:jc w:val="center"/>
              <w:rPr>
                <w:rFonts w:hint="eastAsia" w:ascii="宋体" w:hAnsi="宋体" w:eastAsia="宋体" w:cs="宋体"/>
                <w:sz w:val="21"/>
                <w:szCs w:val="21"/>
              </w:rPr>
            </w:pPr>
            <w:r>
              <w:rPr>
                <w:rFonts w:hint="eastAsia" w:ascii="宋体" w:hAnsi="宋体" w:eastAsia="宋体" w:cs="宋体"/>
                <w:sz w:val="21"/>
                <w:szCs w:val="21"/>
              </w:rPr>
              <w:t>无线AP</w:t>
            </w:r>
          </w:p>
        </w:tc>
        <w:tc>
          <w:tcPr>
            <w:tcW w:w="7464" w:type="dxa"/>
            <w:noWrap w:val="0"/>
            <w:vAlign w:val="center"/>
          </w:tcPr>
          <w:p w14:paraId="2DE9A316">
            <w:pPr>
              <w:rPr>
                <w:rFonts w:hint="eastAsia" w:ascii="宋体" w:hAnsi="宋体" w:eastAsia="宋体" w:cs="宋体"/>
                <w:bCs/>
                <w:sz w:val="21"/>
                <w:szCs w:val="21"/>
              </w:rPr>
            </w:pPr>
            <w:r>
              <w:rPr>
                <w:rFonts w:hint="eastAsia" w:ascii="宋体" w:hAnsi="宋体" w:eastAsia="宋体" w:cs="宋体"/>
                <w:bCs/>
                <w:sz w:val="21"/>
                <w:szCs w:val="21"/>
              </w:rPr>
              <w:t>1、支持IEEE 802.11a/n/ac/ax、IEEE 802.11b/g/n/ax无线协议</w:t>
            </w:r>
          </w:p>
        </w:tc>
      </w:tr>
      <w:tr w14:paraId="54622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Merge w:val="continue"/>
            <w:noWrap w:val="0"/>
            <w:vAlign w:val="center"/>
          </w:tcPr>
          <w:p w14:paraId="6F3F6D14">
            <w:pPr>
              <w:jc w:val="center"/>
              <w:rPr>
                <w:rFonts w:hint="eastAsia" w:ascii="宋体" w:hAnsi="宋体" w:eastAsia="宋体" w:cs="宋体"/>
                <w:color w:val="000000"/>
                <w:sz w:val="21"/>
                <w:szCs w:val="21"/>
              </w:rPr>
            </w:pPr>
          </w:p>
        </w:tc>
        <w:tc>
          <w:tcPr>
            <w:tcW w:w="1047" w:type="dxa"/>
            <w:vMerge w:val="continue"/>
            <w:noWrap w:val="0"/>
            <w:vAlign w:val="center"/>
          </w:tcPr>
          <w:p w14:paraId="2577BEEB">
            <w:pPr>
              <w:rPr>
                <w:rFonts w:hint="eastAsia" w:ascii="宋体" w:hAnsi="宋体" w:eastAsia="宋体" w:cs="宋体"/>
                <w:sz w:val="21"/>
                <w:szCs w:val="21"/>
              </w:rPr>
            </w:pPr>
          </w:p>
        </w:tc>
        <w:tc>
          <w:tcPr>
            <w:tcW w:w="7464" w:type="dxa"/>
            <w:noWrap w:val="0"/>
            <w:vAlign w:val="center"/>
          </w:tcPr>
          <w:p w14:paraId="7502675E">
            <w:pPr>
              <w:rPr>
                <w:rFonts w:hint="eastAsia" w:ascii="宋体" w:hAnsi="宋体" w:eastAsia="宋体" w:cs="宋体"/>
                <w:b/>
                <w:sz w:val="21"/>
                <w:szCs w:val="21"/>
              </w:rPr>
            </w:pPr>
            <w:r>
              <w:rPr>
                <w:rFonts w:hint="eastAsia" w:ascii="宋体" w:hAnsi="宋体" w:eastAsia="宋体" w:cs="宋体"/>
                <w:bCs/>
                <w:sz w:val="21"/>
                <w:szCs w:val="21"/>
              </w:rPr>
              <w:t>2、支持最高无线速:2.4GHz频段0.575Gbps，5GHz频段2.4Gbps</w:t>
            </w:r>
          </w:p>
        </w:tc>
      </w:tr>
      <w:tr w14:paraId="6413F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Merge w:val="continue"/>
            <w:noWrap w:val="0"/>
            <w:vAlign w:val="center"/>
          </w:tcPr>
          <w:p w14:paraId="7EDEDABE">
            <w:pPr>
              <w:jc w:val="center"/>
              <w:rPr>
                <w:rFonts w:hint="eastAsia" w:ascii="宋体" w:hAnsi="宋体" w:eastAsia="宋体" w:cs="宋体"/>
                <w:color w:val="000000"/>
                <w:sz w:val="21"/>
                <w:szCs w:val="21"/>
              </w:rPr>
            </w:pPr>
          </w:p>
        </w:tc>
        <w:tc>
          <w:tcPr>
            <w:tcW w:w="1047" w:type="dxa"/>
            <w:vMerge w:val="continue"/>
            <w:noWrap w:val="0"/>
            <w:vAlign w:val="center"/>
          </w:tcPr>
          <w:p w14:paraId="6378501B">
            <w:pPr>
              <w:rPr>
                <w:rFonts w:hint="eastAsia" w:ascii="宋体" w:hAnsi="宋体" w:eastAsia="宋体" w:cs="宋体"/>
                <w:sz w:val="21"/>
                <w:szCs w:val="21"/>
              </w:rPr>
            </w:pPr>
          </w:p>
        </w:tc>
        <w:tc>
          <w:tcPr>
            <w:tcW w:w="7464" w:type="dxa"/>
            <w:noWrap w:val="0"/>
            <w:vAlign w:val="center"/>
          </w:tcPr>
          <w:p w14:paraId="4312C1C1">
            <w:pPr>
              <w:rPr>
                <w:rFonts w:hint="eastAsia" w:ascii="宋体" w:hAnsi="宋体" w:eastAsia="宋体" w:cs="宋体"/>
                <w:b/>
                <w:sz w:val="21"/>
                <w:szCs w:val="21"/>
              </w:rPr>
            </w:pPr>
            <w:r>
              <w:rPr>
                <w:rFonts w:hint="eastAsia" w:ascii="宋体" w:hAnsi="宋体" w:eastAsia="宋体" w:cs="宋体"/>
                <w:bCs/>
                <w:sz w:val="21"/>
                <w:szCs w:val="21"/>
              </w:rPr>
              <w:t>3、SSID数量:2.4G:7;5G:7</w:t>
            </w:r>
          </w:p>
        </w:tc>
      </w:tr>
      <w:tr w14:paraId="64654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Merge w:val="continue"/>
            <w:noWrap w:val="0"/>
            <w:vAlign w:val="center"/>
          </w:tcPr>
          <w:p w14:paraId="5E9DB10C">
            <w:pPr>
              <w:jc w:val="center"/>
              <w:rPr>
                <w:rFonts w:hint="eastAsia" w:ascii="宋体" w:hAnsi="宋体" w:eastAsia="宋体" w:cs="宋体"/>
                <w:color w:val="000000"/>
                <w:sz w:val="21"/>
                <w:szCs w:val="21"/>
              </w:rPr>
            </w:pPr>
          </w:p>
        </w:tc>
        <w:tc>
          <w:tcPr>
            <w:tcW w:w="1047" w:type="dxa"/>
            <w:vMerge w:val="continue"/>
            <w:noWrap w:val="0"/>
            <w:vAlign w:val="center"/>
          </w:tcPr>
          <w:p w14:paraId="7770188F">
            <w:pPr>
              <w:rPr>
                <w:rFonts w:hint="eastAsia" w:ascii="宋体" w:hAnsi="宋体" w:eastAsia="宋体" w:cs="宋体"/>
                <w:sz w:val="21"/>
                <w:szCs w:val="21"/>
              </w:rPr>
            </w:pPr>
          </w:p>
        </w:tc>
        <w:tc>
          <w:tcPr>
            <w:tcW w:w="7464" w:type="dxa"/>
            <w:noWrap w:val="0"/>
            <w:vAlign w:val="center"/>
          </w:tcPr>
          <w:p w14:paraId="0E94168E">
            <w:pPr>
              <w:rPr>
                <w:rFonts w:hint="eastAsia" w:ascii="宋体" w:hAnsi="宋体" w:eastAsia="宋体" w:cs="宋体"/>
                <w:sz w:val="21"/>
                <w:szCs w:val="21"/>
              </w:rPr>
            </w:pPr>
            <w:r>
              <w:rPr>
                <w:rFonts w:hint="eastAsia" w:ascii="宋体" w:hAnsi="宋体" w:eastAsia="宋体" w:cs="宋体"/>
                <w:bCs/>
                <w:sz w:val="21"/>
                <w:szCs w:val="21"/>
              </w:rPr>
              <w:t>4、信道带宽设置：2.4G:20M/40MHz/自动;5G:20M/40M/80/160MHz/自动</w:t>
            </w:r>
          </w:p>
        </w:tc>
      </w:tr>
      <w:tr w14:paraId="03D6F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Merge w:val="continue"/>
            <w:noWrap w:val="0"/>
            <w:vAlign w:val="center"/>
          </w:tcPr>
          <w:p w14:paraId="6B02FF94">
            <w:pPr>
              <w:jc w:val="center"/>
              <w:rPr>
                <w:rFonts w:hint="eastAsia" w:ascii="宋体" w:hAnsi="宋体" w:eastAsia="宋体" w:cs="宋体"/>
                <w:color w:val="000000"/>
                <w:sz w:val="21"/>
                <w:szCs w:val="21"/>
              </w:rPr>
            </w:pPr>
          </w:p>
        </w:tc>
        <w:tc>
          <w:tcPr>
            <w:tcW w:w="1047" w:type="dxa"/>
            <w:vMerge w:val="continue"/>
            <w:noWrap w:val="0"/>
            <w:vAlign w:val="center"/>
          </w:tcPr>
          <w:p w14:paraId="3286C0F7">
            <w:pPr>
              <w:rPr>
                <w:rFonts w:hint="eastAsia" w:ascii="宋体" w:hAnsi="宋体" w:eastAsia="宋体" w:cs="宋体"/>
                <w:sz w:val="21"/>
                <w:szCs w:val="21"/>
              </w:rPr>
            </w:pPr>
          </w:p>
        </w:tc>
        <w:tc>
          <w:tcPr>
            <w:tcW w:w="7464" w:type="dxa"/>
            <w:noWrap w:val="0"/>
            <w:vAlign w:val="center"/>
          </w:tcPr>
          <w:p w14:paraId="75FD2FEF">
            <w:pPr>
              <w:rPr>
                <w:rFonts w:hint="eastAsia" w:ascii="宋体" w:hAnsi="宋体" w:eastAsia="宋体" w:cs="宋体"/>
                <w:sz w:val="21"/>
                <w:szCs w:val="21"/>
              </w:rPr>
            </w:pPr>
            <w:r>
              <w:rPr>
                <w:rFonts w:hint="eastAsia" w:ascii="宋体" w:hAnsi="宋体" w:eastAsia="宋体" w:cs="宋体"/>
                <w:bCs/>
                <w:sz w:val="21"/>
                <w:szCs w:val="21"/>
              </w:rPr>
              <w:t>5、支持Wi-Fi多频合一</w:t>
            </w:r>
          </w:p>
        </w:tc>
      </w:tr>
      <w:tr w14:paraId="5591D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Merge w:val="continue"/>
            <w:noWrap w:val="0"/>
            <w:vAlign w:val="center"/>
          </w:tcPr>
          <w:p w14:paraId="0577C7F0">
            <w:pPr>
              <w:jc w:val="center"/>
              <w:rPr>
                <w:rFonts w:hint="eastAsia" w:ascii="宋体" w:hAnsi="宋体" w:eastAsia="宋体" w:cs="宋体"/>
                <w:color w:val="000000"/>
                <w:sz w:val="21"/>
                <w:szCs w:val="21"/>
              </w:rPr>
            </w:pPr>
          </w:p>
        </w:tc>
        <w:tc>
          <w:tcPr>
            <w:tcW w:w="1047" w:type="dxa"/>
            <w:vMerge w:val="continue"/>
            <w:noWrap w:val="0"/>
            <w:vAlign w:val="center"/>
          </w:tcPr>
          <w:p w14:paraId="7FA0DEB6">
            <w:pPr>
              <w:rPr>
                <w:rFonts w:hint="eastAsia" w:ascii="宋体" w:hAnsi="宋体" w:eastAsia="宋体" w:cs="宋体"/>
                <w:sz w:val="21"/>
                <w:szCs w:val="21"/>
              </w:rPr>
            </w:pPr>
          </w:p>
        </w:tc>
        <w:tc>
          <w:tcPr>
            <w:tcW w:w="7464" w:type="dxa"/>
            <w:noWrap w:val="0"/>
            <w:vAlign w:val="center"/>
          </w:tcPr>
          <w:p w14:paraId="137FABF2">
            <w:pPr>
              <w:rPr>
                <w:rFonts w:hint="eastAsia" w:ascii="宋体" w:hAnsi="宋体" w:eastAsia="宋体" w:cs="宋体"/>
                <w:sz w:val="21"/>
                <w:szCs w:val="21"/>
              </w:rPr>
            </w:pPr>
            <w:r>
              <w:rPr>
                <w:rFonts w:hint="eastAsia" w:ascii="宋体" w:hAnsi="宋体" w:eastAsia="宋体" w:cs="宋体"/>
                <w:bCs/>
                <w:sz w:val="21"/>
                <w:szCs w:val="21"/>
              </w:rPr>
              <w:t>6、接口：1个10/100/1000Mbps速率自适应以太网接口</w:t>
            </w:r>
          </w:p>
        </w:tc>
      </w:tr>
      <w:tr w14:paraId="46F2D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Merge w:val="continue"/>
            <w:noWrap w:val="0"/>
            <w:vAlign w:val="center"/>
          </w:tcPr>
          <w:p w14:paraId="51CE305C">
            <w:pPr>
              <w:jc w:val="center"/>
              <w:rPr>
                <w:rFonts w:hint="eastAsia" w:ascii="宋体" w:hAnsi="宋体" w:eastAsia="宋体" w:cs="宋体"/>
                <w:color w:val="000000"/>
                <w:sz w:val="21"/>
                <w:szCs w:val="21"/>
              </w:rPr>
            </w:pPr>
          </w:p>
        </w:tc>
        <w:tc>
          <w:tcPr>
            <w:tcW w:w="1047" w:type="dxa"/>
            <w:vMerge w:val="continue"/>
            <w:noWrap w:val="0"/>
            <w:vAlign w:val="center"/>
          </w:tcPr>
          <w:p w14:paraId="4691AD90">
            <w:pPr>
              <w:rPr>
                <w:rFonts w:hint="eastAsia" w:ascii="宋体" w:hAnsi="宋体" w:eastAsia="宋体" w:cs="宋体"/>
                <w:sz w:val="21"/>
                <w:szCs w:val="21"/>
              </w:rPr>
            </w:pPr>
          </w:p>
        </w:tc>
        <w:tc>
          <w:tcPr>
            <w:tcW w:w="7464" w:type="dxa"/>
            <w:noWrap w:val="0"/>
            <w:vAlign w:val="center"/>
          </w:tcPr>
          <w:p w14:paraId="64E7B67F">
            <w:pPr>
              <w:rPr>
                <w:rFonts w:hint="eastAsia" w:ascii="宋体" w:hAnsi="宋体" w:eastAsia="宋体" w:cs="宋体"/>
                <w:sz w:val="21"/>
                <w:szCs w:val="21"/>
              </w:rPr>
            </w:pPr>
            <w:r>
              <w:rPr>
                <w:rFonts w:hint="eastAsia" w:ascii="宋体" w:hAnsi="宋体" w:eastAsia="宋体" w:cs="宋体"/>
                <w:bCs/>
                <w:sz w:val="21"/>
                <w:szCs w:val="21"/>
              </w:rPr>
              <w:t>7、支持IEEE 802.3at标准PoE供电，支持12V直流供电</w:t>
            </w:r>
          </w:p>
        </w:tc>
      </w:tr>
      <w:tr w14:paraId="560B4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Merge w:val="restart"/>
            <w:noWrap w:val="0"/>
            <w:vAlign w:val="center"/>
          </w:tcPr>
          <w:p w14:paraId="3349789C">
            <w:pPr>
              <w:widowControl/>
              <w:jc w:val="center"/>
              <w:rPr>
                <w:rFonts w:hint="eastAsia" w:ascii="宋体" w:hAnsi="宋体" w:eastAsia="宋体" w:cs="宋体"/>
                <w:sz w:val="21"/>
                <w:szCs w:val="21"/>
              </w:rPr>
            </w:pPr>
            <w:r>
              <w:rPr>
                <w:rFonts w:hint="eastAsia" w:ascii="宋体" w:hAnsi="宋体" w:eastAsia="宋体" w:cs="宋体"/>
                <w:sz w:val="21"/>
                <w:szCs w:val="21"/>
              </w:rPr>
              <w:t>6</w:t>
            </w:r>
          </w:p>
        </w:tc>
        <w:tc>
          <w:tcPr>
            <w:tcW w:w="1047" w:type="dxa"/>
            <w:vMerge w:val="restart"/>
            <w:noWrap w:val="0"/>
            <w:vAlign w:val="center"/>
          </w:tcPr>
          <w:p w14:paraId="19F0E1A2">
            <w:pPr>
              <w:widowControl/>
              <w:jc w:val="center"/>
              <w:rPr>
                <w:rFonts w:hint="eastAsia" w:ascii="宋体" w:hAnsi="宋体" w:eastAsia="宋体" w:cs="宋体"/>
                <w:sz w:val="21"/>
                <w:szCs w:val="21"/>
              </w:rPr>
            </w:pPr>
            <w:r>
              <w:rPr>
                <w:rFonts w:hint="eastAsia" w:ascii="宋体" w:hAnsi="宋体" w:eastAsia="宋体" w:cs="宋体"/>
                <w:sz w:val="21"/>
                <w:szCs w:val="21"/>
              </w:rPr>
              <w:t>AC控制器</w:t>
            </w:r>
          </w:p>
        </w:tc>
        <w:tc>
          <w:tcPr>
            <w:tcW w:w="7464" w:type="dxa"/>
            <w:noWrap w:val="0"/>
            <w:vAlign w:val="center"/>
          </w:tcPr>
          <w:p w14:paraId="3CB4E6E6">
            <w:pPr>
              <w:widowControl/>
              <w:rPr>
                <w:rFonts w:hint="eastAsia" w:ascii="宋体" w:hAnsi="宋体" w:eastAsia="宋体" w:cs="宋体"/>
                <w:sz w:val="21"/>
                <w:szCs w:val="21"/>
              </w:rPr>
            </w:pPr>
            <w:r>
              <w:rPr>
                <w:rFonts w:hint="eastAsia" w:ascii="宋体" w:hAnsi="宋体" w:eastAsia="宋体" w:cs="宋体"/>
                <w:sz w:val="21"/>
                <w:szCs w:val="21"/>
              </w:rPr>
              <w:t>1、LAN输出口：三个及以上2.5G网口</w:t>
            </w:r>
          </w:p>
        </w:tc>
      </w:tr>
      <w:tr w14:paraId="6E4AA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Merge w:val="continue"/>
            <w:noWrap w:val="0"/>
            <w:vAlign w:val="center"/>
          </w:tcPr>
          <w:p w14:paraId="7F1FD927">
            <w:pPr>
              <w:jc w:val="center"/>
              <w:rPr>
                <w:rFonts w:hint="eastAsia" w:ascii="宋体" w:hAnsi="宋体" w:eastAsia="宋体" w:cs="宋体"/>
                <w:color w:val="000000"/>
                <w:sz w:val="21"/>
                <w:szCs w:val="21"/>
              </w:rPr>
            </w:pPr>
          </w:p>
        </w:tc>
        <w:tc>
          <w:tcPr>
            <w:tcW w:w="1047" w:type="dxa"/>
            <w:vMerge w:val="continue"/>
            <w:noWrap w:val="0"/>
            <w:vAlign w:val="center"/>
          </w:tcPr>
          <w:p w14:paraId="41563A23">
            <w:pPr>
              <w:rPr>
                <w:rFonts w:hint="eastAsia" w:ascii="宋体" w:hAnsi="宋体" w:eastAsia="宋体" w:cs="宋体"/>
                <w:sz w:val="21"/>
                <w:szCs w:val="21"/>
              </w:rPr>
            </w:pPr>
          </w:p>
        </w:tc>
        <w:tc>
          <w:tcPr>
            <w:tcW w:w="7464" w:type="dxa"/>
            <w:noWrap w:val="0"/>
            <w:vAlign w:val="center"/>
          </w:tcPr>
          <w:p w14:paraId="404C7F66">
            <w:pPr>
              <w:widowControl/>
              <w:rPr>
                <w:rFonts w:hint="eastAsia" w:ascii="宋体" w:hAnsi="宋体" w:eastAsia="宋体" w:cs="宋体"/>
                <w:sz w:val="21"/>
                <w:szCs w:val="21"/>
              </w:rPr>
            </w:pPr>
            <w:r>
              <w:rPr>
                <w:rFonts w:hint="eastAsia" w:ascii="宋体" w:hAnsi="宋体" w:eastAsia="宋体" w:cs="宋体"/>
                <w:sz w:val="21"/>
                <w:szCs w:val="21"/>
              </w:rPr>
              <w:t>2、WAN接入口：三个及以上2.5G网口</w:t>
            </w:r>
          </w:p>
        </w:tc>
      </w:tr>
      <w:tr w14:paraId="69560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Merge w:val="continue"/>
            <w:noWrap w:val="0"/>
            <w:vAlign w:val="center"/>
          </w:tcPr>
          <w:p w14:paraId="15F30471">
            <w:pPr>
              <w:jc w:val="center"/>
              <w:rPr>
                <w:rFonts w:hint="eastAsia" w:ascii="宋体" w:hAnsi="宋体" w:eastAsia="宋体" w:cs="宋体"/>
                <w:color w:val="000000"/>
                <w:sz w:val="21"/>
                <w:szCs w:val="21"/>
              </w:rPr>
            </w:pPr>
          </w:p>
        </w:tc>
        <w:tc>
          <w:tcPr>
            <w:tcW w:w="1047" w:type="dxa"/>
            <w:vMerge w:val="continue"/>
            <w:noWrap w:val="0"/>
            <w:vAlign w:val="center"/>
          </w:tcPr>
          <w:p w14:paraId="3EC3E5CB">
            <w:pPr>
              <w:rPr>
                <w:rFonts w:hint="eastAsia" w:ascii="宋体" w:hAnsi="宋体" w:eastAsia="宋体" w:cs="宋体"/>
                <w:sz w:val="21"/>
                <w:szCs w:val="21"/>
              </w:rPr>
            </w:pPr>
          </w:p>
        </w:tc>
        <w:tc>
          <w:tcPr>
            <w:tcW w:w="7464" w:type="dxa"/>
            <w:noWrap w:val="0"/>
            <w:vAlign w:val="center"/>
          </w:tcPr>
          <w:p w14:paraId="25E70D17">
            <w:pPr>
              <w:widowControl/>
              <w:rPr>
                <w:rFonts w:hint="eastAsia" w:ascii="宋体" w:hAnsi="宋体" w:eastAsia="宋体" w:cs="宋体"/>
                <w:sz w:val="21"/>
                <w:szCs w:val="21"/>
              </w:rPr>
            </w:pPr>
            <w:r>
              <w:rPr>
                <w:rFonts w:hint="eastAsia" w:ascii="宋体" w:hAnsi="宋体" w:eastAsia="宋体" w:cs="宋体"/>
                <w:sz w:val="21"/>
                <w:szCs w:val="21"/>
              </w:rPr>
              <w:t>3、总带机量：81-100终端</w:t>
            </w:r>
          </w:p>
        </w:tc>
      </w:tr>
      <w:tr w14:paraId="38036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Merge w:val="continue"/>
            <w:noWrap w:val="0"/>
            <w:vAlign w:val="center"/>
          </w:tcPr>
          <w:p w14:paraId="060C84B8">
            <w:pPr>
              <w:jc w:val="center"/>
              <w:rPr>
                <w:rFonts w:hint="eastAsia" w:ascii="宋体" w:hAnsi="宋体" w:eastAsia="宋体" w:cs="宋体"/>
                <w:color w:val="000000"/>
                <w:sz w:val="21"/>
                <w:szCs w:val="21"/>
              </w:rPr>
            </w:pPr>
          </w:p>
        </w:tc>
        <w:tc>
          <w:tcPr>
            <w:tcW w:w="1047" w:type="dxa"/>
            <w:vMerge w:val="continue"/>
            <w:noWrap w:val="0"/>
            <w:vAlign w:val="center"/>
          </w:tcPr>
          <w:p w14:paraId="3CB6F59B">
            <w:pPr>
              <w:rPr>
                <w:rFonts w:hint="eastAsia" w:ascii="宋体" w:hAnsi="宋体" w:eastAsia="宋体" w:cs="宋体"/>
                <w:sz w:val="21"/>
                <w:szCs w:val="21"/>
              </w:rPr>
            </w:pPr>
          </w:p>
        </w:tc>
        <w:tc>
          <w:tcPr>
            <w:tcW w:w="7464" w:type="dxa"/>
            <w:noWrap w:val="0"/>
            <w:vAlign w:val="center"/>
          </w:tcPr>
          <w:p w14:paraId="38C5098E">
            <w:pPr>
              <w:widowControl/>
              <w:rPr>
                <w:rFonts w:hint="eastAsia" w:ascii="宋体" w:hAnsi="宋体" w:eastAsia="宋体" w:cs="宋体"/>
                <w:sz w:val="21"/>
                <w:szCs w:val="21"/>
              </w:rPr>
            </w:pPr>
            <w:r>
              <w:rPr>
                <w:rFonts w:hint="eastAsia" w:ascii="宋体" w:hAnsi="宋体" w:eastAsia="宋体" w:cs="宋体"/>
                <w:sz w:val="21"/>
                <w:szCs w:val="21"/>
              </w:rPr>
              <w:t>4、其他端口：USB口</w:t>
            </w:r>
          </w:p>
        </w:tc>
      </w:tr>
      <w:tr w14:paraId="65408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Merge w:val="restart"/>
            <w:noWrap w:val="0"/>
            <w:vAlign w:val="center"/>
          </w:tcPr>
          <w:p w14:paraId="583142C8">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7</w:t>
            </w:r>
          </w:p>
        </w:tc>
        <w:tc>
          <w:tcPr>
            <w:tcW w:w="1047" w:type="dxa"/>
            <w:vMerge w:val="restart"/>
            <w:noWrap w:val="0"/>
            <w:vAlign w:val="center"/>
          </w:tcPr>
          <w:p w14:paraId="4F761825">
            <w:pPr>
              <w:rPr>
                <w:rFonts w:hint="eastAsia" w:ascii="宋体" w:hAnsi="宋体" w:eastAsia="宋体" w:cs="宋体"/>
                <w:sz w:val="21"/>
                <w:szCs w:val="21"/>
              </w:rPr>
            </w:pPr>
            <w:r>
              <w:rPr>
                <w:rFonts w:hint="eastAsia" w:ascii="宋体" w:hAnsi="宋体" w:eastAsia="宋体" w:cs="宋体"/>
                <w:color w:val="000000"/>
                <w:sz w:val="21"/>
                <w:szCs w:val="21"/>
              </w:rPr>
              <w:t>POE交换机</w:t>
            </w:r>
          </w:p>
        </w:tc>
        <w:tc>
          <w:tcPr>
            <w:tcW w:w="7464" w:type="dxa"/>
            <w:noWrap w:val="0"/>
            <w:vAlign w:val="center"/>
          </w:tcPr>
          <w:p w14:paraId="11AD6FAD">
            <w:pPr>
              <w:widowControl/>
              <w:rPr>
                <w:rFonts w:hint="eastAsia" w:ascii="宋体" w:hAnsi="宋体" w:eastAsia="宋体" w:cs="宋体"/>
                <w:sz w:val="21"/>
                <w:szCs w:val="21"/>
              </w:rPr>
            </w:pPr>
            <w:r>
              <w:rPr>
                <w:rFonts w:hint="eastAsia" w:ascii="宋体" w:hAnsi="宋体" w:eastAsia="宋体" w:cs="宋体"/>
                <w:sz w:val="21"/>
                <w:szCs w:val="21"/>
              </w:rPr>
              <w:t>1、端口数量：10口10/100/1000Mbps自适应以太网端口</w:t>
            </w:r>
          </w:p>
        </w:tc>
      </w:tr>
      <w:tr w14:paraId="647A5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Merge w:val="continue"/>
            <w:noWrap w:val="0"/>
            <w:vAlign w:val="center"/>
          </w:tcPr>
          <w:p w14:paraId="0788F075">
            <w:pPr>
              <w:jc w:val="center"/>
              <w:rPr>
                <w:rFonts w:hint="eastAsia" w:ascii="宋体" w:hAnsi="宋体" w:eastAsia="宋体" w:cs="宋体"/>
                <w:color w:val="000000"/>
                <w:sz w:val="21"/>
                <w:szCs w:val="21"/>
              </w:rPr>
            </w:pPr>
          </w:p>
        </w:tc>
        <w:tc>
          <w:tcPr>
            <w:tcW w:w="1047" w:type="dxa"/>
            <w:vMerge w:val="continue"/>
            <w:noWrap w:val="0"/>
            <w:vAlign w:val="center"/>
          </w:tcPr>
          <w:p w14:paraId="3B2E0496">
            <w:pPr>
              <w:rPr>
                <w:rFonts w:hint="eastAsia" w:ascii="宋体" w:hAnsi="宋体" w:eastAsia="宋体" w:cs="宋体"/>
                <w:sz w:val="21"/>
                <w:szCs w:val="21"/>
              </w:rPr>
            </w:pPr>
          </w:p>
        </w:tc>
        <w:tc>
          <w:tcPr>
            <w:tcW w:w="7464" w:type="dxa"/>
            <w:noWrap w:val="0"/>
            <w:vAlign w:val="center"/>
          </w:tcPr>
          <w:p w14:paraId="114BC30D">
            <w:pPr>
              <w:widowControl/>
              <w:rPr>
                <w:rFonts w:hint="eastAsia" w:ascii="宋体" w:hAnsi="宋体" w:eastAsia="宋体" w:cs="宋体"/>
                <w:sz w:val="21"/>
                <w:szCs w:val="21"/>
              </w:rPr>
            </w:pPr>
            <w:r>
              <w:rPr>
                <w:rFonts w:hint="eastAsia" w:ascii="宋体" w:hAnsi="宋体" w:eastAsia="宋体" w:cs="宋体"/>
                <w:sz w:val="21"/>
                <w:szCs w:val="21"/>
              </w:rPr>
              <w:t>2、端口供电功能：POE供电</w:t>
            </w:r>
          </w:p>
        </w:tc>
      </w:tr>
      <w:tr w14:paraId="4770B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Merge w:val="restart"/>
            <w:noWrap w:val="0"/>
            <w:vAlign w:val="center"/>
          </w:tcPr>
          <w:p w14:paraId="5F9112CE">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8</w:t>
            </w:r>
          </w:p>
        </w:tc>
        <w:tc>
          <w:tcPr>
            <w:tcW w:w="1047" w:type="dxa"/>
            <w:vMerge w:val="restart"/>
            <w:noWrap w:val="0"/>
            <w:vAlign w:val="center"/>
          </w:tcPr>
          <w:p w14:paraId="2C9E62F1">
            <w:pPr>
              <w:rPr>
                <w:rFonts w:hint="eastAsia" w:ascii="宋体" w:hAnsi="宋体" w:eastAsia="宋体" w:cs="宋体"/>
                <w:sz w:val="21"/>
                <w:szCs w:val="21"/>
              </w:rPr>
            </w:pPr>
            <w:r>
              <w:rPr>
                <w:rFonts w:hint="eastAsia" w:ascii="宋体" w:hAnsi="宋体" w:eastAsia="宋体" w:cs="宋体"/>
                <w:color w:val="000000"/>
                <w:sz w:val="21"/>
                <w:szCs w:val="21"/>
              </w:rPr>
              <w:t>网线</w:t>
            </w:r>
          </w:p>
        </w:tc>
        <w:tc>
          <w:tcPr>
            <w:tcW w:w="7464" w:type="dxa"/>
            <w:noWrap w:val="0"/>
            <w:vAlign w:val="center"/>
          </w:tcPr>
          <w:p w14:paraId="69A9E0DE">
            <w:pPr>
              <w:rPr>
                <w:rFonts w:hint="eastAsia" w:ascii="宋体" w:hAnsi="宋体" w:eastAsia="宋体" w:cs="宋体"/>
                <w:b/>
                <w:sz w:val="21"/>
                <w:szCs w:val="21"/>
              </w:rPr>
            </w:pPr>
            <w:r>
              <w:rPr>
                <w:rFonts w:hint="eastAsia" w:ascii="宋体" w:hAnsi="宋体" w:eastAsia="宋体" w:cs="宋体"/>
                <w:sz w:val="21"/>
                <w:szCs w:val="21"/>
                <w:lang w:bidi="ar"/>
              </w:rPr>
              <w:t>1、符合标准：YD/T1019，ANSI∕TIA-568.2-D，ISO/IEC 11801；</w:t>
            </w:r>
          </w:p>
        </w:tc>
      </w:tr>
      <w:tr w14:paraId="6AAC5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Merge w:val="continue"/>
            <w:noWrap w:val="0"/>
            <w:vAlign w:val="center"/>
          </w:tcPr>
          <w:p w14:paraId="1C229BBD">
            <w:pPr>
              <w:jc w:val="center"/>
              <w:rPr>
                <w:rFonts w:hint="eastAsia" w:ascii="宋体" w:hAnsi="宋体" w:eastAsia="宋体" w:cs="宋体"/>
                <w:color w:val="000000"/>
                <w:sz w:val="21"/>
                <w:szCs w:val="21"/>
              </w:rPr>
            </w:pPr>
          </w:p>
        </w:tc>
        <w:tc>
          <w:tcPr>
            <w:tcW w:w="1047" w:type="dxa"/>
            <w:vMerge w:val="continue"/>
            <w:noWrap w:val="0"/>
            <w:vAlign w:val="center"/>
          </w:tcPr>
          <w:p w14:paraId="5937172F">
            <w:pPr>
              <w:rPr>
                <w:rFonts w:hint="eastAsia" w:ascii="宋体" w:hAnsi="宋体" w:eastAsia="宋体" w:cs="宋体"/>
                <w:color w:val="000000"/>
                <w:sz w:val="21"/>
                <w:szCs w:val="21"/>
              </w:rPr>
            </w:pPr>
          </w:p>
        </w:tc>
        <w:tc>
          <w:tcPr>
            <w:tcW w:w="7464" w:type="dxa"/>
            <w:noWrap w:val="0"/>
            <w:vAlign w:val="center"/>
          </w:tcPr>
          <w:p w14:paraId="45C59921">
            <w:pPr>
              <w:rPr>
                <w:rFonts w:hint="eastAsia" w:ascii="宋体" w:hAnsi="宋体" w:eastAsia="宋体" w:cs="宋体"/>
                <w:b/>
                <w:sz w:val="21"/>
                <w:szCs w:val="21"/>
              </w:rPr>
            </w:pPr>
            <w:r>
              <w:rPr>
                <w:rFonts w:hint="eastAsia" w:ascii="宋体" w:hAnsi="宋体" w:eastAsia="宋体" w:cs="宋体"/>
                <w:sz w:val="21"/>
                <w:szCs w:val="21"/>
                <w:lang w:bidi="ar"/>
              </w:rPr>
              <w:t>2、线缆阻抗：100±15Ω；</w:t>
            </w:r>
          </w:p>
        </w:tc>
      </w:tr>
      <w:tr w14:paraId="2C2BB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Merge w:val="continue"/>
            <w:noWrap w:val="0"/>
            <w:vAlign w:val="center"/>
          </w:tcPr>
          <w:p w14:paraId="612A6664">
            <w:pPr>
              <w:jc w:val="center"/>
              <w:rPr>
                <w:rFonts w:hint="eastAsia" w:ascii="宋体" w:hAnsi="宋体" w:eastAsia="宋体" w:cs="宋体"/>
                <w:color w:val="000000"/>
                <w:sz w:val="21"/>
                <w:szCs w:val="21"/>
              </w:rPr>
            </w:pPr>
          </w:p>
        </w:tc>
        <w:tc>
          <w:tcPr>
            <w:tcW w:w="1047" w:type="dxa"/>
            <w:vMerge w:val="continue"/>
            <w:noWrap w:val="0"/>
            <w:vAlign w:val="center"/>
          </w:tcPr>
          <w:p w14:paraId="73BC2D4B">
            <w:pPr>
              <w:rPr>
                <w:rFonts w:hint="eastAsia" w:ascii="宋体" w:hAnsi="宋体" w:eastAsia="宋体" w:cs="宋体"/>
                <w:color w:val="000000"/>
                <w:sz w:val="21"/>
                <w:szCs w:val="21"/>
              </w:rPr>
            </w:pPr>
          </w:p>
        </w:tc>
        <w:tc>
          <w:tcPr>
            <w:tcW w:w="7464" w:type="dxa"/>
            <w:noWrap w:val="0"/>
            <w:vAlign w:val="center"/>
          </w:tcPr>
          <w:p w14:paraId="3F321268">
            <w:pPr>
              <w:rPr>
                <w:rFonts w:hint="eastAsia" w:ascii="宋体" w:hAnsi="宋体" w:eastAsia="宋体" w:cs="宋体"/>
                <w:b/>
                <w:sz w:val="21"/>
                <w:szCs w:val="21"/>
              </w:rPr>
            </w:pPr>
            <w:r>
              <w:rPr>
                <w:rFonts w:hint="eastAsia" w:ascii="宋体" w:hAnsi="宋体" w:eastAsia="宋体" w:cs="宋体"/>
                <w:sz w:val="21"/>
                <w:szCs w:val="21"/>
                <w:lang w:bidi="ar"/>
              </w:rPr>
              <w:t>3、工作温度：-20～+60℃；</w:t>
            </w:r>
          </w:p>
        </w:tc>
      </w:tr>
      <w:tr w14:paraId="0F9F8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Merge w:val="continue"/>
            <w:noWrap w:val="0"/>
            <w:vAlign w:val="center"/>
          </w:tcPr>
          <w:p w14:paraId="176EFA68">
            <w:pPr>
              <w:jc w:val="center"/>
              <w:rPr>
                <w:rFonts w:hint="eastAsia" w:ascii="宋体" w:hAnsi="宋体" w:eastAsia="宋体" w:cs="宋体"/>
                <w:color w:val="000000"/>
                <w:sz w:val="21"/>
                <w:szCs w:val="21"/>
              </w:rPr>
            </w:pPr>
          </w:p>
        </w:tc>
        <w:tc>
          <w:tcPr>
            <w:tcW w:w="1047" w:type="dxa"/>
            <w:vMerge w:val="continue"/>
            <w:noWrap w:val="0"/>
            <w:vAlign w:val="center"/>
          </w:tcPr>
          <w:p w14:paraId="214364BD">
            <w:pPr>
              <w:rPr>
                <w:rFonts w:hint="eastAsia" w:ascii="宋体" w:hAnsi="宋体" w:eastAsia="宋体" w:cs="宋体"/>
                <w:color w:val="000000"/>
                <w:sz w:val="21"/>
                <w:szCs w:val="21"/>
              </w:rPr>
            </w:pPr>
          </w:p>
        </w:tc>
        <w:tc>
          <w:tcPr>
            <w:tcW w:w="7464" w:type="dxa"/>
            <w:noWrap w:val="0"/>
            <w:vAlign w:val="center"/>
          </w:tcPr>
          <w:p w14:paraId="49E38B4D">
            <w:pPr>
              <w:rPr>
                <w:rFonts w:hint="eastAsia" w:ascii="宋体" w:hAnsi="宋体" w:eastAsia="宋体" w:cs="宋体"/>
                <w:b/>
                <w:sz w:val="21"/>
                <w:szCs w:val="21"/>
              </w:rPr>
            </w:pPr>
            <w:r>
              <w:rPr>
                <w:rFonts w:hint="eastAsia" w:ascii="宋体" w:hAnsi="宋体" w:eastAsia="宋体" w:cs="宋体"/>
                <w:sz w:val="21"/>
                <w:szCs w:val="21"/>
                <w:lang w:bidi="ar"/>
              </w:rPr>
              <w:t>4、护套上印有电缆品牌LOGO和型号；</w:t>
            </w:r>
          </w:p>
        </w:tc>
      </w:tr>
      <w:tr w14:paraId="206BF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Merge w:val="continue"/>
            <w:noWrap w:val="0"/>
            <w:vAlign w:val="center"/>
          </w:tcPr>
          <w:p w14:paraId="52B47D1E">
            <w:pPr>
              <w:jc w:val="center"/>
              <w:rPr>
                <w:rFonts w:hint="eastAsia" w:ascii="宋体" w:hAnsi="宋体" w:eastAsia="宋体" w:cs="宋体"/>
                <w:color w:val="000000"/>
                <w:sz w:val="21"/>
                <w:szCs w:val="21"/>
              </w:rPr>
            </w:pPr>
          </w:p>
        </w:tc>
        <w:tc>
          <w:tcPr>
            <w:tcW w:w="1047" w:type="dxa"/>
            <w:vMerge w:val="continue"/>
            <w:noWrap w:val="0"/>
            <w:vAlign w:val="center"/>
          </w:tcPr>
          <w:p w14:paraId="774ACAF0">
            <w:pPr>
              <w:rPr>
                <w:rFonts w:hint="eastAsia" w:ascii="宋体" w:hAnsi="宋体" w:eastAsia="宋体" w:cs="宋体"/>
                <w:color w:val="000000"/>
                <w:sz w:val="21"/>
                <w:szCs w:val="21"/>
              </w:rPr>
            </w:pPr>
          </w:p>
        </w:tc>
        <w:tc>
          <w:tcPr>
            <w:tcW w:w="7464" w:type="dxa"/>
            <w:noWrap w:val="0"/>
            <w:vAlign w:val="center"/>
          </w:tcPr>
          <w:p w14:paraId="1665821B">
            <w:pPr>
              <w:rPr>
                <w:rFonts w:hint="eastAsia" w:ascii="宋体" w:hAnsi="宋体" w:eastAsia="宋体" w:cs="宋体"/>
                <w:sz w:val="21"/>
                <w:szCs w:val="21"/>
                <w:lang w:bidi="ar"/>
              </w:rPr>
            </w:pPr>
            <w:r>
              <w:rPr>
                <w:rFonts w:hint="eastAsia" w:ascii="宋体" w:hAnsi="宋体" w:eastAsia="宋体" w:cs="宋体"/>
                <w:sz w:val="21"/>
                <w:szCs w:val="21"/>
                <w:lang w:bidi="ar"/>
              </w:rPr>
              <w:t>5、采用CM等级PVC料；</w:t>
            </w:r>
          </w:p>
        </w:tc>
      </w:tr>
      <w:tr w14:paraId="1B6F2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Merge w:val="continue"/>
            <w:noWrap w:val="0"/>
            <w:vAlign w:val="center"/>
          </w:tcPr>
          <w:p w14:paraId="31680A36">
            <w:pPr>
              <w:jc w:val="center"/>
              <w:rPr>
                <w:rFonts w:hint="eastAsia" w:ascii="宋体" w:hAnsi="宋体" w:eastAsia="宋体" w:cs="宋体"/>
                <w:color w:val="000000"/>
                <w:sz w:val="21"/>
                <w:szCs w:val="21"/>
              </w:rPr>
            </w:pPr>
          </w:p>
        </w:tc>
        <w:tc>
          <w:tcPr>
            <w:tcW w:w="1047" w:type="dxa"/>
            <w:vMerge w:val="continue"/>
            <w:noWrap w:val="0"/>
            <w:vAlign w:val="center"/>
          </w:tcPr>
          <w:p w14:paraId="1510B1EE">
            <w:pPr>
              <w:rPr>
                <w:rFonts w:hint="eastAsia" w:ascii="宋体" w:hAnsi="宋体" w:eastAsia="宋体" w:cs="宋体"/>
                <w:color w:val="000000"/>
                <w:sz w:val="21"/>
                <w:szCs w:val="21"/>
              </w:rPr>
            </w:pPr>
          </w:p>
        </w:tc>
        <w:tc>
          <w:tcPr>
            <w:tcW w:w="7464" w:type="dxa"/>
            <w:noWrap w:val="0"/>
            <w:vAlign w:val="center"/>
          </w:tcPr>
          <w:p w14:paraId="0C25F0CF">
            <w:pPr>
              <w:rPr>
                <w:rFonts w:hint="eastAsia" w:ascii="宋体" w:hAnsi="宋体" w:eastAsia="宋体" w:cs="宋体"/>
                <w:b/>
                <w:sz w:val="21"/>
                <w:szCs w:val="21"/>
              </w:rPr>
            </w:pPr>
            <w:r>
              <w:rPr>
                <w:rFonts w:hint="eastAsia" w:ascii="宋体" w:hAnsi="宋体" w:eastAsia="宋体" w:cs="宋体"/>
                <w:sz w:val="21"/>
                <w:szCs w:val="21"/>
                <w:lang w:bidi="ar"/>
              </w:rPr>
              <w:t>6、绝缘层： HD-PE料；</w:t>
            </w:r>
          </w:p>
        </w:tc>
      </w:tr>
      <w:tr w14:paraId="4E57A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Merge w:val="continue"/>
            <w:noWrap w:val="0"/>
            <w:vAlign w:val="center"/>
          </w:tcPr>
          <w:p w14:paraId="0A4B9ED5">
            <w:pPr>
              <w:jc w:val="center"/>
              <w:rPr>
                <w:rFonts w:hint="eastAsia" w:ascii="宋体" w:hAnsi="宋体" w:eastAsia="宋体" w:cs="宋体"/>
                <w:color w:val="000000"/>
                <w:sz w:val="21"/>
                <w:szCs w:val="21"/>
              </w:rPr>
            </w:pPr>
          </w:p>
        </w:tc>
        <w:tc>
          <w:tcPr>
            <w:tcW w:w="1047" w:type="dxa"/>
            <w:vMerge w:val="continue"/>
            <w:noWrap w:val="0"/>
            <w:vAlign w:val="center"/>
          </w:tcPr>
          <w:p w14:paraId="20E3A0F2">
            <w:pPr>
              <w:rPr>
                <w:rFonts w:hint="eastAsia" w:ascii="宋体" w:hAnsi="宋体" w:eastAsia="宋体" w:cs="宋体"/>
                <w:color w:val="000000"/>
                <w:sz w:val="21"/>
                <w:szCs w:val="21"/>
              </w:rPr>
            </w:pPr>
          </w:p>
        </w:tc>
        <w:tc>
          <w:tcPr>
            <w:tcW w:w="7464" w:type="dxa"/>
            <w:noWrap w:val="0"/>
            <w:vAlign w:val="center"/>
          </w:tcPr>
          <w:p w14:paraId="6AEEE957">
            <w:pPr>
              <w:rPr>
                <w:rFonts w:hint="eastAsia" w:ascii="宋体" w:hAnsi="宋体" w:eastAsia="宋体" w:cs="宋体"/>
                <w:b/>
                <w:sz w:val="21"/>
                <w:szCs w:val="21"/>
              </w:rPr>
            </w:pPr>
            <w:r>
              <w:rPr>
                <w:rFonts w:hint="eastAsia" w:ascii="宋体" w:hAnsi="宋体" w:eastAsia="宋体" w:cs="宋体"/>
                <w:sz w:val="21"/>
                <w:szCs w:val="21"/>
                <w:lang w:bidi="ar"/>
              </w:rPr>
              <w:t>7、通过标准最高传输频率250MHz测试，直流电阻不平衡：≤2.5%；</w:t>
            </w:r>
          </w:p>
        </w:tc>
      </w:tr>
      <w:tr w14:paraId="7C30A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Merge w:val="continue"/>
            <w:noWrap w:val="0"/>
            <w:vAlign w:val="center"/>
          </w:tcPr>
          <w:p w14:paraId="04CA9948">
            <w:pPr>
              <w:jc w:val="center"/>
              <w:rPr>
                <w:rFonts w:hint="eastAsia" w:ascii="宋体" w:hAnsi="宋体" w:eastAsia="宋体" w:cs="宋体"/>
                <w:color w:val="000000"/>
                <w:sz w:val="21"/>
                <w:szCs w:val="21"/>
              </w:rPr>
            </w:pPr>
          </w:p>
        </w:tc>
        <w:tc>
          <w:tcPr>
            <w:tcW w:w="1047" w:type="dxa"/>
            <w:vMerge w:val="continue"/>
            <w:noWrap w:val="0"/>
            <w:vAlign w:val="center"/>
          </w:tcPr>
          <w:p w14:paraId="2922E932">
            <w:pPr>
              <w:rPr>
                <w:rFonts w:hint="eastAsia" w:ascii="宋体" w:hAnsi="宋体" w:eastAsia="宋体" w:cs="宋体"/>
                <w:color w:val="000000"/>
                <w:sz w:val="21"/>
                <w:szCs w:val="21"/>
              </w:rPr>
            </w:pPr>
          </w:p>
        </w:tc>
        <w:tc>
          <w:tcPr>
            <w:tcW w:w="7464" w:type="dxa"/>
            <w:noWrap w:val="0"/>
            <w:vAlign w:val="center"/>
          </w:tcPr>
          <w:p w14:paraId="0E728CA0">
            <w:pPr>
              <w:rPr>
                <w:rFonts w:hint="eastAsia" w:ascii="宋体" w:hAnsi="宋体" w:eastAsia="宋体" w:cs="宋体"/>
                <w:b/>
                <w:bCs/>
                <w:sz w:val="21"/>
                <w:szCs w:val="21"/>
              </w:rPr>
            </w:pPr>
            <w:r>
              <w:rPr>
                <w:rFonts w:hint="eastAsia" w:ascii="宋体" w:hAnsi="宋体" w:eastAsia="宋体" w:cs="宋体"/>
                <w:sz w:val="21"/>
                <w:szCs w:val="21"/>
              </w:rPr>
              <w:t>▲</w:t>
            </w:r>
            <w:r>
              <w:rPr>
                <w:rFonts w:hint="eastAsia" w:ascii="宋体" w:hAnsi="宋体" w:eastAsia="宋体" w:cs="宋体"/>
                <w:b/>
                <w:bCs/>
                <w:sz w:val="21"/>
                <w:szCs w:val="21"/>
                <w:lang w:bidi="ar"/>
              </w:rPr>
              <w:t>8、线规：</w:t>
            </w:r>
            <w:r>
              <w:rPr>
                <w:rFonts w:hint="eastAsia" w:ascii="宋体" w:hAnsi="宋体" w:eastAsia="宋体" w:cs="宋体"/>
                <w:color w:val="000000"/>
                <w:sz w:val="21"/>
                <w:szCs w:val="21"/>
              </w:rPr>
              <w:t>≥</w:t>
            </w:r>
            <w:r>
              <w:rPr>
                <w:rFonts w:hint="eastAsia" w:ascii="宋体" w:hAnsi="宋体" w:eastAsia="宋体" w:cs="宋体"/>
                <w:b/>
                <w:bCs/>
                <w:sz w:val="21"/>
                <w:szCs w:val="21"/>
                <w:lang w:bidi="ar"/>
              </w:rPr>
              <w:t>23AWG，材料为99.99%无氧铜，采用带十字支撑架结构，为确保线缆传输性能、线缆质量及线缆稳定性，需提供国家认可的CMA第三方实验室出具的Cu≥99.99%的铜芯铜纯度报告。（需提供拥有CMA认证标识的第三方检测机构出具检测报告扫描件，要求内容能体现满足上述参数要求。检测报告需提供全国认证认可信息公共服务平台网站（http://cx.cnca.cn/CertECloud/qts/qts/qtsPage）查询截</w:t>
            </w:r>
            <w:r>
              <w:rPr>
                <w:rFonts w:hint="eastAsia" w:ascii="宋体" w:hAnsi="宋体" w:eastAsia="宋体" w:cs="宋体"/>
                <w:b/>
                <w:bCs/>
                <w:sz w:val="21"/>
                <w:szCs w:val="21"/>
              </w:rPr>
              <w:t>图</w:t>
            </w:r>
            <w:r>
              <w:rPr>
                <w:rFonts w:hint="eastAsia" w:ascii="宋体" w:hAnsi="宋体" w:eastAsia="宋体" w:cs="宋体"/>
                <w:b/>
                <w:bCs/>
                <w:sz w:val="21"/>
                <w:szCs w:val="21"/>
                <w:lang w:bidi="ar"/>
              </w:rPr>
              <w:t>作为证明材料）</w:t>
            </w:r>
          </w:p>
        </w:tc>
      </w:tr>
      <w:tr w14:paraId="772E8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Merge w:val="continue"/>
            <w:noWrap w:val="0"/>
            <w:vAlign w:val="center"/>
          </w:tcPr>
          <w:p w14:paraId="4676D5F2">
            <w:pPr>
              <w:jc w:val="center"/>
              <w:rPr>
                <w:rFonts w:hint="eastAsia" w:ascii="宋体" w:hAnsi="宋体" w:eastAsia="宋体" w:cs="宋体"/>
                <w:color w:val="000000"/>
                <w:sz w:val="21"/>
                <w:szCs w:val="21"/>
              </w:rPr>
            </w:pPr>
          </w:p>
        </w:tc>
        <w:tc>
          <w:tcPr>
            <w:tcW w:w="1047" w:type="dxa"/>
            <w:vMerge w:val="continue"/>
            <w:noWrap w:val="0"/>
            <w:vAlign w:val="center"/>
          </w:tcPr>
          <w:p w14:paraId="2BFEBB24">
            <w:pPr>
              <w:rPr>
                <w:rFonts w:hint="eastAsia" w:ascii="宋体" w:hAnsi="宋体" w:eastAsia="宋体" w:cs="宋体"/>
                <w:color w:val="000000"/>
                <w:sz w:val="21"/>
                <w:szCs w:val="21"/>
              </w:rPr>
            </w:pPr>
          </w:p>
        </w:tc>
        <w:tc>
          <w:tcPr>
            <w:tcW w:w="7464" w:type="dxa"/>
            <w:noWrap w:val="0"/>
            <w:vAlign w:val="center"/>
          </w:tcPr>
          <w:p w14:paraId="2851BEF1">
            <w:pPr>
              <w:rPr>
                <w:rFonts w:hint="eastAsia" w:ascii="宋体" w:hAnsi="宋体" w:eastAsia="宋体" w:cs="宋体"/>
                <w:sz w:val="21"/>
                <w:szCs w:val="21"/>
                <w:lang w:bidi="ar"/>
              </w:rPr>
            </w:pPr>
            <w:r>
              <w:rPr>
                <w:rFonts w:hint="eastAsia" w:ascii="宋体" w:hAnsi="宋体" w:eastAsia="宋体" w:cs="宋体"/>
                <w:sz w:val="21"/>
                <w:szCs w:val="21"/>
              </w:rPr>
              <w:t>9、为了提高链路性能，降低施工难度，增长使用寿命，线缆4对线的对绞方向和成缆的总绞方向相反；</w:t>
            </w:r>
          </w:p>
        </w:tc>
      </w:tr>
      <w:tr w14:paraId="7C65D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Merge w:val="continue"/>
            <w:noWrap w:val="0"/>
            <w:vAlign w:val="center"/>
          </w:tcPr>
          <w:p w14:paraId="5C4E0D28">
            <w:pPr>
              <w:jc w:val="center"/>
              <w:rPr>
                <w:rFonts w:hint="eastAsia" w:ascii="宋体" w:hAnsi="宋体" w:eastAsia="宋体" w:cs="宋体"/>
                <w:color w:val="000000"/>
                <w:sz w:val="21"/>
                <w:szCs w:val="21"/>
              </w:rPr>
            </w:pPr>
          </w:p>
        </w:tc>
        <w:tc>
          <w:tcPr>
            <w:tcW w:w="1047" w:type="dxa"/>
            <w:vMerge w:val="continue"/>
            <w:noWrap w:val="0"/>
            <w:vAlign w:val="center"/>
          </w:tcPr>
          <w:p w14:paraId="620D74F1">
            <w:pPr>
              <w:rPr>
                <w:rFonts w:hint="eastAsia" w:ascii="宋体" w:hAnsi="宋体" w:eastAsia="宋体" w:cs="宋体"/>
                <w:color w:val="000000"/>
                <w:sz w:val="21"/>
                <w:szCs w:val="21"/>
              </w:rPr>
            </w:pPr>
          </w:p>
        </w:tc>
        <w:tc>
          <w:tcPr>
            <w:tcW w:w="7464" w:type="dxa"/>
            <w:noWrap w:val="0"/>
            <w:vAlign w:val="center"/>
          </w:tcPr>
          <w:p w14:paraId="63D473D3">
            <w:pPr>
              <w:rPr>
                <w:rFonts w:hint="eastAsia" w:ascii="宋体" w:hAnsi="宋体" w:eastAsia="宋体" w:cs="宋体"/>
                <w:b/>
                <w:bCs/>
                <w:sz w:val="21"/>
                <w:szCs w:val="21"/>
              </w:rPr>
            </w:pPr>
            <w:r>
              <w:rPr>
                <w:rFonts w:hint="eastAsia" w:ascii="宋体" w:hAnsi="宋体" w:eastAsia="宋体" w:cs="宋体"/>
                <w:sz w:val="21"/>
                <w:szCs w:val="21"/>
              </w:rPr>
              <w:t>▲</w:t>
            </w:r>
            <w:r>
              <w:rPr>
                <w:rFonts w:hint="eastAsia" w:ascii="宋体" w:hAnsi="宋体" w:eastAsia="宋体" w:cs="宋体"/>
                <w:b/>
                <w:bCs/>
                <w:sz w:val="21"/>
                <w:szCs w:val="21"/>
              </w:rPr>
              <w:t>10、产品满足标准《GB/T 2423.17-2008》盐雾试验要求，并且可提供CMA中国认可检测机构出具的盐雾试验检测报告；（需提供拥有</w:t>
            </w:r>
            <w:r>
              <w:rPr>
                <w:rFonts w:hint="eastAsia" w:ascii="宋体" w:hAnsi="宋体" w:eastAsia="宋体" w:cs="宋体"/>
                <w:b/>
                <w:bCs/>
                <w:sz w:val="21"/>
                <w:szCs w:val="21"/>
                <w:lang w:bidi="ar"/>
              </w:rPr>
              <w:t>CMA</w:t>
            </w:r>
            <w:r>
              <w:rPr>
                <w:rFonts w:hint="eastAsia" w:ascii="宋体" w:hAnsi="宋体" w:eastAsia="宋体" w:cs="宋体"/>
                <w:b/>
                <w:bCs/>
                <w:sz w:val="21"/>
                <w:szCs w:val="21"/>
              </w:rPr>
              <w:t>认证标识的第三方检测机构出具检测报告扫描件，要求内容能体现满足上述参数要求。检测报告需提供全国认证认可信息公共服务平台网站（http://cx.cnca.cn/CertECloud/qts/qts/qtsPage）查询截图作为证明材料）</w:t>
            </w:r>
          </w:p>
        </w:tc>
      </w:tr>
      <w:tr w14:paraId="7D85F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Merge w:val="continue"/>
            <w:noWrap w:val="0"/>
            <w:vAlign w:val="center"/>
          </w:tcPr>
          <w:p w14:paraId="519AD6AA">
            <w:pPr>
              <w:jc w:val="center"/>
              <w:rPr>
                <w:rFonts w:hint="eastAsia" w:ascii="宋体" w:hAnsi="宋体" w:eastAsia="宋体" w:cs="宋体"/>
                <w:color w:val="000000"/>
                <w:sz w:val="21"/>
                <w:szCs w:val="21"/>
              </w:rPr>
            </w:pPr>
          </w:p>
        </w:tc>
        <w:tc>
          <w:tcPr>
            <w:tcW w:w="1047" w:type="dxa"/>
            <w:vMerge w:val="continue"/>
            <w:noWrap w:val="0"/>
            <w:vAlign w:val="center"/>
          </w:tcPr>
          <w:p w14:paraId="4836A8CE">
            <w:pPr>
              <w:rPr>
                <w:rFonts w:hint="eastAsia" w:ascii="宋体" w:hAnsi="宋体" w:eastAsia="宋体" w:cs="宋体"/>
                <w:sz w:val="21"/>
                <w:szCs w:val="21"/>
              </w:rPr>
            </w:pPr>
          </w:p>
        </w:tc>
        <w:tc>
          <w:tcPr>
            <w:tcW w:w="7464" w:type="dxa"/>
            <w:noWrap w:val="0"/>
            <w:vAlign w:val="center"/>
          </w:tcPr>
          <w:p w14:paraId="7135C1E7">
            <w:pPr>
              <w:rPr>
                <w:rFonts w:hint="eastAsia" w:ascii="宋体" w:hAnsi="宋体" w:eastAsia="宋体" w:cs="宋体"/>
                <w:b/>
                <w:bCs/>
                <w:sz w:val="21"/>
                <w:szCs w:val="21"/>
              </w:rPr>
            </w:pPr>
            <w:r>
              <w:rPr>
                <w:rFonts w:hint="eastAsia" w:ascii="宋体" w:hAnsi="宋体" w:eastAsia="宋体" w:cs="宋体"/>
                <w:sz w:val="21"/>
                <w:szCs w:val="21"/>
              </w:rPr>
              <w:t>▲</w:t>
            </w:r>
            <w:r>
              <w:rPr>
                <w:rFonts w:hint="eastAsia" w:ascii="宋体" w:hAnsi="宋体" w:eastAsia="宋体" w:cs="宋体"/>
                <w:b/>
                <w:bCs/>
                <w:sz w:val="21"/>
                <w:szCs w:val="21"/>
              </w:rPr>
              <w:t>11、线缆需提供国内第三方</w:t>
            </w:r>
            <w:r>
              <w:rPr>
                <w:rFonts w:hint="eastAsia" w:ascii="宋体" w:hAnsi="宋体" w:eastAsia="宋体" w:cs="宋体"/>
                <w:b/>
                <w:bCs/>
                <w:sz w:val="21"/>
                <w:szCs w:val="21"/>
                <w:lang w:bidi="ar"/>
              </w:rPr>
              <w:t>CMA</w:t>
            </w:r>
            <w:r>
              <w:rPr>
                <w:rFonts w:hint="eastAsia" w:ascii="宋体" w:hAnsi="宋体" w:eastAsia="宋体" w:cs="宋体"/>
                <w:b/>
                <w:bCs/>
                <w:sz w:val="21"/>
                <w:szCs w:val="21"/>
              </w:rPr>
              <w:t>实验室出具的满足GB/T2951.11-2008 标准机械性能试验、以及GB/T 2951.12-2008 标准热老化试验并提供检测报告；（需提供拥有</w:t>
            </w:r>
            <w:r>
              <w:rPr>
                <w:rFonts w:hint="eastAsia" w:ascii="宋体" w:hAnsi="宋体" w:eastAsia="宋体" w:cs="宋体"/>
                <w:b/>
                <w:bCs/>
                <w:sz w:val="21"/>
                <w:szCs w:val="21"/>
                <w:lang w:bidi="ar"/>
              </w:rPr>
              <w:t>CMA</w:t>
            </w:r>
            <w:r>
              <w:rPr>
                <w:rFonts w:hint="eastAsia" w:ascii="宋体" w:hAnsi="宋体" w:eastAsia="宋体" w:cs="宋体"/>
                <w:b/>
                <w:bCs/>
                <w:sz w:val="21"/>
                <w:szCs w:val="21"/>
              </w:rPr>
              <w:t>认证标识的第三方检测机构出具检测报告扫描件，要求内容能体现满足上述参数要求。检测报告需提供全国认证认可信息公共服务平台网站（http://cx.cnca.cn/CertECloud/qts/qts/qtsPage）查询截图作为证明材料）</w:t>
            </w:r>
          </w:p>
        </w:tc>
      </w:tr>
      <w:tr w14:paraId="1FECE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noWrap w:val="0"/>
            <w:vAlign w:val="center"/>
          </w:tcPr>
          <w:p w14:paraId="13E712E8">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9</w:t>
            </w:r>
          </w:p>
        </w:tc>
        <w:tc>
          <w:tcPr>
            <w:tcW w:w="1047" w:type="dxa"/>
            <w:noWrap w:val="0"/>
            <w:vAlign w:val="center"/>
          </w:tcPr>
          <w:p w14:paraId="7162F47C">
            <w:pPr>
              <w:rPr>
                <w:rFonts w:hint="eastAsia" w:ascii="宋体" w:hAnsi="宋体" w:eastAsia="宋体" w:cs="宋体"/>
                <w:sz w:val="21"/>
                <w:szCs w:val="21"/>
              </w:rPr>
            </w:pPr>
            <w:r>
              <w:rPr>
                <w:rFonts w:hint="eastAsia" w:ascii="宋体" w:hAnsi="宋体" w:eastAsia="宋体" w:cs="宋体"/>
                <w:color w:val="000000"/>
                <w:sz w:val="21"/>
                <w:szCs w:val="21"/>
              </w:rPr>
              <w:t>6U壁挂机柜</w:t>
            </w:r>
          </w:p>
        </w:tc>
        <w:tc>
          <w:tcPr>
            <w:tcW w:w="7464" w:type="dxa"/>
            <w:noWrap w:val="0"/>
            <w:vAlign w:val="top"/>
          </w:tcPr>
          <w:p w14:paraId="422E91D1">
            <w:pPr>
              <w:rPr>
                <w:rFonts w:hint="eastAsia" w:ascii="宋体" w:hAnsi="宋体" w:eastAsia="宋体" w:cs="宋体"/>
                <w:b/>
                <w:sz w:val="21"/>
                <w:szCs w:val="21"/>
              </w:rPr>
            </w:pPr>
            <w:r>
              <w:rPr>
                <w:rFonts w:hint="eastAsia" w:ascii="宋体" w:hAnsi="宋体" w:eastAsia="宋体" w:cs="宋体"/>
                <w:color w:val="000000"/>
                <w:sz w:val="21"/>
                <w:szCs w:val="21"/>
              </w:rPr>
              <w:t>6U壁挂机柜，尺寸≥300*550*400mm,材质冷轧钢板。</w:t>
            </w:r>
          </w:p>
        </w:tc>
      </w:tr>
    </w:tbl>
    <w:p w14:paraId="68254309">
      <w:pPr>
        <w:widowControl w:val="0"/>
        <w:jc w:val="both"/>
        <w:rPr>
          <w:rFonts w:ascii="Calibri" w:hAnsi="Calibri" w:eastAsia="宋体"/>
          <w:bCs/>
          <w:kern w:val="2"/>
          <w:sz w:val="21"/>
          <w:szCs w:val="21"/>
          <w:lang w:eastAsia="zh-CN"/>
        </w:rPr>
      </w:pPr>
    </w:p>
    <w:p w14:paraId="0F9A4124">
      <w:pPr>
        <w:keepNext/>
        <w:keepLines/>
        <w:widowControl w:val="0"/>
        <w:spacing w:before="120" w:beforeLines="50" w:after="120" w:afterLines="50" w:line="416" w:lineRule="auto"/>
        <w:jc w:val="center"/>
        <w:outlineLvl w:val="2"/>
        <w:rPr>
          <w:rFonts w:hint="eastAsia" w:ascii="宋体" w:hAnsi="宋体" w:eastAsia="宋体"/>
          <w:b/>
          <w:bCs/>
          <w:kern w:val="2"/>
          <w:sz w:val="28"/>
          <w:szCs w:val="28"/>
          <w:highlight w:val="yellow"/>
          <w:lang w:eastAsia="zh-CN"/>
        </w:rPr>
      </w:pPr>
      <w:r>
        <w:rPr>
          <w:rFonts w:hint="eastAsia" w:ascii="宋体" w:hAnsi="宋体" w:eastAsia="宋体" w:cstheme="minorBidi"/>
          <w:b/>
          <w:bCs/>
          <w:kern w:val="2"/>
          <w:sz w:val="28"/>
          <w:szCs w:val="28"/>
          <w:lang w:eastAsia="zh-CN"/>
        </w:rPr>
        <w:t>六、付款方式</w:t>
      </w:r>
    </w:p>
    <w:p w14:paraId="37DA3457">
      <w:pPr>
        <w:spacing w:before="60" w:beforeLines="25" w:after="60" w:afterLines="25" w:line="360" w:lineRule="auto"/>
        <w:ind w:firstLine="392" w:firstLineChars="187"/>
        <w:rPr>
          <w:rFonts w:hint="eastAsia" w:ascii="宋体" w:hAnsi="宋体" w:cs="宋体"/>
          <w:sz w:val="21"/>
          <w:szCs w:val="21"/>
          <w:lang w:bidi="ar"/>
        </w:rPr>
      </w:pPr>
      <w:r>
        <w:rPr>
          <w:rFonts w:hint="eastAsia" w:ascii="宋体" w:hAnsi="宋体" w:cs="宋体"/>
          <w:sz w:val="21"/>
          <w:szCs w:val="21"/>
          <w:lang w:bidi="ar"/>
        </w:rPr>
        <w:t>1、全部货物送到采购人指定地点、完成安装并验收合格后 30 个工作日内，采购人向中标供应商支付合同总价【100】%的款项；</w:t>
      </w:r>
    </w:p>
    <w:p w14:paraId="66ADB236">
      <w:pPr>
        <w:spacing w:before="60" w:beforeLines="25" w:after="60" w:afterLines="25" w:line="360" w:lineRule="auto"/>
        <w:ind w:firstLine="392" w:firstLineChars="187"/>
        <w:rPr>
          <w:rFonts w:hint="eastAsia" w:ascii="宋体" w:hAnsi="宋体" w:cs="宋体"/>
          <w:sz w:val="21"/>
          <w:szCs w:val="21"/>
          <w:lang w:bidi="ar"/>
        </w:rPr>
      </w:pPr>
      <w:r>
        <w:rPr>
          <w:rFonts w:hint="eastAsia" w:ascii="宋体" w:hAnsi="宋体" w:cs="宋体"/>
          <w:sz w:val="21"/>
          <w:szCs w:val="21"/>
          <w:lang w:bidi="ar"/>
        </w:rPr>
        <w:t>2、因财政资金拨款未到位而导致甲方未在约定期限内支付合同费用的，中标供应商不得要求采购人承担逾期付款的违约责任。每次付款前，中标供应商应需先提供相应额度的正规发票给采购人，以便办理支付手续。</w:t>
      </w:r>
    </w:p>
    <w:p w14:paraId="6922925E">
      <w:pPr>
        <w:keepNext/>
        <w:keepLines/>
        <w:widowControl w:val="0"/>
        <w:numPr>
          <w:ilvl w:val="0"/>
          <w:numId w:val="0"/>
        </w:numPr>
        <w:spacing w:before="120" w:beforeLines="50" w:after="120" w:afterLines="50" w:line="416" w:lineRule="auto"/>
        <w:ind w:left="0" w:firstLine="0"/>
        <w:jc w:val="center"/>
        <w:outlineLvl w:val="2"/>
        <w:rPr>
          <w:rFonts w:hint="eastAsia" w:ascii="宋体" w:hAnsi="宋体" w:eastAsia="宋体"/>
          <w:b/>
          <w:bCs/>
          <w:kern w:val="2"/>
          <w:sz w:val="28"/>
          <w:szCs w:val="28"/>
          <w:lang w:eastAsia="zh-CN"/>
        </w:rPr>
      </w:pPr>
      <w:r>
        <w:rPr>
          <w:rFonts w:hint="eastAsia" w:ascii="宋体" w:hAnsi="宋体" w:eastAsia="宋体" w:cstheme="minorBidi"/>
          <w:b/>
          <w:bCs/>
          <w:kern w:val="2"/>
          <w:sz w:val="28"/>
          <w:szCs w:val="28"/>
          <w:lang w:eastAsia="zh-CN"/>
        </w:rPr>
        <w:t>七、投标报价要求</w:t>
      </w:r>
    </w:p>
    <w:p w14:paraId="246DFAF4">
      <w:pPr>
        <w:spacing w:line="360" w:lineRule="auto"/>
        <w:ind w:firstLine="392" w:firstLineChars="187"/>
        <w:rPr>
          <w:rFonts w:hint="eastAsia" w:ascii="宋体" w:hAnsi="宋体"/>
          <w:sz w:val="21"/>
          <w:szCs w:val="21"/>
        </w:rPr>
      </w:pPr>
      <w:r>
        <w:rPr>
          <w:rFonts w:hint="eastAsia" w:ascii="宋体" w:hAnsi="宋体"/>
          <w:sz w:val="21"/>
          <w:szCs w:val="21"/>
        </w:rPr>
        <w:t>1、本项目服务费采用包干制，应包括服务成本、法定税费和利润。由投标人根据采购文件所提供的资料自行测算投标报价；一经中标，投标报价总价作为中标单位与采购单位签定的合同金额，合同期限内不做调整；</w:t>
      </w:r>
    </w:p>
    <w:p w14:paraId="3646C986">
      <w:pPr>
        <w:spacing w:line="360" w:lineRule="auto"/>
        <w:ind w:firstLine="392" w:firstLineChars="187"/>
        <w:rPr>
          <w:rFonts w:hint="eastAsia" w:ascii="宋体" w:hAnsi="宋体"/>
          <w:sz w:val="21"/>
          <w:szCs w:val="21"/>
        </w:rPr>
      </w:pPr>
      <w:r>
        <w:rPr>
          <w:rFonts w:hint="eastAsia" w:ascii="宋体" w:hAnsi="宋体"/>
          <w:sz w:val="21"/>
          <w:szCs w:val="21"/>
        </w:rPr>
        <w:t>2、投标人应根据其成本自行决定报价。评审小组认为投标人的报价明显低于其他通过符合性审查投标人的报价，有可能影响服务质量或不能诚信履约的，将会要求该投标人在评审现场合理的时间内提供书面说明，必要时提交相关证明材料。投标人不能证明其报价合理性的，评审委员会应将其作为无效投标处理。若评审小组对是否须由投标人作出报价合理性说明，以及书面说明是否采纳等判断不一致的，按照“少数服从多数”的原则确定评审小组的意见。</w:t>
      </w:r>
    </w:p>
    <w:p w14:paraId="4B5F1810">
      <w:pPr>
        <w:spacing w:line="360" w:lineRule="auto"/>
        <w:ind w:firstLine="392" w:firstLineChars="187"/>
        <w:rPr>
          <w:rFonts w:hint="eastAsia" w:ascii="宋体" w:hAnsi="宋体"/>
          <w:sz w:val="21"/>
          <w:szCs w:val="21"/>
        </w:rPr>
      </w:pPr>
      <w:r>
        <w:rPr>
          <w:rFonts w:hint="eastAsia" w:ascii="宋体" w:hAnsi="宋体"/>
          <w:sz w:val="21"/>
          <w:szCs w:val="21"/>
        </w:rPr>
        <w:t>3、投标人的投标报价不得超过财政预算限额，如设投标最高限价的，报价不得超过最高限价；</w:t>
      </w:r>
    </w:p>
    <w:p w14:paraId="1940FD7D">
      <w:pPr>
        <w:spacing w:line="360" w:lineRule="auto"/>
        <w:ind w:firstLine="392" w:firstLineChars="187"/>
        <w:rPr>
          <w:rFonts w:hint="eastAsia" w:ascii="宋体" w:hAnsi="宋体"/>
          <w:sz w:val="21"/>
          <w:szCs w:val="21"/>
        </w:rPr>
      </w:pPr>
      <w:r>
        <w:rPr>
          <w:rFonts w:hint="eastAsia" w:ascii="宋体" w:hAnsi="宋体"/>
          <w:sz w:val="21"/>
          <w:szCs w:val="21"/>
        </w:rPr>
        <w:t>4、投标人的投标报价，应是本项目采购范围和采购文件及合同条款上所列的各项内容中所述的全部，不得以任何理由予以重复，并以投标人在中提出的综合单价或总价为依据；</w:t>
      </w:r>
    </w:p>
    <w:p w14:paraId="59057EEA">
      <w:pPr>
        <w:spacing w:line="360" w:lineRule="auto"/>
        <w:ind w:firstLine="392" w:firstLineChars="187"/>
        <w:rPr>
          <w:rFonts w:hint="eastAsia" w:ascii="宋体" w:hAnsi="宋体"/>
          <w:sz w:val="21"/>
          <w:szCs w:val="21"/>
        </w:rPr>
      </w:pPr>
      <w:r>
        <w:rPr>
          <w:rFonts w:hint="eastAsia" w:ascii="宋体" w:hAnsi="宋体"/>
          <w:sz w:val="21"/>
          <w:szCs w:val="21"/>
        </w:rPr>
        <w:t>5、除非社会代理机构通过修改采购文件予以更正，否则，投标人应毫无例外地按采购文件所列的清单中项目和数量填报综合单价和合价。投标人未填综合单价或合价的项目，视作该项费用已包括在其它有价款的综合单价或合价内；</w:t>
      </w:r>
    </w:p>
    <w:p w14:paraId="6A45E71A">
      <w:pPr>
        <w:spacing w:line="360" w:lineRule="auto"/>
        <w:ind w:firstLine="392" w:firstLineChars="187"/>
        <w:rPr>
          <w:rFonts w:hint="eastAsia" w:ascii="宋体" w:hAnsi="宋体"/>
          <w:sz w:val="21"/>
          <w:szCs w:val="21"/>
        </w:rPr>
      </w:pPr>
      <w:r>
        <w:rPr>
          <w:rFonts w:hint="eastAsia" w:ascii="宋体" w:hAnsi="宋体"/>
          <w:sz w:val="21"/>
          <w:szCs w:val="21"/>
        </w:rPr>
        <w:t>6、投标人应先到项目地点踏勘以充分了解项目的位置、情况、道路及任何其它足以影响投标报价的情况，任何因忽视或误解项目情况而导致的索赔或服务期限延长申请将不获批准；</w:t>
      </w:r>
    </w:p>
    <w:p w14:paraId="579007E8">
      <w:pPr>
        <w:spacing w:line="360" w:lineRule="auto"/>
        <w:ind w:firstLine="392" w:firstLineChars="187"/>
        <w:rPr>
          <w:rFonts w:hint="eastAsia" w:ascii="宋体" w:hAnsi="宋体"/>
          <w:sz w:val="21"/>
          <w:szCs w:val="21"/>
        </w:rPr>
      </w:pPr>
      <w:r>
        <w:rPr>
          <w:rFonts w:hint="eastAsia" w:ascii="宋体" w:hAnsi="宋体"/>
          <w:sz w:val="21"/>
          <w:szCs w:val="21"/>
        </w:rPr>
        <w:t>7、投标人不得期望通过索赔等方式获取补偿，否则，除可能遭到拒绝外，还可能将被作为不良行为记录在案，并可能影响其以后参加龙华区教育系统自行采购的项目投标。各投标人在投标报价时，应充分考虑投标报价的风险。</w:t>
      </w:r>
    </w:p>
    <w:p w14:paraId="2A1E0460">
      <w:pPr>
        <w:spacing w:before="60" w:beforeLines="25" w:after="60" w:afterLines="25"/>
        <w:ind w:firstLine="392" w:firstLineChars="187"/>
        <w:rPr>
          <w:rFonts w:hint="eastAsia" w:ascii="宋体" w:hAnsi="宋体" w:cs="宋体"/>
          <w:sz w:val="21"/>
          <w:szCs w:val="21"/>
          <w:lang w:bidi="ar"/>
        </w:rPr>
      </w:pPr>
    </w:p>
    <w:p w14:paraId="4197E118">
      <w:pPr>
        <w:keepNext/>
        <w:keepLines/>
        <w:widowControl w:val="0"/>
        <w:spacing w:before="120" w:beforeLines="50" w:after="120" w:afterLines="50" w:line="416" w:lineRule="auto"/>
        <w:jc w:val="center"/>
        <w:outlineLvl w:val="2"/>
        <w:rPr>
          <w:rFonts w:hint="eastAsia" w:ascii="宋体" w:hAnsi="宋体" w:eastAsia="宋体"/>
          <w:b/>
          <w:bCs/>
          <w:kern w:val="2"/>
          <w:sz w:val="28"/>
          <w:szCs w:val="28"/>
          <w:lang w:eastAsia="zh-CN"/>
        </w:rPr>
      </w:pPr>
      <w:r>
        <w:rPr>
          <w:rFonts w:hint="eastAsia" w:ascii="宋体" w:hAnsi="宋体" w:eastAsia="宋体" w:cstheme="minorBidi"/>
          <w:b/>
          <w:bCs/>
          <w:kern w:val="2"/>
          <w:sz w:val="28"/>
          <w:szCs w:val="28"/>
          <w:lang w:eastAsia="zh-CN"/>
        </w:rPr>
        <w:t>八、注意事项</w:t>
      </w:r>
    </w:p>
    <w:p w14:paraId="0A26FDC6">
      <w:pPr>
        <w:spacing w:line="360" w:lineRule="auto"/>
        <w:ind w:firstLine="420" w:firstLineChars="200"/>
        <w:rPr>
          <w:rFonts w:hint="eastAsia"/>
          <w:sz w:val="21"/>
          <w:szCs w:val="21"/>
        </w:rPr>
      </w:pPr>
      <w:r>
        <w:rPr>
          <w:rFonts w:hint="eastAsia"/>
          <w:sz w:val="21"/>
          <w:szCs w:val="21"/>
        </w:rPr>
        <w:t>1、中标供应商不得将项目非法分包或转包给任何单位和个人。否则，采购单位有权即刻终止合同，并要求中标供应商赔偿相应损失。</w:t>
      </w:r>
    </w:p>
    <w:p w14:paraId="47171F83">
      <w:pPr>
        <w:spacing w:line="360" w:lineRule="auto"/>
        <w:ind w:firstLine="420" w:firstLineChars="200"/>
        <w:rPr>
          <w:rFonts w:hint="eastAsia"/>
          <w:sz w:val="21"/>
          <w:szCs w:val="21"/>
        </w:rPr>
      </w:pPr>
      <w:r>
        <w:rPr>
          <w:rFonts w:hint="eastAsia"/>
          <w:sz w:val="21"/>
          <w:szCs w:val="21"/>
        </w:rPr>
        <w:t>2、投标人使用的标准必须是国际公认或国家、或地方政府颁布的同等或更高的标准，如投标人使用的标准低于上述标准,评审委员会将有权不予接受，投标人必须列表将明显的差异详细说明。</w:t>
      </w:r>
    </w:p>
    <w:p w14:paraId="1F9AE50C">
      <w:pPr>
        <w:spacing w:line="360" w:lineRule="auto"/>
        <w:ind w:firstLine="420" w:firstLineChars="200"/>
        <w:rPr>
          <w:rFonts w:hint="eastAsia"/>
          <w:sz w:val="21"/>
          <w:szCs w:val="21"/>
        </w:rPr>
      </w:pPr>
      <w:r>
        <w:rPr>
          <w:rFonts w:hint="eastAsia"/>
          <w:sz w:val="21"/>
          <w:szCs w:val="21"/>
        </w:rPr>
        <w:t>3、供应商须在质疑期内一次性提出针对同一采购程序环节的质疑。</w:t>
      </w:r>
    </w:p>
    <w:p w14:paraId="1922E809">
      <w:pPr>
        <w:spacing w:line="360" w:lineRule="auto"/>
        <w:ind w:firstLine="420" w:firstLineChars="200"/>
        <w:rPr>
          <w:rFonts w:hint="eastAsia" w:eastAsia="宋体"/>
          <w:sz w:val="21"/>
          <w:szCs w:val="21"/>
          <w:lang w:eastAsia="zh-CN"/>
        </w:rPr>
      </w:pPr>
      <w:r>
        <w:rPr>
          <w:rFonts w:hint="eastAsia"/>
          <w:sz w:val="21"/>
          <w:szCs w:val="21"/>
        </w:rPr>
        <w:t>4、本项目按照深圳市龙华区教育局的相关采购规定执行，招标文件未明确的事项，参照政府采购有关法律法规执行</w:t>
      </w:r>
      <w:r>
        <w:rPr>
          <w:rFonts w:hint="eastAsia" w:eastAsia="宋体"/>
          <w:sz w:val="21"/>
          <w:szCs w:val="21"/>
          <w:lang w:eastAsia="zh-CN"/>
        </w:rPr>
        <w:t>。</w:t>
      </w:r>
    </w:p>
    <w:p w14:paraId="732540B1">
      <w:pPr>
        <w:widowControl w:val="0"/>
        <w:ind w:firstLine="420" w:firstLineChars="200"/>
        <w:jc w:val="both"/>
        <w:rPr>
          <w:rFonts w:ascii="Calibri" w:hAnsi="Calibri" w:eastAsia="宋体"/>
          <w:bCs/>
          <w:kern w:val="2"/>
          <w:sz w:val="21"/>
          <w:szCs w:val="21"/>
          <w:lang w:eastAsia="zh-CN"/>
        </w:rPr>
      </w:pPr>
    </w:p>
    <w:p w14:paraId="5FDAF664">
      <w:pPr>
        <w:widowControl w:val="0"/>
        <w:spacing w:after="120" w:line="240" w:lineRule="auto"/>
        <w:ind w:left="480" w:leftChars="200" w:firstLine="420" w:firstLineChars="200"/>
        <w:jc w:val="both"/>
        <w:rPr>
          <w:rFonts w:ascii="Calibri" w:hAnsi="Calibri" w:eastAsia="宋体"/>
          <w:kern w:val="2"/>
          <w:sz w:val="21"/>
          <w:szCs w:val="22"/>
          <w:lang w:eastAsia="zh-CN"/>
        </w:rPr>
      </w:pPr>
    </w:p>
    <w:p w14:paraId="2A77FD64">
      <w:pPr>
        <w:widowControl w:val="0"/>
        <w:spacing w:after="120" w:line="240" w:lineRule="auto"/>
        <w:ind w:left="480" w:leftChars="200" w:firstLine="420" w:firstLineChars="200"/>
        <w:jc w:val="both"/>
        <w:rPr>
          <w:rFonts w:ascii="Calibri" w:hAnsi="Calibri" w:eastAsia="宋体"/>
          <w:kern w:val="2"/>
          <w:sz w:val="21"/>
          <w:szCs w:val="22"/>
          <w:lang w:eastAsia="zh-CN"/>
        </w:rPr>
      </w:pPr>
    </w:p>
    <w:p w14:paraId="0BD19251">
      <w:pPr>
        <w:widowControl w:val="0"/>
        <w:spacing w:after="120" w:line="240" w:lineRule="auto"/>
        <w:ind w:left="480" w:leftChars="200" w:firstLine="420" w:firstLineChars="200"/>
        <w:jc w:val="both"/>
        <w:rPr>
          <w:rFonts w:ascii="Calibri" w:hAnsi="Calibri" w:eastAsia="宋体"/>
          <w:kern w:val="2"/>
          <w:sz w:val="21"/>
          <w:szCs w:val="22"/>
          <w:lang w:eastAsia="zh-CN"/>
        </w:rPr>
      </w:pPr>
    </w:p>
    <w:p w14:paraId="74833C14">
      <w:pPr>
        <w:widowControl w:val="0"/>
        <w:spacing w:after="120" w:line="240" w:lineRule="auto"/>
        <w:ind w:left="480" w:leftChars="200" w:firstLine="420" w:firstLineChars="200"/>
        <w:jc w:val="both"/>
        <w:rPr>
          <w:rFonts w:ascii="Calibri" w:hAnsi="Calibri" w:eastAsia="宋体"/>
          <w:kern w:val="2"/>
          <w:sz w:val="21"/>
          <w:szCs w:val="22"/>
          <w:lang w:eastAsia="zh-CN"/>
        </w:rPr>
      </w:pPr>
    </w:p>
    <w:p w14:paraId="62BB37C5">
      <w:pPr>
        <w:widowControl w:val="0"/>
        <w:spacing w:after="120" w:line="240" w:lineRule="auto"/>
        <w:ind w:left="480" w:leftChars="200" w:firstLine="420" w:firstLineChars="200"/>
        <w:jc w:val="both"/>
        <w:rPr>
          <w:rFonts w:ascii="Calibri" w:hAnsi="Calibri" w:eastAsia="宋体"/>
          <w:kern w:val="2"/>
          <w:sz w:val="21"/>
          <w:szCs w:val="22"/>
          <w:lang w:eastAsia="zh-CN"/>
        </w:rPr>
      </w:pPr>
    </w:p>
    <w:p w14:paraId="155EA8A1">
      <w:pPr>
        <w:widowControl w:val="0"/>
        <w:spacing w:after="120" w:line="240" w:lineRule="auto"/>
        <w:ind w:left="480" w:leftChars="200" w:firstLine="420" w:firstLineChars="200"/>
        <w:jc w:val="both"/>
        <w:rPr>
          <w:rFonts w:ascii="Calibri" w:hAnsi="Calibri" w:eastAsia="宋体"/>
          <w:kern w:val="2"/>
          <w:sz w:val="21"/>
          <w:szCs w:val="22"/>
          <w:lang w:eastAsia="zh-CN"/>
        </w:rPr>
      </w:pPr>
    </w:p>
    <w:p w14:paraId="192D1285">
      <w:pPr>
        <w:widowControl w:val="0"/>
        <w:spacing w:after="120" w:line="240" w:lineRule="auto"/>
        <w:jc w:val="both"/>
        <w:rPr>
          <w:rFonts w:ascii="Calibri" w:hAnsi="Calibri" w:eastAsia="宋体"/>
          <w:kern w:val="2"/>
          <w:sz w:val="21"/>
          <w:szCs w:val="22"/>
          <w:lang w:eastAsia="zh-CN"/>
        </w:rPr>
      </w:pPr>
    </w:p>
    <w:p w14:paraId="0BC95DA6">
      <w:pPr>
        <w:widowControl w:val="0"/>
        <w:spacing w:after="120" w:line="240" w:lineRule="auto"/>
        <w:ind w:left="480" w:leftChars="200" w:firstLine="420" w:firstLineChars="200"/>
        <w:jc w:val="both"/>
        <w:rPr>
          <w:rFonts w:ascii="Calibri" w:hAnsi="Calibri" w:eastAsia="宋体"/>
          <w:kern w:val="2"/>
          <w:sz w:val="21"/>
          <w:szCs w:val="22"/>
          <w:lang w:eastAsia="zh-CN"/>
        </w:rPr>
      </w:pPr>
    </w:p>
    <w:p w14:paraId="782639CF">
      <w:pPr>
        <w:widowControl w:val="0"/>
        <w:spacing w:after="120" w:line="240" w:lineRule="auto"/>
        <w:ind w:left="480" w:leftChars="200" w:firstLine="420" w:firstLineChars="200"/>
        <w:jc w:val="both"/>
        <w:rPr>
          <w:rFonts w:ascii="Calibri" w:hAnsi="Calibri" w:eastAsia="宋体"/>
          <w:kern w:val="2"/>
          <w:sz w:val="21"/>
          <w:szCs w:val="22"/>
          <w:lang w:eastAsia="zh-CN"/>
        </w:rPr>
      </w:pPr>
    </w:p>
    <w:p w14:paraId="237EB343">
      <w:pPr>
        <w:keepNext/>
        <w:keepLines/>
        <w:widowControl w:val="0"/>
        <w:adjustRightInd w:val="0"/>
        <w:spacing w:line="320" w:lineRule="atLeast"/>
        <w:jc w:val="center"/>
        <w:textAlignment w:val="baseline"/>
        <w:outlineLvl w:val="1"/>
        <w:rPr>
          <w:rFonts w:ascii="宋体" w:hAnsi="宋体" w:eastAsia="宋体"/>
          <w:b/>
          <w:bCs/>
          <w:sz w:val="28"/>
          <w:szCs w:val="28"/>
          <w:lang w:eastAsia="zh-CN"/>
        </w:rPr>
      </w:pPr>
      <w:r>
        <w:rPr>
          <w:rFonts w:hint="eastAsia" w:ascii="宋体" w:hAnsi="宋体" w:eastAsia="宋体"/>
          <w:b/>
          <w:bCs/>
          <w:sz w:val="28"/>
          <w:szCs w:val="28"/>
          <w:lang w:eastAsia="zh-CN"/>
        </w:rPr>
        <w:t>第四章  投标文件组成要求及格式</w:t>
      </w:r>
    </w:p>
    <w:p w14:paraId="0C79490A">
      <w:pPr>
        <w:widowControl w:val="0"/>
        <w:spacing w:line="360" w:lineRule="auto"/>
        <w:jc w:val="both"/>
        <w:rPr>
          <w:rFonts w:ascii="Calibri" w:hAnsi="Calibri" w:eastAsia="宋体"/>
          <w:b/>
          <w:bCs/>
          <w:kern w:val="2"/>
          <w:szCs w:val="22"/>
          <w:lang w:eastAsia="zh-CN"/>
        </w:rPr>
      </w:pPr>
      <w:bookmarkStart w:id="13" w:name="_Hlk72257167"/>
    </w:p>
    <w:bookmarkEnd w:id="13"/>
    <w:p w14:paraId="57B3FF32">
      <w:pPr>
        <w:widowControl/>
        <w:spacing w:line="320" w:lineRule="atLeast"/>
        <w:jc w:val="left"/>
        <w:outlineLvl w:val="2"/>
        <w:rPr>
          <w:rFonts w:ascii="宋体" w:hAnsi="宋体" w:eastAsia="黑体"/>
          <w:bCs/>
          <w:kern w:val="44"/>
          <w:lang w:eastAsia="zh-CN"/>
        </w:rPr>
      </w:pPr>
      <w:r>
        <w:rPr>
          <w:rFonts w:hint="eastAsia" w:ascii="宋体" w:hAnsi="宋体" w:eastAsia="黑体"/>
          <w:bCs/>
          <w:kern w:val="44"/>
          <w:lang w:eastAsia="zh-CN"/>
        </w:rPr>
        <w:t>投标文件组成：</w:t>
      </w:r>
    </w:p>
    <w:p w14:paraId="6A894DFC">
      <w:pPr>
        <w:keepNext w:val="0"/>
        <w:keepLines w:val="0"/>
        <w:pageBreakBefore w:val="0"/>
        <w:widowControl/>
        <w:kinsoku/>
        <w:wordWrap/>
        <w:overflowPunct/>
        <w:topLinePunct w:val="0"/>
        <w:autoSpaceDE/>
        <w:autoSpaceDN/>
        <w:bidi w:val="0"/>
        <w:adjustRightInd/>
        <w:snapToGrid/>
        <w:ind w:firstLine="960" w:firstLineChars="400"/>
        <w:textAlignment w:val="auto"/>
        <w:rPr>
          <w:rFonts w:hint="eastAsia"/>
        </w:rPr>
      </w:pPr>
      <w:bookmarkStart w:id="14" w:name="_Hlk72257771"/>
      <w:r>
        <w:rPr>
          <w:rFonts w:hint="eastAsia"/>
        </w:rPr>
        <w:t>（1）投标函</w:t>
      </w:r>
    </w:p>
    <w:p w14:paraId="5D863C6C">
      <w:pPr>
        <w:keepNext w:val="0"/>
        <w:keepLines w:val="0"/>
        <w:pageBreakBefore w:val="0"/>
        <w:widowControl/>
        <w:kinsoku/>
        <w:wordWrap/>
        <w:overflowPunct/>
        <w:topLinePunct w:val="0"/>
        <w:autoSpaceDE/>
        <w:autoSpaceDN/>
        <w:bidi w:val="0"/>
        <w:adjustRightInd/>
        <w:snapToGrid/>
        <w:ind w:firstLine="960" w:firstLineChars="400"/>
        <w:textAlignment w:val="auto"/>
        <w:rPr>
          <w:rFonts w:hint="eastAsia"/>
        </w:rPr>
      </w:pPr>
      <w:r>
        <w:rPr>
          <w:rFonts w:hint="eastAsia"/>
        </w:rPr>
        <w:t>（2）龙华区教育局自行采购投标及履约承诺函</w:t>
      </w:r>
    </w:p>
    <w:p w14:paraId="0C2DA5F7">
      <w:pPr>
        <w:keepNext w:val="0"/>
        <w:keepLines w:val="0"/>
        <w:pageBreakBefore w:val="0"/>
        <w:widowControl/>
        <w:kinsoku/>
        <w:wordWrap/>
        <w:overflowPunct/>
        <w:topLinePunct w:val="0"/>
        <w:autoSpaceDE/>
        <w:autoSpaceDN/>
        <w:bidi w:val="0"/>
        <w:adjustRightInd/>
        <w:snapToGrid/>
        <w:ind w:firstLine="960" w:firstLineChars="400"/>
        <w:textAlignment w:val="auto"/>
        <w:rPr>
          <w:rFonts w:hint="eastAsia"/>
        </w:rPr>
      </w:pPr>
      <w:r>
        <w:rPr>
          <w:rFonts w:hint="eastAsia"/>
        </w:rPr>
        <w:t>（3）投标人情况及资格证明文件</w:t>
      </w:r>
    </w:p>
    <w:p w14:paraId="5D8AE948">
      <w:pPr>
        <w:keepNext w:val="0"/>
        <w:keepLines w:val="0"/>
        <w:pageBreakBefore w:val="0"/>
        <w:widowControl/>
        <w:kinsoku/>
        <w:wordWrap/>
        <w:overflowPunct/>
        <w:topLinePunct w:val="0"/>
        <w:autoSpaceDE/>
        <w:autoSpaceDN/>
        <w:bidi w:val="0"/>
        <w:adjustRightInd/>
        <w:snapToGrid/>
        <w:ind w:firstLine="960" w:firstLineChars="400"/>
        <w:textAlignment w:val="auto"/>
        <w:rPr>
          <w:rFonts w:hint="eastAsia" w:eastAsia="宋体"/>
          <w:lang w:eastAsia="zh-CN"/>
        </w:rPr>
      </w:pPr>
      <w:r>
        <w:rPr>
          <w:rFonts w:hint="eastAsia" w:eastAsia="宋体"/>
          <w:lang w:eastAsia="zh-CN"/>
        </w:rPr>
        <w:t>（4）供应商基本情况表</w:t>
      </w:r>
    </w:p>
    <w:p w14:paraId="178E1CE1">
      <w:pPr>
        <w:keepNext w:val="0"/>
        <w:keepLines w:val="0"/>
        <w:pageBreakBefore w:val="0"/>
        <w:widowControl/>
        <w:kinsoku/>
        <w:wordWrap/>
        <w:overflowPunct/>
        <w:topLinePunct w:val="0"/>
        <w:autoSpaceDE/>
        <w:autoSpaceDN/>
        <w:bidi w:val="0"/>
        <w:adjustRightInd/>
        <w:snapToGrid/>
        <w:ind w:firstLine="960" w:firstLineChars="400"/>
        <w:textAlignment w:val="auto"/>
        <w:rPr>
          <w:rFonts w:hint="eastAsia"/>
        </w:rPr>
      </w:pPr>
      <w:r>
        <w:rPr>
          <w:rFonts w:hint="eastAsia"/>
        </w:rPr>
        <w:t>（</w:t>
      </w:r>
      <w:r>
        <w:rPr>
          <w:rFonts w:hint="eastAsia" w:eastAsia="宋体"/>
          <w:lang w:eastAsia="zh-CN"/>
        </w:rPr>
        <w:t>5</w:t>
      </w:r>
      <w:r>
        <w:rPr>
          <w:rFonts w:hint="eastAsia"/>
        </w:rPr>
        <w:t>）分项报价清单</w:t>
      </w:r>
    </w:p>
    <w:p w14:paraId="355432C5">
      <w:pPr>
        <w:keepNext w:val="0"/>
        <w:keepLines w:val="0"/>
        <w:pageBreakBefore w:val="0"/>
        <w:widowControl/>
        <w:kinsoku/>
        <w:wordWrap/>
        <w:overflowPunct/>
        <w:topLinePunct w:val="0"/>
        <w:autoSpaceDE/>
        <w:autoSpaceDN/>
        <w:bidi w:val="0"/>
        <w:adjustRightInd/>
        <w:snapToGrid/>
        <w:ind w:firstLine="960" w:firstLineChars="400"/>
        <w:textAlignment w:val="auto"/>
        <w:rPr>
          <w:rFonts w:hint="eastAsia"/>
        </w:rPr>
      </w:pPr>
      <w:r>
        <w:rPr>
          <w:rFonts w:hint="eastAsia"/>
        </w:rPr>
        <w:t>（</w:t>
      </w:r>
      <w:r>
        <w:rPr>
          <w:rFonts w:hint="eastAsia" w:eastAsia="宋体"/>
          <w:lang w:eastAsia="zh-CN"/>
        </w:rPr>
        <w:t>6</w:t>
      </w:r>
      <w:r>
        <w:rPr>
          <w:rFonts w:hint="eastAsia"/>
        </w:rPr>
        <w:t>）股东构成审查表</w:t>
      </w:r>
    </w:p>
    <w:p w14:paraId="150FBFAA">
      <w:pPr>
        <w:keepNext w:val="0"/>
        <w:keepLines w:val="0"/>
        <w:pageBreakBefore w:val="0"/>
        <w:widowControl/>
        <w:kinsoku/>
        <w:wordWrap/>
        <w:overflowPunct/>
        <w:topLinePunct w:val="0"/>
        <w:autoSpaceDE/>
        <w:autoSpaceDN/>
        <w:bidi w:val="0"/>
        <w:adjustRightInd/>
        <w:snapToGrid/>
        <w:ind w:firstLine="960" w:firstLineChars="400"/>
        <w:textAlignment w:val="auto"/>
        <w:rPr>
          <w:rFonts w:hint="eastAsia"/>
        </w:rPr>
      </w:pPr>
      <w:r>
        <w:rPr>
          <w:rFonts w:hint="eastAsia"/>
        </w:rPr>
        <w:t>（</w:t>
      </w:r>
      <w:r>
        <w:rPr>
          <w:rFonts w:hint="eastAsia" w:eastAsia="宋体"/>
          <w:lang w:eastAsia="zh-CN"/>
        </w:rPr>
        <w:t>7</w:t>
      </w:r>
      <w:r>
        <w:rPr>
          <w:rFonts w:hint="eastAsia"/>
        </w:rPr>
        <w:t>）法定代表人（负责人）证明书</w:t>
      </w:r>
    </w:p>
    <w:p w14:paraId="087694A1">
      <w:pPr>
        <w:keepNext w:val="0"/>
        <w:keepLines w:val="0"/>
        <w:pageBreakBefore w:val="0"/>
        <w:widowControl/>
        <w:kinsoku/>
        <w:wordWrap/>
        <w:overflowPunct/>
        <w:topLinePunct w:val="0"/>
        <w:autoSpaceDE/>
        <w:autoSpaceDN/>
        <w:bidi w:val="0"/>
        <w:adjustRightInd/>
        <w:snapToGrid/>
        <w:ind w:firstLine="960" w:firstLineChars="400"/>
        <w:textAlignment w:val="auto"/>
        <w:rPr>
          <w:rFonts w:hint="eastAsia"/>
        </w:rPr>
      </w:pPr>
      <w:r>
        <w:rPr>
          <w:rFonts w:hint="eastAsia"/>
        </w:rPr>
        <w:t>（</w:t>
      </w:r>
      <w:r>
        <w:rPr>
          <w:rFonts w:hint="eastAsia" w:eastAsia="宋体"/>
          <w:lang w:eastAsia="zh-CN"/>
        </w:rPr>
        <w:t>8</w:t>
      </w:r>
      <w:r>
        <w:rPr>
          <w:rFonts w:hint="eastAsia"/>
        </w:rPr>
        <w:t>）投标文件签署授权委托书</w:t>
      </w:r>
    </w:p>
    <w:p w14:paraId="4CA4BA22">
      <w:pPr>
        <w:keepNext w:val="0"/>
        <w:keepLines w:val="0"/>
        <w:pageBreakBefore w:val="0"/>
        <w:widowControl/>
        <w:kinsoku/>
        <w:wordWrap/>
        <w:overflowPunct/>
        <w:topLinePunct w:val="0"/>
        <w:autoSpaceDE/>
        <w:autoSpaceDN/>
        <w:bidi w:val="0"/>
        <w:adjustRightInd/>
        <w:snapToGrid/>
        <w:ind w:firstLine="960" w:firstLineChars="400"/>
        <w:textAlignment w:val="auto"/>
        <w:rPr>
          <w:rFonts w:hint="eastAsia"/>
        </w:rPr>
      </w:pPr>
      <w:r>
        <w:rPr>
          <w:rFonts w:hint="eastAsia"/>
        </w:rPr>
        <w:t>（</w:t>
      </w:r>
      <w:r>
        <w:rPr>
          <w:rFonts w:hint="eastAsia" w:eastAsia="宋体"/>
          <w:lang w:eastAsia="zh-CN"/>
        </w:rPr>
        <w:t>9</w:t>
      </w:r>
      <w:r>
        <w:rPr>
          <w:rFonts w:hint="eastAsia"/>
        </w:rPr>
        <w:t>）实质性条款响应情况表</w:t>
      </w:r>
    </w:p>
    <w:p w14:paraId="03DCE412">
      <w:pPr>
        <w:keepNext w:val="0"/>
        <w:keepLines w:val="0"/>
        <w:pageBreakBefore w:val="0"/>
        <w:widowControl/>
        <w:kinsoku/>
        <w:wordWrap/>
        <w:overflowPunct/>
        <w:topLinePunct w:val="0"/>
        <w:autoSpaceDE/>
        <w:autoSpaceDN/>
        <w:bidi w:val="0"/>
        <w:adjustRightInd/>
        <w:snapToGrid/>
        <w:ind w:firstLine="960" w:firstLineChars="400"/>
        <w:textAlignment w:val="auto"/>
        <w:rPr>
          <w:rFonts w:hint="eastAsia"/>
        </w:rPr>
      </w:pPr>
      <w:r>
        <w:rPr>
          <w:rFonts w:hint="eastAsia"/>
        </w:rPr>
        <w:t>（</w:t>
      </w:r>
      <w:r>
        <w:rPr>
          <w:rFonts w:hint="eastAsia" w:eastAsia="宋体"/>
          <w:lang w:eastAsia="zh-CN"/>
        </w:rPr>
        <w:t>10</w:t>
      </w:r>
      <w:r>
        <w:rPr>
          <w:rFonts w:hint="eastAsia"/>
        </w:rPr>
        <w:t>）技术要求偏离表</w:t>
      </w:r>
    </w:p>
    <w:p w14:paraId="1E411B02">
      <w:pPr>
        <w:keepNext w:val="0"/>
        <w:keepLines w:val="0"/>
        <w:pageBreakBefore w:val="0"/>
        <w:widowControl/>
        <w:kinsoku/>
        <w:wordWrap/>
        <w:overflowPunct/>
        <w:topLinePunct w:val="0"/>
        <w:autoSpaceDE/>
        <w:autoSpaceDN/>
        <w:bidi w:val="0"/>
        <w:adjustRightInd/>
        <w:snapToGrid/>
        <w:ind w:firstLine="960" w:firstLineChars="400"/>
        <w:textAlignment w:val="auto"/>
        <w:rPr>
          <w:rFonts w:hint="eastAsia"/>
        </w:rPr>
      </w:pPr>
      <w:r>
        <w:rPr>
          <w:rFonts w:hint="eastAsia"/>
        </w:rPr>
        <w:t>（</w:t>
      </w:r>
      <w:r>
        <w:rPr>
          <w:rFonts w:hint="eastAsia" w:eastAsia="宋体"/>
          <w:lang w:eastAsia="zh-CN"/>
        </w:rPr>
        <w:t>11</w:t>
      </w:r>
      <w:r>
        <w:rPr>
          <w:rFonts w:hint="eastAsia"/>
        </w:rPr>
        <w:t>）商务要求偏离表</w:t>
      </w:r>
    </w:p>
    <w:p w14:paraId="37AAB62C">
      <w:pPr>
        <w:keepNext w:val="0"/>
        <w:keepLines w:val="0"/>
        <w:pageBreakBefore w:val="0"/>
        <w:widowControl/>
        <w:kinsoku/>
        <w:wordWrap/>
        <w:overflowPunct/>
        <w:topLinePunct w:val="0"/>
        <w:autoSpaceDE/>
        <w:autoSpaceDN/>
        <w:bidi w:val="0"/>
        <w:adjustRightInd/>
        <w:snapToGrid/>
        <w:ind w:firstLine="960" w:firstLineChars="400"/>
        <w:textAlignment w:val="auto"/>
        <w:rPr>
          <w:rFonts w:hint="eastAsia"/>
        </w:rPr>
      </w:pPr>
      <w:r>
        <w:rPr>
          <w:rFonts w:hint="eastAsia"/>
        </w:rPr>
        <w:t>（</w:t>
      </w:r>
      <w:r>
        <w:rPr>
          <w:rFonts w:hint="eastAsia" w:eastAsia="宋体"/>
          <w:lang w:eastAsia="zh-CN"/>
        </w:rPr>
        <w:t>12</w:t>
      </w:r>
      <w:r>
        <w:rPr>
          <w:rFonts w:hint="eastAsia"/>
        </w:rPr>
        <w:t>）技术保障措施</w:t>
      </w:r>
    </w:p>
    <w:p w14:paraId="52B67C68">
      <w:pPr>
        <w:keepNext w:val="0"/>
        <w:keepLines w:val="0"/>
        <w:pageBreakBefore w:val="0"/>
        <w:widowControl/>
        <w:kinsoku/>
        <w:wordWrap/>
        <w:overflowPunct/>
        <w:topLinePunct w:val="0"/>
        <w:autoSpaceDE/>
        <w:autoSpaceDN/>
        <w:bidi w:val="0"/>
        <w:adjustRightInd/>
        <w:snapToGrid/>
        <w:ind w:firstLine="960" w:firstLineChars="400"/>
        <w:textAlignment w:val="auto"/>
        <w:rPr>
          <w:rFonts w:hint="eastAsia"/>
        </w:rPr>
      </w:pPr>
      <w:r>
        <w:rPr>
          <w:rFonts w:hint="eastAsia"/>
        </w:rPr>
        <w:t>（</w:t>
      </w:r>
      <w:r>
        <w:rPr>
          <w:rFonts w:hint="eastAsia" w:eastAsia="宋体"/>
          <w:lang w:eastAsia="zh-CN"/>
        </w:rPr>
        <w:t>13</w:t>
      </w:r>
      <w:r>
        <w:rPr>
          <w:rFonts w:hint="eastAsia"/>
        </w:rPr>
        <w:t>）同类项目业绩</w:t>
      </w:r>
    </w:p>
    <w:p w14:paraId="3884F747">
      <w:pPr>
        <w:keepNext w:val="0"/>
        <w:keepLines w:val="0"/>
        <w:pageBreakBefore w:val="0"/>
        <w:widowControl/>
        <w:kinsoku/>
        <w:wordWrap/>
        <w:overflowPunct/>
        <w:topLinePunct w:val="0"/>
        <w:autoSpaceDE/>
        <w:autoSpaceDN/>
        <w:bidi w:val="0"/>
        <w:adjustRightInd/>
        <w:snapToGrid/>
        <w:ind w:firstLine="960" w:firstLineChars="400"/>
        <w:textAlignment w:val="auto"/>
        <w:rPr>
          <w:rFonts w:hint="eastAsia"/>
        </w:rPr>
      </w:pPr>
      <w:r>
        <w:rPr>
          <w:rFonts w:hint="eastAsia"/>
        </w:rPr>
        <w:t>（</w:t>
      </w:r>
      <w:r>
        <w:rPr>
          <w:rFonts w:hint="eastAsia" w:eastAsia="宋体"/>
          <w:lang w:eastAsia="zh-CN"/>
        </w:rPr>
        <w:t>14</w:t>
      </w:r>
      <w:r>
        <w:rPr>
          <w:rFonts w:hint="eastAsia"/>
        </w:rPr>
        <w:t>）投标人资质证书</w:t>
      </w:r>
    </w:p>
    <w:p w14:paraId="68BCFE63">
      <w:pPr>
        <w:keepNext w:val="0"/>
        <w:keepLines w:val="0"/>
        <w:pageBreakBefore w:val="0"/>
        <w:widowControl/>
        <w:kinsoku/>
        <w:wordWrap/>
        <w:overflowPunct/>
        <w:topLinePunct w:val="0"/>
        <w:autoSpaceDE/>
        <w:autoSpaceDN/>
        <w:bidi w:val="0"/>
        <w:adjustRightInd/>
        <w:snapToGrid/>
        <w:ind w:firstLine="960" w:firstLineChars="400"/>
        <w:textAlignment w:val="auto"/>
        <w:rPr>
          <w:rFonts w:hint="eastAsia" w:ascii="宋体" w:hAnsi="宋体" w:cs="宋体"/>
        </w:rPr>
      </w:pPr>
      <w:r>
        <w:rPr>
          <w:rFonts w:hint="eastAsia"/>
        </w:rPr>
        <w:t>（</w:t>
      </w:r>
      <w:r>
        <w:rPr>
          <w:rFonts w:hint="eastAsia" w:eastAsia="宋体"/>
          <w:lang w:eastAsia="zh-CN"/>
        </w:rPr>
        <w:t>15</w:t>
      </w:r>
      <w:r>
        <w:rPr>
          <w:rFonts w:hint="eastAsia"/>
        </w:rPr>
        <w:t>）诚信承诺函</w:t>
      </w:r>
    </w:p>
    <w:p w14:paraId="3B73380E">
      <w:pPr>
        <w:keepNext w:val="0"/>
        <w:keepLines w:val="0"/>
        <w:pageBreakBefore w:val="0"/>
        <w:widowControl/>
        <w:kinsoku/>
        <w:wordWrap/>
        <w:overflowPunct/>
        <w:topLinePunct w:val="0"/>
        <w:autoSpaceDE/>
        <w:autoSpaceDN/>
        <w:bidi w:val="0"/>
        <w:adjustRightInd/>
        <w:snapToGrid/>
        <w:ind w:firstLine="960" w:firstLineChars="400"/>
        <w:textAlignment w:val="auto"/>
      </w:pPr>
      <w:r>
        <w:rPr>
          <w:rFonts w:hint="eastAsia"/>
        </w:rPr>
        <w:t>（</w:t>
      </w:r>
      <w:r>
        <w:rPr>
          <w:rFonts w:hint="eastAsia" w:eastAsia="宋体"/>
          <w:lang w:eastAsia="zh-CN"/>
        </w:rPr>
        <w:t>16</w:t>
      </w:r>
      <w:r>
        <w:rPr>
          <w:rFonts w:hint="eastAsia"/>
        </w:rPr>
        <w:t>）投标人认为需要加以说明的其他内容</w:t>
      </w:r>
    </w:p>
    <w:p w14:paraId="3E63B8C6">
      <w:pPr>
        <w:widowControl w:val="0"/>
        <w:spacing w:line="320" w:lineRule="atLeast"/>
        <w:jc w:val="both"/>
        <w:rPr>
          <w:rFonts w:ascii="宋体" w:hAnsi="宋体" w:eastAsia="宋体"/>
          <w:b/>
          <w:kern w:val="2"/>
          <w:lang w:eastAsia="zh-CN"/>
        </w:rPr>
      </w:pPr>
      <w:r>
        <w:rPr>
          <w:rFonts w:hint="eastAsia" w:ascii="宋体" w:hAnsi="宋体" w:eastAsia="宋体" w:cstheme="minorBidi"/>
          <w:b/>
          <w:kern w:val="2"/>
          <w:lang w:eastAsia="zh-CN"/>
        </w:rPr>
        <w:t>备注：</w:t>
      </w:r>
    </w:p>
    <w:p w14:paraId="39100C7B">
      <w:pPr>
        <w:widowControl w:val="0"/>
        <w:snapToGrid w:val="0"/>
        <w:spacing w:line="320" w:lineRule="atLeast"/>
        <w:ind w:firstLine="482" w:firstLineChars="200"/>
        <w:jc w:val="both"/>
        <w:rPr>
          <w:rFonts w:ascii="宋体" w:hAnsi="宋体" w:eastAsia="宋体"/>
          <w:b/>
          <w:kern w:val="2"/>
          <w:lang w:eastAsia="zh-CN"/>
        </w:rPr>
      </w:pPr>
      <w:r>
        <w:rPr>
          <w:rFonts w:hint="eastAsia" w:ascii="宋体" w:hAnsi="宋体" w:eastAsia="宋体" w:cstheme="minorBidi"/>
          <w:b/>
          <w:kern w:val="2"/>
          <w:lang w:eastAsia="zh-CN"/>
        </w:rPr>
        <w:t>1.本项目为网上电子投标项目，投标文件不需法人或授权委托人另行签字，无需加盖单位公章，招标文件另有规定的除外。</w:t>
      </w:r>
    </w:p>
    <w:p w14:paraId="46E96506">
      <w:pPr>
        <w:widowControl w:val="0"/>
        <w:snapToGrid w:val="0"/>
        <w:spacing w:after="60" w:afterLines="25"/>
        <w:ind w:firstLine="482" w:firstLineChars="200"/>
        <w:jc w:val="both"/>
        <w:rPr>
          <w:rFonts w:ascii="宋体" w:hAnsi="宋体" w:eastAsia="黑体"/>
          <w:bCs/>
          <w:kern w:val="44"/>
          <w:sz w:val="32"/>
          <w:szCs w:val="32"/>
          <w:lang w:eastAsia="zh-CN"/>
        </w:rPr>
      </w:pPr>
      <w:bookmarkStart w:id="15" w:name="_Hlk72263559"/>
      <w:r>
        <w:rPr>
          <w:rFonts w:hint="eastAsia" w:ascii="宋体" w:hAnsi="宋体" w:eastAsia="宋体" w:cstheme="minorBidi"/>
          <w:b/>
          <w:kern w:val="2"/>
          <w:lang w:eastAsia="zh-CN"/>
        </w:rPr>
        <w:t>2.关于填写“开标一览表”的说明：“开标一览表”中除“投标总价”外，其他信息不作评审依据。</w:t>
      </w:r>
      <w:bookmarkEnd w:id="14"/>
      <w:bookmarkEnd w:id="15"/>
      <w:r>
        <w:rPr>
          <w:rFonts w:ascii="宋体" w:hAnsi="宋体" w:eastAsia="黑体"/>
          <w:bCs/>
          <w:kern w:val="44"/>
          <w:sz w:val="32"/>
          <w:szCs w:val="32"/>
          <w:lang w:eastAsia="zh-CN"/>
        </w:rPr>
        <w:br w:type="page"/>
      </w:r>
    </w:p>
    <w:p w14:paraId="110A92DF">
      <w:pPr>
        <w:keepNext/>
        <w:keepLines/>
        <w:widowControl w:val="0"/>
        <w:spacing w:before="120" w:after="120" w:line="240" w:lineRule="auto"/>
        <w:jc w:val="center"/>
        <w:outlineLvl w:val="2"/>
        <w:rPr>
          <w:rFonts w:hint="eastAsia" w:ascii="黑体" w:eastAsia="黑体"/>
          <w:b/>
          <w:bCs/>
          <w:kern w:val="2"/>
          <w:sz w:val="30"/>
          <w:szCs w:val="22"/>
          <w:lang w:eastAsia="zh-CN"/>
        </w:rPr>
      </w:pPr>
      <w:r>
        <w:rPr>
          <w:rFonts w:hint="eastAsia" w:ascii="黑体" w:eastAsia="黑体"/>
          <w:b/>
          <w:bCs/>
          <w:kern w:val="2"/>
          <w:sz w:val="30"/>
          <w:szCs w:val="22"/>
          <w:lang w:eastAsia="zh-CN"/>
        </w:rPr>
        <w:t>一、投标函</w:t>
      </w:r>
    </w:p>
    <w:p w14:paraId="70E3829F">
      <w:pPr>
        <w:widowControl w:val="0"/>
        <w:spacing w:line="360" w:lineRule="auto"/>
        <w:jc w:val="both"/>
        <w:rPr>
          <w:rFonts w:ascii="宋体" w:hAnsi="宋体" w:eastAsia="宋体"/>
          <w:kern w:val="2"/>
          <w:sz w:val="21"/>
          <w:szCs w:val="21"/>
          <w:lang w:eastAsia="zh-CN"/>
        </w:rPr>
      </w:pPr>
      <w:bookmarkStart w:id="16" w:name="_Hlk72257506"/>
      <w:r>
        <w:rPr>
          <w:rFonts w:hint="eastAsia" w:ascii="宋体" w:hAnsi="宋体" w:eastAsia="宋体" w:cstheme="minorBidi"/>
          <w:kern w:val="2"/>
          <w:sz w:val="21"/>
          <w:szCs w:val="21"/>
          <w:lang w:eastAsia="zh-CN"/>
        </w:rPr>
        <w:t>致：</w:t>
      </w:r>
      <w:r>
        <w:rPr>
          <w:rFonts w:hint="eastAsia" w:ascii="宋体" w:hAnsi="宋体" w:eastAsia="宋体" w:cstheme="minorBidi"/>
          <w:b/>
          <w:color w:val="000000"/>
          <w:kern w:val="2"/>
          <w:sz w:val="21"/>
          <w:szCs w:val="21"/>
          <w:u w:val="single"/>
          <w:lang w:eastAsia="zh-CN"/>
        </w:rPr>
        <w:t>深圳市千里招标代理有限公司</w:t>
      </w:r>
    </w:p>
    <w:p w14:paraId="6AA0FEBF">
      <w:pPr>
        <w:widowControl w:val="0"/>
        <w:spacing w:line="360" w:lineRule="auto"/>
        <w:ind w:firstLine="420" w:firstLineChars="200"/>
        <w:jc w:val="both"/>
        <w:rPr>
          <w:rFonts w:ascii="宋体" w:hAnsi="宋体" w:eastAsia="宋体"/>
          <w:kern w:val="2"/>
          <w:sz w:val="21"/>
          <w:szCs w:val="21"/>
          <w:lang w:eastAsia="zh-CN"/>
        </w:rPr>
      </w:pPr>
      <w:bookmarkStart w:id="17" w:name="_Hlk73818812"/>
      <w:r>
        <w:rPr>
          <w:rFonts w:hint="eastAsia" w:ascii="Calibri" w:hAnsi="Calibri" w:eastAsia="宋体" w:cstheme="minorBidi"/>
          <w:kern w:val="2"/>
          <w:sz w:val="21"/>
          <w:szCs w:val="21"/>
          <w:lang w:eastAsia="zh-CN"/>
        </w:rPr>
        <w:t>1、根据已收到贵单位的项目编号为LHAZXDL-2025-00097的</w:t>
      </w:r>
      <w:r>
        <w:rPr>
          <w:rFonts w:hint="eastAsia" w:ascii="Calibri" w:hAnsi="Calibri" w:eastAsia="宋体" w:cstheme="minorBidi"/>
          <w:kern w:val="2"/>
          <w:sz w:val="21"/>
          <w:szCs w:val="21"/>
          <w:u w:val="thick"/>
          <w:lang w:eastAsia="zh-CN"/>
        </w:rPr>
        <w:t>大浪校区监控视频存储及光网络交换设备</w:t>
      </w:r>
      <w:r>
        <w:rPr>
          <w:rFonts w:hint="eastAsia" w:ascii="Calibri" w:hAnsi="Calibri" w:eastAsia="宋体" w:cstheme="minorBidi"/>
          <w:kern w:val="2"/>
          <w:sz w:val="21"/>
          <w:szCs w:val="21"/>
          <w:lang w:eastAsia="zh-CN"/>
        </w:rPr>
        <w:t>项目的招标文件，遵照《深圳经济特区政府采购条例》和《深圳网上政府采购管理暂行办法》等有关规定，我单位经研究上述招标文件的专用条款及通用条款后，</w:t>
      </w:r>
      <w:bookmarkStart w:id="18" w:name="_Hlk72263588"/>
      <w:r>
        <w:rPr>
          <w:rFonts w:hint="eastAsia" w:ascii="Calibri" w:hAnsi="Calibri" w:eastAsia="宋体" w:cstheme="minorBidi"/>
          <w:kern w:val="2"/>
          <w:sz w:val="21"/>
          <w:szCs w:val="21"/>
          <w:lang w:eastAsia="zh-CN"/>
        </w:rPr>
        <w:t>愿意按照招标文件要求承包上述项目并修补其任何缺陷。</w:t>
      </w:r>
      <w:bookmarkEnd w:id="18"/>
    </w:p>
    <w:p w14:paraId="23A693D9">
      <w:pPr>
        <w:widowControl w:val="0"/>
        <w:spacing w:line="360" w:lineRule="auto"/>
        <w:ind w:firstLine="420" w:firstLineChars="200"/>
        <w:jc w:val="both"/>
        <w:rPr>
          <w:rFonts w:ascii="宋体" w:hAnsi="宋体" w:eastAsia="宋体"/>
          <w:kern w:val="2"/>
          <w:sz w:val="21"/>
          <w:szCs w:val="21"/>
          <w:lang w:eastAsia="zh-CN"/>
        </w:rPr>
      </w:pPr>
      <w:r>
        <w:rPr>
          <w:rFonts w:ascii="宋体" w:hAnsi="宋体" w:eastAsia="宋体" w:cstheme="minorBidi"/>
          <w:kern w:val="2"/>
          <w:sz w:val="21"/>
          <w:szCs w:val="21"/>
          <w:lang w:eastAsia="zh-CN"/>
        </w:rPr>
        <w:t>2</w:t>
      </w:r>
      <w:r>
        <w:rPr>
          <w:rFonts w:hint="eastAsia" w:ascii="宋体" w:hAnsi="宋体" w:eastAsia="宋体" w:cstheme="minorBidi"/>
          <w:kern w:val="2"/>
          <w:sz w:val="21"/>
          <w:szCs w:val="21"/>
          <w:lang w:eastAsia="zh-CN"/>
        </w:rPr>
        <w:t>、</w:t>
      </w:r>
      <w:bookmarkStart w:id="19" w:name="_Hlk73819847"/>
      <w:r>
        <w:rPr>
          <w:rFonts w:hint="eastAsia" w:ascii="宋体" w:hAnsi="宋体" w:eastAsia="宋体" w:cstheme="minorBidi"/>
          <w:kern w:val="2"/>
          <w:sz w:val="21"/>
          <w:szCs w:val="21"/>
          <w:lang w:eastAsia="zh-CN"/>
        </w:rPr>
        <w:t>投标价格见</w:t>
      </w:r>
      <w:r>
        <w:rPr>
          <w:rFonts w:hint="eastAsia" w:ascii="Calibri" w:hAnsi="Calibri" w:eastAsia="宋体" w:cstheme="minorBidi"/>
          <w:kern w:val="2"/>
          <w:sz w:val="21"/>
          <w:szCs w:val="21"/>
          <w:lang w:eastAsia="zh-CN"/>
        </w:rPr>
        <w:t>投标书编制软件中《开标一览表》中填写的投标总价。</w:t>
      </w:r>
      <w:bookmarkEnd w:id="19"/>
    </w:p>
    <w:p w14:paraId="55AA86B7">
      <w:pPr>
        <w:widowControl w:val="0"/>
        <w:spacing w:line="360" w:lineRule="auto"/>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3、如果我单位中标，我单位将按照招标文件的要求足额提交履约担保。</w:t>
      </w:r>
    </w:p>
    <w:p w14:paraId="24592F46">
      <w:pPr>
        <w:widowControl w:val="0"/>
        <w:spacing w:line="360" w:lineRule="auto"/>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4、我单位同意所递交的投标文件在“对通用条款的补充内容”中明确的投标有效期内有效，在此期间内我单位的投标有可能中标，我方将受此约束。</w:t>
      </w:r>
    </w:p>
    <w:p w14:paraId="39B8D645">
      <w:pPr>
        <w:widowControl w:val="0"/>
        <w:spacing w:line="360" w:lineRule="auto"/>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5、除非另外达成协议并生效，贵单位的中标通知书和本投标文件将构成合同的重要内容。</w:t>
      </w:r>
    </w:p>
    <w:p w14:paraId="4FC136E1">
      <w:pPr>
        <w:widowControl w:val="0"/>
        <w:spacing w:line="360" w:lineRule="auto"/>
        <w:ind w:left="480" w:left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6、我单位理解贵单位将不受必须接受所收到的最低报价或其它任何投标文件的约束。</w:t>
      </w:r>
      <w:bookmarkEnd w:id="17"/>
    </w:p>
    <w:p w14:paraId="7FB54507">
      <w:pPr>
        <w:widowControl w:val="0"/>
        <w:spacing w:line="360" w:lineRule="auto"/>
        <w:ind w:left="480" w:leftChars="200"/>
        <w:jc w:val="both"/>
        <w:rPr>
          <w:rFonts w:ascii="宋体" w:hAnsi="宋体" w:eastAsia="宋体"/>
          <w:b/>
          <w:kern w:val="2"/>
          <w:sz w:val="21"/>
          <w:szCs w:val="21"/>
          <w:lang w:eastAsia="zh-CN"/>
        </w:rPr>
      </w:pPr>
      <w:r>
        <w:rPr>
          <w:rFonts w:hint="eastAsia" w:ascii="宋体" w:hAnsi="宋体" w:eastAsia="宋体" w:cstheme="minorBidi"/>
          <w:b/>
          <w:kern w:val="2"/>
          <w:sz w:val="21"/>
          <w:szCs w:val="21"/>
          <w:lang w:eastAsia="zh-CN"/>
        </w:rPr>
        <w:t>7</w:t>
      </w:r>
      <w:r>
        <w:rPr>
          <w:rFonts w:ascii="宋体" w:hAnsi="宋体" w:eastAsia="宋体" w:cstheme="minorBidi"/>
          <w:b/>
          <w:kern w:val="2"/>
          <w:sz w:val="21"/>
          <w:szCs w:val="21"/>
          <w:lang w:eastAsia="zh-CN"/>
        </w:rPr>
        <w:t>、如我单位提交样品，且未在规定时间内取回样品的，视同放弃取回，同意深圳市千里招标代理有限公司对我单位提交的样品进行清理。</w:t>
      </w:r>
    </w:p>
    <w:p w14:paraId="37D96A94">
      <w:pPr>
        <w:widowControl w:val="0"/>
        <w:spacing w:line="360" w:lineRule="auto"/>
        <w:ind w:left="480" w:leftChars="200" w:firstLine="210" w:firstLineChars="100"/>
        <w:jc w:val="both"/>
        <w:rPr>
          <w:rFonts w:ascii="Calibri" w:hAnsi="Calibri" w:eastAsia="宋体"/>
          <w:kern w:val="2"/>
          <w:sz w:val="21"/>
          <w:szCs w:val="21"/>
          <w:lang w:eastAsia="zh-CN"/>
        </w:rPr>
      </w:pPr>
    </w:p>
    <w:p w14:paraId="303246F9">
      <w:pPr>
        <w:widowControl w:val="0"/>
        <w:spacing w:line="360" w:lineRule="auto"/>
        <w:ind w:left="480" w:leftChars="200" w:firstLine="210" w:firstLineChars="10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投标人：</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；单位地址：</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w:t>
      </w:r>
    </w:p>
    <w:p w14:paraId="58D92966">
      <w:pPr>
        <w:widowControl w:val="0"/>
        <w:spacing w:line="360" w:lineRule="auto"/>
        <w:ind w:left="480" w:leftChars="200" w:firstLine="210" w:firstLineChars="10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法定代表人（负责人）或其授权委托代理人：</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w:t>
      </w:r>
    </w:p>
    <w:p w14:paraId="6938D02B">
      <w:pPr>
        <w:widowControl w:val="0"/>
        <w:spacing w:line="360" w:lineRule="auto"/>
        <w:ind w:left="480" w:leftChars="200" w:firstLine="210" w:firstLineChars="100"/>
        <w:jc w:val="both"/>
        <w:rPr>
          <w:rFonts w:ascii="Calibri" w:hAnsi="Calibri" w:eastAsia="宋体"/>
          <w:kern w:val="2"/>
          <w:sz w:val="21"/>
          <w:szCs w:val="21"/>
          <w:lang w:eastAsia="zh-CN"/>
        </w:rPr>
      </w:pPr>
      <w:r>
        <w:rPr>
          <w:rFonts w:hint="eastAsia" w:hAnsi="Calibri" w:eastAsia="宋体" w:cstheme="minorBidi"/>
          <w:kern w:val="2"/>
          <w:sz w:val="21"/>
          <w:szCs w:val="21"/>
          <w:lang w:eastAsia="zh-CN"/>
        </w:rPr>
        <w:t>开户银行名称：</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w:t>
      </w:r>
    </w:p>
    <w:p w14:paraId="6B2BE27D">
      <w:pPr>
        <w:widowControl w:val="0"/>
        <w:spacing w:line="360" w:lineRule="auto"/>
        <w:ind w:left="480" w:leftChars="200" w:firstLine="210" w:firstLineChars="100"/>
        <w:jc w:val="both"/>
        <w:rPr>
          <w:rFonts w:ascii="Calibri" w:hAnsi="Calibri" w:eastAsia="宋体"/>
          <w:kern w:val="2"/>
          <w:sz w:val="21"/>
          <w:szCs w:val="21"/>
          <w:lang w:eastAsia="zh-CN"/>
        </w:rPr>
      </w:pPr>
      <w:r>
        <w:rPr>
          <w:rFonts w:hint="eastAsia" w:hAnsi="Calibri" w:eastAsia="宋体" w:cstheme="minorBidi"/>
          <w:kern w:val="2"/>
          <w:sz w:val="21"/>
          <w:szCs w:val="21"/>
          <w:lang w:eastAsia="zh-CN"/>
        </w:rPr>
        <w:t>开户银行账号：</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w:t>
      </w:r>
    </w:p>
    <w:p w14:paraId="0B6F8043">
      <w:pPr>
        <w:widowControl w:val="0"/>
        <w:spacing w:line="360" w:lineRule="auto"/>
        <w:ind w:left="480" w:leftChars="200" w:firstLine="210" w:firstLineChars="100"/>
        <w:jc w:val="both"/>
        <w:rPr>
          <w:rFonts w:hint="eastAsia" w:ascii="Calibri" w:hAnsi="Calibri" w:eastAsia="宋体"/>
          <w:kern w:val="2"/>
          <w:sz w:val="21"/>
          <w:szCs w:val="21"/>
          <w:lang w:eastAsia="zh-CN"/>
        </w:rPr>
      </w:pPr>
      <w:r>
        <w:rPr>
          <w:rFonts w:hint="eastAsia" w:ascii="Calibri" w:hAnsi="Calibri" w:eastAsia="宋体" w:cstheme="minorBidi"/>
          <w:kern w:val="2"/>
          <w:sz w:val="21"/>
          <w:szCs w:val="21"/>
          <w:lang w:eastAsia="zh-CN"/>
        </w:rPr>
        <w:t>邮政编码：</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电话：</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传真：</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w:t>
      </w:r>
    </w:p>
    <w:p w14:paraId="18237900">
      <w:pPr>
        <w:widowControl w:val="0"/>
        <w:spacing w:line="360" w:lineRule="auto"/>
        <w:ind w:left="480" w:leftChars="200" w:firstLine="210" w:firstLineChars="100"/>
        <w:jc w:val="both"/>
        <w:rPr>
          <w:rFonts w:ascii="Calibri" w:hAnsi="Calibri" w:eastAsia="宋体"/>
          <w:kern w:val="2"/>
          <w:szCs w:val="22"/>
          <w:lang w:eastAsia="zh-CN"/>
        </w:rPr>
      </w:pPr>
      <w:r>
        <w:rPr>
          <w:rFonts w:hint="eastAsia" w:ascii="宋体" w:hAnsi="宋体" w:eastAsia="宋体" w:cstheme="minorBidi"/>
          <w:kern w:val="2"/>
          <w:sz w:val="21"/>
          <w:szCs w:val="21"/>
          <w:lang w:eastAsia="zh-CN"/>
        </w:rPr>
        <w:t>日期：</w:t>
      </w:r>
      <w:r>
        <w:rPr>
          <w:rFonts w:hint="eastAsia" w:ascii="宋体" w:hAnsi="宋体" w:eastAsia="宋体" w:cstheme="minorBidi"/>
          <w:kern w:val="2"/>
          <w:sz w:val="21"/>
          <w:szCs w:val="21"/>
          <w:u w:val="single"/>
          <w:lang w:eastAsia="zh-CN"/>
        </w:rPr>
        <w:t xml:space="preserve">         </w:t>
      </w:r>
      <w:r>
        <w:rPr>
          <w:rFonts w:hint="eastAsia" w:ascii="宋体" w:hAnsi="宋体" w:eastAsia="宋体" w:cstheme="minorBidi"/>
          <w:kern w:val="2"/>
          <w:sz w:val="21"/>
          <w:szCs w:val="21"/>
          <w:lang w:eastAsia="zh-CN"/>
        </w:rPr>
        <w:t>年</w:t>
      </w:r>
      <w:r>
        <w:rPr>
          <w:rFonts w:hint="eastAsia" w:ascii="宋体" w:hAnsi="宋体" w:eastAsia="宋体" w:cstheme="minorBidi"/>
          <w:kern w:val="2"/>
          <w:sz w:val="21"/>
          <w:szCs w:val="21"/>
          <w:u w:val="single"/>
          <w:lang w:eastAsia="zh-CN"/>
        </w:rPr>
        <w:t xml:space="preserve">     </w:t>
      </w:r>
      <w:r>
        <w:rPr>
          <w:rFonts w:hint="eastAsia" w:ascii="宋体" w:hAnsi="宋体" w:eastAsia="宋体" w:cstheme="minorBidi"/>
          <w:kern w:val="2"/>
          <w:sz w:val="21"/>
          <w:szCs w:val="21"/>
          <w:lang w:eastAsia="zh-CN"/>
        </w:rPr>
        <w:t>月</w:t>
      </w:r>
      <w:r>
        <w:rPr>
          <w:rFonts w:hint="eastAsia" w:ascii="宋体" w:hAnsi="宋体" w:eastAsia="宋体" w:cstheme="minorBidi"/>
          <w:kern w:val="2"/>
          <w:sz w:val="21"/>
          <w:szCs w:val="21"/>
          <w:u w:val="single"/>
          <w:lang w:eastAsia="zh-CN"/>
        </w:rPr>
        <w:t xml:space="preserve">     </w:t>
      </w:r>
      <w:r>
        <w:rPr>
          <w:rFonts w:hint="eastAsia" w:ascii="宋体" w:hAnsi="宋体" w:eastAsia="宋体" w:cstheme="minorBidi"/>
          <w:kern w:val="2"/>
          <w:sz w:val="21"/>
          <w:szCs w:val="21"/>
          <w:lang w:eastAsia="zh-CN"/>
        </w:rPr>
        <w:t>日</w:t>
      </w:r>
    </w:p>
    <w:p w14:paraId="6F7A204E">
      <w:pPr>
        <w:widowControl w:val="0"/>
        <w:jc w:val="both"/>
        <w:rPr>
          <w:rFonts w:ascii="黑体" w:hAnsi="宋体" w:eastAsia="黑体"/>
          <w:kern w:val="2"/>
          <w:sz w:val="21"/>
          <w:szCs w:val="22"/>
          <w:lang w:eastAsia="zh-CN"/>
        </w:rPr>
      </w:pPr>
    </w:p>
    <w:p w14:paraId="7811CCD4">
      <w:pPr>
        <w:widowControl w:val="0"/>
        <w:jc w:val="both"/>
        <w:rPr>
          <w:rFonts w:ascii="黑体" w:hAnsi="宋体" w:eastAsia="黑体"/>
          <w:kern w:val="2"/>
          <w:sz w:val="21"/>
          <w:szCs w:val="22"/>
          <w:lang w:eastAsia="zh-CN"/>
        </w:rPr>
      </w:pPr>
    </w:p>
    <w:p w14:paraId="4DC53553">
      <w:pPr>
        <w:widowControl w:val="0"/>
        <w:jc w:val="both"/>
        <w:rPr>
          <w:rFonts w:ascii="黑体" w:hAnsi="宋体" w:eastAsia="黑体"/>
          <w:kern w:val="2"/>
          <w:sz w:val="21"/>
          <w:szCs w:val="22"/>
          <w:lang w:eastAsia="zh-CN"/>
        </w:rPr>
      </w:pPr>
    </w:p>
    <w:p w14:paraId="63CB8F83">
      <w:pPr>
        <w:widowControl w:val="0"/>
        <w:jc w:val="both"/>
        <w:rPr>
          <w:rFonts w:ascii="黑体" w:hAnsi="宋体" w:eastAsia="黑体"/>
          <w:kern w:val="2"/>
          <w:sz w:val="21"/>
          <w:szCs w:val="22"/>
          <w:lang w:eastAsia="zh-CN"/>
        </w:rPr>
      </w:pPr>
    </w:p>
    <w:p w14:paraId="397830DE">
      <w:pPr>
        <w:widowControl w:val="0"/>
        <w:jc w:val="both"/>
        <w:rPr>
          <w:rFonts w:ascii="黑体" w:hAnsi="宋体" w:eastAsia="黑体"/>
          <w:kern w:val="2"/>
          <w:sz w:val="21"/>
          <w:szCs w:val="22"/>
          <w:lang w:eastAsia="zh-CN"/>
        </w:rPr>
      </w:pPr>
    </w:p>
    <w:p w14:paraId="4FE65614">
      <w:pPr>
        <w:widowControl w:val="0"/>
        <w:jc w:val="both"/>
        <w:rPr>
          <w:rFonts w:ascii="黑体" w:hAnsi="宋体" w:eastAsia="黑体"/>
          <w:kern w:val="2"/>
          <w:sz w:val="21"/>
          <w:szCs w:val="22"/>
          <w:lang w:eastAsia="zh-CN"/>
        </w:rPr>
      </w:pPr>
    </w:p>
    <w:p w14:paraId="2CE3E444">
      <w:pPr>
        <w:widowControl w:val="0"/>
        <w:jc w:val="both"/>
        <w:rPr>
          <w:rFonts w:ascii="黑体" w:hAnsi="宋体" w:eastAsia="黑体"/>
          <w:kern w:val="2"/>
          <w:sz w:val="21"/>
          <w:szCs w:val="22"/>
          <w:lang w:eastAsia="zh-CN"/>
        </w:rPr>
      </w:pPr>
    </w:p>
    <w:p w14:paraId="0C59C9D3">
      <w:pPr>
        <w:widowControl w:val="0"/>
        <w:jc w:val="both"/>
        <w:rPr>
          <w:rFonts w:ascii="黑体" w:hAnsi="宋体" w:eastAsia="黑体"/>
          <w:kern w:val="2"/>
          <w:sz w:val="21"/>
          <w:szCs w:val="22"/>
          <w:lang w:eastAsia="zh-CN"/>
        </w:rPr>
      </w:pPr>
    </w:p>
    <w:p w14:paraId="654B6D22">
      <w:pPr>
        <w:widowControl w:val="0"/>
        <w:jc w:val="both"/>
        <w:rPr>
          <w:rFonts w:ascii="黑体" w:hAnsi="宋体" w:eastAsia="黑体"/>
          <w:kern w:val="2"/>
          <w:sz w:val="21"/>
          <w:szCs w:val="22"/>
          <w:lang w:eastAsia="zh-CN"/>
        </w:rPr>
      </w:pPr>
    </w:p>
    <w:p w14:paraId="44AFCBE7">
      <w:pPr>
        <w:widowControl w:val="0"/>
        <w:jc w:val="both"/>
        <w:rPr>
          <w:rFonts w:ascii="黑体" w:hAnsi="宋体" w:eastAsia="黑体"/>
          <w:kern w:val="2"/>
          <w:sz w:val="21"/>
          <w:szCs w:val="22"/>
          <w:lang w:eastAsia="zh-CN"/>
        </w:rPr>
      </w:pPr>
    </w:p>
    <w:p w14:paraId="3AC17363">
      <w:pPr>
        <w:widowControl w:val="0"/>
        <w:jc w:val="both"/>
        <w:rPr>
          <w:rFonts w:ascii="黑体" w:hAnsi="宋体" w:eastAsia="黑体"/>
          <w:kern w:val="2"/>
          <w:sz w:val="21"/>
          <w:szCs w:val="22"/>
          <w:lang w:eastAsia="zh-CN"/>
        </w:rPr>
      </w:pPr>
    </w:p>
    <w:p w14:paraId="369119E2">
      <w:pPr>
        <w:widowControl w:val="0"/>
        <w:jc w:val="both"/>
        <w:rPr>
          <w:rFonts w:ascii="黑体" w:hAnsi="宋体" w:eastAsia="黑体"/>
          <w:kern w:val="2"/>
          <w:sz w:val="21"/>
          <w:szCs w:val="22"/>
          <w:lang w:eastAsia="zh-CN"/>
        </w:rPr>
      </w:pPr>
    </w:p>
    <w:bookmarkEnd w:id="16"/>
    <w:p w14:paraId="182FB158">
      <w:pPr>
        <w:keepNext/>
        <w:keepLines/>
        <w:widowControl w:val="0"/>
        <w:spacing w:before="120" w:after="120" w:line="240" w:lineRule="auto"/>
        <w:jc w:val="center"/>
        <w:outlineLvl w:val="2"/>
        <w:rPr>
          <w:rFonts w:hint="eastAsia" w:ascii="黑体" w:eastAsia="黑体"/>
          <w:b/>
          <w:bCs/>
          <w:kern w:val="2"/>
          <w:sz w:val="30"/>
          <w:szCs w:val="22"/>
          <w:lang w:eastAsia="zh-CN"/>
        </w:rPr>
      </w:pPr>
      <w:r>
        <w:rPr>
          <w:rFonts w:hint="eastAsia" w:ascii="黑体" w:eastAsia="黑体"/>
          <w:b/>
          <w:bCs/>
          <w:kern w:val="2"/>
          <w:sz w:val="30"/>
          <w:szCs w:val="22"/>
          <w:lang w:eastAsia="zh-CN"/>
        </w:rPr>
        <w:t>二、龙华区教育局自行采购投标及履约承诺函</w:t>
      </w:r>
    </w:p>
    <w:p w14:paraId="4AEAE4FB">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致：</w:t>
      </w:r>
      <w:r>
        <w:rPr>
          <w:rFonts w:hint="eastAsia" w:ascii="宋体" w:hAnsi="宋体" w:eastAsia="宋体" w:cs="宋体"/>
          <w:kern w:val="2"/>
          <w:sz w:val="21"/>
          <w:szCs w:val="21"/>
          <w:u w:val="single"/>
          <w:lang w:eastAsia="zh-CN"/>
        </w:rPr>
        <w:t>深圳市千里招标代理有限公司</w:t>
      </w:r>
    </w:p>
    <w:p w14:paraId="12034073">
      <w:pPr>
        <w:widowControl w:val="0"/>
        <w:ind w:firstLine="645"/>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我单位承诺：</w:t>
      </w:r>
    </w:p>
    <w:p w14:paraId="155837CB">
      <w:pPr>
        <w:widowControl w:val="0"/>
        <w:ind w:firstLine="645"/>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1.我单位本招标项目所提供的货物或服务未侵犯知识产权。</w:t>
      </w:r>
    </w:p>
    <w:p w14:paraId="61A19332">
      <w:pPr>
        <w:widowControl w:val="0"/>
        <w:ind w:firstLine="645"/>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2.我单位参与本项目投标前三年内，在经营活动中没有重大违法记录。</w:t>
      </w:r>
    </w:p>
    <w:p w14:paraId="346C21B5">
      <w:pPr>
        <w:widowControl w:val="0"/>
        <w:ind w:firstLine="645"/>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3.我单位参与本项目政府采购活动时不存在被有关部门禁止参与政府采购活动且在有效期内的情况。</w:t>
      </w:r>
    </w:p>
    <w:p w14:paraId="57B4F8AE">
      <w:pPr>
        <w:widowControl w:val="0"/>
        <w:ind w:firstLine="645"/>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4.我单位具备《中华人民共和国政府采购法》第二十二条第一款规定的六项条件。</w:t>
      </w:r>
    </w:p>
    <w:p w14:paraId="0ACF534A">
      <w:pPr>
        <w:widowControl w:val="0"/>
        <w:ind w:firstLine="645"/>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5.我单位未被列入失信被执行人、重大税收违法案件当事人名单（税收违法黑名单）、政府采购严重违法失信行为记录名单。</w:t>
      </w:r>
    </w:p>
    <w:p w14:paraId="4C94249D">
      <w:pPr>
        <w:widowControl w:val="0"/>
        <w:ind w:firstLine="645"/>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6.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我单位严格遵守政府采购相关法律，投标做到诚实，不造假，不围标、串标、陪标，不存在编制、加密或上传标书的设备mac地址与其他投标人相同的情形。</w:t>
      </w:r>
    </w:p>
    <w:p w14:paraId="768B3916">
      <w:pPr>
        <w:widowControl w:val="0"/>
        <w:ind w:firstLine="645"/>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13F1DCC9">
      <w:pPr>
        <w:widowControl w:val="0"/>
        <w:ind w:firstLine="645"/>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6B059095">
      <w:pPr>
        <w:widowControl w:val="0"/>
        <w:ind w:firstLine="645"/>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9.</w:t>
      </w:r>
      <w:r>
        <w:rPr>
          <w:rFonts w:hint="eastAsia" w:ascii="宋体" w:hAnsi="宋体" w:eastAsia="宋体" w:cstheme="minorBidi"/>
          <w:kern w:val="2"/>
          <w:sz w:val="21"/>
          <w:szCs w:val="21"/>
          <w:lang w:eastAsia="zh-CN"/>
        </w:rPr>
        <w:t>我单位承诺参与本项目非联合体投标，不选用进口产品参与投标，中标后项目不转包，未经采购人同意不进行分包。</w:t>
      </w:r>
    </w:p>
    <w:p w14:paraId="5DC7D2DB">
      <w:pPr>
        <w:widowControl w:val="0"/>
        <w:ind w:firstLine="645"/>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10.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217B85B7">
      <w:pPr>
        <w:widowControl w:val="0"/>
        <w:ind w:firstLine="645"/>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11.我单位保证，若所投货物涉及《财政部生态环境部关于印发节能产品政府采购品目清单的通知》（财库〔2019〕19号）列明的政府采购强制产品，则所投该产品符合节能产品的认证要求，则所投该产品符合节能产品的认证要求。若所投产品包括数据中心相关设备的，应满足财政部《绿色数据中心政府采购需求标准（试行）》（财办库〔2023〕7号）要求。</w:t>
      </w:r>
    </w:p>
    <w:p w14:paraId="1DE7964C">
      <w:pPr>
        <w:widowControl w:val="0"/>
        <w:ind w:firstLine="645"/>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12.我单位承诺，为采购项目提供整体设计、规范编制或者项目管理、监理、检测等服务的供应商，不再参加该采购项目同一合同项下的其他采购活动。</w:t>
      </w:r>
    </w:p>
    <w:p w14:paraId="17A66983">
      <w:pPr>
        <w:widowControl w:val="0"/>
        <w:ind w:firstLine="645"/>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13.我单位承诺，符合《中华人民共和国政府采购法实施条例》第十八条第一款规定，不存在我单位与其他供应商的负责人为同一人或者存在直接控股、管理关系的情况。</w:t>
      </w:r>
    </w:p>
    <w:p w14:paraId="2F82337D">
      <w:pPr>
        <w:widowControl w:val="0"/>
        <w:ind w:firstLine="645"/>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14.所投标（响应）的货物、工程或服务，不存在侵犯知识产权的情况；已知悉并同意中标（成交）结果信息公示（公开）的内容。</w:t>
      </w:r>
    </w:p>
    <w:p w14:paraId="68D9A5B1">
      <w:pPr>
        <w:widowControl w:val="0"/>
        <w:ind w:firstLine="645"/>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15.本单位（公司）不存在《深圳市财政局政府采购供应商信用信息管理办法》（深财规</w:t>
      </w:r>
    </w:p>
    <w:p w14:paraId="4A1EBEED">
      <w:pPr>
        <w:widowControl w:val="0"/>
        <w:ind w:firstLine="645"/>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2023〕3号）列明的严重违法失信行为：（一）供应商因违法经营受到刑事处罚或者责令停产停业、吊销许可证或者执照、较大数额罚款等行政处罚的；（二）供应商受到财政部门禁止参与政府采购活动行政处罚的（处罚期限届满的除外）；（三）供应商被列入失信被执行人名单的；（四）供应商被列入重大税收违法案件当事人名单的；（五）依法应予联合惩戒的其他严重失信行为。</w:t>
      </w:r>
    </w:p>
    <w:p w14:paraId="06CE1654">
      <w:pPr>
        <w:widowControl w:val="0"/>
        <w:ind w:firstLine="645"/>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16.我单位自愿遵照龙华区教育系统自行采购的有关管理制度和规定，并自愿接受龙华区教育局和财政部门的有关监督。</w:t>
      </w:r>
    </w:p>
    <w:p w14:paraId="0192EE83">
      <w:pPr>
        <w:widowControl w:val="0"/>
        <w:ind w:firstLine="645"/>
        <w:jc w:val="both"/>
        <w:rPr>
          <w:rFonts w:ascii="宋体" w:hAnsi="宋体" w:eastAsia="宋体" w:cs="宋体"/>
          <w:kern w:val="2"/>
          <w:sz w:val="21"/>
          <w:szCs w:val="21"/>
          <w:lang w:eastAsia="zh-CN"/>
        </w:rPr>
      </w:pPr>
      <w:r>
        <w:rPr>
          <w:rFonts w:hint="eastAsia" w:ascii="宋体" w:hAnsi="宋体" w:eastAsia="宋体" w:cstheme="minorBidi"/>
          <w:color w:val="FF0000"/>
          <w:sz w:val="21"/>
          <w:szCs w:val="22"/>
          <w:lang w:eastAsia="zh-CN"/>
        </w:rPr>
        <w:t>17.如果我单位中标，将依照本项目招标文件要求，在接到深圳市千里招标代理有限公司通知（包括但不限于电话、短信通知）后3个工作日内，缴纳招标代理服务费。</w:t>
      </w:r>
    </w:p>
    <w:p w14:paraId="0ED63251">
      <w:pPr>
        <w:widowControl w:val="0"/>
        <w:ind w:firstLine="645"/>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以上承诺，如有违反，采购单位或龙华区教育局或财政部门可暂停我方两年内参与龙华区教育系统自行采购和深圳政府采购智慧平台深圳政府采购自行采购系统的投标资格，并愿承担由此给采购人带来的损失。以上承诺，如有违反，愿依照国家相关法律法规处理。</w:t>
      </w:r>
    </w:p>
    <w:p w14:paraId="3B901754">
      <w:pPr>
        <w:widowControl w:val="0"/>
        <w:spacing w:line="560" w:lineRule="exact"/>
        <w:jc w:val="both"/>
        <w:rPr>
          <w:rFonts w:ascii="宋体" w:hAnsi="宋体" w:eastAsia="宋体" w:cs="宋体"/>
          <w:kern w:val="2"/>
          <w:sz w:val="18"/>
          <w:szCs w:val="18"/>
          <w:lang w:eastAsia="zh-CN"/>
        </w:rPr>
      </w:pPr>
    </w:p>
    <w:p w14:paraId="5D0AD021">
      <w:pPr>
        <w:widowControl w:val="0"/>
        <w:spacing w:before="60" w:beforeLines="25" w:after="60" w:afterLines="25"/>
        <w:jc w:val="right"/>
        <w:rPr>
          <w:rFonts w:hint="eastAsia" w:ascii="Calibri" w:hAnsi="Calibri" w:eastAsia="宋体"/>
          <w:kern w:val="2"/>
          <w:sz w:val="21"/>
          <w:szCs w:val="22"/>
          <w:lang w:eastAsia="zh-CN"/>
        </w:rPr>
      </w:pPr>
      <w:r>
        <w:rPr>
          <w:rFonts w:hint="eastAsia" w:ascii="Calibri" w:hAnsi="Calibri" w:eastAsia="宋体" w:cstheme="minorBidi"/>
          <w:kern w:val="2"/>
          <w:sz w:val="21"/>
          <w:szCs w:val="21"/>
          <w:lang w:eastAsia="zh-CN"/>
        </w:rPr>
        <w:t>投标人：</w:t>
      </w:r>
      <w:r>
        <w:rPr>
          <w:rFonts w:hint="eastAsia" w:ascii="宋体" w:hAnsi="宋体" w:eastAsia="宋体" w:cstheme="minorBidi"/>
          <w:kern w:val="2"/>
          <w:sz w:val="21"/>
          <w:szCs w:val="21"/>
          <w:u w:val="single"/>
          <w:lang w:eastAsia="zh-CN"/>
        </w:rPr>
        <w:t xml:space="preserve">                </w:t>
      </w:r>
      <w:r>
        <w:rPr>
          <w:rFonts w:hint="eastAsia" w:ascii="Calibri" w:hAnsi="Calibri" w:eastAsia="宋体" w:cstheme="minorBidi"/>
          <w:color w:val="FFFFFF"/>
          <w:kern w:val="2"/>
          <w:sz w:val="21"/>
          <w:szCs w:val="21"/>
          <w:u w:val="single"/>
          <w:lang w:eastAsia="zh-CN"/>
        </w:rPr>
        <w:t>.</w:t>
      </w:r>
    </w:p>
    <w:p w14:paraId="0FF1CA37">
      <w:pPr>
        <w:widowControl w:val="0"/>
        <w:ind w:firstLine="645"/>
        <w:jc w:val="right"/>
        <w:rPr>
          <w:rFonts w:ascii="宋体" w:hAnsi="宋体" w:eastAsia="宋体"/>
          <w:kern w:val="2"/>
          <w:sz w:val="21"/>
          <w:szCs w:val="21"/>
          <w:lang w:eastAsia="zh-CN"/>
        </w:rPr>
      </w:pPr>
      <w:r>
        <w:rPr>
          <w:rFonts w:hint="eastAsia" w:ascii="宋体" w:hAnsi="宋体" w:eastAsia="宋体" w:cstheme="minorBidi"/>
          <w:kern w:val="2"/>
          <w:sz w:val="21"/>
          <w:szCs w:val="21"/>
          <w:lang w:eastAsia="zh-CN"/>
        </w:rPr>
        <w:t>日期：</w:t>
      </w:r>
      <w:r>
        <w:rPr>
          <w:rFonts w:hint="eastAsia" w:ascii="宋体" w:hAnsi="宋体" w:eastAsia="宋体" w:cstheme="minorBidi"/>
          <w:kern w:val="2"/>
          <w:sz w:val="21"/>
          <w:szCs w:val="21"/>
          <w:u w:val="single"/>
          <w:lang w:eastAsia="zh-CN"/>
        </w:rPr>
        <w:t xml:space="preserve">    </w:t>
      </w:r>
      <w:r>
        <w:rPr>
          <w:rFonts w:hint="eastAsia" w:ascii="宋体" w:hAnsi="宋体" w:eastAsia="宋体" w:cstheme="minorBidi"/>
          <w:kern w:val="2"/>
          <w:sz w:val="21"/>
          <w:szCs w:val="21"/>
          <w:lang w:eastAsia="zh-CN"/>
        </w:rPr>
        <w:t>年</w:t>
      </w:r>
      <w:r>
        <w:rPr>
          <w:rFonts w:hint="eastAsia" w:ascii="宋体" w:hAnsi="宋体" w:eastAsia="宋体" w:cstheme="minorBidi"/>
          <w:kern w:val="2"/>
          <w:sz w:val="21"/>
          <w:szCs w:val="21"/>
          <w:u w:val="single"/>
          <w:lang w:eastAsia="zh-CN"/>
        </w:rPr>
        <w:t xml:space="preserve">    </w:t>
      </w:r>
      <w:r>
        <w:rPr>
          <w:rFonts w:hint="eastAsia" w:ascii="宋体" w:hAnsi="宋体" w:eastAsia="宋体" w:cstheme="minorBidi"/>
          <w:kern w:val="2"/>
          <w:sz w:val="21"/>
          <w:szCs w:val="21"/>
          <w:lang w:eastAsia="zh-CN"/>
        </w:rPr>
        <w:t>月</w:t>
      </w:r>
      <w:r>
        <w:rPr>
          <w:rFonts w:hint="eastAsia" w:ascii="宋体" w:hAnsi="宋体" w:eastAsia="宋体" w:cstheme="minorBidi"/>
          <w:kern w:val="2"/>
          <w:sz w:val="21"/>
          <w:szCs w:val="21"/>
          <w:u w:val="single"/>
          <w:lang w:eastAsia="zh-CN"/>
        </w:rPr>
        <w:t xml:space="preserve">    </w:t>
      </w:r>
      <w:r>
        <w:rPr>
          <w:rFonts w:hint="eastAsia" w:ascii="宋体" w:hAnsi="宋体" w:eastAsia="宋体" w:cstheme="minorBidi"/>
          <w:kern w:val="2"/>
          <w:sz w:val="21"/>
          <w:szCs w:val="21"/>
          <w:lang w:eastAsia="zh-CN"/>
        </w:rPr>
        <w:t>日</w:t>
      </w:r>
    </w:p>
    <w:p w14:paraId="27D082F2">
      <w:pPr>
        <w:widowControl w:val="0"/>
        <w:jc w:val="both"/>
        <w:rPr>
          <w:rFonts w:ascii="宋体" w:hAnsi="宋体" w:eastAsia="宋体" w:cs="宋体"/>
          <w:b/>
          <w:bCs/>
          <w:color w:val="FF0000"/>
          <w:kern w:val="2"/>
          <w:sz w:val="21"/>
          <w:szCs w:val="21"/>
          <w:lang w:eastAsia="zh-CN"/>
        </w:rPr>
      </w:pPr>
    </w:p>
    <w:p w14:paraId="6CE5C360">
      <w:pPr>
        <w:widowControl w:val="0"/>
        <w:jc w:val="right"/>
        <w:rPr>
          <w:rFonts w:ascii="宋体" w:hAnsi="宋体" w:eastAsia="宋体"/>
          <w:color w:val="FF0000"/>
          <w:kern w:val="2"/>
          <w:sz w:val="21"/>
          <w:szCs w:val="21"/>
          <w:lang w:eastAsia="zh-CN"/>
        </w:rPr>
      </w:pPr>
      <w:r>
        <w:rPr>
          <w:rFonts w:hint="eastAsia" w:ascii="宋体" w:hAnsi="宋体" w:eastAsia="宋体" w:cs="宋体"/>
          <w:b/>
          <w:bCs/>
          <w:color w:val="FF0000"/>
          <w:kern w:val="2"/>
          <w:sz w:val="21"/>
          <w:szCs w:val="21"/>
          <w:lang w:eastAsia="zh-CN"/>
        </w:rPr>
        <w:t>注：根据《中华人民共和国政府采购法实施条例》第十九条规定：政府采购法第二十二条第一款第五项所称重大违法记录，是指供应商因违法经营受到刑事处罚或者责令停产停业、吊销许可证或者执照、较大数额罚款等行政处罚。</w:t>
      </w:r>
    </w:p>
    <w:p w14:paraId="73070313">
      <w:pPr>
        <w:widowControl w:val="0"/>
        <w:ind w:firstLine="645"/>
        <w:jc w:val="both"/>
        <w:rPr>
          <w:rFonts w:ascii="宋体" w:hAnsi="宋体" w:eastAsia="宋体"/>
          <w:kern w:val="2"/>
          <w:sz w:val="21"/>
          <w:szCs w:val="21"/>
          <w:lang w:eastAsia="zh-CN"/>
        </w:rPr>
      </w:pPr>
    </w:p>
    <w:p w14:paraId="1635FF63">
      <w:pPr>
        <w:widowControl w:val="0"/>
        <w:jc w:val="both"/>
        <w:rPr>
          <w:rFonts w:ascii="宋体" w:hAnsi="Calibri" w:eastAsia="宋体"/>
          <w:b/>
          <w:kern w:val="2"/>
          <w:sz w:val="21"/>
          <w:szCs w:val="21"/>
          <w:lang w:eastAsia="zh-CN"/>
        </w:rPr>
      </w:pPr>
    </w:p>
    <w:p w14:paraId="3D9C22AB">
      <w:pPr>
        <w:widowControl w:val="0"/>
        <w:ind w:firstLine="482" w:firstLineChars="200"/>
        <w:jc w:val="center"/>
        <w:rPr>
          <w:rFonts w:ascii="Calibri" w:hAnsi="宋体" w:eastAsia="宋体"/>
          <w:b/>
          <w:bCs/>
          <w:kern w:val="2"/>
          <w:szCs w:val="22"/>
          <w:lang w:eastAsia="zh-CN"/>
        </w:rPr>
      </w:pPr>
    </w:p>
    <w:p w14:paraId="6A9F7AD4">
      <w:pPr>
        <w:widowControl w:val="0"/>
        <w:spacing w:after="120" w:line="240" w:lineRule="auto"/>
        <w:ind w:left="480" w:leftChars="200" w:firstLine="482" w:firstLineChars="200"/>
        <w:jc w:val="both"/>
        <w:rPr>
          <w:rFonts w:ascii="Calibri" w:hAnsi="宋体" w:eastAsia="宋体"/>
          <w:b/>
          <w:bCs/>
          <w:kern w:val="2"/>
          <w:szCs w:val="22"/>
          <w:lang w:eastAsia="zh-CN"/>
        </w:rPr>
      </w:pPr>
    </w:p>
    <w:p w14:paraId="481FDCE2">
      <w:pPr>
        <w:widowControl w:val="0"/>
        <w:spacing w:after="120" w:line="240" w:lineRule="auto"/>
        <w:ind w:left="480" w:leftChars="200" w:firstLine="482" w:firstLineChars="200"/>
        <w:jc w:val="both"/>
        <w:rPr>
          <w:rFonts w:ascii="Calibri" w:hAnsi="宋体" w:eastAsia="宋体"/>
          <w:b/>
          <w:bCs/>
          <w:kern w:val="2"/>
          <w:szCs w:val="22"/>
          <w:lang w:eastAsia="zh-CN"/>
        </w:rPr>
      </w:pPr>
    </w:p>
    <w:p w14:paraId="6D3B1F04">
      <w:pPr>
        <w:widowControl w:val="0"/>
        <w:spacing w:after="120" w:line="240" w:lineRule="auto"/>
        <w:ind w:left="480" w:leftChars="200" w:firstLine="482" w:firstLineChars="200"/>
        <w:jc w:val="both"/>
        <w:rPr>
          <w:rFonts w:ascii="Calibri" w:hAnsi="宋体" w:eastAsia="宋体"/>
          <w:b/>
          <w:bCs/>
          <w:kern w:val="2"/>
          <w:szCs w:val="22"/>
          <w:lang w:eastAsia="zh-CN"/>
        </w:rPr>
      </w:pPr>
    </w:p>
    <w:p w14:paraId="29622AAA">
      <w:pPr>
        <w:widowControl w:val="0"/>
        <w:spacing w:after="120" w:line="240" w:lineRule="auto"/>
        <w:ind w:left="480" w:leftChars="200" w:firstLine="482" w:firstLineChars="200"/>
        <w:jc w:val="both"/>
        <w:rPr>
          <w:rFonts w:ascii="Calibri" w:hAnsi="宋体" w:eastAsia="宋体"/>
          <w:b/>
          <w:bCs/>
          <w:kern w:val="2"/>
          <w:szCs w:val="22"/>
          <w:lang w:eastAsia="zh-CN"/>
        </w:rPr>
      </w:pPr>
    </w:p>
    <w:p w14:paraId="12F99035">
      <w:pPr>
        <w:widowControl w:val="0"/>
        <w:spacing w:after="120" w:line="240" w:lineRule="auto"/>
        <w:ind w:left="480" w:leftChars="200" w:firstLine="482" w:firstLineChars="200"/>
        <w:jc w:val="both"/>
        <w:rPr>
          <w:rFonts w:ascii="Calibri" w:hAnsi="宋体" w:eastAsia="宋体"/>
          <w:b/>
          <w:bCs/>
          <w:kern w:val="2"/>
          <w:szCs w:val="22"/>
          <w:lang w:eastAsia="zh-CN"/>
        </w:rPr>
      </w:pPr>
    </w:p>
    <w:p w14:paraId="00753BEB">
      <w:pPr>
        <w:widowControl w:val="0"/>
        <w:spacing w:after="120" w:line="240" w:lineRule="auto"/>
        <w:ind w:left="480" w:leftChars="200" w:firstLine="482" w:firstLineChars="200"/>
        <w:jc w:val="both"/>
        <w:rPr>
          <w:rFonts w:ascii="Calibri" w:hAnsi="宋体" w:eastAsia="宋体"/>
          <w:b/>
          <w:bCs/>
          <w:kern w:val="2"/>
          <w:szCs w:val="22"/>
          <w:lang w:eastAsia="zh-CN"/>
        </w:rPr>
      </w:pPr>
    </w:p>
    <w:p w14:paraId="4AC831D1">
      <w:pPr>
        <w:widowControl w:val="0"/>
        <w:spacing w:after="120" w:line="240" w:lineRule="auto"/>
        <w:ind w:left="480" w:leftChars="200" w:firstLine="482" w:firstLineChars="200"/>
        <w:jc w:val="both"/>
        <w:rPr>
          <w:rFonts w:ascii="Calibri" w:hAnsi="宋体" w:eastAsia="宋体"/>
          <w:b/>
          <w:bCs/>
          <w:kern w:val="2"/>
          <w:szCs w:val="22"/>
          <w:lang w:eastAsia="zh-CN"/>
        </w:rPr>
      </w:pPr>
    </w:p>
    <w:p w14:paraId="1C1E1CC1">
      <w:pPr>
        <w:widowControl w:val="0"/>
        <w:spacing w:after="120" w:line="240" w:lineRule="auto"/>
        <w:ind w:left="480" w:leftChars="200" w:firstLine="482" w:firstLineChars="200"/>
        <w:jc w:val="both"/>
        <w:rPr>
          <w:rFonts w:ascii="Calibri" w:hAnsi="宋体" w:eastAsia="宋体"/>
          <w:b/>
          <w:bCs/>
          <w:kern w:val="2"/>
          <w:szCs w:val="22"/>
          <w:lang w:eastAsia="zh-CN"/>
        </w:rPr>
      </w:pPr>
    </w:p>
    <w:p w14:paraId="5E502DA6">
      <w:pPr>
        <w:widowControl w:val="0"/>
        <w:spacing w:after="120" w:line="240" w:lineRule="auto"/>
        <w:ind w:left="480" w:leftChars="200" w:firstLine="482" w:firstLineChars="200"/>
        <w:jc w:val="both"/>
        <w:rPr>
          <w:rFonts w:ascii="Calibri" w:hAnsi="宋体" w:eastAsia="宋体"/>
          <w:b/>
          <w:bCs/>
          <w:kern w:val="2"/>
          <w:szCs w:val="22"/>
          <w:lang w:eastAsia="zh-CN"/>
        </w:rPr>
      </w:pPr>
    </w:p>
    <w:p w14:paraId="78EDC0E3">
      <w:pPr>
        <w:widowControl w:val="0"/>
        <w:spacing w:after="120" w:line="240" w:lineRule="auto"/>
        <w:ind w:left="480" w:leftChars="200" w:firstLine="482" w:firstLineChars="200"/>
        <w:jc w:val="both"/>
        <w:rPr>
          <w:rFonts w:ascii="Calibri" w:hAnsi="宋体" w:eastAsia="宋体"/>
          <w:b/>
          <w:bCs/>
          <w:kern w:val="2"/>
          <w:szCs w:val="22"/>
          <w:lang w:eastAsia="zh-CN"/>
        </w:rPr>
      </w:pPr>
    </w:p>
    <w:p w14:paraId="79112C7F">
      <w:pPr>
        <w:widowControl w:val="0"/>
        <w:spacing w:after="120" w:line="240" w:lineRule="auto"/>
        <w:ind w:left="480" w:leftChars="200" w:firstLine="482" w:firstLineChars="200"/>
        <w:jc w:val="both"/>
        <w:rPr>
          <w:rFonts w:ascii="Calibri" w:hAnsi="宋体" w:eastAsia="宋体"/>
          <w:b/>
          <w:bCs/>
          <w:kern w:val="2"/>
          <w:szCs w:val="22"/>
          <w:lang w:eastAsia="zh-CN"/>
        </w:rPr>
      </w:pPr>
    </w:p>
    <w:p w14:paraId="78F51B06">
      <w:pPr>
        <w:widowControl w:val="0"/>
        <w:spacing w:after="120" w:line="240" w:lineRule="auto"/>
        <w:ind w:left="480" w:leftChars="200" w:firstLine="482" w:firstLineChars="200"/>
        <w:jc w:val="both"/>
        <w:rPr>
          <w:rFonts w:ascii="Calibri" w:hAnsi="宋体" w:eastAsia="宋体"/>
          <w:b/>
          <w:bCs/>
          <w:kern w:val="2"/>
          <w:szCs w:val="22"/>
          <w:lang w:eastAsia="zh-CN"/>
        </w:rPr>
      </w:pPr>
    </w:p>
    <w:p w14:paraId="2D241FC3">
      <w:pPr>
        <w:widowControl w:val="0"/>
        <w:spacing w:after="120" w:line="240" w:lineRule="auto"/>
        <w:ind w:left="480" w:leftChars="200" w:firstLine="482" w:firstLineChars="200"/>
        <w:jc w:val="both"/>
        <w:rPr>
          <w:rFonts w:ascii="Calibri" w:hAnsi="宋体" w:eastAsia="宋体"/>
          <w:b/>
          <w:bCs/>
          <w:kern w:val="2"/>
          <w:szCs w:val="22"/>
          <w:lang w:eastAsia="zh-CN"/>
        </w:rPr>
      </w:pPr>
    </w:p>
    <w:p w14:paraId="69FEDA94">
      <w:pPr>
        <w:widowControl w:val="0"/>
        <w:spacing w:after="120" w:line="240" w:lineRule="auto"/>
        <w:ind w:left="480" w:leftChars="200" w:firstLine="482" w:firstLineChars="200"/>
        <w:jc w:val="both"/>
        <w:rPr>
          <w:rFonts w:ascii="Calibri" w:hAnsi="宋体" w:eastAsia="宋体"/>
          <w:b/>
          <w:bCs/>
          <w:kern w:val="2"/>
          <w:szCs w:val="22"/>
          <w:lang w:eastAsia="zh-CN"/>
        </w:rPr>
      </w:pPr>
    </w:p>
    <w:p w14:paraId="3BCF860C">
      <w:pPr>
        <w:widowControl w:val="0"/>
        <w:spacing w:after="120" w:line="240" w:lineRule="auto"/>
        <w:ind w:left="480" w:leftChars="200" w:firstLine="482" w:firstLineChars="200"/>
        <w:jc w:val="both"/>
        <w:rPr>
          <w:rFonts w:ascii="Calibri" w:hAnsi="宋体" w:eastAsia="宋体"/>
          <w:b/>
          <w:bCs/>
          <w:kern w:val="2"/>
          <w:szCs w:val="22"/>
          <w:lang w:eastAsia="zh-CN"/>
        </w:rPr>
      </w:pPr>
    </w:p>
    <w:p w14:paraId="7ED9B1B5">
      <w:pPr>
        <w:widowControl w:val="0"/>
        <w:spacing w:after="120" w:line="240" w:lineRule="auto"/>
        <w:ind w:left="480" w:leftChars="200" w:firstLine="482" w:firstLineChars="200"/>
        <w:jc w:val="both"/>
        <w:rPr>
          <w:rFonts w:ascii="Calibri" w:hAnsi="宋体" w:eastAsia="宋体"/>
          <w:b/>
          <w:bCs/>
          <w:kern w:val="2"/>
          <w:szCs w:val="22"/>
          <w:lang w:eastAsia="zh-CN"/>
        </w:rPr>
      </w:pPr>
    </w:p>
    <w:p w14:paraId="258A939C">
      <w:pPr>
        <w:widowControl w:val="0"/>
        <w:spacing w:after="120" w:line="240" w:lineRule="auto"/>
        <w:ind w:left="480" w:leftChars="200" w:firstLine="482" w:firstLineChars="200"/>
        <w:jc w:val="both"/>
        <w:rPr>
          <w:rFonts w:ascii="Calibri" w:hAnsi="宋体" w:eastAsia="宋体"/>
          <w:b/>
          <w:bCs/>
          <w:kern w:val="2"/>
          <w:szCs w:val="22"/>
          <w:lang w:eastAsia="zh-CN"/>
        </w:rPr>
      </w:pPr>
    </w:p>
    <w:p w14:paraId="7A57552F">
      <w:pPr>
        <w:keepNext/>
        <w:keepLines/>
        <w:widowControl w:val="0"/>
        <w:spacing w:before="260" w:after="260" w:line="240" w:lineRule="auto"/>
        <w:jc w:val="center"/>
        <w:outlineLvl w:val="2"/>
        <w:rPr>
          <w:rFonts w:ascii="黑体" w:hAnsi="宋体" w:eastAsia="黑体"/>
          <w:b/>
          <w:kern w:val="2"/>
          <w:sz w:val="30"/>
          <w:szCs w:val="30"/>
          <w:lang w:eastAsia="zh-CN"/>
        </w:rPr>
      </w:pPr>
      <w:r>
        <w:rPr>
          <w:rFonts w:hint="eastAsia" w:ascii="黑体" w:hAnsi="宋体" w:eastAsia="黑体" w:cstheme="minorBidi"/>
          <w:b/>
          <w:kern w:val="2"/>
          <w:sz w:val="30"/>
          <w:szCs w:val="30"/>
          <w:lang w:eastAsia="zh-CN"/>
        </w:rPr>
        <w:t>三、投标人情况及资格证明文件</w:t>
      </w:r>
    </w:p>
    <w:p w14:paraId="4B5A7DDF">
      <w:pPr>
        <w:widowControl w:val="0"/>
        <w:jc w:val="both"/>
        <w:rPr>
          <w:rFonts w:ascii="Calibri" w:hAnsi="Calibri" w:eastAsia="宋体"/>
          <w:b/>
          <w:bCs/>
          <w:kern w:val="2"/>
          <w:szCs w:val="22"/>
          <w:lang w:eastAsia="zh-CN"/>
        </w:rPr>
      </w:pPr>
    </w:p>
    <w:p w14:paraId="26F8B10C">
      <w:pPr>
        <w:widowControl w:val="0"/>
        <w:ind w:firstLine="2640" w:firstLineChars="1100"/>
        <w:jc w:val="both"/>
        <w:outlineLvl w:val="3"/>
        <w:rPr>
          <w:rFonts w:ascii="黑体" w:hAnsi="宋体" w:eastAsia="黑体"/>
          <w:bCs/>
          <w:szCs w:val="32"/>
          <w:lang w:eastAsia="zh-CN"/>
        </w:rPr>
      </w:pPr>
      <w:bookmarkStart w:id="20" w:name="_Hlk72257590"/>
      <w:r>
        <w:rPr>
          <w:rFonts w:hint="eastAsia" w:ascii="黑体" w:hAnsi="宋体" w:eastAsia="黑体" w:cstheme="minorBidi"/>
          <w:bCs/>
          <w:szCs w:val="32"/>
          <w:lang w:eastAsia="zh-CN"/>
        </w:rPr>
        <w:t>（一）投标人资格证明文件</w:t>
      </w:r>
    </w:p>
    <w:p w14:paraId="7D812DD3">
      <w:pPr>
        <w:widowControl w:val="0"/>
        <w:spacing w:before="120" w:beforeLines="50"/>
        <w:ind w:firstLine="422" w:firstLineChars="200"/>
        <w:jc w:val="both"/>
        <w:rPr>
          <w:rFonts w:ascii="Calibri" w:hAnsi="Calibri" w:eastAsia="宋体"/>
          <w:b/>
          <w:bCs/>
          <w:color w:val="FF0000"/>
          <w:kern w:val="2"/>
          <w:sz w:val="21"/>
          <w:szCs w:val="22"/>
          <w:lang w:eastAsia="zh-CN"/>
        </w:rPr>
      </w:pPr>
      <w:r>
        <w:rPr>
          <w:rFonts w:hint="eastAsia" w:ascii="Calibri" w:hAnsi="Calibri" w:eastAsia="宋体" w:cstheme="minorBidi"/>
          <w:b/>
          <w:bCs/>
          <w:color w:val="FF0000"/>
          <w:kern w:val="2"/>
          <w:sz w:val="21"/>
          <w:szCs w:val="22"/>
          <w:lang w:eastAsia="zh-CN"/>
        </w:rPr>
        <w:t>（特别提示：投标人须按本招标文件第一册第一章招标公告“申请人的资格要求”（即投标人资格要求）提供相关的资格证明资料，未提供或提供不完整、不符合要求的，将作投标无效处理，其中要求提供《龙华区教育局自行采购投标及履约承诺函》且已在“二、龙华区教育局自行采购投标及履约承诺函”章节中提供了，此处可不重复提供。）</w:t>
      </w:r>
    </w:p>
    <w:p w14:paraId="1FFBD00F">
      <w:pPr>
        <w:widowControl w:val="0"/>
        <w:jc w:val="both"/>
        <w:rPr>
          <w:rFonts w:ascii="Calibri" w:hAnsi="Calibri" w:eastAsia="宋体"/>
          <w:b/>
          <w:bCs/>
          <w:kern w:val="2"/>
          <w:szCs w:val="22"/>
          <w:lang w:eastAsia="zh-CN"/>
        </w:rPr>
      </w:pPr>
    </w:p>
    <w:p w14:paraId="2106414D">
      <w:pPr>
        <w:widowControl w:val="0"/>
        <w:ind w:firstLine="480" w:firstLineChars="200"/>
        <w:jc w:val="both"/>
        <w:outlineLvl w:val="3"/>
        <w:rPr>
          <w:rFonts w:ascii="黑体" w:hAnsi="宋体" w:eastAsia="黑体"/>
          <w:bCs/>
          <w:szCs w:val="32"/>
          <w:lang w:eastAsia="zh-CN"/>
        </w:rPr>
      </w:pPr>
      <w:bookmarkStart w:id="21" w:name="_Hlk72257908"/>
      <w:r>
        <w:rPr>
          <w:rFonts w:hint="eastAsia" w:ascii="黑体" w:hAnsi="宋体" w:eastAsia="黑体" w:cstheme="minorBidi"/>
          <w:bCs/>
          <w:szCs w:val="32"/>
          <w:lang w:eastAsia="zh-CN"/>
        </w:rPr>
        <w:t>（二）中小企业声明函、残疾人福利性单位声明函及监狱企业声明函</w:t>
      </w:r>
    </w:p>
    <w:bookmarkEnd w:id="20"/>
    <w:p w14:paraId="6EFE69A9">
      <w:pPr>
        <w:widowControl w:val="0"/>
        <w:jc w:val="both"/>
        <w:rPr>
          <w:rFonts w:ascii="Calibri" w:hAnsi="Calibri" w:eastAsia="宋体"/>
          <w:sz w:val="21"/>
          <w:szCs w:val="22"/>
          <w:lang w:eastAsia="zh-CN"/>
        </w:rPr>
      </w:pPr>
      <w:r>
        <w:rPr>
          <w:rFonts w:hint="eastAsia" w:ascii="Calibri" w:hAnsi="Calibri" w:eastAsia="宋体" w:cstheme="minorBidi"/>
          <w:sz w:val="21"/>
          <w:szCs w:val="22"/>
          <w:lang w:eastAsia="zh-CN"/>
        </w:rPr>
        <w:t>填写指引：</w:t>
      </w:r>
    </w:p>
    <w:p w14:paraId="4B06DD50">
      <w:pPr>
        <w:widowControl w:val="0"/>
        <w:jc w:val="both"/>
        <w:rPr>
          <w:rFonts w:ascii="Calibri" w:hAnsi="Calibri" w:eastAsia="宋体"/>
          <w:kern w:val="2"/>
          <w:sz w:val="21"/>
          <w:szCs w:val="22"/>
          <w:lang w:eastAsia="zh-CN"/>
        </w:rPr>
      </w:pPr>
      <w:r>
        <w:rPr>
          <w:rFonts w:hint="eastAsia" w:ascii="Calibri" w:hAnsi="宋体" w:eastAsia="宋体" w:cstheme="minorBidi"/>
          <w:bCs/>
          <w:sz w:val="21"/>
          <w:szCs w:val="22"/>
          <w:lang w:eastAsia="zh-CN"/>
        </w:rPr>
        <w:t>1、该部分内容由投标人根据自身实际情况填写，不符合要求的投标人可以不填写或直接删除相应的声明函。</w:t>
      </w:r>
      <w:r>
        <w:rPr>
          <w:rFonts w:hint="eastAsia" w:ascii="Calibri" w:hAnsi="Calibri" w:eastAsia="宋体" w:cstheme="minorBidi"/>
          <w:kern w:val="2"/>
          <w:sz w:val="21"/>
          <w:szCs w:val="22"/>
          <w:lang w:eastAsia="zh-CN"/>
        </w:rPr>
        <w:t>投标人提供的声明函不属实的，属于提供虚假资料谋取中标，依照《中华人民共和国政府采购法》等国家有关规定追究相应责任。</w:t>
      </w:r>
    </w:p>
    <w:p w14:paraId="1AC5DB4C">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2、该部分内容填写需要参考的相关文件：</w:t>
      </w:r>
    </w:p>
    <w:p w14:paraId="07312D17">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w:t>
      </w:r>
      <w:r>
        <w:rPr>
          <w:rFonts w:ascii="Calibri" w:hAnsi="Calibri" w:eastAsia="宋体" w:cstheme="minorBidi"/>
          <w:kern w:val="2"/>
          <w:sz w:val="21"/>
          <w:szCs w:val="22"/>
          <w:lang w:eastAsia="zh-CN"/>
        </w:rPr>
        <w:t>1</w:t>
      </w:r>
      <w:r>
        <w:rPr>
          <w:rFonts w:hint="eastAsia" w:ascii="Calibri" w:hAnsi="Calibri" w:eastAsia="宋体" w:cstheme="minorBidi"/>
          <w:kern w:val="2"/>
          <w:sz w:val="21"/>
          <w:szCs w:val="22"/>
          <w:lang w:eastAsia="zh-CN"/>
        </w:rPr>
        <w:t>)财政部《政府采购促进中小企业发展管理办法》（财库〔2020〕46号）；</w:t>
      </w:r>
    </w:p>
    <w:p w14:paraId="212E0097">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w:t>
      </w:r>
      <w:r>
        <w:rPr>
          <w:rFonts w:ascii="Calibri" w:hAnsi="Calibri" w:eastAsia="宋体" w:cstheme="minorBidi"/>
          <w:kern w:val="2"/>
          <w:sz w:val="21"/>
          <w:szCs w:val="22"/>
          <w:lang w:eastAsia="zh-CN"/>
        </w:rPr>
        <w:t>2</w:t>
      </w:r>
      <w:r>
        <w:rPr>
          <w:rFonts w:hint="eastAsia" w:ascii="Calibri" w:hAnsi="Calibri" w:eastAsia="宋体" w:cstheme="minorBidi"/>
          <w:kern w:val="2"/>
          <w:sz w:val="21"/>
          <w:szCs w:val="22"/>
          <w:lang w:eastAsia="zh-CN"/>
        </w:rPr>
        <w:t>)《工业和信息化部、国家统计局、国家发展和改革委员会、财政部关于印发中小企业划型标准规定的通知》（工信部联企业〔2011〕300号，以下简称3</w:t>
      </w:r>
      <w:r>
        <w:rPr>
          <w:rFonts w:ascii="Calibri" w:hAnsi="Calibri" w:eastAsia="宋体" w:cstheme="minorBidi"/>
          <w:kern w:val="2"/>
          <w:sz w:val="21"/>
          <w:szCs w:val="22"/>
          <w:lang w:eastAsia="zh-CN"/>
        </w:rPr>
        <w:t>00</w:t>
      </w:r>
      <w:r>
        <w:rPr>
          <w:rFonts w:hint="eastAsia" w:ascii="Calibri" w:hAnsi="Calibri" w:eastAsia="宋体" w:cstheme="minorBidi"/>
          <w:kern w:val="2"/>
          <w:sz w:val="21"/>
          <w:szCs w:val="22"/>
          <w:lang w:eastAsia="zh-CN"/>
        </w:rPr>
        <w:t>号文）；</w:t>
      </w:r>
    </w:p>
    <w:p w14:paraId="0FE82556">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(3)《统计上大中小微型企业划分办法(2017)》（国统字〔2017〕213号）；</w:t>
      </w:r>
    </w:p>
    <w:p w14:paraId="32615AB8">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(4)《关于促进残疾人就业政府采购政策的通知》（财库〔2017〕141号）；</w:t>
      </w:r>
    </w:p>
    <w:p w14:paraId="2302DD0D">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(5)《关于政府采购支持监狱企业发展有关问题的通知》（财库〔2014〕68号）</w:t>
      </w:r>
    </w:p>
    <w:p w14:paraId="190E1EBD">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3、请依照提供的格式和内容填写声明函，不要随意变更格式；声明函不需要盖章或签字；满足多项优惠政策的投标人，不重复享受多项价格扣除政策。</w:t>
      </w:r>
    </w:p>
    <w:p w14:paraId="63ADCF00">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4、声明函具体填写要求：</w:t>
      </w:r>
    </w:p>
    <w:p w14:paraId="2B4B6035">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（1）声明是中小企业须填写《中小企业声明函》的以下内容：</w:t>
      </w:r>
    </w:p>
    <w:p w14:paraId="64524D0B">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第一处，在“单位名称”下划线处如实填写采购人名称（深圳市千里招标代理有限公司不是本项目的采购人，而是组织实施机构）；</w:t>
      </w:r>
    </w:p>
    <w:p w14:paraId="35E034E4">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第二处，在“项目名称”下划线处如实填写采购项目名称；</w:t>
      </w:r>
    </w:p>
    <w:p w14:paraId="21AB9CE2">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第三处，在“标的名称”下划线处填写所采购货物（标的）的具体名称（以招标文件第一册第三章用户需求书“货物清单明细”的“货物名称”一栏为准）；如果涉及多项货物（标的）为同一企业制造，“标的名称”下划线处可以如实填写多项货物；</w:t>
      </w:r>
    </w:p>
    <w:p w14:paraId="74EBC7B9">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第四处，在“招标文件中明确的所属行业”下划线处填写采购标的对应的中小企业划分标准所属行业（所属行业可在招标文件第一册第二章“对通用条款的补充内容及其他关键信息”章节查看）；</w:t>
      </w:r>
    </w:p>
    <w:p w14:paraId="2BDFE63E">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第五处，在“企业名称”下划线处如实填写制造商名称；在“从业人员”、“营业收入”、“资产总额”下划线处如实填写从业人员、营业收入、资产总额；在“中型企业、小型企业、微型企业”下划线处如实依照300号文填写相应的企业类型；从业人员、营业收入、资产总额填报上一年度数据，无上一年度数据的新成立企业可以不填报。《中小企业声明函》中制造商所属行业应当与招标文件要求的行业相一致，供应商如有疑问，可根据《国民经济行业分类》（GB/T4754-2017），结合《关于印发中小企业划型标准规定的通知》（工信部联企业〔2011〕300号）进行判断。事业单位、社会组织等非企业主体不享受中小企业扶持政策，但事业单位、社会组织等非企业主体提供全部由中小企业制造的货物参加货物采购项目的除外。</w:t>
      </w:r>
    </w:p>
    <w:p w14:paraId="5AE89DF9">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（2）声明是残疾人福利性单位须填写《残疾人福利性单位声明函》的相关内容，具体参照以上《中小企业声明函》填写要求执行。</w:t>
      </w:r>
    </w:p>
    <w:p w14:paraId="7A10054B">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（3）声明是监狱企业须填写《监狱企业声明函》的三项内容（填写位置的字体已加粗），具体参照以上《中小企业声明函》填写要求执行。</w:t>
      </w:r>
    </w:p>
    <w:p w14:paraId="0EFED1BF">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5、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14:paraId="3B52EF02">
      <w:pPr>
        <w:widowControl w:val="0"/>
        <w:ind w:firstLine="420" w:firstLineChars="200"/>
        <w:jc w:val="both"/>
        <w:rPr>
          <w:rFonts w:ascii="Calibri" w:hAnsi="Calibri" w:eastAsia="宋体"/>
          <w:kern w:val="2"/>
          <w:sz w:val="21"/>
          <w:szCs w:val="22"/>
          <w:lang w:eastAsia="zh-CN"/>
        </w:rPr>
      </w:pPr>
    </w:p>
    <w:p w14:paraId="7C22DBDA">
      <w:pPr>
        <w:widowControl w:val="0"/>
        <w:numPr>
          <w:ilvl w:val="0"/>
          <w:numId w:val="1"/>
        </w:numPr>
        <w:jc w:val="center"/>
        <w:outlineLvl w:val="3"/>
        <w:rPr>
          <w:rFonts w:ascii="Calibri" w:hAnsi="Calibri" w:eastAsia="宋体"/>
          <w:b/>
          <w:kern w:val="2"/>
          <w:szCs w:val="22"/>
          <w:lang w:eastAsia="zh-CN"/>
        </w:rPr>
      </w:pPr>
      <w:r>
        <w:rPr>
          <w:rFonts w:ascii="Calibri" w:hAnsi="Calibri" w:eastAsia="宋体" w:cstheme="minorBidi"/>
          <w:b/>
          <w:kern w:val="2"/>
          <w:szCs w:val="22"/>
          <w:lang w:eastAsia="zh-CN"/>
        </w:rPr>
        <w:t>中小企业声明函（货物）</w:t>
      </w:r>
    </w:p>
    <w:p w14:paraId="4403B2D1">
      <w:pPr>
        <w:widowControl w:val="0"/>
        <w:spacing w:line="360" w:lineRule="auto"/>
        <w:jc w:val="both"/>
        <w:rPr>
          <w:rFonts w:ascii="Calibri" w:hAnsi="Calibri" w:eastAsia="宋体"/>
          <w:b/>
          <w:bCs/>
          <w:kern w:val="2"/>
          <w:szCs w:val="22"/>
          <w:lang w:eastAsia="zh-CN"/>
        </w:rPr>
      </w:pPr>
    </w:p>
    <w:p w14:paraId="6CCBE4A3">
      <w:pPr>
        <w:widowControl w:val="0"/>
        <w:spacing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本公司（联合体）郑重声明，根据《政府采购促进中小企业发展管理办法》（财库﹝2020﹞46号）的规定，本公司（联合体）参加</w:t>
      </w:r>
      <w:r>
        <w:rPr>
          <w:rFonts w:hint="eastAsia" w:ascii="宋体" w:hAnsi="宋体" w:eastAsia="宋体" w:cs="宋体"/>
          <w:b/>
          <w:bCs/>
          <w:i/>
          <w:iCs/>
          <w:kern w:val="2"/>
          <w:sz w:val="21"/>
          <w:szCs w:val="21"/>
          <w:u w:val="single"/>
          <w:lang w:eastAsia="zh-CN"/>
        </w:rPr>
        <w:t>（单位名称）</w:t>
      </w:r>
      <w:r>
        <w:rPr>
          <w:rFonts w:hint="eastAsia" w:ascii="宋体" w:hAnsi="宋体" w:eastAsia="宋体" w:cs="宋体"/>
          <w:kern w:val="2"/>
          <w:sz w:val="21"/>
          <w:szCs w:val="21"/>
          <w:lang w:eastAsia="zh-CN"/>
        </w:rPr>
        <w:t>的</w:t>
      </w:r>
      <w:r>
        <w:rPr>
          <w:rFonts w:hint="eastAsia" w:ascii="宋体" w:hAnsi="宋体" w:eastAsia="宋体" w:cs="宋体"/>
          <w:b/>
          <w:bCs/>
          <w:i/>
          <w:iCs/>
          <w:kern w:val="2"/>
          <w:sz w:val="21"/>
          <w:szCs w:val="21"/>
          <w:u w:val="single"/>
          <w:lang w:eastAsia="zh-CN"/>
        </w:rPr>
        <w:t>（项目名称）</w:t>
      </w:r>
      <w:r>
        <w:rPr>
          <w:rFonts w:hint="eastAsia" w:ascii="宋体" w:hAnsi="宋体" w:eastAsia="宋体" w:cs="宋体"/>
          <w:kern w:val="2"/>
          <w:sz w:val="21"/>
          <w:szCs w:val="21"/>
          <w:lang w:eastAsia="zh-CN"/>
        </w:rPr>
        <w:t>采购活动，提供的货物全部由符合政策要求的中小企业制造。相关企业（含联合体中的中小企业、签订分包意向协议的中小企业）的具体情况如下：</w:t>
      </w:r>
    </w:p>
    <w:p w14:paraId="45C6BB50">
      <w:pPr>
        <w:widowControl w:val="0"/>
        <w:spacing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w:t>
      </w:r>
      <w:r>
        <w:rPr>
          <w:rFonts w:hint="eastAsia" w:ascii="宋体" w:hAnsi="宋体" w:eastAsia="宋体" w:cs="宋体"/>
          <w:b/>
          <w:bCs/>
          <w:i/>
          <w:iCs/>
          <w:kern w:val="2"/>
          <w:sz w:val="21"/>
          <w:szCs w:val="21"/>
          <w:u w:val="single"/>
          <w:lang w:eastAsia="zh-CN"/>
        </w:rPr>
        <w:t>（标的名称）</w:t>
      </w:r>
      <w:r>
        <w:rPr>
          <w:rFonts w:hint="eastAsia" w:ascii="宋体" w:hAnsi="宋体" w:eastAsia="宋体" w:cs="宋体"/>
          <w:kern w:val="2"/>
          <w:sz w:val="21"/>
          <w:szCs w:val="21"/>
          <w:lang w:eastAsia="zh-CN"/>
        </w:rPr>
        <w:t>，属于</w:t>
      </w:r>
      <w:r>
        <w:rPr>
          <w:rFonts w:hint="eastAsia" w:ascii="宋体" w:hAnsi="宋体" w:eastAsia="宋体" w:cs="宋体"/>
          <w:b/>
          <w:bCs/>
          <w:i/>
          <w:iCs/>
          <w:kern w:val="2"/>
          <w:sz w:val="21"/>
          <w:szCs w:val="21"/>
          <w:u w:val="single"/>
          <w:lang w:eastAsia="zh-CN"/>
        </w:rPr>
        <w:t>（工业）</w:t>
      </w:r>
      <w:r>
        <w:rPr>
          <w:rFonts w:hint="eastAsia" w:ascii="宋体" w:hAnsi="宋体" w:eastAsia="宋体" w:cs="宋体"/>
          <w:kern w:val="2"/>
          <w:sz w:val="21"/>
          <w:szCs w:val="21"/>
          <w:lang w:eastAsia="zh-CN"/>
        </w:rPr>
        <w:t>行业；</w:t>
      </w:r>
      <w:r>
        <w:rPr>
          <w:rFonts w:hint="eastAsia" w:ascii="宋体" w:hAnsi="宋体" w:eastAsia="宋体" w:cs="宋体"/>
          <w:b/>
          <w:kern w:val="2"/>
          <w:sz w:val="21"/>
          <w:szCs w:val="21"/>
          <w:lang w:eastAsia="zh-CN"/>
        </w:rPr>
        <w:t>制造商</w:t>
      </w:r>
      <w:r>
        <w:rPr>
          <w:rFonts w:hint="eastAsia" w:ascii="宋体" w:hAnsi="宋体" w:eastAsia="宋体" w:cs="宋体"/>
          <w:kern w:val="2"/>
          <w:sz w:val="21"/>
          <w:szCs w:val="21"/>
          <w:lang w:eastAsia="zh-CN"/>
        </w:rPr>
        <w:t>为</w:t>
      </w:r>
      <w:r>
        <w:rPr>
          <w:rFonts w:hint="eastAsia" w:ascii="宋体" w:hAnsi="宋体" w:eastAsia="宋体" w:cs="宋体"/>
          <w:b/>
          <w:bCs/>
          <w:i/>
          <w:iCs/>
          <w:kern w:val="2"/>
          <w:sz w:val="21"/>
          <w:szCs w:val="21"/>
          <w:u w:val="single"/>
          <w:lang w:eastAsia="zh-CN"/>
        </w:rPr>
        <w:t>（企业名称，要求制造商本身所属行业应当与招标文件要求的行业相一致）</w:t>
      </w:r>
      <w:r>
        <w:rPr>
          <w:rFonts w:hint="eastAsia" w:ascii="宋体" w:hAnsi="宋体" w:eastAsia="宋体" w:cs="宋体"/>
          <w:kern w:val="2"/>
          <w:sz w:val="21"/>
          <w:szCs w:val="21"/>
          <w:lang w:eastAsia="zh-CN"/>
        </w:rPr>
        <w:t>，从业人员人，营业收入为万元，资产总额为万元，属于</w:t>
      </w:r>
      <w:r>
        <w:rPr>
          <w:rFonts w:hint="eastAsia" w:ascii="宋体" w:hAnsi="宋体" w:eastAsia="宋体" w:cs="宋体"/>
          <w:b/>
          <w:bCs/>
          <w:i/>
          <w:iCs/>
          <w:kern w:val="2"/>
          <w:sz w:val="21"/>
          <w:szCs w:val="21"/>
          <w:u w:val="single"/>
          <w:lang w:eastAsia="zh-CN"/>
        </w:rPr>
        <w:t>（中型企业、小型企业、微型企业）</w:t>
      </w:r>
      <w:r>
        <w:rPr>
          <w:rFonts w:hint="eastAsia" w:ascii="宋体" w:hAnsi="宋体" w:eastAsia="宋体" w:cs="宋体"/>
          <w:kern w:val="2"/>
          <w:sz w:val="21"/>
          <w:szCs w:val="21"/>
          <w:lang w:eastAsia="zh-CN"/>
        </w:rPr>
        <w:t>；</w:t>
      </w:r>
    </w:p>
    <w:p w14:paraId="575CBAA8">
      <w:pPr>
        <w:widowControl w:val="0"/>
        <w:spacing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2.</w:t>
      </w:r>
      <w:r>
        <w:rPr>
          <w:rFonts w:hint="eastAsia" w:ascii="宋体" w:hAnsi="宋体" w:eastAsia="宋体" w:cs="宋体"/>
          <w:b/>
          <w:bCs/>
          <w:i/>
          <w:iCs/>
          <w:kern w:val="2"/>
          <w:sz w:val="21"/>
          <w:szCs w:val="21"/>
          <w:u w:val="single"/>
          <w:lang w:eastAsia="zh-CN"/>
        </w:rPr>
        <w:t>（标的名称）</w:t>
      </w:r>
      <w:r>
        <w:rPr>
          <w:rFonts w:hint="eastAsia" w:ascii="宋体" w:hAnsi="宋体" w:eastAsia="宋体" w:cs="宋体"/>
          <w:kern w:val="2"/>
          <w:sz w:val="21"/>
          <w:szCs w:val="21"/>
          <w:lang w:eastAsia="zh-CN"/>
        </w:rPr>
        <w:t>，属于</w:t>
      </w:r>
      <w:r>
        <w:rPr>
          <w:rFonts w:hint="eastAsia" w:ascii="宋体" w:hAnsi="宋体" w:eastAsia="宋体" w:cs="宋体"/>
          <w:b/>
          <w:bCs/>
          <w:i/>
          <w:iCs/>
          <w:kern w:val="2"/>
          <w:sz w:val="21"/>
          <w:szCs w:val="21"/>
          <w:u w:val="single"/>
          <w:lang w:eastAsia="zh-CN"/>
        </w:rPr>
        <w:t>（工业）</w:t>
      </w:r>
      <w:r>
        <w:rPr>
          <w:rFonts w:hint="eastAsia" w:ascii="宋体" w:hAnsi="宋体" w:eastAsia="宋体" w:cs="宋体"/>
          <w:kern w:val="2"/>
          <w:sz w:val="21"/>
          <w:szCs w:val="21"/>
          <w:lang w:eastAsia="zh-CN"/>
        </w:rPr>
        <w:t>行业；</w:t>
      </w:r>
      <w:r>
        <w:rPr>
          <w:rFonts w:hint="eastAsia" w:ascii="宋体" w:hAnsi="宋体" w:eastAsia="宋体" w:cs="宋体"/>
          <w:b/>
          <w:kern w:val="2"/>
          <w:sz w:val="21"/>
          <w:szCs w:val="21"/>
          <w:lang w:eastAsia="zh-CN"/>
        </w:rPr>
        <w:t>制造商</w:t>
      </w:r>
      <w:r>
        <w:rPr>
          <w:rFonts w:hint="eastAsia" w:ascii="宋体" w:hAnsi="宋体" w:eastAsia="宋体" w:cs="宋体"/>
          <w:kern w:val="2"/>
          <w:sz w:val="21"/>
          <w:szCs w:val="21"/>
          <w:lang w:eastAsia="zh-CN"/>
        </w:rPr>
        <w:t>为</w:t>
      </w:r>
      <w:r>
        <w:rPr>
          <w:rFonts w:hint="eastAsia" w:ascii="宋体" w:hAnsi="宋体" w:eastAsia="宋体" w:cs="宋体"/>
          <w:b/>
          <w:bCs/>
          <w:i/>
          <w:iCs/>
          <w:kern w:val="2"/>
          <w:sz w:val="21"/>
          <w:szCs w:val="21"/>
          <w:u w:val="single"/>
          <w:lang w:eastAsia="zh-CN"/>
        </w:rPr>
        <w:t>（企业名称，要求制造商本身所属行业应当与招标文件要求的行业相一致）</w:t>
      </w:r>
      <w:r>
        <w:rPr>
          <w:rFonts w:hint="eastAsia" w:ascii="宋体" w:hAnsi="宋体" w:eastAsia="宋体" w:cs="宋体"/>
          <w:kern w:val="2"/>
          <w:sz w:val="21"/>
          <w:szCs w:val="21"/>
          <w:lang w:eastAsia="zh-CN"/>
        </w:rPr>
        <w:t>，从业人员人，营业收入为万元，资产总额为万元，属于</w:t>
      </w:r>
      <w:r>
        <w:rPr>
          <w:rFonts w:hint="eastAsia" w:ascii="宋体" w:hAnsi="宋体" w:eastAsia="宋体" w:cs="宋体"/>
          <w:b/>
          <w:bCs/>
          <w:i/>
          <w:iCs/>
          <w:kern w:val="2"/>
          <w:sz w:val="21"/>
          <w:szCs w:val="21"/>
          <w:u w:val="single"/>
          <w:lang w:eastAsia="zh-CN"/>
        </w:rPr>
        <w:t>（中型企业、小型企业、微型企业）</w:t>
      </w:r>
      <w:r>
        <w:rPr>
          <w:rFonts w:hint="eastAsia" w:ascii="宋体" w:hAnsi="宋体" w:eastAsia="宋体" w:cs="宋体"/>
          <w:kern w:val="2"/>
          <w:sz w:val="21"/>
          <w:szCs w:val="21"/>
          <w:lang w:eastAsia="zh-CN"/>
        </w:rPr>
        <w:t>；</w:t>
      </w:r>
    </w:p>
    <w:p w14:paraId="0B24E784">
      <w:pPr>
        <w:widowControl w:val="0"/>
        <w:spacing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w:t>
      </w:r>
    </w:p>
    <w:p w14:paraId="0385D3AF">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以上企业，不属于大企业的分支机构，不存在控股股东为大企业的情形，也不存在与大企业的负责人为同一人的情形。</w:t>
      </w:r>
    </w:p>
    <w:p w14:paraId="4600D155">
      <w:pPr>
        <w:widowControl w:val="0"/>
        <w:spacing w:line="360" w:lineRule="auto"/>
        <w:ind w:firstLine="420" w:firstLineChars="200"/>
        <w:jc w:val="both"/>
        <w:rPr>
          <w:rFonts w:ascii="宋体" w:hAnsi="宋体" w:eastAsia="宋体" w:cs="宋体"/>
          <w:kern w:val="2"/>
          <w:sz w:val="21"/>
          <w:szCs w:val="21"/>
          <w:lang w:eastAsia="zh-CN"/>
        </w:rPr>
      </w:pPr>
      <w:bookmarkStart w:id="22" w:name="_Hlk73562203"/>
      <w:r>
        <w:rPr>
          <w:rFonts w:hint="eastAsia" w:ascii="Calibri" w:hAnsi="Calibri" w:eastAsia="宋体" w:cstheme="minorBidi"/>
          <w:color w:val="FF0000"/>
          <w:kern w:val="2"/>
          <w:sz w:val="21"/>
          <w:szCs w:val="22"/>
          <w:lang w:eastAsia="zh-CN"/>
        </w:rPr>
        <w:t>本项目所属行业：工业；</w:t>
      </w:r>
    </w:p>
    <w:p w14:paraId="6AA7454E">
      <w:pPr>
        <w:widowControl w:val="0"/>
        <w:spacing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本投标人对上述声明内容的真实性负责。如有虚假，将依法承担相应责任。</w:t>
      </w:r>
    </w:p>
    <w:p w14:paraId="009365CA">
      <w:pPr>
        <w:widowControl w:val="0"/>
        <w:spacing w:line="360" w:lineRule="auto"/>
        <w:ind w:firstLine="420" w:firstLineChars="200"/>
        <w:jc w:val="both"/>
        <w:rPr>
          <w:rFonts w:eastAsia="宋体"/>
          <w:kern w:val="2"/>
          <w:lang w:eastAsia="zh-CN"/>
        </w:rPr>
      </w:pPr>
      <w:r>
        <w:rPr>
          <w:rFonts w:hint="eastAsia" w:ascii="宋体" w:hAnsi="宋体" w:eastAsia="宋体" w:cs="宋体"/>
          <w:kern w:val="2"/>
          <w:sz w:val="21"/>
          <w:szCs w:val="21"/>
          <w:lang w:eastAsia="zh-CN"/>
        </w:rPr>
        <w:t>本投标人已知悉《政府采购促进中小企业发展管理办法》（财库〔2020〕46号）、《中小企业划型标准规定》（工信部联企〔2011〕300号）、《统计上大中小微型企业划分办法（2017）》等规定，承诺提供的声明函内容是真实的，并知悉根据《政府采购促进中小企业发展管理办法》（财库〔2020〕46号）第二十条规定，投标人按照本办法规定提供声明函内容不实的，属于提供虚假材料谋取中标，依照《政府采购法》等政府采购有关法律法规规定追究相应责任。</w:t>
      </w:r>
      <w:bookmarkEnd w:id="22"/>
    </w:p>
    <w:p w14:paraId="01755042">
      <w:pPr>
        <w:widowControl w:val="0"/>
        <w:jc w:val="center"/>
        <w:outlineLvl w:val="3"/>
        <w:rPr>
          <w:rFonts w:ascii="Calibri" w:hAnsi="Calibri" w:eastAsia="宋体"/>
          <w:b/>
          <w:kern w:val="2"/>
          <w:szCs w:val="22"/>
          <w:lang w:eastAsia="zh-CN"/>
        </w:rPr>
      </w:pPr>
      <w:r>
        <w:rPr>
          <w:rFonts w:hint="eastAsia" w:ascii="Calibri" w:hAnsi="Calibri" w:eastAsia="宋体" w:cstheme="minorBidi"/>
          <w:b/>
          <w:kern w:val="2"/>
          <w:szCs w:val="22"/>
          <w:lang w:eastAsia="zh-CN"/>
        </w:rPr>
        <w:t>2、残疾人福利性单位声明函（货物类）</w:t>
      </w:r>
    </w:p>
    <w:p w14:paraId="7CCB6B91">
      <w:pPr>
        <w:widowControl w:val="0"/>
        <w:jc w:val="both"/>
        <w:rPr>
          <w:rFonts w:ascii="Calibri" w:hAnsi="Calibri" w:eastAsia="宋体"/>
          <w:b/>
          <w:bCs/>
          <w:kern w:val="2"/>
          <w:sz w:val="21"/>
          <w:szCs w:val="22"/>
          <w:lang w:eastAsia="zh-CN"/>
        </w:rPr>
      </w:pPr>
    </w:p>
    <w:p w14:paraId="51D79531">
      <w:pPr>
        <w:widowControl w:val="0"/>
        <w:spacing w:line="360" w:lineRule="auto"/>
        <w:ind w:firstLine="420" w:firstLineChars="200"/>
        <w:jc w:val="both"/>
        <w:rPr>
          <w:rFonts w:ascii="宋体" w:hAnsi="宋体" w:eastAsia="宋体" w:cs="宋体"/>
          <w:kern w:val="2"/>
          <w:sz w:val="21"/>
          <w:szCs w:val="21"/>
          <w:lang w:eastAsia="zh-CN"/>
        </w:rPr>
      </w:pPr>
      <w:bookmarkStart w:id="23" w:name="_Hlk73562331"/>
      <w:bookmarkStart w:id="24" w:name="_Hlk73562245"/>
      <w:r>
        <w:rPr>
          <w:rFonts w:hint="eastAsia" w:ascii="宋体" w:hAnsi="宋体" w:eastAsia="宋体" w:cs="宋体"/>
          <w:kern w:val="2"/>
          <w:sz w:val="21"/>
          <w:szCs w:val="21"/>
          <w:lang w:eastAsia="zh-CN"/>
        </w:rPr>
        <w:t>本单位郑重声明，根据《财政部民政部中国残疾人联合会关于促进残疾人就业政府采购政策的通知》（财库〔2017〕141号）的规定，本单位为符合条件的残疾人福利性单位，且本单位参加</w:t>
      </w:r>
      <w:r>
        <w:rPr>
          <w:rFonts w:hint="eastAsia" w:ascii="宋体" w:hAnsi="宋体" w:eastAsia="宋体" w:cs="宋体"/>
          <w:b/>
          <w:bCs/>
          <w:i/>
          <w:iCs/>
          <w:kern w:val="2"/>
          <w:sz w:val="21"/>
          <w:szCs w:val="21"/>
          <w:u w:val="single"/>
          <w:lang w:eastAsia="zh-CN"/>
        </w:rPr>
        <w:t>（单位名称）</w:t>
      </w:r>
      <w:r>
        <w:rPr>
          <w:rFonts w:hint="eastAsia" w:ascii="宋体" w:hAnsi="宋体" w:eastAsia="宋体" w:cs="宋体"/>
          <w:kern w:val="2"/>
          <w:sz w:val="21"/>
          <w:szCs w:val="21"/>
          <w:lang w:eastAsia="zh-CN"/>
        </w:rPr>
        <w:t>单位的</w:t>
      </w:r>
      <w:r>
        <w:rPr>
          <w:rFonts w:hint="eastAsia" w:ascii="宋体" w:hAnsi="宋体" w:eastAsia="宋体" w:cs="宋体"/>
          <w:b/>
          <w:bCs/>
          <w:i/>
          <w:iCs/>
          <w:kern w:val="2"/>
          <w:sz w:val="21"/>
          <w:szCs w:val="21"/>
          <w:u w:val="single"/>
          <w:lang w:eastAsia="zh-CN"/>
        </w:rPr>
        <w:t>（项目名称）</w:t>
      </w:r>
      <w:r>
        <w:rPr>
          <w:rFonts w:hint="eastAsia" w:ascii="宋体" w:hAnsi="宋体" w:eastAsia="宋体" w:cs="宋体"/>
          <w:kern w:val="2"/>
          <w:sz w:val="21"/>
          <w:szCs w:val="21"/>
          <w:lang w:eastAsia="zh-CN"/>
        </w:rPr>
        <w:t>项目采购活动提供本单位制造的货物（由本单位承担工程/提供服务），或者提供其他残疾人福利性单位制造的货物（不包括使用非残疾人福利性单位注册商标的货物）。</w:t>
      </w:r>
    </w:p>
    <w:p w14:paraId="6919CD5F">
      <w:pPr>
        <w:widowControl w:val="0"/>
        <w:spacing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本单位对上述声明的真实性负责。如有虚假，将依法承担相应责任。</w:t>
      </w:r>
    </w:p>
    <w:p w14:paraId="3C5A49A9">
      <w:pPr>
        <w:widowControl w:val="0"/>
        <w:spacing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本投标人已知悉《财政部民政部中国残疾人联合会关于促进残疾人就业政府采购政策的通知》（财库〔2017〕141号）的规定，承诺提供的声明函内容是真实的，如提供声明函内容不实，则依法追究相关法律责任。</w:t>
      </w:r>
      <w:bookmarkEnd w:id="23"/>
    </w:p>
    <w:bookmarkEnd w:id="24"/>
    <w:p w14:paraId="5E0D48D8">
      <w:pPr>
        <w:widowControl w:val="0"/>
        <w:ind w:firstLine="420" w:firstLineChars="200"/>
        <w:jc w:val="both"/>
        <w:rPr>
          <w:rFonts w:ascii="宋体" w:hAnsi="宋体" w:eastAsia="宋体"/>
          <w:kern w:val="2"/>
          <w:sz w:val="21"/>
          <w:szCs w:val="21"/>
          <w:lang w:eastAsia="zh-CN"/>
        </w:rPr>
      </w:pPr>
    </w:p>
    <w:p w14:paraId="260AD75E">
      <w:pPr>
        <w:widowControl w:val="0"/>
        <w:ind w:firstLine="420" w:firstLineChars="200"/>
        <w:jc w:val="both"/>
        <w:rPr>
          <w:rFonts w:ascii="宋体" w:hAnsi="宋体" w:eastAsia="宋体"/>
          <w:kern w:val="2"/>
          <w:sz w:val="21"/>
          <w:szCs w:val="21"/>
          <w:lang w:eastAsia="zh-CN"/>
        </w:rPr>
      </w:pPr>
    </w:p>
    <w:p w14:paraId="3D888224">
      <w:pPr>
        <w:widowControl w:val="0"/>
        <w:jc w:val="center"/>
        <w:outlineLvl w:val="3"/>
        <w:rPr>
          <w:rFonts w:ascii="Calibri" w:hAnsi="Calibri" w:eastAsia="宋体"/>
          <w:b/>
          <w:kern w:val="2"/>
          <w:szCs w:val="22"/>
          <w:lang w:eastAsia="zh-CN"/>
        </w:rPr>
      </w:pPr>
      <w:r>
        <w:rPr>
          <w:rFonts w:hint="eastAsia" w:ascii="Calibri" w:hAnsi="Calibri" w:eastAsia="宋体" w:cstheme="minorBidi"/>
          <w:b/>
          <w:kern w:val="2"/>
          <w:szCs w:val="22"/>
          <w:lang w:eastAsia="zh-CN"/>
        </w:rPr>
        <w:t>3、监狱企业声明函【货物类，提供监狱企业货物的供应商如需享受优惠政策，还须另行提供省级以上监狱管理局、戒毒管理局（含新疆生产建设兵团）出具的监狱企业证明文件】</w:t>
      </w:r>
    </w:p>
    <w:p w14:paraId="42D89FEB">
      <w:pPr>
        <w:widowControl w:val="0"/>
        <w:spacing w:line="360" w:lineRule="auto"/>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本投标人郑重声明，根据《财政部司法部关于政府采购支持监狱企业发展有关问题的通知》（财库〔</w:t>
      </w:r>
      <w:r>
        <w:rPr>
          <w:rFonts w:ascii="宋体" w:hAnsi="宋体" w:eastAsia="宋体" w:cstheme="minorBidi"/>
          <w:kern w:val="2"/>
          <w:sz w:val="21"/>
          <w:szCs w:val="21"/>
          <w:lang w:eastAsia="zh-CN"/>
        </w:rPr>
        <w:t>2014</w:t>
      </w:r>
      <w:r>
        <w:rPr>
          <w:rFonts w:hint="eastAsia" w:ascii="宋体" w:hAnsi="宋体" w:eastAsia="宋体" w:cstheme="minorBidi"/>
          <w:kern w:val="2"/>
          <w:sz w:val="21"/>
          <w:szCs w:val="21"/>
          <w:lang w:eastAsia="zh-CN"/>
        </w:rPr>
        <w:t>〕</w:t>
      </w:r>
      <w:r>
        <w:rPr>
          <w:rFonts w:ascii="宋体" w:hAnsi="宋体" w:eastAsia="宋体" w:cstheme="minorBidi"/>
          <w:kern w:val="2"/>
          <w:sz w:val="21"/>
          <w:szCs w:val="21"/>
          <w:lang w:eastAsia="zh-CN"/>
        </w:rPr>
        <w:t>68</w:t>
      </w:r>
      <w:r>
        <w:rPr>
          <w:rFonts w:hint="eastAsia" w:ascii="宋体" w:hAnsi="宋体" w:eastAsia="宋体" w:cstheme="minorBidi"/>
          <w:kern w:val="2"/>
          <w:sz w:val="21"/>
          <w:szCs w:val="21"/>
          <w:lang w:eastAsia="zh-CN"/>
        </w:rPr>
        <w:t>号）的规定，本投标人</w:t>
      </w:r>
      <w:r>
        <w:rPr>
          <w:rFonts w:ascii="宋体" w:hAnsi="宋体" w:eastAsia="宋体" w:cstheme="minorBidi"/>
          <w:kern w:val="2"/>
          <w:sz w:val="21"/>
          <w:szCs w:val="21"/>
          <w:lang w:eastAsia="zh-CN"/>
        </w:rPr>
        <w:t>参加</w:t>
      </w:r>
      <w:r>
        <w:rPr>
          <w:rFonts w:ascii="宋体" w:hAnsi="宋体" w:eastAsia="宋体" w:cstheme="minorBidi"/>
          <w:b/>
          <w:bCs/>
          <w:i/>
          <w:iCs/>
          <w:kern w:val="2"/>
          <w:sz w:val="21"/>
          <w:szCs w:val="21"/>
          <w:u w:val="single"/>
          <w:lang w:eastAsia="zh-CN"/>
        </w:rPr>
        <w:t>（</w:t>
      </w:r>
      <w:r>
        <w:rPr>
          <w:rFonts w:hint="eastAsia" w:ascii="宋体" w:hAnsi="宋体" w:eastAsia="宋体" w:cstheme="minorBidi"/>
          <w:b/>
          <w:bCs/>
          <w:i/>
          <w:iCs/>
          <w:kern w:val="2"/>
          <w:sz w:val="21"/>
          <w:szCs w:val="21"/>
          <w:u w:val="single"/>
          <w:lang w:eastAsia="zh-CN"/>
        </w:rPr>
        <w:t>采购人</w:t>
      </w:r>
      <w:r>
        <w:rPr>
          <w:rFonts w:ascii="宋体" w:hAnsi="宋体" w:eastAsia="宋体" w:cstheme="minorBidi"/>
          <w:b/>
          <w:bCs/>
          <w:i/>
          <w:iCs/>
          <w:kern w:val="2"/>
          <w:sz w:val="21"/>
          <w:szCs w:val="21"/>
          <w:u w:val="single"/>
          <w:lang w:eastAsia="zh-CN"/>
        </w:rPr>
        <w:t>名称）</w:t>
      </w:r>
      <w:r>
        <w:rPr>
          <w:rFonts w:ascii="宋体" w:hAnsi="宋体" w:eastAsia="宋体" w:cstheme="minorBidi"/>
          <w:kern w:val="2"/>
          <w:sz w:val="21"/>
          <w:szCs w:val="21"/>
          <w:lang w:eastAsia="zh-CN"/>
        </w:rPr>
        <w:t>的</w:t>
      </w:r>
      <w:r>
        <w:rPr>
          <w:rFonts w:ascii="宋体" w:hAnsi="宋体" w:eastAsia="宋体" w:cstheme="minorBidi"/>
          <w:b/>
          <w:bCs/>
          <w:i/>
          <w:iCs/>
          <w:kern w:val="2"/>
          <w:sz w:val="21"/>
          <w:szCs w:val="21"/>
          <w:u w:val="single"/>
          <w:lang w:eastAsia="zh-CN"/>
        </w:rPr>
        <w:t>（项目名称）</w:t>
      </w:r>
      <w:r>
        <w:rPr>
          <w:rFonts w:ascii="宋体" w:hAnsi="宋体" w:eastAsia="宋体" w:cstheme="minorBidi"/>
          <w:kern w:val="2"/>
          <w:sz w:val="21"/>
          <w:szCs w:val="21"/>
          <w:lang w:eastAsia="zh-CN"/>
        </w:rPr>
        <w:t>采购活动，提供的货物全部由符合政策要求的</w:t>
      </w:r>
      <w:r>
        <w:rPr>
          <w:rFonts w:hint="eastAsia" w:ascii="宋体" w:hAnsi="宋体" w:eastAsia="宋体" w:cstheme="minorBidi"/>
          <w:kern w:val="2"/>
          <w:sz w:val="21"/>
          <w:szCs w:val="21"/>
          <w:lang w:eastAsia="zh-CN"/>
        </w:rPr>
        <w:t>监狱企业</w:t>
      </w:r>
      <w:r>
        <w:rPr>
          <w:rFonts w:ascii="宋体" w:hAnsi="宋体" w:eastAsia="宋体" w:cstheme="minorBidi"/>
          <w:kern w:val="2"/>
          <w:sz w:val="21"/>
          <w:szCs w:val="21"/>
          <w:lang w:eastAsia="zh-CN"/>
        </w:rPr>
        <w:t>制造。相关</w:t>
      </w:r>
      <w:r>
        <w:rPr>
          <w:rFonts w:hint="eastAsia" w:ascii="宋体" w:hAnsi="宋体" w:eastAsia="宋体" w:cstheme="minorBidi"/>
          <w:kern w:val="2"/>
          <w:sz w:val="21"/>
          <w:szCs w:val="21"/>
          <w:lang w:eastAsia="zh-CN"/>
        </w:rPr>
        <w:t>监狱企业</w:t>
      </w:r>
      <w:r>
        <w:rPr>
          <w:rFonts w:ascii="宋体" w:hAnsi="宋体" w:eastAsia="宋体" w:cstheme="minorBidi"/>
          <w:kern w:val="2"/>
          <w:sz w:val="21"/>
          <w:szCs w:val="21"/>
          <w:lang w:eastAsia="zh-CN"/>
        </w:rPr>
        <w:t>的具体情况如下：</w:t>
      </w:r>
    </w:p>
    <w:p w14:paraId="45EC820C">
      <w:pPr>
        <w:widowControl w:val="0"/>
        <w:spacing w:line="360" w:lineRule="auto"/>
        <w:ind w:firstLine="420" w:firstLineChars="200"/>
        <w:jc w:val="both"/>
        <w:rPr>
          <w:rFonts w:ascii="宋体" w:hAnsi="宋体" w:eastAsia="宋体"/>
          <w:kern w:val="2"/>
          <w:sz w:val="21"/>
          <w:szCs w:val="21"/>
          <w:lang w:eastAsia="zh-CN"/>
        </w:rPr>
      </w:pPr>
      <w:r>
        <w:rPr>
          <w:rFonts w:ascii="宋体" w:hAnsi="宋体" w:eastAsia="宋体" w:cstheme="minorBidi"/>
          <w:kern w:val="2"/>
          <w:sz w:val="21"/>
          <w:szCs w:val="21"/>
          <w:lang w:eastAsia="zh-CN"/>
        </w:rPr>
        <w:t>1.</w:t>
      </w:r>
      <w:r>
        <w:rPr>
          <w:rFonts w:ascii="宋体" w:hAnsi="宋体" w:eastAsia="宋体" w:cstheme="minorBidi"/>
          <w:b/>
          <w:bCs/>
          <w:i/>
          <w:iCs/>
          <w:kern w:val="2"/>
          <w:sz w:val="21"/>
          <w:szCs w:val="21"/>
          <w:u w:val="single"/>
          <w:lang w:eastAsia="zh-CN"/>
        </w:rPr>
        <w:t>（标的名称）</w:t>
      </w:r>
      <w:r>
        <w:rPr>
          <w:rFonts w:hint="eastAsia" w:ascii="宋体" w:hAnsi="宋体" w:eastAsia="宋体" w:cstheme="minorBidi"/>
          <w:kern w:val="2"/>
          <w:sz w:val="21"/>
          <w:szCs w:val="21"/>
          <w:lang w:eastAsia="zh-CN"/>
        </w:rPr>
        <w:t>，</w:t>
      </w:r>
      <w:r>
        <w:rPr>
          <w:rFonts w:ascii="宋体" w:hAnsi="宋体" w:eastAsia="宋体" w:cstheme="minorBidi"/>
          <w:kern w:val="2"/>
          <w:sz w:val="21"/>
          <w:szCs w:val="21"/>
          <w:lang w:eastAsia="zh-CN"/>
        </w:rPr>
        <w:t>制造商为</w:t>
      </w:r>
      <w:r>
        <w:rPr>
          <w:rFonts w:ascii="宋体" w:hAnsi="宋体" w:eastAsia="宋体" w:cstheme="minorBidi"/>
          <w:b/>
          <w:bCs/>
          <w:i/>
          <w:iCs/>
          <w:kern w:val="2"/>
          <w:sz w:val="21"/>
          <w:szCs w:val="21"/>
          <w:u w:val="single"/>
          <w:lang w:eastAsia="zh-CN"/>
        </w:rPr>
        <w:t>（</w:t>
      </w:r>
      <w:r>
        <w:rPr>
          <w:rFonts w:hint="eastAsia" w:ascii="宋体" w:hAnsi="宋体" w:eastAsia="宋体" w:cstheme="minorBidi"/>
          <w:b/>
          <w:bCs/>
          <w:i/>
          <w:iCs/>
          <w:kern w:val="2"/>
          <w:sz w:val="21"/>
          <w:szCs w:val="21"/>
          <w:u w:val="single"/>
          <w:lang w:eastAsia="zh-CN"/>
        </w:rPr>
        <w:t>企业</w:t>
      </w:r>
      <w:r>
        <w:rPr>
          <w:rFonts w:ascii="宋体" w:hAnsi="宋体" w:eastAsia="宋体" w:cstheme="minorBidi"/>
          <w:b/>
          <w:bCs/>
          <w:i/>
          <w:iCs/>
          <w:kern w:val="2"/>
          <w:sz w:val="21"/>
          <w:szCs w:val="21"/>
          <w:u w:val="single"/>
          <w:lang w:eastAsia="zh-CN"/>
        </w:rPr>
        <w:t>名称）</w:t>
      </w:r>
      <w:r>
        <w:rPr>
          <w:rFonts w:ascii="宋体" w:hAnsi="宋体" w:eastAsia="宋体" w:cstheme="minorBidi"/>
          <w:kern w:val="2"/>
          <w:sz w:val="21"/>
          <w:szCs w:val="21"/>
          <w:lang w:eastAsia="zh-CN"/>
        </w:rPr>
        <w:t>，属于</w:t>
      </w:r>
      <w:r>
        <w:rPr>
          <w:rFonts w:hint="eastAsia" w:ascii="宋体" w:hAnsi="宋体" w:eastAsia="宋体" w:cstheme="minorBidi"/>
          <w:b/>
          <w:bCs/>
          <w:kern w:val="2"/>
          <w:sz w:val="21"/>
          <w:szCs w:val="21"/>
          <w:u w:val="single"/>
          <w:lang w:eastAsia="zh-CN"/>
        </w:rPr>
        <w:t>监狱企业</w:t>
      </w:r>
      <w:r>
        <w:rPr>
          <w:rFonts w:ascii="宋体" w:hAnsi="宋体" w:eastAsia="宋体" w:cstheme="minorBidi"/>
          <w:kern w:val="2"/>
          <w:sz w:val="21"/>
          <w:szCs w:val="21"/>
          <w:lang w:eastAsia="zh-CN"/>
        </w:rPr>
        <w:t>；</w:t>
      </w:r>
    </w:p>
    <w:p w14:paraId="2E9906DA">
      <w:pPr>
        <w:widowControl w:val="0"/>
        <w:spacing w:line="360" w:lineRule="auto"/>
        <w:ind w:firstLine="420" w:firstLineChars="200"/>
        <w:jc w:val="both"/>
        <w:rPr>
          <w:rFonts w:ascii="宋体" w:hAnsi="宋体" w:eastAsia="宋体"/>
          <w:kern w:val="2"/>
          <w:sz w:val="21"/>
          <w:szCs w:val="21"/>
          <w:lang w:eastAsia="zh-CN"/>
        </w:rPr>
      </w:pPr>
      <w:r>
        <w:rPr>
          <w:rFonts w:ascii="宋体" w:hAnsi="宋体" w:eastAsia="宋体" w:cstheme="minorBidi"/>
          <w:kern w:val="2"/>
          <w:sz w:val="21"/>
          <w:szCs w:val="21"/>
          <w:lang w:eastAsia="zh-CN"/>
        </w:rPr>
        <w:t>2.</w:t>
      </w:r>
      <w:r>
        <w:rPr>
          <w:rFonts w:ascii="宋体" w:hAnsi="宋体" w:eastAsia="宋体" w:cstheme="minorBidi"/>
          <w:b/>
          <w:bCs/>
          <w:i/>
          <w:iCs/>
          <w:kern w:val="2"/>
          <w:sz w:val="21"/>
          <w:szCs w:val="21"/>
          <w:u w:val="single"/>
          <w:lang w:eastAsia="zh-CN"/>
        </w:rPr>
        <w:t>（标的名称）</w:t>
      </w:r>
      <w:r>
        <w:rPr>
          <w:rFonts w:hint="eastAsia" w:ascii="宋体" w:hAnsi="宋体" w:eastAsia="宋体" w:cstheme="minorBidi"/>
          <w:kern w:val="2"/>
          <w:sz w:val="21"/>
          <w:szCs w:val="21"/>
          <w:lang w:eastAsia="zh-CN"/>
        </w:rPr>
        <w:t>，</w:t>
      </w:r>
      <w:r>
        <w:rPr>
          <w:rFonts w:ascii="宋体" w:hAnsi="宋体" w:eastAsia="宋体" w:cstheme="minorBidi"/>
          <w:kern w:val="2"/>
          <w:sz w:val="21"/>
          <w:szCs w:val="21"/>
          <w:lang w:eastAsia="zh-CN"/>
        </w:rPr>
        <w:t>制造商为</w:t>
      </w:r>
      <w:r>
        <w:rPr>
          <w:rFonts w:ascii="宋体" w:hAnsi="宋体" w:eastAsia="宋体" w:cstheme="minorBidi"/>
          <w:b/>
          <w:bCs/>
          <w:i/>
          <w:iCs/>
          <w:kern w:val="2"/>
          <w:sz w:val="21"/>
          <w:szCs w:val="21"/>
          <w:u w:val="single"/>
          <w:lang w:eastAsia="zh-CN"/>
        </w:rPr>
        <w:t>（</w:t>
      </w:r>
      <w:r>
        <w:rPr>
          <w:rFonts w:hint="eastAsia" w:ascii="宋体" w:hAnsi="宋体" w:eastAsia="宋体" w:cstheme="minorBidi"/>
          <w:b/>
          <w:bCs/>
          <w:i/>
          <w:iCs/>
          <w:kern w:val="2"/>
          <w:sz w:val="21"/>
          <w:szCs w:val="21"/>
          <w:u w:val="single"/>
          <w:lang w:eastAsia="zh-CN"/>
        </w:rPr>
        <w:t>企业</w:t>
      </w:r>
      <w:r>
        <w:rPr>
          <w:rFonts w:ascii="宋体" w:hAnsi="宋体" w:eastAsia="宋体" w:cstheme="minorBidi"/>
          <w:b/>
          <w:bCs/>
          <w:i/>
          <w:iCs/>
          <w:kern w:val="2"/>
          <w:sz w:val="21"/>
          <w:szCs w:val="21"/>
          <w:u w:val="single"/>
          <w:lang w:eastAsia="zh-CN"/>
        </w:rPr>
        <w:t>名称）</w:t>
      </w:r>
      <w:r>
        <w:rPr>
          <w:rFonts w:ascii="宋体" w:hAnsi="宋体" w:eastAsia="宋体" w:cstheme="minorBidi"/>
          <w:kern w:val="2"/>
          <w:sz w:val="21"/>
          <w:szCs w:val="21"/>
          <w:lang w:eastAsia="zh-CN"/>
        </w:rPr>
        <w:t>，属于</w:t>
      </w:r>
      <w:r>
        <w:rPr>
          <w:rFonts w:hint="eastAsia" w:ascii="宋体" w:hAnsi="宋体" w:eastAsia="宋体" w:cstheme="minorBidi"/>
          <w:b/>
          <w:bCs/>
          <w:kern w:val="2"/>
          <w:sz w:val="21"/>
          <w:szCs w:val="21"/>
          <w:u w:val="single"/>
          <w:lang w:eastAsia="zh-CN"/>
        </w:rPr>
        <w:t>监狱企业</w:t>
      </w:r>
      <w:r>
        <w:rPr>
          <w:rFonts w:hint="eastAsia" w:ascii="宋体" w:hAnsi="宋体" w:eastAsia="宋体" w:cstheme="minorBidi"/>
          <w:kern w:val="2"/>
          <w:sz w:val="21"/>
          <w:szCs w:val="21"/>
          <w:lang w:eastAsia="zh-CN"/>
        </w:rPr>
        <w:t>。</w:t>
      </w:r>
    </w:p>
    <w:p w14:paraId="62A8B80A">
      <w:pPr>
        <w:widowControl w:val="0"/>
        <w:jc w:val="both"/>
        <w:rPr>
          <w:rFonts w:hint="eastAsia" w:ascii="Calibri" w:hAnsi="Calibri" w:eastAsia="宋体"/>
          <w:kern w:val="2"/>
          <w:sz w:val="21"/>
          <w:szCs w:val="22"/>
          <w:lang w:eastAsia="zh-CN"/>
        </w:rPr>
      </w:pPr>
      <w:r>
        <w:rPr>
          <w:rFonts w:ascii="Calibri" w:hAnsi="Calibri" w:eastAsia="宋体" w:cstheme="minorBidi"/>
          <w:kern w:val="2"/>
          <w:sz w:val="21"/>
          <w:szCs w:val="22"/>
          <w:lang w:eastAsia="zh-CN"/>
        </w:rPr>
        <w:t>……</w:t>
      </w:r>
    </w:p>
    <w:p w14:paraId="36AC6678">
      <w:pPr>
        <w:widowControl w:val="0"/>
        <w:spacing w:line="360" w:lineRule="auto"/>
        <w:ind w:firstLine="420" w:firstLineChars="200"/>
        <w:jc w:val="both"/>
        <w:rPr>
          <w:rFonts w:ascii="宋体" w:hAnsi="宋体" w:eastAsia="宋体"/>
          <w:kern w:val="2"/>
          <w:sz w:val="21"/>
          <w:szCs w:val="21"/>
          <w:lang w:eastAsia="zh-CN"/>
        </w:rPr>
      </w:pPr>
      <w:r>
        <w:rPr>
          <w:rFonts w:ascii="宋体" w:hAnsi="宋体" w:eastAsia="宋体" w:cstheme="minorBidi"/>
          <w:kern w:val="2"/>
          <w:sz w:val="21"/>
          <w:szCs w:val="21"/>
          <w:lang w:eastAsia="zh-CN"/>
        </w:rPr>
        <w:t>本</w:t>
      </w:r>
      <w:r>
        <w:rPr>
          <w:rFonts w:hint="eastAsia" w:ascii="宋体" w:hAnsi="宋体" w:eastAsia="宋体" w:cstheme="minorBidi"/>
          <w:kern w:val="2"/>
          <w:sz w:val="21"/>
          <w:szCs w:val="21"/>
          <w:lang w:eastAsia="zh-CN"/>
        </w:rPr>
        <w:t>投标人</w:t>
      </w:r>
      <w:r>
        <w:rPr>
          <w:rFonts w:ascii="宋体" w:hAnsi="宋体" w:eastAsia="宋体" w:cstheme="minorBidi"/>
          <w:kern w:val="2"/>
          <w:sz w:val="21"/>
          <w:szCs w:val="21"/>
          <w:lang w:eastAsia="zh-CN"/>
        </w:rPr>
        <w:t>对上述声明内容的真实性负责。如有虚假，将依法承担相应责任。</w:t>
      </w:r>
    </w:p>
    <w:p w14:paraId="6E5959C3">
      <w:pPr>
        <w:widowControl w:val="0"/>
        <w:spacing w:line="360" w:lineRule="auto"/>
        <w:ind w:firstLine="420" w:firstLineChars="200"/>
        <w:jc w:val="both"/>
        <w:rPr>
          <w:rFonts w:hint="eastAsia" w:ascii="宋体" w:hAnsi="宋体" w:eastAsia="宋体"/>
          <w:kern w:val="2"/>
          <w:sz w:val="21"/>
          <w:szCs w:val="21"/>
          <w:lang w:eastAsia="zh-CN"/>
        </w:rPr>
      </w:pPr>
      <w:r>
        <w:rPr>
          <w:rFonts w:hint="eastAsia" w:ascii="宋体" w:hAnsi="宋体" w:eastAsia="宋体" w:cstheme="minorBidi"/>
          <w:kern w:val="2"/>
          <w:sz w:val="21"/>
          <w:szCs w:val="21"/>
          <w:lang w:eastAsia="zh-CN"/>
        </w:rPr>
        <w:t>附：省级以上监狱管理局、戒毒管理局（含新疆生产建设兵团）出具的监狱企业证明文件。</w:t>
      </w:r>
      <w:bookmarkEnd w:id="21"/>
    </w:p>
    <w:p w14:paraId="3C997317">
      <w:pPr>
        <w:widowControl w:val="0"/>
        <w:spacing w:line="360" w:lineRule="auto"/>
        <w:ind w:firstLine="420" w:firstLineChars="200"/>
        <w:jc w:val="both"/>
        <w:rPr>
          <w:rFonts w:hint="eastAsia" w:ascii="宋体" w:hAnsi="宋体" w:eastAsia="宋体"/>
          <w:kern w:val="2"/>
          <w:sz w:val="21"/>
          <w:szCs w:val="21"/>
          <w:lang w:eastAsia="zh-CN"/>
        </w:rPr>
      </w:pPr>
    </w:p>
    <w:p w14:paraId="579ED148">
      <w:pPr>
        <w:widowControl w:val="0"/>
        <w:spacing w:line="360" w:lineRule="auto"/>
        <w:ind w:firstLine="420" w:firstLineChars="200"/>
        <w:jc w:val="both"/>
        <w:rPr>
          <w:rFonts w:hint="eastAsia" w:ascii="宋体" w:hAnsi="宋体" w:eastAsia="宋体"/>
          <w:kern w:val="2"/>
          <w:sz w:val="21"/>
          <w:szCs w:val="21"/>
          <w:lang w:eastAsia="zh-CN"/>
        </w:rPr>
      </w:pPr>
    </w:p>
    <w:p w14:paraId="05A700CF">
      <w:pPr>
        <w:widowControl w:val="0"/>
        <w:spacing w:line="360" w:lineRule="auto"/>
        <w:ind w:firstLine="420" w:firstLineChars="200"/>
        <w:jc w:val="both"/>
        <w:rPr>
          <w:rFonts w:hint="eastAsia" w:ascii="宋体" w:hAnsi="宋体" w:eastAsia="宋体"/>
          <w:kern w:val="2"/>
          <w:sz w:val="21"/>
          <w:szCs w:val="21"/>
          <w:lang w:eastAsia="zh-CN"/>
        </w:rPr>
      </w:pPr>
    </w:p>
    <w:p w14:paraId="4C998741">
      <w:pPr>
        <w:widowControl w:val="0"/>
        <w:spacing w:line="360" w:lineRule="auto"/>
        <w:ind w:firstLine="420" w:firstLineChars="200"/>
        <w:jc w:val="both"/>
        <w:rPr>
          <w:rFonts w:hint="eastAsia" w:ascii="宋体" w:hAnsi="宋体" w:eastAsia="宋体"/>
          <w:kern w:val="2"/>
          <w:sz w:val="21"/>
          <w:szCs w:val="21"/>
          <w:lang w:eastAsia="zh-CN"/>
        </w:rPr>
      </w:pPr>
    </w:p>
    <w:p w14:paraId="686FCECF">
      <w:pPr>
        <w:widowControl w:val="0"/>
        <w:spacing w:line="360" w:lineRule="auto"/>
        <w:ind w:firstLine="420" w:firstLineChars="200"/>
        <w:jc w:val="both"/>
        <w:rPr>
          <w:rFonts w:hint="eastAsia" w:ascii="宋体" w:hAnsi="宋体" w:eastAsia="宋体"/>
          <w:kern w:val="2"/>
          <w:sz w:val="21"/>
          <w:szCs w:val="21"/>
          <w:lang w:eastAsia="zh-CN"/>
        </w:rPr>
      </w:pPr>
    </w:p>
    <w:p w14:paraId="27C396E3">
      <w:pPr>
        <w:widowControl w:val="0"/>
        <w:spacing w:line="360" w:lineRule="auto"/>
        <w:ind w:firstLine="420" w:firstLineChars="200"/>
        <w:jc w:val="both"/>
        <w:rPr>
          <w:rFonts w:hint="eastAsia" w:ascii="宋体" w:hAnsi="宋体" w:eastAsia="宋体"/>
          <w:kern w:val="2"/>
          <w:sz w:val="21"/>
          <w:szCs w:val="21"/>
          <w:lang w:eastAsia="zh-CN"/>
        </w:rPr>
      </w:pPr>
    </w:p>
    <w:p w14:paraId="21FAD4C8">
      <w:pPr>
        <w:widowControl w:val="0"/>
        <w:spacing w:line="360" w:lineRule="auto"/>
        <w:ind w:firstLine="420" w:firstLineChars="200"/>
        <w:jc w:val="both"/>
        <w:rPr>
          <w:rFonts w:hint="eastAsia" w:ascii="宋体" w:hAnsi="宋体" w:eastAsia="宋体"/>
          <w:kern w:val="2"/>
          <w:sz w:val="21"/>
          <w:szCs w:val="21"/>
          <w:lang w:eastAsia="zh-CN"/>
        </w:rPr>
      </w:pPr>
    </w:p>
    <w:p w14:paraId="0B102597">
      <w:pPr>
        <w:widowControl w:val="0"/>
        <w:spacing w:line="360" w:lineRule="auto"/>
        <w:ind w:firstLine="420" w:firstLineChars="200"/>
        <w:jc w:val="both"/>
        <w:rPr>
          <w:rFonts w:hint="eastAsia" w:ascii="宋体" w:hAnsi="宋体" w:eastAsia="宋体"/>
          <w:kern w:val="2"/>
          <w:sz w:val="21"/>
          <w:szCs w:val="21"/>
          <w:lang w:eastAsia="zh-CN"/>
        </w:rPr>
      </w:pPr>
    </w:p>
    <w:p w14:paraId="27A2D532">
      <w:pPr>
        <w:widowControl w:val="0"/>
        <w:spacing w:line="360" w:lineRule="auto"/>
        <w:ind w:firstLine="420" w:firstLineChars="200"/>
        <w:jc w:val="both"/>
        <w:rPr>
          <w:rFonts w:hint="eastAsia" w:ascii="宋体" w:hAnsi="宋体" w:eastAsia="宋体"/>
          <w:kern w:val="2"/>
          <w:sz w:val="21"/>
          <w:szCs w:val="21"/>
          <w:lang w:eastAsia="zh-CN"/>
        </w:rPr>
      </w:pPr>
    </w:p>
    <w:p w14:paraId="50ECC3B8">
      <w:pPr>
        <w:widowControl w:val="0"/>
        <w:spacing w:line="360" w:lineRule="auto"/>
        <w:ind w:firstLine="420" w:firstLineChars="200"/>
        <w:jc w:val="both"/>
        <w:rPr>
          <w:rFonts w:hint="eastAsia" w:ascii="宋体" w:hAnsi="宋体" w:eastAsia="宋体"/>
          <w:kern w:val="2"/>
          <w:sz w:val="21"/>
          <w:szCs w:val="21"/>
          <w:lang w:eastAsia="zh-CN"/>
        </w:rPr>
      </w:pPr>
    </w:p>
    <w:p w14:paraId="51A6E543">
      <w:pPr>
        <w:widowControl w:val="0"/>
        <w:spacing w:line="360" w:lineRule="auto"/>
        <w:ind w:firstLine="420" w:firstLineChars="200"/>
        <w:jc w:val="both"/>
        <w:rPr>
          <w:rFonts w:hint="eastAsia" w:ascii="宋体" w:hAnsi="宋体" w:eastAsia="宋体"/>
          <w:kern w:val="2"/>
          <w:sz w:val="21"/>
          <w:szCs w:val="21"/>
          <w:lang w:eastAsia="zh-CN"/>
        </w:rPr>
      </w:pPr>
    </w:p>
    <w:p w14:paraId="42FB65AF">
      <w:pPr>
        <w:widowControl w:val="0"/>
        <w:spacing w:line="360" w:lineRule="auto"/>
        <w:ind w:firstLine="420" w:firstLineChars="200"/>
        <w:jc w:val="both"/>
        <w:rPr>
          <w:rFonts w:hint="eastAsia" w:ascii="宋体" w:hAnsi="宋体" w:eastAsia="宋体"/>
          <w:kern w:val="2"/>
          <w:sz w:val="21"/>
          <w:szCs w:val="21"/>
          <w:lang w:eastAsia="zh-CN"/>
        </w:rPr>
      </w:pPr>
    </w:p>
    <w:p w14:paraId="4C21A4F0">
      <w:pPr>
        <w:widowControl w:val="0"/>
        <w:spacing w:line="360" w:lineRule="auto"/>
        <w:ind w:firstLine="420" w:firstLineChars="200"/>
        <w:jc w:val="both"/>
        <w:rPr>
          <w:rFonts w:hint="eastAsia" w:ascii="宋体" w:hAnsi="宋体" w:eastAsia="宋体"/>
          <w:kern w:val="2"/>
          <w:sz w:val="21"/>
          <w:szCs w:val="21"/>
          <w:lang w:eastAsia="zh-CN"/>
        </w:rPr>
      </w:pPr>
    </w:p>
    <w:p w14:paraId="421AE4DD">
      <w:pPr>
        <w:widowControl w:val="0"/>
        <w:spacing w:line="360" w:lineRule="auto"/>
        <w:ind w:firstLine="420" w:firstLineChars="200"/>
        <w:jc w:val="both"/>
        <w:rPr>
          <w:rFonts w:hint="eastAsia" w:ascii="宋体" w:hAnsi="宋体" w:eastAsia="宋体"/>
          <w:kern w:val="2"/>
          <w:sz w:val="21"/>
          <w:szCs w:val="21"/>
          <w:lang w:eastAsia="zh-CN"/>
        </w:rPr>
      </w:pPr>
    </w:p>
    <w:p w14:paraId="3D196149">
      <w:pPr>
        <w:widowControl w:val="0"/>
        <w:spacing w:line="360" w:lineRule="auto"/>
        <w:ind w:firstLine="420" w:firstLineChars="200"/>
        <w:jc w:val="both"/>
        <w:rPr>
          <w:rFonts w:hint="eastAsia" w:ascii="宋体" w:hAnsi="宋体" w:eastAsia="宋体"/>
          <w:kern w:val="2"/>
          <w:sz w:val="21"/>
          <w:szCs w:val="21"/>
          <w:lang w:eastAsia="zh-CN"/>
        </w:rPr>
      </w:pPr>
    </w:p>
    <w:p w14:paraId="2A615BFE">
      <w:pPr>
        <w:widowControl w:val="0"/>
        <w:spacing w:line="360" w:lineRule="auto"/>
        <w:jc w:val="both"/>
        <w:rPr>
          <w:rFonts w:hint="eastAsia" w:ascii="宋体" w:hAnsi="宋体" w:eastAsia="宋体"/>
          <w:kern w:val="2"/>
          <w:sz w:val="21"/>
          <w:szCs w:val="21"/>
          <w:lang w:eastAsia="zh-CN"/>
        </w:rPr>
      </w:pPr>
    </w:p>
    <w:p w14:paraId="0D2614EE">
      <w:pPr>
        <w:keepNext/>
        <w:keepLines/>
        <w:spacing w:before="120" w:after="120" w:line="240" w:lineRule="auto"/>
        <w:jc w:val="center"/>
        <w:outlineLvl w:val="2"/>
        <w:rPr>
          <w:rFonts w:hint="eastAsia" w:ascii="黑体" w:hAnsi="宋体" w:eastAsia="黑体"/>
          <w:bCs/>
          <w:kern w:val="2"/>
          <w:szCs w:val="32"/>
        </w:rPr>
      </w:pPr>
      <w:r>
        <w:rPr>
          <w:rFonts w:hint="eastAsia" w:ascii="黑体" w:hAnsi="宋体" w:eastAsia="黑体"/>
          <w:bCs/>
          <w:kern w:val="2"/>
          <w:szCs w:val="32"/>
          <w:lang w:eastAsia="zh-CN"/>
        </w:rPr>
        <w:t>四</w:t>
      </w:r>
      <w:r>
        <w:rPr>
          <w:rFonts w:hint="eastAsia" w:ascii="黑体" w:hAnsi="宋体" w:eastAsia="黑体"/>
          <w:bCs/>
          <w:kern w:val="2"/>
          <w:szCs w:val="32"/>
        </w:rPr>
        <w:t>、供应商基本情况表</w:t>
      </w:r>
    </w:p>
    <w:tbl>
      <w:tblPr>
        <w:tblStyle w:val="7"/>
        <w:tblW w:w="5000" w:type="pct"/>
        <w:tblInd w:w="0" w:type="dxa"/>
        <w:tblLayout w:type="fixed"/>
        <w:tblCellMar>
          <w:top w:w="0" w:type="dxa"/>
          <w:left w:w="108" w:type="dxa"/>
          <w:bottom w:w="0" w:type="dxa"/>
          <w:right w:w="108" w:type="dxa"/>
        </w:tblCellMar>
      </w:tblPr>
      <w:tblGrid>
        <w:gridCol w:w="730"/>
        <w:gridCol w:w="669"/>
        <w:gridCol w:w="1590"/>
        <w:gridCol w:w="939"/>
        <w:gridCol w:w="783"/>
        <w:gridCol w:w="1188"/>
        <w:gridCol w:w="1486"/>
        <w:gridCol w:w="1471"/>
      </w:tblGrid>
      <w:tr w14:paraId="3753A0D7">
        <w:tblPrEx>
          <w:tblCellMar>
            <w:top w:w="0" w:type="dxa"/>
            <w:left w:w="108" w:type="dxa"/>
            <w:bottom w:w="0" w:type="dxa"/>
            <w:right w:w="108" w:type="dxa"/>
          </w:tblCellMar>
        </w:tblPrEx>
        <w:tc>
          <w:tcPr>
            <w:tcW w:w="1412" w:type="dxa"/>
            <w:gridSpan w:val="2"/>
            <w:tcBorders>
              <w:top w:val="single" w:color="auto" w:sz="4" w:space="0"/>
              <w:left w:val="single" w:color="auto" w:sz="4" w:space="0"/>
              <w:bottom w:val="single" w:color="auto" w:sz="4" w:space="0"/>
              <w:right w:val="single" w:color="auto" w:sz="4" w:space="0"/>
            </w:tcBorders>
            <w:vAlign w:val="center"/>
          </w:tcPr>
          <w:p w14:paraId="291BAF39">
            <w:pPr>
              <w:spacing w:line="360" w:lineRule="auto"/>
              <w:rPr>
                <w:b/>
                <w:bCs/>
                <w:kern w:val="2"/>
              </w:rPr>
            </w:pPr>
            <w:r>
              <w:rPr>
                <w:b/>
                <w:bCs/>
                <w:kern w:val="2"/>
              </w:rPr>
              <w:t>投标（响应）供应商</w:t>
            </w:r>
          </w:p>
        </w:tc>
        <w:tc>
          <w:tcPr>
            <w:tcW w:w="2553" w:type="dxa"/>
            <w:gridSpan w:val="2"/>
            <w:tcBorders>
              <w:top w:val="single" w:color="auto" w:sz="4" w:space="0"/>
              <w:left w:val="single" w:color="auto" w:sz="4" w:space="0"/>
              <w:bottom w:val="single" w:color="auto" w:sz="4" w:space="0"/>
              <w:right w:val="single" w:color="auto" w:sz="4" w:space="0"/>
            </w:tcBorders>
            <w:vAlign w:val="center"/>
          </w:tcPr>
          <w:p w14:paraId="32F8EE3A">
            <w:pPr>
              <w:spacing w:line="360" w:lineRule="auto"/>
              <w:rPr>
                <w:b/>
                <w:bCs/>
                <w:kern w:val="2"/>
              </w:rPr>
            </w:pPr>
          </w:p>
        </w:tc>
        <w:tc>
          <w:tcPr>
            <w:tcW w:w="1991" w:type="dxa"/>
            <w:gridSpan w:val="2"/>
            <w:tcBorders>
              <w:top w:val="single" w:color="auto" w:sz="4" w:space="0"/>
              <w:left w:val="single" w:color="auto" w:sz="4" w:space="0"/>
              <w:bottom w:val="single" w:color="auto" w:sz="4" w:space="0"/>
              <w:right w:val="single" w:color="auto" w:sz="4" w:space="0"/>
            </w:tcBorders>
            <w:vAlign w:val="center"/>
          </w:tcPr>
          <w:p w14:paraId="531D6699">
            <w:pPr>
              <w:spacing w:line="360" w:lineRule="auto"/>
              <w:rPr>
                <w:b/>
                <w:bCs/>
                <w:kern w:val="2"/>
              </w:rPr>
            </w:pPr>
            <w:r>
              <w:rPr>
                <w:b/>
                <w:bCs/>
                <w:kern w:val="2"/>
              </w:rPr>
              <w:t>项目名称及编号</w:t>
            </w:r>
          </w:p>
        </w:tc>
        <w:tc>
          <w:tcPr>
            <w:tcW w:w="2985" w:type="dxa"/>
            <w:gridSpan w:val="2"/>
            <w:tcBorders>
              <w:top w:val="single" w:color="auto" w:sz="4" w:space="0"/>
              <w:left w:val="single" w:color="auto" w:sz="4" w:space="0"/>
              <w:bottom w:val="single" w:color="auto" w:sz="4" w:space="0"/>
              <w:right w:val="single" w:color="auto" w:sz="4" w:space="0"/>
            </w:tcBorders>
            <w:vAlign w:val="center"/>
          </w:tcPr>
          <w:p w14:paraId="538A9C15">
            <w:pPr>
              <w:spacing w:line="360" w:lineRule="auto"/>
              <w:rPr>
                <w:b/>
                <w:bCs/>
                <w:kern w:val="2"/>
              </w:rPr>
            </w:pPr>
          </w:p>
        </w:tc>
      </w:tr>
      <w:tr w14:paraId="3C086BC4">
        <w:tblPrEx>
          <w:tblCellMar>
            <w:top w:w="0" w:type="dxa"/>
            <w:left w:w="108" w:type="dxa"/>
            <w:bottom w:w="0" w:type="dxa"/>
            <w:right w:w="108" w:type="dxa"/>
          </w:tblCellMar>
        </w:tblPrEx>
        <w:tc>
          <w:tcPr>
            <w:tcW w:w="8941" w:type="dxa"/>
            <w:gridSpan w:val="8"/>
            <w:tcBorders>
              <w:top w:val="single" w:color="auto" w:sz="4" w:space="0"/>
              <w:left w:val="single" w:color="auto" w:sz="4" w:space="0"/>
              <w:bottom w:val="single" w:color="auto" w:sz="4" w:space="0"/>
              <w:right w:val="single" w:color="auto" w:sz="4" w:space="0"/>
            </w:tcBorders>
            <w:vAlign w:val="center"/>
          </w:tcPr>
          <w:p w14:paraId="6148B8EC">
            <w:pPr>
              <w:spacing w:line="360" w:lineRule="auto"/>
              <w:rPr>
                <w:b/>
                <w:bCs/>
                <w:kern w:val="2"/>
              </w:rPr>
            </w:pPr>
            <w:r>
              <w:rPr>
                <w:b/>
                <w:bCs/>
                <w:kern w:val="2"/>
              </w:rPr>
              <w:t>投标（响应）供应商相关人员情况</w:t>
            </w:r>
          </w:p>
        </w:tc>
      </w:tr>
      <w:tr w14:paraId="4E3CEC91">
        <w:tblPrEx>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vAlign w:val="center"/>
          </w:tcPr>
          <w:p w14:paraId="3E28D97B">
            <w:pPr>
              <w:spacing w:line="360" w:lineRule="auto"/>
              <w:rPr>
                <w:b/>
                <w:bCs/>
                <w:kern w:val="2"/>
              </w:rPr>
            </w:pPr>
            <w:r>
              <w:rPr>
                <w:b/>
                <w:bCs/>
                <w:kern w:val="2"/>
              </w:rPr>
              <w:t>序号</w:t>
            </w:r>
          </w:p>
        </w:tc>
        <w:tc>
          <w:tcPr>
            <w:tcW w:w="2282" w:type="dxa"/>
            <w:gridSpan w:val="2"/>
            <w:tcBorders>
              <w:top w:val="single" w:color="auto" w:sz="4" w:space="0"/>
              <w:left w:val="single" w:color="auto" w:sz="4" w:space="0"/>
              <w:bottom w:val="single" w:color="auto" w:sz="4" w:space="0"/>
              <w:right w:val="single" w:color="auto" w:sz="4" w:space="0"/>
            </w:tcBorders>
            <w:vAlign w:val="center"/>
          </w:tcPr>
          <w:p w14:paraId="582B36E9">
            <w:pPr>
              <w:spacing w:line="360" w:lineRule="auto"/>
              <w:rPr>
                <w:b/>
                <w:bCs/>
                <w:kern w:val="2"/>
              </w:rPr>
            </w:pPr>
            <w:r>
              <w:rPr>
                <w:b/>
                <w:bCs/>
                <w:kern w:val="2"/>
              </w:rPr>
              <w:t>职务</w:t>
            </w:r>
          </w:p>
        </w:tc>
        <w:tc>
          <w:tcPr>
            <w:tcW w:w="947" w:type="dxa"/>
            <w:tcBorders>
              <w:top w:val="single" w:color="auto" w:sz="4" w:space="0"/>
              <w:left w:val="single" w:color="auto" w:sz="4" w:space="0"/>
              <w:bottom w:val="single" w:color="auto" w:sz="4" w:space="0"/>
              <w:right w:val="single" w:color="auto" w:sz="4" w:space="0"/>
            </w:tcBorders>
            <w:vAlign w:val="center"/>
          </w:tcPr>
          <w:p w14:paraId="7C05CE5F">
            <w:pPr>
              <w:spacing w:line="360" w:lineRule="auto"/>
              <w:rPr>
                <w:b/>
                <w:bCs/>
                <w:kern w:val="2"/>
              </w:rPr>
            </w:pPr>
            <w:r>
              <w:rPr>
                <w:b/>
                <w:bCs/>
                <w:kern w:val="2"/>
              </w:rPr>
              <w:t>姓名</w:t>
            </w:r>
          </w:p>
        </w:tc>
        <w:tc>
          <w:tcPr>
            <w:tcW w:w="1991" w:type="dxa"/>
            <w:gridSpan w:val="2"/>
            <w:tcBorders>
              <w:top w:val="single" w:color="auto" w:sz="4" w:space="0"/>
              <w:left w:val="single" w:color="auto" w:sz="4" w:space="0"/>
              <w:bottom w:val="single" w:color="auto" w:sz="4" w:space="0"/>
              <w:right w:val="single" w:color="auto" w:sz="4" w:space="0"/>
            </w:tcBorders>
            <w:vAlign w:val="center"/>
          </w:tcPr>
          <w:p w14:paraId="3CD08748">
            <w:pPr>
              <w:spacing w:line="360" w:lineRule="auto"/>
              <w:rPr>
                <w:b/>
                <w:bCs/>
                <w:kern w:val="2"/>
              </w:rPr>
            </w:pPr>
            <w:r>
              <w:rPr>
                <w:b/>
                <w:bCs/>
                <w:kern w:val="2"/>
              </w:rPr>
              <w:t>身份证号码</w:t>
            </w:r>
          </w:p>
        </w:tc>
        <w:tc>
          <w:tcPr>
            <w:tcW w:w="1500" w:type="dxa"/>
            <w:tcBorders>
              <w:top w:val="single" w:color="auto" w:sz="4" w:space="0"/>
              <w:left w:val="single" w:color="auto" w:sz="4" w:space="0"/>
              <w:bottom w:val="single" w:color="auto" w:sz="4" w:space="0"/>
              <w:right w:val="single" w:color="auto" w:sz="4" w:space="0"/>
            </w:tcBorders>
            <w:vAlign w:val="center"/>
          </w:tcPr>
          <w:p w14:paraId="7EB93680">
            <w:pPr>
              <w:spacing w:line="360" w:lineRule="auto"/>
              <w:rPr>
                <w:b/>
                <w:bCs/>
                <w:kern w:val="2"/>
              </w:rPr>
            </w:pPr>
            <w:r>
              <w:rPr>
                <w:b/>
                <w:bCs/>
                <w:kern w:val="2"/>
              </w:rPr>
              <w:t>劳动合同</w:t>
            </w:r>
          </w:p>
          <w:p w14:paraId="2495C65C">
            <w:pPr>
              <w:spacing w:line="360" w:lineRule="auto"/>
              <w:rPr>
                <w:b/>
                <w:bCs/>
                <w:kern w:val="2"/>
              </w:rPr>
            </w:pPr>
            <w:r>
              <w:rPr>
                <w:b/>
                <w:bCs/>
                <w:kern w:val="2"/>
              </w:rPr>
              <w:t>关系单位</w:t>
            </w:r>
          </w:p>
        </w:tc>
        <w:tc>
          <w:tcPr>
            <w:tcW w:w="1485" w:type="dxa"/>
            <w:tcBorders>
              <w:top w:val="single" w:color="auto" w:sz="4" w:space="0"/>
              <w:left w:val="single" w:color="auto" w:sz="4" w:space="0"/>
              <w:bottom w:val="single" w:color="auto" w:sz="4" w:space="0"/>
              <w:right w:val="single" w:color="auto" w:sz="4" w:space="0"/>
            </w:tcBorders>
            <w:vAlign w:val="center"/>
          </w:tcPr>
          <w:p w14:paraId="4A280709">
            <w:pPr>
              <w:spacing w:line="360" w:lineRule="auto"/>
              <w:rPr>
                <w:b/>
                <w:bCs/>
                <w:kern w:val="2"/>
              </w:rPr>
            </w:pPr>
            <w:r>
              <w:rPr>
                <w:b/>
                <w:bCs/>
                <w:kern w:val="2"/>
              </w:rPr>
              <w:t>缴纳社会</w:t>
            </w:r>
          </w:p>
          <w:p w14:paraId="427B14A8">
            <w:pPr>
              <w:spacing w:line="360" w:lineRule="auto"/>
              <w:rPr>
                <w:b/>
                <w:bCs/>
                <w:kern w:val="2"/>
              </w:rPr>
            </w:pPr>
            <w:r>
              <w:rPr>
                <w:b/>
                <w:bCs/>
                <w:kern w:val="2"/>
              </w:rPr>
              <w:t>保险单位</w:t>
            </w:r>
          </w:p>
        </w:tc>
      </w:tr>
      <w:tr w14:paraId="1D37C073">
        <w:tblPrEx>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vAlign w:val="center"/>
          </w:tcPr>
          <w:p w14:paraId="298FE058">
            <w:pPr>
              <w:spacing w:line="360" w:lineRule="auto"/>
              <w:rPr>
                <w:b/>
                <w:bCs/>
                <w:kern w:val="2"/>
              </w:rPr>
            </w:pPr>
            <w:r>
              <w:rPr>
                <w:b/>
                <w:bCs/>
                <w:kern w:val="2"/>
              </w:rPr>
              <w:t>1</w:t>
            </w:r>
          </w:p>
        </w:tc>
        <w:tc>
          <w:tcPr>
            <w:tcW w:w="2282" w:type="dxa"/>
            <w:gridSpan w:val="2"/>
            <w:tcBorders>
              <w:top w:val="single" w:color="auto" w:sz="4" w:space="0"/>
              <w:left w:val="nil"/>
              <w:bottom w:val="single" w:color="auto" w:sz="4" w:space="0"/>
              <w:right w:val="single" w:color="auto" w:sz="4" w:space="0"/>
            </w:tcBorders>
            <w:vAlign w:val="center"/>
          </w:tcPr>
          <w:p w14:paraId="0ED0897B">
            <w:pPr>
              <w:spacing w:line="360" w:lineRule="auto"/>
              <w:rPr>
                <w:b/>
                <w:bCs/>
                <w:kern w:val="2"/>
              </w:rPr>
            </w:pPr>
            <w:r>
              <w:rPr>
                <w:b/>
                <w:bCs/>
                <w:kern w:val="2"/>
              </w:rPr>
              <w:t>法定代表人/单位负责人/主要经营负责人</w:t>
            </w:r>
          </w:p>
        </w:tc>
        <w:tc>
          <w:tcPr>
            <w:tcW w:w="947" w:type="dxa"/>
            <w:tcBorders>
              <w:top w:val="single" w:color="auto" w:sz="4" w:space="0"/>
              <w:left w:val="nil"/>
              <w:bottom w:val="single" w:color="auto" w:sz="4" w:space="0"/>
              <w:right w:val="single" w:color="auto" w:sz="4" w:space="0"/>
            </w:tcBorders>
            <w:vAlign w:val="center"/>
          </w:tcPr>
          <w:p w14:paraId="5AE283F0">
            <w:pPr>
              <w:spacing w:line="360" w:lineRule="auto"/>
              <w:rPr>
                <w:b/>
                <w:bCs/>
                <w:kern w:val="2"/>
              </w:rPr>
            </w:pPr>
          </w:p>
        </w:tc>
        <w:tc>
          <w:tcPr>
            <w:tcW w:w="1991" w:type="dxa"/>
            <w:gridSpan w:val="2"/>
            <w:tcBorders>
              <w:top w:val="single" w:color="auto" w:sz="4" w:space="0"/>
              <w:left w:val="nil"/>
              <w:bottom w:val="single" w:color="auto" w:sz="4" w:space="0"/>
              <w:right w:val="single" w:color="auto" w:sz="4" w:space="0"/>
            </w:tcBorders>
            <w:vAlign w:val="center"/>
          </w:tcPr>
          <w:p w14:paraId="2CC0732C">
            <w:pPr>
              <w:spacing w:line="360" w:lineRule="auto"/>
              <w:rPr>
                <w:b/>
                <w:bCs/>
                <w:kern w:val="2"/>
              </w:rPr>
            </w:pPr>
          </w:p>
        </w:tc>
        <w:tc>
          <w:tcPr>
            <w:tcW w:w="1500" w:type="dxa"/>
            <w:tcBorders>
              <w:top w:val="single" w:color="auto" w:sz="4" w:space="0"/>
              <w:left w:val="nil"/>
              <w:bottom w:val="single" w:color="auto" w:sz="4" w:space="0"/>
              <w:right w:val="single" w:color="auto" w:sz="4" w:space="0"/>
            </w:tcBorders>
            <w:vAlign w:val="center"/>
          </w:tcPr>
          <w:p w14:paraId="46430644">
            <w:pPr>
              <w:spacing w:line="360" w:lineRule="auto"/>
              <w:rPr>
                <w:b/>
                <w:bCs/>
                <w:kern w:val="2"/>
              </w:rPr>
            </w:pPr>
          </w:p>
        </w:tc>
        <w:tc>
          <w:tcPr>
            <w:tcW w:w="1485" w:type="dxa"/>
            <w:tcBorders>
              <w:top w:val="single" w:color="auto" w:sz="4" w:space="0"/>
              <w:left w:val="nil"/>
              <w:bottom w:val="single" w:color="auto" w:sz="4" w:space="0"/>
              <w:right w:val="single" w:color="auto" w:sz="4" w:space="0"/>
            </w:tcBorders>
            <w:vAlign w:val="center"/>
          </w:tcPr>
          <w:p w14:paraId="36D1EEF5">
            <w:pPr>
              <w:spacing w:line="360" w:lineRule="auto"/>
              <w:rPr>
                <w:b/>
                <w:bCs/>
                <w:kern w:val="2"/>
              </w:rPr>
            </w:pPr>
          </w:p>
        </w:tc>
      </w:tr>
      <w:tr w14:paraId="41AB17EA">
        <w:tblPrEx>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vAlign w:val="center"/>
          </w:tcPr>
          <w:p w14:paraId="69B69C3F">
            <w:pPr>
              <w:spacing w:line="360" w:lineRule="auto"/>
              <w:rPr>
                <w:b/>
                <w:bCs/>
                <w:kern w:val="2"/>
              </w:rPr>
            </w:pPr>
            <w:r>
              <w:rPr>
                <w:b/>
                <w:bCs/>
                <w:kern w:val="2"/>
              </w:rPr>
              <w:t>2</w:t>
            </w:r>
          </w:p>
        </w:tc>
        <w:tc>
          <w:tcPr>
            <w:tcW w:w="2282" w:type="dxa"/>
            <w:gridSpan w:val="2"/>
            <w:tcBorders>
              <w:top w:val="single" w:color="auto" w:sz="4" w:space="0"/>
              <w:left w:val="nil"/>
              <w:bottom w:val="single" w:color="auto" w:sz="4" w:space="0"/>
              <w:right w:val="single" w:color="auto" w:sz="4" w:space="0"/>
            </w:tcBorders>
            <w:vAlign w:val="center"/>
          </w:tcPr>
          <w:p w14:paraId="4CE24745">
            <w:pPr>
              <w:spacing w:line="360" w:lineRule="auto"/>
              <w:rPr>
                <w:b/>
                <w:bCs/>
                <w:kern w:val="2"/>
              </w:rPr>
            </w:pPr>
            <w:r>
              <w:rPr>
                <w:b/>
                <w:bCs/>
                <w:kern w:val="2"/>
              </w:rPr>
              <w:t>项目投标授权代表人</w:t>
            </w:r>
          </w:p>
        </w:tc>
        <w:tc>
          <w:tcPr>
            <w:tcW w:w="947" w:type="dxa"/>
            <w:tcBorders>
              <w:top w:val="single" w:color="auto" w:sz="4" w:space="0"/>
              <w:left w:val="nil"/>
              <w:bottom w:val="single" w:color="auto" w:sz="4" w:space="0"/>
              <w:right w:val="single" w:color="auto" w:sz="4" w:space="0"/>
            </w:tcBorders>
            <w:vAlign w:val="center"/>
          </w:tcPr>
          <w:p w14:paraId="3491350F">
            <w:pPr>
              <w:spacing w:line="360" w:lineRule="auto"/>
              <w:rPr>
                <w:b/>
                <w:bCs/>
                <w:kern w:val="2"/>
              </w:rPr>
            </w:pPr>
          </w:p>
        </w:tc>
        <w:tc>
          <w:tcPr>
            <w:tcW w:w="1991" w:type="dxa"/>
            <w:gridSpan w:val="2"/>
            <w:tcBorders>
              <w:top w:val="single" w:color="auto" w:sz="4" w:space="0"/>
              <w:left w:val="nil"/>
              <w:bottom w:val="single" w:color="auto" w:sz="4" w:space="0"/>
              <w:right w:val="single" w:color="auto" w:sz="4" w:space="0"/>
            </w:tcBorders>
            <w:vAlign w:val="center"/>
          </w:tcPr>
          <w:p w14:paraId="5B6F405A">
            <w:pPr>
              <w:spacing w:line="360" w:lineRule="auto"/>
              <w:rPr>
                <w:b/>
                <w:bCs/>
                <w:kern w:val="2"/>
              </w:rPr>
            </w:pPr>
          </w:p>
        </w:tc>
        <w:tc>
          <w:tcPr>
            <w:tcW w:w="1500" w:type="dxa"/>
            <w:tcBorders>
              <w:top w:val="single" w:color="auto" w:sz="4" w:space="0"/>
              <w:left w:val="nil"/>
              <w:bottom w:val="single" w:color="auto" w:sz="4" w:space="0"/>
              <w:right w:val="single" w:color="auto" w:sz="4" w:space="0"/>
            </w:tcBorders>
            <w:vAlign w:val="center"/>
          </w:tcPr>
          <w:p w14:paraId="172EA61D">
            <w:pPr>
              <w:spacing w:line="360" w:lineRule="auto"/>
              <w:rPr>
                <w:b/>
                <w:bCs/>
                <w:kern w:val="2"/>
              </w:rPr>
            </w:pPr>
          </w:p>
        </w:tc>
        <w:tc>
          <w:tcPr>
            <w:tcW w:w="1485" w:type="dxa"/>
            <w:tcBorders>
              <w:top w:val="single" w:color="auto" w:sz="4" w:space="0"/>
              <w:left w:val="nil"/>
              <w:bottom w:val="single" w:color="auto" w:sz="4" w:space="0"/>
              <w:right w:val="single" w:color="auto" w:sz="4" w:space="0"/>
            </w:tcBorders>
            <w:vAlign w:val="center"/>
          </w:tcPr>
          <w:p w14:paraId="4CC58FD4">
            <w:pPr>
              <w:spacing w:line="360" w:lineRule="auto"/>
              <w:rPr>
                <w:b/>
                <w:bCs/>
                <w:kern w:val="2"/>
              </w:rPr>
            </w:pPr>
          </w:p>
        </w:tc>
      </w:tr>
      <w:tr w14:paraId="36065142">
        <w:tblPrEx>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vAlign w:val="center"/>
          </w:tcPr>
          <w:p w14:paraId="5D428665">
            <w:pPr>
              <w:spacing w:line="360" w:lineRule="auto"/>
              <w:rPr>
                <w:b/>
                <w:bCs/>
                <w:kern w:val="2"/>
              </w:rPr>
            </w:pPr>
            <w:r>
              <w:rPr>
                <w:b/>
                <w:bCs/>
                <w:kern w:val="2"/>
              </w:rPr>
              <w:t>3</w:t>
            </w:r>
          </w:p>
        </w:tc>
        <w:tc>
          <w:tcPr>
            <w:tcW w:w="2282" w:type="dxa"/>
            <w:gridSpan w:val="2"/>
            <w:tcBorders>
              <w:top w:val="single" w:color="auto" w:sz="4" w:space="0"/>
              <w:left w:val="single" w:color="auto" w:sz="4" w:space="0"/>
              <w:bottom w:val="single" w:color="auto" w:sz="4" w:space="0"/>
              <w:right w:val="single" w:color="auto" w:sz="4" w:space="0"/>
            </w:tcBorders>
            <w:vAlign w:val="center"/>
          </w:tcPr>
          <w:p w14:paraId="24004C4D">
            <w:pPr>
              <w:spacing w:line="360" w:lineRule="auto"/>
              <w:rPr>
                <w:b/>
                <w:bCs/>
                <w:kern w:val="2"/>
              </w:rPr>
            </w:pPr>
            <w:r>
              <w:rPr>
                <w:b/>
                <w:bCs/>
                <w:kern w:val="2"/>
              </w:rPr>
              <w:t>项目负责人</w:t>
            </w:r>
          </w:p>
        </w:tc>
        <w:tc>
          <w:tcPr>
            <w:tcW w:w="947" w:type="dxa"/>
            <w:tcBorders>
              <w:top w:val="single" w:color="auto" w:sz="4" w:space="0"/>
              <w:left w:val="single" w:color="auto" w:sz="4" w:space="0"/>
              <w:bottom w:val="single" w:color="auto" w:sz="4" w:space="0"/>
              <w:right w:val="single" w:color="auto" w:sz="4" w:space="0"/>
            </w:tcBorders>
            <w:vAlign w:val="center"/>
          </w:tcPr>
          <w:p w14:paraId="4DBFB853">
            <w:pPr>
              <w:spacing w:line="360" w:lineRule="auto"/>
              <w:rPr>
                <w:b/>
                <w:bCs/>
                <w:kern w:val="2"/>
              </w:rPr>
            </w:pPr>
          </w:p>
        </w:tc>
        <w:tc>
          <w:tcPr>
            <w:tcW w:w="1991" w:type="dxa"/>
            <w:gridSpan w:val="2"/>
            <w:tcBorders>
              <w:top w:val="single" w:color="auto" w:sz="4" w:space="0"/>
              <w:left w:val="single" w:color="auto" w:sz="4" w:space="0"/>
              <w:bottom w:val="single" w:color="auto" w:sz="4" w:space="0"/>
              <w:right w:val="single" w:color="auto" w:sz="4" w:space="0"/>
            </w:tcBorders>
            <w:vAlign w:val="center"/>
          </w:tcPr>
          <w:p w14:paraId="7C85ACDC">
            <w:pPr>
              <w:spacing w:line="360" w:lineRule="auto"/>
              <w:rPr>
                <w:b/>
                <w:bCs/>
                <w:kern w:val="2"/>
              </w:rPr>
            </w:pPr>
          </w:p>
        </w:tc>
        <w:tc>
          <w:tcPr>
            <w:tcW w:w="1500" w:type="dxa"/>
            <w:tcBorders>
              <w:top w:val="single" w:color="auto" w:sz="4" w:space="0"/>
              <w:left w:val="single" w:color="auto" w:sz="4" w:space="0"/>
              <w:bottom w:val="single" w:color="auto" w:sz="4" w:space="0"/>
              <w:right w:val="single" w:color="auto" w:sz="4" w:space="0"/>
            </w:tcBorders>
            <w:vAlign w:val="center"/>
          </w:tcPr>
          <w:p w14:paraId="6A177BF6">
            <w:pPr>
              <w:spacing w:line="360" w:lineRule="auto"/>
              <w:rPr>
                <w:b/>
                <w:bCs/>
                <w:kern w:val="2"/>
              </w:rPr>
            </w:pPr>
          </w:p>
        </w:tc>
        <w:tc>
          <w:tcPr>
            <w:tcW w:w="1485" w:type="dxa"/>
            <w:tcBorders>
              <w:top w:val="single" w:color="auto" w:sz="4" w:space="0"/>
              <w:left w:val="single" w:color="auto" w:sz="4" w:space="0"/>
              <w:bottom w:val="single" w:color="auto" w:sz="4" w:space="0"/>
              <w:right w:val="single" w:color="auto" w:sz="4" w:space="0"/>
            </w:tcBorders>
            <w:vAlign w:val="center"/>
          </w:tcPr>
          <w:p w14:paraId="286A1B37">
            <w:pPr>
              <w:spacing w:line="360" w:lineRule="auto"/>
              <w:rPr>
                <w:b/>
                <w:bCs/>
                <w:kern w:val="2"/>
              </w:rPr>
            </w:pPr>
          </w:p>
        </w:tc>
      </w:tr>
      <w:tr w14:paraId="1FAB1A2E">
        <w:tblPrEx>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vAlign w:val="center"/>
          </w:tcPr>
          <w:p w14:paraId="11453704">
            <w:pPr>
              <w:spacing w:line="360" w:lineRule="auto"/>
              <w:rPr>
                <w:b/>
                <w:bCs/>
                <w:kern w:val="2"/>
              </w:rPr>
            </w:pPr>
            <w:r>
              <w:rPr>
                <w:b/>
                <w:bCs/>
                <w:kern w:val="2"/>
              </w:rPr>
              <w:t>4</w:t>
            </w:r>
          </w:p>
        </w:tc>
        <w:tc>
          <w:tcPr>
            <w:tcW w:w="2282" w:type="dxa"/>
            <w:gridSpan w:val="2"/>
            <w:tcBorders>
              <w:top w:val="single" w:color="auto" w:sz="4" w:space="0"/>
              <w:left w:val="single" w:color="auto" w:sz="4" w:space="0"/>
              <w:bottom w:val="single" w:color="auto" w:sz="4" w:space="0"/>
              <w:right w:val="single" w:color="auto" w:sz="4" w:space="0"/>
            </w:tcBorders>
            <w:vAlign w:val="center"/>
          </w:tcPr>
          <w:p w14:paraId="576C21E1">
            <w:pPr>
              <w:spacing w:line="360" w:lineRule="auto"/>
              <w:rPr>
                <w:b/>
                <w:bCs/>
                <w:kern w:val="2"/>
              </w:rPr>
            </w:pPr>
            <w:r>
              <w:rPr>
                <w:b/>
                <w:bCs/>
                <w:kern w:val="2"/>
              </w:rPr>
              <w:t>主要技术人员</w:t>
            </w:r>
          </w:p>
        </w:tc>
        <w:tc>
          <w:tcPr>
            <w:tcW w:w="947" w:type="dxa"/>
            <w:tcBorders>
              <w:top w:val="single" w:color="auto" w:sz="4" w:space="0"/>
              <w:left w:val="single" w:color="auto" w:sz="4" w:space="0"/>
              <w:bottom w:val="single" w:color="auto" w:sz="4" w:space="0"/>
              <w:right w:val="single" w:color="auto" w:sz="4" w:space="0"/>
            </w:tcBorders>
            <w:vAlign w:val="center"/>
          </w:tcPr>
          <w:p w14:paraId="22E3E94C">
            <w:pPr>
              <w:spacing w:line="360" w:lineRule="auto"/>
              <w:rPr>
                <w:b/>
                <w:bCs/>
                <w:kern w:val="2"/>
              </w:rPr>
            </w:pPr>
          </w:p>
        </w:tc>
        <w:tc>
          <w:tcPr>
            <w:tcW w:w="1991" w:type="dxa"/>
            <w:gridSpan w:val="2"/>
            <w:tcBorders>
              <w:top w:val="single" w:color="auto" w:sz="4" w:space="0"/>
              <w:left w:val="single" w:color="auto" w:sz="4" w:space="0"/>
              <w:bottom w:val="single" w:color="auto" w:sz="4" w:space="0"/>
              <w:right w:val="single" w:color="auto" w:sz="4" w:space="0"/>
            </w:tcBorders>
            <w:vAlign w:val="center"/>
          </w:tcPr>
          <w:p w14:paraId="7B7BD60F">
            <w:pPr>
              <w:spacing w:line="360" w:lineRule="auto"/>
              <w:rPr>
                <w:b/>
                <w:bCs/>
                <w:kern w:val="2"/>
              </w:rPr>
            </w:pPr>
          </w:p>
        </w:tc>
        <w:tc>
          <w:tcPr>
            <w:tcW w:w="1500" w:type="dxa"/>
            <w:tcBorders>
              <w:top w:val="single" w:color="auto" w:sz="4" w:space="0"/>
              <w:left w:val="single" w:color="auto" w:sz="4" w:space="0"/>
              <w:bottom w:val="single" w:color="auto" w:sz="4" w:space="0"/>
              <w:right w:val="single" w:color="auto" w:sz="4" w:space="0"/>
            </w:tcBorders>
            <w:vAlign w:val="center"/>
          </w:tcPr>
          <w:p w14:paraId="6122DE1A">
            <w:pPr>
              <w:spacing w:line="360" w:lineRule="auto"/>
              <w:rPr>
                <w:b/>
                <w:bCs/>
                <w:kern w:val="2"/>
              </w:rPr>
            </w:pPr>
          </w:p>
        </w:tc>
        <w:tc>
          <w:tcPr>
            <w:tcW w:w="1485" w:type="dxa"/>
            <w:tcBorders>
              <w:top w:val="single" w:color="auto" w:sz="4" w:space="0"/>
              <w:left w:val="single" w:color="auto" w:sz="4" w:space="0"/>
              <w:bottom w:val="single" w:color="auto" w:sz="4" w:space="0"/>
              <w:right w:val="single" w:color="auto" w:sz="4" w:space="0"/>
            </w:tcBorders>
            <w:vAlign w:val="center"/>
          </w:tcPr>
          <w:p w14:paraId="6B181852">
            <w:pPr>
              <w:spacing w:line="360" w:lineRule="auto"/>
              <w:rPr>
                <w:b/>
                <w:bCs/>
                <w:kern w:val="2"/>
              </w:rPr>
            </w:pPr>
          </w:p>
        </w:tc>
      </w:tr>
      <w:tr w14:paraId="2A5EF4C8">
        <w:tblPrEx>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vAlign w:val="center"/>
          </w:tcPr>
          <w:p w14:paraId="4283AABE">
            <w:pPr>
              <w:spacing w:line="360" w:lineRule="auto"/>
              <w:rPr>
                <w:b/>
                <w:bCs/>
                <w:kern w:val="2"/>
              </w:rPr>
            </w:pPr>
            <w:r>
              <w:rPr>
                <w:b/>
                <w:bCs/>
                <w:kern w:val="2"/>
              </w:rPr>
              <w:t>5</w:t>
            </w:r>
          </w:p>
        </w:tc>
        <w:tc>
          <w:tcPr>
            <w:tcW w:w="2282" w:type="dxa"/>
            <w:gridSpan w:val="2"/>
            <w:tcBorders>
              <w:top w:val="single" w:color="auto" w:sz="4" w:space="0"/>
              <w:left w:val="single" w:color="auto" w:sz="4" w:space="0"/>
              <w:bottom w:val="single" w:color="auto" w:sz="4" w:space="0"/>
              <w:right w:val="single" w:color="auto" w:sz="4" w:space="0"/>
            </w:tcBorders>
            <w:vAlign w:val="center"/>
          </w:tcPr>
          <w:p w14:paraId="69B6AB61">
            <w:pPr>
              <w:spacing w:line="360" w:lineRule="auto"/>
              <w:rPr>
                <w:b/>
                <w:bCs/>
                <w:kern w:val="2"/>
              </w:rPr>
            </w:pPr>
            <w:r>
              <w:rPr>
                <w:b/>
                <w:bCs/>
                <w:kern w:val="2"/>
              </w:rPr>
              <w:t>投标文件编制人员</w:t>
            </w:r>
          </w:p>
        </w:tc>
        <w:tc>
          <w:tcPr>
            <w:tcW w:w="947" w:type="dxa"/>
            <w:tcBorders>
              <w:top w:val="single" w:color="auto" w:sz="4" w:space="0"/>
              <w:left w:val="single" w:color="auto" w:sz="4" w:space="0"/>
              <w:bottom w:val="single" w:color="auto" w:sz="4" w:space="0"/>
              <w:right w:val="single" w:color="auto" w:sz="4" w:space="0"/>
            </w:tcBorders>
            <w:vAlign w:val="center"/>
          </w:tcPr>
          <w:p w14:paraId="0A714A11">
            <w:pPr>
              <w:spacing w:line="360" w:lineRule="auto"/>
              <w:rPr>
                <w:b/>
                <w:bCs/>
                <w:kern w:val="2"/>
              </w:rPr>
            </w:pPr>
          </w:p>
        </w:tc>
        <w:tc>
          <w:tcPr>
            <w:tcW w:w="1991" w:type="dxa"/>
            <w:gridSpan w:val="2"/>
            <w:tcBorders>
              <w:top w:val="single" w:color="auto" w:sz="4" w:space="0"/>
              <w:left w:val="single" w:color="auto" w:sz="4" w:space="0"/>
              <w:bottom w:val="single" w:color="auto" w:sz="4" w:space="0"/>
              <w:right w:val="single" w:color="auto" w:sz="4" w:space="0"/>
            </w:tcBorders>
            <w:vAlign w:val="center"/>
          </w:tcPr>
          <w:p w14:paraId="2793774D">
            <w:pPr>
              <w:spacing w:line="360" w:lineRule="auto"/>
              <w:rPr>
                <w:b/>
                <w:bCs/>
                <w:kern w:val="2"/>
              </w:rPr>
            </w:pPr>
          </w:p>
        </w:tc>
        <w:tc>
          <w:tcPr>
            <w:tcW w:w="1500" w:type="dxa"/>
            <w:tcBorders>
              <w:top w:val="single" w:color="auto" w:sz="4" w:space="0"/>
              <w:left w:val="single" w:color="auto" w:sz="4" w:space="0"/>
              <w:bottom w:val="single" w:color="auto" w:sz="4" w:space="0"/>
              <w:right w:val="single" w:color="auto" w:sz="4" w:space="0"/>
            </w:tcBorders>
            <w:vAlign w:val="center"/>
          </w:tcPr>
          <w:p w14:paraId="489E6B70">
            <w:pPr>
              <w:spacing w:line="360" w:lineRule="auto"/>
              <w:rPr>
                <w:b/>
                <w:bCs/>
                <w:kern w:val="2"/>
              </w:rPr>
            </w:pPr>
          </w:p>
        </w:tc>
        <w:tc>
          <w:tcPr>
            <w:tcW w:w="1485" w:type="dxa"/>
            <w:tcBorders>
              <w:top w:val="single" w:color="auto" w:sz="4" w:space="0"/>
              <w:left w:val="single" w:color="auto" w:sz="4" w:space="0"/>
              <w:bottom w:val="single" w:color="auto" w:sz="4" w:space="0"/>
              <w:right w:val="single" w:color="auto" w:sz="4" w:space="0"/>
            </w:tcBorders>
            <w:vAlign w:val="center"/>
          </w:tcPr>
          <w:p w14:paraId="08BF5BDE">
            <w:pPr>
              <w:spacing w:line="360" w:lineRule="auto"/>
              <w:rPr>
                <w:b/>
                <w:bCs/>
                <w:kern w:val="2"/>
              </w:rPr>
            </w:pPr>
          </w:p>
        </w:tc>
      </w:tr>
      <w:tr w14:paraId="52F8503D">
        <w:tblPrEx>
          <w:tblCellMar>
            <w:top w:w="0" w:type="dxa"/>
            <w:left w:w="108" w:type="dxa"/>
            <w:bottom w:w="0" w:type="dxa"/>
            <w:right w:w="108" w:type="dxa"/>
          </w:tblCellMar>
        </w:tblPrEx>
        <w:tc>
          <w:tcPr>
            <w:tcW w:w="8941" w:type="dxa"/>
            <w:gridSpan w:val="8"/>
            <w:tcBorders>
              <w:top w:val="single" w:color="auto" w:sz="4" w:space="0"/>
              <w:left w:val="single" w:color="auto" w:sz="4" w:space="0"/>
              <w:bottom w:val="single" w:color="auto" w:sz="4" w:space="0"/>
              <w:right w:val="single" w:color="auto" w:sz="4" w:space="0"/>
            </w:tcBorders>
            <w:vAlign w:val="center"/>
          </w:tcPr>
          <w:p w14:paraId="18718FCA">
            <w:pPr>
              <w:spacing w:line="360" w:lineRule="auto"/>
              <w:rPr>
                <w:b/>
                <w:bCs/>
                <w:kern w:val="2"/>
              </w:rPr>
            </w:pPr>
            <w:r>
              <w:rPr>
                <w:b/>
                <w:bCs/>
                <w:kern w:val="2"/>
              </w:rPr>
              <w:t>说明：同一职务有多人担任（如主要技术人员），应分行填写。</w:t>
            </w:r>
          </w:p>
        </w:tc>
      </w:tr>
      <w:tr w14:paraId="7389F325">
        <w:tblPrEx>
          <w:tblCellMar>
            <w:top w:w="0" w:type="dxa"/>
            <w:left w:w="108" w:type="dxa"/>
            <w:bottom w:w="0" w:type="dxa"/>
            <w:right w:w="108" w:type="dxa"/>
          </w:tblCellMar>
        </w:tblPrEx>
        <w:trPr>
          <w:trHeight w:val="539" w:hRule="atLeast"/>
        </w:trPr>
        <w:tc>
          <w:tcPr>
            <w:tcW w:w="8941" w:type="dxa"/>
            <w:gridSpan w:val="8"/>
            <w:tcBorders>
              <w:top w:val="single" w:color="auto" w:sz="4" w:space="0"/>
              <w:left w:val="single" w:color="auto" w:sz="4" w:space="0"/>
              <w:bottom w:val="single" w:color="auto" w:sz="4" w:space="0"/>
              <w:right w:val="single" w:color="auto" w:sz="4" w:space="0"/>
            </w:tcBorders>
            <w:vAlign w:val="center"/>
          </w:tcPr>
          <w:p w14:paraId="6D0E454C">
            <w:pPr>
              <w:spacing w:line="360" w:lineRule="auto"/>
              <w:rPr>
                <w:b/>
                <w:bCs/>
                <w:kern w:val="2"/>
              </w:rPr>
            </w:pPr>
            <w:r>
              <w:rPr>
                <w:b/>
                <w:bCs/>
                <w:kern w:val="2"/>
              </w:rPr>
              <w:t>投标（响应）供应商关联关系情况</w:t>
            </w:r>
          </w:p>
        </w:tc>
      </w:tr>
      <w:tr w14:paraId="55B79C97">
        <w:tblPrEx>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vAlign w:val="center"/>
          </w:tcPr>
          <w:p w14:paraId="1000F898">
            <w:pPr>
              <w:spacing w:line="360" w:lineRule="auto"/>
              <w:rPr>
                <w:b/>
                <w:bCs/>
                <w:kern w:val="2"/>
              </w:rPr>
            </w:pPr>
            <w:r>
              <w:rPr>
                <w:b/>
                <w:bCs/>
                <w:kern w:val="2"/>
              </w:rPr>
              <w:t>序号</w:t>
            </w:r>
          </w:p>
        </w:tc>
        <w:tc>
          <w:tcPr>
            <w:tcW w:w="2282" w:type="dxa"/>
            <w:gridSpan w:val="2"/>
            <w:tcBorders>
              <w:top w:val="single" w:color="auto" w:sz="4" w:space="0"/>
              <w:left w:val="single" w:color="auto" w:sz="4" w:space="0"/>
              <w:bottom w:val="single" w:color="auto" w:sz="4" w:space="0"/>
              <w:right w:val="single" w:color="auto" w:sz="4" w:space="0"/>
            </w:tcBorders>
            <w:vAlign w:val="center"/>
          </w:tcPr>
          <w:p w14:paraId="03E99D7B">
            <w:pPr>
              <w:spacing w:line="360" w:lineRule="auto"/>
              <w:rPr>
                <w:b/>
                <w:bCs/>
                <w:kern w:val="2"/>
              </w:rPr>
            </w:pPr>
            <w:r>
              <w:rPr>
                <w:b/>
                <w:bCs/>
                <w:kern w:val="2"/>
              </w:rPr>
              <w:t>关联关系类型</w:t>
            </w:r>
          </w:p>
        </w:tc>
        <w:tc>
          <w:tcPr>
            <w:tcW w:w="1738" w:type="dxa"/>
            <w:gridSpan w:val="2"/>
            <w:tcBorders>
              <w:top w:val="single" w:color="auto" w:sz="4" w:space="0"/>
              <w:left w:val="single" w:color="auto" w:sz="4" w:space="0"/>
              <w:bottom w:val="single" w:color="auto" w:sz="4" w:space="0"/>
              <w:right w:val="single" w:color="auto" w:sz="4" w:space="0"/>
            </w:tcBorders>
            <w:vAlign w:val="center"/>
          </w:tcPr>
          <w:p w14:paraId="68C800AA">
            <w:pPr>
              <w:spacing w:line="360" w:lineRule="auto"/>
              <w:rPr>
                <w:b/>
                <w:bCs/>
                <w:kern w:val="2"/>
              </w:rPr>
            </w:pPr>
            <w:r>
              <w:rPr>
                <w:b/>
                <w:bCs/>
                <w:kern w:val="2"/>
              </w:rPr>
              <w:t>关联主体名称</w:t>
            </w:r>
          </w:p>
        </w:tc>
        <w:tc>
          <w:tcPr>
            <w:tcW w:w="4185" w:type="dxa"/>
            <w:gridSpan w:val="3"/>
            <w:tcBorders>
              <w:top w:val="single" w:color="auto" w:sz="4" w:space="0"/>
              <w:left w:val="single" w:color="auto" w:sz="4" w:space="0"/>
              <w:bottom w:val="single" w:color="auto" w:sz="4" w:space="0"/>
              <w:right w:val="single" w:color="auto" w:sz="4" w:space="0"/>
            </w:tcBorders>
            <w:vAlign w:val="center"/>
          </w:tcPr>
          <w:p w14:paraId="5692CCDD">
            <w:pPr>
              <w:spacing w:line="360" w:lineRule="auto"/>
              <w:rPr>
                <w:b/>
                <w:bCs/>
                <w:kern w:val="2"/>
              </w:rPr>
            </w:pPr>
            <w:r>
              <w:rPr>
                <w:b/>
                <w:bCs/>
                <w:kern w:val="2"/>
              </w:rPr>
              <w:t>备注</w:t>
            </w:r>
          </w:p>
        </w:tc>
      </w:tr>
      <w:tr w14:paraId="4C97D72C">
        <w:tblPrEx>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vAlign w:val="center"/>
          </w:tcPr>
          <w:p w14:paraId="4ABF2E69">
            <w:pPr>
              <w:spacing w:line="360" w:lineRule="auto"/>
              <w:rPr>
                <w:b/>
                <w:bCs/>
                <w:kern w:val="2"/>
              </w:rPr>
            </w:pPr>
            <w:r>
              <w:rPr>
                <w:b/>
                <w:bCs/>
                <w:kern w:val="2"/>
              </w:rPr>
              <w:t>1</w:t>
            </w:r>
          </w:p>
        </w:tc>
        <w:tc>
          <w:tcPr>
            <w:tcW w:w="2282" w:type="dxa"/>
            <w:gridSpan w:val="2"/>
            <w:tcBorders>
              <w:top w:val="single" w:color="auto" w:sz="4" w:space="0"/>
              <w:left w:val="nil"/>
              <w:bottom w:val="single" w:color="auto" w:sz="4" w:space="0"/>
              <w:right w:val="single" w:color="auto" w:sz="4" w:space="0"/>
            </w:tcBorders>
            <w:vAlign w:val="center"/>
          </w:tcPr>
          <w:p w14:paraId="12E8AE81">
            <w:pPr>
              <w:spacing w:line="360" w:lineRule="auto"/>
              <w:rPr>
                <w:b/>
                <w:bCs/>
                <w:kern w:val="2"/>
              </w:rPr>
            </w:pPr>
            <w:r>
              <w:rPr>
                <w:b/>
                <w:bCs/>
                <w:kern w:val="2"/>
              </w:rPr>
              <w:t>控股股东</w:t>
            </w:r>
          </w:p>
        </w:tc>
        <w:tc>
          <w:tcPr>
            <w:tcW w:w="1738" w:type="dxa"/>
            <w:gridSpan w:val="2"/>
            <w:tcBorders>
              <w:top w:val="single" w:color="auto" w:sz="4" w:space="0"/>
              <w:left w:val="nil"/>
              <w:bottom w:val="single" w:color="auto" w:sz="4" w:space="0"/>
              <w:right w:val="single" w:color="auto" w:sz="4" w:space="0"/>
            </w:tcBorders>
            <w:vAlign w:val="center"/>
          </w:tcPr>
          <w:p w14:paraId="13007965">
            <w:pPr>
              <w:spacing w:line="360" w:lineRule="auto"/>
              <w:rPr>
                <w:b/>
                <w:bCs/>
                <w:kern w:val="2"/>
              </w:rPr>
            </w:pPr>
          </w:p>
        </w:tc>
        <w:tc>
          <w:tcPr>
            <w:tcW w:w="4185" w:type="dxa"/>
            <w:gridSpan w:val="3"/>
            <w:tcBorders>
              <w:top w:val="single" w:color="auto" w:sz="4" w:space="0"/>
              <w:left w:val="nil"/>
              <w:bottom w:val="single" w:color="auto" w:sz="4" w:space="0"/>
              <w:right w:val="single" w:color="auto" w:sz="4" w:space="0"/>
            </w:tcBorders>
            <w:vAlign w:val="center"/>
          </w:tcPr>
          <w:p w14:paraId="5B337B81">
            <w:pPr>
              <w:spacing w:line="360" w:lineRule="auto"/>
              <w:rPr>
                <w:b/>
                <w:bCs/>
                <w:kern w:val="2"/>
              </w:rPr>
            </w:pPr>
            <w:r>
              <w:rPr>
                <w:b/>
                <w:bCs/>
                <w:kern w:val="2"/>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345C07ED">
        <w:tblPrEx>
          <w:tblCellMar>
            <w:top w:w="0" w:type="dxa"/>
            <w:left w:w="108" w:type="dxa"/>
            <w:bottom w:w="0" w:type="dxa"/>
            <w:right w:w="108" w:type="dxa"/>
          </w:tblCellMar>
        </w:tblPrEx>
        <w:trPr>
          <w:trHeight w:val="789" w:hRule="atLeast"/>
        </w:trPr>
        <w:tc>
          <w:tcPr>
            <w:tcW w:w="736" w:type="dxa"/>
            <w:tcBorders>
              <w:top w:val="single" w:color="auto" w:sz="4" w:space="0"/>
              <w:left w:val="single" w:color="auto" w:sz="4" w:space="0"/>
              <w:bottom w:val="single" w:color="auto" w:sz="4" w:space="0"/>
              <w:right w:val="single" w:color="auto" w:sz="4" w:space="0"/>
            </w:tcBorders>
            <w:vAlign w:val="center"/>
          </w:tcPr>
          <w:p w14:paraId="1DF0B955">
            <w:pPr>
              <w:spacing w:line="360" w:lineRule="auto"/>
              <w:rPr>
                <w:b/>
                <w:bCs/>
                <w:kern w:val="2"/>
              </w:rPr>
            </w:pPr>
            <w:r>
              <w:rPr>
                <w:b/>
                <w:bCs/>
                <w:kern w:val="2"/>
              </w:rPr>
              <w:t>2</w:t>
            </w:r>
          </w:p>
        </w:tc>
        <w:tc>
          <w:tcPr>
            <w:tcW w:w="2282" w:type="dxa"/>
            <w:gridSpan w:val="2"/>
            <w:tcBorders>
              <w:top w:val="single" w:color="auto" w:sz="4" w:space="0"/>
              <w:left w:val="nil"/>
              <w:bottom w:val="single" w:color="auto" w:sz="4" w:space="0"/>
              <w:right w:val="single" w:color="auto" w:sz="4" w:space="0"/>
            </w:tcBorders>
            <w:vAlign w:val="center"/>
          </w:tcPr>
          <w:p w14:paraId="355FBE68">
            <w:pPr>
              <w:spacing w:line="360" w:lineRule="auto"/>
              <w:rPr>
                <w:b/>
                <w:bCs/>
                <w:kern w:val="2"/>
              </w:rPr>
            </w:pPr>
            <w:r>
              <w:rPr>
                <w:b/>
                <w:bCs/>
                <w:kern w:val="2"/>
              </w:rPr>
              <w:t>管理关系</w:t>
            </w:r>
          </w:p>
        </w:tc>
        <w:tc>
          <w:tcPr>
            <w:tcW w:w="1738" w:type="dxa"/>
            <w:gridSpan w:val="2"/>
            <w:tcBorders>
              <w:top w:val="single" w:color="auto" w:sz="4" w:space="0"/>
              <w:left w:val="nil"/>
              <w:bottom w:val="single" w:color="auto" w:sz="4" w:space="0"/>
              <w:right w:val="single" w:color="auto" w:sz="4" w:space="0"/>
            </w:tcBorders>
            <w:vAlign w:val="center"/>
          </w:tcPr>
          <w:p w14:paraId="0262ED07">
            <w:pPr>
              <w:spacing w:line="360" w:lineRule="auto"/>
              <w:rPr>
                <w:b/>
                <w:bCs/>
                <w:kern w:val="2"/>
              </w:rPr>
            </w:pPr>
          </w:p>
        </w:tc>
        <w:tc>
          <w:tcPr>
            <w:tcW w:w="4185" w:type="dxa"/>
            <w:gridSpan w:val="3"/>
            <w:tcBorders>
              <w:top w:val="single" w:color="auto" w:sz="4" w:space="0"/>
              <w:left w:val="nil"/>
              <w:bottom w:val="single" w:color="auto" w:sz="4" w:space="0"/>
              <w:right w:val="single" w:color="auto" w:sz="4" w:space="0"/>
            </w:tcBorders>
            <w:vAlign w:val="center"/>
          </w:tcPr>
          <w:p w14:paraId="12538214">
            <w:pPr>
              <w:spacing w:line="360" w:lineRule="auto"/>
              <w:rPr>
                <w:b/>
                <w:bCs/>
                <w:kern w:val="2"/>
              </w:rPr>
            </w:pPr>
            <w:r>
              <w:rPr>
                <w:b/>
                <w:bCs/>
                <w:kern w:val="2"/>
              </w:rPr>
              <w:t>指对投标（响应）供应商不具有出资持股关系，但对其存在管理关系的主体。</w:t>
            </w:r>
          </w:p>
        </w:tc>
      </w:tr>
      <w:tr w14:paraId="2C5F7BD1">
        <w:tblPrEx>
          <w:tblCellMar>
            <w:top w:w="0" w:type="dxa"/>
            <w:left w:w="108" w:type="dxa"/>
            <w:bottom w:w="0" w:type="dxa"/>
            <w:right w:w="108" w:type="dxa"/>
          </w:tblCellMar>
        </w:tblPrEx>
        <w:trPr>
          <w:trHeight w:val="455" w:hRule="atLeast"/>
        </w:trPr>
        <w:tc>
          <w:tcPr>
            <w:tcW w:w="8941" w:type="dxa"/>
            <w:gridSpan w:val="8"/>
            <w:tcBorders>
              <w:top w:val="single" w:color="auto" w:sz="4" w:space="0"/>
              <w:left w:val="single" w:color="auto" w:sz="4" w:space="0"/>
              <w:bottom w:val="single" w:color="auto" w:sz="4" w:space="0"/>
              <w:right w:val="single" w:color="auto" w:sz="4" w:space="0"/>
            </w:tcBorders>
            <w:vAlign w:val="center"/>
          </w:tcPr>
          <w:p w14:paraId="1D6EEBBD">
            <w:pPr>
              <w:spacing w:line="360" w:lineRule="auto"/>
              <w:rPr>
                <w:b/>
                <w:bCs/>
                <w:kern w:val="2"/>
              </w:rPr>
            </w:pPr>
            <w:r>
              <w:rPr>
                <w:b/>
                <w:bCs/>
                <w:kern w:val="2"/>
              </w:rPr>
              <w:t>说明：同一关联关系类型有多个主体的，应分行填写。</w:t>
            </w:r>
          </w:p>
        </w:tc>
      </w:tr>
    </w:tbl>
    <w:p w14:paraId="71BE36C6">
      <w:pPr>
        <w:widowControl w:val="0"/>
        <w:spacing w:line="360" w:lineRule="auto"/>
        <w:ind w:firstLine="420" w:firstLineChars="200"/>
        <w:jc w:val="both"/>
        <w:rPr>
          <w:rFonts w:hint="eastAsia" w:ascii="宋体" w:hAnsi="宋体" w:eastAsia="宋体"/>
          <w:kern w:val="2"/>
          <w:sz w:val="21"/>
          <w:szCs w:val="21"/>
          <w:lang w:eastAsia="zh-CN"/>
        </w:rPr>
      </w:pPr>
    </w:p>
    <w:p w14:paraId="748EAE25">
      <w:pPr>
        <w:keepNext/>
        <w:keepLines/>
        <w:pageBreakBefore/>
        <w:widowControl w:val="0"/>
        <w:adjustRightInd w:val="0"/>
        <w:snapToGrid w:val="0"/>
        <w:spacing w:line="360" w:lineRule="auto"/>
        <w:jc w:val="center"/>
        <w:textAlignment w:val="baseline"/>
        <w:outlineLvl w:val="2"/>
        <w:rPr>
          <w:rFonts w:hint="eastAsia" w:ascii="黑体" w:hAnsi="宋体" w:eastAsia="黑体"/>
          <w:b/>
          <w:kern w:val="2"/>
          <w:sz w:val="30"/>
          <w:szCs w:val="30"/>
          <w:lang w:eastAsia="zh-CN"/>
        </w:rPr>
      </w:pPr>
      <w:r>
        <w:rPr>
          <w:rFonts w:hint="eastAsia" w:ascii="黑体" w:hAnsi="宋体" w:eastAsia="黑体" w:cstheme="minorBidi"/>
          <w:b/>
          <w:kern w:val="2"/>
          <w:sz w:val="30"/>
          <w:szCs w:val="30"/>
          <w:lang w:eastAsia="zh-CN"/>
        </w:rPr>
        <w:t>五、分项报价清单</w:t>
      </w:r>
    </w:p>
    <w:p w14:paraId="7C41154B">
      <w:pPr>
        <w:widowControl w:val="0"/>
        <w:spacing w:after="60" w:afterLines="25" w:line="300" w:lineRule="auto"/>
        <w:jc w:val="both"/>
        <w:rPr>
          <w:rFonts w:ascii="Arial" w:hAnsi="Arial" w:eastAsia="宋体" w:cs="Arial"/>
          <w:kern w:val="2"/>
          <w:sz w:val="21"/>
          <w:lang w:eastAsia="zh-CN"/>
        </w:rPr>
      </w:pPr>
      <w:r>
        <w:rPr>
          <w:rFonts w:hint="eastAsia" w:ascii="Arial" w:hAnsi="Arial" w:eastAsia="宋体" w:cs="Arial"/>
          <w:color w:val="000000"/>
          <w:kern w:val="2"/>
          <w:sz w:val="21"/>
          <w:lang w:eastAsia="zh-CN"/>
        </w:rPr>
        <w:t>投标单位（投标人）名称：</w:t>
      </w:r>
    </w:p>
    <w:p w14:paraId="2EE2DE05">
      <w:pPr>
        <w:widowControl w:val="0"/>
        <w:tabs>
          <w:tab w:val="left" w:pos="720"/>
        </w:tabs>
        <w:spacing w:after="60" w:afterLines="25" w:line="300" w:lineRule="auto"/>
        <w:jc w:val="center"/>
        <w:rPr>
          <w:rFonts w:ascii="Arial" w:hAnsi="Arial" w:eastAsia="宋体"/>
          <w:b/>
          <w:kern w:val="2"/>
          <w:lang w:eastAsia="zh-CN"/>
        </w:rPr>
      </w:pPr>
      <w:r>
        <w:rPr>
          <w:rFonts w:hint="eastAsia" w:ascii="Arial" w:hAnsi="Arial" w:eastAsia="宋体"/>
          <w:b/>
          <w:kern w:val="2"/>
          <w:lang w:eastAsia="zh-CN"/>
        </w:rPr>
        <w:t>（一）项目报价表</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
        <w:gridCol w:w="760"/>
        <w:gridCol w:w="760"/>
        <w:gridCol w:w="760"/>
        <w:gridCol w:w="760"/>
        <w:gridCol w:w="760"/>
        <w:gridCol w:w="760"/>
        <w:gridCol w:w="760"/>
        <w:gridCol w:w="836"/>
        <w:gridCol w:w="836"/>
        <w:gridCol w:w="990"/>
      </w:tblGrid>
      <w:tr w14:paraId="38239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94" w:type="pct"/>
            <w:vAlign w:val="center"/>
          </w:tcPr>
          <w:p w14:paraId="36E456FF">
            <w:pPr>
              <w:widowControl w:val="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序号</w:t>
            </w:r>
          </w:p>
        </w:tc>
        <w:tc>
          <w:tcPr>
            <w:tcW w:w="429" w:type="pct"/>
            <w:vAlign w:val="center"/>
          </w:tcPr>
          <w:p w14:paraId="65CF6A33">
            <w:pPr>
              <w:widowControl w:val="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货物名称</w:t>
            </w:r>
          </w:p>
        </w:tc>
        <w:tc>
          <w:tcPr>
            <w:tcW w:w="429" w:type="pct"/>
            <w:vAlign w:val="center"/>
          </w:tcPr>
          <w:p w14:paraId="35754CDA">
            <w:pPr>
              <w:widowControl w:val="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品牌</w:t>
            </w:r>
          </w:p>
        </w:tc>
        <w:tc>
          <w:tcPr>
            <w:tcW w:w="429" w:type="pct"/>
            <w:vAlign w:val="center"/>
          </w:tcPr>
          <w:p w14:paraId="6ABB53F5">
            <w:pPr>
              <w:widowControl w:val="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规格/型号</w:t>
            </w:r>
          </w:p>
        </w:tc>
        <w:tc>
          <w:tcPr>
            <w:tcW w:w="429" w:type="pct"/>
            <w:vAlign w:val="center"/>
          </w:tcPr>
          <w:p w14:paraId="523AC842">
            <w:pPr>
              <w:widowControl w:val="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制造商名称</w:t>
            </w:r>
          </w:p>
        </w:tc>
        <w:tc>
          <w:tcPr>
            <w:tcW w:w="429" w:type="pct"/>
            <w:vAlign w:val="center"/>
          </w:tcPr>
          <w:p w14:paraId="4FE5DE41">
            <w:pPr>
              <w:widowControl w:val="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原产地</w:t>
            </w:r>
          </w:p>
        </w:tc>
        <w:tc>
          <w:tcPr>
            <w:tcW w:w="429" w:type="pct"/>
            <w:vAlign w:val="center"/>
          </w:tcPr>
          <w:p w14:paraId="3BD06ECC">
            <w:pPr>
              <w:widowControl w:val="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数量</w:t>
            </w:r>
          </w:p>
        </w:tc>
        <w:tc>
          <w:tcPr>
            <w:tcW w:w="429" w:type="pct"/>
            <w:vAlign w:val="center"/>
          </w:tcPr>
          <w:p w14:paraId="36F38E89">
            <w:pPr>
              <w:widowControl w:val="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单位</w:t>
            </w:r>
          </w:p>
        </w:tc>
        <w:tc>
          <w:tcPr>
            <w:tcW w:w="472" w:type="pct"/>
            <w:vAlign w:val="center"/>
          </w:tcPr>
          <w:p w14:paraId="17534422">
            <w:pPr>
              <w:widowControl w:val="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单价(元)</w:t>
            </w:r>
          </w:p>
        </w:tc>
        <w:tc>
          <w:tcPr>
            <w:tcW w:w="472" w:type="pct"/>
            <w:vAlign w:val="center"/>
          </w:tcPr>
          <w:p w14:paraId="027C06DE">
            <w:pPr>
              <w:widowControl w:val="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合价(元)</w:t>
            </w:r>
          </w:p>
        </w:tc>
        <w:tc>
          <w:tcPr>
            <w:tcW w:w="558" w:type="pct"/>
            <w:vAlign w:val="center"/>
          </w:tcPr>
          <w:p w14:paraId="0C6F0216">
            <w:pPr>
              <w:widowControl w:val="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预算金额（元）</w:t>
            </w:r>
          </w:p>
        </w:tc>
      </w:tr>
      <w:tr w14:paraId="5A0A0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94" w:type="pct"/>
            <w:vAlign w:val="center"/>
          </w:tcPr>
          <w:p w14:paraId="720FE28E">
            <w:pPr>
              <w:widowControl w:val="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1</w:t>
            </w:r>
          </w:p>
        </w:tc>
        <w:tc>
          <w:tcPr>
            <w:tcW w:w="429" w:type="pct"/>
            <w:vAlign w:val="center"/>
          </w:tcPr>
          <w:p w14:paraId="3093C76D">
            <w:pPr>
              <w:widowControl w:val="0"/>
              <w:jc w:val="both"/>
              <w:rPr>
                <w:rFonts w:ascii="Calibri" w:hAnsi="Calibri" w:eastAsia="宋体"/>
                <w:kern w:val="2"/>
                <w:sz w:val="21"/>
                <w:szCs w:val="21"/>
                <w:lang w:eastAsia="zh-CN"/>
              </w:rPr>
            </w:pPr>
          </w:p>
        </w:tc>
        <w:tc>
          <w:tcPr>
            <w:tcW w:w="429" w:type="pct"/>
            <w:vAlign w:val="center"/>
          </w:tcPr>
          <w:p w14:paraId="1DFF6190">
            <w:pPr>
              <w:widowControl w:val="0"/>
              <w:jc w:val="both"/>
              <w:rPr>
                <w:rFonts w:ascii="Calibri" w:hAnsi="Calibri" w:eastAsia="宋体"/>
                <w:kern w:val="2"/>
                <w:sz w:val="21"/>
                <w:szCs w:val="21"/>
                <w:lang w:eastAsia="zh-CN"/>
              </w:rPr>
            </w:pPr>
          </w:p>
        </w:tc>
        <w:tc>
          <w:tcPr>
            <w:tcW w:w="429" w:type="pct"/>
            <w:vAlign w:val="center"/>
          </w:tcPr>
          <w:p w14:paraId="6534C596">
            <w:pPr>
              <w:widowControl w:val="0"/>
              <w:jc w:val="both"/>
              <w:rPr>
                <w:rFonts w:ascii="Calibri" w:hAnsi="Calibri" w:eastAsia="宋体"/>
                <w:kern w:val="2"/>
                <w:sz w:val="21"/>
                <w:szCs w:val="21"/>
                <w:lang w:eastAsia="zh-CN"/>
              </w:rPr>
            </w:pPr>
          </w:p>
        </w:tc>
        <w:tc>
          <w:tcPr>
            <w:tcW w:w="429" w:type="pct"/>
            <w:vAlign w:val="center"/>
          </w:tcPr>
          <w:p w14:paraId="694E904B">
            <w:pPr>
              <w:widowControl w:val="0"/>
              <w:jc w:val="both"/>
              <w:rPr>
                <w:rFonts w:ascii="Calibri" w:hAnsi="Calibri" w:eastAsia="宋体"/>
                <w:kern w:val="2"/>
                <w:sz w:val="21"/>
                <w:szCs w:val="21"/>
                <w:lang w:eastAsia="zh-CN"/>
              </w:rPr>
            </w:pPr>
          </w:p>
        </w:tc>
        <w:tc>
          <w:tcPr>
            <w:tcW w:w="429" w:type="pct"/>
            <w:vAlign w:val="center"/>
          </w:tcPr>
          <w:p w14:paraId="10A23DEC">
            <w:pPr>
              <w:widowControl w:val="0"/>
              <w:jc w:val="both"/>
              <w:rPr>
                <w:rFonts w:ascii="Calibri" w:hAnsi="Calibri" w:eastAsia="宋体"/>
                <w:kern w:val="2"/>
                <w:sz w:val="21"/>
                <w:szCs w:val="21"/>
                <w:lang w:eastAsia="zh-CN"/>
              </w:rPr>
            </w:pPr>
          </w:p>
        </w:tc>
        <w:tc>
          <w:tcPr>
            <w:tcW w:w="429" w:type="pct"/>
            <w:vAlign w:val="center"/>
          </w:tcPr>
          <w:p w14:paraId="329BF3ED">
            <w:pPr>
              <w:widowControl w:val="0"/>
              <w:jc w:val="both"/>
              <w:rPr>
                <w:rFonts w:ascii="Calibri" w:hAnsi="Calibri" w:eastAsia="宋体"/>
                <w:kern w:val="2"/>
                <w:sz w:val="21"/>
                <w:szCs w:val="21"/>
                <w:lang w:eastAsia="zh-CN"/>
              </w:rPr>
            </w:pPr>
          </w:p>
        </w:tc>
        <w:tc>
          <w:tcPr>
            <w:tcW w:w="429" w:type="pct"/>
            <w:vAlign w:val="center"/>
          </w:tcPr>
          <w:p w14:paraId="55A7C678">
            <w:pPr>
              <w:widowControl w:val="0"/>
              <w:jc w:val="both"/>
              <w:rPr>
                <w:rFonts w:ascii="Calibri" w:hAnsi="Calibri" w:eastAsia="宋体"/>
                <w:kern w:val="2"/>
                <w:sz w:val="21"/>
                <w:szCs w:val="21"/>
                <w:lang w:eastAsia="zh-CN"/>
              </w:rPr>
            </w:pPr>
          </w:p>
        </w:tc>
        <w:tc>
          <w:tcPr>
            <w:tcW w:w="472" w:type="pct"/>
            <w:vAlign w:val="center"/>
          </w:tcPr>
          <w:p w14:paraId="69AC7239">
            <w:pPr>
              <w:widowControl w:val="0"/>
              <w:jc w:val="both"/>
              <w:rPr>
                <w:rFonts w:ascii="Calibri" w:hAnsi="Calibri" w:eastAsia="宋体"/>
                <w:kern w:val="2"/>
                <w:sz w:val="21"/>
                <w:szCs w:val="21"/>
                <w:lang w:eastAsia="zh-CN"/>
              </w:rPr>
            </w:pPr>
          </w:p>
        </w:tc>
        <w:tc>
          <w:tcPr>
            <w:tcW w:w="472" w:type="pct"/>
            <w:vAlign w:val="center"/>
          </w:tcPr>
          <w:p w14:paraId="2F32D1A3">
            <w:pPr>
              <w:widowControl w:val="0"/>
              <w:jc w:val="both"/>
              <w:rPr>
                <w:rFonts w:ascii="Calibri" w:hAnsi="Calibri" w:eastAsia="宋体"/>
                <w:kern w:val="2"/>
                <w:sz w:val="21"/>
                <w:szCs w:val="21"/>
                <w:lang w:eastAsia="zh-CN"/>
              </w:rPr>
            </w:pPr>
          </w:p>
        </w:tc>
        <w:tc>
          <w:tcPr>
            <w:tcW w:w="558" w:type="pct"/>
            <w:vMerge w:val="restart"/>
            <w:vAlign w:val="center"/>
          </w:tcPr>
          <w:p w14:paraId="3385EBAB">
            <w:pPr>
              <w:widowControl w:val="0"/>
              <w:jc w:val="both"/>
              <w:rPr>
                <w:rFonts w:ascii="Calibri" w:hAnsi="Calibri" w:eastAsia="宋体"/>
                <w:kern w:val="2"/>
                <w:sz w:val="21"/>
                <w:szCs w:val="21"/>
                <w:lang w:eastAsia="zh-CN"/>
              </w:rPr>
            </w:pPr>
          </w:p>
        </w:tc>
      </w:tr>
      <w:tr w14:paraId="1EE44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94" w:type="pct"/>
            <w:vAlign w:val="center"/>
          </w:tcPr>
          <w:p w14:paraId="1F01FAC8">
            <w:pPr>
              <w:widowControl w:val="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2</w:t>
            </w:r>
          </w:p>
        </w:tc>
        <w:tc>
          <w:tcPr>
            <w:tcW w:w="429" w:type="pct"/>
            <w:vAlign w:val="center"/>
          </w:tcPr>
          <w:p w14:paraId="627835D0">
            <w:pPr>
              <w:widowControl w:val="0"/>
              <w:jc w:val="both"/>
              <w:rPr>
                <w:rFonts w:ascii="Calibri" w:hAnsi="Calibri" w:eastAsia="宋体"/>
                <w:kern w:val="2"/>
                <w:sz w:val="21"/>
                <w:szCs w:val="21"/>
                <w:lang w:eastAsia="zh-CN"/>
              </w:rPr>
            </w:pPr>
          </w:p>
        </w:tc>
        <w:tc>
          <w:tcPr>
            <w:tcW w:w="429" w:type="pct"/>
            <w:vAlign w:val="center"/>
          </w:tcPr>
          <w:p w14:paraId="4F17ADC2">
            <w:pPr>
              <w:widowControl w:val="0"/>
              <w:jc w:val="both"/>
              <w:rPr>
                <w:rFonts w:ascii="Calibri" w:hAnsi="Calibri" w:eastAsia="宋体"/>
                <w:kern w:val="2"/>
                <w:sz w:val="21"/>
                <w:szCs w:val="21"/>
                <w:lang w:eastAsia="zh-CN"/>
              </w:rPr>
            </w:pPr>
          </w:p>
        </w:tc>
        <w:tc>
          <w:tcPr>
            <w:tcW w:w="429" w:type="pct"/>
            <w:vAlign w:val="center"/>
          </w:tcPr>
          <w:p w14:paraId="449E0AF7">
            <w:pPr>
              <w:widowControl w:val="0"/>
              <w:jc w:val="both"/>
              <w:rPr>
                <w:rFonts w:ascii="Calibri" w:hAnsi="Calibri" w:eastAsia="宋体"/>
                <w:kern w:val="2"/>
                <w:sz w:val="21"/>
                <w:szCs w:val="21"/>
                <w:lang w:eastAsia="zh-CN"/>
              </w:rPr>
            </w:pPr>
          </w:p>
        </w:tc>
        <w:tc>
          <w:tcPr>
            <w:tcW w:w="429" w:type="pct"/>
            <w:vAlign w:val="center"/>
          </w:tcPr>
          <w:p w14:paraId="71811C55">
            <w:pPr>
              <w:widowControl w:val="0"/>
              <w:jc w:val="both"/>
              <w:rPr>
                <w:rFonts w:ascii="Calibri" w:hAnsi="Calibri" w:eastAsia="宋体"/>
                <w:kern w:val="2"/>
                <w:sz w:val="21"/>
                <w:szCs w:val="21"/>
                <w:lang w:eastAsia="zh-CN"/>
              </w:rPr>
            </w:pPr>
          </w:p>
        </w:tc>
        <w:tc>
          <w:tcPr>
            <w:tcW w:w="429" w:type="pct"/>
            <w:vAlign w:val="center"/>
          </w:tcPr>
          <w:p w14:paraId="55A07F3C">
            <w:pPr>
              <w:widowControl w:val="0"/>
              <w:jc w:val="both"/>
              <w:rPr>
                <w:rFonts w:ascii="Calibri" w:hAnsi="Calibri" w:eastAsia="宋体"/>
                <w:kern w:val="2"/>
                <w:sz w:val="21"/>
                <w:szCs w:val="21"/>
                <w:lang w:eastAsia="zh-CN"/>
              </w:rPr>
            </w:pPr>
          </w:p>
        </w:tc>
        <w:tc>
          <w:tcPr>
            <w:tcW w:w="429" w:type="pct"/>
            <w:vAlign w:val="center"/>
          </w:tcPr>
          <w:p w14:paraId="442C0E5C">
            <w:pPr>
              <w:widowControl w:val="0"/>
              <w:jc w:val="both"/>
              <w:rPr>
                <w:rFonts w:ascii="Calibri" w:hAnsi="Calibri" w:eastAsia="宋体"/>
                <w:kern w:val="2"/>
                <w:sz w:val="21"/>
                <w:szCs w:val="21"/>
                <w:lang w:eastAsia="zh-CN"/>
              </w:rPr>
            </w:pPr>
          </w:p>
        </w:tc>
        <w:tc>
          <w:tcPr>
            <w:tcW w:w="429" w:type="pct"/>
            <w:vAlign w:val="center"/>
          </w:tcPr>
          <w:p w14:paraId="4C1A6607">
            <w:pPr>
              <w:widowControl w:val="0"/>
              <w:jc w:val="both"/>
              <w:rPr>
                <w:rFonts w:ascii="Calibri" w:hAnsi="Calibri" w:eastAsia="宋体"/>
                <w:kern w:val="2"/>
                <w:sz w:val="21"/>
                <w:szCs w:val="21"/>
                <w:lang w:eastAsia="zh-CN"/>
              </w:rPr>
            </w:pPr>
          </w:p>
        </w:tc>
        <w:tc>
          <w:tcPr>
            <w:tcW w:w="472" w:type="pct"/>
            <w:vAlign w:val="center"/>
          </w:tcPr>
          <w:p w14:paraId="24AAF167">
            <w:pPr>
              <w:widowControl w:val="0"/>
              <w:jc w:val="both"/>
              <w:rPr>
                <w:rFonts w:ascii="Calibri" w:hAnsi="Calibri" w:eastAsia="宋体"/>
                <w:kern w:val="2"/>
                <w:sz w:val="21"/>
                <w:szCs w:val="21"/>
                <w:lang w:eastAsia="zh-CN"/>
              </w:rPr>
            </w:pPr>
          </w:p>
        </w:tc>
        <w:tc>
          <w:tcPr>
            <w:tcW w:w="472" w:type="pct"/>
            <w:vAlign w:val="center"/>
          </w:tcPr>
          <w:p w14:paraId="34843622">
            <w:pPr>
              <w:widowControl w:val="0"/>
              <w:jc w:val="both"/>
              <w:rPr>
                <w:rFonts w:ascii="Calibri" w:hAnsi="Calibri" w:eastAsia="宋体"/>
                <w:kern w:val="2"/>
                <w:sz w:val="21"/>
                <w:szCs w:val="21"/>
                <w:lang w:eastAsia="zh-CN"/>
              </w:rPr>
            </w:pPr>
          </w:p>
        </w:tc>
        <w:tc>
          <w:tcPr>
            <w:tcW w:w="558" w:type="pct"/>
            <w:vMerge w:val="continue"/>
            <w:vAlign w:val="center"/>
          </w:tcPr>
          <w:p w14:paraId="68C2DF28">
            <w:pPr>
              <w:widowControl w:val="0"/>
              <w:jc w:val="both"/>
              <w:rPr>
                <w:rFonts w:ascii="Calibri" w:hAnsi="Calibri" w:eastAsia="宋体"/>
                <w:kern w:val="2"/>
                <w:sz w:val="21"/>
                <w:szCs w:val="21"/>
                <w:lang w:eastAsia="zh-CN"/>
              </w:rPr>
            </w:pPr>
          </w:p>
        </w:tc>
      </w:tr>
      <w:tr w14:paraId="63FC6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94" w:type="pct"/>
            <w:vAlign w:val="center"/>
          </w:tcPr>
          <w:p w14:paraId="051B563B">
            <w:pPr>
              <w:widowControl w:val="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3</w:t>
            </w:r>
          </w:p>
        </w:tc>
        <w:tc>
          <w:tcPr>
            <w:tcW w:w="429" w:type="pct"/>
            <w:vAlign w:val="center"/>
          </w:tcPr>
          <w:p w14:paraId="4EEAF327">
            <w:pPr>
              <w:widowControl w:val="0"/>
              <w:jc w:val="both"/>
              <w:rPr>
                <w:rFonts w:ascii="Calibri" w:hAnsi="Calibri" w:eastAsia="宋体"/>
                <w:kern w:val="2"/>
                <w:sz w:val="21"/>
                <w:szCs w:val="21"/>
                <w:lang w:eastAsia="zh-CN"/>
              </w:rPr>
            </w:pPr>
          </w:p>
        </w:tc>
        <w:tc>
          <w:tcPr>
            <w:tcW w:w="429" w:type="pct"/>
            <w:vAlign w:val="center"/>
          </w:tcPr>
          <w:p w14:paraId="31D90956">
            <w:pPr>
              <w:widowControl w:val="0"/>
              <w:jc w:val="both"/>
              <w:rPr>
                <w:rFonts w:ascii="Calibri" w:hAnsi="Calibri" w:eastAsia="宋体"/>
                <w:kern w:val="2"/>
                <w:sz w:val="21"/>
                <w:szCs w:val="21"/>
                <w:lang w:eastAsia="zh-CN"/>
              </w:rPr>
            </w:pPr>
          </w:p>
        </w:tc>
        <w:tc>
          <w:tcPr>
            <w:tcW w:w="429" w:type="pct"/>
            <w:vAlign w:val="center"/>
          </w:tcPr>
          <w:p w14:paraId="48BCFEF9">
            <w:pPr>
              <w:widowControl w:val="0"/>
              <w:jc w:val="both"/>
              <w:rPr>
                <w:rFonts w:ascii="Calibri" w:hAnsi="Calibri" w:eastAsia="宋体"/>
                <w:kern w:val="2"/>
                <w:sz w:val="21"/>
                <w:szCs w:val="21"/>
                <w:lang w:eastAsia="zh-CN"/>
              </w:rPr>
            </w:pPr>
          </w:p>
        </w:tc>
        <w:tc>
          <w:tcPr>
            <w:tcW w:w="429" w:type="pct"/>
            <w:vAlign w:val="center"/>
          </w:tcPr>
          <w:p w14:paraId="3EC7EADF">
            <w:pPr>
              <w:widowControl w:val="0"/>
              <w:jc w:val="both"/>
              <w:rPr>
                <w:rFonts w:ascii="Calibri" w:hAnsi="Calibri" w:eastAsia="宋体"/>
                <w:kern w:val="2"/>
                <w:sz w:val="21"/>
                <w:szCs w:val="21"/>
                <w:lang w:eastAsia="zh-CN"/>
              </w:rPr>
            </w:pPr>
          </w:p>
        </w:tc>
        <w:tc>
          <w:tcPr>
            <w:tcW w:w="429" w:type="pct"/>
            <w:vAlign w:val="center"/>
          </w:tcPr>
          <w:p w14:paraId="4DC2DC4B">
            <w:pPr>
              <w:widowControl w:val="0"/>
              <w:jc w:val="both"/>
              <w:rPr>
                <w:rFonts w:ascii="Calibri" w:hAnsi="Calibri" w:eastAsia="宋体"/>
                <w:kern w:val="2"/>
                <w:sz w:val="21"/>
                <w:szCs w:val="21"/>
                <w:lang w:eastAsia="zh-CN"/>
              </w:rPr>
            </w:pPr>
          </w:p>
        </w:tc>
        <w:tc>
          <w:tcPr>
            <w:tcW w:w="429" w:type="pct"/>
            <w:vAlign w:val="center"/>
          </w:tcPr>
          <w:p w14:paraId="438B371E">
            <w:pPr>
              <w:widowControl w:val="0"/>
              <w:jc w:val="both"/>
              <w:rPr>
                <w:rFonts w:ascii="Calibri" w:hAnsi="Calibri" w:eastAsia="宋体"/>
                <w:kern w:val="2"/>
                <w:sz w:val="21"/>
                <w:szCs w:val="21"/>
                <w:lang w:eastAsia="zh-CN"/>
              </w:rPr>
            </w:pPr>
          </w:p>
        </w:tc>
        <w:tc>
          <w:tcPr>
            <w:tcW w:w="429" w:type="pct"/>
            <w:vAlign w:val="center"/>
          </w:tcPr>
          <w:p w14:paraId="0DC1CC50">
            <w:pPr>
              <w:widowControl w:val="0"/>
              <w:jc w:val="both"/>
              <w:rPr>
                <w:rFonts w:ascii="Calibri" w:hAnsi="Calibri" w:eastAsia="宋体"/>
                <w:kern w:val="2"/>
                <w:sz w:val="21"/>
                <w:szCs w:val="21"/>
                <w:lang w:eastAsia="zh-CN"/>
              </w:rPr>
            </w:pPr>
          </w:p>
        </w:tc>
        <w:tc>
          <w:tcPr>
            <w:tcW w:w="472" w:type="pct"/>
            <w:vAlign w:val="center"/>
          </w:tcPr>
          <w:p w14:paraId="3F8A263D">
            <w:pPr>
              <w:widowControl w:val="0"/>
              <w:jc w:val="both"/>
              <w:rPr>
                <w:rFonts w:ascii="Calibri" w:hAnsi="Calibri" w:eastAsia="宋体"/>
                <w:kern w:val="2"/>
                <w:sz w:val="21"/>
                <w:szCs w:val="21"/>
                <w:lang w:eastAsia="zh-CN"/>
              </w:rPr>
            </w:pPr>
          </w:p>
        </w:tc>
        <w:tc>
          <w:tcPr>
            <w:tcW w:w="472" w:type="pct"/>
            <w:vAlign w:val="center"/>
          </w:tcPr>
          <w:p w14:paraId="58AFE56C">
            <w:pPr>
              <w:widowControl w:val="0"/>
              <w:jc w:val="both"/>
              <w:rPr>
                <w:rFonts w:ascii="Calibri" w:hAnsi="Calibri" w:eastAsia="宋体"/>
                <w:kern w:val="2"/>
                <w:sz w:val="21"/>
                <w:szCs w:val="21"/>
                <w:lang w:eastAsia="zh-CN"/>
              </w:rPr>
            </w:pPr>
          </w:p>
        </w:tc>
        <w:tc>
          <w:tcPr>
            <w:tcW w:w="558" w:type="pct"/>
            <w:vMerge w:val="continue"/>
            <w:vAlign w:val="center"/>
          </w:tcPr>
          <w:p w14:paraId="47DBECDA">
            <w:pPr>
              <w:widowControl w:val="0"/>
              <w:jc w:val="both"/>
              <w:rPr>
                <w:rFonts w:ascii="Calibri" w:hAnsi="Calibri" w:eastAsia="宋体"/>
                <w:kern w:val="2"/>
                <w:sz w:val="21"/>
                <w:szCs w:val="21"/>
                <w:lang w:eastAsia="zh-CN"/>
              </w:rPr>
            </w:pPr>
          </w:p>
        </w:tc>
      </w:tr>
      <w:tr w14:paraId="6741D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494" w:type="pct"/>
            <w:vAlign w:val="center"/>
          </w:tcPr>
          <w:p w14:paraId="4014A12F">
            <w:pPr>
              <w:widowControl w:val="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w:t>
            </w:r>
          </w:p>
        </w:tc>
        <w:tc>
          <w:tcPr>
            <w:tcW w:w="429" w:type="pct"/>
            <w:vAlign w:val="center"/>
          </w:tcPr>
          <w:p w14:paraId="6504F7B7">
            <w:pPr>
              <w:widowControl w:val="0"/>
              <w:jc w:val="both"/>
              <w:rPr>
                <w:rFonts w:ascii="Calibri" w:hAnsi="Calibri" w:eastAsia="宋体"/>
                <w:kern w:val="2"/>
                <w:sz w:val="21"/>
                <w:szCs w:val="21"/>
                <w:lang w:eastAsia="zh-CN"/>
              </w:rPr>
            </w:pPr>
          </w:p>
        </w:tc>
        <w:tc>
          <w:tcPr>
            <w:tcW w:w="429" w:type="pct"/>
            <w:vAlign w:val="center"/>
          </w:tcPr>
          <w:p w14:paraId="6D207D9C">
            <w:pPr>
              <w:widowControl w:val="0"/>
              <w:jc w:val="both"/>
              <w:rPr>
                <w:rFonts w:ascii="Calibri" w:hAnsi="Calibri" w:eastAsia="宋体"/>
                <w:kern w:val="2"/>
                <w:sz w:val="21"/>
                <w:szCs w:val="21"/>
                <w:lang w:eastAsia="zh-CN"/>
              </w:rPr>
            </w:pPr>
          </w:p>
        </w:tc>
        <w:tc>
          <w:tcPr>
            <w:tcW w:w="429" w:type="pct"/>
            <w:vAlign w:val="center"/>
          </w:tcPr>
          <w:p w14:paraId="10AF6ADC">
            <w:pPr>
              <w:widowControl w:val="0"/>
              <w:jc w:val="both"/>
              <w:rPr>
                <w:rFonts w:ascii="Calibri" w:hAnsi="Calibri" w:eastAsia="宋体"/>
                <w:kern w:val="2"/>
                <w:sz w:val="21"/>
                <w:szCs w:val="21"/>
                <w:lang w:eastAsia="zh-CN"/>
              </w:rPr>
            </w:pPr>
          </w:p>
        </w:tc>
        <w:tc>
          <w:tcPr>
            <w:tcW w:w="429" w:type="pct"/>
            <w:vAlign w:val="center"/>
          </w:tcPr>
          <w:p w14:paraId="43B54B23">
            <w:pPr>
              <w:widowControl w:val="0"/>
              <w:jc w:val="both"/>
              <w:rPr>
                <w:rFonts w:ascii="Calibri" w:hAnsi="Calibri" w:eastAsia="宋体"/>
                <w:kern w:val="2"/>
                <w:sz w:val="21"/>
                <w:szCs w:val="21"/>
                <w:lang w:eastAsia="zh-CN"/>
              </w:rPr>
            </w:pPr>
          </w:p>
        </w:tc>
        <w:tc>
          <w:tcPr>
            <w:tcW w:w="429" w:type="pct"/>
            <w:vAlign w:val="center"/>
          </w:tcPr>
          <w:p w14:paraId="77D9D834">
            <w:pPr>
              <w:widowControl w:val="0"/>
              <w:jc w:val="both"/>
              <w:rPr>
                <w:rFonts w:ascii="Calibri" w:hAnsi="Calibri" w:eastAsia="宋体"/>
                <w:kern w:val="2"/>
                <w:sz w:val="21"/>
                <w:szCs w:val="21"/>
                <w:lang w:eastAsia="zh-CN"/>
              </w:rPr>
            </w:pPr>
          </w:p>
        </w:tc>
        <w:tc>
          <w:tcPr>
            <w:tcW w:w="429" w:type="pct"/>
            <w:vAlign w:val="center"/>
          </w:tcPr>
          <w:p w14:paraId="60F2D27A">
            <w:pPr>
              <w:widowControl w:val="0"/>
              <w:jc w:val="both"/>
              <w:rPr>
                <w:rFonts w:ascii="Calibri" w:hAnsi="Calibri" w:eastAsia="宋体"/>
                <w:kern w:val="2"/>
                <w:sz w:val="21"/>
                <w:szCs w:val="21"/>
                <w:lang w:eastAsia="zh-CN"/>
              </w:rPr>
            </w:pPr>
          </w:p>
        </w:tc>
        <w:tc>
          <w:tcPr>
            <w:tcW w:w="429" w:type="pct"/>
            <w:vAlign w:val="center"/>
          </w:tcPr>
          <w:p w14:paraId="79A9A338">
            <w:pPr>
              <w:widowControl w:val="0"/>
              <w:jc w:val="both"/>
              <w:rPr>
                <w:rFonts w:ascii="Calibri" w:hAnsi="Calibri" w:eastAsia="宋体"/>
                <w:kern w:val="2"/>
                <w:sz w:val="21"/>
                <w:szCs w:val="21"/>
                <w:lang w:eastAsia="zh-CN"/>
              </w:rPr>
            </w:pPr>
          </w:p>
        </w:tc>
        <w:tc>
          <w:tcPr>
            <w:tcW w:w="472" w:type="pct"/>
            <w:vAlign w:val="center"/>
          </w:tcPr>
          <w:p w14:paraId="63F417D5">
            <w:pPr>
              <w:widowControl w:val="0"/>
              <w:jc w:val="both"/>
              <w:rPr>
                <w:rFonts w:ascii="Calibri" w:hAnsi="Calibri" w:eastAsia="宋体"/>
                <w:kern w:val="2"/>
                <w:sz w:val="21"/>
                <w:szCs w:val="21"/>
                <w:lang w:eastAsia="zh-CN"/>
              </w:rPr>
            </w:pPr>
          </w:p>
        </w:tc>
        <w:tc>
          <w:tcPr>
            <w:tcW w:w="472" w:type="pct"/>
            <w:vAlign w:val="center"/>
          </w:tcPr>
          <w:p w14:paraId="3B16571A">
            <w:pPr>
              <w:widowControl w:val="0"/>
              <w:jc w:val="both"/>
              <w:rPr>
                <w:rFonts w:ascii="Calibri" w:hAnsi="Calibri" w:eastAsia="宋体"/>
                <w:kern w:val="2"/>
                <w:sz w:val="21"/>
                <w:szCs w:val="21"/>
                <w:lang w:eastAsia="zh-CN"/>
              </w:rPr>
            </w:pPr>
          </w:p>
        </w:tc>
        <w:tc>
          <w:tcPr>
            <w:tcW w:w="558" w:type="pct"/>
            <w:vMerge w:val="continue"/>
            <w:vAlign w:val="center"/>
          </w:tcPr>
          <w:p w14:paraId="276B1114">
            <w:pPr>
              <w:widowControl w:val="0"/>
              <w:jc w:val="both"/>
              <w:rPr>
                <w:rFonts w:ascii="Calibri" w:hAnsi="Calibri" w:eastAsia="宋体"/>
                <w:kern w:val="2"/>
                <w:sz w:val="21"/>
                <w:szCs w:val="21"/>
                <w:lang w:eastAsia="zh-CN"/>
              </w:rPr>
            </w:pPr>
          </w:p>
        </w:tc>
      </w:tr>
      <w:tr w14:paraId="2DFA2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639" w:type="pct"/>
            <w:gridSpan w:val="6"/>
            <w:vAlign w:val="center"/>
          </w:tcPr>
          <w:p w14:paraId="15FC76A2">
            <w:pPr>
              <w:widowControl w:val="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投标总价（以上各项之和；币种：人民币；单位：元）</w:t>
            </w:r>
          </w:p>
        </w:tc>
        <w:tc>
          <w:tcPr>
            <w:tcW w:w="2361" w:type="pct"/>
            <w:gridSpan w:val="5"/>
            <w:vAlign w:val="center"/>
          </w:tcPr>
          <w:p w14:paraId="0079C30B">
            <w:pPr>
              <w:widowControl w:val="0"/>
              <w:jc w:val="both"/>
              <w:rPr>
                <w:rFonts w:ascii="Calibri" w:hAnsi="Calibri" w:eastAsia="宋体"/>
                <w:kern w:val="2"/>
                <w:sz w:val="21"/>
                <w:szCs w:val="21"/>
                <w:lang w:eastAsia="zh-CN"/>
              </w:rPr>
            </w:pPr>
          </w:p>
        </w:tc>
      </w:tr>
    </w:tbl>
    <w:p w14:paraId="5ECBC053">
      <w:pPr>
        <w:widowControl/>
        <w:wordWrap w:val="0"/>
        <w:autoSpaceDE w:val="0"/>
        <w:autoSpaceDN w:val="0"/>
        <w:spacing w:line="400" w:lineRule="exact"/>
        <w:ind w:left="0" w:leftChars="0" w:right="32" w:rightChars="0" w:firstLine="0" w:firstLineChars="0"/>
        <w:jc w:val="both"/>
        <w:rPr>
          <w:rFonts w:hint="eastAsia" w:eastAsia="宋体"/>
          <w:kern w:val="2"/>
          <w:sz w:val="21"/>
          <w:lang w:eastAsia="zh-CN"/>
        </w:rPr>
      </w:pPr>
      <w:r>
        <w:rPr>
          <w:rFonts w:hint="eastAsia" w:eastAsia="宋体"/>
          <w:kern w:val="2"/>
          <w:sz w:val="21"/>
          <w:lang w:eastAsia="zh-CN"/>
        </w:rPr>
        <w:t>填写说明：</w:t>
      </w:r>
    </w:p>
    <w:p w14:paraId="0C69670D">
      <w:pPr>
        <w:widowControl/>
        <w:wordWrap w:val="0"/>
        <w:autoSpaceDE w:val="0"/>
        <w:autoSpaceDN w:val="0"/>
        <w:spacing w:line="400" w:lineRule="exact"/>
        <w:ind w:left="0" w:leftChars="0" w:right="32" w:rightChars="0" w:firstLine="0" w:firstLineChars="0"/>
        <w:jc w:val="both"/>
        <w:rPr>
          <w:rFonts w:hint="eastAsia" w:eastAsia="宋体"/>
          <w:kern w:val="2"/>
          <w:sz w:val="21"/>
          <w:lang w:eastAsia="zh-CN"/>
        </w:rPr>
      </w:pPr>
      <w:r>
        <w:rPr>
          <w:rFonts w:hint="eastAsia" w:eastAsia="宋体"/>
          <w:kern w:val="2"/>
          <w:sz w:val="21"/>
          <w:lang w:eastAsia="zh-CN"/>
        </w:rPr>
        <w:t>1.本表可根据实际需要增加相关内容，但原有的格式内容不得删减；</w:t>
      </w:r>
    </w:p>
    <w:p w14:paraId="1933872C">
      <w:pPr>
        <w:widowControl/>
        <w:wordWrap w:val="0"/>
        <w:autoSpaceDE w:val="0"/>
        <w:autoSpaceDN w:val="0"/>
        <w:spacing w:line="400" w:lineRule="exact"/>
        <w:ind w:left="0" w:leftChars="0" w:right="32" w:rightChars="0" w:firstLine="0" w:firstLineChars="0"/>
        <w:jc w:val="both"/>
        <w:rPr>
          <w:rFonts w:hint="eastAsia" w:eastAsia="宋体"/>
          <w:kern w:val="2"/>
          <w:sz w:val="21"/>
          <w:lang w:eastAsia="zh-CN"/>
        </w:rPr>
      </w:pPr>
      <w:r>
        <w:rPr>
          <w:rFonts w:hint="eastAsia" w:eastAsia="宋体"/>
          <w:kern w:val="2"/>
          <w:sz w:val="21"/>
          <w:lang w:eastAsia="zh-CN"/>
        </w:rPr>
        <w:t>2.“品牌”可以与商标一致，也可以填写便于区分其他公司商品的制造商简称或者制造商认可的品牌名称。</w:t>
      </w:r>
    </w:p>
    <w:p w14:paraId="5AC7222F">
      <w:pPr>
        <w:widowControl/>
        <w:wordWrap w:val="0"/>
        <w:autoSpaceDE w:val="0"/>
        <w:autoSpaceDN w:val="0"/>
        <w:spacing w:line="400" w:lineRule="exact"/>
        <w:ind w:left="0" w:leftChars="0" w:right="32" w:rightChars="0" w:firstLine="0" w:firstLineChars="0"/>
        <w:jc w:val="both"/>
        <w:rPr>
          <w:rFonts w:hint="eastAsia" w:eastAsia="宋体"/>
          <w:kern w:val="2"/>
          <w:sz w:val="21"/>
          <w:lang w:eastAsia="zh-CN"/>
        </w:rPr>
      </w:pPr>
      <w:r>
        <w:rPr>
          <w:rFonts w:hint="eastAsia" w:eastAsia="宋体"/>
          <w:kern w:val="2"/>
          <w:sz w:val="21"/>
          <w:lang w:eastAsia="zh-CN"/>
        </w:rPr>
        <w:t>3.如所投货物属于定制类的非量产货物或无具体型号的货物，可以在“规格/型号”一栏仅填写规格信息而不填写型号信息（型号信息用“定制”描述即可）；此类填写错误或缺漏（所投货物为定制类的非量产货物但供应商却错误填报了型号）可能带来的不利后果由供应商承担。</w:t>
      </w:r>
    </w:p>
    <w:p w14:paraId="5D2DE38F">
      <w:pPr>
        <w:widowControl/>
        <w:wordWrap w:val="0"/>
        <w:autoSpaceDE w:val="0"/>
        <w:autoSpaceDN w:val="0"/>
        <w:spacing w:line="400" w:lineRule="exact"/>
        <w:ind w:left="0" w:leftChars="0" w:right="32" w:rightChars="0" w:firstLine="0" w:firstLineChars="0"/>
        <w:jc w:val="both"/>
        <w:rPr>
          <w:rFonts w:hint="eastAsia" w:eastAsia="宋体"/>
          <w:kern w:val="2"/>
          <w:sz w:val="21"/>
          <w:lang w:eastAsia="zh-CN"/>
        </w:rPr>
      </w:pPr>
      <w:r>
        <w:rPr>
          <w:rFonts w:hint="eastAsia" w:eastAsia="宋体"/>
          <w:kern w:val="2"/>
          <w:sz w:val="21"/>
          <w:lang w:eastAsia="zh-CN"/>
        </w:rPr>
        <w:t>4.“原产地”是指该货物的实际生产加工地，而非品牌所在地。</w:t>
      </w:r>
    </w:p>
    <w:p w14:paraId="2ABF0E46">
      <w:pPr>
        <w:widowControl/>
        <w:wordWrap w:val="0"/>
        <w:autoSpaceDE w:val="0"/>
        <w:autoSpaceDN w:val="0"/>
        <w:spacing w:line="400" w:lineRule="exact"/>
        <w:ind w:left="0" w:leftChars="0" w:right="32" w:rightChars="0" w:firstLine="0" w:firstLineChars="0"/>
        <w:jc w:val="both"/>
        <w:rPr>
          <w:rFonts w:hint="eastAsia" w:eastAsia="宋体"/>
          <w:kern w:val="2"/>
          <w:sz w:val="21"/>
          <w:lang w:eastAsia="zh-CN"/>
        </w:rPr>
      </w:pPr>
      <w:r>
        <w:rPr>
          <w:rFonts w:hint="eastAsia" w:eastAsia="宋体"/>
          <w:kern w:val="2"/>
          <w:sz w:val="21"/>
          <w:lang w:eastAsia="zh-CN"/>
        </w:rPr>
        <w:t>5.所投货物均应填写制造商名称。“制造商”是指产品制造厂商，产品代工制造的，应填写接受委托生产制造的制造商。</w:t>
      </w:r>
    </w:p>
    <w:p w14:paraId="497811CE">
      <w:pPr>
        <w:widowControl/>
        <w:wordWrap w:val="0"/>
        <w:autoSpaceDE w:val="0"/>
        <w:autoSpaceDN w:val="0"/>
        <w:spacing w:line="400" w:lineRule="exact"/>
        <w:ind w:left="0" w:leftChars="0" w:right="32" w:rightChars="0" w:firstLine="0" w:firstLineChars="0"/>
        <w:jc w:val="both"/>
        <w:rPr>
          <w:rFonts w:hint="eastAsia" w:eastAsia="宋体"/>
          <w:kern w:val="2"/>
          <w:sz w:val="21"/>
          <w:lang w:eastAsia="zh-CN"/>
        </w:rPr>
      </w:pPr>
      <w:r>
        <w:rPr>
          <w:rFonts w:hint="eastAsia" w:eastAsia="宋体"/>
          <w:kern w:val="2"/>
          <w:sz w:val="21"/>
          <w:lang w:eastAsia="zh-CN"/>
        </w:rPr>
        <w:t>6.以上分项报价表的投标总价应当与开标一览表的投标总价一致。</w:t>
      </w:r>
    </w:p>
    <w:p w14:paraId="52C48F65">
      <w:pPr>
        <w:widowControl/>
        <w:wordWrap w:val="0"/>
        <w:autoSpaceDE w:val="0"/>
        <w:autoSpaceDN w:val="0"/>
        <w:spacing w:line="400" w:lineRule="exact"/>
        <w:ind w:left="0" w:leftChars="0" w:right="32" w:rightChars="0" w:firstLine="0" w:firstLineChars="0"/>
        <w:jc w:val="both"/>
        <w:rPr>
          <w:rFonts w:hint="eastAsia" w:eastAsia="宋体"/>
          <w:kern w:val="2"/>
          <w:sz w:val="21"/>
          <w:lang w:eastAsia="zh-CN"/>
        </w:rPr>
      </w:pPr>
      <w:r>
        <w:rPr>
          <w:rFonts w:hint="eastAsia" w:eastAsia="宋体"/>
          <w:kern w:val="2"/>
          <w:sz w:val="21"/>
          <w:lang w:eastAsia="zh-CN"/>
        </w:rPr>
        <w:t>7.单价、合价和投标总价为包干价，即三者均应包含货物的价款、包装、运输、装卸、安装、调试、技术指导、培训、咨询、服务、保险、税费、检测、验收合格交付使用之前以及技术和售后服务等其他各项有关费用。</w:t>
      </w:r>
    </w:p>
    <w:p w14:paraId="7F1125B2">
      <w:pPr>
        <w:widowControl/>
        <w:wordWrap w:val="0"/>
        <w:autoSpaceDE w:val="0"/>
        <w:autoSpaceDN w:val="0"/>
        <w:spacing w:line="400" w:lineRule="exact"/>
        <w:ind w:left="0" w:leftChars="0" w:right="32" w:rightChars="0" w:firstLine="0" w:firstLineChars="0"/>
        <w:jc w:val="both"/>
        <w:rPr>
          <w:rFonts w:hint="eastAsia" w:eastAsia="宋体"/>
          <w:kern w:val="2"/>
          <w:sz w:val="21"/>
          <w:lang w:eastAsia="zh-CN"/>
        </w:rPr>
      </w:pPr>
      <w:r>
        <w:rPr>
          <w:rFonts w:hint="eastAsia" w:eastAsia="宋体"/>
          <w:kern w:val="2"/>
          <w:sz w:val="21"/>
          <w:lang w:eastAsia="zh-CN"/>
        </w:rPr>
        <w:t>8.所有价格应按“招标文件”中规定的货币单位填写；投标总价应为以上各分项价格之和；投标总价和项目报价表中单个采购预算条目报价均不得超过对应的预算金额（或设定的预算金额下的最高限价），否则将导致投标无效。</w:t>
      </w:r>
    </w:p>
    <w:p w14:paraId="47315D0A">
      <w:pPr>
        <w:widowControl/>
        <w:wordWrap w:val="0"/>
        <w:autoSpaceDE w:val="0"/>
        <w:autoSpaceDN w:val="0"/>
        <w:spacing w:line="400" w:lineRule="exact"/>
        <w:ind w:left="0" w:leftChars="0" w:right="32" w:rightChars="0" w:firstLine="0" w:firstLineChars="0"/>
        <w:jc w:val="both"/>
        <w:rPr>
          <w:rFonts w:hint="eastAsia" w:eastAsia="宋体"/>
          <w:kern w:val="2"/>
          <w:sz w:val="21"/>
          <w:lang w:eastAsia="zh-CN"/>
        </w:rPr>
      </w:pPr>
      <w:r>
        <w:rPr>
          <w:rFonts w:hint="eastAsia" w:eastAsia="宋体"/>
          <w:kern w:val="2"/>
          <w:sz w:val="21"/>
          <w:lang w:eastAsia="zh-CN"/>
        </w:rPr>
        <w:t>★9.如未提供《（一）项目报价表》或者不按《第三章用户需求书：二、货物需求明细》要求填报、漏报或错报的将作投标无效处理。</w:t>
      </w:r>
    </w:p>
    <w:p w14:paraId="3D0FF620">
      <w:pPr>
        <w:widowControl w:val="0"/>
        <w:spacing w:after="120" w:line="240" w:lineRule="auto"/>
        <w:ind w:left="480" w:leftChars="200" w:firstLine="420" w:firstLineChars="200"/>
        <w:jc w:val="both"/>
        <w:rPr>
          <w:rFonts w:hint="eastAsia" w:eastAsia="宋体"/>
          <w:kern w:val="2"/>
          <w:sz w:val="21"/>
          <w:lang w:eastAsia="zh-CN"/>
        </w:rPr>
      </w:pPr>
    </w:p>
    <w:p w14:paraId="4AC647A2">
      <w:pPr>
        <w:widowControl w:val="0"/>
        <w:spacing w:after="120" w:line="240" w:lineRule="auto"/>
        <w:ind w:left="0" w:leftChars="0" w:firstLine="0" w:firstLineChars="0"/>
        <w:jc w:val="both"/>
        <w:rPr>
          <w:rFonts w:hint="eastAsia" w:eastAsia="宋体"/>
          <w:kern w:val="2"/>
          <w:sz w:val="21"/>
          <w:lang w:eastAsia="zh-CN"/>
        </w:rPr>
      </w:pPr>
    </w:p>
    <w:p w14:paraId="46F0A882">
      <w:pPr>
        <w:widowControl w:val="0"/>
        <w:spacing w:after="120" w:line="240" w:lineRule="auto"/>
        <w:ind w:left="0" w:leftChars="0" w:firstLine="0" w:firstLineChars="0"/>
        <w:jc w:val="both"/>
        <w:rPr>
          <w:rFonts w:hint="eastAsia" w:eastAsia="宋体"/>
          <w:kern w:val="2"/>
          <w:sz w:val="21"/>
          <w:lang w:eastAsia="zh-CN"/>
        </w:rPr>
      </w:pPr>
    </w:p>
    <w:p w14:paraId="18FAB4C3">
      <w:pPr>
        <w:widowControl w:val="0"/>
        <w:tabs>
          <w:tab w:val="left" w:pos="720"/>
        </w:tabs>
        <w:spacing w:after="60" w:afterLines="25" w:line="300" w:lineRule="auto"/>
        <w:jc w:val="center"/>
        <w:rPr>
          <w:rFonts w:hint="eastAsia" w:ascii="Arial" w:hAnsi="Arial" w:eastAsia="宋体"/>
          <w:b/>
          <w:kern w:val="2"/>
          <w:lang w:eastAsia="zh-CN"/>
        </w:rPr>
      </w:pPr>
      <w:r>
        <w:rPr>
          <w:rFonts w:hint="eastAsia" w:ascii="Arial" w:hAnsi="Arial" w:eastAsia="宋体"/>
          <w:b/>
          <w:kern w:val="2"/>
          <w:lang w:eastAsia="zh-CN"/>
        </w:rPr>
        <w:t>（二）核心产品品牌</w:t>
      </w:r>
    </w:p>
    <w:p w14:paraId="16D943DC">
      <w:pPr>
        <w:widowControl w:val="0"/>
        <w:spacing w:after="120" w:line="240" w:lineRule="auto"/>
        <w:ind w:left="480" w:leftChars="200" w:firstLine="420" w:firstLineChars="200"/>
        <w:jc w:val="both"/>
        <w:rPr>
          <w:rFonts w:hint="eastAsia" w:ascii="Calibri" w:hAnsi="Calibri" w:eastAsia="宋体"/>
          <w:kern w:val="2"/>
          <w:sz w:val="21"/>
          <w:szCs w:val="22"/>
          <w:lang w:eastAsia="zh-CN"/>
        </w:rPr>
      </w:pPr>
    </w:p>
    <w:p w14:paraId="2B1AEFD5">
      <w:pPr>
        <w:widowControl w:val="0"/>
        <w:ind w:firstLine="482" w:firstLineChars="200"/>
        <w:jc w:val="both"/>
        <w:rPr>
          <w:rFonts w:ascii="宋体" w:hAnsi="宋体" w:eastAsia="宋体"/>
          <w:b/>
          <w:kern w:val="2"/>
          <w:szCs w:val="22"/>
          <w:lang w:eastAsia="zh-CN"/>
        </w:rPr>
      </w:pPr>
      <w:r>
        <w:rPr>
          <w:rFonts w:hint="eastAsia" w:ascii="Calibri" w:hAnsi="Calibri" w:eastAsia="宋体" w:cstheme="minorBidi"/>
          <w:b/>
          <w:kern w:val="2"/>
          <w:szCs w:val="22"/>
          <w:lang w:eastAsia="zh-CN"/>
        </w:rPr>
        <w:t>我单位所投核心产品的品牌为：</w:t>
      </w:r>
      <w:r>
        <w:rPr>
          <w:rFonts w:hint="eastAsia" w:ascii="Calibri" w:hAnsi="Calibri" w:eastAsia="宋体" w:cstheme="minorBidi"/>
          <w:b/>
          <w:kern w:val="2"/>
          <w:szCs w:val="22"/>
          <w:u w:val="single"/>
          <w:lang w:eastAsia="zh-CN"/>
        </w:rPr>
        <w:t xml:space="preserve">               </w:t>
      </w:r>
      <w:r>
        <w:rPr>
          <w:rFonts w:hint="eastAsia" w:ascii="Calibri" w:hAnsi="Calibri" w:eastAsia="宋体" w:cstheme="minorBidi"/>
          <w:b/>
          <w:kern w:val="2"/>
          <w:szCs w:val="22"/>
          <w:lang w:eastAsia="zh-CN"/>
        </w:rPr>
        <w:t>。</w:t>
      </w:r>
    </w:p>
    <w:p w14:paraId="77BE9612">
      <w:pPr>
        <w:widowControl/>
        <w:wordWrap w:val="0"/>
        <w:autoSpaceDE w:val="0"/>
        <w:autoSpaceDN w:val="0"/>
        <w:spacing w:line="400" w:lineRule="exact"/>
        <w:ind w:right="808" w:firstLine="420" w:firstLineChars="200"/>
        <w:jc w:val="both"/>
        <w:rPr>
          <w:rFonts w:ascii="Arial" w:hAnsi="Arial" w:eastAsia="宋体"/>
          <w:b/>
          <w:kern w:val="2"/>
          <w:sz w:val="21"/>
          <w:lang w:eastAsia="zh-CN"/>
        </w:rPr>
      </w:pPr>
      <w:r>
        <w:rPr>
          <w:rFonts w:hint="eastAsia" w:eastAsia="宋体"/>
          <w:kern w:val="2"/>
          <w:sz w:val="21"/>
          <w:lang w:eastAsia="zh-CN"/>
        </w:rPr>
        <w:t>备注：单一产品采购项目，核心产品即为该单一产品。</w:t>
      </w:r>
    </w:p>
    <w:p w14:paraId="67C3126D">
      <w:pPr>
        <w:widowControl/>
        <w:wordWrap w:val="0"/>
        <w:autoSpaceDE w:val="0"/>
        <w:autoSpaceDN w:val="0"/>
        <w:spacing w:line="400" w:lineRule="exact"/>
        <w:ind w:right="808" w:firstLine="420" w:firstLineChars="200"/>
        <w:jc w:val="both"/>
        <w:rPr>
          <w:rFonts w:eastAsia="宋体"/>
          <w:kern w:val="2"/>
          <w:sz w:val="21"/>
          <w:lang w:eastAsia="zh-CN"/>
        </w:rPr>
      </w:pPr>
    </w:p>
    <w:p w14:paraId="29990745">
      <w:pPr>
        <w:widowControl w:val="0"/>
        <w:tabs>
          <w:tab w:val="left" w:pos="720"/>
        </w:tabs>
        <w:spacing w:after="60" w:afterLines="25" w:line="300" w:lineRule="auto"/>
        <w:jc w:val="center"/>
        <w:rPr>
          <w:rFonts w:hint="eastAsia" w:ascii="Arial" w:hAnsi="Arial" w:eastAsia="宋体"/>
          <w:b/>
          <w:kern w:val="2"/>
          <w:lang w:eastAsia="zh-CN"/>
        </w:rPr>
      </w:pPr>
      <w:r>
        <w:rPr>
          <w:rFonts w:hint="eastAsia" w:ascii="Arial" w:hAnsi="Arial" w:eastAsia="宋体"/>
          <w:b/>
          <w:kern w:val="2"/>
          <w:lang w:eastAsia="zh-CN"/>
        </w:rPr>
        <w:t>（三）可选配件报价清单（非项目需求要求的必备配件，此部分不包括在总报价内）</w:t>
      </w:r>
    </w:p>
    <w:p w14:paraId="781779A0">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注：格式可以参照《（一）项目报价表》表格，并提供相应的品牌/规格/型号、原产地、制造商信息（没有品牌、型号的，用“定制”描述即可）、单价等详细信息</w:t>
      </w:r>
    </w:p>
    <w:p w14:paraId="0BA35833">
      <w:pPr>
        <w:widowControl/>
        <w:wordWrap w:val="0"/>
        <w:autoSpaceDE w:val="0"/>
        <w:autoSpaceDN w:val="0"/>
        <w:spacing w:line="400" w:lineRule="exact"/>
        <w:ind w:right="808" w:firstLine="420" w:firstLineChars="200"/>
        <w:jc w:val="both"/>
        <w:rPr>
          <w:rFonts w:eastAsia="宋体"/>
          <w:kern w:val="2"/>
          <w:sz w:val="21"/>
          <w:lang w:eastAsia="zh-CN"/>
        </w:rPr>
      </w:pPr>
    </w:p>
    <w:p w14:paraId="711E4795">
      <w:pPr>
        <w:widowControl w:val="0"/>
        <w:tabs>
          <w:tab w:val="left" w:pos="720"/>
        </w:tabs>
        <w:spacing w:after="60" w:afterLines="25" w:line="300" w:lineRule="auto"/>
        <w:jc w:val="center"/>
        <w:rPr>
          <w:rFonts w:hint="eastAsia" w:ascii="Arial" w:hAnsi="Arial" w:eastAsia="宋体"/>
          <w:b/>
          <w:kern w:val="2"/>
          <w:lang w:eastAsia="zh-CN"/>
        </w:rPr>
      </w:pPr>
      <w:r>
        <w:rPr>
          <w:rFonts w:hint="eastAsia" w:ascii="Arial" w:hAnsi="Arial" w:eastAsia="宋体"/>
          <w:b/>
          <w:kern w:val="2"/>
          <w:lang w:eastAsia="zh-CN"/>
        </w:rPr>
        <w:t>（四）供应商认为需要涉及的其他内容报价清单</w:t>
      </w:r>
    </w:p>
    <w:p w14:paraId="48DA7759">
      <w:pPr>
        <w:widowControl w:val="0"/>
        <w:numPr>
          <w:ilvl w:val="0"/>
          <w:numId w:val="0"/>
        </w:numPr>
        <w:spacing w:after="120" w:line="240" w:lineRule="auto"/>
        <w:ind w:left="0" w:firstLine="0"/>
        <w:jc w:val="both"/>
        <w:rPr>
          <w:rFonts w:ascii="Calibri" w:hAnsi="Calibri" w:eastAsia="宋体"/>
          <w:kern w:val="2"/>
          <w:sz w:val="21"/>
          <w:szCs w:val="22"/>
          <w:lang w:eastAsia="zh-CN"/>
        </w:rPr>
      </w:pPr>
    </w:p>
    <w:p w14:paraId="24260084">
      <w:pPr>
        <w:widowControl w:val="0"/>
        <w:numPr>
          <w:ilvl w:val="0"/>
          <w:numId w:val="0"/>
        </w:numPr>
        <w:spacing w:after="120" w:line="240" w:lineRule="auto"/>
        <w:ind w:left="0" w:firstLine="0"/>
        <w:jc w:val="both"/>
        <w:rPr>
          <w:rFonts w:ascii="Calibri" w:hAnsi="Calibri" w:eastAsia="宋体"/>
          <w:kern w:val="2"/>
          <w:sz w:val="21"/>
          <w:szCs w:val="22"/>
          <w:lang w:eastAsia="zh-CN"/>
        </w:rPr>
      </w:pPr>
    </w:p>
    <w:p w14:paraId="5BABA81F">
      <w:pPr>
        <w:widowControl w:val="0"/>
        <w:numPr>
          <w:ilvl w:val="0"/>
          <w:numId w:val="0"/>
        </w:numPr>
        <w:spacing w:after="120" w:line="240" w:lineRule="auto"/>
        <w:ind w:left="0" w:firstLine="0"/>
        <w:jc w:val="both"/>
        <w:rPr>
          <w:rFonts w:ascii="Calibri" w:hAnsi="Calibri" w:eastAsia="宋体"/>
          <w:kern w:val="2"/>
          <w:sz w:val="21"/>
          <w:szCs w:val="22"/>
          <w:lang w:eastAsia="zh-CN"/>
        </w:rPr>
      </w:pPr>
    </w:p>
    <w:p w14:paraId="378AED42">
      <w:pPr>
        <w:widowControl w:val="0"/>
        <w:numPr>
          <w:ilvl w:val="0"/>
          <w:numId w:val="0"/>
        </w:numPr>
        <w:spacing w:after="120" w:line="240" w:lineRule="auto"/>
        <w:ind w:left="0" w:firstLine="0"/>
        <w:jc w:val="both"/>
        <w:rPr>
          <w:rFonts w:ascii="Calibri" w:hAnsi="Calibri" w:eastAsia="宋体"/>
          <w:kern w:val="2"/>
          <w:sz w:val="21"/>
          <w:szCs w:val="22"/>
          <w:lang w:eastAsia="zh-CN"/>
        </w:rPr>
      </w:pPr>
    </w:p>
    <w:p w14:paraId="7005AC25">
      <w:pPr>
        <w:widowControl w:val="0"/>
        <w:numPr>
          <w:ilvl w:val="0"/>
          <w:numId w:val="0"/>
        </w:numPr>
        <w:spacing w:after="120" w:line="240" w:lineRule="auto"/>
        <w:ind w:left="0" w:firstLine="0"/>
        <w:jc w:val="both"/>
        <w:rPr>
          <w:rFonts w:ascii="Calibri" w:hAnsi="Calibri" w:eastAsia="宋体"/>
          <w:kern w:val="2"/>
          <w:sz w:val="21"/>
          <w:szCs w:val="22"/>
          <w:lang w:eastAsia="zh-CN"/>
        </w:rPr>
      </w:pPr>
    </w:p>
    <w:p w14:paraId="6C5B949C">
      <w:pPr>
        <w:widowControl w:val="0"/>
        <w:numPr>
          <w:ilvl w:val="0"/>
          <w:numId w:val="0"/>
        </w:numPr>
        <w:spacing w:after="120" w:line="240" w:lineRule="auto"/>
        <w:ind w:left="0" w:firstLine="0"/>
        <w:jc w:val="both"/>
        <w:rPr>
          <w:rFonts w:ascii="Calibri" w:hAnsi="Calibri" w:eastAsia="宋体"/>
          <w:kern w:val="2"/>
          <w:sz w:val="21"/>
          <w:szCs w:val="22"/>
          <w:lang w:eastAsia="zh-CN"/>
        </w:rPr>
      </w:pPr>
    </w:p>
    <w:p w14:paraId="48A9B9C7">
      <w:pPr>
        <w:widowControl w:val="0"/>
        <w:numPr>
          <w:ilvl w:val="0"/>
          <w:numId w:val="0"/>
        </w:numPr>
        <w:spacing w:after="120" w:line="240" w:lineRule="auto"/>
        <w:ind w:left="0" w:firstLine="0"/>
        <w:jc w:val="both"/>
        <w:rPr>
          <w:rFonts w:ascii="Calibri" w:hAnsi="Calibri" w:eastAsia="宋体"/>
          <w:kern w:val="2"/>
          <w:sz w:val="21"/>
          <w:szCs w:val="22"/>
          <w:lang w:eastAsia="zh-CN"/>
        </w:rPr>
      </w:pPr>
    </w:p>
    <w:p w14:paraId="66FD77D5">
      <w:pPr>
        <w:widowControl w:val="0"/>
        <w:numPr>
          <w:ilvl w:val="0"/>
          <w:numId w:val="0"/>
        </w:numPr>
        <w:spacing w:after="120" w:line="240" w:lineRule="auto"/>
        <w:ind w:left="0" w:firstLine="0"/>
        <w:jc w:val="both"/>
        <w:rPr>
          <w:rFonts w:ascii="Calibri" w:hAnsi="Calibri" w:eastAsia="宋体"/>
          <w:kern w:val="2"/>
          <w:sz w:val="21"/>
          <w:szCs w:val="22"/>
          <w:lang w:eastAsia="zh-CN"/>
        </w:rPr>
      </w:pPr>
    </w:p>
    <w:p w14:paraId="6F4AD48D">
      <w:pPr>
        <w:widowControl w:val="0"/>
        <w:numPr>
          <w:ilvl w:val="0"/>
          <w:numId w:val="0"/>
        </w:numPr>
        <w:spacing w:after="120" w:line="240" w:lineRule="auto"/>
        <w:ind w:left="0" w:firstLine="0"/>
        <w:jc w:val="both"/>
        <w:rPr>
          <w:rFonts w:ascii="Calibri" w:hAnsi="Calibri" w:eastAsia="宋体"/>
          <w:kern w:val="2"/>
          <w:sz w:val="21"/>
          <w:szCs w:val="22"/>
          <w:lang w:eastAsia="zh-CN"/>
        </w:rPr>
      </w:pPr>
    </w:p>
    <w:p w14:paraId="03586C31">
      <w:pPr>
        <w:widowControl w:val="0"/>
        <w:numPr>
          <w:ilvl w:val="0"/>
          <w:numId w:val="0"/>
        </w:numPr>
        <w:spacing w:after="120" w:line="240" w:lineRule="auto"/>
        <w:ind w:left="0" w:firstLine="0"/>
        <w:jc w:val="both"/>
        <w:rPr>
          <w:rFonts w:ascii="Calibri" w:hAnsi="Calibri" w:eastAsia="宋体"/>
          <w:kern w:val="2"/>
          <w:sz w:val="21"/>
          <w:szCs w:val="22"/>
          <w:lang w:eastAsia="zh-CN"/>
        </w:rPr>
      </w:pPr>
    </w:p>
    <w:p w14:paraId="20996EF1">
      <w:pPr>
        <w:widowControl w:val="0"/>
        <w:numPr>
          <w:ilvl w:val="0"/>
          <w:numId w:val="0"/>
        </w:numPr>
        <w:spacing w:after="120" w:line="240" w:lineRule="auto"/>
        <w:ind w:left="0" w:firstLine="0"/>
        <w:jc w:val="both"/>
        <w:rPr>
          <w:rFonts w:ascii="Calibri" w:hAnsi="Calibri" w:eastAsia="宋体"/>
          <w:kern w:val="2"/>
          <w:sz w:val="21"/>
          <w:szCs w:val="22"/>
          <w:lang w:eastAsia="zh-CN"/>
        </w:rPr>
      </w:pPr>
    </w:p>
    <w:p w14:paraId="5C59F894">
      <w:pPr>
        <w:widowControl w:val="0"/>
        <w:numPr>
          <w:ilvl w:val="0"/>
          <w:numId w:val="0"/>
        </w:numPr>
        <w:spacing w:after="120" w:line="240" w:lineRule="auto"/>
        <w:ind w:left="0" w:firstLine="0"/>
        <w:jc w:val="both"/>
        <w:rPr>
          <w:rFonts w:ascii="Calibri" w:hAnsi="Calibri" w:eastAsia="宋体"/>
          <w:kern w:val="2"/>
          <w:sz w:val="21"/>
          <w:szCs w:val="22"/>
          <w:lang w:eastAsia="zh-CN"/>
        </w:rPr>
      </w:pPr>
    </w:p>
    <w:p w14:paraId="57D65896">
      <w:pPr>
        <w:widowControl w:val="0"/>
        <w:numPr>
          <w:ilvl w:val="0"/>
          <w:numId w:val="0"/>
        </w:numPr>
        <w:spacing w:after="120" w:line="240" w:lineRule="auto"/>
        <w:ind w:left="0" w:firstLine="0"/>
        <w:jc w:val="both"/>
        <w:rPr>
          <w:rFonts w:ascii="Calibri" w:hAnsi="Calibri" w:eastAsia="宋体"/>
          <w:kern w:val="2"/>
          <w:sz w:val="21"/>
          <w:szCs w:val="22"/>
          <w:lang w:eastAsia="zh-CN"/>
        </w:rPr>
      </w:pPr>
    </w:p>
    <w:p w14:paraId="3615C26D">
      <w:pPr>
        <w:widowControl w:val="0"/>
        <w:numPr>
          <w:ilvl w:val="0"/>
          <w:numId w:val="0"/>
        </w:numPr>
        <w:spacing w:after="120" w:line="240" w:lineRule="auto"/>
        <w:ind w:left="0" w:firstLine="0"/>
        <w:jc w:val="both"/>
        <w:rPr>
          <w:rFonts w:ascii="Calibri" w:hAnsi="Calibri" w:eastAsia="宋体"/>
          <w:kern w:val="2"/>
          <w:sz w:val="21"/>
          <w:szCs w:val="22"/>
          <w:lang w:eastAsia="zh-CN"/>
        </w:rPr>
      </w:pPr>
    </w:p>
    <w:p w14:paraId="01CABC9F">
      <w:pPr>
        <w:widowControl w:val="0"/>
        <w:numPr>
          <w:ilvl w:val="0"/>
          <w:numId w:val="0"/>
        </w:numPr>
        <w:spacing w:after="120" w:line="240" w:lineRule="auto"/>
        <w:ind w:left="0" w:firstLine="0"/>
        <w:jc w:val="both"/>
        <w:rPr>
          <w:rFonts w:ascii="Calibri" w:hAnsi="Calibri" w:eastAsia="宋体"/>
          <w:kern w:val="2"/>
          <w:sz w:val="21"/>
          <w:szCs w:val="22"/>
          <w:lang w:eastAsia="zh-CN"/>
        </w:rPr>
      </w:pPr>
    </w:p>
    <w:p w14:paraId="5DC447B1">
      <w:pPr>
        <w:widowControl w:val="0"/>
        <w:numPr>
          <w:ilvl w:val="0"/>
          <w:numId w:val="0"/>
        </w:numPr>
        <w:spacing w:after="120" w:line="240" w:lineRule="auto"/>
        <w:ind w:left="0" w:firstLine="0"/>
        <w:jc w:val="both"/>
        <w:rPr>
          <w:rFonts w:ascii="Calibri" w:hAnsi="Calibri" w:eastAsia="宋体"/>
          <w:kern w:val="2"/>
          <w:sz w:val="21"/>
          <w:szCs w:val="22"/>
          <w:lang w:eastAsia="zh-CN"/>
        </w:rPr>
      </w:pPr>
    </w:p>
    <w:p w14:paraId="22628970">
      <w:pPr>
        <w:widowControl w:val="0"/>
        <w:numPr>
          <w:ilvl w:val="0"/>
          <w:numId w:val="0"/>
        </w:numPr>
        <w:spacing w:after="120" w:line="240" w:lineRule="auto"/>
        <w:ind w:left="0" w:firstLine="0"/>
        <w:jc w:val="both"/>
        <w:rPr>
          <w:rFonts w:ascii="Calibri" w:hAnsi="Calibri" w:eastAsia="宋体"/>
          <w:kern w:val="2"/>
          <w:sz w:val="21"/>
          <w:szCs w:val="22"/>
          <w:lang w:eastAsia="zh-CN"/>
        </w:rPr>
      </w:pPr>
    </w:p>
    <w:p w14:paraId="7221AB20">
      <w:pPr>
        <w:widowControl w:val="0"/>
        <w:numPr>
          <w:ilvl w:val="0"/>
          <w:numId w:val="0"/>
        </w:numPr>
        <w:spacing w:after="120" w:line="240" w:lineRule="auto"/>
        <w:ind w:left="0" w:firstLine="0"/>
        <w:jc w:val="both"/>
        <w:rPr>
          <w:rFonts w:ascii="Calibri" w:hAnsi="Calibri" w:eastAsia="宋体"/>
          <w:kern w:val="2"/>
          <w:sz w:val="21"/>
          <w:szCs w:val="22"/>
          <w:lang w:eastAsia="zh-CN"/>
        </w:rPr>
      </w:pPr>
    </w:p>
    <w:p w14:paraId="133522E8">
      <w:pPr>
        <w:widowControl w:val="0"/>
        <w:numPr>
          <w:ilvl w:val="0"/>
          <w:numId w:val="0"/>
        </w:numPr>
        <w:spacing w:after="120" w:line="240" w:lineRule="auto"/>
        <w:ind w:left="0" w:firstLine="0"/>
        <w:jc w:val="both"/>
        <w:rPr>
          <w:rFonts w:ascii="Calibri" w:hAnsi="Calibri" w:eastAsia="宋体"/>
          <w:kern w:val="2"/>
          <w:sz w:val="21"/>
          <w:szCs w:val="22"/>
          <w:lang w:eastAsia="zh-CN"/>
        </w:rPr>
      </w:pPr>
    </w:p>
    <w:p w14:paraId="20F59224">
      <w:pPr>
        <w:keepNext/>
        <w:keepLines/>
        <w:widowControl/>
        <w:spacing w:before="260" w:after="260"/>
        <w:jc w:val="center"/>
        <w:outlineLvl w:val="2"/>
        <w:rPr>
          <w:rFonts w:ascii="黑体" w:hAnsi="宋体" w:eastAsia="黑体"/>
          <w:b/>
          <w:kern w:val="2"/>
          <w:sz w:val="30"/>
          <w:szCs w:val="30"/>
          <w:lang w:eastAsia="zh-CN"/>
        </w:rPr>
      </w:pPr>
      <w:r>
        <w:rPr>
          <w:rFonts w:hint="eastAsia" w:ascii="黑体" w:hAnsi="宋体" w:eastAsia="黑体"/>
          <w:b/>
          <w:kern w:val="2"/>
          <w:sz w:val="30"/>
          <w:szCs w:val="30"/>
          <w:lang w:eastAsia="zh-CN"/>
        </w:rPr>
        <w:t>六、股东构成审查表</w:t>
      </w:r>
    </w:p>
    <w:p w14:paraId="52FCA446">
      <w:pPr>
        <w:keepNext/>
        <w:keepLines/>
        <w:widowControl w:val="0"/>
        <w:numPr>
          <w:ilvl w:val="0"/>
          <w:numId w:val="2"/>
        </w:numPr>
        <w:kinsoku/>
        <w:overflowPunct/>
        <w:topLinePunct w:val="0"/>
        <w:bidi w:val="0"/>
        <w:spacing w:before="0" w:beforeAutospacing="0" w:after="0" w:afterAutospacing="0" w:line="360" w:lineRule="auto"/>
        <w:ind w:left="0" w:leftChars="0" w:right="0" w:firstLine="0" w:firstLineChars="0"/>
        <w:jc w:val="both"/>
        <w:outlineLvl w:val="2"/>
        <w:rPr>
          <w:rFonts w:hint="eastAsia" w:ascii="宋体" w:hAnsi="宋体" w:eastAsia="宋体" w:cs="宋体"/>
          <w:kern w:val="2"/>
          <w:sz w:val="21"/>
          <w:szCs w:val="22"/>
          <w:lang w:eastAsia="zh-CN"/>
        </w:rPr>
      </w:pPr>
      <w:r>
        <w:rPr>
          <w:rFonts w:hint="eastAsia" w:ascii="宋体" w:hAnsi="宋体" w:eastAsia="宋体" w:cs="宋体"/>
          <w:kern w:val="2"/>
          <w:sz w:val="21"/>
          <w:szCs w:val="22"/>
          <w:lang w:eastAsia="zh-CN"/>
        </w:rPr>
        <w:t>提供投标人所在地的市场监督管理部门“商事登记簿查询（商事主体登记及备案信息查询）”查询截图或提供国家企业信用信息公示系统截图；</w:t>
      </w:r>
    </w:p>
    <w:p w14:paraId="5B1F7E05">
      <w:pPr>
        <w:keepNext/>
        <w:keepLines/>
        <w:widowControl w:val="0"/>
        <w:numPr>
          <w:ilvl w:val="0"/>
          <w:numId w:val="0"/>
        </w:numPr>
        <w:kinsoku/>
        <w:overflowPunct/>
        <w:topLinePunct w:val="0"/>
        <w:bidi w:val="0"/>
        <w:spacing w:before="0" w:beforeAutospacing="0" w:after="0" w:afterAutospacing="0" w:line="360" w:lineRule="auto"/>
        <w:ind w:left="0" w:leftChars="0" w:right="0" w:rightChars="0" w:firstLine="0"/>
        <w:jc w:val="both"/>
        <w:outlineLvl w:val="9"/>
        <w:rPr>
          <w:rFonts w:hint="eastAsia" w:ascii="宋体" w:hAnsi="宋体" w:eastAsia="宋体" w:cs="宋体"/>
          <w:kern w:val="2"/>
          <w:sz w:val="21"/>
          <w:szCs w:val="22"/>
          <w:lang w:eastAsia="zh-CN"/>
        </w:rPr>
      </w:pPr>
      <w:r>
        <w:rPr>
          <w:rFonts w:hint="eastAsia" w:ascii="宋体" w:hAnsi="宋体" w:eastAsia="宋体" w:cs="宋体"/>
          <w:b/>
          <w:bCs/>
          <w:kern w:val="2"/>
          <w:sz w:val="21"/>
          <w:szCs w:val="22"/>
          <w:lang w:eastAsia="zh-CN"/>
        </w:rPr>
        <w:t>参考示例1：</w:t>
      </w:r>
      <w:r>
        <w:rPr>
          <w:rFonts w:hint="eastAsia" w:ascii="宋体" w:hAnsi="宋体" w:eastAsia="宋体" w:cs="宋体"/>
          <w:kern w:val="2"/>
          <w:sz w:val="21"/>
          <w:szCs w:val="22"/>
          <w:lang w:eastAsia="zh-CN"/>
        </w:rPr>
        <w:t>“深圳市市场监督管理局——商事登记簿查询（商事主体登记及备案信息查询）：</w:t>
      </w:r>
      <w:r>
        <w:fldChar w:fldCharType="begin"/>
      </w:r>
      <w:r>
        <w:instrText xml:space="preserve"> HYPERLINK "https://amr.sz.gov.cn/outer/entSelect/gs.html" </w:instrText>
      </w:r>
      <w:r>
        <w:fldChar w:fldCharType="separate"/>
      </w:r>
      <w:r>
        <w:rPr>
          <w:rFonts w:hint="eastAsia" w:ascii="宋体" w:hAnsi="宋体" w:eastAsia="宋体" w:cs="宋体"/>
          <w:color w:val="0000FF"/>
          <w:kern w:val="2"/>
          <w:sz w:val="21"/>
          <w:szCs w:val="22"/>
          <w:u w:val="single"/>
          <w:lang w:eastAsia="zh-CN"/>
        </w:rPr>
        <w:t>https://amr.sz.gov.cn/outer/entSelect/gs.html”。</w:t>
      </w:r>
      <w:r>
        <w:rPr>
          <w:rFonts w:hint="eastAsia" w:ascii="宋体" w:hAnsi="宋体" w:eastAsia="宋体" w:cs="宋体"/>
          <w:color w:val="0000FF"/>
          <w:kern w:val="2"/>
          <w:sz w:val="21"/>
          <w:szCs w:val="22"/>
          <w:u w:val="single"/>
          <w:lang w:eastAsia="zh-CN"/>
        </w:rPr>
        <w:fldChar w:fldCharType="end"/>
      </w:r>
    </w:p>
    <w:p w14:paraId="58CF2928">
      <w:pPr>
        <w:widowControl/>
        <w:spacing w:line="360" w:lineRule="auto"/>
        <w:ind w:firstLine="480" w:firstLineChars="200"/>
        <w:jc w:val="left"/>
        <w:rPr>
          <w:rFonts w:ascii="宋体" w:hAnsi="宋体" w:eastAsia="宋体"/>
          <w:bCs/>
          <w:kern w:val="2"/>
          <w:sz w:val="21"/>
          <w:szCs w:val="21"/>
          <w:lang w:eastAsia="zh-CN"/>
        </w:rPr>
      </w:pPr>
      <w:r>
        <w:rPr>
          <w:rFonts w:ascii="宋体" w:hAnsi="宋体" w:eastAsia="宋体" w:cs="Times New Roman"/>
          <w:szCs w:val="21"/>
        </w:rPr>
        <w:drawing>
          <wp:inline distT="0" distB="0" distL="0" distR="0">
            <wp:extent cx="4886325" cy="4972050"/>
            <wp:effectExtent l="0" t="0" r="9525" b="0"/>
            <wp:docPr id="21" name="图片 21" descr="12e5581987e7a988a89e173886a93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12e5581987e7a988a89e173886a93ac"/>
                    <pic:cNvPicPr>
                      <a:picLocks noChangeAspect="1" noChangeArrowheads="1"/>
                    </pic:cNvPicPr>
                  </pic:nvPicPr>
                  <pic:blipFill>
                    <a:blip r:embed="rId6"/>
                    <a:stretch>
                      <a:fillRect/>
                    </a:stretch>
                  </pic:blipFill>
                  <pic:spPr>
                    <a:xfrm>
                      <a:off x="0" y="0"/>
                      <a:ext cx="4886325" cy="4972050"/>
                    </a:xfrm>
                    <a:prstGeom prst="rect">
                      <a:avLst/>
                    </a:prstGeom>
                    <a:noFill/>
                    <a:ln w="9525">
                      <a:noFill/>
                      <a:miter lim="800000"/>
                      <a:headEnd/>
                      <a:tailEnd/>
                    </a:ln>
                  </pic:spPr>
                </pic:pic>
              </a:graphicData>
            </a:graphic>
          </wp:inline>
        </w:drawing>
      </w:r>
    </w:p>
    <w:p w14:paraId="70C9C763">
      <w:pPr>
        <w:widowControl/>
        <w:jc w:val="left"/>
        <w:rPr>
          <w:rFonts w:ascii="Calibri" w:hAnsi="Calibri" w:eastAsia="宋体"/>
          <w:kern w:val="2"/>
          <w:sz w:val="21"/>
          <w:szCs w:val="22"/>
          <w:lang w:eastAsia="zh-CN"/>
        </w:rPr>
      </w:pPr>
      <w:r>
        <w:rPr>
          <w:rFonts w:ascii="宋体" w:hAnsi="宋体" w:eastAsia="宋体" w:cs="Times New Roman"/>
          <w:kern w:val="0"/>
          <w:szCs w:val="21"/>
        </w:rPr>
        <w:drawing>
          <wp:inline distT="0" distB="0" distL="0" distR="0">
            <wp:extent cx="5267325" cy="2543175"/>
            <wp:effectExtent l="0" t="0" r="9525" b="9525"/>
            <wp:docPr id="22" name="图片 22" descr="d908ea879b86cdd1bf2ab4494434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d908ea879b86cdd1bf2ab4494434741"/>
                    <pic:cNvPicPr>
                      <a:picLocks noChangeAspect="1" noChangeArrowheads="1"/>
                    </pic:cNvPicPr>
                  </pic:nvPicPr>
                  <pic:blipFill>
                    <a:blip r:embed="rId7"/>
                    <a:stretch>
                      <a:fillRect/>
                    </a:stretch>
                  </pic:blipFill>
                  <pic:spPr>
                    <a:xfrm>
                      <a:off x="0" y="0"/>
                      <a:ext cx="5267325" cy="2543175"/>
                    </a:xfrm>
                    <a:prstGeom prst="rect">
                      <a:avLst/>
                    </a:prstGeom>
                    <a:noFill/>
                    <a:ln w="9525">
                      <a:noFill/>
                      <a:miter lim="800000"/>
                      <a:headEnd/>
                      <a:tailEnd/>
                    </a:ln>
                  </pic:spPr>
                </pic:pic>
              </a:graphicData>
            </a:graphic>
          </wp:inline>
        </w:drawing>
      </w:r>
    </w:p>
    <w:p w14:paraId="5B8ECAFC">
      <w:pPr>
        <w:widowControl w:val="0"/>
        <w:spacing w:line="360" w:lineRule="auto"/>
        <w:jc w:val="left"/>
        <w:rPr>
          <w:rFonts w:ascii="宋体" w:hAnsi="宋体" w:eastAsia="宋体" w:cs="宋体"/>
          <w:color w:val="0000FF"/>
          <w:kern w:val="2"/>
          <w:sz w:val="21"/>
          <w:szCs w:val="21"/>
          <w:u w:val="single"/>
          <w:lang w:eastAsia="zh-CN"/>
        </w:rPr>
      </w:pPr>
      <w:r>
        <w:rPr>
          <w:rFonts w:hint="eastAsia" w:ascii="宋体" w:hAnsi="宋体" w:eastAsia="宋体" w:cs="宋体"/>
          <w:b/>
          <w:bCs/>
          <w:kern w:val="2"/>
          <w:sz w:val="21"/>
          <w:szCs w:val="21"/>
          <w:lang w:eastAsia="zh-CN"/>
        </w:rPr>
        <w:t>参考示例2：</w:t>
      </w:r>
      <w:r>
        <w:rPr>
          <w:rFonts w:hint="eastAsia" w:ascii="宋体" w:hAnsi="宋体" w:eastAsia="宋体" w:cs="宋体"/>
          <w:kern w:val="2"/>
          <w:sz w:val="21"/>
          <w:szCs w:val="21"/>
          <w:lang w:eastAsia="zh-CN"/>
        </w:rPr>
        <w:t>提供国家企业信用信息公示系统截图。网址：</w:t>
      </w:r>
      <w:r>
        <w:fldChar w:fldCharType="begin"/>
      </w:r>
      <w:r>
        <w:instrText xml:space="preserve"> HYPERLINK "https://www.gsxt.gov.cn/corp-query-homepage.html" </w:instrText>
      </w:r>
      <w:r>
        <w:fldChar w:fldCharType="separate"/>
      </w:r>
      <w:r>
        <w:rPr>
          <w:rFonts w:hint="eastAsia" w:ascii="宋体" w:hAnsi="宋体" w:eastAsia="宋体" w:cs="宋体"/>
          <w:color w:val="0000FF"/>
          <w:kern w:val="2"/>
          <w:sz w:val="21"/>
          <w:szCs w:val="21"/>
          <w:u w:val="single"/>
          <w:lang w:eastAsia="zh-CN"/>
        </w:rPr>
        <w:t>https://www.gsxt.gov.cn/corp-query-homepage.html</w:t>
      </w:r>
      <w:r>
        <w:rPr>
          <w:rFonts w:hint="eastAsia" w:ascii="宋体" w:hAnsi="宋体" w:eastAsia="宋体" w:cs="宋体"/>
          <w:color w:val="0000FF"/>
          <w:kern w:val="2"/>
          <w:sz w:val="21"/>
          <w:szCs w:val="21"/>
          <w:u w:val="single"/>
          <w:lang w:eastAsia="zh-CN"/>
        </w:rPr>
        <w:fldChar w:fldCharType="end"/>
      </w:r>
    </w:p>
    <w:p w14:paraId="485FBD96">
      <w:pPr>
        <w:widowControl w:val="0"/>
        <w:spacing w:line="360" w:lineRule="auto"/>
        <w:jc w:val="both"/>
        <w:rPr>
          <w:rFonts w:ascii="Calibri" w:hAnsi="Calibri" w:eastAsia="宋体"/>
          <w:b/>
          <w:bCs/>
          <w:kern w:val="2"/>
          <w:sz w:val="21"/>
          <w:szCs w:val="22"/>
          <w:lang w:eastAsia="zh-CN"/>
        </w:rPr>
      </w:pPr>
      <w:r>
        <w:drawing>
          <wp:inline distT="0" distB="0" distL="114300" distR="114300">
            <wp:extent cx="5471795" cy="4735830"/>
            <wp:effectExtent l="0" t="0" r="14605" b="762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8"/>
                    <a:stretch>
                      <a:fillRect/>
                    </a:stretch>
                  </pic:blipFill>
                  <pic:spPr>
                    <a:xfrm>
                      <a:off x="0" y="0"/>
                      <a:ext cx="5471795" cy="4735830"/>
                    </a:xfrm>
                    <a:prstGeom prst="rect">
                      <a:avLst/>
                    </a:prstGeom>
                    <a:noFill/>
                    <a:ln>
                      <a:noFill/>
                    </a:ln>
                  </pic:spPr>
                </pic:pic>
              </a:graphicData>
            </a:graphic>
          </wp:inline>
        </w:drawing>
      </w:r>
    </w:p>
    <w:p w14:paraId="5EA4FF3F">
      <w:pPr>
        <w:widowControl w:val="0"/>
        <w:kinsoku/>
        <w:overflowPunct/>
        <w:topLinePunct w:val="0"/>
        <w:bidi w:val="0"/>
        <w:spacing w:beforeAutospacing="0" w:afterAutospacing="0" w:line="360" w:lineRule="auto"/>
        <w:ind w:left="0" w:leftChars="0" w:right="0" w:firstLine="0" w:firstLineChars="0"/>
        <w:jc w:val="both"/>
        <w:rPr>
          <w:rFonts w:hint="eastAsia" w:ascii="宋体" w:hAnsi="宋体" w:eastAsia="宋体" w:cs="宋体"/>
          <w:b/>
          <w:bCs/>
          <w:color w:val="FF0000"/>
          <w:kern w:val="2"/>
          <w:sz w:val="21"/>
          <w:szCs w:val="22"/>
          <w:highlight w:val="yellow"/>
          <w:lang w:eastAsia="zh-CN"/>
        </w:rPr>
      </w:pPr>
      <w:r>
        <w:rPr>
          <w:rFonts w:hint="eastAsia" w:ascii="宋体" w:hAnsi="宋体" w:eastAsia="宋体" w:cs="宋体"/>
          <w:b/>
          <w:bCs/>
          <w:color w:val="FF0000"/>
          <w:kern w:val="2"/>
          <w:sz w:val="21"/>
          <w:szCs w:val="22"/>
          <w:highlight w:val="yellow"/>
          <w:lang w:eastAsia="zh-CN"/>
        </w:rPr>
        <w:t>提示：如果投标供应商存在单位负责人为同一人，或者存在直接控股、间接控股、管理关系等情形，将被纳入交易监管平台产生示警信息，由此产生的负面影响，由投标人自行承担。</w:t>
      </w:r>
    </w:p>
    <w:p w14:paraId="24A70BFC">
      <w:pPr>
        <w:widowControl w:val="0"/>
        <w:jc w:val="both"/>
        <w:rPr>
          <w:rFonts w:ascii="Calibri" w:hAnsi="Calibri" w:eastAsia="宋体"/>
          <w:kern w:val="2"/>
          <w:sz w:val="21"/>
          <w:szCs w:val="22"/>
          <w:lang w:eastAsia="zh-CN"/>
        </w:rPr>
      </w:pPr>
    </w:p>
    <w:p w14:paraId="19255D55">
      <w:pPr>
        <w:widowControl w:val="0"/>
        <w:spacing w:line="360" w:lineRule="auto"/>
        <w:jc w:val="both"/>
        <w:rPr>
          <w:rFonts w:ascii="Calibri" w:hAnsi="Calibri" w:eastAsia="宋体"/>
          <w:color w:val="FF0000"/>
          <w:kern w:val="2"/>
          <w:sz w:val="21"/>
          <w:szCs w:val="22"/>
          <w:lang w:eastAsia="zh-CN"/>
        </w:rPr>
      </w:pPr>
      <w:r>
        <w:rPr>
          <w:rFonts w:hint="eastAsia" w:ascii="宋体" w:hAnsi="宋体" w:eastAsia="宋体" w:cstheme="minorBidi"/>
          <w:b/>
          <w:color w:val="FF0000"/>
          <w:kern w:val="2"/>
          <w:sz w:val="21"/>
          <w:szCs w:val="22"/>
          <w:lang w:eastAsia="zh-CN"/>
        </w:rPr>
        <w:t>注：</w:t>
      </w:r>
      <w:r>
        <w:rPr>
          <w:rFonts w:hint="eastAsia" w:ascii="宋体" w:hAnsi="宋体" w:eastAsia="宋体" w:cstheme="minorBidi"/>
          <w:b/>
          <w:color w:val="FF0000"/>
          <w:kern w:val="2"/>
          <w:sz w:val="21"/>
          <w:szCs w:val="22"/>
          <w:highlight w:val="yellow"/>
          <w:lang w:eastAsia="zh-CN"/>
        </w:rPr>
        <w:t>若投标供应商因自身的单位性质无法截图的，无需提供截图，例如事业单位或协会等社会组织。</w:t>
      </w:r>
    </w:p>
    <w:p w14:paraId="04C58BFF">
      <w:pPr>
        <w:widowControl w:val="0"/>
        <w:spacing w:after="120"/>
        <w:ind w:left="0" w:leftChars="0" w:firstLine="0" w:firstLineChars="0"/>
        <w:jc w:val="both"/>
        <w:rPr>
          <w:rFonts w:hint="eastAsia" w:ascii="宋体" w:hAnsi="宋体" w:eastAsia="宋体" w:cs="宋体"/>
          <w:kern w:val="2"/>
          <w:sz w:val="21"/>
          <w:szCs w:val="22"/>
          <w:lang w:eastAsia="zh-CN"/>
        </w:rPr>
      </w:pPr>
    </w:p>
    <w:p w14:paraId="40D8E88C">
      <w:pPr>
        <w:keepNext/>
        <w:keepLines/>
        <w:widowControl w:val="0"/>
        <w:kinsoku/>
        <w:overflowPunct/>
        <w:topLinePunct w:val="0"/>
        <w:bidi w:val="0"/>
        <w:spacing w:before="0" w:beforeAutospacing="0" w:after="0" w:afterAutospacing="0" w:line="360" w:lineRule="auto"/>
        <w:ind w:left="0" w:leftChars="0" w:right="0" w:firstLine="0" w:firstLineChars="0"/>
        <w:jc w:val="both"/>
        <w:outlineLvl w:val="2"/>
        <w:rPr>
          <w:rFonts w:hint="eastAsia" w:ascii="宋体" w:hAnsi="宋体" w:eastAsia="宋体" w:cs="宋体"/>
          <w:kern w:val="2"/>
          <w:sz w:val="21"/>
          <w:szCs w:val="22"/>
          <w:lang w:eastAsia="zh-CN"/>
        </w:rPr>
      </w:pPr>
      <w:r>
        <w:rPr>
          <w:rFonts w:hint="eastAsia" w:ascii="宋体" w:hAnsi="宋体" w:eastAsia="宋体" w:cs="宋体"/>
          <w:kern w:val="2"/>
          <w:sz w:val="21"/>
          <w:szCs w:val="22"/>
          <w:lang w:eastAsia="zh-CN"/>
        </w:rPr>
        <w:t>2、股东构成审查表</w:t>
      </w:r>
    </w:p>
    <w:tbl>
      <w:tblPr>
        <w:tblStyle w:val="7"/>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99"/>
        <w:gridCol w:w="6557"/>
      </w:tblGrid>
      <w:tr w14:paraId="63204B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trPr>
        <w:tc>
          <w:tcPr>
            <w:tcW w:w="2214"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6BAEBB33">
            <w:pPr>
              <w:widowControl w:val="0"/>
              <w:kinsoku/>
              <w:overflowPunct/>
              <w:topLinePunct w:val="0"/>
              <w:autoSpaceDE w:val="0"/>
              <w:autoSpaceDN w:val="0"/>
              <w:bidi w:val="0"/>
              <w:adjustRightInd w:val="0"/>
              <w:snapToGrid w:val="0"/>
              <w:spacing w:beforeAutospacing="0" w:afterAutospacing="0" w:line="360" w:lineRule="auto"/>
              <w:ind w:left="0" w:leftChars="0" w:right="0" w:firstLine="0" w:firstLineChars="0"/>
              <w:jc w:val="left"/>
              <w:rPr>
                <w:rFonts w:hint="eastAsia" w:ascii="宋体" w:hAnsi="宋体" w:eastAsia="宋体" w:cs="宋体"/>
                <w:b/>
                <w:bCs/>
                <w:color w:val="000000"/>
                <w:kern w:val="2"/>
                <w:sz w:val="21"/>
                <w:szCs w:val="21"/>
                <w:lang w:eastAsia="zh-CN"/>
              </w:rPr>
            </w:pPr>
            <w:r>
              <w:rPr>
                <w:rFonts w:hint="eastAsia" w:ascii="宋体" w:hAnsi="宋体" w:eastAsia="宋体" w:cs="宋体"/>
                <w:b/>
                <w:bCs/>
                <w:color w:val="000000"/>
                <w:kern w:val="2"/>
                <w:sz w:val="21"/>
                <w:szCs w:val="21"/>
                <w:lang w:eastAsia="zh-CN"/>
              </w:rPr>
              <w:t>投标人名称</w:t>
            </w:r>
          </w:p>
        </w:tc>
        <w:tc>
          <w:tcPr>
            <w:tcW w:w="6315" w:type="dxa"/>
            <w:tcBorders>
              <w:top w:val="single" w:color="000000" w:sz="4" w:space="0"/>
              <w:left w:val="single" w:color="000000" w:sz="4" w:space="0"/>
              <w:bottom w:val="single" w:color="000000" w:sz="4" w:space="0"/>
              <w:right w:val="single" w:color="000000" w:sz="4" w:space="0"/>
            </w:tcBorders>
            <w:vAlign w:val="center"/>
          </w:tcPr>
          <w:p w14:paraId="614CD226">
            <w:pPr>
              <w:widowControl w:val="0"/>
              <w:kinsoku/>
              <w:overflowPunct/>
              <w:topLinePunct w:val="0"/>
              <w:autoSpaceDE w:val="0"/>
              <w:autoSpaceDN w:val="0"/>
              <w:bidi w:val="0"/>
              <w:adjustRightInd w:val="0"/>
              <w:snapToGrid w:val="0"/>
              <w:spacing w:beforeAutospacing="0" w:afterAutospacing="0" w:line="360" w:lineRule="auto"/>
              <w:ind w:left="0" w:leftChars="0" w:right="0" w:firstLine="0" w:firstLineChars="0"/>
              <w:jc w:val="left"/>
              <w:rPr>
                <w:rFonts w:hint="eastAsia" w:ascii="宋体" w:hAnsi="宋体" w:eastAsia="宋体" w:cs="宋体"/>
                <w:color w:val="000000"/>
                <w:kern w:val="2"/>
                <w:sz w:val="21"/>
                <w:szCs w:val="21"/>
                <w:lang w:eastAsia="zh-CN"/>
              </w:rPr>
            </w:pPr>
          </w:p>
        </w:tc>
      </w:tr>
      <w:tr w14:paraId="27C2E0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2214"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76AAC6C6">
            <w:pPr>
              <w:widowControl w:val="0"/>
              <w:kinsoku/>
              <w:overflowPunct/>
              <w:topLinePunct w:val="0"/>
              <w:autoSpaceDE w:val="0"/>
              <w:autoSpaceDN w:val="0"/>
              <w:bidi w:val="0"/>
              <w:adjustRightInd w:val="0"/>
              <w:snapToGrid w:val="0"/>
              <w:spacing w:beforeAutospacing="0" w:afterAutospacing="0" w:line="360" w:lineRule="auto"/>
              <w:ind w:left="0" w:leftChars="0" w:right="0" w:firstLine="0" w:firstLineChars="0"/>
              <w:jc w:val="left"/>
              <w:rPr>
                <w:rFonts w:hint="eastAsia" w:ascii="宋体" w:hAnsi="宋体" w:eastAsia="宋体" w:cs="宋体"/>
                <w:b/>
                <w:bCs/>
                <w:color w:val="000000"/>
                <w:kern w:val="2"/>
                <w:sz w:val="21"/>
                <w:szCs w:val="21"/>
                <w:lang w:eastAsia="zh-CN"/>
              </w:rPr>
            </w:pPr>
            <w:r>
              <w:rPr>
                <w:rFonts w:hint="eastAsia" w:ascii="宋体" w:hAnsi="宋体" w:eastAsia="宋体" w:cs="宋体"/>
                <w:b/>
                <w:bCs/>
                <w:color w:val="000000"/>
                <w:kern w:val="2"/>
                <w:sz w:val="21"/>
                <w:szCs w:val="21"/>
                <w:lang w:eastAsia="zh-CN"/>
              </w:rPr>
              <w:t>本单位负责人（法定代表人）姓名</w:t>
            </w:r>
          </w:p>
        </w:tc>
        <w:tc>
          <w:tcPr>
            <w:tcW w:w="6315" w:type="dxa"/>
            <w:tcBorders>
              <w:top w:val="single" w:color="000000" w:sz="4" w:space="0"/>
              <w:left w:val="single" w:color="000000" w:sz="4" w:space="0"/>
              <w:bottom w:val="single" w:color="000000" w:sz="4" w:space="0"/>
              <w:right w:val="single" w:color="000000" w:sz="4" w:space="0"/>
            </w:tcBorders>
            <w:vAlign w:val="center"/>
          </w:tcPr>
          <w:p w14:paraId="3F554031">
            <w:pPr>
              <w:widowControl w:val="0"/>
              <w:kinsoku/>
              <w:overflowPunct/>
              <w:topLinePunct w:val="0"/>
              <w:autoSpaceDE w:val="0"/>
              <w:autoSpaceDN w:val="0"/>
              <w:bidi w:val="0"/>
              <w:adjustRightInd w:val="0"/>
              <w:snapToGrid w:val="0"/>
              <w:spacing w:beforeAutospacing="0" w:afterAutospacing="0" w:line="360" w:lineRule="auto"/>
              <w:ind w:left="0" w:leftChars="0" w:right="0" w:firstLine="0" w:firstLineChars="0"/>
              <w:jc w:val="left"/>
              <w:rPr>
                <w:rFonts w:hint="eastAsia" w:ascii="宋体" w:hAnsi="宋体" w:eastAsia="宋体" w:cs="宋体"/>
                <w:color w:val="000000"/>
                <w:kern w:val="2"/>
                <w:sz w:val="21"/>
                <w:szCs w:val="21"/>
                <w:lang w:eastAsia="zh-CN"/>
              </w:rPr>
            </w:pPr>
          </w:p>
        </w:tc>
      </w:tr>
      <w:tr w14:paraId="74FB5C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8" w:hRule="atLeast"/>
        </w:trPr>
        <w:tc>
          <w:tcPr>
            <w:tcW w:w="2214"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569C03B4">
            <w:pPr>
              <w:widowControl w:val="0"/>
              <w:kinsoku/>
              <w:overflowPunct/>
              <w:topLinePunct w:val="0"/>
              <w:autoSpaceDE w:val="0"/>
              <w:autoSpaceDN w:val="0"/>
              <w:bidi w:val="0"/>
              <w:adjustRightInd w:val="0"/>
              <w:snapToGrid w:val="0"/>
              <w:spacing w:beforeAutospacing="0" w:afterAutospacing="0" w:line="360" w:lineRule="auto"/>
              <w:ind w:left="0" w:leftChars="0" w:right="0" w:firstLine="0" w:firstLineChars="0"/>
              <w:jc w:val="left"/>
              <w:rPr>
                <w:rFonts w:hint="eastAsia" w:ascii="宋体" w:hAnsi="宋体" w:eastAsia="宋体" w:cs="宋体"/>
                <w:b/>
                <w:bCs/>
                <w:color w:val="000000"/>
                <w:kern w:val="2"/>
                <w:sz w:val="21"/>
                <w:szCs w:val="21"/>
                <w:lang w:eastAsia="zh-CN"/>
              </w:rPr>
            </w:pPr>
            <w:r>
              <w:rPr>
                <w:rFonts w:hint="eastAsia" w:ascii="宋体" w:hAnsi="宋体" w:eastAsia="宋体" w:cs="宋体"/>
                <w:b/>
                <w:bCs/>
                <w:color w:val="000000"/>
                <w:kern w:val="2"/>
                <w:sz w:val="21"/>
                <w:szCs w:val="21"/>
                <w:lang w:eastAsia="zh-CN"/>
              </w:rPr>
              <w:t>是否存在本单位的控股股东</w:t>
            </w:r>
          </w:p>
        </w:tc>
        <w:tc>
          <w:tcPr>
            <w:tcW w:w="6315" w:type="dxa"/>
            <w:tcBorders>
              <w:top w:val="single" w:color="000000" w:sz="4" w:space="0"/>
              <w:left w:val="single" w:color="000000" w:sz="4" w:space="0"/>
              <w:bottom w:val="single" w:color="000000" w:sz="4" w:space="0"/>
              <w:right w:val="single" w:color="000000" w:sz="4" w:space="0"/>
            </w:tcBorders>
            <w:vAlign w:val="center"/>
          </w:tcPr>
          <w:p w14:paraId="490D61D3">
            <w:pPr>
              <w:widowControl w:val="0"/>
              <w:kinsoku/>
              <w:overflowPunct/>
              <w:topLinePunct w:val="0"/>
              <w:autoSpaceDE w:val="0"/>
              <w:autoSpaceDN w:val="0"/>
              <w:bidi w:val="0"/>
              <w:adjustRightInd w:val="0"/>
              <w:snapToGrid w:val="0"/>
              <w:spacing w:beforeAutospacing="0" w:afterAutospacing="0" w:line="360" w:lineRule="auto"/>
              <w:ind w:left="0" w:leftChars="0" w:right="0" w:firstLine="0" w:firstLineChars="0"/>
              <w:jc w:val="left"/>
              <w:rPr>
                <w:rFonts w:hint="eastAsia" w:ascii="宋体" w:hAnsi="宋体" w:eastAsia="宋体" w:cs="宋体"/>
                <w:color w:val="000000"/>
                <w:kern w:val="2"/>
                <w:sz w:val="21"/>
                <w:szCs w:val="21"/>
                <w:u w:val="single"/>
                <w:lang w:eastAsia="zh-CN"/>
              </w:rPr>
            </w:pPr>
            <w:r>
              <w:rPr>
                <w:rFonts w:hint="eastAsia" w:ascii="宋体" w:hAnsi="宋体" w:eastAsia="宋体" w:cs="宋体"/>
                <w:color w:val="000000"/>
                <w:kern w:val="2"/>
                <w:sz w:val="21"/>
                <w:szCs w:val="21"/>
                <w:lang w:eastAsia="zh-CN"/>
              </w:rPr>
              <w:t>□是，其控股股东为：</w:t>
            </w:r>
            <w:r>
              <w:rPr>
                <w:rFonts w:hint="eastAsia" w:ascii="宋体" w:hAnsi="宋体" w:eastAsia="宋体" w:cs="宋体"/>
                <w:color w:val="000000"/>
                <w:kern w:val="2"/>
                <w:sz w:val="21"/>
                <w:szCs w:val="21"/>
                <w:u w:val="single"/>
                <w:lang w:eastAsia="zh-CN"/>
              </w:rPr>
              <w:t xml:space="preserve">       </w:t>
            </w:r>
            <w:r>
              <w:rPr>
                <w:rFonts w:hint="eastAsia" w:ascii="宋体" w:hAnsi="宋体" w:eastAsia="宋体" w:cs="宋体"/>
                <w:color w:val="000000"/>
                <w:kern w:val="2"/>
                <w:sz w:val="21"/>
                <w:szCs w:val="21"/>
                <w:lang w:eastAsia="zh-CN"/>
              </w:rPr>
              <w:t>，股份占比：</w:t>
            </w:r>
            <w:r>
              <w:rPr>
                <w:rFonts w:hint="eastAsia" w:ascii="宋体" w:hAnsi="宋体" w:eastAsia="宋体" w:cs="宋体"/>
                <w:color w:val="000000"/>
                <w:kern w:val="2"/>
                <w:sz w:val="21"/>
                <w:szCs w:val="21"/>
                <w:u w:val="single"/>
                <w:lang w:eastAsia="zh-CN"/>
              </w:rPr>
              <w:t xml:space="preserve">       </w:t>
            </w:r>
            <w:r>
              <w:rPr>
                <w:rFonts w:hint="eastAsia" w:ascii="宋体" w:hAnsi="宋体" w:eastAsia="宋体" w:cs="宋体"/>
                <w:color w:val="000000"/>
                <w:kern w:val="2"/>
                <w:sz w:val="21"/>
                <w:szCs w:val="21"/>
                <w:lang w:eastAsia="zh-CN"/>
              </w:rPr>
              <w:t>；</w:t>
            </w:r>
          </w:p>
          <w:p w14:paraId="486513FF">
            <w:pPr>
              <w:widowControl w:val="0"/>
              <w:kinsoku/>
              <w:overflowPunct/>
              <w:topLinePunct w:val="0"/>
              <w:autoSpaceDE w:val="0"/>
              <w:autoSpaceDN w:val="0"/>
              <w:bidi w:val="0"/>
              <w:adjustRightInd w:val="0"/>
              <w:snapToGrid w:val="0"/>
              <w:spacing w:beforeAutospacing="0" w:afterAutospacing="0" w:line="360" w:lineRule="auto"/>
              <w:ind w:left="0" w:leftChars="0" w:right="0" w:firstLine="0" w:firstLineChars="0"/>
              <w:jc w:val="left"/>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其他主要股东及其股份占比：</w:t>
            </w:r>
            <w:r>
              <w:rPr>
                <w:rFonts w:hint="eastAsia" w:ascii="宋体" w:hAnsi="宋体" w:eastAsia="宋体" w:cs="宋体"/>
                <w:color w:val="000000"/>
                <w:kern w:val="2"/>
                <w:sz w:val="21"/>
                <w:szCs w:val="21"/>
                <w:u w:val="single"/>
                <w:lang w:eastAsia="zh-CN"/>
              </w:rPr>
              <w:t xml:space="preserve">                </w:t>
            </w:r>
            <w:r>
              <w:rPr>
                <w:rFonts w:hint="eastAsia" w:ascii="宋体" w:hAnsi="宋体" w:eastAsia="宋体" w:cs="宋体"/>
                <w:color w:val="000000"/>
                <w:kern w:val="2"/>
                <w:sz w:val="21"/>
                <w:szCs w:val="21"/>
                <w:lang w:eastAsia="zh-CN"/>
              </w:rPr>
              <w:t>。</w:t>
            </w:r>
          </w:p>
          <w:p w14:paraId="077F5F4A">
            <w:pPr>
              <w:widowControl w:val="0"/>
              <w:kinsoku/>
              <w:overflowPunct/>
              <w:topLinePunct w:val="0"/>
              <w:autoSpaceDE w:val="0"/>
              <w:autoSpaceDN w:val="0"/>
              <w:bidi w:val="0"/>
              <w:adjustRightInd w:val="0"/>
              <w:snapToGrid w:val="0"/>
              <w:spacing w:beforeAutospacing="0" w:afterAutospacing="0" w:line="360" w:lineRule="auto"/>
              <w:ind w:left="0" w:leftChars="0" w:right="0" w:firstLine="0" w:firstLineChars="0"/>
              <w:jc w:val="left"/>
              <w:rPr>
                <w:rFonts w:hint="eastAsia" w:ascii="宋体" w:hAnsi="宋体" w:eastAsia="宋体" w:cs="宋体"/>
                <w:b/>
                <w:bCs/>
                <w:color w:val="000000"/>
                <w:kern w:val="2"/>
                <w:sz w:val="21"/>
                <w:szCs w:val="21"/>
                <w:lang w:eastAsia="zh-CN"/>
              </w:rPr>
            </w:pPr>
            <w:r>
              <w:rPr>
                <w:rFonts w:hint="eastAsia" w:ascii="宋体" w:hAnsi="宋体" w:eastAsia="宋体" w:cs="宋体"/>
                <w:color w:val="000000"/>
                <w:kern w:val="2"/>
                <w:sz w:val="21"/>
                <w:szCs w:val="21"/>
                <w:lang w:eastAsia="zh-CN"/>
              </w:rPr>
              <w:t>□否</w:t>
            </w:r>
          </w:p>
        </w:tc>
      </w:tr>
      <w:tr w14:paraId="55A7E6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6" w:hRule="atLeast"/>
        </w:trPr>
        <w:tc>
          <w:tcPr>
            <w:tcW w:w="2214"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48A4BDFF">
            <w:pPr>
              <w:widowControl w:val="0"/>
              <w:kinsoku/>
              <w:overflowPunct/>
              <w:topLinePunct w:val="0"/>
              <w:autoSpaceDE w:val="0"/>
              <w:autoSpaceDN w:val="0"/>
              <w:bidi w:val="0"/>
              <w:adjustRightInd w:val="0"/>
              <w:snapToGrid w:val="0"/>
              <w:spacing w:beforeAutospacing="0" w:afterAutospacing="0" w:line="360" w:lineRule="auto"/>
              <w:ind w:left="0" w:leftChars="0" w:right="0" w:firstLine="0" w:firstLineChars="0"/>
              <w:jc w:val="left"/>
              <w:rPr>
                <w:rFonts w:hint="eastAsia" w:ascii="宋体" w:hAnsi="宋体" w:eastAsia="宋体" w:cs="宋体"/>
                <w:b/>
                <w:bCs/>
                <w:color w:val="000000"/>
                <w:kern w:val="2"/>
                <w:sz w:val="21"/>
                <w:szCs w:val="21"/>
                <w:lang w:eastAsia="zh-CN"/>
              </w:rPr>
            </w:pPr>
            <w:r>
              <w:rPr>
                <w:rFonts w:hint="eastAsia" w:ascii="宋体" w:hAnsi="宋体" w:eastAsia="宋体" w:cs="宋体"/>
                <w:b/>
                <w:bCs/>
                <w:color w:val="000000"/>
                <w:kern w:val="2"/>
                <w:sz w:val="21"/>
                <w:szCs w:val="21"/>
                <w:lang w:eastAsia="zh-CN"/>
              </w:rPr>
              <w:t>是否存在“与本单位存在管理关系的单位”</w:t>
            </w:r>
          </w:p>
        </w:tc>
        <w:tc>
          <w:tcPr>
            <w:tcW w:w="6315" w:type="dxa"/>
            <w:tcBorders>
              <w:top w:val="single" w:color="000000" w:sz="4" w:space="0"/>
              <w:left w:val="single" w:color="000000" w:sz="4" w:space="0"/>
              <w:bottom w:val="single" w:color="000000" w:sz="4" w:space="0"/>
              <w:right w:val="single" w:color="000000" w:sz="4" w:space="0"/>
            </w:tcBorders>
            <w:vAlign w:val="center"/>
          </w:tcPr>
          <w:p w14:paraId="11A80B0E">
            <w:pPr>
              <w:widowControl w:val="0"/>
              <w:kinsoku/>
              <w:overflowPunct/>
              <w:topLinePunct w:val="0"/>
              <w:autoSpaceDE w:val="0"/>
              <w:autoSpaceDN w:val="0"/>
              <w:bidi w:val="0"/>
              <w:adjustRightInd w:val="0"/>
              <w:snapToGrid w:val="0"/>
              <w:spacing w:beforeAutospacing="0" w:afterAutospacing="0" w:line="360" w:lineRule="auto"/>
              <w:ind w:left="0" w:leftChars="0" w:right="0" w:firstLine="0" w:firstLineChars="0"/>
              <w:jc w:val="left"/>
              <w:rPr>
                <w:rFonts w:hint="eastAsia" w:ascii="宋体" w:hAnsi="宋体" w:eastAsia="宋体" w:cs="宋体"/>
                <w:color w:val="000000"/>
                <w:kern w:val="2"/>
                <w:sz w:val="21"/>
                <w:szCs w:val="21"/>
                <w:u w:val="single"/>
                <w:lang w:eastAsia="zh-CN"/>
              </w:rPr>
            </w:pPr>
            <w:r>
              <w:rPr>
                <w:rFonts w:hint="eastAsia" w:ascii="宋体" w:hAnsi="宋体" w:eastAsia="宋体" w:cs="宋体"/>
                <w:color w:val="000000"/>
                <w:kern w:val="2"/>
                <w:sz w:val="21"/>
                <w:szCs w:val="21"/>
                <w:lang w:eastAsia="zh-CN"/>
              </w:rPr>
              <w:t>□是，该单位为：</w:t>
            </w:r>
          </w:p>
          <w:p w14:paraId="260C0B62">
            <w:pPr>
              <w:widowControl w:val="0"/>
              <w:kinsoku/>
              <w:overflowPunct/>
              <w:topLinePunct w:val="0"/>
              <w:autoSpaceDE w:val="0"/>
              <w:autoSpaceDN w:val="0"/>
              <w:bidi w:val="0"/>
              <w:adjustRightInd w:val="0"/>
              <w:snapToGrid w:val="0"/>
              <w:spacing w:beforeAutospacing="0" w:afterAutospacing="0" w:line="360" w:lineRule="auto"/>
              <w:ind w:left="0" w:leftChars="0" w:right="0" w:firstLine="0" w:firstLineChars="0"/>
              <w:jc w:val="left"/>
              <w:rPr>
                <w:rFonts w:hint="eastAsia" w:ascii="宋体" w:hAnsi="宋体" w:eastAsia="宋体" w:cs="宋体"/>
                <w:b/>
                <w:bCs/>
                <w:color w:val="000000"/>
                <w:kern w:val="2"/>
                <w:sz w:val="21"/>
                <w:szCs w:val="21"/>
                <w:lang w:eastAsia="zh-CN"/>
              </w:rPr>
            </w:pPr>
            <w:r>
              <w:rPr>
                <w:rFonts w:hint="eastAsia" w:ascii="宋体" w:hAnsi="宋体" w:eastAsia="宋体" w:cs="宋体"/>
                <w:color w:val="000000"/>
                <w:kern w:val="2"/>
                <w:sz w:val="21"/>
                <w:szCs w:val="21"/>
                <w:lang w:eastAsia="zh-CN"/>
              </w:rPr>
              <w:t>□否</w:t>
            </w:r>
          </w:p>
        </w:tc>
      </w:tr>
      <w:tr w14:paraId="32A264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7" w:hRule="atLeast"/>
        </w:trPr>
        <w:tc>
          <w:tcPr>
            <w:tcW w:w="2214"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096A1069">
            <w:pPr>
              <w:widowControl w:val="0"/>
              <w:kinsoku/>
              <w:overflowPunct/>
              <w:topLinePunct w:val="0"/>
              <w:autoSpaceDE w:val="0"/>
              <w:autoSpaceDN w:val="0"/>
              <w:bidi w:val="0"/>
              <w:adjustRightInd w:val="0"/>
              <w:snapToGrid w:val="0"/>
              <w:spacing w:beforeAutospacing="0" w:afterAutospacing="0" w:line="360" w:lineRule="auto"/>
              <w:ind w:left="0" w:leftChars="0" w:right="0" w:firstLine="0" w:firstLineChars="0"/>
              <w:jc w:val="left"/>
              <w:rPr>
                <w:rFonts w:hint="eastAsia" w:ascii="宋体" w:hAnsi="宋体" w:eastAsia="宋体" w:cs="宋体"/>
                <w:b/>
                <w:bCs/>
                <w:color w:val="000000"/>
                <w:kern w:val="2"/>
                <w:sz w:val="21"/>
                <w:szCs w:val="21"/>
                <w:lang w:eastAsia="zh-CN"/>
              </w:rPr>
            </w:pPr>
            <w:r>
              <w:rPr>
                <w:rFonts w:hint="eastAsia" w:ascii="宋体" w:hAnsi="宋体" w:eastAsia="宋体" w:cs="宋体"/>
                <w:b/>
                <w:bCs/>
                <w:color w:val="000000"/>
                <w:kern w:val="2"/>
                <w:sz w:val="21"/>
                <w:szCs w:val="21"/>
                <w:lang w:eastAsia="zh-CN"/>
              </w:rPr>
              <w:t>是否存在“与招标人有利害关系”的情况</w:t>
            </w:r>
          </w:p>
        </w:tc>
        <w:tc>
          <w:tcPr>
            <w:tcW w:w="6315" w:type="dxa"/>
            <w:tcBorders>
              <w:top w:val="single" w:color="000000" w:sz="4" w:space="0"/>
              <w:left w:val="single" w:color="000000" w:sz="4" w:space="0"/>
              <w:bottom w:val="single" w:color="000000" w:sz="4" w:space="0"/>
              <w:right w:val="single" w:color="000000" w:sz="4" w:space="0"/>
            </w:tcBorders>
            <w:vAlign w:val="center"/>
          </w:tcPr>
          <w:p w14:paraId="784E9B29">
            <w:pPr>
              <w:widowControl w:val="0"/>
              <w:kinsoku/>
              <w:overflowPunct/>
              <w:topLinePunct w:val="0"/>
              <w:autoSpaceDE w:val="0"/>
              <w:autoSpaceDN w:val="0"/>
              <w:bidi w:val="0"/>
              <w:adjustRightInd w:val="0"/>
              <w:snapToGrid w:val="0"/>
              <w:spacing w:beforeAutospacing="0" w:afterAutospacing="0" w:line="360" w:lineRule="auto"/>
              <w:ind w:left="0" w:leftChars="0" w:right="0" w:firstLine="0" w:firstLineChars="0"/>
              <w:jc w:val="left"/>
              <w:rPr>
                <w:rFonts w:hint="eastAsia" w:ascii="宋体" w:hAnsi="宋体" w:eastAsia="宋体" w:cs="宋体"/>
                <w:color w:val="000000"/>
                <w:kern w:val="2"/>
                <w:sz w:val="21"/>
                <w:szCs w:val="21"/>
                <w:u w:val="single"/>
                <w:lang w:eastAsia="zh-CN"/>
              </w:rPr>
            </w:pPr>
            <w:r>
              <w:rPr>
                <w:rFonts w:hint="eastAsia" w:ascii="宋体" w:hAnsi="宋体" w:eastAsia="宋体" w:cs="宋体"/>
                <w:color w:val="000000"/>
                <w:kern w:val="2"/>
                <w:sz w:val="21"/>
                <w:szCs w:val="21"/>
                <w:lang w:eastAsia="zh-CN"/>
              </w:rPr>
              <w:t>□是，与招标人的关系为：</w:t>
            </w:r>
          </w:p>
          <w:p w14:paraId="4CD2F941">
            <w:pPr>
              <w:widowControl w:val="0"/>
              <w:kinsoku/>
              <w:overflowPunct/>
              <w:topLinePunct w:val="0"/>
              <w:autoSpaceDE w:val="0"/>
              <w:autoSpaceDN w:val="0"/>
              <w:bidi w:val="0"/>
              <w:adjustRightInd w:val="0"/>
              <w:snapToGrid w:val="0"/>
              <w:spacing w:beforeAutospacing="0" w:afterAutospacing="0" w:line="360" w:lineRule="auto"/>
              <w:ind w:left="0" w:leftChars="0" w:right="0" w:firstLine="0" w:firstLineChars="0"/>
              <w:jc w:val="left"/>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□否</w:t>
            </w:r>
          </w:p>
        </w:tc>
      </w:tr>
    </w:tbl>
    <w:p w14:paraId="7E527FC9">
      <w:pPr>
        <w:widowControl w:val="0"/>
        <w:kinsoku/>
        <w:overflowPunct/>
        <w:topLinePunct w:val="0"/>
        <w:autoSpaceDE w:val="0"/>
        <w:autoSpaceDN w:val="0"/>
        <w:bidi w:val="0"/>
        <w:adjustRightInd w:val="0"/>
        <w:snapToGrid w:val="0"/>
        <w:spacing w:beforeAutospacing="0" w:afterAutospacing="0" w:line="360" w:lineRule="auto"/>
        <w:ind w:left="0" w:leftChars="0" w:right="0" w:firstLine="0" w:firstLineChars="0"/>
        <w:jc w:val="left"/>
        <w:rPr>
          <w:rFonts w:hint="eastAsia" w:ascii="宋体" w:hAnsi="宋体" w:eastAsia="宋体" w:cs="宋体"/>
          <w:b/>
          <w:bCs/>
          <w:color w:val="000000"/>
          <w:kern w:val="2"/>
          <w:sz w:val="21"/>
          <w:szCs w:val="21"/>
          <w:lang w:eastAsia="zh-CN"/>
        </w:rPr>
      </w:pPr>
      <w:r>
        <w:rPr>
          <w:rFonts w:hint="eastAsia" w:ascii="宋体" w:hAnsi="宋体" w:eastAsia="宋体" w:cs="宋体"/>
          <w:b/>
          <w:bCs/>
          <w:color w:val="000000"/>
          <w:kern w:val="2"/>
          <w:sz w:val="21"/>
          <w:szCs w:val="21"/>
          <w:lang w:eastAsia="zh-CN"/>
        </w:rPr>
        <w:t>注：</w:t>
      </w:r>
    </w:p>
    <w:p w14:paraId="77F8897B">
      <w:pPr>
        <w:widowControl w:val="0"/>
        <w:kinsoku/>
        <w:overflowPunct/>
        <w:topLinePunct w:val="0"/>
        <w:autoSpaceDE w:val="0"/>
        <w:autoSpaceDN w:val="0"/>
        <w:bidi w:val="0"/>
        <w:adjustRightInd w:val="0"/>
        <w:snapToGrid w:val="0"/>
        <w:spacing w:beforeAutospacing="0" w:afterAutospacing="0" w:line="360" w:lineRule="auto"/>
        <w:ind w:left="0" w:leftChars="0" w:right="0" w:firstLine="0" w:firstLineChars="0"/>
        <w:jc w:val="left"/>
        <w:rPr>
          <w:rFonts w:hint="eastAsia" w:ascii="宋体" w:hAnsi="宋体" w:eastAsia="宋体" w:cs="宋体"/>
          <w:bCs/>
          <w:color w:val="000000"/>
          <w:kern w:val="2"/>
          <w:sz w:val="21"/>
          <w:szCs w:val="21"/>
          <w:lang w:eastAsia="zh-CN"/>
        </w:rPr>
      </w:pPr>
      <w:r>
        <w:rPr>
          <w:rFonts w:hint="eastAsia" w:ascii="宋体" w:hAnsi="宋体" w:eastAsia="宋体" w:cs="宋体"/>
          <w:bCs/>
          <w:color w:val="000000"/>
          <w:kern w:val="2"/>
          <w:sz w:val="21"/>
          <w:szCs w:val="21"/>
          <w:lang w:eastAsia="zh-CN"/>
        </w:rPr>
        <w:t>1、控股是指：其出资额占有限责任公司资本总额百分之五十以上或其持有的股份占股份有限公司股本总额百分之五十以上的股东；出资额或者持有股份的比例虽然不足百分之五十，但依其出资额或者或其持有的股份享有的表决权已足以对股东会、股东大会的决议产生重大影响的股东；</w:t>
      </w:r>
    </w:p>
    <w:p w14:paraId="537F941F">
      <w:pPr>
        <w:widowControl w:val="0"/>
        <w:kinsoku/>
        <w:overflowPunct/>
        <w:topLinePunct w:val="0"/>
        <w:autoSpaceDE w:val="0"/>
        <w:autoSpaceDN w:val="0"/>
        <w:bidi w:val="0"/>
        <w:adjustRightInd w:val="0"/>
        <w:snapToGrid w:val="0"/>
        <w:spacing w:beforeAutospacing="0" w:afterAutospacing="0" w:line="360" w:lineRule="auto"/>
        <w:ind w:left="0" w:leftChars="0" w:right="0" w:firstLine="0" w:firstLineChars="0"/>
        <w:jc w:val="left"/>
        <w:rPr>
          <w:rFonts w:hint="eastAsia" w:ascii="宋体" w:hAnsi="宋体" w:eastAsia="宋体" w:cs="宋体"/>
          <w:bCs/>
          <w:color w:val="000000"/>
          <w:kern w:val="2"/>
          <w:sz w:val="21"/>
          <w:szCs w:val="21"/>
          <w:lang w:eastAsia="zh-CN"/>
        </w:rPr>
      </w:pPr>
      <w:r>
        <w:rPr>
          <w:rFonts w:hint="eastAsia" w:ascii="宋体" w:hAnsi="宋体" w:eastAsia="宋体" w:cs="宋体"/>
          <w:bCs/>
          <w:color w:val="000000"/>
          <w:kern w:val="2"/>
          <w:sz w:val="21"/>
          <w:szCs w:val="21"/>
          <w:lang w:eastAsia="zh-CN"/>
        </w:rPr>
        <w:t>2、投标人需如实填写上述信息，如查实上述信息与实际不符，视为提供虚假证明材料骗取中标，投标人应承担相应法律后果。</w:t>
      </w:r>
    </w:p>
    <w:p w14:paraId="112833E6">
      <w:pPr>
        <w:widowControl/>
        <w:spacing w:line="360" w:lineRule="auto"/>
        <w:jc w:val="left"/>
        <w:rPr>
          <w:rFonts w:ascii="宋体" w:hAnsi="宋体" w:eastAsia="宋体" w:cs="宋体"/>
          <w:b/>
          <w:color w:val="000000"/>
          <w:kern w:val="2"/>
          <w:sz w:val="21"/>
          <w:szCs w:val="21"/>
          <w:lang w:eastAsia="zh-CN"/>
        </w:rPr>
      </w:pPr>
    </w:p>
    <w:p w14:paraId="5EF8EF03">
      <w:pPr>
        <w:widowControl w:val="0"/>
        <w:spacing w:after="60" w:afterLines="25" w:line="300" w:lineRule="auto"/>
        <w:jc w:val="center"/>
        <w:rPr>
          <w:rFonts w:ascii="Arial" w:hAnsi="Arial" w:eastAsia="宋体"/>
          <w:b/>
          <w:kern w:val="2"/>
          <w:sz w:val="21"/>
          <w:szCs w:val="22"/>
          <w:lang w:eastAsia="zh-CN"/>
        </w:rPr>
      </w:pPr>
    </w:p>
    <w:p w14:paraId="7432492B">
      <w:pPr>
        <w:widowControl/>
        <w:jc w:val="center"/>
        <w:rPr>
          <w:rFonts w:ascii="Arial" w:hAnsi="Arial" w:eastAsia="宋体"/>
          <w:kern w:val="2"/>
          <w:sz w:val="21"/>
          <w:lang w:eastAsia="zh-CN"/>
        </w:rPr>
      </w:pPr>
      <w:r>
        <w:rPr>
          <w:rFonts w:ascii="Arial" w:hAnsi="Arial" w:eastAsia="宋体" w:cstheme="minorBidi"/>
          <w:kern w:val="2"/>
          <w:sz w:val="21"/>
          <w:szCs w:val="22"/>
          <w:lang w:eastAsia="zh-CN"/>
        </w:rPr>
        <w:br w:type="page"/>
      </w:r>
    </w:p>
    <w:p w14:paraId="5D4620F6">
      <w:pPr>
        <w:keepNext/>
        <w:keepLines/>
        <w:widowControl w:val="0"/>
        <w:spacing w:before="260" w:after="260" w:line="240" w:lineRule="auto"/>
        <w:jc w:val="center"/>
        <w:outlineLvl w:val="2"/>
        <w:rPr>
          <w:rFonts w:ascii="黑体" w:hAnsi="宋体" w:eastAsia="黑体"/>
          <w:b/>
          <w:kern w:val="2"/>
          <w:sz w:val="30"/>
          <w:szCs w:val="30"/>
          <w:lang w:eastAsia="zh-CN"/>
        </w:rPr>
      </w:pPr>
      <w:r>
        <w:rPr>
          <w:rFonts w:hint="eastAsia" w:ascii="黑体" w:hAnsi="宋体" w:eastAsia="黑体" w:cstheme="minorBidi"/>
          <w:b/>
          <w:kern w:val="2"/>
          <w:sz w:val="30"/>
          <w:szCs w:val="30"/>
          <w:lang w:eastAsia="zh-CN"/>
        </w:rPr>
        <w:t>七、</w:t>
      </w:r>
      <w:bookmarkStart w:id="25" w:name="_Hlk72092499"/>
      <w:r>
        <w:rPr>
          <w:rFonts w:hint="eastAsia" w:ascii="黑体" w:hAnsi="宋体" w:eastAsia="黑体" w:cstheme="minorBidi"/>
          <w:b/>
          <w:kern w:val="2"/>
          <w:sz w:val="30"/>
          <w:szCs w:val="30"/>
          <w:lang w:eastAsia="zh-CN"/>
        </w:rPr>
        <w:t>法定代表人（负责人）证明书</w:t>
      </w:r>
      <w:bookmarkEnd w:id="25"/>
    </w:p>
    <w:p w14:paraId="2503839B">
      <w:pPr>
        <w:widowControl w:val="0"/>
        <w:jc w:val="both"/>
        <w:rPr>
          <w:rFonts w:ascii="Calibri" w:hAnsi="Calibri" w:eastAsia="宋体"/>
          <w:kern w:val="2"/>
          <w:szCs w:val="22"/>
          <w:lang w:eastAsia="zh-CN"/>
        </w:rPr>
      </w:pPr>
    </w:p>
    <w:p w14:paraId="3B8E30DC">
      <w:pPr>
        <w:widowControl w:val="0"/>
        <w:spacing w:line="360" w:lineRule="auto"/>
        <w:jc w:val="both"/>
        <w:rPr>
          <w:rFonts w:ascii="Calibri" w:hAnsi="Calibri" w:eastAsia="宋体"/>
          <w:kern w:val="2"/>
          <w:sz w:val="21"/>
          <w:szCs w:val="21"/>
          <w:lang w:eastAsia="zh-CN"/>
        </w:rPr>
      </w:pP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（姓名），现任我单位职务，为法定代表人（负责人），身份证件号为：</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，联系电话：</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w:t>
      </w:r>
    </w:p>
    <w:p w14:paraId="4955FEBD">
      <w:pPr>
        <w:widowControl w:val="0"/>
        <w:spacing w:line="360" w:lineRule="auto"/>
        <w:ind w:firstLine="420" w:firstLineChars="20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特此证明。</w:t>
      </w:r>
    </w:p>
    <w:p w14:paraId="63DE6480">
      <w:pPr>
        <w:widowControl w:val="0"/>
        <w:spacing w:line="360" w:lineRule="auto"/>
        <w:ind w:firstLine="420" w:firstLineChars="20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说明：1、法定代表人为投标人（企业事业单位、国家机关、社会团体）的主要行政负责人。</w:t>
      </w:r>
    </w:p>
    <w:p w14:paraId="5EC5F077">
      <w:pPr>
        <w:widowControl w:val="0"/>
        <w:numPr>
          <w:ilvl w:val="0"/>
          <w:numId w:val="3"/>
        </w:numPr>
        <w:spacing w:line="360" w:lineRule="auto"/>
        <w:ind w:firstLine="420" w:firstLineChars="20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本证明书要供法定代表人（负责人）相关身份证明文件：身份证扫描件（正反两面）；港澳台居民可提供来往通行证扫描件；非中国国籍管辖范围人员，可提供公安部门认可的身份证明材料扫描件。</w:t>
      </w:r>
    </w:p>
    <w:p w14:paraId="20F67E6B">
      <w:pPr>
        <w:widowControl w:val="0"/>
        <w:numPr>
          <w:ilvl w:val="0"/>
          <w:numId w:val="3"/>
        </w:numPr>
        <w:spacing w:line="360" w:lineRule="auto"/>
        <w:ind w:firstLine="420" w:firstLineChars="20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本项目投标授权代表为法定代表人（负责人）的，无需提供《投标文件签署授权委托书》。</w:t>
      </w:r>
    </w:p>
    <w:p w14:paraId="69B8E2F2">
      <w:pPr>
        <w:widowControl w:val="0"/>
        <w:numPr>
          <w:ilvl w:val="0"/>
          <w:numId w:val="3"/>
        </w:numPr>
        <w:spacing w:line="360" w:lineRule="auto"/>
        <w:ind w:firstLine="420" w:firstLineChars="20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内容必须填写真实、清楚，涂改无效，不得转让、买卖。</w:t>
      </w:r>
    </w:p>
    <w:p w14:paraId="3B64407E">
      <w:pPr>
        <w:widowControl w:val="0"/>
        <w:numPr>
          <w:ilvl w:val="0"/>
          <w:numId w:val="0"/>
        </w:numPr>
        <w:spacing w:line="360" w:lineRule="auto"/>
        <w:ind w:left="0" w:firstLine="0"/>
        <w:jc w:val="both"/>
        <w:rPr>
          <w:rFonts w:ascii="Calibri" w:hAnsi="Calibri" w:eastAsia="宋体"/>
          <w:kern w:val="2"/>
          <w:sz w:val="21"/>
          <w:szCs w:val="21"/>
          <w:lang w:eastAsia="zh-CN"/>
        </w:rPr>
      </w:pPr>
      <w:r>
        <w:rPr>
          <w:rFonts w:hint="eastAsia"/>
          <w:b/>
          <w:color w:val="FF0000"/>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8"/>
        <w:gridCol w:w="4428"/>
      </w:tblGrid>
      <w:tr w14:paraId="13420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4529" w:type="dxa"/>
          </w:tcPr>
          <w:p w14:paraId="2ABD3478">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证件扫描件正面</w:t>
            </w:r>
          </w:p>
          <w:p w14:paraId="3FC48466">
            <w:pPr>
              <w:widowControl w:val="0"/>
              <w:spacing w:line="360" w:lineRule="auto"/>
              <w:jc w:val="center"/>
              <w:rPr>
                <w:rFonts w:ascii="Calibri" w:hAnsi="Calibri" w:eastAsia="宋体"/>
                <w:b/>
                <w:bCs/>
                <w:kern w:val="2"/>
                <w:szCs w:val="22"/>
                <w:lang w:eastAsia="zh-CN"/>
              </w:rPr>
            </w:pPr>
          </w:p>
          <w:p w14:paraId="5BC9D6DC">
            <w:pPr>
              <w:widowControl w:val="0"/>
              <w:spacing w:line="360" w:lineRule="auto"/>
              <w:jc w:val="center"/>
              <w:rPr>
                <w:rFonts w:ascii="Calibri" w:hAnsi="Calibri" w:eastAsia="宋体"/>
                <w:kern w:val="2"/>
                <w:szCs w:val="22"/>
                <w:lang w:eastAsia="zh-CN"/>
              </w:rPr>
            </w:pPr>
          </w:p>
        </w:tc>
        <w:tc>
          <w:tcPr>
            <w:tcW w:w="4530" w:type="dxa"/>
          </w:tcPr>
          <w:p w14:paraId="1B95E71E">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证件扫描件反面</w:t>
            </w:r>
          </w:p>
          <w:p w14:paraId="783C6FE4">
            <w:pPr>
              <w:widowControl w:val="0"/>
              <w:spacing w:line="360" w:lineRule="auto"/>
              <w:jc w:val="center"/>
              <w:rPr>
                <w:rFonts w:ascii="Calibri" w:hAnsi="Calibri" w:eastAsia="宋体"/>
                <w:b/>
                <w:bCs/>
                <w:kern w:val="2"/>
                <w:szCs w:val="22"/>
                <w:lang w:eastAsia="zh-CN"/>
              </w:rPr>
            </w:pPr>
          </w:p>
          <w:p w14:paraId="5E406DC0">
            <w:pPr>
              <w:widowControl w:val="0"/>
              <w:spacing w:line="360" w:lineRule="auto"/>
              <w:jc w:val="center"/>
              <w:rPr>
                <w:rFonts w:ascii="Calibri" w:hAnsi="Calibri" w:eastAsia="宋体"/>
                <w:kern w:val="2"/>
                <w:szCs w:val="22"/>
                <w:lang w:eastAsia="zh-CN"/>
              </w:rPr>
            </w:pPr>
          </w:p>
        </w:tc>
      </w:tr>
    </w:tbl>
    <w:p w14:paraId="028BE12D">
      <w:pPr>
        <w:widowControl w:val="0"/>
        <w:jc w:val="both"/>
        <w:rPr>
          <w:rFonts w:ascii="Calibri" w:hAnsi="Calibri" w:eastAsia="宋体"/>
          <w:kern w:val="2"/>
          <w:szCs w:val="22"/>
          <w:lang w:eastAsia="zh-CN"/>
        </w:rPr>
      </w:pPr>
    </w:p>
    <w:p w14:paraId="714EA503">
      <w:pPr>
        <w:widowControl w:val="0"/>
        <w:spacing w:after="120" w:line="240" w:lineRule="auto"/>
        <w:ind w:left="480" w:leftChars="200" w:firstLine="480" w:firstLineChars="200"/>
        <w:jc w:val="both"/>
        <w:rPr>
          <w:rFonts w:ascii="Calibri" w:hAnsi="Calibri" w:eastAsia="宋体"/>
          <w:kern w:val="2"/>
          <w:szCs w:val="22"/>
          <w:lang w:eastAsia="zh-CN"/>
        </w:rPr>
      </w:pPr>
    </w:p>
    <w:p w14:paraId="050F743C">
      <w:pPr>
        <w:widowControl w:val="0"/>
        <w:spacing w:after="120" w:line="240" w:lineRule="auto"/>
        <w:ind w:left="480" w:leftChars="200" w:firstLine="480" w:firstLineChars="200"/>
        <w:jc w:val="both"/>
        <w:rPr>
          <w:rFonts w:ascii="Calibri" w:hAnsi="Calibri" w:eastAsia="宋体"/>
          <w:kern w:val="2"/>
          <w:szCs w:val="22"/>
          <w:lang w:eastAsia="zh-CN"/>
        </w:rPr>
      </w:pPr>
    </w:p>
    <w:p w14:paraId="6055C7E8">
      <w:pPr>
        <w:widowControl w:val="0"/>
        <w:spacing w:after="120" w:line="240" w:lineRule="auto"/>
        <w:ind w:left="480" w:leftChars="200" w:firstLine="480" w:firstLineChars="200"/>
        <w:jc w:val="both"/>
        <w:rPr>
          <w:rFonts w:ascii="Calibri" w:hAnsi="Calibri" w:eastAsia="宋体"/>
          <w:kern w:val="2"/>
          <w:szCs w:val="22"/>
          <w:lang w:eastAsia="zh-CN"/>
        </w:rPr>
      </w:pPr>
    </w:p>
    <w:p w14:paraId="0490AFA0">
      <w:pPr>
        <w:widowControl w:val="0"/>
        <w:spacing w:after="120" w:line="240" w:lineRule="auto"/>
        <w:ind w:left="480" w:leftChars="200" w:firstLine="480" w:firstLineChars="200"/>
        <w:jc w:val="both"/>
        <w:rPr>
          <w:rFonts w:ascii="Calibri" w:hAnsi="Calibri" w:eastAsia="宋体"/>
          <w:kern w:val="2"/>
          <w:szCs w:val="22"/>
          <w:lang w:eastAsia="zh-CN"/>
        </w:rPr>
      </w:pPr>
    </w:p>
    <w:p w14:paraId="69C358F9">
      <w:pPr>
        <w:widowControl w:val="0"/>
        <w:spacing w:after="120" w:line="240" w:lineRule="auto"/>
        <w:ind w:left="480" w:leftChars="200" w:firstLine="480" w:firstLineChars="200"/>
        <w:jc w:val="both"/>
        <w:rPr>
          <w:rFonts w:ascii="Calibri" w:hAnsi="Calibri" w:eastAsia="宋体"/>
          <w:kern w:val="2"/>
          <w:szCs w:val="22"/>
          <w:lang w:eastAsia="zh-CN"/>
        </w:rPr>
      </w:pPr>
    </w:p>
    <w:p w14:paraId="3374F96F">
      <w:pPr>
        <w:widowControl w:val="0"/>
        <w:spacing w:after="120" w:line="240" w:lineRule="auto"/>
        <w:jc w:val="both"/>
        <w:rPr>
          <w:rFonts w:ascii="Calibri" w:hAnsi="Calibri" w:eastAsia="宋体"/>
          <w:kern w:val="2"/>
          <w:szCs w:val="22"/>
          <w:lang w:eastAsia="zh-CN"/>
        </w:rPr>
      </w:pPr>
    </w:p>
    <w:p w14:paraId="617CBBE4">
      <w:pPr>
        <w:widowControl w:val="0"/>
        <w:spacing w:after="120" w:line="240" w:lineRule="auto"/>
        <w:ind w:left="0" w:leftChars="0" w:firstLine="0" w:firstLineChars="0"/>
        <w:jc w:val="both"/>
        <w:rPr>
          <w:rFonts w:ascii="Calibri" w:hAnsi="Calibri" w:eastAsia="宋体"/>
          <w:kern w:val="2"/>
          <w:szCs w:val="22"/>
          <w:lang w:eastAsia="zh-CN"/>
        </w:rPr>
      </w:pPr>
    </w:p>
    <w:p w14:paraId="4802FBFC">
      <w:pPr>
        <w:keepNext/>
        <w:keepLines/>
        <w:widowControl w:val="0"/>
        <w:spacing w:before="120" w:after="120" w:line="240" w:lineRule="auto"/>
        <w:jc w:val="center"/>
        <w:outlineLvl w:val="2"/>
        <w:rPr>
          <w:rFonts w:hint="eastAsia" w:ascii="黑体" w:eastAsia="黑体"/>
          <w:b/>
          <w:bCs/>
          <w:kern w:val="2"/>
          <w:sz w:val="30"/>
          <w:szCs w:val="22"/>
          <w:lang w:eastAsia="zh-CN"/>
        </w:rPr>
      </w:pPr>
      <w:r>
        <w:rPr>
          <w:rFonts w:hint="eastAsia" w:ascii="黑体" w:eastAsia="黑体"/>
          <w:b/>
          <w:bCs/>
          <w:kern w:val="2"/>
          <w:sz w:val="30"/>
          <w:szCs w:val="22"/>
          <w:lang w:eastAsia="zh-CN"/>
        </w:rPr>
        <w:t>八、投标文件签署授权委托书</w:t>
      </w:r>
    </w:p>
    <w:p w14:paraId="107E9F99">
      <w:pPr>
        <w:widowControl w:val="0"/>
        <w:spacing w:line="360" w:lineRule="auto"/>
        <w:ind w:firstLine="420" w:firstLineChars="200"/>
        <w:jc w:val="both"/>
        <w:rPr>
          <w:rFonts w:hint="eastAsia" w:ascii="Calibri" w:hAnsi="Calibri" w:eastAsia="宋体"/>
          <w:kern w:val="2"/>
          <w:sz w:val="21"/>
          <w:szCs w:val="21"/>
          <w:lang w:eastAsia="zh-CN"/>
        </w:rPr>
      </w:pPr>
      <w:r>
        <w:rPr>
          <w:rFonts w:hint="eastAsia" w:ascii="Calibri" w:hAnsi="Calibri" w:eastAsia="宋体" w:cstheme="minorBidi"/>
          <w:kern w:val="2"/>
          <w:sz w:val="21"/>
          <w:szCs w:val="21"/>
          <w:lang w:eastAsia="zh-CN"/>
        </w:rPr>
        <w:t>本授权委托书声明：我</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（姓名）系</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（投标人名称）的法定代表人（负责人），现授权委托</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（姓名）为我单位签署本项目已递交的投标文件的法定代表人（负责人）的授权委托代理人，代理人全权代表我所签署的本项目已递交的投标文件内容我均承认。</w:t>
      </w:r>
    </w:p>
    <w:p w14:paraId="7DEA66D4">
      <w:pPr>
        <w:widowControl w:val="0"/>
        <w:spacing w:line="360" w:lineRule="auto"/>
        <w:ind w:firstLine="420" w:firstLineChars="200"/>
        <w:jc w:val="both"/>
        <w:rPr>
          <w:rFonts w:hint="eastAsia" w:ascii="Calibri" w:hAnsi="Calibri" w:eastAsia="宋体"/>
          <w:kern w:val="2"/>
          <w:sz w:val="21"/>
          <w:szCs w:val="21"/>
          <w:lang w:eastAsia="zh-CN"/>
        </w:rPr>
      </w:pPr>
      <w:r>
        <w:rPr>
          <w:rFonts w:hint="eastAsia" w:ascii="Calibri" w:hAnsi="Calibri" w:eastAsia="宋体" w:cstheme="minorBidi"/>
          <w:kern w:val="2"/>
          <w:sz w:val="21"/>
          <w:szCs w:val="21"/>
          <w:lang w:eastAsia="zh-CN"/>
        </w:rPr>
        <w:t>代理人无转委托权，特此委托。</w:t>
      </w:r>
    </w:p>
    <w:p w14:paraId="287B9E94">
      <w:pPr>
        <w:widowControl w:val="0"/>
        <w:spacing w:line="360" w:lineRule="auto"/>
        <w:ind w:firstLine="420" w:firstLineChars="200"/>
        <w:jc w:val="both"/>
        <w:rPr>
          <w:rFonts w:hint="eastAsia" w:ascii="Calibri" w:hAnsi="Calibri" w:eastAsia="宋体"/>
          <w:kern w:val="2"/>
          <w:sz w:val="21"/>
          <w:szCs w:val="21"/>
          <w:lang w:eastAsia="zh-CN"/>
        </w:rPr>
      </w:pPr>
    </w:p>
    <w:p w14:paraId="2ED5AACA">
      <w:pPr>
        <w:widowControl w:val="0"/>
        <w:spacing w:line="360" w:lineRule="auto"/>
        <w:ind w:firstLine="420" w:firstLineChars="200"/>
        <w:jc w:val="both"/>
        <w:rPr>
          <w:rFonts w:hint="eastAsia" w:ascii="Calibri" w:hAnsi="Calibri" w:eastAsia="宋体"/>
          <w:kern w:val="2"/>
          <w:sz w:val="21"/>
          <w:szCs w:val="21"/>
          <w:lang w:eastAsia="zh-CN"/>
        </w:rPr>
      </w:pPr>
      <w:r>
        <w:rPr>
          <w:rFonts w:hint="eastAsia" w:ascii="Calibri" w:hAnsi="Calibri" w:eastAsia="宋体" w:cstheme="minorBidi"/>
          <w:kern w:val="2"/>
          <w:sz w:val="21"/>
          <w:szCs w:val="21"/>
          <w:lang w:eastAsia="zh-CN"/>
        </w:rPr>
        <w:t>代理人：</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w:t>
      </w:r>
    </w:p>
    <w:p w14:paraId="4E74316D">
      <w:pPr>
        <w:widowControl w:val="0"/>
        <w:spacing w:line="360" w:lineRule="auto"/>
        <w:ind w:firstLine="420" w:firstLineChars="200"/>
        <w:jc w:val="both"/>
        <w:rPr>
          <w:rFonts w:hint="eastAsia" w:ascii="Calibri" w:hAnsi="Calibri" w:eastAsia="宋体"/>
          <w:kern w:val="2"/>
          <w:sz w:val="21"/>
          <w:szCs w:val="21"/>
          <w:lang w:eastAsia="zh-CN"/>
        </w:rPr>
      </w:pPr>
      <w:r>
        <w:rPr>
          <w:rFonts w:hint="eastAsia" w:ascii="Calibri" w:hAnsi="Calibri" w:eastAsia="宋体" w:cstheme="minorBidi"/>
          <w:kern w:val="2"/>
          <w:sz w:val="21"/>
          <w:szCs w:val="21"/>
          <w:lang w:eastAsia="zh-CN"/>
        </w:rPr>
        <w:t>身份证件号：</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，职务：</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w:t>
      </w:r>
    </w:p>
    <w:p w14:paraId="5329CAD1">
      <w:pPr>
        <w:widowControl w:val="0"/>
        <w:spacing w:line="360" w:lineRule="auto"/>
        <w:ind w:firstLine="420" w:firstLineChars="20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联系电话：</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，手机：</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，电子邮箱：</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w:t>
      </w:r>
    </w:p>
    <w:p w14:paraId="69C4E514">
      <w:pPr>
        <w:widowControl w:val="0"/>
        <w:spacing w:line="360" w:lineRule="auto"/>
        <w:ind w:firstLine="420" w:firstLineChars="200"/>
        <w:jc w:val="both"/>
        <w:rPr>
          <w:rFonts w:hint="eastAsia" w:ascii="Calibri" w:hAnsi="Calibri" w:eastAsia="宋体"/>
          <w:kern w:val="2"/>
          <w:sz w:val="21"/>
          <w:szCs w:val="21"/>
          <w:lang w:eastAsia="zh-CN"/>
        </w:rPr>
      </w:pPr>
      <w:r>
        <w:rPr>
          <w:rFonts w:hint="eastAsia" w:ascii="Calibri" w:hAnsi="Calibri" w:eastAsia="宋体" w:cstheme="minorBidi"/>
          <w:kern w:val="2"/>
          <w:sz w:val="21"/>
          <w:szCs w:val="21"/>
          <w:lang w:eastAsia="zh-CN"/>
        </w:rPr>
        <w:t>授权委托日期：</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年</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月</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日。</w:t>
      </w:r>
    </w:p>
    <w:p w14:paraId="3CAA4095">
      <w:pPr>
        <w:widowControl w:val="0"/>
        <w:spacing w:line="360" w:lineRule="auto"/>
        <w:ind w:firstLine="422" w:firstLineChars="200"/>
        <w:jc w:val="both"/>
        <w:rPr>
          <w:rFonts w:hint="eastAsia" w:ascii="Calibri" w:hAnsi="Calibri" w:eastAsia="宋体"/>
          <w:b/>
          <w:color w:val="FF0000"/>
          <w:kern w:val="2"/>
          <w:sz w:val="21"/>
          <w:szCs w:val="21"/>
          <w:lang w:eastAsia="zh-CN"/>
        </w:rPr>
      </w:pPr>
      <w:r>
        <w:rPr>
          <w:rFonts w:hint="eastAsia" w:ascii="Calibri" w:hAnsi="Calibri" w:eastAsia="宋体" w:cstheme="minorBidi"/>
          <w:b/>
          <w:color w:val="FF0000"/>
          <w:kern w:val="2"/>
          <w:sz w:val="21"/>
          <w:szCs w:val="21"/>
          <w:lang w:eastAsia="zh-CN"/>
        </w:rPr>
        <w:t>附：1、请提供代理人身份证扫描件（正反两面）；港澳台居民可提供来往通行证扫描件；非中国国籍管辖范围人员，可提供公安部门认可的身份证明材料扫描件。</w:t>
      </w:r>
    </w:p>
    <w:p w14:paraId="72264F7F">
      <w:pPr>
        <w:ind w:firstLine="420" w:firstLineChars="200"/>
        <w:rPr>
          <w:rFonts w:ascii="宋体" w:hAnsi="宋体" w:eastAsia="宋体" w:cs="Arial"/>
          <w:b/>
          <w:bCs/>
          <w:sz w:val="21"/>
          <w:szCs w:val="21"/>
        </w:rPr>
      </w:pPr>
      <w:r>
        <w:rPr>
          <w:rFonts w:hint="eastAsia"/>
          <w:sz w:val="21"/>
          <w:szCs w:val="21"/>
          <w:lang w:eastAsia="zh-CN"/>
        </w:rPr>
        <w:t>2、</w:t>
      </w:r>
      <w:r>
        <w:rPr>
          <w:rFonts w:hint="eastAsia" w:ascii="宋体" w:hAnsi="宋体" w:eastAsia="宋体" w:cs="Arial"/>
          <w:b/>
          <w:bCs/>
          <w:sz w:val="21"/>
          <w:szCs w:val="21"/>
        </w:rPr>
        <w:t>投标时提供项目投标授权代表人近三个月（含开标当月）中的任意一个月的社会保险证明。</w:t>
      </w:r>
    </w:p>
    <w:p w14:paraId="62A0280E">
      <w:pPr>
        <w:ind w:firstLine="420" w:firstLineChars="200"/>
        <w:rPr>
          <w:rFonts w:ascii="宋体" w:hAnsi="宋体" w:eastAsia="宋体" w:cs="Arial"/>
          <w:bCs/>
          <w:sz w:val="21"/>
          <w:szCs w:val="21"/>
        </w:rPr>
      </w:pPr>
      <w:r>
        <w:rPr>
          <w:rFonts w:hint="eastAsia" w:ascii="宋体" w:hAnsi="宋体" w:eastAsia="宋体" w:cs="Arial"/>
          <w:bCs/>
          <w:sz w:val="21"/>
          <w:szCs w:val="21"/>
        </w:rPr>
        <w:t>注：</w:t>
      </w:r>
    </w:p>
    <w:p w14:paraId="28DD32EE">
      <w:pPr>
        <w:ind w:firstLine="420" w:firstLineChars="200"/>
        <w:rPr>
          <w:rFonts w:ascii="宋体" w:hAnsi="宋体" w:eastAsia="宋体" w:cs="Arial"/>
          <w:bCs/>
          <w:sz w:val="21"/>
          <w:szCs w:val="21"/>
        </w:rPr>
      </w:pPr>
      <w:r>
        <w:rPr>
          <w:rFonts w:hint="eastAsia" w:ascii="宋体" w:hAnsi="宋体" w:cs="Arial"/>
          <w:bCs/>
          <w:sz w:val="21"/>
          <w:szCs w:val="21"/>
          <w:lang w:eastAsia="zh-CN"/>
        </w:rPr>
        <w:t>（1）</w:t>
      </w:r>
      <w:r>
        <w:rPr>
          <w:rFonts w:hint="eastAsia" w:ascii="宋体" w:hAnsi="宋体" w:eastAsia="宋体" w:cs="Arial"/>
          <w:bCs/>
          <w:sz w:val="21"/>
          <w:szCs w:val="21"/>
        </w:rPr>
        <w:t>投标人应如实提供上述人员的社会保险证明，如上述人员的社会保险未由投标人缴纳，亦须提供相应单位为其缴纳的社会保险证明。</w:t>
      </w:r>
    </w:p>
    <w:p w14:paraId="27C48E37">
      <w:pPr>
        <w:ind w:firstLine="420" w:firstLineChars="200"/>
        <w:rPr>
          <w:rFonts w:ascii="宋体" w:hAnsi="宋体" w:eastAsia="宋体" w:cs="Arial"/>
          <w:bCs/>
          <w:sz w:val="21"/>
          <w:szCs w:val="21"/>
        </w:rPr>
      </w:pPr>
      <w:r>
        <w:rPr>
          <w:rFonts w:hint="eastAsia" w:ascii="宋体" w:hAnsi="宋体" w:cs="Arial"/>
          <w:bCs/>
          <w:sz w:val="21"/>
          <w:szCs w:val="21"/>
          <w:lang w:eastAsia="zh-CN"/>
        </w:rPr>
        <w:t>（2）</w:t>
      </w:r>
      <w:r>
        <w:rPr>
          <w:rFonts w:hint="eastAsia" w:ascii="宋体" w:hAnsi="宋体" w:eastAsia="宋体" w:cs="Arial"/>
          <w:bCs/>
          <w:sz w:val="21"/>
          <w:szCs w:val="21"/>
        </w:rPr>
        <w:t>投标人为新成立企业且成立时间不足一个月可提供加盖投标人公章的情况说明或者证明材料亦视为符合。</w:t>
      </w:r>
    </w:p>
    <w:p w14:paraId="24807D6E">
      <w:pPr>
        <w:ind w:firstLine="420" w:firstLineChars="200"/>
        <w:rPr>
          <w:rFonts w:ascii="宋体" w:hAnsi="宋体" w:eastAsia="宋体" w:cs="Arial"/>
          <w:bCs/>
          <w:sz w:val="21"/>
          <w:szCs w:val="21"/>
        </w:rPr>
      </w:pPr>
      <w:r>
        <w:rPr>
          <w:rFonts w:hint="eastAsia" w:ascii="宋体" w:hAnsi="宋体" w:cs="Arial"/>
          <w:bCs/>
          <w:sz w:val="21"/>
          <w:szCs w:val="21"/>
          <w:lang w:eastAsia="zh-CN"/>
        </w:rPr>
        <w:t>（3）</w:t>
      </w:r>
      <w:r>
        <w:rPr>
          <w:rFonts w:hint="eastAsia" w:ascii="宋体" w:hAnsi="宋体" w:eastAsia="宋体" w:cs="Arial"/>
          <w:bCs/>
          <w:sz w:val="21"/>
          <w:szCs w:val="21"/>
        </w:rPr>
        <w:t>若为退休人员，提供退休证明。</w:t>
      </w:r>
    </w:p>
    <w:p w14:paraId="31440345">
      <w:pPr>
        <w:ind w:firstLine="420" w:firstLineChars="200"/>
        <w:rPr>
          <w:rFonts w:ascii="宋体" w:hAnsi="宋体" w:eastAsia="宋体" w:cs="Arial"/>
          <w:bCs/>
          <w:sz w:val="21"/>
          <w:szCs w:val="21"/>
        </w:rPr>
      </w:pPr>
      <w:r>
        <w:rPr>
          <w:rFonts w:hint="eastAsia" w:ascii="宋体" w:hAnsi="宋体" w:cs="Arial"/>
          <w:bCs/>
          <w:sz w:val="21"/>
          <w:szCs w:val="21"/>
          <w:lang w:eastAsia="zh-CN"/>
        </w:rPr>
        <w:t>（4）</w:t>
      </w:r>
      <w:r>
        <w:rPr>
          <w:rFonts w:hint="eastAsia" w:ascii="宋体" w:hAnsi="宋体" w:eastAsia="宋体" w:cs="Arial"/>
          <w:bCs/>
          <w:sz w:val="21"/>
          <w:szCs w:val="21"/>
        </w:rPr>
        <w:t>如依法不需要缴纳社会保险的，应提供相应文件证明。</w:t>
      </w:r>
    </w:p>
    <w:p w14:paraId="58CFE36E">
      <w:pPr>
        <w:ind w:firstLine="420" w:firstLineChars="200"/>
        <w:rPr>
          <w:rFonts w:ascii="宋体" w:hAnsi="宋体" w:eastAsia="宋体" w:cs="Arial"/>
          <w:bCs/>
          <w:sz w:val="21"/>
          <w:szCs w:val="21"/>
        </w:rPr>
      </w:pPr>
      <w:r>
        <w:rPr>
          <w:rFonts w:hint="eastAsia" w:ascii="宋体" w:hAnsi="宋体" w:cs="Arial"/>
          <w:bCs/>
          <w:sz w:val="21"/>
          <w:szCs w:val="21"/>
          <w:lang w:eastAsia="zh-CN"/>
        </w:rPr>
        <w:t>（5）</w:t>
      </w:r>
      <w:r>
        <w:rPr>
          <w:rFonts w:hint="eastAsia" w:ascii="宋体" w:hAnsi="宋体" w:eastAsia="宋体" w:cs="Arial"/>
          <w:bCs/>
          <w:sz w:val="21"/>
          <w:szCs w:val="21"/>
        </w:rPr>
        <w:t>若因为社保部门或税务部门原因无法提供的，需提供劳动合同及社保部门或税务部门官方通知证明（或官网公告截图）。</w:t>
      </w:r>
    </w:p>
    <w:p w14:paraId="4718E970">
      <w:pPr>
        <w:ind w:firstLine="420" w:firstLineChars="200"/>
        <w:rPr>
          <w:rFonts w:ascii="宋体" w:hAnsi="宋体" w:eastAsia="宋体" w:cs="Arial"/>
          <w:bCs/>
          <w:sz w:val="21"/>
          <w:szCs w:val="21"/>
        </w:rPr>
      </w:pPr>
      <w:r>
        <w:rPr>
          <w:rFonts w:hint="eastAsia" w:ascii="宋体" w:hAnsi="宋体" w:cs="Arial"/>
          <w:bCs/>
          <w:sz w:val="21"/>
          <w:szCs w:val="21"/>
          <w:lang w:eastAsia="zh-CN"/>
        </w:rPr>
        <w:t>（6）</w:t>
      </w:r>
      <w:r>
        <w:rPr>
          <w:rFonts w:hint="eastAsia" w:ascii="宋体" w:hAnsi="宋体" w:eastAsia="宋体" w:cs="Arial"/>
          <w:bCs/>
          <w:sz w:val="21"/>
          <w:szCs w:val="21"/>
        </w:rPr>
        <w:t>如本项目未安排项目投标授权代表人的，无需提供投标授权代表人的社保。</w:t>
      </w:r>
    </w:p>
    <w:p w14:paraId="7FCEB320">
      <w:pPr>
        <w:widowControl w:val="0"/>
        <w:spacing w:line="360" w:lineRule="auto"/>
        <w:ind w:firstLine="420" w:firstLineChars="200"/>
        <w:jc w:val="both"/>
        <w:rPr>
          <w:rFonts w:hint="eastAsia" w:ascii="Calibri" w:hAnsi="Calibri" w:eastAsia="宋体"/>
          <w:b/>
          <w:color w:val="FF0000"/>
          <w:kern w:val="2"/>
          <w:sz w:val="21"/>
          <w:szCs w:val="21"/>
          <w:lang w:eastAsia="zh-CN"/>
        </w:rPr>
      </w:pPr>
      <w:r>
        <w:rPr>
          <w:rFonts w:hint="eastAsia"/>
          <w:b/>
          <w:color w:val="FF0000"/>
          <w:sz w:val="21"/>
          <w:szCs w:val="21"/>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7"/>
        <w:gridCol w:w="4429"/>
      </w:tblGrid>
      <w:tr w14:paraId="4ACB6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8" w:hRule="atLeast"/>
        </w:trPr>
        <w:tc>
          <w:tcPr>
            <w:tcW w:w="4269" w:type="dxa"/>
          </w:tcPr>
          <w:p w14:paraId="712307D6">
            <w:pPr>
              <w:widowControl w:val="0"/>
              <w:jc w:val="center"/>
              <w:rPr>
                <w:rFonts w:ascii="Calibri" w:hAnsi="Calibri" w:eastAsia="宋体"/>
                <w:kern w:val="2"/>
                <w:sz w:val="21"/>
                <w:szCs w:val="22"/>
                <w:lang w:eastAsia="zh-CN"/>
              </w:rPr>
            </w:pPr>
            <w:r>
              <w:rPr>
                <w:rFonts w:hint="eastAsia" w:hAnsi="Calibri" w:eastAsia="宋体" w:cstheme="minorBidi"/>
                <w:kern w:val="2"/>
                <w:sz w:val="21"/>
                <w:szCs w:val="22"/>
                <w:lang w:eastAsia="zh-CN"/>
              </w:rPr>
              <w:t>证件扫描件正面</w:t>
            </w:r>
          </w:p>
          <w:p w14:paraId="358FA23B">
            <w:pPr>
              <w:widowControl w:val="0"/>
              <w:spacing w:line="360" w:lineRule="auto"/>
              <w:jc w:val="center"/>
              <w:rPr>
                <w:rFonts w:ascii="Calibri" w:hAnsi="Calibri" w:eastAsia="宋体"/>
                <w:b/>
                <w:bCs/>
                <w:kern w:val="2"/>
                <w:szCs w:val="22"/>
                <w:lang w:eastAsia="zh-CN"/>
              </w:rPr>
            </w:pPr>
          </w:p>
          <w:p w14:paraId="711E01AD">
            <w:pPr>
              <w:widowControl w:val="0"/>
              <w:spacing w:line="360" w:lineRule="auto"/>
              <w:jc w:val="center"/>
              <w:rPr>
                <w:rFonts w:ascii="Calibri" w:hAnsi="Calibri" w:eastAsia="宋体"/>
                <w:kern w:val="2"/>
                <w:szCs w:val="22"/>
                <w:lang w:eastAsia="zh-CN"/>
              </w:rPr>
            </w:pPr>
          </w:p>
        </w:tc>
        <w:tc>
          <w:tcPr>
            <w:tcW w:w="4270" w:type="dxa"/>
          </w:tcPr>
          <w:p w14:paraId="266A5486">
            <w:pPr>
              <w:widowControl w:val="0"/>
              <w:jc w:val="center"/>
              <w:rPr>
                <w:rFonts w:ascii="Calibri" w:hAnsi="Calibri" w:eastAsia="宋体"/>
                <w:kern w:val="2"/>
                <w:sz w:val="21"/>
                <w:szCs w:val="22"/>
                <w:lang w:eastAsia="zh-CN"/>
              </w:rPr>
            </w:pPr>
            <w:r>
              <w:rPr>
                <w:rFonts w:hint="eastAsia" w:hAnsi="Calibri" w:eastAsia="宋体" w:cstheme="minorBidi"/>
                <w:kern w:val="2"/>
                <w:sz w:val="21"/>
                <w:szCs w:val="22"/>
                <w:lang w:eastAsia="zh-CN"/>
              </w:rPr>
              <w:t>证件扫描件反面</w:t>
            </w:r>
          </w:p>
          <w:p w14:paraId="4A98BE06">
            <w:pPr>
              <w:widowControl w:val="0"/>
              <w:spacing w:line="360" w:lineRule="auto"/>
              <w:jc w:val="center"/>
              <w:rPr>
                <w:rFonts w:ascii="Calibri" w:hAnsi="Calibri" w:eastAsia="宋体"/>
                <w:b/>
                <w:bCs/>
                <w:kern w:val="2"/>
                <w:szCs w:val="22"/>
                <w:lang w:eastAsia="zh-CN"/>
              </w:rPr>
            </w:pPr>
          </w:p>
          <w:p w14:paraId="04C7139C">
            <w:pPr>
              <w:widowControl w:val="0"/>
              <w:spacing w:line="360" w:lineRule="auto"/>
              <w:jc w:val="center"/>
              <w:rPr>
                <w:rFonts w:ascii="Calibri" w:hAnsi="Calibri" w:eastAsia="宋体"/>
                <w:kern w:val="2"/>
                <w:szCs w:val="22"/>
                <w:lang w:eastAsia="zh-CN"/>
              </w:rPr>
            </w:pPr>
          </w:p>
        </w:tc>
      </w:tr>
    </w:tbl>
    <w:p w14:paraId="649AE685">
      <w:pPr>
        <w:widowControl w:val="0"/>
        <w:tabs>
          <w:tab w:val="left" w:pos="651"/>
        </w:tabs>
        <w:snapToGrid w:val="0"/>
        <w:jc w:val="center"/>
        <w:rPr>
          <w:rFonts w:ascii="黑体" w:hAnsi="Calibri" w:eastAsia="黑体"/>
          <w:lang w:eastAsia="zh-CN"/>
        </w:rPr>
      </w:pPr>
    </w:p>
    <w:p w14:paraId="0DD5D748">
      <w:pPr>
        <w:widowControl w:val="0"/>
        <w:spacing w:after="120" w:line="240" w:lineRule="auto"/>
        <w:ind w:left="480" w:leftChars="200" w:firstLine="480" w:firstLineChars="200"/>
        <w:jc w:val="both"/>
        <w:rPr>
          <w:rFonts w:ascii="黑体" w:hAnsi="Calibri" w:eastAsia="黑体"/>
          <w:lang w:eastAsia="zh-CN"/>
        </w:rPr>
      </w:pPr>
    </w:p>
    <w:p w14:paraId="57A87F11">
      <w:pPr>
        <w:widowControl w:val="0"/>
        <w:spacing w:after="120" w:line="240" w:lineRule="auto"/>
        <w:ind w:left="480" w:leftChars="200" w:firstLine="480" w:firstLineChars="200"/>
        <w:jc w:val="both"/>
        <w:rPr>
          <w:rFonts w:ascii="黑体" w:hAnsi="Calibri" w:eastAsia="黑体"/>
          <w:lang w:eastAsia="zh-CN"/>
        </w:rPr>
      </w:pPr>
    </w:p>
    <w:p w14:paraId="39A62808">
      <w:pPr>
        <w:widowControl w:val="0"/>
        <w:spacing w:after="120" w:line="240" w:lineRule="auto"/>
        <w:ind w:left="480" w:leftChars="200" w:firstLine="480" w:firstLineChars="200"/>
        <w:jc w:val="both"/>
        <w:rPr>
          <w:rFonts w:ascii="黑体" w:hAnsi="Calibri" w:eastAsia="黑体"/>
          <w:lang w:eastAsia="zh-CN"/>
        </w:rPr>
      </w:pPr>
    </w:p>
    <w:p w14:paraId="1F42B471">
      <w:pPr>
        <w:widowControl w:val="0"/>
        <w:jc w:val="center"/>
        <w:rPr>
          <w:rFonts w:ascii="黑体" w:hAnsi="Calibri" w:eastAsia="黑体"/>
          <w:b/>
          <w:kern w:val="2"/>
          <w:sz w:val="30"/>
          <w:szCs w:val="22"/>
          <w:lang w:eastAsia="zh-CN"/>
        </w:rPr>
      </w:pPr>
      <w:r>
        <w:rPr>
          <w:rFonts w:hint="eastAsia" w:ascii="黑体" w:hAnsi="Calibri" w:eastAsia="黑体" w:cstheme="minorBidi"/>
          <w:b/>
          <w:kern w:val="2"/>
          <w:sz w:val="30"/>
          <w:szCs w:val="22"/>
          <w:lang w:eastAsia="zh-CN"/>
        </w:rPr>
        <w:t>九、</w:t>
      </w:r>
      <w:bookmarkStart w:id="26" w:name="_Hlk72092634"/>
      <w:r>
        <w:rPr>
          <w:rFonts w:hint="eastAsia" w:ascii="黑体" w:hAnsi="Calibri" w:eastAsia="黑体" w:cstheme="minorBidi"/>
          <w:b/>
          <w:kern w:val="2"/>
          <w:sz w:val="30"/>
          <w:szCs w:val="22"/>
          <w:lang w:eastAsia="zh-CN"/>
        </w:rPr>
        <w:t>实质性条款响应情况表</w:t>
      </w:r>
      <w:bookmarkEnd w:id="26"/>
    </w:p>
    <w:p w14:paraId="16DBFFE7">
      <w:pPr>
        <w:widowControl w:val="0"/>
        <w:snapToGrid w:val="0"/>
        <w:jc w:val="both"/>
        <w:rPr>
          <w:rFonts w:ascii="Arial" w:hAnsi="Arial" w:eastAsia="宋体" w:cs="Arial"/>
          <w:kern w:val="2"/>
          <w:lang w:eastAsia="zh-CN"/>
        </w:rPr>
      </w:pPr>
      <w:r>
        <w:rPr>
          <w:rFonts w:hint="eastAsia" w:ascii="Arial" w:hAnsi="Arial" w:eastAsia="宋体" w:cs="Arial"/>
          <w:color w:val="000000"/>
          <w:kern w:val="2"/>
          <w:lang w:eastAsia="zh-CN"/>
        </w:rPr>
        <w:t>投标单位（投标人）名称：</w:t>
      </w:r>
    </w:p>
    <w:p w14:paraId="0F02BC11">
      <w:pPr>
        <w:widowControl w:val="0"/>
        <w:snapToGrid w:val="0"/>
        <w:jc w:val="both"/>
        <w:rPr>
          <w:rFonts w:ascii="宋体" w:hAnsi="宋体" w:eastAsia="宋体"/>
          <w:b/>
          <w:kern w:val="2"/>
          <w:lang w:eastAsia="zh-CN"/>
        </w:rPr>
      </w:pPr>
    </w:p>
    <w:tbl>
      <w:tblPr>
        <w:tblStyle w:val="7"/>
        <w:tblW w:w="5000" w:type="pct"/>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578"/>
        <w:gridCol w:w="3657"/>
        <w:gridCol w:w="2047"/>
        <w:gridCol w:w="1632"/>
        <w:gridCol w:w="942"/>
      </w:tblGrid>
      <w:tr w14:paraId="6A92467A">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529" w:hRule="atLeast"/>
          <w:jc w:val="center"/>
        </w:trPr>
        <w:tc>
          <w:tcPr>
            <w:tcW w:w="602" w:type="dxa"/>
            <w:vAlign w:val="center"/>
          </w:tcPr>
          <w:p w14:paraId="753393F7">
            <w:pPr>
              <w:widowControl w:val="0"/>
              <w:jc w:val="center"/>
              <w:rPr>
                <w:rFonts w:ascii="宋体" w:hAnsi="宋体" w:eastAsia="宋体" w:cs="Arial"/>
                <w:b/>
                <w:kern w:val="2"/>
                <w:sz w:val="21"/>
                <w:szCs w:val="21"/>
                <w:lang w:eastAsia="zh-CN"/>
              </w:rPr>
            </w:pPr>
            <w:r>
              <w:rPr>
                <w:rFonts w:hint="eastAsia" w:ascii="宋体" w:hAnsi="宋体" w:eastAsia="宋体" w:cs="Arial"/>
                <w:b/>
                <w:kern w:val="2"/>
                <w:sz w:val="21"/>
                <w:szCs w:val="21"/>
                <w:lang w:eastAsia="zh-CN"/>
              </w:rPr>
              <w:t>序号</w:t>
            </w:r>
          </w:p>
        </w:tc>
        <w:tc>
          <w:tcPr>
            <w:tcW w:w="3901" w:type="dxa"/>
            <w:vAlign w:val="center"/>
          </w:tcPr>
          <w:p w14:paraId="1F144DB4">
            <w:pPr>
              <w:widowControl w:val="0"/>
              <w:jc w:val="center"/>
              <w:rPr>
                <w:rFonts w:ascii="宋体" w:hAnsi="宋体" w:eastAsia="宋体" w:cs="Arial"/>
                <w:b/>
                <w:kern w:val="2"/>
                <w:sz w:val="21"/>
                <w:szCs w:val="21"/>
                <w:lang w:eastAsia="zh-CN"/>
              </w:rPr>
            </w:pPr>
            <w:r>
              <w:rPr>
                <w:rFonts w:hint="eastAsia" w:ascii="宋体" w:hAnsi="宋体" w:eastAsia="宋体" w:cs="Arial"/>
                <w:b/>
                <w:kern w:val="2"/>
                <w:sz w:val="21"/>
                <w:szCs w:val="21"/>
                <w:lang w:eastAsia="zh-CN"/>
              </w:rPr>
              <w:t>实质性条款具体内容</w:t>
            </w:r>
          </w:p>
        </w:tc>
        <w:tc>
          <w:tcPr>
            <w:tcW w:w="2176" w:type="dxa"/>
            <w:vAlign w:val="center"/>
          </w:tcPr>
          <w:p w14:paraId="412C8E57">
            <w:pPr>
              <w:widowControl w:val="0"/>
              <w:jc w:val="center"/>
              <w:rPr>
                <w:rFonts w:ascii="宋体" w:hAnsi="宋体" w:eastAsia="宋体" w:cs="Arial"/>
                <w:b/>
                <w:kern w:val="2"/>
                <w:sz w:val="21"/>
                <w:szCs w:val="21"/>
                <w:lang w:eastAsia="zh-CN"/>
              </w:rPr>
            </w:pPr>
            <w:r>
              <w:rPr>
                <w:rFonts w:hint="eastAsia" w:ascii="宋体" w:hAnsi="宋体" w:eastAsia="宋体" w:cs="Arial"/>
                <w:b/>
                <w:kern w:val="2"/>
                <w:sz w:val="21"/>
                <w:szCs w:val="21"/>
                <w:lang w:eastAsia="zh-CN"/>
              </w:rPr>
              <w:t>投标文件响应</w:t>
            </w:r>
          </w:p>
        </w:tc>
        <w:tc>
          <w:tcPr>
            <w:tcW w:w="1732" w:type="dxa"/>
          </w:tcPr>
          <w:p w14:paraId="28016020">
            <w:pPr>
              <w:widowControl w:val="0"/>
              <w:spacing w:before="120" w:beforeLines="50"/>
              <w:jc w:val="center"/>
              <w:rPr>
                <w:rFonts w:ascii="宋体" w:hAnsi="宋体" w:eastAsia="宋体" w:cs="Arial"/>
                <w:b/>
                <w:kern w:val="2"/>
                <w:sz w:val="21"/>
                <w:szCs w:val="21"/>
                <w:lang w:eastAsia="zh-CN"/>
              </w:rPr>
            </w:pPr>
            <w:r>
              <w:rPr>
                <w:rFonts w:hint="eastAsia" w:ascii="宋体" w:hAnsi="宋体" w:eastAsia="宋体" w:cs="Arial"/>
                <w:b/>
                <w:kern w:val="2"/>
                <w:sz w:val="21"/>
                <w:szCs w:val="21"/>
                <w:lang w:eastAsia="zh-CN"/>
              </w:rPr>
              <w:t>偏离情况</w:t>
            </w:r>
          </w:p>
        </w:tc>
        <w:tc>
          <w:tcPr>
            <w:tcW w:w="992" w:type="dxa"/>
            <w:vAlign w:val="center"/>
          </w:tcPr>
          <w:p w14:paraId="2E6F1C77">
            <w:pPr>
              <w:widowControl w:val="0"/>
              <w:jc w:val="center"/>
              <w:rPr>
                <w:rFonts w:ascii="宋体" w:hAnsi="宋体" w:eastAsia="宋体" w:cs="Arial"/>
                <w:b/>
                <w:kern w:val="2"/>
                <w:sz w:val="21"/>
                <w:szCs w:val="21"/>
                <w:lang w:eastAsia="zh-CN"/>
              </w:rPr>
            </w:pPr>
            <w:r>
              <w:rPr>
                <w:rFonts w:hint="eastAsia" w:ascii="宋体" w:hAnsi="宋体" w:eastAsia="宋体" w:cs="Arial"/>
                <w:b/>
                <w:kern w:val="2"/>
                <w:sz w:val="21"/>
                <w:szCs w:val="21"/>
                <w:lang w:eastAsia="zh-CN"/>
              </w:rPr>
              <w:t>说明</w:t>
            </w:r>
          </w:p>
        </w:tc>
      </w:tr>
      <w:tr w14:paraId="6486161D">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1060" w:hRule="atLeast"/>
          <w:jc w:val="center"/>
        </w:trPr>
        <w:tc>
          <w:tcPr>
            <w:tcW w:w="602" w:type="dxa"/>
            <w:vAlign w:val="center"/>
          </w:tcPr>
          <w:p w14:paraId="04C32622">
            <w:pPr>
              <w:widowControl w:val="0"/>
              <w:spacing w:line="300" w:lineRule="auto"/>
              <w:jc w:val="center"/>
              <w:rPr>
                <w:rFonts w:ascii="宋体" w:hAnsi="宋体" w:eastAsia="宋体"/>
                <w:b/>
                <w:color w:val="FF0000"/>
                <w:sz w:val="21"/>
                <w:szCs w:val="21"/>
                <w:lang w:eastAsia="zh-CN"/>
              </w:rPr>
            </w:pPr>
            <w:r>
              <w:rPr>
                <w:rFonts w:hint="eastAsia" w:ascii="宋体" w:hAnsi="宋体" w:eastAsia="宋体"/>
                <w:b/>
                <w:color w:val="FF0000"/>
                <w:sz w:val="21"/>
                <w:szCs w:val="21"/>
                <w:lang w:eastAsia="zh-CN"/>
              </w:rPr>
              <w:t>1</w:t>
            </w:r>
          </w:p>
        </w:tc>
        <w:tc>
          <w:tcPr>
            <w:tcW w:w="3901" w:type="dxa"/>
            <w:vAlign w:val="center"/>
          </w:tcPr>
          <w:p w14:paraId="7F6B4873">
            <w:pPr>
              <w:widowControl w:val="0"/>
              <w:spacing w:line="300" w:lineRule="auto"/>
              <w:jc w:val="center"/>
              <w:rPr>
                <w:rFonts w:ascii="宋体" w:hAnsi="宋体" w:eastAsia="宋体"/>
                <w:b/>
                <w:color w:val="FF0000"/>
                <w:sz w:val="21"/>
                <w:szCs w:val="21"/>
                <w:lang w:eastAsia="zh-CN"/>
              </w:rPr>
            </w:pPr>
            <w:r>
              <w:rPr>
                <w:rFonts w:hint="eastAsia" w:ascii="宋体" w:hAnsi="宋体" w:eastAsia="宋体"/>
                <w:b/>
                <w:color w:val="FF0000"/>
                <w:sz w:val="21"/>
                <w:szCs w:val="21"/>
                <w:lang w:eastAsia="zh-CN"/>
              </w:rPr>
              <w:t>本项目招标文件中所有带★号条款内容</w:t>
            </w:r>
          </w:p>
        </w:tc>
        <w:tc>
          <w:tcPr>
            <w:tcW w:w="2176" w:type="dxa"/>
            <w:vAlign w:val="center"/>
          </w:tcPr>
          <w:p w14:paraId="407E49AA">
            <w:pPr>
              <w:widowControl w:val="0"/>
              <w:spacing w:line="300" w:lineRule="auto"/>
              <w:jc w:val="center"/>
              <w:rPr>
                <w:rFonts w:ascii="宋体" w:hAnsi="宋体" w:eastAsia="宋体"/>
                <w:b/>
                <w:sz w:val="21"/>
                <w:szCs w:val="21"/>
                <w:lang w:eastAsia="zh-CN"/>
              </w:rPr>
            </w:pPr>
            <w:r>
              <w:rPr>
                <w:rFonts w:hint="eastAsia" w:ascii="宋体" w:hAnsi="宋体" w:eastAsia="宋体"/>
                <w:b/>
                <w:sz w:val="21"/>
                <w:szCs w:val="21"/>
                <w:lang w:eastAsia="zh-CN"/>
              </w:rPr>
              <w:t>完全响应</w:t>
            </w:r>
          </w:p>
        </w:tc>
        <w:tc>
          <w:tcPr>
            <w:tcW w:w="1732" w:type="dxa"/>
            <w:vAlign w:val="center"/>
          </w:tcPr>
          <w:p w14:paraId="1CA95B81">
            <w:pPr>
              <w:widowControl w:val="0"/>
              <w:spacing w:line="300" w:lineRule="auto"/>
              <w:jc w:val="center"/>
              <w:rPr>
                <w:rFonts w:ascii="宋体" w:hAnsi="宋体" w:eastAsia="宋体"/>
                <w:b/>
                <w:sz w:val="21"/>
                <w:szCs w:val="21"/>
                <w:lang w:eastAsia="zh-CN"/>
              </w:rPr>
            </w:pPr>
            <w:r>
              <w:rPr>
                <w:rFonts w:hint="eastAsia" w:ascii="宋体" w:hAnsi="宋体" w:eastAsia="宋体"/>
                <w:b/>
                <w:sz w:val="21"/>
                <w:szCs w:val="21"/>
                <w:lang w:eastAsia="zh-CN"/>
              </w:rPr>
              <w:t>无偏离</w:t>
            </w:r>
          </w:p>
        </w:tc>
        <w:tc>
          <w:tcPr>
            <w:tcW w:w="992" w:type="dxa"/>
            <w:vAlign w:val="center"/>
          </w:tcPr>
          <w:p w14:paraId="2C75BBD8">
            <w:pPr>
              <w:widowControl w:val="0"/>
              <w:spacing w:line="300" w:lineRule="auto"/>
              <w:jc w:val="center"/>
              <w:rPr>
                <w:rFonts w:ascii="宋体" w:hAnsi="宋体" w:eastAsia="宋体"/>
                <w:b/>
                <w:color w:val="FF0000"/>
                <w:sz w:val="21"/>
                <w:szCs w:val="21"/>
                <w:lang w:eastAsia="zh-CN"/>
              </w:rPr>
            </w:pPr>
          </w:p>
        </w:tc>
      </w:tr>
    </w:tbl>
    <w:p w14:paraId="78B3E23B">
      <w:pPr>
        <w:widowControl w:val="0"/>
        <w:snapToGrid w:val="0"/>
        <w:jc w:val="both"/>
        <w:rPr>
          <w:rFonts w:ascii="宋体" w:hAnsi="宋体" w:eastAsia="宋体"/>
          <w:kern w:val="2"/>
          <w:lang w:eastAsia="zh-CN"/>
        </w:rPr>
      </w:pPr>
    </w:p>
    <w:p w14:paraId="456AC6F0">
      <w:pPr>
        <w:widowControl w:val="0"/>
        <w:snapToGrid w:val="0"/>
        <w:jc w:val="both"/>
        <w:rPr>
          <w:rFonts w:ascii="宋体" w:hAnsi="宋体" w:eastAsia="宋体"/>
          <w:b/>
          <w:kern w:val="2"/>
          <w:lang w:eastAsia="zh-CN"/>
        </w:rPr>
      </w:pPr>
      <w:r>
        <w:rPr>
          <w:rFonts w:hint="eastAsia" w:ascii="宋体" w:hAnsi="宋体" w:eastAsia="宋体"/>
          <w:b/>
          <w:kern w:val="2"/>
          <w:lang w:eastAsia="zh-CN"/>
        </w:rPr>
        <w:t>填写说明：</w:t>
      </w:r>
    </w:p>
    <w:p w14:paraId="557D7A0C">
      <w:pPr>
        <w:widowControl w:val="0"/>
        <w:spacing w:line="276" w:lineRule="auto"/>
        <w:ind w:firstLine="480" w:firstLineChars="200"/>
        <w:jc w:val="both"/>
        <w:rPr>
          <w:rFonts w:ascii="宋体" w:hAnsi="宋体" w:eastAsia="宋体" w:cs="宋体"/>
          <w:bCs/>
          <w:kern w:val="2"/>
          <w:lang w:eastAsia="zh-CN"/>
        </w:rPr>
      </w:pPr>
      <w:r>
        <w:rPr>
          <w:rFonts w:hint="eastAsia" w:ascii="宋体" w:hAnsi="宋体" w:eastAsia="宋体" w:cs="宋体"/>
          <w:bCs/>
          <w:kern w:val="2"/>
          <w:lang w:eastAsia="zh-CN"/>
        </w:rPr>
        <w:t>1、上表所列各项均为不可负偏离条款。</w:t>
      </w:r>
    </w:p>
    <w:p w14:paraId="21C6EE91">
      <w:pPr>
        <w:widowControl w:val="0"/>
        <w:spacing w:line="276" w:lineRule="auto"/>
        <w:ind w:firstLine="480" w:firstLineChars="200"/>
        <w:jc w:val="both"/>
        <w:rPr>
          <w:rFonts w:ascii="宋体" w:hAnsi="宋体" w:eastAsia="宋体" w:cs="宋体"/>
          <w:bCs/>
          <w:kern w:val="2"/>
          <w:lang w:eastAsia="zh-CN"/>
        </w:rPr>
      </w:pPr>
      <w:r>
        <w:rPr>
          <w:rFonts w:hint="eastAsia" w:ascii="宋体" w:hAnsi="宋体" w:eastAsia="宋体" w:cs="宋体"/>
          <w:bCs/>
          <w:kern w:val="2"/>
          <w:lang w:eastAsia="zh-CN"/>
        </w:rPr>
        <w:t>2、“投标文件响应”一栏应当详细填写投标人自身响应情况，而不能不合理照搬照抄招标文件实质性条款具体内容。</w:t>
      </w:r>
      <w:r>
        <w:rPr>
          <w:rFonts w:hint="eastAsia" w:ascii="宋体" w:hAnsi="宋体" w:eastAsia="宋体" w:cs="宋体"/>
          <w:b/>
          <w:bCs/>
          <w:kern w:val="2"/>
          <w:lang w:eastAsia="zh-CN"/>
        </w:rPr>
        <w:t>如完全满足实质性条款具体内容可填写“完全响应”，除招标文件另有注明外，不强制要求逐条列出响应。</w:t>
      </w:r>
    </w:p>
    <w:p w14:paraId="33C36D93">
      <w:pPr>
        <w:widowControl w:val="0"/>
        <w:spacing w:line="276" w:lineRule="auto"/>
        <w:ind w:firstLine="480" w:firstLineChars="200"/>
        <w:jc w:val="both"/>
        <w:rPr>
          <w:rFonts w:ascii="宋体" w:hAnsi="宋体" w:eastAsia="宋体" w:cs="宋体"/>
          <w:bCs/>
          <w:kern w:val="2"/>
          <w:lang w:eastAsia="zh-CN"/>
        </w:rPr>
      </w:pPr>
      <w:r>
        <w:rPr>
          <w:rFonts w:hint="eastAsia" w:ascii="宋体" w:hAnsi="宋体" w:eastAsia="宋体" w:cs="宋体"/>
          <w:bCs/>
          <w:kern w:val="2"/>
          <w:lang w:eastAsia="zh-CN"/>
        </w:rPr>
        <w:t>3、“偏离情况”一栏应填写</w:t>
      </w:r>
      <w:r>
        <w:rPr>
          <w:rFonts w:hint="eastAsia" w:ascii="宋体" w:hAnsi="宋体" w:eastAsia="宋体" w:cs="宋体"/>
          <w:kern w:val="2"/>
          <w:lang w:eastAsia="zh-CN"/>
        </w:rPr>
        <w:t>“</w:t>
      </w:r>
      <w:r>
        <w:rPr>
          <w:rFonts w:hint="eastAsia" w:ascii="宋体" w:hAnsi="宋体" w:eastAsia="宋体" w:cs="宋体"/>
          <w:b/>
          <w:bCs/>
          <w:kern w:val="2"/>
          <w:lang w:eastAsia="zh-CN"/>
        </w:rPr>
        <w:t>正偏离</w:t>
      </w:r>
      <w:r>
        <w:rPr>
          <w:rFonts w:hint="eastAsia" w:ascii="宋体" w:hAnsi="宋体" w:eastAsia="宋体" w:cs="宋体"/>
          <w:kern w:val="2"/>
          <w:lang w:eastAsia="zh-CN"/>
        </w:rPr>
        <w:t>”或“</w:t>
      </w:r>
      <w:r>
        <w:rPr>
          <w:rFonts w:hint="eastAsia" w:ascii="宋体" w:hAnsi="宋体" w:eastAsia="宋体" w:cs="宋体"/>
          <w:b/>
          <w:bCs/>
          <w:kern w:val="2"/>
          <w:lang w:eastAsia="zh-CN"/>
        </w:rPr>
        <w:t>负偏离</w:t>
      </w:r>
      <w:r>
        <w:rPr>
          <w:rFonts w:hint="eastAsia" w:ascii="宋体" w:hAnsi="宋体" w:eastAsia="宋体" w:cs="宋体"/>
          <w:kern w:val="2"/>
          <w:lang w:eastAsia="zh-CN"/>
        </w:rPr>
        <w:t>”或“</w:t>
      </w:r>
      <w:r>
        <w:rPr>
          <w:rFonts w:hint="eastAsia" w:ascii="宋体" w:hAnsi="宋体" w:eastAsia="宋体" w:cs="宋体"/>
          <w:b/>
          <w:bCs/>
          <w:kern w:val="2"/>
          <w:lang w:eastAsia="zh-CN"/>
        </w:rPr>
        <w:t>无偏离</w:t>
      </w:r>
      <w:r>
        <w:rPr>
          <w:rFonts w:hint="eastAsia" w:ascii="宋体" w:hAnsi="宋体" w:eastAsia="宋体" w:cs="宋体"/>
          <w:kern w:val="2"/>
          <w:lang w:eastAsia="zh-CN"/>
        </w:rPr>
        <w:t>”</w:t>
      </w:r>
      <w:r>
        <w:rPr>
          <w:rFonts w:hint="eastAsia" w:ascii="宋体" w:hAnsi="宋体" w:eastAsia="宋体" w:cs="宋体"/>
          <w:bCs/>
          <w:kern w:val="2"/>
          <w:lang w:eastAsia="zh-CN"/>
        </w:rPr>
        <w:t>，“正偏离”表示“投标响应优于实质性条款具体内容要求”，“负偏离”表示“投标响应不满足实质性条款具体内容要求”，“无偏离”表示“投标响应与实质性条款具体内容要求一致”。</w:t>
      </w:r>
    </w:p>
    <w:p w14:paraId="67A8160F">
      <w:pPr>
        <w:widowControl w:val="0"/>
        <w:spacing w:line="276" w:lineRule="auto"/>
        <w:ind w:firstLine="480" w:firstLineChars="200"/>
        <w:jc w:val="both"/>
        <w:rPr>
          <w:rFonts w:ascii="宋体" w:hAnsi="宋体" w:eastAsia="宋体" w:cs="宋体"/>
          <w:bCs/>
          <w:kern w:val="2"/>
          <w:lang w:eastAsia="zh-CN"/>
        </w:rPr>
      </w:pPr>
      <w:r>
        <w:rPr>
          <w:rFonts w:hint="eastAsia" w:ascii="宋体" w:hAnsi="宋体" w:eastAsia="宋体" w:cs="宋体"/>
          <w:bCs/>
          <w:kern w:val="2"/>
          <w:lang w:eastAsia="zh-CN"/>
        </w:rPr>
        <w:t>4、评审委员会有权对投标响应情况作出判断。</w:t>
      </w:r>
    </w:p>
    <w:p w14:paraId="5F493B3D">
      <w:pPr>
        <w:widowControl w:val="0"/>
        <w:spacing w:line="276" w:lineRule="auto"/>
        <w:ind w:firstLine="480" w:firstLineChars="200"/>
        <w:jc w:val="both"/>
        <w:rPr>
          <w:rFonts w:ascii="宋体" w:hAnsi="宋体" w:eastAsia="宋体" w:cs="宋体"/>
          <w:bCs/>
          <w:kern w:val="2"/>
          <w:lang w:eastAsia="zh-CN"/>
        </w:rPr>
      </w:pPr>
      <w:r>
        <w:rPr>
          <w:rFonts w:hint="eastAsia" w:ascii="宋体" w:hAnsi="宋体" w:eastAsia="宋体" w:cs="宋体"/>
          <w:bCs/>
          <w:kern w:val="2"/>
          <w:lang w:eastAsia="zh-CN"/>
        </w:rPr>
        <w:t>5、实质性响应条款“投标响应情况”与投标文件其它内容冲突的，以实质性响应条款“投标响应情况”为准。</w:t>
      </w:r>
    </w:p>
    <w:p w14:paraId="28865B46">
      <w:pPr>
        <w:widowControl w:val="0"/>
        <w:spacing w:line="276" w:lineRule="auto"/>
        <w:ind w:firstLine="480" w:firstLineChars="200"/>
        <w:jc w:val="both"/>
        <w:rPr>
          <w:rFonts w:ascii="宋体" w:hAnsi="宋体" w:eastAsia="宋体" w:cs="宋体"/>
          <w:bCs/>
          <w:kern w:val="2"/>
          <w:lang w:eastAsia="zh-CN"/>
        </w:rPr>
      </w:pPr>
      <w:r>
        <w:rPr>
          <w:rFonts w:hint="eastAsia" w:ascii="宋体" w:hAnsi="宋体" w:eastAsia="宋体" w:cs="宋体"/>
          <w:bCs/>
          <w:kern w:val="2"/>
          <w:lang w:eastAsia="zh-CN"/>
        </w:rPr>
        <w:t>6、以上实质性条款中要求提供证明材料，需如实提供证明材料扫描件，在“说明”一栏中列明证明材料的位置，以便评审；未要求提供证明材料的，投标人可以不提供。</w:t>
      </w:r>
    </w:p>
    <w:p w14:paraId="3D48295C">
      <w:pPr>
        <w:widowControl w:val="0"/>
        <w:jc w:val="both"/>
        <w:rPr>
          <w:rFonts w:ascii="宋体" w:hAnsi="宋体" w:eastAsia="宋体"/>
          <w:b/>
          <w:bCs/>
          <w:szCs w:val="20"/>
          <w:lang w:eastAsia="zh-CN"/>
        </w:rPr>
      </w:pPr>
    </w:p>
    <w:p w14:paraId="4BB788B2">
      <w:pPr>
        <w:widowControl w:val="0"/>
        <w:jc w:val="both"/>
        <w:rPr>
          <w:rFonts w:ascii="宋体" w:hAnsi="宋体" w:eastAsia="宋体"/>
          <w:b/>
          <w:bCs/>
          <w:szCs w:val="20"/>
          <w:lang w:eastAsia="zh-CN"/>
        </w:rPr>
      </w:pPr>
    </w:p>
    <w:p w14:paraId="39204451">
      <w:pPr>
        <w:widowControl w:val="0"/>
        <w:jc w:val="both"/>
        <w:rPr>
          <w:rFonts w:ascii="宋体" w:hAnsi="宋体" w:eastAsia="宋体"/>
          <w:b/>
          <w:bCs/>
          <w:szCs w:val="20"/>
          <w:lang w:eastAsia="zh-CN"/>
        </w:rPr>
      </w:pPr>
    </w:p>
    <w:p w14:paraId="473456C3">
      <w:pPr>
        <w:widowControl w:val="0"/>
        <w:jc w:val="both"/>
        <w:rPr>
          <w:rFonts w:ascii="宋体" w:hAnsi="宋体" w:eastAsia="宋体"/>
          <w:b/>
          <w:bCs/>
          <w:szCs w:val="20"/>
          <w:lang w:eastAsia="zh-CN"/>
        </w:rPr>
      </w:pPr>
    </w:p>
    <w:p w14:paraId="4E515E92">
      <w:pPr>
        <w:widowControl w:val="0"/>
        <w:jc w:val="both"/>
        <w:rPr>
          <w:rFonts w:ascii="宋体" w:hAnsi="宋体" w:eastAsia="宋体"/>
          <w:b/>
          <w:bCs/>
          <w:szCs w:val="20"/>
          <w:lang w:eastAsia="zh-CN"/>
        </w:rPr>
      </w:pPr>
    </w:p>
    <w:p w14:paraId="7AA1486E">
      <w:pPr>
        <w:widowControl w:val="0"/>
        <w:jc w:val="both"/>
        <w:rPr>
          <w:rFonts w:ascii="宋体" w:hAnsi="宋体" w:eastAsia="宋体"/>
          <w:b/>
          <w:bCs/>
          <w:szCs w:val="20"/>
          <w:lang w:eastAsia="zh-CN"/>
        </w:rPr>
      </w:pPr>
    </w:p>
    <w:p w14:paraId="4612114A">
      <w:pPr>
        <w:widowControl w:val="0"/>
        <w:jc w:val="both"/>
        <w:rPr>
          <w:rFonts w:ascii="宋体" w:hAnsi="宋体" w:eastAsia="宋体"/>
          <w:b/>
          <w:bCs/>
          <w:szCs w:val="20"/>
          <w:lang w:eastAsia="zh-CN"/>
        </w:rPr>
      </w:pPr>
    </w:p>
    <w:p w14:paraId="302DF18A">
      <w:pPr>
        <w:widowControl w:val="0"/>
        <w:jc w:val="both"/>
        <w:rPr>
          <w:rFonts w:ascii="宋体" w:hAnsi="宋体" w:eastAsia="宋体"/>
          <w:b/>
          <w:bCs/>
          <w:szCs w:val="20"/>
          <w:lang w:eastAsia="zh-CN"/>
        </w:rPr>
      </w:pPr>
    </w:p>
    <w:p w14:paraId="3C815C4C">
      <w:pPr>
        <w:widowControl w:val="0"/>
        <w:jc w:val="both"/>
        <w:rPr>
          <w:rFonts w:ascii="宋体" w:hAnsi="宋体" w:eastAsia="宋体"/>
          <w:b/>
          <w:bCs/>
          <w:szCs w:val="20"/>
          <w:lang w:eastAsia="zh-CN"/>
        </w:rPr>
      </w:pPr>
    </w:p>
    <w:p w14:paraId="10D316BF">
      <w:pPr>
        <w:widowControl w:val="0"/>
        <w:jc w:val="both"/>
        <w:rPr>
          <w:rFonts w:ascii="宋体" w:hAnsi="宋体" w:eastAsia="宋体"/>
          <w:b/>
          <w:bCs/>
          <w:szCs w:val="20"/>
          <w:lang w:eastAsia="zh-CN"/>
        </w:rPr>
      </w:pPr>
    </w:p>
    <w:p w14:paraId="6B2C1DDA">
      <w:pPr>
        <w:keepNext/>
        <w:keepLines/>
        <w:widowControl w:val="0"/>
        <w:spacing w:before="260" w:after="260" w:line="240" w:lineRule="auto"/>
        <w:jc w:val="center"/>
        <w:outlineLvl w:val="2"/>
        <w:rPr>
          <w:rFonts w:ascii="黑体" w:hAnsi="宋体" w:eastAsia="黑体"/>
          <w:b/>
          <w:kern w:val="2"/>
          <w:sz w:val="30"/>
          <w:szCs w:val="30"/>
          <w:lang w:eastAsia="zh-CN"/>
        </w:rPr>
      </w:pPr>
      <w:r>
        <w:rPr>
          <w:rFonts w:hint="eastAsia" w:ascii="黑体" w:hAnsi="宋体" w:eastAsia="黑体" w:cstheme="minorBidi"/>
          <w:b/>
          <w:kern w:val="2"/>
          <w:sz w:val="30"/>
          <w:szCs w:val="30"/>
          <w:lang w:eastAsia="zh-CN"/>
        </w:rPr>
        <w:t>十、技术要求偏离表</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125"/>
        <w:gridCol w:w="2646"/>
        <w:gridCol w:w="2519"/>
        <w:gridCol w:w="1077"/>
        <w:gridCol w:w="787"/>
      </w:tblGrid>
      <w:tr w14:paraId="67E15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776" w:type="dxa"/>
            <w:vAlign w:val="center"/>
          </w:tcPr>
          <w:p w14:paraId="78F6760C">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序号</w:t>
            </w:r>
          </w:p>
        </w:tc>
        <w:tc>
          <w:tcPr>
            <w:tcW w:w="1266" w:type="dxa"/>
            <w:vAlign w:val="center"/>
          </w:tcPr>
          <w:p w14:paraId="79604AEF">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货物名称</w:t>
            </w:r>
          </w:p>
        </w:tc>
        <w:tc>
          <w:tcPr>
            <w:tcW w:w="3028" w:type="dxa"/>
            <w:vAlign w:val="center"/>
          </w:tcPr>
          <w:p w14:paraId="5BA81E7B">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招标技术要求</w:t>
            </w:r>
          </w:p>
        </w:tc>
        <w:tc>
          <w:tcPr>
            <w:tcW w:w="2881" w:type="dxa"/>
            <w:vAlign w:val="center"/>
          </w:tcPr>
          <w:p w14:paraId="12B617E0">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投标技术响应</w:t>
            </w:r>
          </w:p>
        </w:tc>
        <w:tc>
          <w:tcPr>
            <w:tcW w:w="1210" w:type="dxa"/>
            <w:vAlign w:val="center"/>
          </w:tcPr>
          <w:p w14:paraId="1B061D96">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偏离情况</w:t>
            </w:r>
          </w:p>
        </w:tc>
        <w:tc>
          <w:tcPr>
            <w:tcW w:w="874" w:type="dxa"/>
            <w:vAlign w:val="center"/>
          </w:tcPr>
          <w:p w14:paraId="5EE2709D">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说明</w:t>
            </w:r>
          </w:p>
        </w:tc>
      </w:tr>
      <w:tr w14:paraId="6ECB2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jc w:val="center"/>
        </w:trPr>
        <w:tc>
          <w:tcPr>
            <w:tcW w:w="776" w:type="dxa"/>
            <w:vMerge w:val="restart"/>
            <w:vAlign w:val="center"/>
          </w:tcPr>
          <w:p w14:paraId="0499A67D">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1</w:t>
            </w:r>
          </w:p>
        </w:tc>
        <w:tc>
          <w:tcPr>
            <w:tcW w:w="1266" w:type="dxa"/>
            <w:vMerge w:val="restart"/>
            <w:vAlign w:val="center"/>
          </w:tcPr>
          <w:p w14:paraId="1A0FD813">
            <w:pPr>
              <w:widowControl w:val="0"/>
              <w:jc w:val="both"/>
              <w:rPr>
                <w:rFonts w:ascii="Calibri" w:hAnsi="Calibri" w:eastAsia="宋体"/>
                <w:kern w:val="2"/>
                <w:sz w:val="21"/>
                <w:szCs w:val="22"/>
                <w:lang w:eastAsia="zh-CN"/>
              </w:rPr>
            </w:pPr>
          </w:p>
        </w:tc>
        <w:tc>
          <w:tcPr>
            <w:tcW w:w="3028" w:type="dxa"/>
          </w:tcPr>
          <w:p w14:paraId="145661C8">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w:t>
            </w:r>
          </w:p>
        </w:tc>
        <w:tc>
          <w:tcPr>
            <w:tcW w:w="2881" w:type="dxa"/>
          </w:tcPr>
          <w:p w14:paraId="0021BD36">
            <w:pPr>
              <w:widowControl w:val="0"/>
              <w:jc w:val="both"/>
              <w:rPr>
                <w:rFonts w:ascii="Calibri" w:hAnsi="Calibri" w:eastAsia="宋体"/>
                <w:kern w:val="2"/>
                <w:sz w:val="21"/>
                <w:szCs w:val="22"/>
                <w:lang w:eastAsia="zh-CN"/>
              </w:rPr>
            </w:pPr>
          </w:p>
        </w:tc>
        <w:tc>
          <w:tcPr>
            <w:tcW w:w="1210" w:type="dxa"/>
          </w:tcPr>
          <w:p w14:paraId="32920626">
            <w:pPr>
              <w:widowControl w:val="0"/>
              <w:jc w:val="both"/>
              <w:rPr>
                <w:rFonts w:ascii="Calibri" w:hAnsi="Calibri" w:eastAsia="宋体"/>
                <w:kern w:val="2"/>
                <w:sz w:val="21"/>
                <w:szCs w:val="22"/>
                <w:lang w:eastAsia="zh-CN"/>
              </w:rPr>
            </w:pPr>
          </w:p>
        </w:tc>
        <w:tc>
          <w:tcPr>
            <w:tcW w:w="874" w:type="dxa"/>
          </w:tcPr>
          <w:p w14:paraId="76737683">
            <w:pPr>
              <w:widowControl w:val="0"/>
              <w:jc w:val="both"/>
              <w:rPr>
                <w:rFonts w:ascii="Calibri" w:hAnsi="Calibri" w:eastAsia="宋体"/>
                <w:kern w:val="2"/>
                <w:sz w:val="21"/>
                <w:szCs w:val="22"/>
                <w:lang w:eastAsia="zh-CN"/>
              </w:rPr>
            </w:pPr>
          </w:p>
        </w:tc>
      </w:tr>
      <w:tr w14:paraId="5D57B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jc w:val="center"/>
        </w:trPr>
        <w:tc>
          <w:tcPr>
            <w:tcW w:w="776" w:type="dxa"/>
            <w:vMerge w:val="continue"/>
            <w:vAlign w:val="center"/>
          </w:tcPr>
          <w:p w14:paraId="19685651">
            <w:pPr>
              <w:widowControl w:val="0"/>
              <w:jc w:val="both"/>
              <w:rPr>
                <w:rFonts w:ascii="Calibri" w:hAnsi="Calibri" w:eastAsia="宋体"/>
                <w:kern w:val="2"/>
                <w:sz w:val="21"/>
                <w:szCs w:val="22"/>
                <w:lang w:eastAsia="zh-CN"/>
              </w:rPr>
            </w:pPr>
          </w:p>
        </w:tc>
        <w:tc>
          <w:tcPr>
            <w:tcW w:w="1266" w:type="dxa"/>
            <w:vMerge w:val="continue"/>
            <w:vAlign w:val="center"/>
          </w:tcPr>
          <w:p w14:paraId="1AEF02DE">
            <w:pPr>
              <w:widowControl w:val="0"/>
              <w:jc w:val="both"/>
              <w:rPr>
                <w:rFonts w:ascii="Calibri" w:hAnsi="Calibri" w:eastAsia="宋体"/>
                <w:kern w:val="2"/>
                <w:sz w:val="21"/>
                <w:szCs w:val="22"/>
                <w:lang w:eastAsia="zh-CN"/>
              </w:rPr>
            </w:pPr>
          </w:p>
        </w:tc>
        <w:tc>
          <w:tcPr>
            <w:tcW w:w="3028" w:type="dxa"/>
          </w:tcPr>
          <w:p w14:paraId="56604FDB">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w:t>
            </w:r>
          </w:p>
        </w:tc>
        <w:tc>
          <w:tcPr>
            <w:tcW w:w="2881" w:type="dxa"/>
          </w:tcPr>
          <w:p w14:paraId="497E64E4">
            <w:pPr>
              <w:widowControl w:val="0"/>
              <w:jc w:val="both"/>
              <w:rPr>
                <w:rFonts w:ascii="Calibri" w:hAnsi="Calibri" w:eastAsia="宋体"/>
                <w:kern w:val="2"/>
                <w:sz w:val="21"/>
                <w:szCs w:val="22"/>
                <w:lang w:eastAsia="zh-CN"/>
              </w:rPr>
            </w:pPr>
          </w:p>
        </w:tc>
        <w:tc>
          <w:tcPr>
            <w:tcW w:w="1210" w:type="dxa"/>
          </w:tcPr>
          <w:p w14:paraId="5F003422">
            <w:pPr>
              <w:widowControl w:val="0"/>
              <w:jc w:val="both"/>
              <w:rPr>
                <w:rFonts w:ascii="Calibri" w:hAnsi="Calibri" w:eastAsia="宋体"/>
                <w:kern w:val="2"/>
                <w:sz w:val="21"/>
                <w:szCs w:val="22"/>
                <w:lang w:eastAsia="zh-CN"/>
              </w:rPr>
            </w:pPr>
          </w:p>
        </w:tc>
        <w:tc>
          <w:tcPr>
            <w:tcW w:w="874" w:type="dxa"/>
          </w:tcPr>
          <w:p w14:paraId="0958BC6E">
            <w:pPr>
              <w:widowControl w:val="0"/>
              <w:jc w:val="both"/>
              <w:rPr>
                <w:rFonts w:ascii="Calibri" w:hAnsi="Calibri" w:eastAsia="宋体"/>
                <w:kern w:val="2"/>
                <w:sz w:val="21"/>
                <w:szCs w:val="22"/>
                <w:lang w:eastAsia="zh-CN"/>
              </w:rPr>
            </w:pPr>
          </w:p>
        </w:tc>
      </w:tr>
      <w:tr w14:paraId="111B1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jc w:val="center"/>
        </w:trPr>
        <w:tc>
          <w:tcPr>
            <w:tcW w:w="776" w:type="dxa"/>
            <w:vMerge w:val="continue"/>
          </w:tcPr>
          <w:p w14:paraId="7F8C41EB">
            <w:pPr>
              <w:widowControl w:val="0"/>
              <w:jc w:val="both"/>
              <w:rPr>
                <w:rFonts w:ascii="Calibri" w:hAnsi="Calibri" w:eastAsia="宋体"/>
                <w:kern w:val="2"/>
                <w:sz w:val="21"/>
                <w:szCs w:val="22"/>
                <w:lang w:eastAsia="zh-CN"/>
              </w:rPr>
            </w:pPr>
          </w:p>
        </w:tc>
        <w:tc>
          <w:tcPr>
            <w:tcW w:w="1266" w:type="dxa"/>
            <w:vMerge w:val="continue"/>
          </w:tcPr>
          <w:p w14:paraId="71D2590A">
            <w:pPr>
              <w:widowControl w:val="0"/>
              <w:jc w:val="both"/>
              <w:rPr>
                <w:rFonts w:ascii="Calibri" w:hAnsi="Calibri" w:eastAsia="宋体"/>
                <w:kern w:val="2"/>
                <w:sz w:val="21"/>
                <w:szCs w:val="22"/>
                <w:lang w:eastAsia="zh-CN"/>
              </w:rPr>
            </w:pPr>
          </w:p>
        </w:tc>
        <w:tc>
          <w:tcPr>
            <w:tcW w:w="3028" w:type="dxa"/>
          </w:tcPr>
          <w:p w14:paraId="462600D3">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w:t>
            </w:r>
          </w:p>
        </w:tc>
        <w:tc>
          <w:tcPr>
            <w:tcW w:w="2881" w:type="dxa"/>
          </w:tcPr>
          <w:p w14:paraId="3B7AC0A3">
            <w:pPr>
              <w:widowControl w:val="0"/>
              <w:jc w:val="both"/>
              <w:rPr>
                <w:rFonts w:ascii="Calibri" w:hAnsi="Calibri" w:eastAsia="宋体"/>
                <w:kern w:val="2"/>
                <w:sz w:val="21"/>
                <w:szCs w:val="22"/>
                <w:lang w:eastAsia="zh-CN"/>
              </w:rPr>
            </w:pPr>
          </w:p>
        </w:tc>
        <w:tc>
          <w:tcPr>
            <w:tcW w:w="1210" w:type="dxa"/>
          </w:tcPr>
          <w:p w14:paraId="496528B9">
            <w:pPr>
              <w:widowControl w:val="0"/>
              <w:jc w:val="both"/>
              <w:rPr>
                <w:rFonts w:ascii="Calibri" w:hAnsi="Calibri" w:eastAsia="宋体"/>
                <w:kern w:val="2"/>
                <w:sz w:val="21"/>
                <w:szCs w:val="22"/>
                <w:lang w:eastAsia="zh-CN"/>
              </w:rPr>
            </w:pPr>
          </w:p>
        </w:tc>
        <w:tc>
          <w:tcPr>
            <w:tcW w:w="874" w:type="dxa"/>
          </w:tcPr>
          <w:p w14:paraId="319F4638">
            <w:pPr>
              <w:widowControl w:val="0"/>
              <w:jc w:val="both"/>
              <w:rPr>
                <w:rFonts w:ascii="Calibri" w:hAnsi="Calibri" w:eastAsia="宋体"/>
                <w:kern w:val="2"/>
                <w:sz w:val="21"/>
                <w:szCs w:val="22"/>
                <w:lang w:eastAsia="zh-CN"/>
              </w:rPr>
            </w:pPr>
          </w:p>
        </w:tc>
      </w:tr>
      <w:tr w14:paraId="1AD13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jc w:val="center"/>
        </w:trPr>
        <w:tc>
          <w:tcPr>
            <w:tcW w:w="776" w:type="dxa"/>
            <w:vMerge w:val="continue"/>
          </w:tcPr>
          <w:p w14:paraId="0C2D9FF5">
            <w:pPr>
              <w:widowControl w:val="0"/>
              <w:jc w:val="both"/>
              <w:rPr>
                <w:rFonts w:ascii="Calibri" w:hAnsi="Calibri" w:eastAsia="宋体"/>
                <w:kern w:val="2"/>
                <w:sz w:val="21"/>
                <w:szCs w:val="22"/>
                <w:lang w:eastAsia="zh-CN"/>
              </w:rPr>
            </w:pPr>
          </w:p>
        </w:tc>
        <w:tc>
          <w:tcPr>
            <w:tcW w:w="1266" w:type="dxa"/>
            <w:vMerge w:val="continue"/>
          </w:tcPr>
          <w:p w14:paraId="6FF46491">
            <w:pPr>
              <w:widowControl w:val="0"/>
              <w:jc w:val="both"/>
              <w:rPr>
                <w:rFonts w:ascii="Calibri" w:hAnsi="Calibri" w:eastAsia="宋体"/>
                <w:kern w:val="2"/>
                <w:sz w:val="21"/>
                <w:szCs w:val="22"/>
                <w:lang w:eastAsia="zh-CN"/>
              </w:rPr>
            </w:pPr>
          </w:p>
        </w:tc>
        <w:tc>
          <w:tcPr>
            <w:tcW w:w="3028" w:type="dxa"/>
          </w:tcPr>
          <w:p w14:paraId="68E41189">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w:t>
            </w:r>
          </w:p>
        </w:tc>
        <w:tc>
          <w:tcPr>
            <w:tcW w:w="2881" w:type="dxa"/>
          </w:tcPr>
          <w:p w14:paraId="5FD1909E">
            <w:pPr>
              <w:widowControl w:val="0"/>
              <w:jc w:val="both"/>
              <w:rPr>
                <w:rFonts w:ascii="Calibri" w:hAnsi="Calibri" w:eastAsia="宋体"/>
                <w:kern w:val="2"/>
                <w:sz w:val="21"/>
                <w:szCs w:val="22"/>
                <w:lang w:eastAsia="zh-CN"/>
              </w:rPr>
            </w:pPr>
          </w:p>
        </w:tc>
        <w:tc>
          <w:tcPr>
            <w:tcW w:w="1210" w:type="dxa"/>
          </w:tcPr>
          <w:p w14:paraId="333052DC">
            <w:pPr>
              <w:widowControl w:val="0"/>
              <w:jc w:val="both"/>
              <w:rPr>
                <w:rFonts w:ascii="Calibri" w:hAnsi="Calibri" w:eastAsia="宋体"/>
                <w:kern w:val="2"/>
                <w:sz w:val="21"/>
                <w:szCs w:val="22"/>
                <w:lang w:eastAsia="zh-CN"/>
              </w:rPr>
            </w:pPr>
          </w:p>
        </w:tc>
        <w:tc>
          <w:tcPr>
            <w:tcW w:w="874" w:type="dxa"/>
          </w:tcPr>
          <w:p w14:paraId="7D2002F7">
            <w:pPr>
              <w:widowControl w:val="0"/>
              <w:jc w:val="both"/>
              <w:rPr>
                <w:rFonts w:ascii="Calibri" w:hAnsi="Calibri" w:eastAsia="宋体"/>
                <w:kern w:val="2"/>
                <w:sz w:val="21"/>
                <w:szCs w:val="22"/>
                <w:lang w:eastAsia="zh-CN"/>
              </w:rPr>
            </w:pPr>
          </w:p>
        </w:tc>
      </w:tr>
      <w:tr w14:paraId="118D6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jc w:val="center"/>
        </w:trPr>
        <w:tc>
          <w:tcPr>
            <w:tcW w:w="776" w:type="dxa"/>
            <w:vMerge w:val="restart"/>
            <w:vAlign w:val="center"/>
          </w:tcPr>
          <w:p w14:paraId="2237B6FD">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w:t>
            </w:r>
          </w:p>
        </w:tc>
        <w:tc>
          <w:tcPr>
            <w:tcW w:w="1266" w:type="dxa"/>
            <w:vMerge w:val="restart"/>
          </w:tcPr>
          <w:p w14:paraId="6D3B626F">
            <w:pPr>
              <w:widowControl w:val="0"/>
              <w:jc w:val="both"/>
              <w:rPr>
                <w:rFonts w:ascii="Calibri" w:hAnsi="Calibri" w:eastAsia="宋体"/>
                <w:kern w:val="2"/>
                <w:sz w:val="21"/>
                <w:szCs w:val="22"/>
                <w:lang w:eastAsia="zh-CN"/>
              </w:rPr>
            </w:pPr>
          </w:p>
        </w:tc>
        <w:tc>
          <w:tcPr>
            <w:tcW w:w="3028" w:type="dxa"/>
          </w:tcPr>
          <w:p w14:paraId="73F0C0A3">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w:t>
            </w:r>
          </w:p>
        </w:tc>
        <w:tc>
          <w:tcPr>
            <w:tcW w:w="2881" w:type="dxa"/>
          </w:tcPr>
          <w:p w14:paraId="39504080">
            <w:pPr>
              <w:widowControl w:val="0"/>
              <w:jc w:val="both"/>
              <w:rPr>
                <w:rFonts w:ascii="Calibri" w:hAnsi="Calibri" w:eastAsia="宋体"/>
                <w:kern w:val="2"/>
                <w:sz w:val="21"/>
                <w:szCs w:val="22"/>
                <w:lang w:eastAsia="zh-CN"/>
              </w:rPr>
            </w:pPr>
          </w:p>
        </w:tc>
        <w:tc>
          <w:tcPr>
            <w:tcW w:w="1210" w:type="dxa"/>
          </w:tcPr>
          <w:p w14:paraId="69A20005">
            <w:pPr>
              <w:widowControl w:val="0"/>
              <w:jc w:val="both"/>
              <w:rPr>
                <w:rFonts w:ascii="Calibri" w:hAnsi="Calibri" w:eastAsia="宋体"/>
                <w:kern w:val="2"/>
                <w:sz w:val="21"/>
                <w:szCs w:val="22"/>
                <w:lang w:eastAsia="zh-CN"/>
              </w:rPr>
            </w:pPr>
          </w:p>
        </w:tc>
        <w:tc>
          <w:tcPr>
            <w:tcW w:w="874" w:type="dxa"/>
          </w:tcPr>
          <w:p w14:paraId="7C2ABB3B">
            <w:pPr>
              <w:widowControl w:val="0"/>
              <w:jc w:val="both"/>
              <w:rPr>
                <w:rFonts w:ascii="Calibri" w:hAnsi="Calibri" w:eastAsia="宋体"/>
                <w:kern w:val="2"/>
                <w:sz w:val="21"/>
                <w:szCs w:val="22"/>
                <w:lang w:eastAsia="zh-CN"/>
              </w:rPr>
            </w:pPr>
          </w:p>
        </w:tc>
      </w:tr>
      <w:tr w14:paraId="4F82B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jc w:val="center"/>
        </w:trPr>
        <w:tc>
          <w:tcPr>
            <w:tcW w:w="776" w:type="dxa"/>
            <w:vMerge w:val="continue"/>
          </w:tcPr>
          <w:p w14:paraId="7B938271">
            <w:pPr>
              <w:widowControl w:val="0"/>
              <w:jc w:val="both"/>
              <w:rPr>
                <w:rFonts w:ascii="Calibri" w:hAnsi="Calibri" w:eastAsia="宋体"/>
                <w:kern w:val="2"/>
                <w:sz w:val="21"/>
                <w:szCs w:val="22"/>
                <w:lang w:eastAsia="zh-CN"/>
              </w:rPr>
            </w:pPr>
          </w:p>
        </w:tc>
        <w:tc>
          <w:tcPr>
            <w:tcW w:w="1266" w:type="dxa"/>
            <w:vMerge w:val="continue"/>
          </w:tcPr>
          <w:p w14:paraId="12DE537C">
            <w:pPr>
              <w:widowControl w:val="0"/>
              <w:jc w:val="both"/>
              <w:rPr>
                <w:rFonts w:ascii="Calibri" w:hAnsi="Calibri" w:eastAsia="宋体"/>
                <w:kern w:val="2"/>
                <w:sz w:val="21"/>
                <w:szCs w:val="22"/>
                <w:lang w:eastAsia="zh-CN"/>
              </w:rPr>
            </w:pPr>
          </w:p>
        </w:tc>
        <w:tc>
          <w:tcPr>
            <w:tcW w:w="3028" w:type="dxa"/>
          </w:tcPr>
          <w:p w14:paraId="5F582B70">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w:t>
            </w:r>
          </w:p>
        </w:tc>
        <w:tc>
          <w:tcPr>
            <w:tcW w:w="2881" w:type="dxa"/>
          </w:tcPr>
          <w:p w14:paraId="3B87B986">
            <w:pPr>
              <w:widowControl w:val="0"/>
              <w:jc w:val="both"/>
              <w:rPr>
                <w:rFonts w:ascii="Calibri" w:hAnsi="Calibri" w:eastAsia="宋体"/>
                <w:kern w:val="2"/>
                <w:sz w:val="21"/>
                <w:szCs w:val="22"/>
                <w:lang w:eastAsia="zh-CN"/>
              </w:rPr>
            </w:pPr>
          </w:p>
        </w:tc>
        <w:tc>
          <w:tcPr>
            <w:tcW w:w="1210" w:type="dxa"/>
          </w:tcPr>
          <w:p w14:paraId="6802B909">
            <w:pPr>
              <w:widowControl w:val="0"/>
              <w:jc w:val="both"/>
              <w:rPr>
                <w:rFonts w:ascii="Calibri" w:hAnsi="Calibri" w:eastAsia="宋体"/>
                <w:kern w:val="2"/>
                <w:sz w:val="21"/>
                <w:szCs w:val="22"/>
                <w:lang w:eastAsia="zh-CN"/>
              </w:rPr>
            </w:pPr>
          </w:p>
        </w:tc>
        <w:tc>
          <w:tcPr>
            <w:tcW w:w="874" w:type="dxa"/>
          </w:tcPr>
          <w:p w14:paraId="240EB281">
            <w:pPr>
              <w:widowControl w:val="0"/>
              <w:jc w:val="both"/>
              <w:rPr>
                <w:rFonts w:ascii="Calibri" w:hAnsi="Calibri" w:eastAsia="宋体"/>
                <w:kern w:val="2"/>
                <w:sz w:val="21"/>
                <w:szCs w:val="22"/>
                <w:lang w:eastAsia="zh-CN"/>
              </w:rPr>
            </w:pPr>
          </w:p>
        </w:tc>
      </w:tr>
    </w:tbl>
    <w:p w14:paraId="03514BB1">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填写说明：</w:t>
      </w:r>
    </w:p>
    <w:p w14:paraId="732C4765">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1、技术要求偏离表的序号、货物名称、招标技术要求等栏目对应“用户需求书”中的“技术要求部分”章节相关内容。</w:t>
      </w:r>
    </w:p>
    <w:p w14:paraId="27BA8B6E">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2、“投标技术响应”一栏必须一一对照“招标技术要求”，详细填写投标人自身投标货物的具体参数，而不能不合理照搬照抄招标文件的技术要求，以体现具体响应情况。“投标技术响应”必须与所投产品客观实际保持一致，响应不实且情节严重的，经查实，将依法记入供应商诚信档案或受到行政处罚。</w:t>
      </w:r>
    </w:p>
    <w:p w14:paraId="00EF8F8A">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3、“偏离情况”一栏填写如实填写</w:t>
      </w:r>
      <w:r>
        <w:rPr>
          <w:rFonts w:hint="eastAsia" w:ascii="Calibri" w:hAnsi="Calibri" w:eastAsia="宋体" w:cstheme="minorBidi"/>
          <w:b/>
          <w:kern w:val="2"/>
          <w:sz w:val="21"/>
          <w:szCs w:val="22"/>
          <w:lang w:eastAsia="zh-CN"/>
        </w:rPr>
        <w:t>“正偏离”、“负偏离”或“无偏离”</w:t>
      </w:r>
      <w:r>
        <w:rPr>
          <w:rFonts w:hint="eastAsia" w:ascii="Calibri" w:hAnsi="Calibri" w:eastAsia="宋体" w:cstheme="minorBidi"/>
          <w:kern w:val="2"/>
          <w:sz w:val="21"/>
          <w:szCs w:val="22"/>
          <w:lang w:eastAsia="zh-CN"/>
        </w:rPr>
        <w:t>，其中：“正偏离”表示“投标响应优于招标技术要求”，“负偏离”表示“投标响应不满足招标技术要求”，“无偏离”表示“投标响应与招标技术要求一致”。“投标技术响应”对比“招标技术要求”存在响应不全（包括未响应整项招标技术要求或者未响应一项招标技术要求的部分内容），均视为“负偏离”。带★号条款为不可负偏离条款，不作为评分准则中的评分内容，如未响应或出现负偏离的，将做投标无效处理。“偏离情况”必须与所投产品客观实际保持一致，响应不实且情节严重的，经查实，将依法记入供应商诚信档案或受到行政处罚。</w:t>
      </w:r>
    </w:p>
    <w:p w14:paraId="0CA378BF">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4、未要求提供证明资料的招标技术要求，可以不提供证明资料（如实响应即可）。</w:t>
      </w:r>
    </w:p>
    <w:p w14:paraId="640ADB3A">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5、证明资料条款响应要求：要求提供证明资料（且已对证明资料的形式、内容作出明确要求）进行响应的条款，应当在“说明”一栏中列明是否提供了符合要求的证明资料，以及所提供证明资料在投标文件的所在节点（位置），以便评审；此类条款应严格依照要求的形式、内容提供证明资料，如未提供证明资料（或：证明资料的形式、内容等不符合要求；证明资料显示不符合招标技术要求；证明资料模糊不清无法判断或未显示是否满足招标技术要求），且投标人在“偏离情况”一栏响应为“正偏离”或“无偏离”的，经评审委员会认定，将判定为负偏离。</w:t>
      </w:r>
    </w:p>
    <w:p w14:paraId="33EC5C5D">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6、投标人提供的证明资料，均要求原件备查。</w:t>
      </w:r>
    </w:p>
    <w:p w14:paraId="0BB94FB0">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7、评审委员会有权对投标人是否存在虚假响应予以认定，并视情况经招标机构报主管部门进行处理；</w:t>
      </w:r>
    </w:p>
    <w:p w14:paraId="377C403D">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8、除招标文件另有注明外，投标文件其它位置如出现与本表中投标参数不一致的信息，均以本表信息为准。</w:t>
      </w:r>
    </w:p>
    <w:p w14:paraId="7D946AE3">
      <w:pPr>
        <w:widowControl w:val="0"/>
        <w:jc w:val="both"/>
        <w:rPr>
          <w:rFonts w:ascii="Calibri" w:hAnsi="Calibri" w:eastAsia="宋体"/>
          <w:kern w:val="2"/>
          <w:sz w:val="21"/>
          <w:szCs w:val="22"/>
          <w:lang w:eastAsia="zh-CN"/>
        </w:rPr>
      </w:pPr>
    </w:p>
    <w:p w14:paraId="5B0357BF">
      <w:pPr>
        <w:widowControl w:val="0"/>
        <w:jc w:val="both"/>
        <w:rPr>
          <w:rFonts w:ascii="Calibri" w:hAnsi="Calibri" w:eastAsia="宋体"/>
          <w:kern w:val="2"/>
          <w:sz w:val="21"/>
          <w:szCs w:val="22"/>
          <w:lang w:eastAsia="zh-CN"/>
        </w:rPr>
      </w:pPr>
    </w:p>
    <w:p w14:paraId="055E1BCF">
      <w:pPr>
        <w:widowControl w:val="0"/>
        <w:jc w:val="both"/>
        <w:rPr>
          <w:rFonts w:ascii="Calibri" w:hAnsi="Calibri" w:eastAsia="宋体"/>
          <w:kern w:val="2"/>
          <w:sz w:val="21"/>
          <w:szCs w:val="22"/>
          <w:lang w:eastAsia="zh-CN"/>
        </w:rPr>
      </w:pPr>
    </w:p>
    <w:p w14:paraId="16FFD075">
      <w:pPr>
        <w:widowControl w:val="0"/>
        <w:jc w:val="both"/>
        <w:rPr>
          <w:rFonts w:ascii="Calibri" w:hAnsi="Calibri" w:eastAsia="宋体"/>
          <w:kern w:val="2"/>
          <w:sz w:val="21"/>
          <w:szCs w:val="22"/>
          <w:lang w:eastAsia="zh-CN"/>
        </w:rPr>
      </w:pPr>
    </w:p>
    <w:p w14:paraId="2E4551B3">
      <w:pPr>
        <w:widowControl w:val="0"/>
        <w:jc w:val="both"/>
        <w:rPr>
          <w:rFonts w:ascii="Calibri" w:hAnsi="Calibri" w:eastAsia="宋体"/>
          <w:kern w:val="2"/>
          <w:sz w:val="21"/>
          <w:szCs w:val="22"/>
          <w:lang w:eastAsia="zh-CN"/>
        </w:rPr>
      </w:pPr>
    </w:p>
    <w:p w14:paraId="3033B18C">
      <w:pPr>
        <w:widowControl w:val="0"/>
        <w:jc w:val="both"/>
        <w:rPr>
          <w:rFonts w:ascii="Calibri" w:hAnsi="Calibri" w:eastAsia="宋体"/>
          <w:kern w:val="2"/>
          <w:sz w:val="21"/>
          <w:szCs w:val="22"/>
          <w:lang w:eastAsia="zh-CN"/>
        </w:rPr>
      </w:pPr>
    </w:p>
    <w:p w14:paraId="3B83C3B3">
      <w:pPr>
        <w:widowControl w:val="0"/>
        <w:jc w:val="both"/>
        <w:rPr>
          <w:rFonts w:ascii="Calibri" w:hAnsi="Calibri" w:eastAsia="宋体"/>
          <w:kern w:val="2"/>
          <w:sz w:val="21"/>
          <w:szCs w:val="22"/>
          <w:lang w:eastAsia="zh-CN"/>
        </w:rPr>
      </w:pPr>
    </w:p>
    <w:p w14:paraId="2F92410A">
      <w:pPr>
        <w:keepNext/>
        <w:keepLines/>
        <w:widowControl w:val="0"/>
        <w:spacing w:before="260" w:after="260" w:line="240" w:lineRule="auto"/>
        <w:jc w:val="center"/>
        <w:outlineLvl w:val="2"/>
        <w:rPr>
          <w:rFonts w:ascii="黑体" w:hAnsi="宋体" w:eastAsia="黑体"/>
          <w:b/>
          <w:bCs/>
          <w:kern w:val="2"/>
          <w:sz w:val="30"/>
          <w:szCs w:val="30"/>
          <w:lang w:eastAsia="zh-CN"/>
        </w:rPr>
      </w:pPr>
      <w:r>
        <w:rPr>
          <w:rFonts w:hint="eastAsia" w:ascii="黑体" w:hAnsi="宋体" w:eastAsia="黑体" w:cstheme="minorBidi"/>
          <w:b/>
          <w:bCs/>
          <w:kern w:val="2"/>
          <w:sz w:val="30"/>
          <w:szCs w:val="30"/>
          <w:lang w:eastAsia="zh-CN"/>
        </w:rPr>
        <w:t>十一、商务要求偏离表</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1456"/>
        <w:gridCol w:w="2484"/>
        <w:gridCol w:w="2404"/>
        <w:gridCol w:w="1172"/>
        <w:gridCol w:w="698"/>
      </w:tblGrid>
      <w:tr w14:paraId="4F632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81" w:type="dxa"/>
            <w:vAlign w:val="center"/>
          </w:tcPr>
          <w:p w14:paraId="3539183A">
            <w:pPr>
              <w:widowControl w:val="0"/>
              <w:jc w:val="both"/>
              <w:rPr>
                <w:rFonts w:ascii="Calibri" w:hAnsi="Calibri" w:eastAsia="宋体"/>
                <w:b/>
                <w:kern w:val="2"/>
                <w:sz w:val="21"/>
                <w:szCs w:val="22"/>
                <w:lang w:eastAsia="zh-CN"/>
              </w:rPr>
            </w:pPr>
            <w:r>
              <w:rPr>
                <w:rFonts w:hint="eastAsia" w:ascii="Calibri" w:hAnsi="Calibri" w:eastAsia="宋体" w:cstheme="minorBidi"/>
                <w:kern w:val="2"/>
                <w:sz w:val="21"/>
                <w:szCs w:val="22"/>
                <w:lang w:eastAsia="zh-CN"/>
              </w:rPr>
              <w:t>序号</w:t>
            </w:r>
          </w:p>
        </w:tc>
        <w:tc>
          <w:tcPr>
            <w:tcW w:w="1573" w:type="dxa"/>
            <w:vAlign w:val="center"/>
          </w:tcPr>
          <w:p w14:paraId="679E7B8A">
            <w:pPr>
              <w:widowControl w:val="0"/>
              <w:jc w:val="both"/>
              <w:rPr>
                <w:rFonts w:ascii="Calibri" w:hAnsi="Calibri" w:eastAsia="宋体"/>
                <w:kern w:val="2"/>
                <w:sz w:val="21"/>
                <w:szCs w:val="22"/>
                <w:lang w:eastAsia="zh-CN"/>
              </w:rPr>
            </w:pPr>
            <w:r>
              <w:rPr>
                <w:rFonts w:hint="eastAsia" w:eastAsia="宋体"/>
                <w:kern w:val="2"/>
                <w:sz w:val="21"/>
                <w:lang w:eastAsia="zh-CN"/>
              </w:rPr>
              <w:t>目录</w:t>
            </w:r>
          </w:p>
        </w:tc>
        <w:tc>
          <w:tcPr>
            <w:tcW w:w="2700" w:type="dxa"/>
            <w:vAlign w:val="center"/>
          </w:tcPr>
          <w:p w14:paraId="2097DAB8">
            <w:pPr>
              <w:widowControl w:val="0"/>
              <w:jc w:val="both"/>
              <w:rPr>
                <w:rFonts w:ascii="Calibri" w:hAnsi="Calibri" w:eastAsia="宋体"/>
                <w:b/>
                <w:kern w:val="2"/>
                <w:sz w:val="21"/>
                <w:szCs w:val="22"/>
                <w:lang w:eastAsia="zh-CN"/>
              </w:rPr>
            </w:pPr>
            <w:r>
              <w:rPr>
                <w:rFonts w:hint="eastAsia" w:eastAsia="宋体"/>
                <w:kern w:val="2"/>
                <w:sz w:val="21"/>
                <w:lang w:eastAsia="zh-CN"/>
              </w:rPr>
              <w:t>采购</w:t>
            </w:r>
            <w:r>
              <w:rPr>
                <w:rFonts w:hint="eastAsia" w:ascii="Calibri" w:hAnsi="Calibri" w:eastAsia="宋体" w:cstheme="minorBidi"/>
                <w:kern w:val="2"/>
                <w:sz w:val="21"/>
                <w:szCs w:val="22"/>
                <w:lang w:eastAsia="zh-CN"/>
              </w:rPr>
              <w:t>商务要求</w:t>
            </w:r>
          </w:p>
        </w:tc>
        <w:tc>
          <w:tcPr>
            <w:tcW w:w="2613" w:type="dxa"/>
            <w:vAlign w:val="center"/>
          </w:tcPr>
          <w:p w14:paraId="16087686">
            <w:pPr>
              <w:widowControl w:val="0"/>
              <w:jc w:val="both"/>
              <w:rPr>
                <w:rFonts w:ascii="Calibri" w:hAnsi="Calibri" w:eastAsia="宋体"/>
                <w:b/>
                <w:kern w:val="2"/>
                <w:sz w:val="21"/>
                <w:szCs w:val="22"/>
                <w:lang w:eastAsia="zh-CN"/>
              </w:rPr>
            </w:pPr>
            <w:r>
              <w:rPr>
                <w:rFonts w:hint="eastAsia" w:ascii="Calibri" w:hAnsi="Calibri" w:eastAsia="宋体" w:cstheme="minorBidi"/>
                <w:kern w:val="2"/>
                <w:sz w:val="21"/>
                <w:szCs w:val="22"/>
                <w:lang w:eastAsia="zh-CN"/>
              </w:rPr>
              <w:t>投标商务响应</w:t>
            </w:r>
          </w:p>
        </w:tc>
        <w:tc>
          <w:tcPr>
            <w:tcW w:w="1262" w:type="dxa"/>
            <w:vAlign w:val="center"/>
          </w:tcPr>
          <w:p w14:paraId="7F936959">
            <w:pPr>
              <w:widowControl w:val="0"/>
              <w:jc w:val="both"/>
              <w:rPr>
                <w:rFonts w:ascii="Calibri" w:hAnsi="Calibri" w:eastAsia="宋体"/>
                <w:b/>
                <w:kern w:val="2"/>
                <w:sz w:val="21"/>
                <w:szCs w:val="22"/>
                <w:lang w:eastAsia="zh-CN"/>
              </w:rPr>
            </w:pPr>
            <w:r>
              <w:rPr>
                <w:rFonts w:hint="eastAsia" w:ascii="Calibri" w:hAnsi="Calibri" w:eastAsia="宋体" w:cstheme="minorBidi"/>
                <w:kern w:val="2"/>
                <w:sz w:val="21"/>
                <w:szCs w:val="22"/>
                <w:lang w:eastAsia="zh-CN"/>
              </w:rPr>
              <w:t>偏离情况</w:t>
            </w:r>
          </w:p>
        </w:tc>
        <w:tc>
          <w:tcPr>
            <w:tcW w:w="743" w:type="dxa"/>
            <w:vAlign w:val="center"/>
          </w:tcPr>
          <w:p w14:paraId="780D0F41">
            <w:pPr>
              <w:widowControl w:val="0"/>
              <w:jc w:val="both"/>
              <w:rPr>
                <w:rFonts w:ascii="Calibri" w:hAnsi="Calibri" w:eastAsia="宋体"/>
                <w:b/>
                <w:kern w:val="2"/>
                <w:sz w:val="21"/>
                <w:szCs w:val="22"/>
                <w:lang w:eastAsia="zh-CN"/>
              </w:rPr>
            </w:pPr>
            <w:r>
              <w:rPr>
                <w:rFonts w:hint="eastAsia" w:ascii="Calibri" w:hAnsi="Calibri" w:eastAsia="宋体" w:cstheme="minorBidi"/>
                <w:kern w:val="2"/>
                <w:sz w:val="21"/>
                <w:szCs w:val="22"/>
                <w:lang w:eastAsia="zh-CN"/>
              </w:rPr>
              <w:t>说明</w:t>
            </w:r>
          </w:p>
        </w:tc>
      </w:tr>
      <w:tr w14:paraId="32DE9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9572" w:type="dxa"/>
            <w:gridSpan w:val="6"/>
          </w:tcPr>
          <w:p w14:paraId="275FEFBA">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（一）免费保修期内售后服务要求</w:t>
            </w:r>
          </w:p>
        </w:tc>
      </w:tr>
      <w:tr w14:paraId="0E63B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681" w:type="dxa"/>
            <w:vAlign w:val="center"/>
          </w:tcPr>
          <w:p w14:paraId="03F3F654">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1</w:t>
            </w:r>
          </w:p>
        </w:tc>
        <w:tc>
          <w:tcPr>
            <w:tcW w:w="1573" w:type="dxa"/>
          </w:tcPr>
          <w:p w14:paraId="2992CF11">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w:t>
            </w:r>
            <w:r>
              <w:rPr>
                <w:rFonts w:ascii="Calibri" w:hAnsi="Calibri" w:eastAsia="宋体" w:cstheme="minorBidi"/>
                <w:kern w:val="2"/>
                <w:sz w:val="21"/>
                <w:szCs w:val="22"/>
                <w:lang w:eastAsia="zh-CN"/>
              </w:rPr>
              <w:t>***</w:t>
            </w:r>
          </w:p>
        </w:tc>
        <w:tc>
          <w:tcPr>
            <w:tcW w:w="2700" w:type="dxa"/>
          </w:tcPr>
          <w:p w14:paraId="376F3154">
            <w:pPr>
              <w:widowControl w:val="0"/>
              <w:jc w:val="both"/>
              <w:rPr>
                <w:rFonts w:ascii="Calibri" w:hAnsi="Calibri" w:eastAsia="宋体"/>
                <w:b/>
                <w:kern w:val="2"/>
                <w:sz w:val="21"/>
                <w:szCs w:val="22"/>
                <w:lang w:eastAsia="zh-CN"/>
              </w:rPr>
            </w:pPr>
            <w:r>
              <w:rPr>
                <w:rFonts w:hint="eastAsia" w:ascii="Calibri" w:hAnsi="Calibri" w:eastAsia="宋体" w:cstheme="minorBidi"/>
                <w:kern w:val="2"/>
                <w:sz w:val="21"/>
                <w:szCs w:val="22"/>
                <w:lang w:eastAsia="zh-CN"/>
              </w:rPr>
              <w:t>……</w:t>
            </w:r>
          </w:p>
        </w:tc>
        <w:tc>
          <w:tcPr>
            <w:tcW w:w="2613" w:type="dxa"/>
          </w:tcPr>
          <w:p w14:paraId="5D5D4948">
            <w:pPr>
              <w:widowControl w:val="0"/>
              <w:jc w:val="both"/>
              <w:rPr>
                <w:rFonts w:ascii="Calibri" w:hAnsi="Calibri" w:eastAsia="宋体"/>
                <w:kern w:val="2"/>
                <w:sz w:val="21"/>
                <w:szCs w:val="22"/>
                <w:lang w:eastAsia="zh-CN"/>
              </w:rPr>
            </w:pPr>
          </w:p>
        </w:tc>
        <w:tc>
          <w:tcPr>
            <w:tcW w:w="1262" w:type="dxa"/>
          </w:tcPr>
          <w:p w14:paraId="62C6FDF5">
            <w:pPr>
              <w:widowControl w:val="0"/>
              <w:jc w:val="both"/>
              <w:rPr>
                <w:rFonts w:ascii="Calibri" w:hAnsi="Calibri" w:eastAsia="宋体"/>
                <w:kern w:val="2"/>
                <w:sz w:val="21"/>
                <w:szCs w:val="22"/>
                <w:lang w:eastAsia="zh-CN"/>
              </w:rPr>
            </w:pPr>
          </w:p>
        </w:tc>
        <w:tc>
          <w:tcPr>
            <w:tcW w:w="743" w:type="dxa"/>
          </w:tcPr>
          <w:p w14:paraId="74363BF8">
            <w:pPr>
              <w:widowControl w:val="0"/>
              <w:jc w:val="both"/>
              <w:rPr>
                <w:rFonts w:ascii="Calibri" w:hAnsi="Calibri" w:eastAsia="宋体"/>
                <w:kern w:val="2"/>
                <w:sz w:val="21"/>
                <w:szCs w:val="22"/>
                <w:lang w:eastAsia="zh-CN"/>
              </w:rPr>
            </w:pPr>
          </w:p>
        </w:tc>
      </w:tr>
      <w:tr w14:paraId="2D1E8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681" w:type="dxa"/>
            <w:vAlign w:val="center"/>
          </w:tcPr>
          <w:p w14:paraId="78889AAD">
            <w:pPr>
              <w:widowControl w:val="0"/>
              <w:jc w:val="both"/>
              <w:rPr>
                <w:rFonts w:ascii="Calibri" w:hAnsi="Calibri" w:eastAsia="宋体"/>
                <w:kern w:val="2"/>
                <w:sz w:val="21"/>
                <w:szCs w:val="22"/>
                <w:lang w:eastAsia="zh-CN"/>
              </w:rPr>
            </w:pPr>
            <w:r>
              <w:rPr>
                <w:rFonts w:ascii="Calibri" w:hAnsi="Calibri" w:eastAsia="宋体" w:cstheme="minorBidi"/>
                <w:kern w:val="2"/>
                <w:sz w:val="21"/>
                <w:szCs w:val="22"/>
                <w:lang w:eastAsia="zh-CN"/>
              </w:rPr>
              <w:t>2</w:t>
            </w:r>
          </w:p>
        </w:tc>
        <w:tc>
          <w:tcPr>
            <w:tcW w:w="1573" w:type="dxa"/>
          </w:tcPr>
          <w:p w14:paraId="0445899F">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w:t>
            </w:r>
          </w:p>
        </w:tc>
        <w:tc>
          <w:tcPr>
            <w:tcW w:w="2700" w:type="dxa"/>
          </w:tcPr>
          <w:p w14:paraId="6C31C06F">
            <w:pPr>
              <w:widowControl w:val="0"/>
              <w:jc w:val="both"/>
              <w:rPr>
                <w:rFonts w:ascii="Calibri" w:hAnsi="Calibri" w:eastAsia="宋体"/>
                <w:bCs/>
                <w:kern w:val="2"/>
                <w:sz w:val="21"/>
                <w:szCs w:val="22"/>
                <w:lang w:eastAsia="zh-CN"/>
              </w:rPr>
            </w:pPr>
            <w:r>
              <w:rPr>
                <w:rFonts w:hint="eastAsia" w:ascii="Calibri" w:hAnsi="Calibri" w:eastAsia="宋体" w:cstheme="minorBidi"/>
                <w:kern w:val="2"/>
                <w:sz w:val="21"/>
                <w:szCs w:val="22"/>
                <w:lang w:eastAsia="zh-CN"/>
              </w:rPr>
              <w:t>……</w:t>
            </w:r>
          </w:p>
        </w:tc>
        <w:tc>
          <w:tcPr>
            <w:tcW w:w="2613" w:type="dxa"/>
          </w:tcPr>
          <w:p w14:paraId="3D7BFDC1">
            <w:pPr>
              <w:widowControl w:val="0"/>
              <w:jc w:val="both"/>
              <w:rPr>
                <w:rFonts w:ascii="Calibri" w:hAnsi="Calibri" w:eastAsia="宋体"/>
                <w:kern w:val="2"/>
                <w:sz w:val="21"/>
                <w:szCs w:val="22"/>
                <w:lang w:eastAsia="zh-CN"/>
              </w:rPr>
            </w:pPr>
          </w:p>
        </w:tc>
        <w:tc>
          <w:tcPr>
            <w:tcW w:w="1262" w:type="dxa"/>
          </w:tcPr>
          <w:p w14:paraId="06FEC990">
            <w:pPr>
              <w:widowControl w:val="0"/>
              <w:jc w:val="both"/>
              <w:rPr>
                <w:rFonts w:ascii="Calibri" w:hAnsi="Calibri" w:eastAsia="宋体"/>
                <w:kern w:val="2"/>
                <w:sz w:val="21"/>
                <w:szCs w:val="22"/>
                <w:lang w:eastAsia="zh-CN"/>
              </w:rPr>
            </w:pPr>
          </w:p>
        </w:tc>
        <w:tc>
          <w:tcPr>
            <w:tcW w:w="743" w:type="dxa"/>
          </w:tcPr>
          <w:p w14:paraId="379E4C0A">
            <w:pPr>
              <w:widowControl w:val="0"/>
              <w:jc w:val="both"/>
              <w:rPr>
                <w:rFonts w:ascii="Calibri" w:hAnsi="Calibri" w:eastAsia="宋体"/>
                <w:kern w:val="2"/>
                <w:sz w:val="21"/>
                <w:szCs w:val="22"/>
                <w:lang w:eastAsia="zh-CN"/>
              </w:rPr>
            </w:pPr>
          </w:p>
        </w:tc>
      </w:tr>
      <w:tr w14:paraId="76CCE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681" w:type="dxa"/>
            <w:vAlign w:val="center"/>
          </w:tcPr>
          <w:p w14:paraId="20A07527">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3</w:t>
            </w:r>
          </w:p>
        </w:tc>
        <w:tc>
          <w:tcPr>
            <w:tcW w:w="1573" w:type="dxa"/>
          </w:tcPr>
          <w:p w14:paraId="01FC0A66">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w:t>
            </w:r>
          </w:p>
        </w:tc>
        <w:tc>
          <w:tcPr>
            <w:tcW w:w="2700" w:type="dxa"/>
          </w:tcPr>
          <w:p w14:paraId="63AEEF8E">
            <w:pPr>
              <w:widowControl w:val="0"/>
              <w:jc w:val="both"/>
              <w:rPr>
                <w:rFonts w:ascii="Calibri" w:hAnsi="Calibri" w:eastAsia="宋体"/>
                <w:bCs/>
                <w:kern w:val="2"/>
                <w:sz w:val="21"/>
                <w:szCs w:val="22"/>
                <w:lang w:eastAsia="zh-CN"/>
              </w:rPr>
            </w:pPr>
            <w:r>
              <w:rPr>
                <w:rFonts w:hint="eastAsia" w:ascii="Calibri" w:hAnsi="Calibri" w:eastAsia="宋体" w:cstheme="minorBidi"/>
                <w:kern w:val="2"/>
                <w:sz w:val="21"/>
                <w:szCs w:val="22"/>
                <w:lang w:eastAsia="zh-CN"/>
              </w:rPr>
              <w:t>……</w:t>
            </w:r>
          </w:p>
        </w:tc>
        <w:tc>
          <w:tcPr>
            <w:tcW w:w="2613" w:type="dxa"/>
          </w:tcPr>
          <w:p w14:paraId="0AAB9C36">
            <w:pPr>
              <w:widowControl w:val="0"/>
              <w:jc w:val="both"/>
              <w:rPr>
                <w:rFonts w:ascii="Calibri" w:hAnsi="Calibri" w:eastAsia="宋体"/>
                <w:kern w:val="2"/>
                <w:sz w:val="21"/>
                <w:szCs w:val="22"/>
                <w:lang w:eastAsia="zh-CN"/>
              </w:rPr>
            </w:pPr>
          </w:p>
        </w:tc>
        <w:tc>
          <w:tcPr>
            <w:tcW w:w="1262" w:type="dxa"/>
          </w:tcPr>
          <w:p w14:paraId="62F378D3">
            <w:pPr>
              <w:widowControl w:val="0"/>
              <w:jc w:val="both"/>
              <w:rPr>
                <w:rFonts w:ascii="Calibri" w:hAnsi="Calibri" w:eastAsia="宋体"/>
                <w:kern w:val="2"/>
                <w:sz w:val="21"/>
                <w:szCs w:val="22"/>
                <w:lang w:eastAsia="zh-CN"/>
              </w:rPr>
            </w:pPr>
          </w:p>
        </w:tc>
        <w:tc>
          <w:tcPr>
            <w:tcW w:w="743" w:type="dxa"/>
          </w:tcPr>
          <w:p w14:paraId="0CC55DA7">
            <w:pPr>
              <w:widowControl w:val="0"/>
              <w:jc w:val="both"/>
              <w:rPr>
                <w:rFonts w:ascii="Calibri" w:hAnsi="Calibri" w:eastAsia="宋体"/>
                <w:kern w:val="2"/>
                <w:sz w:val="21"/>
                <w:szCs w:val="22"/>
                <w:lang w:eastAsia="zh-CN"/>
              </w:rPr>
            </w:pPr>
          </w:p>
        </w:tc>
      </w:tr>
      <w:tr w14:paraId="76A5E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9572" w:type="dxa"/>
            <w:gridSpan w:val="6"/>
          </w:tcPr>
          <w:p w14:paraId="4ED35AAE">
            <w:pPr>
              <w:widowControl w:val="0"/>
              <w:jc w:val="both"/>
              <w:rPr>
                <w:rFonts w:ascii="Calibri" w:hAnsi="Calibri" w:eastAsia="宋体"/>
                <w:bCs/>
                <w:kern w:val="2"/>
                <w:sz w:val="21"/>
                <w:szCs w:val="22"/>
                <w:lang w:eastAsia="zh-CN"/>
              </w:rPr>
            </w:pPr>
            <w:r>
              <w:rPr>
                <w:rFonts w:hint="eastAsia" w:ascii="Calibri" w:hAnsi="Calibri" w:eastAsia="宋体" w:cstheme="minorBidi"/>
                <w:kern w:val="2"/>
                <w:sz w:val="21"/>
                <w:szCs w:val="22"/>
                <w:lang w:eastAsia="zh-CN"/>
              </w:rPr>
              <w:t>（二）其他商务要求</w:t>
            </w:r>
          </w:p>
        </w:tc>
      </w:tr>
      <w:tr w14:paraId="309B7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681" w:type="dxa"/>
          </w:tcPr>
          <w:p w14:paraId="7136AE9E">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1</w:t>
            </w:r>
          </w:p>
        </w:tc>
        <w:tc>
          <w:tcPr>
            <w:tcW w:w="1573" w:type="dxa"/>
          </w:tcPr>
          <w:p w14:paraId="3B46D4EE">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w:t>
            </w:r>
          </w:p>
        </w:tc>
        <w:tc>
          <w:tcPr>
            <w:tcW w:w="2700" w:type="dxa"/>
          </w:tcPr>
          <w:p w14:paraId="298F534D">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w:t>
            </w:r>
          </w:p>
        </w:tc>
        <w:tc>
          <w:tcPr>
            <w:tcW w:w="2613" w:type="dxa"/>
          </w:tcPr>
          <w:p w14:paraId="565D2BBE">
            <w:pPr>
              <w:widowControl w:val="0"/>
              <w:jc w:val="both"/>
              <w:rPr>
                <w:rFonts w:ascii="Calibri" w:hAnsi="Calibri" w:eastAsia="宋体"/>
                <w:kern w:val="2"/>
                <w:sz w:val="21"/>
                <w:szCs w:val="22"/>
                <w:lang w:eastAsia="zh-CN"/>
              </w:rPr>
            </w:pPr>
          </w:p>
        </w:tc>
        <w:tc>
          <w:tcPr>
            <w:tcW w:w="1262" w:type="dxa"/>
          </w:tcPr>
          <w:p w14:paraId="3DDF3A7E">
            <w:pPr>
              <w:widowControl w:val="0"/>
              <w:jc w:val="both"/>
              <w:rPr>
                <w:rFonts w:ascii="Calibri" w:hAnsi="Calibri" w:eastAsia="宋体"/>
                <w:kern w:val="2"/>
                <w:sz w:val="21"/>
                <w:szCs w:val="22"/>
                <w:lang w:eastAsia="zh-CN"/>
              </w:rPr>
            </w:pPr>
          </w:p>
        </w:tc>
        <w:tc>
          <w:tcPr>
            <w:tcW w:w="743" w:type="dxa"/>
          </w:tcPr>
          <w:p w14:paraId="2A03F911">
            <w:pPr>
              <w:widowControl w:val="0"/>
              <w:jc w:val="both"/>
              <w:rPr>
                <w:rFonts w:ascii="Calibri" w:hAnsi="Calibri" w:eastAsia="宋体"/>
                <w:kern w:val="2"/>
                <w:sz w:val="21"/>
                <w:szCs w:val="22"/>
                <w:lang w:eastAsia="zh-CN"/>
              </w:rPr>
            </w:pPr>
          </w:p>
        </w:tc>
      </w:tr>
      <w:tr w14:paraId="2BAEB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681" w:type="dxa"/>
          </w:tcPr>
          <w:p w14:paraId="12660503">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2</w:t>
            </w:r>
          </w:p>
        </w:tc>
        <w:tc>
          <w:tcPr>
            <w:tcW w:w="1573" w:type="dxa"/>
          </w:tcPr>
          <w:p w14:paraId="1D0C63B3">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w:t>
            </w:r>
          </w:p>
        </w:tc>
        <w:tc>
          <w:tcPr>
            <w:tcW w:w="2700" w:type="dxa"/>
          </w:tcPr>
          <w:p w14:paraId="5B7F3BF2">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w:t>
            </w:r>
          </w:p>
        </w:tc>
        <w:tc>
          <w:tcPr>
            <w:tcW w:w="2613" w:type="dxa"/>
          </w:tcPr>
          <w:p w14:paraId="36BDB909">
            <w:pPr>
              <w:widowControl w:val="0"/>
              <w:jc w:val="both"/>
              <w:rPr>
                <w:rFonts w:ascii="Calibri" w:hAnsi="Calibri" w:eastAsia="宋体"/>
                <w:kern w:val="2"/>
                <w:sz w:val="21"/>
                <w:szCs w:val="22"/>
                <w:lang w:eastAsia="zh-CN"/>
              </w:rPr>
            </w:pPr>
          </w:p>
        </w:tc>
        <w:tc>
          <w:tcPr>
            <w:tcW w:w="1262" w:type="dxa"/>
          </w:tcPr>
          <w:p w14:paraId="385157C2">
            <w:pPr>
              <w:widowControl w:val="0"/>
              <w:jc w:val="both"/>
              <w:rPr>
                <w:rFonts w:ascii="Calibri" w:hAnsi="Calibri" w:eastAsia="宋体"/>
                <w:kern w:val="2"/>
                <w:sz w:val="21"/>
                <w:szCs w:val="22"/>
                <w:lang w:eastAsia="zh-CN"/>
              </w:rPr>
            </w:pPr>
          </w:p>
        </w:tc>
        <w:tc>
          <w:tcPr>
            <w:tcW w:w="743" w:type="dxa"/>
          </w:tcPr>
          <w:p w14:paraId="01D44DA2">
            <w:pPr>
              <w:widowControl w:val="0"/>
              <w:jc w:val="both"/>
              <w:rPr>
                <w:rFonts w:ascii="Calibri" w:hAnsi="Calibri" w:eastAsia="宋体"/>
                <w:kern w:val="2"/>
                <w:sz w:val="21"/>
                <w:szCs w:val="22"/>
                <w:lang w:eastAsia="zh-CN"/>
              </w:rPr>
            </w:pPr>
          </w:p>
        </w:tc>
      </w:tr>
      <w:tr w14:paraId="4159E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681" w:type="dxa"/>
          </w:tcPr>
          <w:p w14:paraId="648FF9D6">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3</w:t>
            </w:r>
          </w:p>
        </w:tc>
        <w:tc>
          <w:tcPr>
            <w:tcW w:w="1573" w:type="dxa"/>
          </w:tcPr>
          <w:p w14:paraId="7198F7B1">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w:t>
            </w:r>
          </w:p>
        </w:tc>
        <w:tc>
          <w:tcPr>
            <w:tcW w:w="2700" w:type="dxa"/>
          </w:tcPr>
          <w:p w14:paraId="45C6E04F">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w:t>
            </w:r>
          </w:p>
        </w:tc>
        <w:tc>
          <w:tcPr>
            <w:tcW w:w="2613" w:type="dxa"/>
          </w:tcPr>
          <w:p w14:paraId="6B2B3A90">
            <w:pPr>
              <w:widowControl w:val="0"/>
              <w:jc w:val="both"/>
              <w:rPr>
                <w:rFonts w:ascii="Calibri" w:hAnsi="Calibri" w:eastAsia="宋体"/>
                <w:kern w:val="2"/>
                <w:sz w:val="21"/>
                <w:szCs w:val="22"/>
                <w:lang w:eastAsia="zh-CN"/>
              </w:rPr>
            </w:pPr>
          </w:p>
        </w:tc>
        <w:tc>
          <w:tcPr>
            <w:tcW w:w="1262" w:type="dxa"/>
          </w:tcPr>
          <w:p w14:paraId="36FA6757">
            <w:pPr>
              <w:widowControl w:val="0"/>
              <w:jc w:val="both"/>
              <w:rPr>
                <w:rFonts w:ascii="Calibri" w:hAnsi="Calibri" w:eastAsia="宋体"/>
                <w:kern w:val="2"/>
                <w:sz w:val="21"/>
                <w:szCs w:val="22"/>
                <w:lang w:eastAsia="zh-CN"/>
              </w:rPr>
            </w:pPr>
          </w:p>
        </w:tc>
        <w:tc>
          <w:tcPr>
            <w:tcW w:w="743" w:type="dxa"/>
          </w:tcPr>
          <w:p w14:paraId="1641CEA2">
            <w:pPr>
              <w:widowControl w:val="0"/>
              <w:jc w:val="both"/>
              <w:rPr>
                <w:rFonts w:ascii="Calibri" w:hAnsi="Calibri" w:eastAsia="宋体"/>
                <w:kern w:val="2"/>
                <w:sz w:val="21"/>
                <w:szCs w:val="22"/>
                <w:lang w:eastAsia="zh-CN"/>
              </w:rPr>
            </w:pPr>
          </w:p>
        </w:tc>
      </w:tr>
      <w:tr w14:paraId="00439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681" w:type="dxa"/>
          </w:tcPr>
          <w:p w14:paraId="61B05B96">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4</w:t>
            </w:r>
          </w:p>
        </w:tc>
        <w:tc>
          <w:tcPr>
            <w:tcW w:w="1573" w:type="dxa"/>
          </w:tcPr>
          <w:p w14:paraId="027C722A">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w:t>
            </w:r>
          </w:p>
        </w:tc>
        <w:tc>
          <w:tcPr>
            <w:tcW w:w="2700" w:type="dxa"/>
          </w:tcPr>
          <w:p w14:paraId="76D2602C">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w:t>
            </w:r>
          </w:p>
        </w:tc>
        <w:tc>
          <w:tcPr>
            <w:tcW w:w="2613" w:type="dxa"/>
          </w:tcPr>
          <w:p w14:paraId="638816A2">
            <w:pPr>
              <w:widowControl w:val="0"/>
              <w:jc w:val="both"/>
              <w:rPr>
                <w:rFonts w:ascii="Calibri" w:hAnsi="Calibri" w:eastAsia="宋体"/>
                <w:kern w:val="2"/>
                <w:sz w:val="21"/>
                <w:szCs w:val="22"/>
                <w:lang w:eastAsia="zh-CN"/>
              </w:rPr>
            </w:pPr>
          </w:p>
        </w:tc>
        <w:tc>
          <w:tcPr>
            <w:tcW w:w="1262" w:type="dxa"/>
          </w:tcPr>
          <w:p w14:paraId="72445AF6">
            <w:pPr>
              <w:widowControl w:val="0"/>
              <w:jc w:val="both"/>
              <w:rPr>
                <w:rFonts w:ascii="Calibri" w:hAnsi="Calibri" w:eastAsia="宋体"/>
                <w:kern w:val="2"/>
                <w:sz w:val="21"/>
                <w:szCs w:val="22"/>
                <w:lang w:eastAsia="zh-CN"/>
              </w:rPr>
            </w:pPr>
          </w:p>
        </w:tc>
        <w:tc>
          <w:tcPr>
            <w:tcW w:w="743" w:type="dxa"/>
          </w:tcPr>
          <w:p w14:paraId="325B2EA0">
            <w:pPr>
              <w:widowControl w:val="0"/>
              <w:jc w:val="both"/>
              <w:rPr>
                <w:rFonts w:ascii="Calibri" w:hAnsi="Calibri" w:eastAsia="宋体"/>
                <w:kern w:val="2"/>
                <w:sz w:val="21"/>
                <w:szCs w:val="22"/>
                <w:lang w:eastAsia="zh-CN"/>
              </w:rPr>
            </w:pPr>
          </w:p>
        </w:tc>
      </w:tr>
    </w:tbl>
    <w:p w14:paraId="74C3453C">
      <w:pPr>
        <w:widowControl w:val="0"/>
        <w:jc w:val="both"/>
        <w:rPr>
          <w:rFonts w:ascii="Calibri" w:hAnsi="Calibri" w:eastAsia="宋体"/>
          <w:kern w:val="2"/>
          <w:sz w:val="21"/>
          <w:szCs w:val="22"/>
          <w:lang w:eastAsia="zh-CN"/>
        </w:rPr>
      </w:pPr>
    </w:p>
    <w:p w14:paraId="552D9491">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《商务要求偏离表》编制指引：</w:t>
      </w:r>
    </w:p>
    <w:p w14:paraId="343AC122">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1、商务要求偏离表的序号、目录、招标商务要求等栏目对应“用户需求书”中的“商务要求”章节相关内容。</w:t>
      </w:r>
    </w:p>
    <w:p w14:paraId="3AF8B2F4">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2、“投标商务响应”一栏必须一一对照“采购商务要求”，详细填写自身响应情况，而不能不合理照搬照抄招标文件的商务要求，以体现具体响应情况。</w:t>
      </w:r>
    </w:p>
    <w:p w14:paraId="037E5AB6">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3、“偏离情况”一栏填写如实填写</w:t>
      </w:r>
      <w:r>
        <w:rPr>
          <w:rFonts w:hint="eastAsia" w:eastAsia="宋体"/>
          <w:b/>
          <w:kern w:val="2"/>
          <w:sz w:val="21"/>
          <w:lang w:eastAsia="zh-CN"/>
        </w:rPr>
        <w:t>“正偏离”、“负偏离”或“无偏离”，</w:t>
      </w:r>
      <w:r>
        <w:rPr>
          <w:rFonts w:hint="eastAsia" w:eastAsia="宋体"/>
          <w:kern w:val="2"/>
          <w:sz w:val="21"/>
          <w:lang w:eastAsia="zh-CN"/>
        </w:rPr>
        <w:t>其中：“正偏离”表示“投标响应优于招标商务要求”，“负偏离”表示“投标响应不满足招标商务要求”，“无偏离”表示“投标响应与招标商务要求一致”。</w:t>
      </w:r>
    </w:p>
    <w:p w14:paraId="6322F9FB">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“投标商务响应”对比“采购商务要求”存在响应不全（包括未响应整项招标商务要求或者未响应一项招标商务要求的部分内容），均视为“负偏离”。</w:t>
      </w:r>
    </w:p>
    <w:p w14:paraId="66AB1E72">
      <w:pPr>
        <w:widowControl/>
        <w:numPr>
          <w:ilvl w:val="0"/>
          <w:numId w:val="3"/>
        </w:numPr>
        <w:wordWrap w:val="0"/>
        <w:autoSpaceDE w:val="0"/>
        <w:autoSpaceDN w:val="0"/>
        <w:spacing w:line="400" w:lineRule="exact"/>
        <w:ind w:left="0" w:leftChars="0" w:right="808" w:firstLine="420" w:firstLineChars="200"/>
        <w:jc w:val="both"/>
        <w:rPr>
          <w:rFonts w:hint="eastAsia" w:eastAsia="宋体"/>
          <w:kern w:val="2"/>
          <w:sz w:val="21"/>
          <w:lang w:eastAsia="zh-CN"/>
        </w:rPr>
      </w:pPr>
      <w:r>
        <w:rPr>
          <w:rFonts w:hint="eastAsia" w:eastAsia="宋体"/>
          <w:kern w:val="2"/>
          <w:sz w:val="21"/>
          <w:lang w:eastAsia="zh-CN"/>
        </w:rPr>
        <w:t>带★号条款为不可偏离条款，如未响应或出现负偏离的，将作投标无效处理。</w:t>
      </w:r>
    </w:p>
    <w:p w14:paraId="51656CD0">
      <w:pPr>
        <w:widowControl/>
        <w:numPr>
          <w:ilvl w:val="0"/>
          <w:numId w:val="0"/>
        </w:numPr>
        <w:wordWrap w:val="0"/>
        <w:autoSpaceDE w:val="0"/>
        <w:autoSpaceDN w:val="0"/>
        <w:spacing w:line="400" w:lineRule="exact"/>
        <w:ind w:left="0" w:right="808" w:rightChars="0" w:firstLine="0"/>
        <w:jc w:val="both"/>
        <w:rPr>
          <w:rFonts w:hint="eastAsia" w:eastAsia="宋体"/>
          <w:kern w:val="2"/>
          <w:sz w:val="21"/>
          <w:lang w:eastAsia="zh-CN"/>
        </w:rPr>
      </w:pPr>
    </w:p>
    <w:p w14:paraId="29A218D7">
      <w:pPr>
        <w:widowControl/>
        <w:numPr>
          <w:ilvl w:val="0"/>
          <w:numId w:val="0"/>
        </w:numPr>
        <w:wordWrap w:val="0"/>
        <w:autoSpaceDE w:val="0"/>
        <w:autoSpaceDN w:val="0"/>
        <w:spacing w:line="400" w:lineRule="exact"/>
        <w:ind w:left="0" w:right="808" w:rightChars="0" w:firstLine="0"/>
        <w:jc w:val="both"/>
        <w:rPr>
          <w:rFonts w:hint="eastAsia" w:eastAsia="宋体"/>
          <w:kern w:val="2"/>
          <w:sz w:val="21"/>
          <w:lang w:eastAsia="zh-CN"/>
        </w:rPr>
      </w:pPr>
    </w:p>
    <w:p w14:paraId="6676790D">
      <w:pPr>
        <w:widowControl/>
        <w:numPr>
          <w:ilvl w:val="0"/>
          <w:numId w:val="0"/>
        </w:numPr>
        <w:wordWrap w:val="0"/>
        <w:autoSpaceDE w:val="0"/>
        <w:autoSpaceDN w:val="0"/>
        <w:spacing w:line="400" w:lineRule="exact"/>
        <w:ind w:left="0" w:right="808" w:rightChars="0" w:firstLine="0"/>
        <w:jc w:val="both"/>
        <w:rPr>
          <w:rFonts w:hint="eastAsia" w:eastAsia="宋体"/>
          <w:kern w:val="2"/>
          <w:sz w:val="21"/>
          <w:lang w:eastAsia="zh-CN"/>
        </w:rPr>
      </w:pPr>
    </w:p>
    <w:p w14:paraId="6AEC78E0">
      <w:pPr>
        <w:widowControl/>
        <w:numPr>
          <w:ilvl w:val="0"/>
          <w:numId w:val="0"/>
        </w:numPr>
        <w:wordWrap w:val="0"/>
        <w:autoSpaceDE w:val="0"/>
        <w:autoSpaceDN w:val="0"/>
        <w:spacing w:line="400" w:lineRule="exact"/>
        <w:ind w:left="0" w:right="808" w:rightChars="0" w:firstLine="0"/>
        <w:jc w:val="both"/>
        <w:rPr>
          <w:rFonts w:hint="eastAsia" w:eastAsia="宋体"/>
          <w:kern w:val="2"/>
          <w:sz w:val="21"/>
          <w:lang w:eastAsia="zh-CN"/>
        </w:rPr>
      </w:pPr>
    </w:p>
    <w:p w14:paraId="33B9CD39">
      <w:pPr>
        <w:widowControl w:val="0"/>
        <w:ind w:firstLine="420" w:firstLineChars="200"/>
        <w:jc w:val="both"/>
        <w:rPr>
          <w:rFonts w:ascii="Calibri" w:hAnsi="Calibri" w:eastAsia="宋体"/>
          <w:bCs/>
          <w:kern w:val="2"/>
          <w:sz w:val="21"/>
          <w:szCs w:val="21"/>
          <w:lang w:eastAsia="zh-CN"/>
        </w:rPr>
      </w:pPr>
    </w:p>
    <w:p w14:paraId="4508F9E4">
      <w:pPr>
        <w:keepNext/>
        <w:keepLines/>
        <w:widowControl w:val="0"/>
        <w:spacing w:before="260" w:after="260" w:line="240" w:lineRule="auto"/>
        <w:jc w:val="center"/>
        <w:outlineLvl w:val="2"/>
        <w:rPr>
          <w:rFonts w:hint="eastAsia" w:ascii="黑体" w:hAnsi="宋体" w:eastAsia="黑体"/>
          <w:b/>
          <w:bCs/>
          <w:kern w:val="2"/>
          <w:sz w:val="30"/>
          <w:szCs w:val="30"/>
          <w:lang w:eastAsia="zh-CN"/>
        </w:rPr>
      </w:pPr>
      <w:r>
        <w:rPr>
          <w:rFonts w:hint="eastAsia" w:ascii="黑体" w:hAnsi="宋体" w:eastAsia="黑体" w:cstheme="minorBidi"/>
          <w:b/>
          <w:bCs/>
          <w:kern w:val="2"/>
          <w:sz w:val="30"/>
          <w:szCs w:val="30"/>
          <w:lang w:eastAsia="zh-CN"/>
        </w:rPr>
        <w:t>十二、技术保障措施</w:t>
      </w:r>
    </w:p>
    <w:p w14:paraId="2C7BC976">
      <w:pPr>
        <w:keepNext/>
        <w:keepLines/>
        <w:widowControl w:val="0"/>
        <w:spacing w:before="260" w:after="260" w:line="240" w:lineRule="auto"/>
        <w:jc w:val="center"/>
        <w:outlineLvl w:val="2"/>
        <w:rPr>
          <w:rFonts w:hint="eastAsia" w:ascii="黑体" w:hAnsi="宋体" w:eastAsia="黑体"/>
          <w:b/>
          <w:bCs/>
          <w:kern w:val="2"/>
          <w:sz w:val="30"/>
          <w:szCs w:val="30"/>
          <w:lang w:eastAsia="zh-CN"/>
        </w:rPr>
      </w:pPr>
      <w:r>
        <w:rPr>
          <w:rFonts w:hint="eastAsia" w:ascii="黑体" w:hAnsi="宋体" w:eastAsia="黑体" w:cstheme="minorBidi"/>
          <w:b/>
          <w:bCs/>
          <w:kern w:val="2"/>
          <w:sz w:val="30"/>
          <w:szCs w:val="30"/>
          <w:lang w:eastAsia="zh-CN"/>
        </w:rPr>
        <w:t>十三、同类项目业绩</w:t>
      </w:r>
    </w:p>
    <w:p w14:paraId="19F30A9E">
      <w:pPr>
        <w:keepNext/>
        <w:keepLines/>
        <w:widowControl w:val="0"/>
        <w:spacing w:before="260" w:after="260" w:line="240" w:lineRule="auto"/>
        <w:jc w:val="center"/>
        <w:outlineLvl w:val="2"/>
        <w:rPr>
          <w:rFonts w:hint="eastAsia" w:ascii="黑体" w:hAnsi="宋体" w:eastAsia="黑体"/>
          <w:b/>
          <w:bCs/>
          <w:kern w:val="2"/>
          <w:sz w:val="30"/>
          <w:szCs w:val="30"/>
          <w:lang w:eastAsia="zh-CN"/>
        </w:rPr>
      </w:pPr>
      <w:r>
        <w:rPr>
          <w:rFonts w:hint="eastAsia" w:ascii="黑体" w:hAnsi="宋体" w:eastAsia="黑体" w:cstheme="minorBidi"/>
          <w:b/>
          <w:bCs/>
          <w:kern w:val="2"/>
          <w:sz w:val="30"/>
          <w:szCs w:val="30"/>
          <w:lang w:eastAsia="zh-CN"/>
        </w:rPr>
        <w:t>十四、投标人资质证书</w:t>
      </w:r>
    </w:p>
    <w:p w14:paraId="6B5FDCB5">
      <w:pPr>
        <w:keepNext/>
        <w:keepLines/>
        <w:widowControl w:val="0"/>
        <w:spacing w:before="260" w:after="260" w:line="240" w:lineRule="auto"/>
        <w:jc w:val="center"/>
        <w:outlineLvl w:val="2"/>
        <w:rPr>
          <w:rFonts w:hint="eastAsia" w:ascii="黑体" w:hAnsi="宋体" w:eastAsia="黑体"/>
          <w:b/>
          <w:bCs/>
          <w:kern w:val="2"/>
          <w:sz w:val="30"/>
          <w:szCs w:val="30"/>
          <w:lang w:eastAsia="zh-CN"/>
        </w:rPr>
      </w:pPr>
      <w:r>
        <w:rPr>
          <w:rFonts w:hint="eastAsia" w:ascii="黑体" w:hAnsi="宋体" w:eastAsia="黑体" w:cstheme="minorBidi"/>
          <w:b/>
          <w:bCs/>
          <w:kern w:val="2"/>
          <w:sz w:val="30"/>
          <w:szCs w:val="30"/>
          <w:lang w:eastAsia="zh-CN"/>
        </w:rPr>
        <w:t>十五、诚信承诺函</w:t>
      </w:r>
    </w:p>
    <w:p w14:paraId="13984BE5">
      <w:pPr>
        <w:spacing w:line="360" w:lineRule="auto"/>
        <w:jc w:val="left"/>
        <w:rPr>
          <w:rFonts w:ascii="宋体" w:hAnsi="宋体" w:eastAsia="宋体"/>
          <w:b/>
          <w:szCs w:val="21"/>
        </w:rPr>
      </w:pPr>
      <w:r>
        <w:rPr>
          <w:rFonts w:hint="eastAsia" w:ascii="宋体" w:hAnsi="宋体" w:eastAsia="宋体"/>
          <w:b/>
          <w:szCs w:val="21"/>
        </w:rPr>
        <w:t>致：深圳市千里招标代理有限公司</w:t>
      </w:r>
    </w:p>
    <w:p w14:paraId="31D7BBE6">
      <w:pPr>
        <w:spacing w:line="360" w:lineRule="auto"/>
        <w:ind w:firstLine="480" w:firstLineChars="200"/>
        <w:jc w:val="left"/>
        <w:rPr>
          <w:rFonts w:ascii="宋体" w:hAnsi="宋体" w:eastAsia="宋体"/>
          <w:szCs w:val="21"/>
        </w:rPr>
      </w:pPr>
      <w:r>
        <w:rPr>
          <w:rFonts w:hint="eastAsia" w:ascii="宋体" w:hAnsi="宋体" w:eastAsia="宋体"/>
          <w:szCs w:val="21"/>
        </w:rPr>
        <w:t>我公司承诺近三年内在采购招标投标活动中，不存在以下情形：</w:t>
      </w:r>
    </w:p>
    <w:p w14:paraId="2B657A8D">
      <w:pPr>
        <w:tabs>
          <w:tab w:val="left" w:pos="567"/>
        </w:tabs>
        <w:spacing w:line="360" w:lineRule="auto"/>
        <w:ind w:left="420"/>
        <w:jc w:val="left"/>
        <w:rPr>
          <w:rFonts w:ascii="宋体" w:hAnsi="宋体" w:eastAsia="宋体"/>
          <w:sz w:val="21"/>
          <w:szCs w:val="21"/>
        </w:rPr>
      </w:pPr>
      <w:r>
        <w:rPr>
          <w:rFonts w:hint="eastAsia" w:ascii="宋体" w:hAnsi="宋体" w:eastAsia="宋体"/>
          <w:sz w:val="21"/>
          <w:szCs w:val="21"/>
        </w:rPr>
        <w:t>（一）被纪检监察部门立案调查，违法违规事实成立的；</w:t>
      </w:r>
    </w:p>
    <w:p w14:paraId="5552A7E3">
      <w:pPr>
        <w:tabs>
          <w:tab w:val="left" w:pos="567"/>
        </w:tabs>
        <w:spacing w:line="360" w:lineRule="auto"/>
        <w:ind w:left="420"/>
        <w:jc w:val="left"/>
        <w:rPr>
          <w:rFonts w:ascii="宋体" w:hAnsi="宋体" w:eastAsia="宋体"/>
          <w:sz w:val="21"/>
          <w:szCs w:val="21"/>
        </w:rPr>
      </w:pPr>
      <w:r>
        <w:rPr>
          <w:rFonts w:hint="eastAsia" w:ascii="宋体" w:hAnsi="宋体" w:eastAsia="宋体"/>
          <w:sz w:val="21"/>
          <w:szCs w:val="21"/>
        </w:rPr>
        <w:t>（二）未按本条例规定签订、履行采购合同，造成严重后果的；</w:t>
      </w:r>
    </w:p>
    <w:p w14:paraId="35DDCC9A">
      <w:pPr>
        <w:tabs>
          <w:tab w:val="left" w:pos="567"/>
        </w:tabs>
        <w:spacing w:line="360" w:lineRule="auto"/>
        <w:ind w:left="420"/>
        <w:jc w:val="left"/>
        <w:rPr>
          <w:rFonts w:ascii="宋体" w:hAnsi="宋体" w:eastAsia="宋体"/>
          <w:sz w:val="21"/>
          <w:szCs w:val="21"/>
        </w:rPr>
      </w:pPr>
      <w:r>
        <w:rPr>
          <w:rFonts w:hint="eastAsia" w:ascii="宋体" w:hAnsi="宋体" w:eastAsia="宋体"/>
          <w:sz w:val="21"/>
          <w:szCs w:val="21"/>
        </w:rPr>
        <w:t>（三）隐瞒真实情况，提供虚假资料的；</w:t>
      </w:r>
    </w:p>
    <w:p w14:paraId="45AC2393">
      <w:pPr>
        <w:tabs>
          <w:tab w:val="left" w:pos="567"/>
        </w:tabs>
        <w:spacing w:line="360" w:lineRule="auto"/>
        <w:ind w:left="420"/>
        <w:jc w:val="left"/>
        <w:rPr>
          <w:rFonts w:ascii="宋体" w:hAnsi="宋体" w:eastAsia="宋体"/>
          <w:sz w:val="21"/>
          <w:szCs w:val="21"/>
        </w:rPr>
      </w:pPr>
      <w:r>
        <w:rPr>
          <w:rFonts w:hint="eastAsia" w:ascii="宋体" w:hAnsi="宋体" w:eastAsia="宋体"/>
          <w:sz w:val="21"/>
          <w:szCs w:val="21"/>
        </w:rPr>
        <w:t>（四）以非法手段排斥其他供应商参与竞争的；</w:t>
      </w:r>
    </w:p>
    <w:p w14:paraId="169A87A0">
      <w:pPr>
        <w:tabs>
          <w:tab w:val="left" w:pos="567"/>
        </w:tabs>
        <w:spacing w:line="360" w:lineRule="auto"/>
        <w:ind w:left="420"/>
        <w:jc w:val="left"/>
        <w:rPr>
          <w:rFonts w:ascii="宋体" w:hAnsi="宋体" w:eastAsia="宋体"/>
          <w:sz w:val="21"/>
          <w:szCs w:val="21"/>
        </w:rPr>
      </w:pPr>
      <w:r>
        <w:rPr>
          <w:rFonts w:hint="eastAsia" w:ascii="宋体" w:hAnsi="宋体" w:eastAsia="宋体"/>
          <w:sz w:val="21"/>
          <w:szCs w:val="21"/>
        </w:rPr>
        <w:t>（五）与其他采购参加人串通投标的；</w:t>
      </w:r>
    </w:p>
    <w:p w14:paraId="515315E7">
      <w:pPr>
        <w:tabs>
          <w:tab w:val="left" w:pos="567"/>
        </w:tabs>
        <w:spacing w:line="360" w:lineRule="auto"/>
        <w:ind w:left="420"/>
        <w:jc w:val="left"/>
        <w:rPr>
          <w:rFonts w:ascii="宋体" w:hAnsi="宋体" w:eastAsia="宋体"/>
          <w:sz w:val="21"/>
          <w:szCs w:val="21"/>
        </w:rPr>
      </w:pPr>
      <w:r>
        <w:rPr>
          <w:rFonts w:hint="eastAsia" w:ascii="宋体" w:hAnsi="宋体" w:eastAsia="宋体"/>
          <w:sz w:val="21"/>
          <w:szCs w:val="21"/>
        </w:rPr>
        <w:t>（六）在采购活动中应当回避而未回避的；</w:t>
      </w:r>
    </w:p>
    <w:p w14:paraId="59ECDDB0">
      <w:pPr>
        <w:tabs>
          <w:tab w:val="left" w:pos="567"/>
        </w:tabs>
        <w:spacing w:line="360" w:lineRule="auto"/>
        <w:ind w:left="420"/>
        <w:jc w:val="left"/>
        <w:rPr>
          <w:rFonts w:ascii="宋体" w:hAnsi="宋体" w:eastAsia="宋体"/>
          <w:sz w:val="21"/>
          <w:szCs w:val="21"/>
        </w:rPr>
      </w:pPr>
      <w:r>
        <w:rPr>
          <w:rFonts w:hint="eastAsia" w:ascii="宋体" w:hAnsi="宋体" w:eastAsia="宋体"/>
          <w:sz w:val="21"/>
          <w:szCs w:val="21"/>
        </w:rPr>
        <w:t>（七）恶意投诉的；</w:t>
      </w:r>
    </w:p>
    <w:p w14:paraId="302F9970">
      <w:pPr>
        <w:tabs>
          <w:tab w:val="left" w:pos="567"/>
        </w:tabs>
        <w:spacing w:line="360" w:lineRule="auto"/>
        <w:ind w:left="420"/>
        <w:jc w:val="left"/>
        <w:rPr>
          <w:rFonts w:ascii="宋体" w:hAnsi="宋体" w:eastAsia="宋体"/>
          <w:sz w:val="21"/>
          <w:szCs w:val="21"/>
        </w:rPr>
      </w:pPr>
      <w:r>
        <w:rPr>
          <w:rFonts w:hint="eastAsia" w:ascii="宋体" w:hAnsi="宋体" w:eastAsia="宋体"/>
          <w:sz w:val="21"/>
          <w:szCs w:val="21"/>
        </w:rPr>
        <w:t>（八）向采购项目相关人行贿或者提供其他不当利益的；</w:t>
      </w:r>
    </w:p>
    <w:p w14:paraId="10635A31">
      <w:pPr>
        <w:tabs>
          <w:tab w:val="left" w:pos="567"/>
        </w:tabs>
        <w:spacing w:line="360" w:lineRule="auto"/>
        <w:ind w:left="420"/>
        <w:jc w:val="left"/>
        <w:rPr>
          <w:rFonts w:ascii="宋体" w:hAnsi="宋体" w:eastAsia="宋体"/>
          <w:sz w:val="21"/>
          <w:szCs w:val="21"/>
        </w:rPr>
      </w:pPr>
      <w:r>
        <w:rPr>
          <w:rFonts w:hint="eastAsia" w:ascii="宋体" w:hAnsi="宋体" w:eastAsia="宋体"/>
          <w:sz w:val="21"/>
          <w:szCs w:val="21"/>
        </w:rPr>
        <w:t>（九）阻碍、抗拒主管部门监督检查的；</w:t>
      </w:r>
    </w:p>
    <w:p w14:paraId="48A6675B">
      <w:pPr>
        <w:tabs>
          <w:tab w:val="left" w:pos="567"/>
        </w:tabs>
        <w:spacing w:line="360" w:lineRule="auto"/>
        <w:ind w:left="420"/>
        <w:jc w:val="left"/>
        <w:rPr>
          <w:rFonts w:ascii="宋体" w:hAnsi="宋体" w:eastAsia="宋体"/>
          <w:sz w:val="21"/>
          <w:szCs w:val="21"/>
        </w:rPr>
      </w:pPr>
      <w:r>
        <w:rPr>
          <w:rFonts w:hint="eastAsia" w:ascii="宋体" w:hAnsi="宋体" w:eastAsia="宋体"/>
          <w:sz w:val="21"/>
          <w:szCs w:val="21"/>
        </w:rPr>
        <w:t>（十）履约检查不合格或者评价为差的；</w:t>
      </w:r>
    </w:p>
    <w:p w14:paraId="7C612F14">
      <w:pPr>
        <w:tabs>
          <w:tab w:val="left" w:pos="567"/>
        </w:tabs>
        <w:spacing w:line="360" w:lineRule="auto"/>
        <w:ind w:left="420"/>
        <w:jc w:val="left"/>
        <w:rPr>
          <w:rFonts w:ascii="宋体" w:hAnsi="宋体" w:eastAsia="宋体"/>
          <w:sz w:val="21"/>
          <w:szCs w:val="21"/>
        </w:rPr>
      </w:pPr>
      <w:r>
        <w:rPr>
          <w:rFonts w:hint="eastAsia" w:ascii="宋体" w:hAnsi="宋体" w:eastAsia="宋体"/>
          <w:sz w:val="21"/>
          <w:szCs w:val="21"/>
        </w:rPr>
        <w:t>（十一）重大违法犯罪记录和被财政等政府主管部门处以禁止参与政府采购活动的情况；</w:t>
      </w:r>
    </w:p>
    <w:p w14:paraId="78D6445A">
      <w:pPr>
        <w:spacing w:line="360" w:lineRule="auto"/>
        <w:ind w:firstLine="480" w:firstLineChars="200"/>
        <w:jc w:val="left"/>
        <w:rPr>
          <w:rFonts w:ascii="宋体" w:hAnsi="宋体" w:eastAsia="宋体"/>
          <w:szCs w:val="21"/>
        </w:rPr>
      </w:pPr>
      <w:r>
        <w:rPr>
          <w:rFonts w:hint="eastAsia" w:ascii="宋体" w:hAnsi="宋体" w:eastAsia="宋体"/>
          <w:szCs w:val="21"/>
        </w:rPr>
        <w:t>（十二）主管部门认定的其他情形。</w:t>
      </w:r>
    </w:p>
    <w:p w14:paraId="26497A99">
      <w:pPr>
        <w:spacing w:line="360" w:lineRule="auto"/>
        <w:ind w:firstLine="480" w:firstLineChars="200"/>
        <w:jc w:val="left"/>
        <w:rPr>
          <w:rFonts w:ascii="宋体" w:hAnsi="宋体" w:eastAsia="宋体"/>
          <w:szCs w:val="21"/>
        </w:rPr>
      </w:pPr>
      <w:r>
        <w:rPr>
          <w:rFonts w:hint="eastAsia" w:ascii="宋体" w:hAnsi="宋体" w:eastAsia="宋体"/>
          <w:szCs w:val="21"/>
        </w:rPr>
        <w:t>如我司存在以上情形，被有关主管部门按照《深圳经济特区政府采购条例》第57条处罚、或者上述行为超出法定追诉时效未被追诉、或者上述情节轻微未给予禁止参加政府采购的行政处罚，我司自愿承担虚假应标以及其他一切不利的法律后果。</w:t>
      </w:r>
    </w:p>
    <w:p w14:paraId="473646F0">
      <w:pPr>
        <w:spacing w:line="360" w:lineRule="auto"/>
        <w:ind w:firstLine="480" w:firstLineChars="200"/>
        <w:jc w:val="left"/>
        <w:rPr>
          <w:rFonts w:ascii="宋体" w:hAnsi="宋体" w:eastAsia="宋体"/>
          <w:szCs w:val="21"/>
        </w:rPr>
      </w:pPr>
      <w:r>
        <w:rPr>
          <w:rFonts w:hint="eastAsia" w:ascii="宋体" w:hAnsi="宋体" w:eastAsia="宋体"/>
          <w:szCs w:val="21"/>
        </w:rPr>
        <w:t>特此承诺。</w:t>
      </w:r>
    </w:p>
    <w:p w14:paraId="6DCDE172">
      <w:pPr>
        <w:spacing w:line="360" w:lineRule="auto"/>
        <w:jc w:val="both"/>
        <w:rPr>
          <w:rFonts w:ascii="宋体" w:hAnsi="宋体" w:eastAsia="宋体"/>
          <w:szCs w:val="21"/>
        </w:rPr>
      </w:pPr>
    </w:p>
    <w:p w14:paraId="796B0C2C">
      <w:pPr>
        <w:spacing w:line="360" w:lineRule="auto"/>
        <w:jc w:val="left"/>
        <w:rPr>
          <w:rFonts w:ascii="宋体" w:hAnsi="宋体" w:eastAsia="宋体"/>
          <w:szCs w:val="21"/>
        </w:rPr>
      </w:pPr>
    </w:p>
    <w:p w14:paraId="40A0572E">
      <w:pPr>
        <w:spacing w:line="360" w:lineRule="auto"/>
        <w:ind w:firstLine="3600" w:firstLineChars="1500"/>
        <w:jc w:val="left"/>
        <w:rPr>
          <w:rFonts w:ascii="宋体" w:hAnsi="宋体" w:eastAsia="宋体"/>
          <w:szCs w:val="21"/>
        </w:rPr>
      </w:pPr>
      <w:r>
        <w:rPr>
          <w:rFonts w:hint="eastAsia" w:ascii="宋体" w:hAnsi="宋体" w:eastAsia="宋体"/>
          <w:szCs w:val="21"/>
        </w:rPr>
        <w:t>投标单位：</w:t>
      </w:r>
    </w:p>
    <w:p w14:paraId="5D7B56D5">
      <w:pPr>
        <w:spacing w:line="360" w:lineRule="auto"/>
        <w:jc w:val="left"/>
        <w:rPr>
          <w:rFonts w:ascii="宋体" w:hAnsi="宋体" w:eastAsia="宋体"/>
          <w:szCs w:val="21"/>
        </w:rPr>
      </w:pPr>
    </w:p>
    <w:p w14:paraId="06826A33">
      <w:pPr>
        <w:spacing w:line="360" w:lineRule="auto"/>
        <w:jc w:val="right"/>
        <w:rPr>
          <w:rFonts w:hint="eastAsia" w:ascii="宋体" w:hAnsi="宋体" w:eastAsia="宋体"/>
          <w:szCs w:val="21"/>
        </w:rPr>
      </w:pPr>
      <w:r>
        <w:rPr>
          <w:rFonts w:hint="eastAsia" w:ascii="宋体" w:hAnsi="宋体" w:eastAsia="宋体"/>
          <w:szCs w:val="21"/>
        </w:rPr>
        <w:t>日期：</w:t>
      </w:r>
      <w:r>
        <w:rPr>
          <w:rFonts w:hint="eastAsia" w:ascii="宋体" w:hAnsi="宋体" w:eastAsia="宋体"/>
          <w:szCs w:val="21"/>
          <w:u w:val="single"/>
          <w:lang w:eastAsia="zh-CN"/>
        </w:rPr>
        <w:t xml:space="preserve">     </w:t>
      </w:r>
      <w:r>
        <w:rPr>
          <w:rFonts w:hint="eastAsia" w:ascii="宋体" w:hAnsi="宋体" w:eastAsia="宋体"/>
          <w:szCs w:val="21"/>
        </w:rPr>
        <w:t>年</w:t>
      </w:r>
      <w:r>
        <w:rPr>
          <w:rFonts w:hint="eastAsia" w:ascii="宋体" w:hAnsi="宋体" w:eastAsia="宋体"/>
          <w:szCs w:val="21"/>
          <w:u w:val="single"/>
          <w:lang w:eastAsia="zh-CN"/>
        </w:rPr>
        <w:t xml:space="preserve">     </w:t>
      </w:r>
      <w:r>
        <w:rPr>
          <w:rFonts w:hint="eastAsia" w:ascii="宋体" w:hAnsi="宋体" w:eastAsia="宋体"/>
          <w:szCs w:val="21"/>
        </w:rPr>
        <w:t>月</w:t>
      </w:r>
      <w:r>
        <w:rPr>
          <w:rFonts w:hint="eastAsia" w:ascii="宋体" w:hAnsi="宋体" w:eastAsia="宋体"/>
          <w:szCs w:val="21"/>
          <w:u w:val="single"/>
          <w:lang w:eastAsia="zh-CN"/>
        </w:rPr>
        <w:t xml:space="preserve">     </w:t>
      </w:r>
      <w:r>
        <w:rPr>
          <w:rFonts w:hint="eastAsia" w:ascii="宋体" w:hAnsi="宋体" w:eastAsia="宋体"/>
          <w:szCs w:val="21"/>
        </w:rPr>
        <w:t>日</w:t>
      </w:r>
    </w:p>
    <w:p w14:paraId="351984B0">
      <w:pPr>
        <w:spacing w:line="360" w:lineRule="auto"/>
        <w:jc w:val="right"/>
        <w:rPr>
          <w:rFonts w:hint="eastAsia" w:ascii="宋体" w:hAnsi="宋体" w:eastAsia="宋体"/>
          <w:szCs w:val="21"/>
        </w:rPr>
      </w:pPr>
    </w:p>
    <w:p w14:paraId="6A66561F">
      <w:pPr>
        <w:spacing w:line="360" w:lineRule="auto"/>
        <w:jc w:val="right"/>
        <w:rPr>
          <w:rFonts w:hint="eastAsia" w:ascii="宋体" w:hAnsi="宋体" w:eastAsia="宋体"/>
          <w:szCs w:val="21"/>
        </w:rPr>
      </w:pPr>
    </w:p>
    <w:p w14:paraId="6D6E2E5D">
      <w:pPr>
        <w:spacing w:line="360" w:lineRule="auto"/>
        <w:jc w:val="right"/>
        <w:rPr>
          <w:rFonts w:hint="eastAsia" w:ascii="宋体" w:hAnsi="宋体" w:eastAsia="宋体"/>
          <w:szCs w:val="21"/>
        </w:rPr>
      </w:pPr>
    </w:p>
    <w:p w14:paraId="4E313E4C">
      <w:pPr>
        <w:spacing w:line="360" w:lineRule="auto"/>
        <w:jc w:val="right"/>
        <w:rPr>
          <w:rFonts w:hint="eastAsia" w:ascii="宋体" w:hAnsi="宋体" w:eastAsia="宋体"/>
          <w:szCs w:val="21"/>
        </w:rPr>
      </w:pPr>
    </w:p>
    <w:p w14:paraId="70E8E7F1">
      <w:pPr>
        <w:spacing w:line="360" w:lineRule="auto"/>
        <w:jc w:val="right"/>
        <w:rPr>
          <w:rFonts w:hint="eastAsia" w:ascii="宋体" w:hAnsi="宋体" w:eastAsia="宋体"/>
          <w:szCs w:val="21"/>
        </w:rPr>
      </w:pPr>
    </w:p>
    <w:p w14:paraId="238ABC4B">
      <w:pPr>
        <w:spacing w:line="360" w:lineRule="auto"/>
        <w:jc w:val="right"/>
        <w:rPr>
          <w:rFonts w:hint="eastAsia" w:ascii="宋体" w:hAnsi="宋体" w:eastAsia="宋体"/>
          <w:szCs w:val="21"/>
        </w:rPr>
      </w:pPr>
    </w:p>
    <w:p w14:paraId="232F7801">
      <w:pPr>
        <w:spacing w:line="360" w:lineRule="auto"/>
        <w:jc w:val="right"/>
        <w:rPr>
          <w:rFonts w:hint="eastAsia" w:ascii="宋体" w:hAnsi="宋体" w:eastAsia="宋体"/>
          <w:szCs w:val="21"/>
        </w:rPr>
      </w:pPr>
    </w:p>
    <w:p w14:paraId="233E5340">
      <w:pPr>
        <w:spacing w:line="360" w:lineRule="auto"/>
        <w:jc w:val="right"/>
        <w:rPr>
          <w:rFonts w:hint="eastAsia" w:ascii="宋体" w:hAnsi="宋体" w:eastAsia="宋体"/>
          <w:szCs w:val="21"/>
        </w:rPr>
      </w:pPr>
    </w:p>
    <w:p w14:paraId="205802CC">
      <w:pPr>
        <w:spacing w:line="360" w:lineRule="auto"/>
        <w:jc w:val="right"/>
        <w:rPr>
          <w:rFonts w:hint="eastAsia" w:ascii="宋体" w:hAnsi="宋体" w:eastAsia="宋体"/>
          <w:szCs w:val="21"/>
        </w:rPr>
      </w:pPr>
    </w:p>
    <w:p w14:paraId="0A5BDF11">
      <w:pPr>
        <w:spacing w:line="360" w:lineRule="auto"/>
        <w:jc w:val="right"/>
        <w:rPr>
          <w:rFonts w:hint="eastAsia" w:ascii="宋体" w:hAnsi="宋体" w:eastAsia="宋体"/>
          <w:szCs w:val="21"/>
        </w:rPr>
      </w:pPr>
    </w:p>
    <w:p w14:paraId="1A6B146E">
      <w:pPr>
        <w:spacing w:line="360" w:lineRule="auto"/>
        <w:jc w:val="right"/>
        <w:rPr>
          <w:rFonts w:hint="eastAsia" w:ascii="宋体" w:hAnsi="宋体" w:eastAsia="宋体"/>
          <w:szCs w:val="21"/>
        </w:rPr>
      </w:pPr>
    </w:p>
    <w:p w14:paraId="16DEFD0A">
      <w:pPr>
        <w:spacing w:line="360" w:lineRule="auto"/>
        <w:jc w:val="right"/>
        <w:rPr>
          <w:rFonts w:hint="eastAsia" w:ascii="宋体" w:hAnsi="宋体" w:eastAsia="宋体"/>
          <w:szCs w:val="21"/>
        </w:rPr>
      </w:pPr>
    </w:p>
    <w:p w14:paraId="6A04F867">
      <w:pPr>
        <w:spacing w:line="360" w:lineRule="auto"/>
        <w:jc w:val="right"/>
        <w:rPr>
          <w:rFonts w:hint="eastAsia" w:ascii="宋体" w:hAnsi="宋体" w:eastAsia="宋体"/>
          <w:szCs w:val="21"/>
        </w:rPr>
      </w:pPr>
    </w:p>
    <w:p w14:paraId="753C9908">
      <w:pPr>
        <w:spacing w:line="360" w:lineRule="auto"/>
        <w:jc w:val="right"/>
        <w:rPr>
          <w:rFonts w:hint="eastAsia" w:ascii="宋体" w:hAnsi="宋体" w:eastAsia="宋体"/>
          <w:szCs w:val="21"/>
        </w:rPr>
      </w:pPr>
    </w:p>
    <w:p w14:paraId="222BE733">
      <w:pPr>
        <w:spacing w:line="360" w:lineRule="auto"/>
        <w:jc w:val="right"/>
        <w:rPr>
          <w:rFonts w:hint="eastAsia" w:ascii="宋体" w:hAnsi="宋体" w:eastAsia="宋体"/>
          <w:szCs w:val="21"/>
        </w:rPr>
      </w:pPr>
    </w:p>
    <w:p w14:paraId="01ADFD85">
      <w:pPr>
        <w:spacing w:line="360" w:lineRule="auto"/>
        <w:jc w:val="right"/>
        <w:rPr>
          <w:rFonts w:hint="eastAsia" w:ascii="宋体" w:hAnsi="宋体" w:eastAsia="宋体"/>
          <w:szCs w:val="21"/>
        </w:rPr>
      </w:pPr>
    </w:p>
    <w:p w14:paraId="2F1F7EC3">
      <w:pPr>
        <w:spacing w:line="360" w:lineRule="auto"/>
        <w:jc w:val="right"/>
        <w:rPr>
          <w:rFonts w:hint="eastAsia" w:ascii="宋体" w:hAnsi="宋体" w:eastAsia="宋体"/>
          <w:szCs w:val="21"/>
        </w:rPr>
      </w:pPr>
    </w:p>
    <w:p w14:paraId="3D893DFD">
      <w:pPr>
        <w:spacing w:line="360" w:lineRule="auto"/>
        <w:jc w:val="right"/>
        <w:rPr>
          <w:rFonts w:hint="eastAsia" w:ascii="宋体" w:hAnsi="宋体" w:eastAsia="宋体"/>
          <w:szCs w:val="21"/>
        </w:rPr>
      </w:pPr>
    </w:p>
    <w:p w14:paraId="26FDC4BD">
      <w:pPr>
        <w:spacing w:line="360" w:lineRule="auto"/>
        <w:jc w:val="right"/>
        <w:rPr>
          <w:rFonts w:hint="eastAsia" w:ascii="宋体" w:hAnsi="宋体" w:eastAsia="宋体"/>
          <w:szCs w:val="21"/>
        </w:rPr>
      </w:pPr>
    </w:p>
    <w:p w14:paraId="1D12F062">
      <w:pPr>
        <w:spacing w:line="360" w:lineRule="auto"/>
        <w:jc w:val="right"/>
        <w:rPr>
          <w:rFonts w:hint="eastAsia" w:ascii="宋体" w:hAnsi="宋体" w:eastAsia="宋体"/>
          <w:szCs w:val="21"/>
        </w:rPr>
      </w:pPr>
    </w:p>
    <w:p w14:paraId="618298D9">
      <w:pPr>
        <w:spacing w:line="360" w:lineRule="auto"/>
        <w:jc w:val="right"/>
        <w:rPr>
          <w:rFonts w:hint="eastAsia" w:ascii="宋体" w:hAnsi="宋体" w:eastAsia="宋体"/>
          <w:szCs w:val="21"/>
        </w:rPr>
      </w:pPr>
    </w:p>
    <w:p w14:paraId="34590331">
      <w:pPr>
        <w:spacing w:line="360" w:lineRule="auto"/>
        <w:jc w:val="right"/>
        <w:rPr>
          <w:rFonts w:hint="eastAsia" w:ascii="宋体" w:hAnsi="宋体" w:eastAsia="宋体"/>
          <w:szCs w:val="21"/>
        </w:rPr>
      </w:pPr>
    </w:p>
    <w:p w14:paraId="1B640F41">
      <w:pPr>
        <w:spacing w:line="360" w:lineRule="auto"/>
        <w:jc w:val="right"/>
        <w:rPr>
          <w:rFonts w:hint="eastAsia" w:ascii="宋体" w:hAnsi="宋体" w:eastAsia="宋体"/>
          <w:szCs w:val="21"/>
        </w:rPr>
      </w:pPr>
    </w:p>
    <w:p w14:paraId="6CAE8CF3">
      <w:pPr>
        <w:spacing w:line="360" w:lineRule="auto"/>
        <w:jc w:val="right"/>
        <w:rPr>
          <w:rFonts w:hint="eastAsia" w:ascii="宋体" w:hAnsi="宋体" w:eastAsia="宋体"/>
          <w:szCs w:val="21"/>
        </w:rPr>
      </w:pPr>
    </w:p>
    <w:p w14:paraId="2E972272">
      <w:pPr>
        <w:spacing w:line="360" w:lineRule="auto"/>
        <w:jc w:val="right"/>
        <w:rPr>
          <w:rFonts w:hint="eastAsia" w:ascii="宋体" w:hAnsi="宋体" w:eastAsia="宋体"/>
          <w:szCs w:val="21"/>
        </w:rPr>
      </w:pPr>
    </w:p>
    <w:p w14:paraId="4BDBD928">
      <w:pPr>
        <w:spacing w:line="360" w:lineRule="auto"/>
        <w:jc w:val="right"/>
        <w:rPr>
          <w:rFonts w:hint="eastAsia" w:ascii="宋体" w:hAnsi="宋体" w:eastAsia="宋体"/>
          <w:szCs w:val="21"/>
        </w:rPr>
      </w:pPr>
    </w:p>
    <w:p w14:paraId="50DF92F3">
      <w:pPr>
        <w:widowControl/>
        <w:spacing w:line="360" w:lineRule="auto"/>
        <w:jc w:val="left"/>
        <w:rPr>
          <w:rFonts w:hint="eastAsia" w:ascii="黑体" w:hAnsi="宋体" w:eastAsia="黑体"/>
          <w:kern w:val="2"/>
          <w:szCs w:val="20"/>
          <w:highlight w:val="yellow"/>
          <w:lang w:eastAsia="zh-CN"/>
        </w:rPr>
      </w:pPr>
    </w:p>
    <w:p w14:paraId="7D88E6C6">
      <w:pPr>
        <w:keepNext/>
        <w:keepLines/>
        <w:widowControl w:val="0"/>
        <w:spacing w:before="260" w:after="260" w:line="240" w:lineRule="auto"/>
        <w:jc w:val="center"/>
        <w:outlineLvl w:val="2"/>
        <w:rPr>
          <w:rFonts w:ascii="黑体" w:hAnsi="宋体" w:eastAsia="黑体"/>
          <w:b/>
          <w:bCs/>
          <w:kern w:val="2"/>
          <w:sz w:val="30"/>
          <w:szCs w:val="30"/>
          <w:lang w:eastAsia="zh-CN"/>
        </w:rPr>
      </w:pPr>
      <w:r>
        <w:rPr>
          <w:rFonts w:hint="eastAsia" w:ascii="黑体" w:hAnsi="宋体" w:eastAsia="黑体" w:cstheme="minorBidi"/>
          <w:b/>
          <w:bCs/>
          <w:kern w:val="2"/>
          <w:sz w:val="30"/>
          <w:szCs w:val="30"/>
          <w:lang w:eastAsia="zh-CN"/>
        </w:rPr>
        <w:t>十六、</w:t>
      </w:r>
      <w:bookmarkStart w:id="27" w:name="_Hlk72062872"/>
      <w:r>
        <w:rPr>
          <w:rFonts w:hint="eastAsia" w:ascii="黑体" w:hAnsi="宋体" w:eastAsia="黑体" w:cstheme="minorBidi"/>
          <w:b/>
          <w:bCs/>
          <w:kern w:val="2"/>
          <w:sz w:val="30"/>
          <w:szCs w:val="30"/>
          <w:lang w:eastAsia="zh-CN"/>
        </w:rPr>
        <w:t>投标人认为需要加以说明的其他内容</w:t>
      </w:r>
      <w:bookmarkEnd w:id="27"/>
    </w:p>
    <w:p w14:paraId="617AF2B1">
      <w:pPr>
        <w:widowControl/>
        <w:jc w:val="center"/>
        <w:rPr>
          <w:rFonts w:ascii="黑体" w:hAnsi="宋体" w:eastAsia="黑体"/>
          <w:szCs w:val="20"/>
          <w:lang w:eastAsia="zh-CN"/>
        </w:rPr>
      </w:pPr>
      <w:r>
        <w:rPr>
          <w:rFonts w:hint="eastAsia" w:ascii="黑体" w:hAnsi="宋体" w:eastAsia="黑体" w:cstheme="minorBidi"/>
          <w:szCs w:val="20"/>
          <w:lang w:eastAsia="zh-CN"/>
        </w:rPr>
        <w:t>（一）政府采购违法行为风险知悉确认书</w:t>
      </w:r>
    </w:p>
    <w:p w14:paraId="7237716C">
      <w:pPr>
        <w:widowControl/>
        <w:jc w:val="center"/>
        <w:rPr>
          <w:rFonts w:ascii="黑体" w:hAnsi="宋体" w:eastAsia="黑体"/>
          <w:szCs w:val="20"/>
          <w:lang w:eastAsia="zh-CN"/>
        </w:rPr>
      </w:pPr>
    </w:p>
    <w:p w14:paraId="3049B86C">
      <w:pPr>
        <w:spacing w:after="120" w:afterLines="50" w:line="360" w:lineRule="exact"/>
        <w:ind w:firstLine="482" w:firstLineChars="200"/>
        <w:rPr>
          <w:rFonts w:hint="eastAsia" w:ascii="宋体" w:hAnsi="宋体" w:eastAsia="宋体" w:cs="宋体"/>
          <w:b/>
          <w:bCs/>
        </w:rPr>
      </w:pPr>
      <w:r>
        <w:rPr>
          <w:rFonts w:hint="eastAsia" w:ascii="宋体" w:hAnsi="宋体" w:eastAsia="宋体" w:cs="宋体"/>
          <w:b/>
          <w:bCs/>
        </w:rPr>
        <w:t>我单位在投标前已充分知悉以下情形为参与政府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8117"/>
      </w:tblGrid>
      <w:tr w14:paraId="7C305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11" w:type="dxa"/>
          </w:tcPr>
          <w:p w14:paraId="445C6A78">
            <w:pPr>
              <w:widowControl w:val="0"/>
              <w:spacing w:line="400" w:lineRule="exact"/>
              <w:jc w:val="center"/>
              <w:rPr>
                <w:rFonts w:hint="eastAsia" w:ascii="宋体" w:hAnsi="宋体" w:eastAsia="宋体" w:cs="宋体"/>
              </w:rPr>
            </w:pPr>
            <w:r>
              <w:rPr>
                <w:rFonts w:hint="eastAsia" w:ascii="宋体" w:hAnsi="宋体" w:eastAsia="宋体" w:cs="宋体"/>
              </w:rPr>
              <w:t>序号</w:t>
            </w:r>
          </w:p>
        </w:tc>
        <w:tc>
          <w:tcPr>
            <w:tcW w:w="7811" w:type="dxa"/>
          </w:tcPr>
          <w:p w14:paraId="21B3EB27">
            <w:pPr>
              <w:widowControl w:val="0"/>
              <w:spacing w:line="400" w:lineRule="exact"/>
              <w:jc w:val="center"/>
              <w:rPr>
                <w:rFonts w:hint="eastAsia" w:ascii="宋体" w:hAnsi="宋体" w:eastAsia="宋体" w:cs="宋体"/>
              </w:rPr>
            </w:pPr>
            <w:r>
              <w:rPr>
                <w:rFonts w:hint="eastAsia" w:ascii="宋体" w:hAnsi="宋体" w:eastAsia="宋体" w:cs="宋体"/>
                <w:b/>
                <w:bCs/>
              </w:rPr>
              <w:t>供应商参与投标禁止情形</w:t>
            </w:r>
          </w:p>
        </w:tc>
      </w:tr>
      <w:tr w14:paraId="16AD7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16FAF705">
            <w:pPr>
              <w:widowControl w:val="0"/>
              <w:spacing w:line="400" w:lineRule="exact"/>
              <w:jc w:val="center"/>
              <w:rPr>
                <w:rFonts w:hint="eastAsia" w:ascii="宋体" w:hAnsi="宋体" w:eastAsia="宋体" w:cs="宋体"/>
              </w:rPr>
            </w:pPr>
            <w:r>
              <w:rPr>
                <w:rFonts w:hint="eastAsia" w:ascii="宋体" w:hAnsi="宋体" w:eastAsia="宋体" w:cs="宋体"/>
              </w:rPr>
              <w:t>1</w:t>
            </w:r>
          </w:p>
        </w:tc>
        <w:tc>
          <w:tcPr>
            <w:tcW w:w="7811" w:type="dxa"/>
            <w:vAlign w:val="center"/>
          </w:tcPr>
          <w:p w14:paraId="3F01B9BE">
            <w:pPr>
              <w:widowControl w:val="0"/>
              <w:spacing w:line="400" w:lineRule="exact"/>
              <w:jc w:val="left"/>
              <w:rPr>
                <w:rFonts w:hint="eastAsia" w:ascii="宋体" w:hAnsi="宋体" w:eastAsia="宋体" w:cs="宋体"/>
              </w:rPr>
            </w:pPr>
            <w:r>
              <w:rPr>
                <w:rFonts w:hint="eastAsia" w:ascii="宋体" w:hAnsi="宋体" w:eastAsia="宋体" w:cs="宋体"/>
              </w:rPr>
              <w:t>与其他投标供应商的法定代表人、主要经营负责人、投标授权代表人、项目负责人、主要技术人员为</w:t>
            </w:r>
            <w:r>
              <w:rPr>
                <w:rFonts w:hint="eastAsia" w:ascii="宋体" w:hAnsi="宋体" w:eastAsia="宋体" w:cs="宋体"/>
                <w:b/>
                <w:bCs/>
              </w:rPr>
              <w:t>同一人、属同一单位或者在同一单位缴纳社会保险</w:t>
            </w:r>
            <w:r>
              <w:rPr>
                <w:rFonts w:hint="eastAsia" w:ascii="宋体" w:hAnsi="宋体" w:eastAsia="宋体" w:cs="宋体"/>
              </w:rPr>
              <w:t>。</w:t>
            </w:r>
          </w:p>
        </w:tc>
      </w:tr>
      <w:tr w14:paraId="73CD8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Pr>
          <w:p w14:paraId="59739F40">
            <w:pPr>
              <w:widowControl w:val="0"/>
              <w:spacing w:line="400" w:lineRule="exact"/>
              <w:jc w:val="center"/>
              <w:rPr>
                <w:rFonts w:hint="eastAsia" w:ascii="宋体" w:hAnsi="宋体" w:eastAsia="宋体" w:cs="宋体"/>
              </w:rPr>
            </w:pPr>
            <w:r>
              <w:rPr>
                <w:rFonts w:hint="eastAsia" w:ascii="宋体" w:hAnsi="宋体" w:eastAsia="宋体" w:cs="宋体"/>
              </w:rPr>
              <w:t>2</w:t>
            </w:r>
          </w:p>
        </w:tc>
        <w:tc>
          <w:tcPr>
            <w:tcW w:w="7811" w:type="dxa"/>
            <w:vAlign w:val="center"/>
          </w:tcPr>
          <w:p w14:paraId="3D2A3703">
            <w:pPr>
              <w:widowControl w:val="0"/>
              <w:spacing w:line="400" w:lineRule="exact"/>
              <w:jc w:val="left"/>
              <w:rPr>
                <w:rFonts w:hint="eastAsia" w:ascii="宋体" w:hAnsi="宋体" w:eastAsia="宋体" w:cs="宋体"/>
              </w:rPr>
            </w:pPr>
            <w:r>
              <w:rPr>
                <w:rFonts w:hint="eastAsia" w:ascii="宋体" w:hAnsi="宋体" w:eastAsia="宋体" w:cs="宋体"/>
              </w:rPr>
              <w:t>参与本项目政府采购活动时，与其他投标供应商存在单位负责人为</w:t>
            </w:r>
            <w:r>
              <w:rPr>
                <w:rFonts w:hint="eastAsia" w:ascii="宋体" w:hAnsi="宋体" w:eastAsia="宋体" w:cs="宋体"/>
                <w:b/>
                <w:bCs/>
              </w:rPr>
              <w:t>同一人或直接控股、管理关系</w:t>
            </w:r>
            <w:r>
              <w:rPr>
                <w:rFonts w:hint="eastAsia" w:ascii="宋体" w:hAnsi="宋体" w:eastAsia="宋体" w:cs="宋体"/>
              </w:rPr>
              <w:t>。</w:t>
            </w:r>
          </w:p>
        </w:tc>
      </w:tr>
      <w:tr w14:paraId="5C2CF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29CDABF8">
            <w:pPr>
              <w:widowControl w:val="0"/>
              <w:spacing w:line="400" w:lineRule="exact"/>
              <w:jc w:val="center"/>
              <w:rPr>
                <w:rFonts w:hint="eastAsia" w:ascii="宋体" w:hAnsi="宋体" w:eastAsia="宋体" w:cs="宋体"/>
              </w:rPr>
            </w:pPr>
            <w:r>
              <w:rPr>
                <w:rFonts w:hint="eastAsia" w:ascii="宋体" w:hAnsi="宋体" w:eastAsia="宋体" w:cs="宋体"/>
              </w:rPr>
              <w:t>3</w:t>
            </w:r>
          </w:p>
        </w:tc>
        <w:tc>
          <w:tcPr>
            <w:tcW w:w="7811" w:type="dxa"/>
            <w:vAlign w:val="center"/>
          </w:tcPr>
          <w:p w14:paraId="6551F953">
            <w:pPr>
              <w:widowControl w:val="0"/>
              <w:spacing w:line="400" w:lineRule="exact"/>
              <w:jc w:val="left"/>
              <w:rPr>
                <w:rFonts w:hint="eastAsia" w:ascii="宋体" w:hAnsi="宋体" w:eastAsia="宋体" w:cs="宋体"/>
              </w:rPr>
            </w:pPr>
            <w:r>
              <w:rPr>
                <w:rFonts w:hint="eastAsia" w:ascii="宋体" w:hAnsi="宋体" w:eastAsia="宋体" w:cs="宋体"/>
              </w:rPr>
              <w:t>与其他投标供应商的投标文件或部分投标文件</w:t>
            </w:r>
            <w:r>
              <w:rPr>
                <w:rFonts w:hint="eastAsia" w:ascii="宋体" w:hAnsi="宋体" w:eastAsia="宋体" w:cs="宋体"/>
                <w:b/>
                <w:bCs/>
              </w:rPr>
              <w:t>相互混装或存在非正常一致</w:t>
            </w:r>
            <w:r>
              <w:rPr>
                <w:rFonts w:hint="eastAsia" w:ascii="宋体" w:hAnsi="宋体" w:eastAsia="宋体" w:cs="宋体"/>
              </w:rPr>
              <w:t>。</w:t>
            </w:r>
          </w:p>
        </w:tc>
      </w:tr>
      <w:tr w14:paraId="35F9B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7511253E">
            <w:pPr>
              <w:widowControl w:val="0"/>
              <w:spacing w:line="400" w:lineRule="exact"/>
              <w:jc w:val="center"/>
              <w:rPr>
                <w:rFonts w:hint="eastAsia" w:ascii="宋体" w:hAnsi="宋体" w:eastAsia="宋体" w:cs="宋体"/>
              </w:rPr>
            </w:pPr>
            <w:r>
              <w:rPr>
                <w:rFonts w:hint="eastAsia" w:ascii="宋体" w:hAnsi="宋体" w:eastAsia="宋体" w:cs="宋体"/>
              </w:rPr>
              <w:t>4</w:t>
            </w:r>
          </w:p>
        </w:tc>
        <w:tc>
          <w:tcPr>
            <w:tcW w:w="7811" w:type="dxa"/>
            <w:vAlign w:val="center"/>
          </w:tcPr>
          <w:p w14:paraId="4C142A6F">
            <w:pPr>
              <w:widowControl w:val="0"/>
              <w:spacing w:line="400" w:lineRule="exact"/>
              <w:jc w:val="left"/>
              <w:rPr>
                <w:rFonts w:hint="eastAsia" w:ascii="宋体" w:hAnsi="宋体" w:eastAsia="宋体" w:cs="宋体"/>
              </w:rPr>
            </w:pPr>
            <w:r>
              <w:rPr>
                <w:rFonts w:hint="eastAsia" w:ascii="宋体" w:hAnsi="宋体" w:eastAsia="宋体" w:cs="宋体"/>
              </w:rPr>
              <w:t>与其他投标供应商的投标文件由</w:t>
            </w:r>
            <w:r>
              <w:rPr>
                <w:rFonts w:hint="eastAsia" w:ascii="宋体" w:hAnsi="宋体" w:eastAsia="宋体" w:cs="宋体"/>
                <w:b/>
                <w:bCs/>
              </w:rPr>
              <w:t>同一单位或者同一人编制</w:t>
            </w:r>
            <w:r>
              <w:rPr>
                <w:rFonts w:hint="eastAsia" w:ascii="宋体" w:hAnsi="宋体" w:eastAsia="宋体" w:cs="宋体"/>
              </w:rPr>
              <w:t>，或者使用</w:t>
            </w:r>
            <w:r>
              <w:rPr>
                <w:rFonts w:hint="eastAsia" w:ascii="宋体" w:hAnsi="宋体" w:eastAsia="宋体" w:cs="宋体"/>
                <w:b/>
                <w:bCs/>
              </w:rPr>
              <w:t>同一设备编制</w:t>
            </w:r>
            <w:r>
              <w:rPr>
                <w:rFonts w:hint="eastAsia" w:ascii="宋体" w:hAnsi="宋体" w:eastAsia="宋体" w:cs="宋体"/>
              </w:rPr>
              <w:t>（“文件制作机器码”“文件创建标识码”一致）。</w:t>
            </w:r>
          </w:p>
        </w:tc>
      </w:tr>
      <w:tr w14:paraId="29155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Pr>
          <w:p w14:paraId="6F4BB142">
            <w:pPr>
              <w:widowControl w:val="0"/>
              <w:spacing w:line="400" w:lineRule="exact"/>
              <w:jc w:val="center"/>
              <w:rPr>
                <w:rFonts w:hint="eastAsia" w:ascii="宋体" w:hAnsi="宋体" w:eastAsia="宋体" w:cs="宋体"/>
              </w:rPr>
            </w:pPr>
            <w:r>
              <w:rPr>
                <w:rFonts w:hint="eastAsia" w:ascii="宋体" w:hAnsi="宋体" w:eastAsia="宋体" w:cs="宋体"/>
              </w:rPr>
              <w:t>5</w:t>
            </w:r>
          </w:p>
        </w:tc>
        <w:tc>
          <w:tcPr>
            <w:tcW w:w="7811" w:type="dxa"/>
            <w:vAlign w:val="center"/>
          </w:tcPr>
          <w:p w14:paraId="7D737683">
            <w:pPr>
              <w:widowControl w:val="0"/>
              <w:spacing w:line="400" w:lineRule="exact"/>
              <w:jc w:val="left"/>
              <w:rPr>
                <w:rFonts w:hint="eastAsia" w:ascii="宋体" w:hAnsi="宋体" w:eastAsia="宋体" w:cs="宋体"/>
              </w:rPr>
            </w:pPr>
            <w:r>
              <w:rPr>
                <w:rFonts w:hint="eastAsia" w:ascii="宋体" w:hAnsi="宋体" w:eastAsia="宋体" w:cs="宋体"/>
              </w:rPr>
              <w:t>提供</w:t>
            </w:r>
            <w:r>
              <w:rPr>
                <w:rFonts w:hint="eastAsia" w:ascii="宋体" w:hAnsi="宋体" w:eastAsia="宋体" w:cs="宋体"/>
                <w:b/>
                <w:bCs/>
              </w:rPr>
              <w:t>未经出具机构核实</w:t>
            </w:r>
            <w:r>
              <w:rPr>
                <w:rFonts w:hint="eastAsia" w:ascii="宋体" w:hAnsi="宋体" w:eastAsia="宋体" w:cs="宋体"/>
              </w:rPr>
              <w:t>的虚假的检验检测报告、业绩材料、社保缴纳证明、学历学位证书、职称认证证书等材料。</w:t>
            </w:r>
          </w:p>
        </w:tc>
      </w:tr>
      <w:tr w14:paraId="412DA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07347C00">
            <w:pPr>
              <w:widowControl w:val="0"/>
              <w:spacing w:line="400" w:lineRule="exact"/>
              <w:jc w:val="center"/>
              <w:rPr>
                <w:rFonts w:hint="eastAsia" w:ascii="宋体" w:hAnsi="宋体" w:eastAsia="宋体" w:cs="宋体"/>
              </w:rPr>
            </w:pPr>
            <w:r>
              <w:rPr>
                <w:rFonts w:hint="eastAsia" w:ascii="宋体" w:hAnsi="宋体" w:eastAsia="宋体" w:cs="宋体"/>
              </w:rPr>
              <w:t>6</w:t>
            </w:r>
          </w:p>
        </w:tc>
        <w:tc>
          <w:tcPr>
            <w:tcW w:w="7811" w:type="dxa"/>
            <w:vAlign w:val="center"/>
          </w:tcPr>
          <w:p w14:paraId="3428CAA7">
            <w:pPr>
              <w:widowControl w:val="0"/>
              <w:spacing w:line="400" w:lineRule="exact"/>
              <w:jc w:val="left"/>
              <w:rPr>
                <w:rFonts w:hint="eastAsia" w:ascii="宋体" w:hAnsi="宋体" w:eastAsia="宋体" w:cs="宋体"/>
              </w:rPr>
            </w:pPr>
            <w:r>
              <w:rPr>
                <w:rFonts w:hint="eastAsia" w:ascii="宋体" w:hAnsi="宋体" w:eastAsia="宋体" w:cs="宋体"/>
              </w:rPr>
              <w:t>擅自将投标密钥或电子营业执照出借他人使用或未妥善保管。</w:t>
            </w:r>
          </w:p>
        </w:tc>
      </w:tr>
    </w:tbl>
    <w:p w14:paraId="0A12FD42">
      <w:pPr>
        <w:widowControl w:val="0"/>
        <w:spacing w:line="579" w:lineRule="exact"/>
        <w:ind w:firstLine="482" w:firstLineChars="200"/>
        <w:jc w:val="both"/>
        <w:rPr>
          <w:rFonts w:ascii="宋体" w:hAnsi="宋体" w:eastAsia="宋体" w:cs="仿宋_GB2312"/>
          <w:kern w:val="2"/>
          <w:lang w:eastAsia="zh-CN"/>
        </w:rPr>
      </w:pPr>
      <w:r>
        <w:rPr>
          <w:rFonts w:hint="eastAsia" w:ascii="宋体" w:hAnsi="宋体" w:eastAsia="宋体" w:cs="仿宋_GB2312"/>
          <w:b/>
          <w:bCs/>
          <w:kern w:val="2"/>
          <w:lang w:eastAsia="zh-CN"/>
        </w:rPr>
        <w:t>一、本公司已充分知悉“隐瞒真实情况，提供虚假资料”的法定情形，相关情形包括但不限于</w:t>
      </w:r>
      <w:r>
        <w:rPr>
          <w:rFonts w:hint="eastAsia" w:ascii="宋体" w:hAnsi="宋体" w:eastAsia="宋体" w:cs="仿宋_GB2312"/>
          <w:kern w:val="2"/>
          <w:lang w:eastAsia="zh-CN"/>
        </w:rPr>
        <w:t>：</w:t>
      </w:r>
    </w:p>
    <w:p w14:paraId="42A2FFF2">
      <w:pPr>
        <w:widowControl w:val="0"/>
        <w:spacing w:line="579" w:lineRule="exact"/>
        <w:ind w:firstLine="480" w:firstLineChars="200"/>
        <w:jc w:val="both"/>
        <w:rPr>
          <w:rFonts w:ascii="宋体" w:hAnsi="宋体" w:eastAsia="宋体" w:cs="仿宋_GB2312"/>
          <w:kern w:val="2"/>
          <w:lang w:eastAsia="zh-CN"/>
        </w:rPr>
      </w:pPr>
      <w:r>
        <w:rPr>
          <w:rFonts w:hint="eastAsia" w:ascii="宋体" w:hAnsi="宋体" w:eastAsia="宋体" w:cs="仿宋_GB2312"/>
          <w:kern w:val="2"/>
          <w:lang w:eastAsia="zh-CN"/>
        </w:rPr>
        <w:t>（一）通过转让或者租借等方式从其他单位获取资格或者资质证书投标的。</w:t>
      </w:r>
    </w:p>
    <w:p w14:paraId="1F6CC184">
      <w:pPr>
        <w:widowControl w:val="0"/>
        <w:spacing w:line="579" w:lineRule="exact"/>
        <w:ind w:firstLine="480" w:firstLineChars="200"/>
        <w:jc w:val="both"/>
        <w:rPr>
          <w:rFonts w:ascii="宋体" w:hAnsi="宋体" w:eastAsia="宋体" w:cs="仿宋_GB2312"/>
          <w:kern w:val="2"/>
          <w:lang w:eastAsia="zh-CN"/>
        </w:rPr>
      </w:pPr>
      <w:r>
        <w:rPr>
          <w:rFonts w:hint="eastAsia" w:ascii="宋体" w:hAnsi="宋体" w:eastAsia="宋体" w:cs="仿宋_GB2312"/>
          <w:kern w:val="2"/>
          <w:lang w:eastAsia="zh-CN"/>
        </w:rPr>
        <w:t>（二）由其他单位或者其他单位负责人在投标供应商编制的投标文件上加盖印章或者签字的。</w:t>
      </w:r>
    </w:p>
    <w:p w14:paraId="310EF7E9">
      <w:pPr>
        <w:widowControl w:val="0"/>
        <w:spacing w:line="579" w:lineRule="exact"/>
        <w:ind w:firstLine="480" w:firstLineChars="200"/>
        <w:jc w:val="both"/>
        <w:rPr>
          <w:rFonts w:ascii="宋体" w:hAnsi="宋体" w:eastAsia="宋体" w:cs="仿宋_GB2312"/>
          <w:kern w:val="2"/>
          <w:lang w:eastAsia="zh-CN"/>
        </w:rPr>
      </w:pPr>
      <w:r>
        <w:rPr>
          <w:rFonts w:hint="eastAsia" w:ascii="宋体" w:hAnsi="宋体" w:eastAsia="宋体" w:cs="仿宋_GB2312"/>
          <w:kern w:val="2"/>
          <w:lang w:eastAsia="zh-CN"/>
        </w:rPr>
        <w:t>（三）项目负责人或者主要技术人员不是本单位人员的。</w:t>
      </w:r>
    </w:p>
    <w:p w14:paraId="012E9113">
      <w:pPr>
        <w:widowControl w:val="0"/>
        <w:spacing w:line="579" w:lineRule="exact"/>
        <w:ind w:firstLine="480" w:firstLineChars="200"/>
        <w:jc w:val="both"/>
        <w:rPr>
          <w:rFonts w:ascii="宋体" w:hAnsi="宋体" w:eastAsia="宋体" w:cs="仿宋_GB2312"/>
          <w:kern w:val="2"/>
          <w:lang w:eastAsia="zh-CN"/>
        </w:rPr>
      </w:pPr>
      <w:r>
        <w:rPr>
          <w:rFonts w:hint="eastAsia" w:ascii="宋体" w:hAnsi="宋体" w:eastAsia="宋体" w:cs="仿宋_GB2312"/>
          <w:kern w:val="2"/>
          <w:lang w:eastAsia="zh-CN"/>
        </w:rPr>
        <w:t>（四）投标保证金不是从投标供应商基本账户转出的。</w:t>
      </w:r>
    </w:p>
    <w:p w14:paraId="679BBBD2">
      <w:pPr>
        <w:widowControl w:val="0"/>
        <w:spacing w:line="579" w:lineRule="exact"/>
        <w:ind w:firstLine="480" w:firstLineChars="200"/>
        <w:jc w:val="both"/>
        <w:rPr>
          <w:rFonts w:ascii="宋体" w:hAnsi="宋体" w:eastAsia="宋体" w:cs="仿宋_GB2312"/>
          <w:kern w:val="2"/>
          <w:lang w:eastAsia="zh-CN"/>
        </w:rPr>
      </w:pPr>
      <w:r>
        <w:rPr>
          <w:rFonts w:hint="eastAsia" w:ascii="宋体" w:hAnsi="宋体" w:eastAsia="宋体" w:cs="仿宋_GB2312"/>
          <w:kern w:val="2"/>
          <w:lang w:eastAsia="zh-CN"/>
        </w:rPr>
        <w:t>（五）其他隐瞒真实情况、提供虚假资料的行为。</w:t>
      </w:r>
    </w:p>
    <w:p w14:paraId="29AEDEF8">
      <w:pPr>
        <w:widowControl w:val="0"/>
        <w:spacing w:line="579" w:lineRule="exact"/>
        <w:ind w:firstLine="482" w:firstLineChars="200"/>
        <w:jc w:val="both"/>
        <w:rPr>
          <w:rFonts w:ascii="宋体" w:hAnsi="宋体" w:eastAsia="宋体" w:cs="仿宋_GB2312"/>
          <w:kern w:val="2"/>
          <w:lang w:eastAsia="zh-CN"/>
        </w:rPr>
      </w:pPr>
      <w:r>
        <w:rPr>
          <w:rFonts w:hint="eastAsia" w:ascii="宋体" w:hAnsi="宋体" w:eastAsia="宋体" w:cs="仿宋_GB2312"/>
          <w:b/>
          <w:bCs/>
          <w:kern w:val="2"/>
          <w:lang w:eastAsia="zh-CN"/>
        </w:rPr>
        <w:t>二、本公司已充分知悉“与其他采购参加人串通投标”的法定情形，相关情形包括但不限于：</w:t>
      </w:r>
    </w:p>
    <w:p w14:paraId="4F69DA79">
      <w:pPr>
        <w:widowControl w:val="0"/>
        <w:spacing w:line="579" w:lineRule="exact"/>
        <w:ind w:firstLine="480" w:firstLineChars="200"/>
        <w:jc w:val="both"/>
        <w:rPr>
          <w:rFonts w:hint="eastAsia" w:ascii="宋体" w:hAnsi="宋体" w:eastAsia="宋体" w:cs="仿宋_GB2312"/>
          <w:kern w:val="2"/>
          <w:lang w:eastAsia="zh-CN"/>
        </w:rPr>
      </w:pPr>
      <w:r>
        <w:rPr>
          <w:rFonts w:hint="eastAsia" w:ascii="宋体" w:hAnsi="宋体" w:eastAsia="宋体" w:cs="仿宋_GB2312"/>
          <w:kern w:val="2"/>
          <w:lang w:eastAsia="zh-CN"/>
        </w:rPr>
        <w:t>（一）投标供应商之间相互约定给予未中标的供应商利益补偿。</w:t>
      </w:r>
    </w:p>
    <w:p w14:paraId="79B7EF4D">
      <w:pPr>
        <w:widowControl w:val="0"/>
        <w:spacing w:line="579" w:lineRule="exact"/>
        <w:ind w:firstLine="480" w:firstLineChars="200"/>
        <w:jc w:val="both"/>
        <w:rPr>
          <w:rFonts w:ascii="宋体" w:hAnsi="宋体" w:eastAsia="宋体" w:cs="仿宋_GB2312"/>
          <w:kern w:val="2"/>
          <w:lang w:eastAsia="zh-CN"/>
        </w:rPr>
      </w:pPr>
      <w:r>
        <w:rPr>
          <w:rFonts w:hint="eastAsia" w:ascii="宋体" w:hAnsi="宋体" w:eastAsia="宋体" w:cs="仿宋_GB2312"/>
          <w:kern w:val="2"/>
          <w:lang w:eastAsia="zh-CN"/>
        </w:rPr>
        <w:t>（二）不同投标供应商的法定代表人、主要经营负责人、项目投标授权代表人、项目负责人、主要技术人员为同一人、属同一单位或者在同一单位缴纳社会保险。</w:t>
      </w:r>
    </w:p>
    <w:p w14:paraId="79C1EA5A">
      <w:pPr>
        <w:widowControl w:val="0"/>
        <w:spacing w:line="579" w:lineRule="exact"/>
        <w:ind w:firstLine="480" w:firstLineChars="200"/>
        <w:jc w:val="both"/>
        <w:rPr>
          <w:rFonts w:ascii="宋体" w:hAnsi="宋体" w:eastAsia="宋体" w:cs="仿宋_GB2312"/>
          <w:kern w:val="2"/>
          <w:lang w:eastAsia="zh-CN"/>
        </w:rPr>
      </w:pPr>
      <w:r>
        <w:rPr>
          <w:rFonts w:hint="eastAsia" w:ascii="宋体" w:hAnsi="宋体" w:eastAsia="宋体" w:cs="仿宋_GB2312"/>
          <w:kern w:val="2"/>
          <w:lang w:eastAsia="zh-CN"/>
        </w:rPr>
        <w:t>（三）不同投标供应商的投标文件由同一单位或者同一人编制，或者由同一人分阶段参与编制的。</w:t>
      </w:r>
    </w:p>
    <w:p w14:paraId="511BA0F5">
      <w:pPr>
        <w:widowControl w:val="0"/>
        <w:spacing w:line="579" w:lineRule="exact"/>
        <w:ind w:firstLine="480" w:firstLineChars="200"/>
        <w:jc w:val="both"/>
        <w:rPr>
          <w:rFonts w:ascii="宋体" w:hAnsi="宋体" w:eastAsia="宋体" w:cs="仿宋_GB2312"/>
          <w:kern w:val="2"/>
          <w:lang w:eastAsia="zh-CN"/>
        </w:rPr>
      </w:pPr>
      <w:r>
        <w:rPr>
          <w:rFonts w:hint="eastAsia" w:ascii="宋体" w:hAnsi="宋体" w:eastAsia="宋体" w:cs="仿宋_GB2312"/>
          <w:kern w:val="2"/>
          <w:lang w:eastAsia="zh-CN"/>
        </w:rPr>
        <w:t>（四）不同投标供应商的投标文件或部分投标文件相互混装。</w:t>
      </w:r>
    </w:p>
    <w:p w14:paraId="06CB58A6">
      <w:pPr>
        <w:widowControl w:val="0"/>
        <w:spacing w:line="579" w:lineRule="exact"/>
        <w:ind w:firstLine="480" w:firstLineChars="200"/>
        <w:jc w:val="both"/>
        <w:rPr>
          <w:rFonts w:ascii="宋体" w:hAnsi="宋体" w:eastAsia="宋体" w:cs="仿宋_GB2312"/>
          <w:kern w:val="2"/>
          <w:lang w:eastAsia="zh-CN"/>
        </w:rPr>
      </w:pPr>
      <w:r>
        <w:rPr>
          <w:rFonts w:hint="eastAsia" w:ascii="宋体" w:hAnsi="宋体" w:eastAsia="宋体" w:cs="仿宋_GB2312"/>
          <w:kern w:val="2"/>
          <w:lang w:eastAsia="zh-CN"/>
        </w:rPr>
        <w:t>（五）不同投标供应商的投标文件内容存在非正常一致。</w:t>
      </w:r>
    </w:p>
    <w:p w14:paraId="2FD5C79C">
      <w:pPr>
        <w:widowControl w:val="0"/>
        <w:spacing w:line="579" w:lineRule="exact"/>
        <w:ind w:firstLine="480" w:firstLineChars="200"/>
        <w:jc w:val="both"/>
        <w:rPr>
          <w:rFonts w:ascii="宋体" w:hAnsi="宋体" w:eastAsia="宋体" w:cs="仿宋_GB2312"/>
          <w:kern w:val="2"/>
          <w:lang w:eastAsia="zh-CN"/>
        </w:rPr>
      </w:pPr>
      <w:r>
        <w:rPr>
          <w:rFonts w:hint="eastAsia" w:ascii="宋体" w:hAnsi="宋体" w:eastAsia="宋体" w:cs="仿宋_GB2312"/>
          <w:kern w:val="2"/>
          <w:lang w:eastAsia="zh-CN"/>
        </w:rPr>
        <w:t>（六）由同一单位工作人员为两家以上（含两家）供应商进行同一项投标活动的。</w:t>
      </w:r>
    </w:p>
    <w:p w14:paraId="15B14CDA">
      <w:pPr>
        <w:widowControl w:val="0"/>
        <w:spacing w:line="579" w:lineRule="exact"/>
        <w:ind w:firstLine="480" w:firstLineChars="200"/>
        <w:jc w:val="both"/>
        <w:rPr>
          <w:rFonts w:ascii="宋体" w:hAnsi="宋体" w:eastAsia="宋体" w:cs="仿宋_GB2312"/>
          <w:kern w:val="2"/>
          <w:lang w:eastAsia="zh-CN"/>
        </w:rPr>
      </w:pPr>
      <w:r>
        <w:rPr>
          <w:rFonts w:hint="eastAsia" w:ascii="宋体" w:hAnsi="宋体" w:eastAsia="宋体" w:cs="仿宋_GB2312"/>
          <w:kern w:val="2"/>
          <w:lang w:eastAsia="zh-CN"/>
        </w:rPr>
        <w:t>（七）不同投标人的投标报价呈规律性差异。</w:t>
      </w:r>
    </w:p>
    <w:p w14:paraId="1174CB63">
      <w:pPr>
        <w:widowControl w:val="0"/>
        <w:spacing w:line="579" w:lineRule="exact"/>
        <w:ind w:firstLine="480" w:firstLineChars="200"/>
        <w:jc w:val="both"/>
        <w:rPr>
          <w:rFonts w:ascii="宋体" w:hAnsi="宋体" w:eastAsia="宋体" w:cs="仿宋_GB2312"/>
          <w:kern w:val="2"/>
          <w:lang w:eastAsia="zh-CN"/>
        </w:rPr>
      </w:pPr>
      <w:r>
        <w:rPr>
          <w:rFonts w:hint="eastAsia" w:ascii="宋体" w:hAnsi="宋体" w:eastAsia="宋体" w:cs="仿宋_GB2312"/>
          <w:kern w:val="2"/>
          <w:lang w:eastAsia="zh-CN"/>
        </w:rPr>
        <w:t>（八）不同投标人的投标保证金从同一单位或者个人的账户转出。</w:t>
      </w:r>
    </w:p>
    <w:p w14:paraId="4C520FCC">
      <w:pPr>
        <w:widowControl w:val="0"/>
        <w:spacing w:line="579" w:lineRule="exact"/>
        <w:ind w:firstLine="480" w:firstLineChars="200"/>
        <w:jc w:val="both"/>
        <w:rPr>
          <w:rFonts w:ascii="宋体" w:hAnsi="宋体" w:eastAsia="宋体" w:cs="仿宋_GB2312"/>
          <w:kern w:val="2"/>
          <w:lang w:eastAsia="zh-CN"/>
        </w:rPr>
      </w:pPr>
      <w:r>
        <w:rPr>
          <w:rFonts w:hint="eastAsia" w:ascii="宋体" w:hAnsi="宋体" w:eastAsia="宋体" w:cs="仿宋_GB2312"/>
          <w:kern w:val="2"/>
          <w:lang w:eastAsia="zh-CN"/>
        </w:rPr>
        <w:t>（九）主管部门依照法律、法规认定的其他情形。</w:t>
      </w:r>
    </w:p>
    <w:p w14:paraId="6CB13888">
      <w:pPr>
        <w:widowControl w:val="0"/>
        <w:spacing w:line="579" w:lineRule="exact"/>
        <w:ind w:firstLine="482" w:firstLineChars="200"/>
        <w:jc w:val="both"/>
        <w:rPr>
          <w:rFonts w:ascii="宋体" w:hAnsi="宋体" w:eastAsia="宋体" w:cs="仿宋_GB2312"/>
          <w:b/>
          <w:bCs/>
          <w:kern w:val="2"/>
          <w:lang w:eastAsia="zh-CN"/>
        </w:rPr>
      </w:pPr>
      <w:r>
        <w:rPr>
          <w:rFonts w:hint="eastAsia" w:ascii="宋体" w:hAnsi="宋体" w:eastAsia="宋体" w:cs="仿宋_GB2312"/>
          <w:b/>
          <w:bCs/>
          <w:kern w:val="2"/>
          <w:lang w:eastAsia="zh-CN"/>
        </w:rPr>
        <w:t>三、本公司已充分知悉下列情形所对应的法律风险，并在投标前已对相关风险事项进行排查。</w:t>
      </w:r>
    </w:p>
    <w:p w14:paraId="18548B09">
      <w:pPr>
        <w:widowControl w:val="0"/>
        <w:spacing w:line="579" w:lineRule="exact"/>
        <w:ind w:firstLine="480" w:firstLineChars="200"/>
        <w:jc w:val="both"/>
        <w:rPr>
          <w:rFonts w:ascii="宋体" w:hAnsi="宋体" w:eastAsia="宋体" w:cs="仿宋_GB2312"/>
          <w:b/>
          <w:bCs/>
          <w:kern w:val="2"/>
          <w:lang w:eastAsia="zh-CN"/>
        </w:rPr>
      </w:pPr>
      <w:r>
        <w:rPr>
          <w:rFonts w:hint="eastAsia" w:ascii="宋体" w:hAnsi="宋体" w:eastAsia="宋体" w:cs="仿宋_GB2312"/>
          <w:kern w:val="2"/>
          <w:lang w:eastAsia="zh-CN"/>
        </w:rPr>
        <w:t>（一）对于</w:t>
      </w:r>
      <w:r>
        <w:rPr>
          <w:rFonts w:hint="eastAsia" w:ascii="宋体" w:hAnsi="宋体" w:eastAsia="宋体"/>
          <w:kern w:val="2"/>
          <w:lang w:eastAsia="zh-CN"/>
        </w:rPr>
        <w:t>从</w:t>
      </w:r>
      <w:r>
        <w:rPr>
          <w:rFonts w:hint="eastAsia" w:ascii="宋体" w:hAnsi="宋体" w:eastAsia="宋体" w:cs="仿宋_GB2312"/>
          <w:kern w:val="2"/>
          <w:lang w:eastAsia="zh-CN"/>
        </w:rPr>
        <w:t>其他主体</w:t>
      </w:r>
      <w:r>
        <w:rPr>
          <w:rFonts w:hint="eastAsia" w:ascii="宋体" w:hAnsi="宋体" w:eastAsia="宋体"/>
          <w:kern w:val="2"/>
          <w:lang w:eastAsia="zh-CN"/>
        </w:rPr>
        <w:t>获取</w:t>
      </w:r>
      <w:r>
        <w:rPr>
          <w:rFonts w:hint="eastAsia" w:ascii="宋体" w:hAnsi="宋体" w:eastAsia="宋体" w:cs="仿宋_GB2312"/>
          <w:kern w:val="2"/>
          <w:lang w:eastAsia="zh-CN"/>
        </w:rPr>
        <w:t>的投标资料，供应商应审慎核查，确保投标资料的真实性。</w:t>
      </w:r>
      <w:r>
        <w:rPr>
          <w:rFonts w:hint="eastAsia" w:ascii="宋体" w:hAnsi="宋体" w:eastAsia="宋体" w:cs="仿宋_GB2312"/>
          <w:b/>
          <w:bCs/>
          <w:kern w:val="2"/>
          <w:lang w:eastAsia="zh-CN"/>
        </w:rPr>
        <w:t>如主管部门查实投标文件中存在虚假资料的，无论相关资料是否由第三方或本公司员工提供，均不影响主管部门对供应商存在“隐瞒真实情况，提供虚假资料”违法行为的认定。</w:t>
      </w:r>
    </w:p>
    <w:p w14:paraId="1BFB96B5">
      <w:pPr>
        <w:widowControl w:val="0"/>
        <w:spacing w:line="579" w:lineRule="exact"/>
        <w:ind w:firstLine="480" w:firstLineChars="200"/>
        <w:jc w:val="both"/>
        <w:rPr>
          <w:rFonts w:ascii="宋体" w:hAnsi="宋体" w:eastAsia="宋体" w:cs="仿宋_GB2312"/>
          <w:kern w:val="2"/>
          <w:lang w:eastAsia="zh-CN"/>
        </w:rPr>
      </w:pPr>
      <w:r>
        <w:rPr>
          <w:rFonts w:hint="eastAsia" w:ascii="宋体" w:hAnsi="宋体" w:eastAsia="宋体" w:cs="仿宋_GB2312"/>
          <w:kern w:val="2"/>
          <w:lang w:eastAsia="zh-CN"/>
        </w:rPr>
        <w:t>（二）对于涉及国家机关出具的公文、证件、证明材料等文件，一旦涉嫌虚假，经查实，主管部门将依法从严处理，并移送有关部门追究法律责任；涉嫌犯罪的，主管部门将一并移送司法机关追究法律责任。</w:t>
      </w:r>
    </w:p>
    <w:p w14:paraId="6A574FAF">
      <w:pPr>
        <w:widowControl w:val="0"/>
        <w:spacing w:line="579" w:lineRule="exact"/>
        <w:ind w:firstLine="480" w:firstLineChars="200"/>
        <w:jc w:val="both"/>
        <w:rPr>
          <w:rFonts w:hint="eastAsia" w:ascii="宋体" w:hAnsi="宋体" w:eastAsia="宋体" w:cs="仿宋_GB2312"/>
          <w:kern w:val="2"/>
          <w:lang w:eastAsia="zh-CN"/>
        </w:rPr>
      </w:pPr>
      <w:r>
        <w:rPr>
          <w:rFonts w:hint="eastAsia" w:ascii="宋体" w:hAnsi="宋体" w:eastAsia="宋体" w:cs="仿宋_GB2312"/>
          <w:kern w:val="2"/>
          <w:lang w:eastAsia="zh-CN"/>
        </w:rPr>
        <w:t>（三）对于涉及安全生产、特种作业、抢险救灾、防疫等政府采购项目，供应商实施提供虚假资料、串通投标等违法行为的，主管部门将依法从严处理。</w:t>
      </w:r>
    </w:p>
    <w:p w14:paraId="30495816">
      <w:pPr>
        <w:widowControl w:val="0"/>
        <w:spacing w:line="579" w:lineRule="exact"/>
        <w:ind w:firstLine="480" w:firstLineChars="200"/>
        <w:jc w:val="both"/>
        <w:rPr>
          <w:rFonts w:ascii="宋体" w:hAnsi="宋体" w:eastAsia="宋体" w:cs="仿宋_GB2312"/>
          <w:kern w:val="2"/>
          <w:lang w:eastAsia="zh-CN"/>
        </w:rPr>
      </w:pPr>
      <w:r>
        <w:rPr>
          <w:rFonts w:hint="eastAsia" w:ascii="宋体" w:hAnsi="宋体" w:eastAsia="宋体" w:cs="仿宋_GB2312"/>
          <w:kern w:val="2"/>
          <w:lang w:eastAsia="zh-CN"/>
        </w:rPr>
        <w:t>（四）供应商应严格规范项目授权代表、员工参与招标投标的行为，加强对投标文件的审核。项目授权代表、员工</w:t>
      </w:r>
      <w:r>
        <w:rPr>
          <w:rFonts w:hint="eastAsia" w:ascii="宋体" w:hAnsi="宋体" w:eastAsia="宋体"/>
          <w:kern w:val="2"/>
          <w:lang w:eastAsia="zh-CN"/>
        </w:rPr>
        <w:t>编制、上传</w:t>
      </w:r>
      <w:r>
        <w:rPr>
          <w:rFonts w:hint="eastAsia" w:ascii="宋体" w:hAnsi="宋体" w:eastAsia="宋体" w:cs="仿宋_GB2312"/>
          <w:kern w:val="2"/>
          <w:lang w:eastAsia="zh-CN"/>
        </w:rPr>
        <w:t>投标文件</w:t>
      </w:r>
      <w:r>
        <w:rPr>
          <w:rFonts w:hint="eastAsia" w:ascii="宋体" w:hAnsi="宋体" w:eastAsia="宋体"/>
          <w:kern w:val="2"/>
          <w:lang w:eastAsia="zh-CN"/>
        </w:rPr>
        <w:t>等行为</w:t>
      </w:r>
      <w:r>
        <w:rPr>
          <w:rFonts w:hint="eastAsia" w:ascii="宋体" w:hAnsi="宋体" w:eastAsia="宋体" w:cs="仿宋_GB2312"/>
          <w:kern w:val="2"/>
          <w:lang w:eastAsia="zh-CN"/>
        </w:rPr>
        <w:t>违反政府采购法律法规或招标文件要求的，投标供应商应当依法承担相应法律责任。</w:t>
      </w:r>
    </w:p>
    <w:p w14:paraId="4243EBBE">
      <w:pPr>
        <w:widowControl w:val="0"/>
        <w:spacing w:line="579" w:lineRule="exact"/>
        <w:ind w:firstLine="480" w:firstLineChars="200"/>
        <w:jc w:val="left"/>
        <w:rPr>
          <w:rFonts w:ascii="宋体" w:hAnsi="宋体" w:eastAsia="宋体" w:cs="仿宋_GB2312"/>
          <w:kern w:val="2"/>
          <w:lang w:eastAsia="zh-CN"/>
        </w:rPr>
      </w:pPr>
      <w:r>
        <w:rPr>
          <w:rFonts w:hint="eastAsia" w:ascii="宋体" w:hAnsi="宋体" w:eastAsia="宋体" w:cs="仿宋_GB2312"/>
          <w:kern w:val="2"/>
          <w:lang w:eastAsia="zh-CN"/>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14:paraId="2E864A28">
      <w:pPr>
        <w:widowControl w:val="0"/>
        <w:spacing w:line="579" w:lineRule="exact"/>
        <w:ind w:firstLine="480" w:firstLineChars="200"/>
        <w:jc w:val="both"/>
        <w:rPr>
          <w:rFonts w:ascii="宋体" w:hAnsi="宋体" w:eastAsia="宋体" w:cs="仿宋_GB2312"/>
          <w:kern w:val="2"/>
          <w:lang w:eastAsia="zh-CN"/>
        </w:rPr>
      </w:pPr>
      <w:r>
        <w:rPr>
          <w:rFonts w:hint="eastAsia" w:ascii="宋体" w:hAnsi="宋体" w:eastAsia="宋体" w:cs="仿宋_GB2312"/>
          <w:kern w:val="2"/>
          <w:lang w:eastAsia="zh-CN"/>
        </w:rPr>
        <w:t>（六）单位负责人为同一人或者存在直接控股、管理关系的不同供应商，不得参加同一合同项下的政府采购活动。相关情形</w:t>
      </w:r>
      <w:r>
        <w:rPr>
          <w:rFonts w:hint="eastAsia" w:ascii="宋体" w:hAnsi="宋体" w:eastAsia="宋体"/>
          <w:kern w:val="2"/>
          <w:lang w:eastAsia="zh-CN"/>
        </w:rPr>
        <w:t>如</w:t>
      </w:r>
      <w:r>
        <w:rPr>
          <w:rFonts w:hint="eastAsia" w:ascii="宋体" w:hAnsi="宋体" w:eastAsia="宋体" w:cs="仿宋_GB2312"/>
          <w:kern w:val="2"/>
          <w:lang w:eastAsia="zh-CN"/>
        </w:rPr>
        <w:t>查实，依法作投标无效处理；涉嫌串通投标等违法行为的，主管部门将依法调查处理。</w:t>
      </w:r>
    </w:p>
    <w:p w14:paraId="232D38B6">
      <w:pPr>
        <w:widowControl w:val="0"/>
        <w:spacing w:line="579" w:lineRule="exact"/>
        <w:ind w:firstLine="482" w:firstLineChars="200"/>
        <w:jc w:val="both"/>
        <w:rPr>
          <w:rFonts w:ascii="宋体" w:hAnsi="宋体" w:eastAsia="宋体" w:cs="仿宋_GB2312"/>
          <w:b/>
          <w:bCs/>
          <w:kern w:val="2"/>
          <w:lang w:eastAsia="zh-CN"/>
        </w:rPr>
      </w:pPr>
      <w:r>
        <w:rPr>
          <w:rFonts w:hint="eastAsia" w:ascii="宋体" w:hAnsi="宋体" w:eastAsia="宋体" w:cs="仿宋_GB2312"/>
          <w:b/>
          <w:bCs/>
          <w:kern w:val="2"/>
          <w:lang w:eastAsia="zh-CN"/>
        </w:rPr>
        <w:t>四、本公司已充分知悉政府采购违法、违规行为的法律后果。</w:t>
      </w:r>
      <w:r>
        <w:rPr>
          <w:rFonts w:hint="eastAsia" w:ascii="宋体" w:hAnsi="宋体" w:eastAsia="宋体" w:cs="仿宋_GB2312"/>
          <w:kern w:val="2"/>
          <w:lang w:eastAsia="zh-CN"/>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14:paraId="5FCE688B">
      <w:pPr>
        <w:widowControl w:val="0"/>
        <w:spacing w:line="579" w:lineRule="exact"/>
        <w:ind w:firstLine="480" w:firstLineChars="200"/>
        <w:jc w:val="both"/>
        <w:rPr>
          <w:rFonts w:ascii="宋体" w:hAnsi="宋体" w:eastAsia="宋体" w:cs="仿宋_GB2312"/>
          <w:color w:val="FF0000"/>
          <w:kern w:val="2"/>
          <w:lang w:eastAsia="zh-CN"/>
        </w:rPr>
      </w:pPr>
      <w:r>
        <w:rPr>
          <w:rFonts w:hint="eastAsia" w:ascii="宋体" w:hAnsi="宋体" w:eastAsia="宋体" w:cs="仿宋_GB2312"/>
          <w:color w:val="FF0000"/>
          <w:kern w:val="2"/>
          <w:lang w:eastAsia="zh-CN"/>
        </w:rPr>
        <w:t>我司已阅读并确认：“本公司已仔细阅读《政府采购违法行为风险知悉确认书》，充分知悉违法行为的法律后果，并承诺将严谨、诚信、依法依规参与政府采购活动”。</w:t>
      </w:r>
    </w:p>
    <w:p w14:paraId="2A044E49">
      <w:pPr>
        <w:widowControl w:val="0"/>
        <w:spacing w:line="579" w:lineRule="exact"/>
        <w:jc w:val="both"/>
        <w:rPr>
          <w:rFonts w:ascii="宋体" w:hAnsi="宋体" w:eastAsia="宋体" w:cs="仿宋_GB2312"/>
          <w:kern w:val="2"/>
          <w:u w:val="single"/>
          <w:lang w:eastAsia="zh-CN"/>
        </w:rPr>
      </w:pPr>
    </w:p>
    <w:p w14:paraId="599B0BE2">
      <w:pPr>
        <w:widowControl w:val="0"/>
        <w:spacing w:line="560" w:lineRule="exact"/>
        <w:jc w:val="both"/>
        <w:rPr>
          <w:rFonts w:ascii="宋体" w:hAnsi="宋体" w:eastAsia="宋体" w:cs="宋体"/>
          <w:kern w:val="2"/>
          <w:sz w:val="18"/>
          <w:szCs w:val="18"/>
          <w:lang w:eastAsia="zh-CN"/>
        </w:rPr>
      </w:pPr>
    </w:p>
    <w:p w14:paraId="0C74A742">
      <w:pPr>
        <w:widowControl w:val="0"/>
        <w:spacing w:before="60" w:beforeLines="25" w:after="60" w:afterLines="25"/>
        <w:jc w:val="right"/>
        <w:rPr>
          <w:rFonts w:hint="eastAsia" w:ascii="Calibri" w:hAnsi="Calibri" w:eastAsia="宋体"/>
          <w:kern w:val="2"/>
          <w:sz w:val="21"/>
          <w:szCs w:val="22"/>
          <w:lang w:eastAsia="zh-CN"/>
        </w:rPr>
      </w:pPr>
      <w:r>
        <w:rPr>
          <w:rFonts w:hint="eastAsia" w:ascii="Calibri" w:hAnsi="Calibri" w:eastAsia="宋体" w:cstheme="minorBidi"/>
          <w:kern w:val="2"/>
          <w:sz w:val="21"/>
          <w:szCs w:val="21"/>
          <w:lang w:eastAsia="zh-CN"/>
        </w:rPr>
        <w:t>投标人：</w:t>
      </w:r>
      <w:r>
        <w:rPr>
          <w:rFonts w:hint="eastAsia" w:ascii="宋体" w:hAnsi="宋体" w:eastAsia="宋体" w:cstheme="minorBidi"/>
          <w:kern w:val="2"/>
          <w:sz w:val="21"/>
          <w:szCs w:val="21"/>
          <w:u w:val="single"/>
          <w:lang w:eastAsia="zh-CN"/>
        </w:rPr>
        <w:t xml:space="preserve">                </w:t>
      </w:r>
      <w:r>
        <w:rPr>
          <w:rFonts w:hint="eastAsia" w:ascii="Calibri" w:hAnsi="Calibri" w:eastAsia="宋体" w:cstheme="minorBidi"/>
          <w:color w:val="FFFFFF"/>
          <w:kern w:val="2"/>
          <w:sz w:val="21"/>
          <w:szCs w:val="21"/>
          <w:u w:val="single"/>
          <w:lang w:eastAsia="zh-CN"/>
        </w:rPr>
        <w:t>.</w:t>
      </w:r>
    </w:p>
    <w:p w14:paraId="4F73224E">
      <w:pPr>
        <w:widowControl w:val="0"/>
        <w:ind w:firstLine="645"/>
        <w:jc w:val="right"/>
        <w:rPr>
          <w:rFonts w:ascii="宋体" w:hAnsi="宋体" w:eastAsia="宋体"/>
          <w:kern w:val="2"/>
          <w:sz w:val="21"/>
          <w:szCs w:val="21"/>
          <w:lang w:eastAsia="zh-CN"/>
        </w:rPr>
      </w:pPr>
      <w:r>
        <w:rPr>
          <w:rFonts w:hint="eastAsia" w:ascii="宋体" w:hAnsi="宋体" w:eastAsia="宋体" w:cstheme="minorBidi"/>
          <w:kern w:val="2"/>
          <w:sz w:val="21"/>
          <w:szCs w:val="21"/>
          <w:lang w:eastAsia="zh-CN"/>
        </w:rPr>
        <w:t>日期：</w:t>
      </w:r>
      <w:r>
        <w:rPr>
          <w:rFonts w:hint="eastAsia" w:ascii="宋体" w:hAnsi="宋体" w:eastAsia="宋体" w:cstheme="minorBidi"/>
          <w:kern w:val="2"/>
          <w:sz w:val="21"/>
          <w:szCs w:val="21"/>
          <w:u w:val="single"/>
          <w:lang w:eastAsia="zh-CN"/>
        </w:rPr>
        <w:t xml:space="preserve">    </w:t>
      </w:r>
      <w:r>
        <w:rPr>
          <w:rFonts w:hint="eastAsia" w:ascii="宋体" w:hAnsi="宋体" w:eastAsia="宋体" w:cstheme="minorBidi"/>
          <w:kern w:val="2"/>
          <w:sz w:val="21"/>
          <w:szCs w:val="21"/>
          <w:lang w:eastAsia="zh-CN"/>
        </w:rPr>
        <w:t>年</w:t>
      </w:r>
      <w:r>
        <w:rPr>
          <w:rFonts w:hint="eastAsia" w:ascii="宋体" w:hAnsi="宋体" w:eastAsia="宋体" w:cstheme="minorBidi"/>
          <w:kern w:val="2"/>
          <w:sz w:val="21"/>
          <w:szCs w:val="21"/>
          <w:u w:val="single"/>
          <w:lang w:eastAsia="zh-CN"/>
        </w:rPr>
        <w:t xml:space="preserve">    </w:t>
      </w:r>
      <w:r>
        <w:rPr>
          <w:rFonts w:hint="eastAsia" w:ascii="宋体" w:hAnsi="宋体" w:eastAsia="宋体" w:cstheme="minorBidi"/>
          <w:kern w:val="2"/>
          <w:sz w:val="21"/>
          <w:szCs w:val="21"/>
          <w:lang w:eastAsia="zh-CN"/>
        </w:rPr>
        <w:t>月</w:t>
      </w:r>
      <w:r>
        <w:rPr>
          <w:rFonts w:hint="eastAsia" w:ascii="宋体" w:hAnsi="宋体" w:eastAsia="宋体" w:cstheme="minorBidi"/>
          <w:kern w:val="2"/>
          <w:sz w:val="21"/>
          <w:szCs w:val="21"/>
          <w:u w:val="single"/>
          <w:lang w:eastAsia="zh-CN"/>
        </w:rPr>
        <w:t xml:space="preserve">    </w:t>
      </w:r>
      <w:r>
        <w:rPr>
          <w:rFonts w:hint="eastAsia" w:ascii="宋体" w:hAnsi="宋体" w:eastAsia="宋体" w:cstheme="minorBidi"/>
          <w:kern w:val="2"/>
          <w:sz w:val="21"/>
          <w:szCs w:val="21"/>
          <w:lang w:eastAsia="zh-CN"/>
        </w:rPr>
        <w:t>日</w:t>
      </w:r>
    </w:p>
    <w:p w14:paraId="0C98DF42">
      <w:pPr>
        <w:widowControl w:val="0"/>
        <w:adjustRightInd w:val="0"/>
        <w:snapToGrid w:val="0"/>
        <w:spacing w:line="360" w:lineRule="auto"/>
        <w:ind w:firstLine="494" w:firstLineChars="206"/>
        <w:jc w:val="left"/>
        <w:rPr>
          <w:rFonts w:ascii="宋体" w:hAnsi="宋体" w:eastAsia="宋体" w:cs="仿宋_GB2312"/>
          <w:kern w:val="2"/>
          <w:lang w:eastAsia="zh-CN"/>
        </w:rPr>
      </w:pPr>
    </w:p>
    <w:p w14:paraId="01E36AE8">
      <w:pPr>
        <w:widowControl/>
        <w:autoSpaceDE w:val="0"/>
        <w:autoSpaceDN w:val="0"/>
        <w:spacing w:line="400" w:lineRule="exact"/>
        <w:ind w:firstLine="480" w:firstLineChars="200"/>
        <w:jc w:val="left"/>
        <w:rPr>
          <w:rFonts w:hint="eastAsia" w:ascii="宋体" w:hAnsi="宋体" w:eastAsia="宋体" w:cs="仿宋_GB2312"/>
          <w:kern w:val="2"/>
          <w:lang w:eastAsia="zh-CN"/>
        </w:rPr>
      </w:pPr>
      <w:r>
        <w:rPr>
          <w:rFonts w:hint="eastAsia" w:ascii="宋体" w:hAnsi="宋体" w:eastAsia="宋体" w:cs="仿宋_GB2312"/>
          <w:kern w:val="2"/>
          <w:lang w:eastAsia="zh-CN"/>
        </w:rPr>
        <w:t>注：根据《深圳市财政局关于采购文件增加风险告知有关事项的通知》（深财购〔2022〕22号），该风险知悉确认书用于对供应商违法行为的警示，不作为供应商资格性审查及符合性审查条件。</w:t>
      </w:r>
    </w:p>
    <w:p w14:paraId="361E58BB">
      <w:pPr>
        <w:widowControl/>
        <w:autoSpaceDE w:val="0"/>
        <w:autoSpaceDN w:val="0"/>
        <w:spacing w:line="400" w:lineRule="exact"/>
        <w:ind w:firstLine="480" w:firstLineChars="200"/>
        <w:jc w:val="left"/>
        <w:rPr>
          <w:rFonts w:hint="eastAsia" w:ascii="宋体" w:hAnsi="宋体" w:eastAsia="宋体" w:cs="仿宋_GB2312"/>
          <w:kern w:val="2"/>
          <w:lang w:eastAsia="zh-CN"/>
        </w:rPr>
      </w:pPr>
    </w:p>
    <w:p w14:paraId="6264DDE3">
      <w:pPr>
        <w:widowControl/>
        <w:autoSpaceDE w:val="0"/>
        <w:autoSpaceDN w:val="0"/>
        <w:spacing w:line="400" w:lineRule="exact"/>
        <w:ind w:firstLine="480" w:firstLineChars="200"/>
        <w:jc w:val="left"/>
        <w:rPr>
          <w:rFonts w:hint="eastAsia" w:ascii="宋体" w:hAnsi="宋体" w:eastAsia="宋体" w:cs="仿宋_GB2312"/>
          <w:kern w:val="2"/>
          <w:lang w:eastAsia="zh-CN"/>
        </w:rPr>
      </w:pPr>
    </w:p>
    <w:p w14:paraId="2780ADB5">
      <w:pPr>
        <w:widowControl/>
        <w:autoSpaceDE w:val="0"/>
        <w:autoSpaceDN w:val="0"/>
        <w:spacing w:line="400" w:lineRule="exact"/>
        <w:ind w:firstLine="480" w:firstLineChars="200"/>
        <w:jc w:val="left"/>
        <w:rPr>
          <w:rFonts w:hint="eastAsia" w:ascii="宋体" w:hAnsi="宋体" w:eastAsia="宋体" w:cs="仿宋_GB2312"/>
          <w:kern w:val="2"/>
          <w:lang w:eastAsia="zh-CN"/>
        </w:rPr>
      </w:pPr>
    </w:p>
    <w:p w14:paraId="563E7A4C">
      <w:pPr>
        <w:widowControl/>
        <w:jc w:val="center"/>
        <w:rPr>
          <w:rFonts w:ascii="黑体" w:hAnsi="宋体" w:eastAsia="黑体"/>
          <w:szCs w:val="20"/>
          <w:lang w:eastAsia="zh-CN"/>
        </w:rPr>
      </w:pPr>
      <w:r>
        <w:rPr>
          <w:rFonts w:hint="eastAsia" w:ascii="黑体" w:hAnsi="宋体" w:eastAsia="黑体" w:cstheme="minorBidi"/>
          <w:szCs w:val="20"/>
          <w:lang w:eastAsia="zh-CN"/>
        </w:rPr>
        <w:t>（二）投标人认为需要加以说明的其他内容（格式自定）</w:t>
      </w:r>
    </w:p>
    <w:p w14:paraId="2F8D24E6">
      <w:pPr>
        <w:widowControl w:val="0"/>
        <w:spacing w:after="60" w:afterLines="25" w:line="300" w:lineRule="auto"/>
        <w:jc w:val="both"/>
        <w:rPr>
          <w:rFonts w:ascii="Arial" w:hAnsi="Arial" w:eastAsia="宋体"/>
          <w:kern w:val="2"/>
          <w:lang w:eastAsia="zh-CN"/>
        </w:rPr>
      </w:pPr>
    </w:p>
    <w:p w14:paraId="757DA409">
      <w:pPr>
        <w:widowControl w:val="0"/>
        <w:spacing w:after="60" w:afterLines="25" w:line="300" w:lineRule="auto"/>
        <w:jc w:val="both"/>
        <w:rPr>
          <w:rFonts w:ascii="Arial" w:hAnsi="Arial" w:eastAsia="宋体"/>
          <w:kern w:val="2"/>
          <w:lang w:eastAsia="zh-CN"/>
        </w:rPr>
      </w:pPr>
    </w:p>
    <w:p w14:paraId="4E9B5698">
      <w:pPr>
        <w:widowControl w:val="0"/>
        <w:spacing w:after="60" w:afterLines="25" w:line="300" w:lineRule="auto"/>
        <w:jc w:val="both"/>
        <w:rPr>
          <w:rFonts w:ascii="Arial" w:hAnsi="Arial" w:eastAsia="宋体"/>
          <w:kern w:val="2"/>
          <w:lang w:eastAsia="zh-CN"/>
        </w:rPr>
      </w:pPr>
    </w:p>
    <w:p w14:paraId="6933CE1F">
      <w:pPr>
        <w:widowControl w:val="0"/>
        <w:spacing w:after="60" w:afterLines="25" w:line="300" w:lineRule="auto"/>
        <w:jc w:val="both"/>
        <w:rPr>
          <w:rFonts w:ascii="Arial" w:hAnsi="Arial" w:eastAsia="宋体"/>
          <w:kern w:val="2"/>
          <w:lang w:eastAsia="zh-CN"/>
        </w:rPr>
      </w:pPr>
    </w:p>
    <w:p w14:paraId="09B49B29">
      <w:pPr>
        <w:widowControl w:val="0"/>
        <w:spacing w:after="60" w:afterLines="25" w:line="300" w:lineRule="auto"/>
        <w:jc w:val="both"/>
        <w:rPr>
          <w:rFonts w:ascii="Arial" w:hAnsi="Arial" w:eastAsia="宋体"/>
          <w:kern w:val="2"/>
          <w:lang w:eastAsia="zh-CN"/>
        </w:rPr>
      </w:pPr>
    </w:p>
    <w:p w14:paraId="120F098B">
      <w:pPr>
        <w:widowControl w:val="0"/>
        <w:spacing w:after="60" w:afterLines="25" w:line="300" w:lineRule="auto"/>
        <w:jc w:val="both"/>
        <w:rPr>
          <w:rFonts w:ascii="Arial" w:hAnsi="Arial" w:eastAsia="宋体"/>
          <w:kern w:val="2"/>
          <w:lang w:eastAsia="zh-CN"/>
        </w:rPr>
      </w:pPr>
    </w:p>
    <w:p w14:paraId="41900A97">
      <w:pPr>
        <w:keepNext/>
        <w:keepLines/>
        <w:widowControl w:val="0"/>
        <w:adjustRightInd w:val="0"/>
        <w:spacing w:before="260" w:after="260"/>
        <w:jc w:val="center"/>
        <w:textAlignment w:val="baseline"/>
        <w:outlineLvl w:val="1"/>
        <w:rPr>
          <w:rFonts w:ascii="宋体" w:hAnsi="宋体" w:eastAsia="宋体"/>
          <w:b/>
          <w:bCs/>
          <w:sz w:val="28"/>
          <w:szCs w:val="28"/>
          <w:lang w:eastAsia="zh-CN"/>
        </w:rPr>
      </w:pPr>
      <w:r>
        <w:rPr>
          <w:rFonts w:hint="eastAsia" w:ascii="宋体" w:hAnsi="宋体" w:eastAsia="宋体"/>
          <w:b/>
          <w:bCs/>
          <w:sz w:val="28"/>
          <w:szCs w:val="28"/>
          <w:lang w:eastAsia="zh-CN"/>
        </w:rPr>
        <w:t>第五章  合同条款及格式</w:t>
      </w:r>
    </w:p>
    <w:p w14:paraId="4A727911">
      <w:pPr>
        <w:widowControl w:val="0"/>
        <w:jc w:val="center"/>
        <w:rPr>
          <w:rFonts w:ascii="宋体" w:hAnsi="宋体" w:eastAsia="宋体"/>
          <w:b/>
          <w:kern w:val="2"/>
          <w:sz w:val="21"/>
          <w:szCs w:val="21"/>
          <w:lang w:eastAsia="zh-CN"/>
        </w:rPr>
      </w:pPr>
      <w:r>
        <w:rPr>
          <w:rFonts w:hint="eastAsia" w:ascii="宋体" w:hAnsi="宋体" w:eastAsia="宋体"/>
          <w:b/>
          <w:kern w:val="2"/>
          <w:sz w:val="21"/>
          <w:szCs w:val="21"/>
          <w:lang w:eastAsia="zh-CN"/>
        </w:rPr>
        <w:t>有专业类别的格式合同范本请选择相应的合同</w:t>
      </w:r>
    </w:p>
    <w:p w14:paraId="3C5E3675">
      <w:pPr>
        <w:widowControl w:val="0"/>
        <w:jc w:val="center"/>
        <w:rPr>
          <w:rFonts w:ascii="宋体" w:hAnsi="宋体" w:eastAsia="宋体"/>
          <w:b/>
          <w:kern w:val="2"/>
          <w:sz w:val="21"/>
          <w:szCs w:val="21"/>
          <w:lang w:eastAsia="zh-CN"/>
        </w:rPr>
      </w:pPr>
      <w:r>
        <w:rPr>
          <w:rFonts w:hint="eastAsia" w:ascii="宋体" w:hAnsi="宋体" w:eastAsia="宋体"/>
          <w:b/>
          <w:kern w:val="2"/>
          <w:sz w:val="21"/>
          <w:szCs w:val="21"/>
          <w:lang w:eastAsia="zh-CN"/>
        </w:rPr>
        <w:t>（仅供参考，采购单位需填写项目关键信息和违约责任条款）</w:t>
      </w:r>
    </w:p>
    <w:p w14:paraId="7D9886E8">
      <w:pPr>
        <w:jc w:val="left"/>
        <w:rPr>
          <w:rFonts w:hint="eastAsia" w:ascii="宋体" w:hAnsi="宋体" w:eastAsia="宋体" w:cs="宋体"/>
          <w:sz w:val="21"/>
          <w:szCs w:val="21"/>
        </w:rPr>
      </w:pPr>
      <w:r>
        <w:rPr>
          <w:rFonts w:hint="eastAsia" w:ascii="宋体" w:hAnsi="宋体" w:eastAsia="宋体" w:cs="宋体"/>
          <w:sz w:val="21"/>
          <w:szCs w:val="21"/>
        </w:rPr>
        <w:t>采购人：</w:t>
      </w:r>
      <w:r>
        <w:rPr>
          <w:rFonts w:hint="eastAsia" w:ascii="宋体" w:hAnsi="宋体" w:eastAsia="宋体" w:cs="宋体"/>
          <w:sz w:val="21"/>
          <w:szCs w:val="21"/>
          <w:u w:val="single"/>
        </w:rPr>
        <w:t xml:space="preserve">           </w:t>
      </w:r>
    </w:p>
    <w:p w14:paraId="5F967A90">
      <w:pPr>
        <w:jc w:val="left"/>
        <w:rPr>
          <w:rFonts w:hint="eastAsia" w:ascii="宋体" w:hAnsi="宋体" w:eastAsia="宋体" w:cs="宋体"/>
          <w:sz w:val="21"/>
          <w:szCs w:val="21"/>
        </w:rPr>
      </w:pPr>
      <w:r>
        <w:rPr>
          <w:rFonts w:hint="eastAsia" w:ascii="宋体" w:hAnsi="宋体" w:eastAsia="宋体" w:cs="宋体"/>
          <w:sz w:val="21"/>
          <w:szCs w:val="21"/>
        </w:rPr>
        <w:t>供应商：</w:t>
      </w:r>
      <w:r>
        <w:rPr>
          <w:rFonts w:hint="eastAsia" w:ascii="宋体" w:hAnsi="宋体" w:eastAsia="宋体" w:cs="宋体"/>
          <w:sz w:val="21"/>
          <w:szCs w:val="21"/>
          <w:u w:val="single"/>
        </w:rPr>
        <w:t xml:space="preserve">           </w:t>
      </w:r>
    </w:p>
    <w:p w14:paraId="2F9F7CA9">
      <w:pPr>
        <w:jc w:val="left"/>
        <w:rPr>
          <w:rFonts w:hint="eastAsia" w:ascii="宋体" w:hAnsi="宋体" w:eastAsia="宋体" w:cs="宋体"/>
          <w:sz w:val="21"/>
          <w:szCs w:val="21"/>
        </w:rPr>
      </w:pPr>
    </w:p>
    <w:p w14:paraId="33B10DCE">
      <w:pPr>
        <w:spacing w:line="360" w:lineRule="auto"/>
        <w:ind w:firstLine="560"/>
        <w:jc w:val="left"/>
        <w:rPr>
          <w:rFonts w:hint="eastAsia" w:ascii="宋体" w:hAnsi="宋体" w:eastAsia="宋体" w:cs="宋体"/>
          <w:sz w:val="21"/>
          <w:szCs w:val="21"/>
        </w:rPr>
      </w:pPr>
      <w:r>
        <w:rPr>
          <w:rFonts w:hint="eastAsia" w:ascii="宋体" w:hAnsi="宋体" w:eastAsia="宋体" w:cs="宋体"/>
          <w:sz w:val="21"/>
          <w:szCs w:val="21"/>
        </w:rPr>
        <w:t>根据深圳市****</w:t>
      </w:r>
      <w:r>
        <w:rPr>
          <w:rFonts w:hint="eastAsia" w:ascii="宋体" w:hAnsi="宋体" w:eastAsia="宋体" w:cs="宋体"/>
          <w:sz w:val="21"/>
          <w:szCs w:val="21"/>
          <w:u w:val="single"/>
        </w:rPr>
        <w:t xml:space="preserve">        </w:t>
      </w:r>
      <w:r>
        <w:rPr>
          <w:rFonts w:hint="eastAsia" w:ascii="宋体" w:hAnsi="宋体" w:eastAsia="宋体" w:cs="宋体"/>
          <w:sz w:val="21"/>
          <w:szCs w:val="21"/>
        </w:rPr>
        <w:t>号采购项目的投标结果，由</w:t>
      </w:r>
      <w:r>
        <w:rPr>
          <w:rFonts w:hint="eastAsia" w:ascii="宋体" w:hAnsi="宋体" w:eastAsia="宋体" w:cs="宋体"/>
          <w:sz w:val="21"/>
          <w:szCs w:val="21"/>
          <w:u w:val="single"/>
        </w:rPr>
        <w:t xml:space="preserve">       </w:t>
      </w:r>
      <w:r>
        <w:rPr>
          <w:rFonts w:hint="eastAsia" w:ascii="宋体" w:hAnsi="宋体" w:eastAsia="宋体" w:cs="宋体"/>
          <w:sz w:val="21"/>
          <w:szCs w:val="21"/>
        </w:rPr>
        <w:t>单位为中标方。按照有关规定，经深圳市</w:t>
      </w:r>
      <w:r>
        <w:rPr>
          <w:rFonts w:hint="eastAsia" w:ascii="宋体" w:hAnsi="宋体" w:eastAsia="宋体" w:cs="宋体"/>
          <w:sz w:val="21"/>
          <w:szCs w:val="21"/>
          <w:u w:val="single"/>
        </w:rPr>
        <w:t xml:space="preserve">           </w:t>
      </w:r>
      <w:r>
        <w:rPr>
          <w:rFonts w:hint="eastAsia" w:ascii="宋体" w:hAnsi="宋体" w:eastAsia="宋体" w:cs="宋体"/>
          <w:sz w:val="21"/>
          <w:szCs w:val="21"/>
        </w:rPr>
        <w:t>（以下简称甲方）和</w:t>
      </w:r>
      <w:r>
        <w:rPr>
          <w:rFonts w:hint="eastAsia" w:ascii="宋体" w:hAnsi="宋体" w:eastAsia="宋体" w:cs="宋体"/>
          <w:sz w:val="21"/>
          <w:szCs w:val="21"/>
          <w:u w:val="single"/>
        </w:rPr>
        <w:t xml:space="preserve">           </w:t>
      </w:r>
      <w:r>
        <w:rPr>
          <w:rFonts w:hint="eastAsia" w:ascii="宋体" w:hAnsi="宋体" w:eastAsia="宋体" w:cs="宋体"/>
          <w:sz w:val="21"/>
          <w:szCs w:val="21"/>
        </w:rPr>
        <w:t>单位（以下简称乙方）协商，达成以下合同条款：</w:t>
      </w:r>
    </w:p>
    <w:p w14:paraId="520DDA15">
      <w:pPr>
        <w:spacing w:line="360" w:lineRule="auto"/>
        <w:ind w:firstLine="560"/>
        <w:jc w:val="left"/>
        <w:rPr>
          <w:rFonts w:hint="eastAsia" w:ascii="宋体" w:hAnsi="宋体" w:eastAsia="宋体" w:cs="宋体"/>
          <w:b/>
          <w:sz w:val="21"/>
          <w:szCs w:val="21"/>
        </w:rPr>
      </w:pPr>
      <w:r>
        <w:rPr>
          <w:rFonts w:hint="eastAsia" w:ascii="宋体" w:hAnsi="宋体" w:eastAsia="宋体" w:cs="宋体"/>
          <w:b/>
          <w:sz w:val="21"/>
          <w:szCs w:val="21"/>
        </w:rPr>
        <w:t>第一条  合同标的</w:t>
      </w:r>
    </w:p>
    <w:p w14:paraId="6B1F49F4">
      <w:pPr>
        <w:spacing w:line="360" w:lineRule="auto"/>
        <w:ind w:firstLine="560"/>
        <w:jc w:val="left"/>
        <w:rPr>
          <w:rFonts w:hint="eastAsia" w:ascii="宋体" w:hAnsi="宋体" w:eastAsia="宋体" w:cs="宋体"/>
          <w:sz w:val="21"/>
          <w:szCs w:val="21"/>
        </w:rPr>
      </w:pPr>
      <w:r>
        <w:rPr>
          <w:rFonts w:hint="eastAsia" w:ascii="宋体" w:hAnsi="宋体" w:eastAsia="宋体" w:cs="宋体"/>
          <w:sz w:val="21"/>
          <w:szCs w:val="21"/>
        </w:rPr>
        <w:t>乙方根据甲方需求提供下列货物：</w:t>
      </w:r>
    </w:p>
    <w:p w14:paraId="45C1D828">
      <w:pPr>
        <w:spacing w:line="360" w:lineRule="auto"/>
        <w:ind w:firstLine="560"/>
        <w:jc w:val="left"/>
        <w:rPr>
          <w:rFonts w:hint="eastAsia" w:ascii="宋体" w:hAnsi="宋体" w:eastAsia="宋体" w:cs="宋体"/>
          <w:sz w:val="21"/>
          <w:szCs w:val="21"/>
        </w:rPr>
      </w:pPr>
      <w:r>
        <w:rPr>
          <w:rFonts w:hint="eastAsia" w:ascii="宋体" w:hAnsi="宋体" w:eastAsia="宋体" w:cs="宋体"/>
          <w:sz w:val="21"/>
          <w:szCs w:val="21"/>
        </w:rPr>
        <w:t>货物名称、规格及数量详见</w:t>
      </w:r>
      <w:r>
        <w:rPr>
          <w:rFonts w:hint="eastAsia" w:ascii="宋体" w:hAnsi="宋体" w:eastAsia="宋体" w:cs="宋体"/>
          <w:b/>
          <w:sz w:val="21"/>
          <w:szCs w:val="21"/>
          <w:u w:val="single"/>
        </w:rPr>
        <w:t xml:space="preserve">                  </w:t>
      </w:r>
      <w:r>
        <w:rPr>
          <w:rFonts w:hint="eastAsia" w:ascii="宋体" w:hAnsi="宋体" w:eastAsia="宋体" w:cs="宋体"/>
          <w:sz w:val="21"/>
          <w:szCs w:val="21"/>
        </w:rPr>
        <w:t>。</w:t>
      </w:r>
    </w:p>
    <w:p w14:paraId="0AFC4020">
      <w:pPr>
        <w:spacing w:line="360" w:lineRule="auto"/>
        <w:ind w:firstLine="560"/>
        <w:jc w:val="left"/>
        <w:rPr>
          <w:rFonts w:hint="eastAsia" w:ascii="宋体" w:hAnsi="宋体" w:eastAsia="宋体" w:cs="宋体"/>
          <w:b/>
          <w:sz w:val="21"/>
          <w:szCs w:val="21"/>
        </w:rPr>
      </w:pPr>
      <w:r>
        <w:rPr>
          <w:rFonts w:hint="eastAsia" w:ascii="宋体" w:hAnsi="宋体" w:eastAsia="宋体" w:cs="宋体"/>
          <w:b/>
          <w:sz w:val="21"/>
          <w:szCs w:val="21"/>
        </w:rPr>
        <w:t>第二条  合同价款</w:t>
      </w:r>
    </w:p>
    <w:p w14:paraId="0BA322D4">
      <w:pPr>
        <w:spacing w:line="360" w:lineRule="auto"/>
        <w:ind w:firstLine="560"/>
        <w:jc w:val="left"/>
        <w:rPr>
          <w:rFonts w:hint="eastAsia" w:ascii="宋体" w:hAnsi="宋体" w:eastAsia="宋体" w:cs="宋体"/>
          <w:sz w:val="21"/>
          <w:szCs w:val="21"/>
        </w:rPr>
      </w:pPr>
      <w:r>
        <w:rPr>
          <w:rFonts w:hint="eastAsia" w:ascii="宋体" w:hAnsi="宋体" w:eastAsia="宋体" w:cs="宋体"/>
          <w:sz w:val="21"/>
          <w:szCs w:val="21"/>
        </w:rPr>
        <w:t>本合同项下总价款为</w:t>
      </w:r>
      <w:r>
        <w:rPr>
          <w:rFonts w:hint="eastAsia" w:ascii="宋体" w:hAnsi="宋体" w:eastAsia="宋体" w:cs="宋体"/>
          <w:sz w:val="21"/>
          <w:szCs w:val="21"/>
          <w:u w:val="single"/>
        </w:rPr>
        <w:t xml:space="preserve">              </w:t>
      </w:r>
      <w:r>
        <w:rPr>
          <w:rFonts w:hint="eastAsia" w:ascii="宋体" w:hAnsi="宋体" w:eastAsia="宋体" w:cs="宋体"/>
          <w:sz w:val="21"/>
          <w:szCs w:val="21"/>
        </w:rPr>
        <w:t>（大写）人民币，分项价款详见</w:t>
      </w:r>
      <w:r>
        <w:rPr>
          <w:rFonts w:hint="eastAsia" w:ascii="宋体" w:hAnsi="宋体" w:eastAsia="宋体" w:cs="宋体"/>
          <w:b/>
          <w:sz w:val="21"/>
          <w:szCs w:val="21"/>
          <w:u w:val="single"/>
        </w:rPr>
        <w:t xml:space="preserve">          </w:t>
      </w:r>
      <w:r>
        <w:rPr>
          <w:rFonts w:hint="eastAsia" w:ascii="宋体" w:hAnsi="宋体" w:eastAsia="宋体" w:cs="宋体"/>
          <w:sz w:val="21"/>
          <w:szCs w:val="21"/>
        </w:rPr>
        <w:t>。本合同总价款已包括乙方为履行本合同义务所发生的一切费用，系固定不变价格，且不随通货膨胀的影响而波动。</w:t>
      </w:r>
    </w:p>
    <w:p w14:paraId="5F90B390">
      <w:pPr>
        <w:spacing w:line="360" w:lineRule="auto"/>
        <w:ind w:firstLine="560"/>
        <w:jc w:val="left"/>
        <w:rPr>
          <w:rFonts w:hint="eastAsia" w:ascii="宋体" w:hAnsi="宋体" w:eastAsia="宋体" w:cs="宋体"/>
          <w:b/>
          <w:sz w:val="21"/>
          <w:szCs w:val="21"/>
        </w:rPr>
      </w:pPr>
      <w:r>
        <w:rPr>
          <w:rFonts w:hint="eastAsia" w:ascii="宋体" w:hAnsi="宋体" w:eastAsia="宋体" w:cs="宋体"/>
          <w:b/>
          <w:sz w:val="21"/>
          <w:szCs w:val="21"/>
        </w:rPr>
        <w:t>第三条  权利保证</w:t>
      </w:r>
    </w:p>
    <w:p w14:paraId="359FBE0B">
      <w:pPr>
        <w:spacing w:line="360" w:lineRule="auto"/>
        <w:ind w:firstLine="560"/>
        <w:jc w:val="left"/>
        <w:rPr>
          <w:rFonts w:hint="eastAsia" w:ascii="宋体" w:hAnsi="宋体" w:eastAsia="宋体" w:cs="宋体"/>
          <w:sz w:val="21"/>
          <w:szCs w:val="21"/>
        </w:rPr>
      </w:pPr>
      <w:r>
        <w:rPr>
          <w:rFonts w:hint="eastAsia" w:ascii="宋体" w:hAnsi="宋体" w:eastAsia="宋体" w:cs="宋体"/>
          <w:sz w:val="21"/>
          <w:szCs w:val="21"/>
        </w:rPr>
        <w:t>乙方保证甲方在使用本合同项下货物或货物的任何一部分时，不会产生因第三方提出的包括但不限于侵犯其专利权、商标权、工业设计权等知识产权和侵犯其所有权、抵押权等物权及其他权利而引发的纠纷。如有纠纷，乙方应承担全部责任。</w:t>
      </w:r>
    </w:p>
    <w:p w14:paraId="487C2A49">
      <w:pPr>
        <w:spacing w:line="360" w:lineRule="auto"/>
        <w:ind w:firstLine="560"/>
        <w:jc w:val="left"/>
        <w:rPr>
          <w:rFonts w:hint="eastAsia" w:ascii="宋体" w:hAnsi="宋体" w:eastAsia="宋体" w:cs="宋体"/>
          <w:b/>
          <w:sz w:val="21"/>
          <w:szCs w:val="21"/>
        </w:rPr>
      </w:pPr>
      <w:r>
        <w:rPr>
          <w:rFonts w:hint="eastAsia" w:ascii="宋体" w:hAnsi="宋体" w:eastAsia="宋体" w:cs="宋体"/>
          <w:b/>
          <w:sz w:val="21"/>
          <w:szCs w:val="21"/>
        </w:rPr>
        <w:t>第四条  质量保证</w:t>
      </w:r>
    </w:p>
    <w:p w14:paraId="231A4031">
      <w:pPr>
        <w:spacing w:line="360" w:lineRule="auto"/>
        <w:ind w:firstLine="560"/>
        <w:jc w:val="left"/>
        <w:rPr>
          <w:rFonts w:hint="eastAsia" w:ascii="宋体" w:hAnsi="宋体" w:eastAsia="宋体" w:cs="宋体"/>
          <w:sz w:val="21"/>
          <w:szCs w:val="21"/>
        </w:rPr>
      </w:pPr>
      <w:r>
        <w:rPr>
          <w:rFonts w:hint="eastAsia" w:ascii="宋体" w:hAnsi="宋体" w:eastAsia="宋体" w:cs="宋体"/>
          <w:sz w:val="21"/>
          <w:szCs w:val="21"/>
        </w:rPr>
        <w:t>1、乙方所提供的货物的技术规格符合采购文件规定的技术规格，货物符合中华人民共和国的设计和制造生产标准或行业标准。</w:t>
      </w:r>
    </w:p>
    <w:p w14:paraId="012BD7C1">
      <w:pPr>
        <w:spacing w:line="360" w:lineRule="auto"/>
        <w:ind w:firstLine="560"/>
        <w:jc w:val="left"/>
        <w:rPr>
          <w:rFonts w:hint="eastAsia" w:ascii="宋体" w:hAnsi="宋体" w:eastAsia="宋体" w:cs="宋体"/>
          <w:sz w:val="21"/>
          <w:szCs w:val="21"/>
        </w:rPr>
      </w:pPr>
      <w:r>
        <w:rPr>
          <w:rFonts w:hint="eastAsia" w:ascii="宋体" w:hAnsi="宋体" w:eastAsia="宋体" w:cs="宋体"/>
          <w:sz w:val="21"/>
          <w:szCs w:val="21"/>
        </w:rPr>
        <w:t>2、乙方应保证货物是全新、未使用过的原装合格正品（包括零部件），并完全符合甲方要求的质量、规格和性能的要求。如货物安装或配置了软件的，乙方保证相关软件均为正版软件。</w:t>
      </w:r>
    </w:p>
    <w:p w14:paraId="7A347814">
      <w:pPr>
        <w:spacing w:line="360" w:lineRule="auto"/>
        <w:ind w:firstLine="560"/>
        <w:jc w:val="left"/>
        <w:rPr>
          <w:rFonts w:hint="eastAsia" w:ascii="宋体" w:hAnsi="宋体" w:eastAsia="宋体" w:cs="宋体"/>
          <w:sz w:val="21"/>
          <w:szCs w:val="21"/>
        </w:rPr>
      </w:pPr>
      <w:r>
        <w:rPr>
          <w:rFonts w:hint="eastAsia" w:ascii="宋体" w:hAnsi="宋体" w:eastAsia="宋体" w:cs="宋体"/>
          <w:sz w:val="21"/>
          <w:szCs w:val="21"/>
        </w:rPr>
        <w:t>3、乙方保证交货时一并提供货物的质量合格凭证或文件。</w:t>
      </w:r>
    </w:p>
    <w:p w14:paraId="640262E2">
      <w:pPr>
        <w:spacing w:line="360" w:lineRule="auto"/>
        <w:jc w:val="left"/>
        <w:rPr>
          <w:rFonts w:hint="eastAsia" w:ascii="宋体" w:hAnsi="宋体" w:eastAsia="宋体" w:cs="宋体"/>
          <w:sz w:val="21"/>
          <w:szCs w:val="21"/>
        </w:rPr>
      </w:pPr>
    </w:p>
    <w:p w14:paraId="1CA3C153">
      <w:pPr>
        <w:spacing w:line="360" w:lineRule="auto"/>
        <w:ind w:firstLine="560"/>
        <w:jc w:val="left"/>
        <w:rPr>
          <w:rFonts w:hint="eastAsia" w:ascii="宋体" w:hAnsi="宋体" w:eastAsia="宋体" w:cs="宋体"/>
          <w:b/>
          <w:sz w:val="21"/>
          <w:szCs w:val="21"/>
        </w:rPr>
      </w:pPr>
      <w:r>
        <w:rPr>
          <w:rFonts w:hint="eastAsia" w:ascii="宋体" w:hAnsi="宋体" w:eastAsia="宋体" w:cs="宋体"/>
          <w:b/>
          <w:sz w:val="21"/>
          <w:szCs w:val="21"/>
        </w:rPr>
        <w:t>第五条  交货和验收</w:t>
      </w:r>
    </w:p>
    <w:p w14:paraId="724F0281">
      <w:pPr>
        <w:spacing w:line="360" w:lineRule="auto"/>
        <w:ind w:firstLine="560"/>
        <w:jc w:val="left"/>
        <w:rPr>
          <w:rFonts w:hint="eastAsia" w:ascii="宋体" w:hAnsi="宋体" w:eastAsia="宋体" w:cs="宋体"/>
          <w:sz w:val="21"/>
          <w:szCs w:val="21"/>
        </w:rPr>
      </w:pPr>
      <w:r>
        <w:rPr>
          <w:rFonts w:hint="eastAsia" w:ascii="宋体" w:hAnsi="宋体" w:eastAsia="宋体" w:cs="宋体"/>
          <w:sz w:val="21"/>
          <w:szCs w:val="21"/>
        </w:rPr>
        <w:t>1、乙方应按照本合同或招投标文件规定的时间和方式向甲方交付货物，交货地点由甲方指定。因交货产生的费用由乙方自行承担。</w:t>
      </w:r>
    </w:p>
    <w:p w14:paraId="7147C30E">
      <w:pPr>
        <w:spacing w:line="360" w:lineRule="auto"/>
        <w:ind w:firstLine="560"/>
        <w:jc w:val="left"/>
        <w:rPr>
          <w:rFonts w:hint="eastAsia" w:ascii="宋体" w:hAnsi="宋体" w:eastAsia="宋体" w:cs="宋体"/>
          <w:sz w:val="21"/>
          <w:szCs w:val="21"/>
        </w:rPr>
      </w:pPr>
      <w:r>
        <w:rPr>
          <w:rFonts w:hint="eastAsia" w:ascii="宋体" w:hAnsi="宋体" w:eastAsia="宋体" w:cs="宋体"/>
          <w:sz w:val="21"/>
          <w:szCs w:val="21"/>
        </w:rPr>
        <w:t>2、乙方交付的货物应当完全符合招投标文件所规定的货物、数量、质量和规格要求。乙方提供的货物不符合招投标文件和合同规定的，甲方有权拒收货物，由此引起的风险，由乙方承担。</w:t>
      </w:r>
    </w:p>
    <w:p w14:paraId="30D08C83">
      <w:pPr>
        <w:spacing w:line="360" w:lineRule="auto"/>
        <w:ind w:firstLine="560"/>
        <w:jc w:val="left"/>
        <w:rPr>
          <w:rFonts w:hint="eastAsia" w:ascii="宋体" w:hAnsi="宋体" w:eastAsia="宋体" w:cs="宋体"/>
          <w:sz w:val="21"/>
          <w:szCs w:val="21"/>
        </w:rPr>
      </w:pPr>
      <w:r>
        <w:rPr>
          <w:rFonts w:hint="eastAsia" w:ascii="宋体" w:hAnsi="宋体" w:eastAsia="宋体" w:cs="宋体"/>
          <w:sz w:val="21"/>
          <w:szCs w:val="21"/>
        </w:rPr>
        <w:t>3、乙方应将所提供货物的使用说明书、原厂保修卡等附随资料和附随配件、工具等交付给甲方；乙方不能完整交付货物及本款规定的单证和工具的，视为未按合同约定交货，乙方负责补齐，因此导致逾期交付的，由乙方承担相关的违约责任。</w:t>
      </w:r>
    </w:p>
    <w:p w14:paraId="1A29EE79">
      <w:pPr>
        <w:spacing w:line="360" w:lineRule="auto"/>
        <w:ind w:firstLine="560"/>
        <w:jc w:val="left"/>
        <w:rPr>
          <w:rFonts w:hint="eastAsia" w:ascii="宋体" w:hAnsi="宋体" w:eastAsia="宋体" w:cs="宋体"/>
          <w:sz w:val="21"/>
          <w:szCs w:val="21"/>
        </w:rPr>
      </w:pPr>
      <w:r>
        <w:rPr>
          <w:rFonts w:hint="eastAsia" w:ascii="宋体" w:hAnsi="宋体" w:eastAsia="宋体" w:cs="宋体"/>
          <w:sz w:val="21"/>
          <w:szCs w:val="21"/>
        </w:rPr>
        <w:t>4、甲方应当在到货后的</w:t>
      </w:r>
      <w:r>
        <w:rPr>
          <w:rFonts w:hint="eastAsia" w:ascii="宋体" w:hAnsi="宋体" w:eastAsia="宋体" w:cs="宋体"/>
          <w:sz w:val="21"/>
          <w:szCs w:val="21"/>
          <w:u w:val="single"/>
        </w:rPr>
        <w:t xml:space="preserve">       </w:t>
      </w:r>
      <w:r>
        <w:rPr>
          <w:rFonts w:hint="eastAsia" w:ascii="宋体" w:hAnsi="宋体" w:eastAsia="宋体" w:cs="宋体"/>
          <w:sz w:val="21"/>
          <w:szCs w:val="21"/>
        </w:rPr>
        <w:t>个工作日内对货物进行验收；需要乙方对货物或系统进行安装调试的，甲方应在货物安装调试完毕后的</w:t>
      </w:r>
      <w:r>
        <w:rPr>
          <w:rFonts w:hint="eastAsia" w:ascii="宋体" w:hAnsi="宋体" w:eastAsia="宋体" w:cs="宋体"/>
          <w:sz w:val="21"/>
          <w:szCs w:val="21"/>
          <w:u w:val="single"/>
        </w:rPr>
        <w:t xml:space="preserve">       </w:t>
      </w:r>
      <w:r>
        <w:rPr>
          <w:rFonts w:hint="eastAsia" w:ascii="宋体" w:hAnsi="宋体" w:eastAsia="宋体" w:cs="宋体"/>
          <w:sz w:val="21"/>
          <w:szCs w:val="21"/>
        </w:rPr>
        <w:t>个工作日内进行质量验收。</w:t>
      </w:r>
    </w:p>
    <w:p w14:paraId="54782D4C">
      <w:pPr>
        <w:spacing w:line="360" w:lineRule="auto"/>
        <w:ind w:firstLine="560"/>
        <w:jc w:val="left"/>
        <w:rPr>
          <w:rFonts w:hint="eastAsia" w:ascii="宋体" w:hAnsi="宋体" w:eastAsia="宋体" w:cs="宋体"/>
          <w:b/>
          <w:sz w:val="21"/>
          <w:szCs w:val="21"/>
        </w:rPr>
      </w:pPr>
      <w:r>
        <w:rPr>
          <w:rFonts w:hint="eastAsia" w:ascii="宋体" w:hAnsi="宋体" w:eastAsia="宋体" w:cs="宋体"/>
          <w:b/>
          <w:sz w:val="21"/>
          <w:szCs w:val="21"/>
        </w:rPr>
        <w:t>第六条  保修及其他服务</w:t>
      </w:r>
    </w:p>
    <w:p w14:paraId="48F21D8B">
      <w:pPr>
        <w:spacing w:line="360" w:lineRule="auto"/>
        <w:ind w:firstLine="560"/>
        <w:jc w:val="left"/>
        <w:rPr>
          <w:rFonts w:hint="eastAsia" w:ascii="宋体" w:hAnsi="宋体" w:eastAsia="宋体" w:cs="宋体"/>
          <w:sz w:val="21"/>
          <w:szCs w:val="21"/>
        </w:rPr>
      </w:pPr>
      <w:r>
        <w:rPr>
          <w:rFonts w:hint="eastAsia" w:ascii="宋体" w:hAnsi="宋体" w:eastAsia="宋体" w:cs="宋体"/>
          <w:sz w:val="21"/>
          <w:szCs w:val="21"/>
        </w:rPr>
        <w:t>1、乙方应按照国家有关法律法规规章和“三包”规定和采购文件的要求及乙方在投标文件的相关承诺提供保修及其他服务。</w:t>
      </w:r>
    </w:p>
    <w:p w14:paraId="0EBBB19F">
      <w:pPr>
        <w:spacing w:line="360" w:lineRule="auto"/>
        <w:ind w:firstLine="560"/>
        <w:jc w:val="left"/>
        <w:rPr>
          <w:rFonts w:hint="eastAsia" w:ascii="宋体" w:hAnsi="宋体" w:eastAsia="宋体" w:cs="宋体"/>
          <w:sz w:val="21"/>
          <w:szCs w:val="21"/>
        </w:rPr>
      </w:pPr>
      <w:r>
        <w:rPr>
          <w:rFonts w:hint="eastAsia" w:ascii="宋体" w:hAnsi="宋体" w:eastAsia="宋体" w:cs="宋体"/>
          <w:sz w:val="21"/>
          <w:szCs w:val="21"/>
        </w:rPr>
        <w:t>2、保修期内，乙方负责对其提供的货物进行维修和系统维护，不再收取任何费用。所有货物保修服务方式均为乙方上门保修，即由乙方派员到货物使用现场维修，由此产生的一切费用均由乙方承担。保修期后的货物维护另行协商。</w:t>
      </w:r>
    </w:p>
    <w:p w14:paraId="32769B62">
      <w:pPr>
        <w:spacing w:line="360" w:lineRule="auto"/>
        <w:ind w:firstLine="560"/>
        <w:jc w:val="left"/>
        <w:rPr>
          <w:rFonts w:hint="eastAsia" w:ascii="宋体" w:hAnsi="宋体" w:eastAsia="宋体" w:cs="宋体"/>
          <w:b/>
          <w:sz w:val="21"/>
          <w:szCs w:val="21"/>
        </w:rPr>
      </w:pPr>
      <w:r>
        <w:rPr>
          <w:rFonts w:hint="eastAsia" w:ascii="宋体" w:hAnsi="宋体" w:eastAsia="宋体" w:cs="宋体"/>
          <w:b/>
          <w:sz w:val="21"/>
          <w:szCs w:val="21"/>
        </w:rPr>
        <w:t>第七条  履约保证金</w:t>
      </w:r>
    </w:p>
    <w:p w14:paraId="27FD2333">
      <w:pPr>
        <w:spacing w:line="360" w:lineRule="auto"/>
        <w:ind w:firstLine="560"/>
        <w:jc w:val="left"/>
        <w:rPr>
          <w:rFonts w:hint="eastAsia" w:ascii="宋体" w:hAnsi="宋体" w:eastAsia="宋体" w:cs="宋体"/>
          <w:sz w:val="21"/>
          <w:szCs w:val="21"/>
        </w:rPr>
      </w:pPr>
      <w:r>
        <w:rPr>
          <w:rFonts w:hint="eastAsia" w:ascii="宋体" w:hAnsi="宋体" w:eastAsia="宋体" w:cs="宋体"/>
          <w:sz w:val="21"/>
          <w:szCs w:val="21"/>
        </w:rPr>
        <w:t>1、乙方应在签订本合同之日，向甲方或甲方指定的机构提交履约保证金_________元。</w:t>
      </w:r>
    </w:p>
    <w:p w14:paraId="2DFC93D5">
      <w:pPr>
        <w:spacing w:line="360" w:lineRule="auto"/>
        <w:ind w:firstLine="560"/>
        <w:jc w:val="left"/>
        <w:rPr>
          <w:rFonts w:hint="eastAsia" w:ascii="宋体" w:hAnsi="宋体" w:eastAsia="宋体" w:cs="宋体"/>
          <w:sz w:val="21"/>
          <w:szCs w:val="21"/>
        </w:rPr>
      </w:pPr>
      <w:r>
        <w:rPr>
          <w:rFonts w:hint="eastAsia" w:ascii="宋体" w:hAnsi="宋体" w:eastAsia="宋体" w:cs="宋体"/>
          <w:sz w:val="21"/>
          <w:szCs w:val="21"/>
        </w:rPr>
        <w:t>2、如乙方未能履行合同规定的义务，甲方有权从履约保证金中取得补偿。</w:t>
      </w:r>
    </w:p>
    <w:p w14:paraId="5D802D31">
      <w:pPr>
        <w:spacing w:line="360" w:lineRule="auto"/>
        <w:ind w:firstLine="560"/>
        <w:jc w:val="left"/>
        <w:rPr>
          <w:rFonts w:hint="eastAsia" w:ascii="宋体" w:hAnsi="宋体" w:eastAsia="宋体" w:cs="宋体"/>
          <w:sz w:val="21"/>
          <w:szCs w:val="21"/>
        </w:rPr>
      </w:pPr>
      <w:r>
        <w:rPr>
          <w:rFonts w:hint="eastAsia" w:ascii="宋体" w:hAnsi="宋体" w:eastAsia="宋体" w:cs="宋体"/>
          <w:sz w:val="21"/>
          <w:szCs w:val="21"/>
        </w:rPr>
        <w:t>3、甲方在乙方履行完毕本合同项下全部义务后______天内无息退还乙方。</w:t>
      </w:r>
    </w:p>
    <w:p w14:paraId="45D52F40">
      <w:pPr>
        <w:spacing w:line="360" w:lineRule="auto"/>
        <w:ind w:firstLine="560"/>
        <w:jc w:val="left"/>
        <w:rPr>
          <w:rFonts w:hint="eastAsia" w:ascii="宋体" w:hAnsi="宋体" w:eastAsia="宋体" w:cs="宋体"/>
          <w:sz w:val="21"/>
          <w:szCs w:val="21"/>
        </w:rPr>
      </w:pPr>
    </w:p>
    <w:p w14:paraId="6E09C9B2">
      <w:pPr>
        <w:spacing w:line="360" w:lineRule="auto"/>
        <w:ind w:firstLine="560"/>
        <w:jc w:val="left"/>
        <w:rPr>
          <w:rFonts w:hint="eastAsia" w:ascii="宋体" w:hAnsi="宋体" w:eastAsia="宋体" w:cs="宋体"/>
          <w:b/>
          <w:sz w:val="21"/>
          <w:szCs w:val="21"/>
        </w:rPr>
      </w:pPr>
      <w:r>
        <w:rPr>
          <w:rFonts w:hint="eastAsia" w:ascii="宋体" w:hAnsi="宋体" w:eastAsia="宋体" w:cs="宋体"/>
          <w:b/>
          <w:sz w:val="21"/>
          <w:szCs w:val="21"/>
        </w:rPr>
        <w:t>第八条   付款方式</w:t>
      </w:r>
    </w:p>
    <w:p w14:paraId="2298BBBF">
      <w:pPr>
        <w:spacing w:line="360" w:lineRule="auto"/>
        <w:ind w:firstLine="560"/>
        <w:jc w:val="left"/>
        <w:rPr>
          <w:rFonts w:hint="eastAsia" w:ascii="宋体" w:hAnsi="宋体" w:eastAsia="宋体" w:cs="宋体"/>
          <w:sz w:val="21"/>
          <w:szCs w:val="21"/>
        </w:rPr>
      </w:pPr>
      <w:r>
        <w:rPr>
          <w:rFonts w:hint="eastAsia" w:ascii="宋体" w:hAnsi="宋体" w:eastAsia="宋体" w:cs="宋体"/>
          <w:sz w:val="21"/>
          <w:szCs w:val="21"/>
        </w:rPr>
        <w:t>按照招标文件规定的付款方式进行支付。</w:t>
      </w:r>
    </w:p>
    <w:p w14:paraId="1DFF0635">
      <w:pPr>
        <w:spacing w:line="360" w:lineRule="auto"/>
        <w:ind w:firstLine="560"/>
        <w:jc w:val="left"/>
        <w:rPr>
          <w:rFonts w:hint="eastAsia" w:ascii="宋体" w:hAnsi="宋体" w:eastAsia="宋体" w:cs="宋体"/>
          <w:b/>
          <w:sz w:val="21"/>
          <w:szCs w:val="21"/>
        </w:rPr>
      </w:pPr>
      <w:r>
        <w:rPr>
          <w:rFonts w:hint="eastAsia" w:ascii="宋体" w:hAnsi="宋体" w:eastAsia="宋体" w:cs="宋体"/>
          <w:b/>
          <w:sz w:val="21"/>
          <w:szCs w:val="21"/>
        </w:rPr>
        <w:t>第九条    违约责任</w:t>
      </w:r>
    </w:p>
    <w:p w14:paraId="2FA89A1F">
      <w:pPr>
        <w:spacing w:line="360" w:lineRule="auto"/>
        <w:ind w:firstLine="560"/>
        <w:jc w:val="left"/>
        <w:rPr>
          <w:rFonts w:hint="eastAsia" w:ascii="宋体" w:hAnsi="宋体" w:eastAsia="宋体" w:cs="宋体"/>
          <w:sz w:val="21"/>
          <w:szCs w:val="21"/>
        </w:rPr>
      </w:pPr>
      <w:r>
        <w:rPr>
          <w:rFonts w:hint="eastAsia" w:ascii="宋体" w:hAnsi="宋体" w:eastAsia="宋体" w:cs="宋体"/>
          <w:sz w:val="21"/>
          <w:szCs w:val="21"/>
        </w:rPr>
        <w:t>１、甲方无正当理由拒收货物、拒付货物款的，由甲方向乙方偿付合同总价的【】%违约金。</w:t>
      </w:r>
    </w:p>
    <w:p w14:paraId="14BB1AAB">
      <w:pPr>
        <w:spacing w:line="360" w:lineRule="auto"/>
        <w:ind w:firstLine="560"/>
        <w:jc w:val="left"/>
        <w:rPr>
          <w:rFonts w:hint="eastAsia" w:ascii="宋体" w:hAnsi="宋体" w:eastAsia="宋体" w:cs="宋体"/>
          <w:sz w:val="21"/>
          <w:szCs w:val="21"/>
        </w:rPr>
      </w:pPr>
      <w:r>
        <w:rPr>
          <w:rFonts w:hint="eastAsia" w:ascii="宋体" w:hAnsi="宋体" w:eastAsia="宋体" w:cs="宋体"/>
          <w:sz w:val="21"/>
          <w:szCs w:val="21"/>
        </w:rPr>
        <w:t>２、甲方未按合同规定的期限向乙方支付货款的，每逾期1天甲方向乙方偿付欠款总额的【】‰滞纳金，但累计滞纳金总额不超过欠款总额的【】% 。</w:t>
      </w:r>
    </w:p>
    <w:p w14:paraId="36058D7B">
      <w:pPr>
        <w:spacing w:line="360" w:lineRule="auto"/>
        <w:ind w:firstLine="560"/>
        <w:jc w:val="left"/>
        <w:rPr>
          <w:rFonts w:hint="eastAsia" w:ascii="宋体" w:hAnsi="宋体" w:eastAsia="宋体" w:cs="宋体"/>
          <w:sz w:val="21"/>
          <w:szCs w:val="21"/>
        </w:rPr>
      </w:pPr>
      <w:r>
        <w:rPr>
          <w:rFonts w:hint="eastAsia" w:ascii="宋体" w:hAnsi="宋体" w:eastAsia="宋体" w:cs="宋体"/>
          <w:sz w:val="21"/>
          <w:szCs w:val="21"/>
        </w:rPr>
        <w:t>３、乙方逾期交付货物的，每逾期1天，乙方向甲方偿付逾期交货部分货款总额的【】‰的滞纳金。如乙方逾期交货达</w:t>
      </w:r>
      <w:r>
        <w:rPr>
          <w:rFonts w:hint="eastAsia" w:ascii="宋体" w:hAnsi="宋体" w:eastAsia="宋体" w:cs="宋体"/>
          <w:sz w:val="21"/>
          <w:szCs w:val="21"/>
          <w:u w:val="single"/>
        </w:rPr>
        <w:t xml:space="preserve">    </w:t>
      </w:r>
      <w:r>
        <w:rPr>
          <w:rFonts w:hint="eastAsia" w:ascii="宋体" w:hAnsi="宋体" w:eastAsia="宋体" w:cs="宋体"/>
          <w:sz w:val="21"/>
          <w:szCs w:val="21"/>
        </w:rPr>
        <w:t>天，甲方有权解除合同，履约保证金不予退回，同时乙方应向甲方支付合同总价【】％的违约金。</w:t>
      </w:r>
    </w:p>
    <w:p w14:paraId="73C133D7">
      <w:pPr>
        <w:spacing w:line="360" w:lineRule="auto"/>
        <w:ind w:firstLine="560"/>
        <w:jc w:val="left"/>
        <w:rPr>
          <w:rFonts w:hint="eastAsia" w:ascii="宋体" w:hAnsi="宋体" w:eastAsia="宋体" w:cs="宋体"/>
          <w:sz w:val="21"/>
          <w:szCs w:val="21"/>
        </w:rPr>
      </w:pPr>
      <w:r>
        <w:rPr>
          <w:rFonts w:hint="eastAsia" w:ascii="宋体" w:hAnsi="宋体" w:eastAsia="宋体" w:cs="宋体"/>
          <w:sz w:val="21"/>
          <w:szCs w:val="21"/>
        </w:rPr>
        <w:t>4、乙方所交付的货物品种、型号、规格不符合合同规定的，甲方有权拒收。甲方拒收的，乙方应向甲方支付货款总额【】%的违约金。</w:t>
      </w:r>
    </w:p>
    <w:p w14:paraId="7D1BAB79">
      <w:pPr>
        <w:spacing w:line="360" w:lineRule="auto"/>
        <w:ind w:firstLine="560"/>
        <w:jc w:val="left"/>
        <w:rPr>
          <w:rFonts w:hint="eastAsia" w:ascii="宋体" w:hAnsi="宋体" w:eastAsia="宋体" w:cs="宋体"/>
          <w:sz w:val="21"/>
          <w:szCs w:val="21"/>
        </w:rPr>
      </w:pPr>
      <w:r>
        <w:rPr>
          <w:rFonts w:hint="eastAsia" w:ascii="宋体" w:hAnsi="宋体" w:eastAsia="宋体" w:cs="宋体"/>
          <w:sz w:val="21"/>
          <w:szCs w:val="21"/>
        </w:rPr>
        <w:t>5、在乙方承诺的或国家规定的质量保证期内（取两者中最长的期限），如经乙方两次维修或更换，货物仍不能达到合同约定的质量标准，甲方有权退货，乙方应退回全部货款并赔偿甲方因此遭受的损失。</w:t>
      </w:r>
    </w:p>
    <w:p w14:paraId="056947E6">
      <w:pPr>
        <w:spacing w:line="360" w:lineRule="auto"/>
        <w:ind w:firstLine="560"/>
        <w:jc w:val="left"/>
        <w:rPr>
          <w:rFonts w:hint="eastAsia" w:ascii="宋体" w:hAnsi="宋体" w:eastAsia="宋体" w:cs="宋体"/>
          <w:sz w:val="21"/>
          <w:szCs w:val="21"/>
        </w:rPr>
      </w:pPr>
      <w:r>
        <w:rPr>
          <w:rFonts w:hint="eastAsia" w:ascii="宋体" w:hAnsi="宋体" w:eastAsia="宋体" w:cs="宋体"/>
          <w:sz w:val="21"/>
          <w:szCs w:val="21"/>
        </w:rPr>
        <w:t>6、乙方未履行本合同项下的其他义务或违反其在投标文件中的相关承诺的，应按合同总价款的【】%向甲方承担违约责任。</w:t>
      </w:r>
    </w:p>
    <w:p w14:paraId="2D437E59">
      <w:pPr>
        <w:spacing w:line="360" w:lineRule="auto"/>
        <w:ind w:firstLine="560"/>
        <w:jc w:val="left"/>
        <w:rPr>
          <w:rFonts w:hint="eastAsia" w:ascii="宋体" w:hAnsi="宋体" w:eastAsia="宋体" w:cs="宋体"/>
          <w:sz w:val="21"/>
          <w:szCs w:val="21"/>
        </w:rPr>
      </w:pPr>
      <w:r>
        <w:rPr>
          <w:rFonts w:hint="eastAsia" w:ascii="宋体" w:hAnsi="宋体" w:eastAsia="宋体" w:cs="宋体"/>
          <w:sz w:val="21"/>
          <w:szCs w:val="21"/>
        </w:rPr>
        <w:t>7、乙方在承担上述一项或多项违约责任后，仍应继续履行合同规定的义务（甲方解除合同的除外）。甲方未能及时追究乙方的任何一项违约责任并不表明甲方放弃追究乙方该项或其他违约责任。</w:t>
      </w:r>
    </w:p>
    <w:p w14:paraId="45D86064">
      <w:pPr>
        <w:spacing w:line="360" w:lineRule="auto"/>
        <w:ind w:firstLine="560"/>
        <w:jc w:val="left"/>
        <w:rPr>
          <w:rFonts w:hint="eastAsia" w:ascii="宋体" w:hAnsi="宋体" w:eastAsia="宋体" w:cs="宋体"/>
          <w:b/>
          <w:sz w:val="21"/>
          <w:szCs w:val="21"/>
        </w:rPr>
      </w:pPr>
      <w:r>
        <w:rPr>
          <w:rFonts w:hint="eastAsia" w:ascii="宋体" w:hAnsi="宋体" w:eastAsia="宋体" w:cs="宋体"/>
          <w:b/>
          <w:sz w:val="21"/>
          <w:szCs w:val="21"/>
        </w:rPr>
        <w:t>第十条    合同的变更和终止</w:t>
      </w:r>
    </w:p>
    <w:p w14:paraId="637B09D6">
      <w:pPr>
        <w:spacing w:line="360" w:lineRule="auto"/>
        <w:ind w:firstLine="560"/>
        <w:jc w:val="left"/>
        <w:rPr>
          <w:rFonts w:hint="eastAsia" w:ascii="宋体" w:hAnsi="宋体" w:eastAsia="宋体" w:cs="宋体"/>
          <w:sz w:val="21"/>
          <w:szCs w:val="21"/>
        </w:rPr>
      </w:pPr>
      <w:r>
        <w:rPr>
          <w:rFonts w:hint="eastAsia" w:ascii="宋体" w:hAnsi="宋体" w:eastAsia="宋体" w:cs="宋体"/>
          <w:sz w:val="21"/>
          <w:szCs w:val="21"/>
        </w:rPr>
        <w:t>除《中华人民共和国政府采购法》第４９条、第５０条第二款规定的情形外，本合同一经签订，甲乙双方不得擅自变更、中止或终止合同。</w:t>
      </w:r>
    </w:p>
    <w:p w14:paraId="4E22C6C7">
      <w:pPr>
        <w:spacing w:line="360" w:lineRule="auto"/>
        <w:ind w:firstLine="560"/>
        <w:jc w:val="left"/>
        <w:rPr>
          <w:rFonts w:hint="eastAsia" w:ascii="宋体" w:hAnsi="宋体" w:eastAsia="宋体" w:cs="宋体"/>
          <w:b/>
          <w:sz w:val="21"/>
          <w:szCs w:val="21"/>
        </w:rPr>
      </w:pPr>
      <w:r>
        <w:rPr>
          <w:rFonts w:hint="eastAsia" w:ascii="宋体" w:hAnsi="宋体" w:eastAsia="宋体" w:cs="宋体"/>
          <w:b/>
          <w:sz w:val="21"/>
          <w:szCs w:val="21"/>
        </w:rPr>
        <w:t>第十一条   争议的解决</w:t>
      </w:r>
    </w:p>
    <w:p w14:paraId="36BC3EDF">
      <w:pPr>
        <w:spacing w:line="360" w:lineRule="auto"/>
        <w:ind w:firstLine="560"/>
        <w:jc w:val="left"/>
        <w:rPr>
          <w:rFonts w:hint="eastAsia" w:ascii="宋体" w:hAnsi="宋体" w:eastAsia="宋体" w:cs="宋体"/>
          <w:sz w:val="21"/>
          <w:szCs w:val="21"/>
        </w:rPr>
      </w:pPr>
      <w:r>
        <w:rPr>
          <w:rFonts w:hint="eastAsia" w:ascii="宋体" w:hAnsi="宋体" w:eastAsia="宋体" w:cs="宋体"/>
          <w:sz w:val="21"/>
          <w:szCs w:val="21"/>
        </w:rPr>
        <w:t>1、因货物的质量问题发生争议的，应当邀请国家认可的质量检测机构对货物质量进行鉴定。货物符合标准的，鉴定费由甲方承担；货物不符合质量标准的，鉴定费由乙方承担。</w:t>
      </w:r>
    </w:p>
    <w:p w14:paraId="5292CE12">
      <w:pPr>
        <w:spacing w:line="360" w:lineRule="auto"/>
        <w:ind w:firstLine="560"/>
        <w:jc w:val="left"/>
        <w:rPr>
          <w:rFonts w:hint="eastAsia" w:ascii="宋体" w:hAnsi="宋体" w:eastAsia="宋体" w:cs="宋体"/>
          <w:sz w:val="21"/>
          <w:szCs w:val="21"/>
        </w:rPr>
      </w:pPr>
      <w:r>
        <w:rPr>
          <w:rFonts w:hint="eastAsia" w:ascii="宋体" w:hAnsi="宋体" w:eastAsia="宋体" w:cs="宋体"/>
          <w:sz w:val="21"/>
          <w:szCs w:val="21"/>
        </w:rPr>
        <w:t>2、因履行本合同引起的或与本合同有关的争议，甲、乙双方应首先通过友好协商解决，如果协商不能解决争议，则向甲方所在地有管辖权的人民法院提起诉讼；</w:t>
      </w:r>
    </w:p>
    <w:p w14:paraId="4230E3C1">
      <w:pPr>
        <w:spacing w:line="360" w:lineRule="auto"/>
        <w:ind w:firstLine="560"/>
        <w:jc w:val="left"/>
        <w:rPr>
          <w:rFonts w:hint="eastAsia" w:ascii="宋体" w:hAnsi="宋体" w:eastAsia="宋体" w:cs="宋体"/>
          <w:b/>
          <w:sz w:val="21"/>
          <w:szCs w:val="21"/>
        </w:rPr>
      </w:pPr>
      <w:r>
        <w:rPr>
          <w:rFonts w:hint="eastAsia" w:ascii="宋体" w:hAnsi="宋体" w:eastAsia="宋体" w:cs="宋体"/>
          <w:b/>
          <w:sz w:val="21"/>
          <w:szCs w:val="21"/>
        </w:rPr>
        <w:t>第十二条   合同生效及其他</w:t>
      </w:r>
    </w:p>
    <w:p w14:paraId="4A5DDA1E">
      <w:pPr>
        <w:spacing w:line="360" w:lineRule="auto"/>
        <w:ind w:firstLine="560"/>
        <w:jc w:val="left"/>
        <w:rPr>
          <w:rFonts w:hint="eastAsia" w:ascii="宋体" w:hAnsi="宋体" w:eastAsia="宋体" w:cs="宋体"/>
          <w:sz w:val="21"/>
          <w:szCs w:val="21"/>
        </w:rPr>
      </w:pPr>
      <w:r>
        <w:rPr>
          <w:rFonts w:hint="eastAsia" w:ascii="宋体" w:hAnsi="宋体" w:eastAsia="宋体" w:cs="宋体"/>
          <w:sz w:val="21"/>
          <w:szCs w:val="21"/>
        </w:rPr>
        <w:t>1、下列文件均为本合同的重要组成部分：</w:t>
      </w:r>
    </w:p>
    <w:p w14:paraId="377CD8CF">
      <w:pPr>
        <w:spacing w:line="360" w:lineRule="auto"/>
        <w:ind w:firstLine="560"/>
        <w:jc w:val="left"/>
        <w:rPr>
          <w:rFonts w:hint="eastAsia" w:ascii="宋体" w:hAnsi="宋体" w:eastAsia="宋体" w:cs="宋体"/>
          <w:sz w:val="21"/>
          <w:szCs w:val="21"/>
        </w:rPr>
      </w:pPr>
      <w:r>
        <w:rPr>
          <w:rFonts w:hint="eastAsia" w:ascii="宋体" w:hAnsi="宋体" w:eastAsia="宋体" w:cs="宋体"/>
          <w:sz w:val="21"/>
          <w:szCs w:val="21"/>
        </w:rPr>
        <w:t>（1）本项目的采购文件、答疑及补充通知；</w:t>
      </w:r>
    </w:p>
    <w:p w14:paraId="3C654862">
      <w:pPr>
        <w:spacing w:line="360" w:lineRule="auto"/>
        <w:ind w:firstLine="560"/>
        <w:jc w:val="left"/>
        <w:rPr>
          <w:rFonts w:hint="eastAsia" w:ascii="宋体" w:hAnsi="宋体" w:eastAsia="宋体" w:cs="宋体"/>
          <w:sz w:val="21"/>
          <w:szCs w:val="21"/>
        </w:rPr>
      </w:pPr>
      <w:r>
        <w:rPr>
          <w:rFonts w:hint="eastAsia" w:ascii="宋体" w:hAnsi="宋体" w:eastAsia="宋体" w:cs="宋体"/>
          <w:sz w:val="21"/>
          <w:szCs w:val="21"/>
        </w:rPr>
        <w:t>（2）本项目中标的投标文件；</w:t>
      </w:r>
    </w:p>
    <w:p w14:paraId="3BE2915B">
      <w:pPr>
        <w:spacing w:line="360" w:lineRule="auto"/>
        <w:ind w:firstLine="560"/>
        <w:jc w:val="left"/>
        <w:rPr>
          <w:rFonts w:hint="eastAsia" w:ascii="宋体" w:hAnsi="宋体" w:eastAsia="宋体" w:cs="宋体"/>
          <w:sz w:val="21"/>
          <w:szCs w:val="21"/>
        </w:rPr>
      </w:pPr>
      <w:r>
        <w:rPr>
          <w:rFonts w:hint="eastAsia" w:ascii="宋体" w:hAnsi="宋体" w:eastAsia="宋体" w:cs="宋体"/>
          <w:sz w:val="21"/>
          <w:szCs w:val="21"/>
        </w:rPr>
        <w:t>（3）本合同执行中共同签署的补充与修正文件。</w:t>
      </w:r>
    </w:p>
    <w:p w14:paraId="556433D3">
      <w:pPr>
        <w:spacing w:line="360" w:lineRule="auto"/>
        <w:rPr>
          <w:rFonts w:hint="eastAsia" w:ascii="宋体" w:hAnsi="宋体" w:eastAsia="宋体" w:cs="宋体"/>
          <w:b/>
          <w:bCs/>
          <w:kern w:val="2"/>
          <w:sz w:val="21"/>
          <w:szCs w:val="21"/>
        </w:rPr>
      </w:pPr>
      <w:r>
        <w:rPr>
          <w:rFonts w:hint="eastAsia" w:ascii="宋体" w:hAnsi="宋体" w:eastAsia="宋体" w:cs="宋体"/>
          <w:b/>
          <w:bCs/>
          <w:kern w:val="2"/>
          <w:sz w:val="21"/>
          <w:szCs w:val="21"/>
        </w:rPr>
        <w:t xml:space="preserve">   </w:t>
      </w:r>
      <w:r>
        <w:rPr>
          <w:rFonts w:hint="eastAsia" w:ascii="宋体" w:hAnsi="宋体" w:eastAsia="宋体" w:cs="宋体"/>
          <w:bCs/>
          <w:kern w:val="2"/>
          <w:sz w:val="21"/>
          <w:szCs w:val="21"/>
        </w:rPr>
        <w:t xml:space="preserve"> 以上文件互为补充，如果出现内容冲突的情况，为准的优先顺序为（2）、（1）、（3）。</w:t>
      </w:r>
    </w:p>
    <w:p w14:paraId="0B112F49">
      <w:pPr>
        <w:spacing w:line="360" w:lineRule="auto"/>
        <w:ind w:firstLine="560"/>
        <w:jc w:val="left"/>
        <w:rPr>
          <w:rFonts w:hint="eastAsia" w:ascii="宋体" w:hAnsi="宋体" w:eastAsia="宋体" w:cs="宋体"/>
          <w:sz w:val="21"/>
          <w:szCs w:val="21"/>
        </w:rPr>
      </w:pPr>
      <w:r>
        <w:rPr>
          <w:rFonts w:hint="eastAsia" w:ascii="宋体" w:hAnsi="宋体" w:eastAsia="宋体" w:cs="宋体"/>
          <w:sz w:val="21"/>
          <w:szCs w:val="21"/>
        </w:rPr>
        <w:t>2、本合同一式___份，甲、乙方双方各执份，具有同等法律效力。本合同自双方法人代表签字（盖章）认可之日起生效。</w:t>
      </w:r>
    </w:p>
    <w:p w14:paraId="2B98314A">
      <w:pPr>
        <w:spacing w:line="360" w:lineRule="auto"/>
        <w:ind w:firstLine="560"/>
        <w:jc w:val="left"/>
        <w:rPr>
          <w:rFonts w:hint="eastAsia" w:ascii="宋体" w:hAnsi="宋体" w:eastAsia="宋体" w:cs="宋体"/>
          <w:sz w:val="21"/>
          <w:szCs w:val="21"/>
        </w:rPr>
      </w:pPr>
      <w:r>
        <w:rPr>
          <w:rFonts w:hint="eastAsia" w:ascii="宋体" w:hAnsi="宋体" w:eastAsia="宋体" w:cs="宋体"/>
          <w:sz w:val="21"/>
          <w:szCs w:val="21"/>
        </w:rPr>
        <w:t>3、本合同未尽事宜，双方友好协商，达成解决方案，经双方签字后，可作为本合同的有效附件。</w:t>
      </w:r>
    </w:p>
    <w:p w14:paraId="2D0AB0B9">
      <w:pPr>
        <w:spacing w:line="360" w:lineRule="auto"/>
        <w:ind w:firstLine="560"/>
        <w:jc w:val="left"/>
        <w:rPr>
          <w:rFonts w:hint="eastAsia" w:ascii="宋体" w:hAnsi="宋体" w:eastAsia="宋体" w:cs="宋体"/>
          <w:sz w:val="21"/>
          <w:szCs w:val="21"/>
        </w:rPr>
      </w:pPr>
      <w:r>
        <w:rPr>
          <w:rFonts w:hint="eastAsia" w:ascii="宋体" w:hAnsi="宋体" w:eastAsia="宋体" w:cs="宋体"/>
          <w:sz w:val="21"/>
          <w:szCs w:val="21"/>
        </w:rPr>
        <w:t>本合同未尽事宜，双方友好协商，达成解决方案，经双方签字后，可作为本合同的有效附件。</w:t>
      </w:r>
    </w:p>
    <w:p w14:paraId="016BB813">
      <w:pPr>
        <w:spacing w:line="360" w:lineRule="auto"/>
        <w:ind w:firstLine="560"/>
        <w:jc w:val="left"/>
        <w:rPr>
          <w:rFonts w:hint="eastAsia" w:ascii="宋体" w:hAnsi="宋体" w:eastAsia="宋体" w:cs="宋体"/>
          <w:sz w:val="21"/>
          <w:szCs w:val="21"/>
        </w:rPr>
      </w:pPr>
      <w:r>
        <w:rPr>
          <w:rFonts w:hint="eastAsia" w:ascii="宋体" w:hAnsi="宋体" w:eastAsia="宋体" w:cs="宋体"/>
          <w:sz w:val="21"/>
          <w:szCs w:val="21"/>
        </w:rPr>
        <w:t>甲方（采购人）：   （盖章）       乙方（供应商）：    （盖章）</w:t>
      </w:r>
    </w:p>
    <w:p w14:paraId="03900E36">
      <w:pPr>
        <w:spacing w:line="360" w:lineRule="auto"/>
        <w:ind w:firstLine="560"/>
        <w:jc w:val="left"/>
        <w:rPr>
          <w:rFonts w:hint="eastAsia" w:ascii="宋体" w:hAnsi="宋体" w:eastAsia="宋体" w:cs="宋体"/>
          <w:sz w:val="21"/>
          <w:szCs w:val="21"/>
        </w:rPr>
      </w:pPr>
      <w:r>
        <w:rPr>
          <w:rFonts w:hint="eastAsia" w:ascii="宋体" w:hAnsi="宋体" w:eastAsia="宋体" w:cs="宋体"/>
          <w:sz w:val="21"/>
          <w:szCs w:val="21"/>
        </w:rPr>
        <w:t xml:space="preserve">法定代表人：                     法定代表人： </w:t>
      </w:r>
    </w:p>
    <w:p w14:paraId="40196AD8">
      <w:pPr>
        <w:spacing w:line="360" w:lineRule="auto"/>
        <w:ind w:firstLine="560"/>
        <w:jc w:val="left"/>
        <w:rPr>
          <w:rFonts w:hint="eastAsia" w:ascii="宋体" w:hAnsi="宋体" w:eastAsia="宋体" w:cs="宋体"/>
          <w:sz w:val="21"/>
          <w:szCs w:val="21"/>
        </w:rPr>
      </w:pPr>
      <w:r>
        <w:rPr>
          <w:rFonts w:hint="eastAsia" w:ascii="宋体" w:hAnsi="宋体" w:eastAsia="宋体" w:cs="宋体"/>
          <w:sz w:val="21"/>
          <w:szCs w:val="21"/>
        </w:rPr>
        <w:t>委托代理人：                     委托代理人：</w:t>
      </w:r>
    </w:p>
    <w:p w14:paraId="7F3E1AE5">
      <w:pPr>
        <w:widowControl w:val="0"/>
        <w:spacing w:line="360" w:lineRule="auto"/>
        <w:ind w:firstLine="630" w:firstLineChars="300"/>
        <w:jc w:val="both"/>
        <w:rPr>
          <w:rFonts w:hint="eastAsia" w:ascii="宋体" w:hAnsi="宋体" w:eastAsia="宋体" w:cs="宋体"/>
          <w:kern w:val="2"/>
          <w:sz w:val="21"/>
          <w:szCs w:val="21"/>
          <w:lang w:eastAsia="zh-CN"/>
        </w:rPr>
      </w:pPr>
      <w:r>
        <w:rPr>
          <w:rFonts w:hint="eastAsia" w:ascii="宋体" w:hAnsi="宋体" w:eastAsia="宋体" w:cs="宋体"/>
          <w:sz w:val="21"/>
          <w:szCs w:val="21"/>
        </w:rPr>
        <w:t>日期：   年     月    日         日期：   年     月    日</w:t>
      </w:r>
    </w:p>
    <w:p w14:paraId="3B29AD64">
      <w:pPr>
        <w:widowControl/>
        <w:jc w:val="center"/>
        <w:rPr>
          <w:rFonts w:hint="eastAsia" w:ascii="宋体" w:hAnsi="宋体" w:eastAsia="宋体"/>
          <w:b/>
          <w:kern w:val="2"/>
          <w:sz w:val="21"/>
          <w:szCs w:val="21"/>
          <w:lang w:eastAsia="zh-CN"/>
        </w:rPr>
      </w:pPr>
      <w:r>
        <w:rPr>
          <w:rFonts w:hint="eastAsia" w:ascii="宋体" w:hAnsi="宋体" w:eastAsia="宋体"/>
          <w:b/>
          <w:kern w:val="2"/>
          <w:sz w:val="21"/>
          <w:szCs w:val="21"/>
          <w:lang w:eastAsia="zh-CN"/>
        </w:rPr>
        <w:t>注：本合同样本仅供参考，具体条款内容由采购单位和中标单位协商确定。</w:t>
      </w:r>
    </w:p>
    <w:p w14:paraId="56A0AEBF">
      <w:pPr>
        <w:widowControl/>
        <w:jc w:val="center"/>
        <w:rPr>
          <w:rFonts w:hint="eastAsia" w:ascii="宋体" w:hAnsi="宋体" w:eastAsia="宋体"/>
          <w:b/>
          <w:kern w:val="2"/>
          <w:sz w:val="21"/>
          <w:szCs w:val="21"/>
          <w:lang w:eastAsia="zh-CN"/>
        </w:rPr>
      </w:pPr>
    </w:p>
    <w:p w14:paraId="6D0B27DB">
      <w:pPr>
        <w:widowControl/>
        <w:jc w:val="center"/>
        <w:rPr>
          <w:rFonts w:hint="eastAsia" w:ascii="宋体" w:hAnsi="宋体" w:eastAsia="宋体"/>
          <w:b/>
          <w:kern w:val="2"/>
          <w:sz w:val="21"/>
          <w:szCs w:val="21"/>
          <w:lang w:eastAsia="zh-CN"/>
        </w:rPr>
      </w:pPr>
    </w:p>
    <w:p w14:paraId="0A777078">
      <w:pPr>
        <w:widowControl/>
        <w:jc w:val="center"/>
        <w:rPr>
          <w:rFonts w:hint="eastAsia" w:ascii="宋体" w:hAnsi="宋体" w:eastAsia="宋体"/>
          <w:b/>
          <w:kern w:val="2"/>
          <w:sz w:val="21"/>
          <w:szCs w:val="21"/>
          <w:lang w:eastAsia="zh-CN"/>
        </w:rPr>
      </w:pPr>
    </w:p>
    <w:p w14:paraId="7C0DF3EB">
      <w:pPr>
        <w:widowControl/>
        <w:jc w:val="center"/>
        <w:rPr>
          <w:rFonts w:hint="eastAsia" w:ascii="宋体" w:hAnsi="宋体" w:eastAsia="宋体"/>
          <w:b/>
          <w:kern w:val="2"/>
          <w:sz w:val="21"/>
          <w:szCs w:val="21"/>
          <w:lang w:eastAsia="zh-CN"/>
        </w:rPr>
      </w:pPr>
    </w:p>
    <w:p w14:paraId="50272601">
      <w:pPr>
        <w:widowControl/>
        <w:jc w:val="center"/>
        <w:rPr>
          <w:rFonts w:hint="eastAsia" w:ascii="宋体" w:hAnsi="宋体" w:eastAsia="宋体"/>
          <w:b/>
          <w:kern w:val="2"/>
          <w:sz w:val="21"/>
          <w:szCs w:val="21"/>
          <w:lang w:eastAsia="zh-CN"/>
        </w:rPr>
      </w:pPr>
    </w:p>
    <w:p w14:paraId="6F4D69F8">
      <w:pPr>
        <w:widowControl/>
        <w:jc w:val="center"/>
        <w:rPr>
          <w:rFonts w:hint="eastAsia" w:ascii="宋体" w:hAnsi="宋体" w:eastAsia="宋体"/>
          <w:b/>
          <w:kern w:val="2"/>
          <w:sz w:val="21"/>
          <w:szCs w:val="21"/>
          <w:lang w:eastAsia="zh-CN"/>
        </w:rPr>
      </w:pPr>
    </w:p>
    <w:p w14:paraId="2388C5A9">
      <w:pPr>
        <w:widowControl/>
        <w:jc w:val="center"/>
        <w:rPr>
          <w:rFonts w:hint="eastAsia" w:ascii="宋体" w:hAnsi="宋体" w:eastAsia="宋体"/>
          <w:b/>
          <w:kern w:val="2"/>
          <w:sz w:val="21"/>
          <w:szCs w:val="21"/>
          <w:lang w:eastAsia="zh-CN"/>
        </w:rPr>
      </w:pPr>
    </w:p>
    <w:p w14:paraId="4526CEDB">
      <w:pPr>
        <w:widowControl/>
        <w:jc w:val="center"/>
        <w:rPr>
          <w:rFonts w:hint="eastAsia" w:ascii="宋体" w:hAnsi="宋体" w:eastAsia="宋体"/>
          <w:b/>
          <w:kern w:val="2"/>
          <w:sz w:val="21"/>
          <w:szCs w:val="21"/>
          <w:lang w:eastAsia="zh-CN"/>
        </w:rPr>
      </w:pPr>
    </w:p>
    <w:p w14:paraId="70A31FAF">
      <w:pPr>
        <w:widowControl/>
        <w:jc w:val="center"/>
        <w:rPr>
          <w:rFonts w:hint="eastAsia" w:ascii="宋体" w:hAnsi="宋体" w:eastAsia="宋体"/>
          <w:b/>
          <w:kern w:val="2"/>
          <w:sz w:val="21"/>
          <w:szCs w:val="21"/>
          <w:lang w:eastAsia="zh-CN"/>
        </w:rPr>
      </w:pPr>
    </w:p>
    <w:p w14:paraId="7892CA53">
      <w:pPr>
        <w:widowControl/>
        <w:jc w:val="center"/>
        <w:rPr>
          <w:rFonts w:hint="eastAsia" w:ascii="宋体" w:hAnsi="宋体" w:eastAsia="宋体"/>
          <w:b/>
          <w:kern w:val="2"/>
          <w:sz w:val="21"/>
          <w:szCs w:val="21"/>
          <w:lang w:eastAsia="zh-CN"/>
        </w:rPr>
      </w:pPr>
    </w:p>
    <w:p w14:paraId="6D729BB5">
      <w:pPr>
        <w:widowControl/>
        <w:jc w:val="center"/>
        <w:rPr>
          <w:rFonts w:hint="eastAsia" w:ascii="宋体" w:hAnsi="宋体" w:eastAsia="宋体"/>
          <w:b/>
          <w:kern w:val="2"/>
          <w:sz w:val="21"/>
          <w:szCs w:val="21"/>
          <w:lang w:eastAsia="zh-CN"/>
        </w:rPr>
      </w:pPr>
    </w:p>
    <w:p w14:paraId="7FBCBD81">
      <w:pPr>
        <w:widowControl/>
        <w:jc w:val="center"/>
        <w:rPr>
          <w:rFonts w:hint="eastAsia" w:ascii="宋体" w:hAnsi="宋体" w:eastAsia="宋体"/>
          <w:b/>
          <w:kern w:val="2"/>
          <w:sz w:val="21"/>
          <w:szCs w:val="21"/>
          <w:lang w:eastAsia="zh-CN"/>
        </w:rPr>
      </w:pPr>
    </w:p>
    <w:p w14:paraId="155A402D">
      <w:pPr>
        <w:widowControl/>
        <w:jc w:val="center"/>
        <w:rPr>
          <w:rFonts w:hint="eastAsia" w:ascii="宋体" w:hAnsi="宋体" w:eastAsia="宋体"/>
          <w:b/>
          <w:kern w:val="2"/>
          <w:sz w:val="21"/>
          <w:szCs w:val="21"/>
          <w:lang w:eastAsia="zh-CN"/>
        </w:rPr>
      </w:pPr>
    </w:p>
    <w:p w14:paraId="73654295">
      <w:pPr>
        <w:widowControl/>
        <w:jc w:val="center"/>
        <w:rPr>
          <w:rFonts w:hint="eastAsia" w:ascii="宋体" w:hAnsi="宋体" w:eastAsia="宋体"/>
          <w:b/>
          <w:kern w:val="2"/>
          <w:sz w:val="21"/>
          <w:szCs w:val="21"/>
          <w:lang w:eastAsia="zh-CN"/>
        </w:rPr>
      </w:pPr>
    </w:p>
    <w:p w14:paraId="3ED57A6F">
      <w:pPr>
        <w:widowControl/>
        <w:jc w:val="center"/>
        <w:rPr>
          <w:rFonts w:hint="eastAsia" w:ascii="宋体" w:hAnsi="宋体" w:eastAsia="宋体"/>
          <w:b/>
          <w:kern w:val="2"/>
          <w:sz w:val="21"/>
          <w:szCs w:val="21"/>
          <w:lang w:eastAsia="zh-CN"/>
        </w:rPr>
      </w:pPr>
    </w:p>
    <w:p w14:paraId="35520506">
      <w:pPr>
        <w:widowControl/>
        <w:jc w:val="center"/>
        <w:rPr>
          <w:rFonts w:hint="eastAsia" w:ascii="宋体" w:hAnsi="宋体" w:eastAsia="宋体"/>
          <w:b/>
          <w:kern w:val="2"/>
          <w:sz w:val="21"/>
          <w:szCs w:val="21"/>
          <w:lang w:eastAsia="zh-CN"/>
        </w:rPr>
      </w:pPr>
    </w:p>
    <w:p w14:paraId="46CD8B5D">
      <w:pPr>
        <w:widowControl/>
        <w:jc w:val="center"/>
        <w:rPr>
          <w:rFonts w:hint="eastAsia" w:ascii="宋体" w:hAnsi="宋体" w:eastAsia="宋体"/>
          <w:b/>
          <w:kern w:val="2"/>
          <w:sz w:val="21"/>
          <w:szCs w:val="21"/>
          <w:lang w:eastAsia="zh-CN"/>
        </w:rPr>
      </w:pPr>
    </w:p>
    <w:p w14:paraId="01CD84DD">
      <w:pPr>
        <w:widowControl/>
        <w:jc w:val="center"/>
        <w:rPr>
          <w:rFonts w:hint="eastAsia" w:ascii="宋体" w:hAnsi="宋体" w:eastAsia="宋体"/>
          <w:b/>
          <w:kern w:val="2"/>
          <w:sz w:val="21"/>
          <w:szCs w:val="21"/>
          <w:lang w:eastAsia="zh-CN"/>
        </w:rPr>
      </w:pPr>
    </w:p>
    <w:p w14:paraId="659F70D3">
      <w:pPr>
        <w:widowControl/>
        <w:jc w:val="center"/>
        <w:rPr>
          <w:rFonts w:hint="eastAsia" w:ascii="宋体" w:hAnsi="宋体" w:eastAsia="宋体"/>
          <w:b/>
          <w:kern w:val="2"/>
          <w:sz w:val="21"/>
          <w:szCs w:val="21"/>
          <w:lang w:eastAsia="zh-CN"/>
        </w:rPr>
      </w:pPr>
    </w:p>
    <w:p w14:paraId="2C0F04C7">
      <w:pPr>
        <w:widowControl/>
        <w:jc w:val="center"/>
        <w:rPr>
          <w:rFonts w:hint="eastAsia" w:ascii="宋体" w:hAnsi="宋体" w:eastAsia="宋体"/>
          <w:b/>
          <w:kern w:val="2"/>
          <w:sz w:val="21"/>
          <w:szCs w:val="21"/>
          <w:lang w:eastAsia="zh-CN"/>
        </w:rPr>
      </w:pPr>
    </w:p>
    <w:p w14:paraId="2200CC3B">
      <w:pPr>
        <w:widowControl/>
        <w:jc w:val="center"/>
        <w:rPr>
          <w:rFonts w:hint="eastAsia" w:ascii="宋体" w:hAnsi="宋体" w:eastAsia="宋体"/>
          <w:b/>
          <w:kern w:val="2"/>
          <w:sz w:val="21"/>
          <w:szCs w:val="21"/>
          <w:lang w:eastAsia="zh-CN"/>
        </w:rPr>
      </w:pPr>
    </w:p>
    <w:p w14:paraId="1FFB74E9">
      <w:pPr>
        <w:widowControl/>
        <w:jc w:val="center"/>
        <w:rPr>
          <w:rFonts w:hint="eastAsia" w:ascii="宋体" w:hAnsi="宋体" w:eastAsia="宋体"/>
          <w:b/>
          <w:kern w:val="2"/>
          <w:sz w:val="21"/>
          <w:szCs w:val="21"/>
          <w:lang w:eastAsia="zh-CN"/>
        </w:rPr>
      </w:pPr>
    </w:p>
    <w:p w14:paraId="6608E506">
      <w:pPr>
        <w:widowControl/>
        <w:jc w:val="center"/>
        <w:rPr>
          <w:rFonts w:hint="eastAsia" w:ascii="宋体" w:hAnsi="宋体" w:eastAsia="宋体"/>
          <w:b/>
          <w:kern w:val="2"/>
          <w:sz w:val="21"/>
          <w:szCs w:val="21"/>
          <w:lang w:eastAsia="zh-CN"/>
        </w:rPr>
      </w:pPr>
    </w:p>
    <w:p w14:paraId="2ACFBB7C">
      <w:pPr>
        <w:widowControl/>
        <w:jc w:val="center"/>
        <w:rPr>
          <w:rFonts w:hint="eastAsia" w:ascii="宋体" w:hAnsi="宋体" w:eastAsia="宋体"/>
          <w:b/>
          <w:kern w:val="2"/>
          <w:sz w:val="21"/>
          <w:szCs w:val="21"/>
          <w:lang w:eastAsia="zh-CN"/>
        </w:rPr>
      </w:pPr>
    </w:p>
    <w:p w14:paraId="4A5550B9">
      <w:pPr>
        <w:widowControl/>
        <w:jc w:val="center"/>
        <w:rPr>
          <w:rFonts w:hint="eastAsia" w:ascii="宋体" w:hAnsi="宋体" w:eastAsia="宋体"/>
          <w:b/>
          <w:kern w:val="2"/>
          <w:sz w:val="21"/>
          <w:szCs w:val="21"/>
          <w:lang w:eastAsia="zh-CN"/>
        </w:rPr>
      </w:pPr>
    </w:p>
    <w:p w14:paraId="4301C276">
      <w:pPr>
        <w:widowControl/>
        <w:jc w:val="center"/>
        <w:rPr>
          <w:rFonts w:hint="eastAsia" w:ascii="宋体" w:hAnsi="宋体" w:eastAsia="宋体"/>
          <w:b/>
          <w:kern w:val="2"/>
          <w:sz w:val="21"/>
          <w:szCs w:val="21"/>
          <w:lang w:eastAsia="zh-CN"/>
        </w:rPr>
      </w:pPr>
    </w:p>
    <w:p w14:paraId="7C24901B">
      <w:pPr>
        <w:widowControl/>
        <w:jc w:val="center"/>
        <w:rPr>
          <w:rFonts w:hint="eastAsia" w:ascii="宋体" w:hAnsi="宋体" w:eastAsia="宋体"/>
          <w:b/>
          <w:kern w:val="2"/>
          <w:sz w:val="21"/>
          <w:szCs w:val="21"/>
          <w:lang w:eastAsia="zh-CN"/>
        </w:rPr>
      </w:pPr>
    </w:p>
    <w:p w14:paraId="372A5F74">
      <w:pPr>
        <w:widowControl/>
        <w:jc w:val="center"/>
        <w:rPr>
          <w:rFonts w:hint="eastAsia" w:ascii="宋体" w:hAnsi="宋体" w:eastAsia="宋体"/>
          <w:b/>
          <w:kern w:val="2"/>
          <w:sz w:val="21"/>
          <w:szCs w:val="21"/>
          <w:lang w:eastAsia="zh-CN"/>
        </w:rPr>
      </w:pPr>
    </w:p>
    <w:p w14:paraId="087ECCF5">
      <w:pPr>
        <w:widowControl/>
        <w:jc w:val="center"/>
        <w:rPr>
          <w:rFonts w:hint="eastAsia" w:ascii="宋体" w:hAnsi="宋体" w:eastAsia="宋体"/>
          <w:b/>
          <w:kern w:val="2"/>
          <w:sz w:val="21"/>
          <w:szCs w:val="21"/>
          <w:lang w:eastAsia="zh-CN"/>
        </w:rPr>
      </w:pPr>
    </w:p>
    <w:p w14:paraId="7EC70298">
      <w:pPr>
        <w:widowControl/>
        <w:jc w:val="center"/>
        <w:rPr>
          <w:rFonts w:hint="eastAsia" w:ascii="宋体" w:hAnsi="宋体" w:eastAsia="宋体"/>
          <w:b/>
          <w:kern w:val="2"/>
          <w:sz w:val="21"/>
          <w:szCs w:val="21"/>
          <w:lang w:eastAsia="zh-CN"/>
        </w:rPr>
      </w:pPr>
    </w:p>
    <w:p w14:paraId="2535E52A">
      <w:pPr>
        <w:widowControl/>
        <w:jc w:val="center"/>
        <w:rPr>
          <w:rFonts w:hint="eastAsia" w:ascii="宋体" w:hAnsi="宋体" w:eastAsia="宋体"/>
          <w:b/>
          <w:kern w:val="2"/>
          <w:sz w:val="21"/>
          <w:szCs w:val="21"/>
          <w:lang w:eastAsia="zh-CN"/>
        </w:rPr>
      </w:pPr>
    </w:p>
    <w:p w14:paraId="1B1920DF">
      <w:pPr>
        <w:widowControl/>
        <w:jc w:val="center"/>
        <w:rPr>
          <w:rFonts w:hint="eastAsia" w:ascii="宋体" w:hAnsi="宋体" w:eastAsia="宋体"/>
          <w:b/>
          <w:kern w:val="2"/>
          <w:sz w:val="21"/>
          <w:szCs w:val="21"/>
          <w:lang w:eastAsia="zh-CN"/>
        </w:rPr>
      </w:pPr>
    </w:p>
    <w:p w14:paraId="30B4D4B3">
      <w:pPr>
        <w:widowControl/>
        <w:jc w:val="center"/>
        <w:rPr>
          <w:rFonts w:hint="eastAsia" w:ascii="宋体" w:hAnsi="宋体" w:eastAsia="宋体"/>
          <w:b/>
          <w:kern w:val="2"/>
          <w:sz w:val="21"/>
          <w:szCs w:val="21"/>
          <w:lang w:eastAsia="zh-CN"/>
        </w:rPr>
      </w:pPr>
    </w:p>
    <w:p w14:paraId="45458690">
      <w:pPr>
        <w:widowControl/>
        <w:jc w:val="center"/>
        <w:rPr>
          <w:rFonts w:hint="eastAsia" w:ascii="宋体" w:hAnsi="宋体" w:eastAsia="宋体"/>
          <w:b/>
          <w:kern w:val="2"/>
          <w:sz w:val="21"/>
          <w:szCs w:val="21"/>
          <w:lang w:eastAsia="zh-CN"/>
        </w:rPr>
      </w:pPr>
    </w:p>
    <w:p w14:paraId="093984E6">
      <w:pPr>
        <w:widowControl/>
        <w:jc w:val="center"/>
        <w:rPr>
          <w:rFonts w:hint="eastAsia" w:ascii="宋体" w:hAnsi="宋体" w:eastAsia="宋体"/>
          <w:b/>
          <w:kern w:val="2"/>
          <w:sz w:val="21"/>
          <w:szCs w:val="21"/>
          <w:lang w:eastAsia="zh-CN"/>
        </w:rPr>
      </w:pPr>
    </w:p>
    <w:p w14:paraId="48CD0C82">
      <w:pPr>
        <w:keepNext/>
        <w:keepLines/>
        <w:widowControl w:val="0"/>
        <w:spacing w:before="340" w:after="60" w:afterLines="25" w:line="578" w:lineRule="auto"/>
        <w:jc w:val="center"/>
        <w:outlineLvl w:val="0"/>
        <w:rPr>
          <w:rFonts w:ascii="Arial" w:hAnsi="Arial" w:eastAsia="宋体"/>
          <w:b/>
          <w:bCs/>
          <w:kern w:val="44"/>
          <w:sz w:val="32"/>
          <w:szCs w:val="32"/>
          <w:lang w:eastAsia="zh-CN"/>
        </w:rPr>
      </w:pPr>
      <w:r>
        <w:rPr>
          <w:rFonts w:hint="eastAsia" w:ascii="Arial" w:hAnsi="Arial" w:eastAsia="宋体"/>
          <w:b/>
          <w:bCs/>
          <w:kern w:val="44"/>
          <w:sz w:val="32"/>
          <w:szCs w:val="32"/>
          <w:lang w:eastAsia="zh-CN"/>
        </w:rPr>
        <w:t>第二册  通用条款（公开招标）</w:t>
      </w:r>
    </w:p>
    <w:p w14:paraId="200F976B">
      <w:pPr>
        <w:keepNext/>
        <w:keepLines/>
        <w:widowControl/>
        <w:wordWrap w:val="0"/>
        <w:autoSpaceDE w:val="0"/>
        <w:autoSpaceDN w:val="0"/>
        <w:spacing w:line="360" w:lineRule="auto"/>
        <w:ind w:right="808" w:firstLine="643" w:firstLineChars="200"/>
        <w:jc w:val="center"/>
        <w:outlineLvl w:val="1"/>
        <w:rPr>
          <w:rFonts w:ascii="Arial" w:hAnsi="Arial" w:eastAsia="宋体"/>
          <w:b/>
          <w:kern w:val="2"/>
          <w:sz w:val="32"/>
          <w:lang w:eastAsia="zh-CN"/>
        </w:rPr>
      </w:pPr>
      <w:bookmarkStart w:id="28" w:name="_Toc1312"/>
      <w:r>
        <w:rPr>
          <w:rFonts w:hint="eastAsia" w:ascii="Arial" w:hAnsi="Arial" w:eastAsia="宋体"/>
          <w:b/>
          <w:kern w:val="2"/>
          <w:sz w:val="32"/>
          <w:lang w:eastAsia="zh-CN"/>
        </w:rPr>
        <w:t>第一章  总则</w:t>
      </w:r>
      <w:bookmarkEnd w:id="28"/>
    </w:p>
    <w:p w14:paraId="583DDE61">
      <w:pPr>
        <w:widowControl/>
        <w:wordWrap w:val="0"/>
        <w:autoSpaceDE w:val="0"/>
        <w:autoSpaceDN w:val="0"/>
        <w:spacing w:line="360" w:lineRule="auto"/>
        <w:ind w:right="808" w:firstLine="482" w:firstLineChars="200"/>
        <w:jc w:val="both"/>
        <w:rPr>
          <w:rFonts w:eastAsia="宋体"/>
          <w:b/>
          <w:kern w:val="2"/>
          <w:lang w:eastAsia="zh-CN"/>
        </w:rPr>
      </w:pPr>
      <w:r>
        <w:rPr>
          <w:rFonts w:eastAsia="宋体"/>
          <w:b/>
          <w:kern w:val="2"/>
          <w:lang w:eastAsia="zh-CN"/>
        </w:rPr>
        <w:t>1.通用条款说明</w:t>
      </w:r>
    </w:p>
    <w:p w14:paraId="10024C40">
      <w:pPr>
        <w:widowControl/>
        <w:wordWrap w:val="0"/>
        <w:autoSpaceDE w:val="0"/>
        <w:autoSpaceDN w:val="0"/>
        <w:spacing w:line="360" w:lineRule="auto"/>
        <w:ind w:right="808" w:firstLine="480" w:firstLineChars="200"/>
        <w:jc w:val="both"/>
        <w:rPr>
          <w:rFonts w:eastAsia="宋体"/>
          <w:bCs/>
          <w:kern w:val="2"/>
          <w:lang w:eastAsia="zh-CN"/>
        </w:rPr>
      </w:pPr>
      <w:r>
        <w:rPr>
          <w:rFonts w:eastAsia="宋体"/>
          <w:bCs/>
          <w:kern w:val="2"/>
          <w:lang w:eastAsia="zh-CN"/>
        </w:rPr>
        <w:t>1.1采购代理机构发出招标文件通用条款版本，列出深圳市政府采购项目进行招标采购所适用的通用条款内容。如有需要，采购代理机构可以对通用条款的内容进行补充。</w:t>
      </w:r>
    </w:p>
    <w:p w14:paraId="2F65406F">
      <w:pPr>
        <w:widowControl/>
        <w:wordWrap w:val="0"/>
        <w:autoSpaceDE w:val="0"/>
        <w:autoSpaceDN w:val="0"/>
        <w:spacing w:line="360" w:lineRule="auto"/>
        <w:ind w:right="808" w:firstLine="480" w:firstLineChars="200"/>
        <w:jc w:val="both"/>
        <w:rPr>
          <w:rFonts w:eastAsia="宋体"/>
          <w:bCs/>
          <w:kern w:val="2"/>
          <w:lang w:eastAsia="zh-CN"/>
        </w:rPr>
      </w:pPr>
      <w:r>
        <w:rPr>
          <w:rFonts w:eastAsia="宋体"/>
          <w:bCs/>
          <w:kern w:val="2"/>
          <w:lang w:eastAsia="zh-CN"/>
        </w:rPr>
        <w:t>1.2招标文件分为第一册“专用条款”和第二册“通用条款”。</w:t>
      </w:r>
    </w:p>
    <w:p w14:paraId="748BE109">
      <w:pPr>
        <w:widowControl/>
        <w:wordWrap w:val="0"/>
        <w:autoSpaceDE w:val="0"/>
        <w:autoSpaceDN w:val="0"/>
        <w:spacing w:line="360" w:lineRule="auto"/>
        <w:ind w:right="808" w:firstLine="480" w:firstLineChars="200"/>
        <w:jc w:val="both"/>
        <w:rPr>
          <w:rFonts w:eastAsia="宋体"/>
          <w:bCs/>
          <w:kern w:val="2"/>
          <w:lang w:eastAsia="zh-CN"/>
        </w:rPr>
      </w:pPr>
      <w:r>
        <w:rPr>
          <w:rFonts w:eastAsia="宋体"/>
          <w:bCs/>
          <w:kern w:val="2"/>
          <w:lang w:eastAsia="zh-CN"/>
        </w:rPr>
        <w:t>1.3“专用条款”是对本次采购项目的具体要求，包含招标公告、对通用条款的补充内容及其他关键信息、用户需求书、投标文件格式及附件、合同条款及格式等内容。</w:t>
      </w:r>
    </w:p>
    <w:p w14:paraId="0F259212">
      <w:pPr>
        <w:widowControl/>
        <w:wordWrap w:val="0"/>
        <w:autoSpaceDE w:val="0"/>
        <w:autoSpaceDN w:val="0"/>
        <w:spacing w:line="360" w:lineRule="auto"/>
        <w:ind w:right="808" w:firstLine="480" w:firstLineChars="200"/>
        <w:jc w:val="both"/>
        <w:rPr>
          <w:rFonts w:eastAsia="宋体"/>
          <w:bCs/>
          <w:kern w:val="2"/>
          <w:lang w:eastAsia="zh-CN"/>
        </w:rPr>
      </w:pPr>
      <w:r>
        <w:rPr>
          <w:rFonts w:eastAsia="宋体"/>
          <w:bCs/>
          <w:kern w:val="2"/>
          <w:lang w:eastAsia="zh-CN"/>
        </w:rPr>
        <w:t>1.4“通用条款”是适用于政府采购公开招标项目的基础性条款，具有普遍性和通用性。</w:t>
      </w:r>
    </w:p>
    <w:p w14:paraId="06A343FD">
      <w:pPr>
        <w:widowControl/>
        <w:wordWrap w:val="0"/>
        <w:autoSpaceDE w:val="0"/>
        <w:autoSpaceDN w:val="0"/>
        <w:spacing w:line="360" w:lineRule="auto"/>
        <w:ind w:right="808" w:firstLine="480" w:firstLineChars="200"/>
        <w:jc w:val="both"/>
        <w:rPr>
          <w:rFonts w:eastAsia="宋体"/>
          <w:bCs/>
          <w:kern w:val="2"/>
          <w:lang w:eastAsia="zh-CN"/>
        </w:rPr>
      </w:pPr>
      <w:r>
        <w:rPr>
          <w:rFonts w:eastAsia="宋体"/>
          <w:bCs/>
          <w:kern w:val="2"/>
          <w:lang w:eastAsia="zh-CN"/>
        </w:rPr>
        <w:t>1.5“专用条款”和“通用条款”表述不一致或有冲突时，以“专用条款”为准。</w:t>
      </w:r>
    </w:p>
    <w:p w14:paraId="23A603A4">
      <w:pPr>
        <w:widowControl/>
        <w:wordWrap w:val="0"/>
        <w:autoSpaceDE w:val="0"/>
        <w:autoSpaceDN w:val="0"/>
        <w:spacing w:line="360" w:lineRule="auto"/>
        <w:ind w:right="808" w:firstLine="482" w:firstLineChars="200"/>
        <w:jc w:val="both"/>
        <w:rPr>
          <w:rFonts w:eastAsia="宋体"/>
          <w:b/>
          <w:kern w:val="2"/>
          <w:lang w:eastAsia="zh-CN"/>
        </w:rPr>
      </w:pPr>
      <w:r>
        <w:rPr>
          <w:rFonts w:eastAsia="宋体"/>
          <w:b/>
          <w:kern w:val="2"/>
          <w:lang w:eastAsia="zh-CN"/>
        </w:rPr>
        <w:t>2．招标说明</w:t>
      </w:r>
    </w:p>
    <w:p w14:paraId="42D1C639">
      <w:pPr>
        <w:widowControl/>
        <w:wordWrap w:val="0"/>
        <w:autoSpaceDE w:val="0"/>
        <w:autoSpaceDN w:val="0"/>
        <w:spacing w:line="360" w:lineRule="auto"/>
        <w:ind w:right="808" w:firstLine="480" w:firstLineChars="200"/>
        <w:jc w:val="both"/>
        <w:rPr>
          <w:rFonts w:eastAsia="宋体"/>
          <w:kern w:val="2"/>
          <w:lang w:eastAsia="zh-CN"/>
        </w:rPr>
      </w:pPr>
      <w:r>
        <w:rPr>
          <w:rFonts w:eastAsia="宋体"/>
          <w:kern w:val="2"/>
          <w:lang w:eastAsia="zh-CN"/>
        </w:rPr>
        <w:t>本项目按照《深圳经济特区政府采购条例》、《深圳经济特区政府采购条例实施细则》及政府采购其他法律法规，通过公开招标方式确定中标供应商。</w:t>
      </w:r>
    </w:p>
    <w:p w14:paraId="642167B4">
      <w:pPr>
        <w:widowControl/>
        <w:wordWrap w:val="0"/>
        <w:autoSpaceDE w:val="0"/>
        <w:autoSpaceDN w:val="0"/>
        <w:spacing w:line="360" w:lineRule="auto"/>
        <w:ind w:right="808" w:firstLine="482" w:firstLineChars="200"/>
        <w:jc w:val="both"/>
        <w:rPr>
          <w:rFonts w:eastAsia="宋体"/>
          <w:b/>
          <w:kern w:val="2"/>
          <w:lang w:eastAsia="zh-CN"/>
        </w:rPr>
      </w:pPr>
      <w:r>
        <w:rPr>
          <w:rFonts w:eastAsia="宋体"/>
          <w:b/>
          <w:kern w:val="2"/>
          <w:lang w:eastAsia="zh-CN"/>
        </w:rPr>
        <w:t>3．定义</w:t>
      </w:r>
    </w:p>
    <w:p w14:paraId="313EA4F6">
      <w:pPr>
        <w:widowControl/>
        <w:wordWrap w:val="0"/>
        <w:autoSpaceDE w:val="0"/>
        <w:autoSpaceDN w:val="0"/>
        <w:spacing w:line="360" w:lineRule="auto"/>
        <w:ind w:right="808" w:firstLine="480" w:firstLineChars="200"/>
        <w:jc w:val="both"/>
        <w:rPr>
          <w:rFonts w:eastAsia="宋体"/>
          <w:kern w:val="2"/>
          <w:lang w:eastAsia="zh-CN"/>
        </w:rPr>
      </w:pPr>
      <w:r>
        <w:rPr>
          <w:rFonts w:eastAsia="宋体"/>
          <w:kern w:val="2"/>
          <w:lang w:eastAsia="zh-CN"/>
        </w:rPr>
        <w:t>招标文件中下列术语应解释为：</w:t>
      </w:r>
    </w:p>
    <w:p w14:paraId="34709C0D">
      <w:pPr>
        <w:widowControl/>
        <w:wordWrap w:val="0"/>
        <w:autoSpaceDE w:val="0"/>
        <w:autoSpaceDN w:val="0"/>
        <w:spacing w:line="360" w:lineRule="auto"/>
        <w:ind w:right="808" w:firstLine="480" w:firstLineChars="200"/>
        <w:jc w:val="both"/>
        <w:rPr>
          <w:rFonts w:eastAsia="宋体"/>
          <w:kern w:val="2"/>
          <w:lang w:eastAsia="zh-CN"/>
        </w:rPr>
      </w:pPr>
      <w:r>
        <w:rPr>
          <w:rFonts w:eastAsia="宋体"/>
          <w:kern w:val="2"/>
          <w:lang w:eastAsia="zh-CN"/>
        </w:rPr>
        <w:t>3.1“采购人”：指利用财政性资金依法进行政府采购的国家机关、事业单位、团体组织；</w:t>
      </w:r>
    </w:p>
    <w:p w14:paraId="619C9B9F">
      <w:pPr>
        <w:widowControl/>
        <w:wordWrap w:val="0"/>
        <w:autoSpaceDE w:val="0"/>
        <w:autoSpaceDN w:val="0"/>
        <w:spacing w:line="360" w:lineRule="auto"/>
        <w:ind w:right="808" w:firstLine="480" w:firstLineChars="200"/>
        <w:jc w:val="both"/>
        <w:rPr>
          <w:rFonts w:eastAsia="宋体"/>
          <w:kern w:val="2"/>
          <w:lang w:eastAsia="zh-CN"/>
        </w:rPr>
      </w:pPr>
      <w:r>
        <w:rPr>
          <w:rFonts w:eastAsia="宋体"/>
          <w:kern w:val="2"/>
          <w:lang w:eastAsia="zh-CN"/>
        </w:rPr>
        <w:t>3.2“采购代理机构”是</w:t>
      </w:r>
      <w:r>
        <w:rPr>
          <w:rFonts w:hint="eastAsia" w:eastAsia="宋体"/>
          <w:kern w:val="2"/>
          <w:lang w:eastAsia="zh-CN"/>
        </w:rPr>
        <w:t>指根据采购人的委托，代理采购事宜的机构</w:t>
      </w:r>
      <w:r>
        <w:rPr>
          <w:rFonts w:eastAsia="宋体"/>
          <w:kern w:val="2"/>
          <w:lang w:eastAsia="zh-CN"/>
        </w:rPr>
        <w:t>；本文件所述的“采购代理机构”指</w:t>
      </w:r>
      <w:r>
        <w:rPr>
          <w:rFonts w:hint="eastAsia" w:eastAsia="宋体"/>
          <w:kern w:val="2"/>
          <w:lang w:eastAsia="zh-CN"/>
        </w:rPr>
        <w:t>深圳市千里招标代理有限公司</w:t>
      </w:r>
      <w:r>
        <w:rPr>
          <w:rFonts w:eastAsia="宋体"/>
          <w:kern w:val="2"/>
          <w:lang w:eastAsia="zh-CN"/>
        </w:rPr>
        <w:t>；</w:t>
      </w:r>
    </w:p>
    <w:p w14:paraId="3B0E529A">
      <w:pPr>
        <w:widowControl/>
        <w:wordWrap w:val="0"/>
        <w:autoSpaceDE w:val="0"/>
        <w:autoSpaceDN w:val="0"/>
        <w:spacing w:line="360" w:lineRule="auto"/>
        <w:ind w:right="808" w:firstLine="480" w:firstLineChars="200"/>
        <w:jc w:val="both"/>
        <w:rPr>
          <w:rFonts w:eastAsia="宋体"/>
          <w:kern w:val="2"/>
          <w:lang w:eastAsia="zh-CN"/>
        </w:rPr>
      </w:pPr>
      <w:r>
        <w:rPr>
          <w:rFonts w:hint="eastAsia" w:eastAsia="宋体"/>
          <w:kern w:val="2"/>
          <w:lang w:eastAsia="zh-CN"/>
        </w:rPr>
        <w:t>3.3“投标人”，即供应商，指参加投标竞争并愿意按照招标文件要求向采购人提供货物、工程或者服务的依法成立的法人、其他组织或者自然人；</w:t>
      </w:r>
    </w:p>
    <w:p w14:paraId="18136CF2">
      <w:pPr>
        <w:widowControl/>
        <w:wordWrap w:val="0"/>
        <w:autoSpaceDE w:val="0"/>
        <w:autoSpaceDN w:val="0"/>
        <w:spacing w:line="360" w:lineRule="auto"/>
        <w:ind w:right="808" w:firstLine="480" w:firstLineChars="200"/>
        <w:jc w:val="both"/>
        <w:rPr>
          <w:rFonts w:eastAsia="宋体"/>
          <w:kern w:val="2"/>
          <w:lang w:eastAsia="zh-CN"/>
        </w:rPr>
      </w:pPr>
      <w:r>
        <w:rPr>
          <w:rFonts w:hint="eastAsia" w:eastAsia="宋体"/>
          <w:kern w:val="2"/>
          <w:lang w:eastAsia="zh-CN"/>
        </w:rPr>
        <w:t>3.4“评审委员会”是依据《深圳经济特区政府采购条例》、《深圳经济特区政府采购条例实施细则》等有关规定组建的专门负责本次招标其评审工作的临时性机构；</w:t>
      </w:r>
    </w:p>
    <w:p w14:paraId="5CE3C0E2">
      <w:pPr>
        <w:widowControl/>
        <w:wordWrap w:val="0"/>
        <w:autoSpaceDE w:val="0"/>
        <w:autoSpaceDN w:val="0"/>
        <w:spacing w:line="360" w:lineRule="auto"/>
        <w:ind w:right="808" w:firstLine="480" w:firstLineChars="200"/>
        <w:jc w:val="both"/>
        <w:rPr>
          <w:rFonts w:eastAsia="宋体"/>
          <w:kern w:val="2"/>
          <w:lang w:eastAsia="zh-CN"/>
        </w:rPr>
      </w:pPr>
      <w:r>
        <w:rPr>
          <w:rFonts w:hint="eastAsia" w:eastAsia="宋体"/>
          <w:kern w:val="2"/>
          <w:lang w:eastAsia="zh-CN"/>
        </w:rPr>
        <w:t>3.5“日期”指公历日；</w:t>
      </w:r>
    </w:p>
    <w:p w14:paraId="516447C3">
      <w:pPr>
        <w:widowControl/>
        <w:wordWrap w:val="0"/>
        <w:autoSpaceDE w:val="0"/>
        <w:autoSpaceDN w:val="0"/>
        <w:spacing w:line="360" w:lineRule="auto"/>
        <w:ind w:right="808" w:firstLine="480" w:firstLineChars="200"/>
        <w:jc w:val="both"/>
        <w:rPr>
          <w:rFonts w:eastAsia="宋体"/>
          <w:kern w:val="2"/>
          <w:lang w:eastAsia="zh-CN"/>
        </w:rPr>
      </w:pPr>
      <w:r>
        <w:rPr>
          <w:rFonts w:hint="eastAsia" w:eastAsia="宋体"/>
          <w:kern w:val="2"/>
          <w:lang w:eastAsia="zh-CN"/>
        </w:rPr>
        <w:t>3.6“合同”指由本次招标所产生的合同或合约文件；</w:t>
      </w:r>
    </w:p>
    <w:p w14:paraId="47B0DDF1">
      <w:pPr>
        <w:widowControl/>
        <w:wordWrap w:val="0"/>
        <w:autoSpaceDE w:val="0"/>
        <w:autoSpaceDN w:val="0"/>
        <w:spacing w:line="360" w:lineRule="auto"/>
        <w:ind w:right="808" w:firstLine="480" w:firstLineChars="200"/>
        <w:jc w:val="both"/>
        <w:rPr>
          <w:rFonts w:eastAsia="宋体"/>
          <w:kern w:val="2"/>
          <w:lang w:eastAsia="zh-CN"/>
        </w:rPr>
      </w:pPr>
      <w:r>
        <w:rPr>
          <w:rFonts w:hint="eastAsia" w:eastAsia="宋体"/>
          <w:kern w:val="2"/>
          <w:lang w:eastAsia="zh-CN"/>
        </w:rPr>
        <w:t>3.7“电子投标文件”指利用深圳政府采购自行采购系统投标文件制作专用软件（以下简称：投标文件制作软件）制作的投标文件,适用于网上投标；（投标文件制作软件可从“下载地址：https://zxcg.szggzy.com/home/index.html深圳市自行采购系统投标文件编制工具”下载）</w:t>
      </w:r>
    </w:p>
    <w:p w14:paraId="43773E7D">
      <w:pPr>
        <w:widowControl/>
        <w:wordWrap w:val="0"/>
        <w:autoSpaceDE w:val="0"/>
        <w:autoSpaceDN w:val="0"/>
        <w:spacing w:line="360" w:lineRule="auto"/>
        <w:ind w:right="808" w:firstLine="480" w:firstLineChars="200"/>
        <w:jc w:val="both"/>
        <w:rPr>
          <w:rFonts w:eastAsia="宋体"/>
          <w:kern w:val="2"/>
          <w:lang w:eastAsia="zh-CN"/>
        </w:rPr>
      </w:pPr>
      <w:r>
        <w:rPr>
          <w:rFonts w:hint="eastAsia" w:eastAsia="宋体"/>
          <w:kern w:val="2"/>
          <w:lang w:eastAsia="zh-CN"/>
        </w:rPr>
        <w:t>3.8“网上投标”指通过深圳市自行采购系统网站上传电子投标文件；</w:t>
      </w:r>
    </w:p>
    <w:p w14:paraId="592C8053">
      <w:pPr>
        <w:widowControl/>
        <w:wordWrap w:val="0"/>
        <w:autoSpaceDE w:val="0"/>
        <w:autoSpaceDN w:val="0"/>
        <w:spacing w:line="360" w:lineRule="auto"/>
        <w:ind w:right="808" w:firstLine="480" w:firstLineChars="200"/>
        <w:jc w:val="both"/>
        <w:rPr>
          <w:rFonts w:eastAsia="宋体"/>
          <w:kern w:val="2"/>
          <w:lang w:eastAsia="zh-CN"/>
        </w:rPr>
      </w:pPr>
      <w:r>
        <w:rPr>
          <w:rFonts w:hint="eastAsia" w:eastAsia="宋体"/>
          <w:kern w:val="2"/>
          <w:lang w:eastAsia="zh-CN"/>
        </w:rPr>
        <w:t>3.9招标文件中的标题或题名仅起引导作用，而不应视为对招标文件内容的理解和解释。</w:t>
      </w:r>
    </w:p>
    <w:p w14:paraId="41BB4C70">
      <w:pPr>
        <w:widowControl/>
        <w:wordWrap w:val="0"/>
        <w:autoSpaceDE w:val="0"/>
        <w:autoSpaceDN w:val="0"/>
        <w:spacing w:line="360" w:lineRule="auto"/>
        <w:ind w:right="808" w:firstLine="482" w:firstLineChars="200"/>
        <w:jc w:val="both"/>
        <w:rPr>
          <w:rFonts w:eastAsia="宋体"/>
          <w:b/>
          <w:kern w:val="2"/>
          <w:lang w:eastAsia="zh-CN"/>
        </w:rPr>
      </w:pPr>
      <w:r>
        <w:rPr>
          <w:rFonts w:hint="eastAsia" w:eastAsia="宋体"/>
          <w:b/>
          <w:kern w:val="2"/>
          <w:lang w:eastAsia="zh-CN"/>
        </w:rPr>
        <w:t>4.政府采购供应商责任</w:t>
      </w:r>
    </w:p>
    <w:p w14:paraId="2F261EDD">
      <w:pPr>
        <w:widowControl/>
        <w:wordWrap w:val="0"/>
        <w:autoSpaceDE w:val="0"/>
        <w:autoSpaceDN w:val="0"/>
        <w:spacing w:line="360" w:lineRule="auto"/>
        <w:ind w:right="808" w:firstLine="480" w:firstLineChars="200"/>
        <w:jc w:val="both"/>
        <w:rPr>
          <w:rFonts w:eastAsia="宋体"/>
          <w:kern w:val="2"/>
          <w:lang w:eastAsia="zh-CN"/>
        </w:rPr>
      </w:pPr>
      <w:r>
        <w:rPr>
          <w:rFonts w:hint="eastAsia" w:eastAsia="宋体"/>
          <w:kern w:val="2"/>
          <w:lang w:eastAsia="zh-CN"/>
        </w:rPr>
        <w:t>4.1欢迎诚信、有实力和有社会责任心的供应商参与政府采购事业。</w:t>
      </w:r>
    </w:p>
    <w:p w14:paraId="5B1F3E4A">
      <w:pPr>
        <w:widowControl/>
        <w:wordWrap w:val="0"/>
        <w:autoSpaceDE w:val="0"/>
        <w:autoSpaceDN w:val="0"/>
        <w:spacing w:line="360" w:lineRule="auto"/>
        <w:ind w:right="808" w:firstLine="480" w:firstLineChars="200"/>
        <w:jc w:val="both"/>
        <w:rPr>
          <w:rFonts w:eastAsia="宋体"/>
          <w:kern w:val="2"/>
          <w:lang w:eastAsia="zh-CN"/>
        </w:rPr>
      </w:pPr>
      <w:r>
        <w:rPr>
          <w:rFonts w:hint="eastAsia" w:eastAsia="宋体"/>
          <w:kern w:val="2"/>
          <w:lang w:eastAsia="zh-CN"/>
        </w:rPr>
        <w:t>4.2投标人应当遵循公平竞争的原则，不得恶意串通，不得妨碍其他投标人的竞争行为，不得损害采购人或者其他投标人的合法权益。如违反上述要求，经核实后，供应商的投标无效。</w:t>
      </w:r>
    </w:p>
    <w:p w14:paraId="714E1B38">
      <w:pPr>
        <w:widowControl/>
        <w:wordWrap w:val="0"/>
        <w:autoSpaceDE w:val="0"/>
        <w:autoSpaceDN w:val="0"/>
        <w:spacing w:line="360" w:lineRule="auto"/>
        <w:ind w:right="808" w:firstLine="482" w:firstLineChars="200"/>
        <w:jc w:val="both"/>
        <w:rPr>
          <w:rFonts w:hint="eastAsia" w:eastAsia="宋体"/>
          <w:b/>
          <w:kern w:val="2"/>
          <w:lang w:eastAsia="zh-CN"/>
        </w:rPr>
      </w:pPr>
      <w:r>
        <w:rPr>
          <w:rFonts w:hint="eastAsia" w:eastAsia="宋体"/>
          <w:b/>
          <w:kern w:val="2"/>
          <w:lang w:eastAsia="zh-CN"/>
        </w:rPr>
        <w:t>5．投标人参加政府采购的条件</w:t>
      </w:r>
    </w:p>
    <w:p w14:paraId="0103AABE">
      <w:pPr>
        <w:widowControl/>
        <w:wordWrap w:val="0"/>
        <w:autoSpaceDE w:val="0"/>
        <w:autoSpaceDN w:val="0"/>
        <w:spacing w:line="360" w:lineRule="auto"/>
        <w:ind w:right="808" w:firstLine="480" w:firstLineChars="200"/>
        <w:jc w:val="both"/>
        <w:rPr>
          <w:rFonts w:eastAsia="宋体"/>
          <w:kern w:val="2"/>
          <w:lang w:eastAsia="zh-CN"/>
        </w:rPr>
      </w:pPr>
      <w:r>
        <w:rPr>
          <w:rFonts w:hint="eastAsia" w:eastAsia="宋体"/>
          <w:kern w:val="2"/>
          <w:lang w:eastAsia="zh-CN"/>
        </w:rPr>
        <w:t>5.1投标人应在投标前在深圳交易集团有限公司政府采购业务分公司进行注册并办理电子密钥。《供应商注册及信息变更指引》详见www.szggzy.com网站“交易服务指南-政府采购”。</w:t>
      </w:r>
    </w:p>
    <w:p w14:paraId="121CD78E">
      <w:pPr>
        <w:widowControl/>
        <w:wordWrap w:val="0"/>
        <w:autoSpaceDE w:val="0"/>
        <w:autoSpaceDN w:val="0"/>
        <w:spacing w:line="360" w:lineRule="auto"/>
        <w:ind w:right="808" w:firstLine="480" w:firstLineChars="200"/>
        <w:jc w:val="both"/>
        <w:rPr>
          <w:rFonts w:eastAsia="宋体"/>
          <w:kern w:val="2"/>
          <w:lang w:eastAsia="zh-CN"/>
        </w:rPr>
      </w:pPr>
      <w:r>
        <w:rPr>
          <w:rFonts w:hint="eastAsia" w:eastAsia="宋体"/>
          <w:kern w:val="2"/>
          <w:lang w:eastAsia="zh-CN"/>
        </w:rPr>
        <w:t>5.2投标人资格要求</w:t>
      </w:r>
    </w:p>
    <w:p w14:paraId="45FF90E3">
      <w:pPr>
        <w:widowControl/>
        <w:wordWrap w:val="0"/>
        <w:autoSpaceDE w:val="0"/>
        <w:autoSpaceDN w:val="0"/>
        <w:spacing w:line="360" w:lineRule="auto"/>
        <w:ind w:right="808" w:firstLine="480" w:firstLineChars="200"/>
        <w:jc w:val="both"/>
        <w:rPr>
          <w:rFonts w:eastAsia="宋体"/>
          <w:kern w:val="2"/>
          <w:lang w:eastAsia="zh-CN"/>
        </w:rPr>
      </w:pPr>
      <w:r>
        <w:rPr>
          <w:rFonts w:hint="eastAsia" w:eastAsia="宋体"/>
          <w:kern w:val="2"/>
          <w:lang w:eastAsia="zh-CN"/>
        </w:rPr>
        <w:t>参加本项目的投标人应具备的资格条件详见本项目招标公告中“投标人资格要求”（即申请人的资格要求）的内容。</w:t>
      </w:r>
    </w:p>
    <w:p w14:paraId="38D2699C">
      <w:pPr>
        <w:widowControl/>
        <w:wordWrap w:val="0"/>
        <w:autoSpaceDE w:val="0"/>
        <w:autoSpaceDN w:val="0"/>
        <w:spacing w:line="360" w:lineRule="auto"/>
        <w:ind w:right="808" w:firstLine="480" w:firstLineChars="200"/>
        <w:jc w:val="both"/>
        <w:rPr>
          <w:rFonts w:eastAsia="宋体"/>
          <w:kern w:val="2"/>
          <w:lang w:eastAsia="zh-CN"/>
        </w:rPr>
      </w:pPr>
      <w:r>
        <w:rPr>
          <w:rFonts w:hint="eastAsia" w:eastAsia="宋体"/>
          <w:kern w:val="2"/>
          <w:lang w:eastAsia="zh-CN"/>
        </w:rPr>
        <w:t>5.3联合体投标</w:t>
      </w:r>
    </w:p>
    <w:p w14:paraId="5D29CF5C">
      <w:pPr>
        <w:widowControl/>
        <w:wordWrap w:val="0"/>
        <w:autoSpaceDE w:val="0"/>
        <w:autoSpaceDN w:val="0"/>
        <w:spacing w:line="360" w:lineRule="auto"/>
        <w:ind w:right="808" w:firstLine="480" w:firstLineChars="200"/>
        <w:jc w:val="both"/>
        <w:rPr>
          <w:rFonts w:eastAsia="宋体"/>
          <w:kern w:val="2"/>
          <w:lang w:eastAsia="zh-CN"/>
        </w:rPr>
      </w:pPr>
      <w:r>
        <w:rPr>
          <w:rFonts w:hint="eastAsia" w:eastAsia="宋体"/>
          <w:kern w:val="2"/>
          <w:lang w:eastAsia="zh-CN"/>
        </w:rPr>
        <w:t>5.3.1以下有关联合体投标的条款仅适用于允许投标人组成联合体投标的项目。</w:t>
      </w:r>
    </w:p>
    <w:p w14:paraId="10002A4C">
      <w:pPr>
        <w:widowControl/>
        <w:wordWrap w:val="0"/>
        <w:autoSpaceDE w:val="0"/>
        <w:autoSpaceDN w:val="0"/>
        <w:spacing w:line="360" w:lineRule="auto"/>
        <w:ind w:right="808" w:firstLine="480" w:firstLineChars="200"/>
        <w:jc w:val="both"/>
        <w:rPr>
          <w:rFonts w:eastAsia="宋体"/>
          <w:kern w:val="2"/>
          <w:lang w:eastAsia="zh-CN"/>
        </w:rPr>
      </w:pPr>
      <w:r>
        <w:rPr>
          <w:rFonts w:hint="eastAsia" w:eastAsia="宋体"/>
          <w:kern w:val="2"/>
          <w:lang w:eastAsia="zh-CN"/>
        </w:rPr>
        <w:t>5.3.2由两个或两个以上的自然人、法人或者其他组织可以组成一个联合体，以一个供应商的身份共同投标时，应符合以下原则：</w:t>
      </w:r>
    </w:p>
    <w:p w14:paraId="15BE536B">
      <w:pPr>
        <w:widowControl/>
        <w:wordWrap w:val="0"/>
        <w:autoSpaceDE w:val="0"/>
        <w:autoSpaceDN w:val="0"/>
        <w:spacing w:line="360" w:lineRule="auto"/>
        <w:ind w:right="808" w:firstLine="480" w:firstLineChars="200"/>
        <w:jc w:val="both"/>
        <w:rPr>
          <w:rFonts w:eastAsia="宋体"/>
          <w:kern w:val="2"/>
          <w:lang w:eastAsia="zh-CN"/>
        </w:rPr>
      </w:pPr>
      <w:r>
        <w:rPr>
          <w:rFonts w:hint="eastAsia" w:eastAsia="宋体"/>
          <w:kern w:val="2"/>
          <w:lang w:eastAsia="zh-CN"/>
        </w:rPr>
        <w:t>（1）投标联合体各方参加政府采购活动应当具备下列条件：</w:t>
      </w:r>
    </w:p>
    <w:p w14:paraId="53D00482">
      <w:pPr>
        <w:widowControl/>
        <w:wordWrap w:val="0"/>
        <w:autoSpaceDE w:val="0"/>
        <w:autoSpaceDN w:val="0"/>
        <w:spacing w:line="360" w:lineRule="auto"/>
        <w:ind w:right="808" w:firstLine="480" w:firstLineChars="200"/>
        <w:jc w:val="both"/>
        <w:rPr>
          <w:rFonts w:eastAsia="宋体"/>
          <w:kern w:val="2"/>
          <w:lang w:eastAsia="zh-CN"/>
        </w:rPr>
      </w:pPr>
      <w:r>
        <w:rPr>
          <w:rFonts w:hint="eastAsia" w:eastAsia="宋体"/>
          <w:kern w:val="2"/>
          <w:lang w:eastAsia="zh-CN"/>
        </w:rPr>
        <w:t>1、具有独立承担民事责任的能力；</w:t>
      </w:r>
    </w:p>
    <w:p w14:paraId="7CA9AB68">
      <w:pPr>
        <w:widowControl/>
        <w:wordWrap w:val="0"/>
        <w:autoSpaceDE w:val="0"/>
        <w:autoSpaceDN w:val="0"/>
        <w:spacing w:line="360" w:lineRule="auto"/>
        <w:ind w:right="808" w:firstLine="480" w:firstLineChars="200"/>
        <w:jc w:val="both"/>
        <w:rPr>
          <w:rFonts w:eastAsia="宋体"/>
          <w:kern w:val="2"/>
          <w:lang w:eastAsia="zh-CN"/>
        </w:rPr>
      </w:pPr>
      <w:r>
        <w:rPr>
          <w:rFonts w:hint="eastAsia" w:eastAsia="宋体"/>
          <w:kern w:val="2"/>
          <w:lang w:eastAsia="zh-CN"/>
        </w:rPr>
        <w:t>2、有良好的商业信誉和健全的财务会计制度；</w:t>
      </w:r>
    </w:p>
    <w:p w14:paraId="79C91721">
      <w:pPr>
        <w:widowControl/>
        <w:wordWrap w:val="0"/>
        <w:autoSpaceDE w:val="0"/>
        <w:autoSpaceDN w:val="0"/>
        <w:spacing w:line="360" w:lineRule="auto"/>
        <w:ind w:right="808" w:firstLine="480" w:firstLineChars="200"/>
        <w:jc w:val="both"/>
        <w:rPr>
          <w:rFonts w:eastAsia="宋体"/>
          <w:kern w:val="2"/>
          <w:lang w:eastAsia="zh-CN"/>
        </w:rPr>
      </w:pPr>
      <w:r>
        <w:rPr>
          <w:rFonts w:hint="eastAsia" w:eastAsia="宋体"/>
          <w:kern w:val="2"/>
          <w:lang w:eastAsia="zh-CN"/>
        </w:rPr>
        <w:t>3、具有履行合同所必需的设备和专业技术能力；</w:t>
      </w:r>
    </w:p>
    <w:p w14:paraId="21476C5A">
      <w:pPr>
        <w:widowControl/>
        <w:wordWrap w:val="0"/>
        <w:autoSpaceDE w:val="0"/>
        <w:autoSpaceDN w:val="0"/>
        <w:spacing w:line="360" w:lineRule="auto"/>
        <w:ind w:right="808" w:firstLine="480" w:firstLineChars="200"/>
        <w:jc w:val="both"/>
        <w:rPr>
          <w:rFonts w:eastAsia="宋体"/>
          <w:kern w:val="2"/>
          <w:lang w:eastAsia="zh-CN"/>
        </w:rPr>
      </w:pPr>
      <w:r>
        <w:rPr>
          <w:rFonts w:hint="eastAsia" w:eastAsia="宋体"/>
          <w:kern w:val="2"/>
          <w:lang w:eastAsia="zh-CN"/>
        </w:rPr>
        <w:t>4、有依法缴纳税收和社会保障资金的良好记录；</w:t>
      </w:r>
    </w:p>
    <w:p w14:paraId="1FCF3E32">
      <w:pPr>
        <w:widowControl/>
        <w:wordWrap w:val="0"/>
        <w:autoSpaceDE w:val="0"/>
        <w:autoSpaceDN w:val="0"/>
        <w:spacing w:line="360" w:lineRule="auto"/>
        <w:ind w:right="808" w:firstLine="480" w:firstLineChars="200"/>
        <w:jc w:val="both"/>
        <w:rPr>
          <w:rFonts w:eastAsia="宋体"/>
          <w:kern w:val="2"/>
          <w:lang w:eastAsia="zh-CN"/>
        </w:rPr>
      </w:pPr>
      <w:r>
        <w:rPr>
          <w:rFonts w:hint="eastAsia" w:eastAsia="宋体"/>
          <w:kern w:val="2"/>
          <w:lang w:eastAsia="zh-CN"/>
        </w:rPr>
        <w:t>5、参加政府采购活动前三年内，在经营活动中没有重大违法记录；</w:t>
      </w:r>
    </w:p>
    <w:p w14:paraId="68B2479F">
      <w:pPr>
        <w:widowControl/>
        <w:wordWrap w:val="0"/>
        <w:autoSpaceDE w:val="0"/>
        <w:autoSpaceDN w:val="0"/>
        <w:spacing w:line="360" w:lineRule="auto"/>
        <w:ind w:right="808" w:firstLine="480" w:firstLineChars="200"/>
        <w:jc w:val="both"/>
        <w:rPr>
          <w:rFonts w:eastAsia="宋体"/>
          <w:kern w:val="2"/>
          <w:lang w:eastAsia="zh-CN"/>
        </w:rPr>
      </w:pPr>
      <w:r>
        <w:rPr>
          <w:rFonts w:hint="eastAsia" w:eastAsia="宋体"/>
          <w:kern w:val="2"/>
          <w:lang w:eastAsia="zh-CN"/>
        </w:rPr>
        <w:t>6、法律、行政法规规定的其他条件。</w:t>
      </w:r>
    </w:p>
    <w:p w14:paraId="6CE82653">
      <w:pPr>
        <w:widowControl/>
        <w:wordWrap w:val="0"/>
        <w:autoSpaceDE w:val="0"/>
        <w:autoSpaceDN w:val="0"/>
        <w:spacing w:line="360" w:lineRule="auto"/>
        <w:ind w:right="808" w:firstLine="480" w:firstLineChars="200"/>
        <w:jc w:val="both"/>
        <w:rPr>
          <w:rFonts w:eastAsia="宋体"/>
          <w:kern w:val="2"/>
          <w:lang w:eastAsia="zh-CN"/>
        </w:rPr>
      </w:pPr>
      <w:r>
        <w:rPr>
          <w:rFonts w:hint="eastAsia" w:eastAsia="宋体"/>
          <w:kern w:val="2"/>
          <w:lang w:eastAsia="zh-CN"/>
        </w:rPr>
        <w:t>（2）在投标截止前，投标联合体各方均应注册成采购代理机构供应商；</w:t>
      </w:r>
    </w:p>
    <w:p w14:paraId="5A2B8410">
      <w:pPr>
        <w:widowControl/>
        <w:wordWrap w:val="0"/>
        <w:autoSpaceDE w:val="0"/>
        <w:autoSpaceDN w:val="0"/>
        <w:spacing w:line="360" w:lineRule="auto"/>
        <w:ind w:right="808" w:firstLine="480" w:firstLineChars="200"/>
        <w:jc w:val="both"/>
        <w:rPr>
          <w:rFonts w:eastAsia="宋体"/>
          <w:kern w:val="2"/>
          <w:lang w:eastAsia="zh-CN"/>
        </w:rPr>
      </w:pPr>
      <w:r>
        <w:rPr>
          <w:rFonts w:hint="eastAsia" w:eastAsia="宋体"/>
          <w:kern w:val="2"/>
          <w:lang w:eastAsia="zh-CN"/>
        </w:rPr>
        <w:t>（3）联合体中有同类资质的供应商按照联合体分工承担相同工作的，应当按照资质等级较低的供应商确定资质等级；</w:t>
      </w:r>
    </w:p>
    <w:p w14:paraId="368BA8B7">
      <w:pPr>
        <w:widowControl/>
        <w:wordWrap w:val="0"/>
        <w:autoSpaceDE w:val="0"/>
        <w:autoSpaceDN w:val="0"/>
        <w:spacing w:line="360" w:lineRule="auto"/>
        <w:ind w:right="808" w:firstLine="480" w:firstLineChars="200"/>
        <w:jc w:val="both"/>
        <w:rPr>
          <w:rFonts w:eastAsia="宋体"/>
          <w:kern w:val="2"/>
          <w:lang w:eastAsia="zh-CN"/>
        </w:rPr>
      </w:pPr>
      <w:r>
        <w:rPr>
          <w:rFonts w:hint="eastAsia" w:eastAsia="宋体"/>
          <w:kern w:val="2"/>
          <w:lang w:eastAsia="zh-CN"/>
        </w:rPr>
        <w:t>（4）是否允许联合体参加投标，应当由采购人和采购代理机构根据项目的实际情况和潜在供应商的数量自主决定，如果决定接受联合体投标则应当在招标公告中明示；</w:t>
      </w:r>
    </w:p>
    <w:p w14:paraId="726A5058">
      <w:pPr>
        <w:widowControl/>
        <w:wordWrap w:val="0"/>
        <w:autoSpaceDE w:val="0"/>
        <w:autoSpaceDN w:val="0"/>
        <w:spacing w:line="360" w:lineRule="auto"/>
        <w:ind w:right="808" w:firstLine="480" w:firstLineChars="200"/>
        <w:jc w:val="both"/>
        <w:rPr>
          <w:rFonts w:eastAsia="宋体"/>
          <w:kern w:val="2"/>
          <w:lang w:eastAsia="zh-CN"/>
        </w:rPr>
      </w:pPr>
      <w:r>
        <w:rPr>
          <w:rFonts w:hint="eastAsia" w:eastAsia="宋体"/>
          <w:kern w:val="2"/>
          <w:lang w:eastAsia="zh-CN"/>
        </w:rPr>
        <w:t>（5）投标人的投标文件及中标后签署的合同协议对联合体各方均具有法律约束力；</w:t>
      </w:r>
    </w:p>
    <w:p w14:paraId="69487D33">
      <w:pPr>
        <w:widowControl/>
        <w:wordWrap w:val="0"/>
        <w:autoSpaceDE w:val="0"/>
        <w:autoSpaceDN w:val="0"/>
        <w:spacing w:line="360" w:lineRule="auto"/>
        <w:ind w:right="808" w:firstLine="480" w:firstLineChars="200"/>
        <w:jc w:val="both"/>
        <w:rPr>
          <w:rFonts w:eastAsia="宋体"/>
          <w:kern w:val="2"/>
          <w:lang w:eastAsia="zh-CN"/>
        </w:rPr>
      </w:pPr>
      <w:r>
        <w:rPr>
          <w:rFonts w:hint="eastAsia" w:eastAsia="宋体"/>
          <w:kern w:val="2"/>
          <w:lang w:eastAsia="zh-CN"/>
        </w:rPr>
        <w:t>（6）联合体各方应当签订联合体投标协议，明确约定各方拟承担的工作和责任，并将该协议随投标文件一并递交给采购代理机构；</w:t>
      </w:r>
    </w:p>
    <w:p w14:paraId="7E1C194D">
      <w:pPr>
        <w:widowControl/>
        <w:wordWrap w:val="0"/>
        <w:autoSpaceDE w:val="0"/>
        <w:autoSpaceDN w:val="0"/>
        <w:spacing w:line="360" w:lineRule="auto"/>
        <w:ind w:right="808" w:firstLine="480" w:firstLineChars="200"/>
        <w:jc w:val="both"/>
        <w:rPr>
          <w:rFonts w:eastAsia="宋体"/>
          <w:kern w:val="2"/>
          <w:lang w:eastAsia="zh-CN"/>
        </w:rPr>
      </w:pPr>
      <w:r>
        <w:rPr>
          <w:rFonts w:hint="eastAsia" w:eastAsia="宋体"/>
          <w:kern w:val="2"/>
          <w:lang w:eastAsia="zh-CN"/>
        </w:rPr>
        <w:t>（7）联合体中标后，联合体各方应当共同与采购人签订合同，就中标项目向采购人承担连带责任；</w:t>
      </w:r>
    </w:p>
    <w:p w14:paraId="5CB963AC">
      <w:pPr>
        <w:widowControl/>
        <w:wordWrap w:val="0"/>
        <w:autoSpaceDE w:val="0"/>
        <w:autoSpaceDN w:val="0"/>
        <w:spacing w:line="360" w:lineRule="auto"/>
        <w:ind w:right="808" w:firstLine="480" w:firstLineChars="200"/>
        <w:jc w:val="both"/>
        <w:rPr>
          <w:rFonts w:eastAsia="宋体"/>
          <w:kern w:val="2"/>
          <w:lang w:eastAsia="zh-CN"/>
        </w:rPr>
      </w:pPr>
      <w:r>
        <w:rPr>
          <w:rFonts w:hint="eastAsia" w:eastAsia="宋体"/>
          <w:kern w:val="2"/>
          <w:lang w:eastAsia="zh-CN"/>
        </w:rPr>
        <w:t>（8）以联合体形式参加政府采购活动的，联合体各方不得再单独参加或者与其他供应商另外组成联合体参加同一合同项下的政府采购活动，出现上述情况者，其投标和与此有关联合体、总包单位的投标将被拒绝；</w:t>
      </w:r>
    </w:p>
    <w:p w14:paraId="4FD93D4C">
      <w:pPr>
        <w:widowControl/>
        <w:wordWrap w:val="0"/>
        <w:autoSpaceDE w:val="0"/>
        <w:autoSpaceDN w:val="0"/>
        <w:spacing w:line="360" w:lineRule="auto"/>
        <w:ind w:right="808" w:firstLine="480" w:firstLineChars="200"/>
        <w:jc w:val="both"/>
        <w:rPr>
          <w:rFonts w:eastAsia="宋体"/>
          <w:kern w:val="2"/>
          <w:lang w:eastAsia="zh-CN"/>
        </w:rPr>
      </w:pPr>
      <w:r>
        <w:rPr>
          <w:rFonts w:hint="eastAsia" w:eastAsia="宋体"/>
          <w:kern w:val="2"/>
          <w:lang w:eastAsia="zh-CN"/>
        </w:rPr>
        <w:t>（9）本通用条款中“投标人”一词亦指联合体各方，专用条款另有规定或说明的除外。</w:t>
      </w:r>
    </w:p>
    <w:p w14:paraId="55005F5E">
      <w:pPr>
        <w:widowControl/>
        <w:wordWrap w:val="0"/>
        <w:autoSpaceDE w:val="0"/>
        <w:autoSpaceDN w:val="0"/>
        <w:spacing w:line="360" w:lineRule="auto"/>
        <w:ind w:right="808" w:firstLine="482" w:firstLineChars="200"/>
        <w:jc w:val="both"/>
        <w:rPr>
          <w:rFonts w:hint="eastAsia" w:eastAsia="宋体"/>
          <w:b/>
          <w:kern w:val="2"/>
          <w:lang w:eastAsia="zh-CN"/>
        </w:rPr>
      </w:pPr>
      <w:r>
        <w:rPr>
          <w:rFonts w:hint="eastAsia" w:eastAsia="宋体"/>
          <w:b/>
          <w:kern w:val="2"/>
          <w:lang w:eastAsia="zh-CN"/>
        </w:rPr>
        <w:t>6．政策导向</w:t>
      </w:r>
    </w:p>
    <w:p w14:paraId="3D3A721B">
      <w:pPr>
        <w:widowControl/>
        <w:wordWrap w:val="0"/>
        <w:autoSpaceDE w:val="0"/>
        <w:autoSpaceDN w:val="0"/>
        <w:spacing w:line="360" w:lineRule="auto"/>
        <w:ind w:right="808" w:firstLine="480" w:firstLineChars="200"/>
        <w:jc w:val="both"/>
        <w:rPr>
          <w:rFonts w:eastAsia="宋体"/>
          <w:kern w:val="2"/>
          <w:lang w:eastAsia="zh-CN"/>
        </w:rPr>
      </w:pPr>
      <w:r>
        <w:rPr>
          <w:rFonts w:hint="eastAsia" w:eastAsia="宋体"/>
          <w:kern w:val="2"/>
          <w:lang w:eastAsia="zh-CN"/>
        </w:rPr>
        <w:t>6.1政府采购支持本国产品、支持中小企业、监狱企业和残疾人福利性单位发展，支持乡村产业振兴，支持创新、节能减排、绿色环保等。</w:t>
      </w:r>
    </w:p>
    <w:p w14:paraId="0D14C5C5">
      <w:pPr>
        <w:widowControl/>
        <w:wordWrap w:val="0"/>
        <w:autoSpaceDE w:val="0"/>
        <w:autoSpaceDN w:val="0"/>
        <w:spacing w:line="360" w:lineRule="auto"/>
        <w:ind w:right="808" w:firstLine="480" w:firstLineChars="200"/>
        <w:jc w:val="both"/>
        <w:rPr>
          <w:rFonts w:eastAsia="宋体"/>
          <w:kern w:val="2"/>
          <w:lang w:eastAsia="zh-CN"/>
        </w:rPr>
      </w:pPr>
      <w:r>
        <w:rPr>
          <w:rFonts w:hint="eastAsia" w:eastAsia="宋体"/>
          <w:kern w:val="2"/>
          <w:lang w:eastAsia="zh-CN"/>
        </w:rPr>
        <w:t>6.2本项目落实深圳市政府采购供应商诚信管理政策要求。</w:t>
      </w:r>
    </w:p>
    <w:p w14:paraId="5121842A">
      <w:pPr>
        <w:widowControl/>
        <w:wordWrap w:val="0"/>
        <w:autoSpaceDE w:val="0"/>
        <w:autoSpaceDN w:val="0"/>
        <w:spacing w:line="360" w:lineRule="auto"/>
        <w:ind w:right="808" w:firstLine="480" w:firstLineChars="200"/>
        <w:jc w:val="both"/>
        <w:rPr>
          <w:rFonts w:eastAsia="宋体"/>
          <w:kern w:val="2"/>
          <w:lang w:eastAsia="zh-CN"/>
        </w:rPr>
      </w:pPr>
      <w:r>
        <w:rPr>
          <w:rFonts w:hint="eastAsia" w:eastAsia="宋体"/>
          <w:kern w:val="2"/>
          <w:lang w:eastAsia="zh-CN"/>
        </w:rPr>
        <w:t>6.3本项目支持投标人性别平等的相关政策。</w:t>
      </w:r>
    </w:p>
    <w:p w14:paraId="5ED6DDD4">
      <w:pPr>
        <w:widowControl/>
        <w:wordWrap w:val="0"/>
        <w:autoSpaceDE w:val="0"/>
        <w:autoSpaceDN w:val="0"/>
        <w:spacing w:line="360" w:lineRule="auto"/>
        <w:ind w:right="808" w:firstLine="482" w:firstLineChars="200"/>
        <w:jc w:val="both"/>
        <w:rPr>
          <w:rFonts w:hint="eastAsia" w:eastAsia="宋体"/>
          <w:b/>
          <w:kern w:val="2"/>
          <w:lang w:eastAsia="zh-CN"/>
        </w:rPr>
      </w:pPr>
      <w:r>
        <w:rPr>
          <w:rFonts w:hint="eastAsia" w:eastAsia="宋体"/>
          <w:b/>
          <w:kern w:val="2"/>
          <w:lang w:eastAsia="zh-CN"/>
        </w:rPr>
        <w:t>7.本项目若涉及采购货物，则合格的货物及相应服务应满足以下要求：</w:t>
      </w:r>
    </w:p>
    <w:p w14:paraId="7E922778">
      <w:pPr>
        <w:widowControl/>
        <w:wordWrap w:val="0"/>
        <w:autoSpaceDE w:val="0"/>
        <w:autoSpaceDN w:val="0"/>
        <w:spacing w:line="360" w:lineRule="auto"/>
        <w:ind w:right="808" w:firstLine="480" w:firstLineChars="200"/>
        <w:jc w:val="both"/>
        <w:rPr>
          <w:rFonts w:eastAsia="宋体"/>
          <w:kern w:val="2"/>
          <w:lang w:eastAsia="zh-CN"/>
        </w:rPr>
      </w:pPr>
      <w:r>
        <w:rPr>
          <w:rFonts w:hint="eastAsia" w:eastAsia="宋体"/>
          <w:kern w:val="2"/>
          <w:lang w:eastAsia="zh-CN"/>
        </w:rPr>
        <w:t>7.1必须是全新、未使用过的原装合格正品（包括零部件），如安装或配置了软件的，须为正版软件。</w:t>
      </w:r>
    </w:p>
    <w:p w14:paraId="075B8C7C">
      <w:pPr>
        <w:widowControl/>
        <w:wordWrap w:val="0"/>
        <w:autoSpaceDE w:val="0"/>
        <w:autoSpaceDN w:val="0"/>
        <w:spacing w:line="360" w:lineRule="auto"/>
        <w:ind w:right="808" w:firstLine="480" w:firstLineChars="200"/>
        <w:jc w:val="both"/>
        <w:rPr>
          <w:rFonts w:eastAsia="宋体"/>
          <w:kern w:val="2"/>
          <w:lang w:eastAsia="zh-CN"/>
        </w:rPr>
      </w:pPr>
      <w:r>
        <w:rPr>
          <w:rFonts w:hint="eastAsia" w:eastAsia="宋体"/>
          <w:kern w:val="2"/>
          <w:lang w:eastAsia="zh-CN"/>
        </w:rPr>
        <w:t>7.2国产的货物及其有关服务必须符合中华人民共和国的设计、制造生产标准及行业标准。招标公告有其他要求的，亦应符合其要求。</w:t>
      </w:r>
    </w:p>
    <w:p w14:paraId="30E27AA9">
      <w:pPr>
        <w:widowControl/>
        <w:wordWrap w:val="0"/>
        <w:autoSpaceDE w:val="0"/>
        <w:autoSpaceDN w:val="0"/>
        <w:spacing w:line="360" w:lineRule="auto"/>
        <w:ind w:right="808" w:firstLine="480" w:firstLineChars="200"/>
        <w:jc w:val="both"/>
        <w:rPr>
          <w:rFonts w:eastAsia="宋体"/>
          <w:kern w:val="2"/>
          <w:lang w:eastAsia="zh-CN"/>
        </w:rPr>
      </w:pPr>
      <w:r>
        <w:rPr>
          <w:rFonts w:hint="eastAsia" w:eastAsia="宋体"/>
          <w:kern w:val="2"/>
          <w:lang w:eastAsia="zh-CN"/>
        </w:rPr>
        <w:t>7.3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14:paraId="7B4D4B5B">
      <w:pPr>
        <w:widowControl/>
        <w:wordWrap w:val="0"/>
        <w:autoSpaceDE w:val="0"/>
        <w:autoSpaceDN w:val="0"/>
        <w:spacing w:line="360" w:lineRule="auto"/>
        <w:ind w:right="808" w:firstLine="480" w:firstLineChars="200"/>
        <w:jc w:val="both"/>
        <w:rPr>
          <w:rFonts w:eastAsia="宋体"/>
          <w:kern w:val="2"/>
          <w:lang w:eastAsia="zh-CN"/>
        </w:rPr>
      </w:pPr>
      <w:r>
        <w:rPr>
          <w:rFonts w:hint="eastAsia" w:eastAsia="宋体"/>
          <w:kern w:val="2"/>
          <w:lang w:eastAsia="zh-CN"/>
        </w:rPr>
        <w:t>7.4投标人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p>
    <w:p w14:paraId="53ABF1C1">
      <w:pPr>
        <w:widowControl/>
        <w:wordWrap w:val="0"/>
        <w:autoSpaceDE w:val="0"/>
        <w:autoSpaceDN w:val="0"/>
        <w:spacing w:line="360" w:lineRule="auto"/>
        <w:ind w:right="808" w:firstLine="480" w:firstLineChars="200"/>
        <w:jc w:val="both"/>
        <w:rPr>
          <w:rFonts w:eastAsia="宋体"/>
          <w:kern w:val="2"/>
          <w:lang w:eastAsia="zh-CN"/>
        </w:rPr>
      </w:pPr>
      <w:r>
        <w:rPr>
          <w:rFonts w:hint="eastAsia" w:eastAsia="宋体"/>
          <w:kern w:val="2"/>
          <w:lang w:eastAsia="zh-CN"/>
        </w:rPr>
        <w:t>7.5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2C991BCD">
      <w:pPr>
        <w:widowControl/>
        <w:wordWrap w:val="0"/>
        <w:autoSpaceDE w:val="0"/>
        <w:autoSpaceDN w:val="0"/>
        <w:spacing w:line="360" w:lineRule="auto"/>
        <w:ind w:right="808" w:firstLine="480" w:firstLineChars="200"/>
        <w:jc w:val="both"/>
        <w:rPr>
          <w:rFonts w:eastAsia="宋体"/>
          <w:kern w:val="2"/>
          <w:lang w:eastAsia="zh-CN"/>
        </w:rPr>
      </w:pPr>
      <w:r>
        <w:rPr>
          <w:rFonts w:hint="eastAsia" w:eastAsia="宋体"/>
          <w:kern w:val="2"/>
          <w:lang w:eastAsia="zh-CN"/>
        </w:rPr>
        <w:t>7.6工期要求：投标人在投标时对其所投项目应提交交货进度、交货计划等，在合同规定的时间内完成项目实施工作。</w:t>
      </w:r>
    </w:p>
    <w:p w14:paraId="3135C09B">
      <w:pPr>
        <w:widowControl/>
        <w:wordWrap w:val="0"/>
        <w:autoSpaceDE w:val="0"/>
        <w:autoSpaceDN w:val="0"/>
        <w:spacing w:line="360" w:lineRule="auto"/>
        <w:ind w:right="808" w:firstLine="480" w:firstLineChars="200"/>
        <w:jc w:val="both"/>
        <w:rPr>
          <w:rFonts w:eastAsia="宋体"/>
          <w:kern w:val="2"/>
          <w:lang w:eastAsia="zh-CN"/>
        </w:rPr>
      </w:pPr>
      <w:r>
        <w:rPr>
          <w:rFonts w:hint="eastAsia" w:eastAsia="宋体"/>
          <w:kern w:val="2"/>
          <w:lang w:eastAsia="zh-CN"/>
        </w:rPr>
        <w:t>7.7投标人必须承担的设备运输、安装调试、验收检测和提供设备操作说明书、图纸等其他相关及类似的义务。</w:t>
      </w:r>
    </w:p>
    <w:p w14:paraId="70776FF5">
      <w:pPr>
        <w:widowControl/>
        <w:wordWrap w:val="0"/>
        <w:autoSpaceDE w:val="0"/>
        <w:autoSpaceDN w:val="0"/>
        <w:spacing w:line="360" w:lineRule="auto"/>
        <w:ind w:right="808" w:firstLine="482" w:firstLineChars="200"/>
        <w:jc w:val="both"/>
        <w:rPr>
          <w:rFonts w:hint="eastAsia" w:eastAsia="宋体"/>
          <w:b/>
          <w:kern w:val="2"/>
          <w:lang w:eastAsia="zh-CN"/>
        </w:rPr>
      </w:pPr>
      <w:r>
        <w:rPr>
          <w:rFonts w:hint="eastAsia" w:eastAsia="宋体"/>
          <w:b/>
          <w:kern w:val="2"/>
          <w:lang w:eastAsia="zh-CN"/>
        </w:rPr>
        <w:t>8．投标费用</w:t>
      </w:r>
    </w:p>
    <w:p w14:paraId="3D7B3DCF">
      <w:pPr>
        <w:widowControl/>
        <w:wordWrap w:val="0"/>
        <w:autoSpaceDE w:val="0"/>
        <w:autoSpaceDN w:val="0"/>
        <w:spacing w:line="360" w:lineRule="auto"/>
        <w:ind w:right="808" w:firstLine="480" w:firstLineChars="200"/>
        <w:jc w:val="both"/>
        <w:rPr>
          <w:rFonts w:eastAsia="宋体"/>
          <w:kern w:val="2"/>
          <w:lang w:eastAsia="zh-CN"/>
        </w:rPr>
      </w:pPr>
      <w:r>
        <w:rPr>
          <w:rFonts w:hint="eastAsia" w:eastAsia="宋体"/>
          <w:kern w:val="2"/>
          <w:lang w:eastAsia="zh-CN"/>
        </w:rPr>
        <w:t>不论投标结果如何，投标人应承担其编制投标文件与递交投标文件所涉及的一切费用。</w:t>
      </w:r>
    </w:p>
    <w:p w14:paraId="490B479F">
      <w:pPr>
        <w:widowControl/>
        <w:wordWrap w:val="0"/>
        <w:autoSpaceDE w:val="0"/>
        <w:autoSpaceDN w:val="0"/>
        <w:spacing w:line="360" w:lineRule="auto"/>
        <w:ind w:right="808" w:firstLine="482" w:firstLineChars="200"/>
        <w:jc w:val="both"/>
        <w:rPr>
          <w:rFonts w:hint="eastAsia" w:eastAsia="宋体"/>
          <w:b/>
          <w:kern w:val="2"/>
          <w:lang w:eastAsia="zh-CN"/>
        </w:rPr>
      </w:pPr>
      <w:r>
        <w:rPr>
          <w:rFonts w:hint="eastAsia" w:eastAsia="宋体"/>
          <w:b/>
          <w:kern w:val="2"/>
          <w:lang w:eastAsia="zh-CN"/>
        </w:rPr>
        <w:t>9．踏勘现场</w:t>
      </w:r>
    </w:p>
    <w:p w14:paraId="0EFA59A7">
      <w:pPr>
        <w:widowControl/>
        <w:wordWrap w:val="0"/>
        <w:autoSpaceDE w:val="0"/>
        <w:autoSpaceDN w:val="0"/>
        <w:spacing w:line="360" w:lineRule="auto"/>
        <w:ind w:right="808" w:firstLine="480" w:firstLineChars="200"/>
        <w:jc w:val="both"/>
        <w:rPr>
          <w:rFonts w:eastAsia="宋体"/>
          <w:kern w:val="2"/>
          <w:lang w:eastAsia="zh-CN"/>
        </w:rPr>
      </w:pPr>
      <w:r>
        <w:rPr>
          <w:rFonts w:hint="eastAsia" w:eastAsia="宋体"/>
          <w:kern w:val="2"/>
          <w:lang w:eastAsia="zh-CN"/>
        </w:rPr>
        <w:t>9.1如有需要（详见专用条款），采购人或采购代理机构将组织投标人对项目现场及周围环境进行踏勘，以便投标人获取有关编制投标文件和签署合同所需的资料。踏勘现场所发生的费用由投标人自行承担。投标人应按招标文件所约定的时间、地点踏勘现场。</w:t>
      </w:r>
    </w:p>
    <w:p w14:paraId="1E6AA964">
      <w:pPr>
        <w:widowControl/>
        <w:wordWrap w:val="0"/>
        <w:autoSpaceDE w:val="0"/>
        <w:autoSpaceDN w:val="0"/>
        <w:spacing w:line="360" w:lineRule="auto"/>
        <w:ind w:right="808" w:firstLine="480" w:firstLineChars="200"/>
        <w:jc w:val="both"/>
        <w:rPr>
          <w:rFonts w:eastAsia="宋体"/>
          <w:kern w:val="2"/>
          <w:lang w:eastAsia="zh-CN"/>
        </w:rPr>
      </w:pPr>
      <w:r>
        <w:rPr>
          <w:rFonts w:hint="eastAsia" w:eastAsia="宋体"/>
          <w:kern w:val="2"/>
          <w:lang w:eastAsia="zh-CN"/>
        </w:rPr>
        <w:t>9.2投标人及其人员经过采购人的允许，可以进入采购人的项目现场踏勘。若招标文件要求投标人于统一时间地点踏勘现场的，投标人应当按时前往。</w:t>
      </w:r>
    </w:p>
    <w:p w14:paraId="084B80F9">
      <w:pPr>
        <w:widowControl/>
        <w:wordWrap w:val="0"/>
        <w:autoSpaceDE w:val="0"/>
        <w:autoSpaceDN w:val="0"/>
        <w:spacing w:line="360" w:lineRule="auto"/>
        <w:ind w:right="808" w:firstLine="480" w:firstLineChars="200"/>
        <w:jc w:val="both"/>
        <w:rPr>
          <w:rFonts w:eastAsia="宋体"/>
          <w:kern w:val="2"/>
          <w:lang w:eastAsia="zh-CN"/>
        </w:rPr>
      </w:pPr>
      <w:r>
        <w:rPr>
          <w:rFonts w:hint="eastAsia" w:eastAsia="宋体"/>
          <w:kern w:val="2"/>
          <w:lang w:eastAsia="zh-CN"/>
        </w:rPr>
        <w:t>9.3采购人应当通过采购代理机构向投标人提供有关现场的书面资料和数据。</w:t>
      </w:r>
    </w:p>
    <w:p w14:paraId="01E41E9D">
      <w:pPr>
        <w:widowControl/>
        <w:wordWrap w:val="0"/>
        <w:autoSpaceDE w:val="0"/>
        <w:autoSpaceDN w:val="0"/>
        <w:spacing w:line="360" w:lineRule="auto"/>
        <w:ind w:right="808" w:firstLine="480" w:firstLineChars="200"/>
        <w:jc w:val="both"/>
        <w:rPr>
          <w:rFonts w:eastAsia="宋体"/>
          <w:kern w:val="2"/>
          <w:lang w:eastAsia="zh-CN"/>
        </w:rPr>
      </w:pPr>
      <w:r>
        <w:rPr>
          <w:rFonts w:hint="eastAsia" w:eastAsia="宋体"/>
          <w:kern w:val="2"/>
          <w:lang w:eastAsia="zh-CN"/>
        </w:rPr>
        <w:t>9.4任何人或任何组织在踏勘现场时向投标人提供的任何书面资料或口头承诺，未经采购代理机构在网上发布或书面通知，均作无效处理。</w:t>
      </w:r>
    </w:p>
    <w:p w14:paraId="70E71102">
      <w:pPr>
        <w:widowControl/>
        <w:wordWrap w:val="0"/>
        <w:autoSpaceDE w:val="0"/>
        <w:autoSpaceDN w:val="0"/>
        <w:spacing w:line="360" w:lineRule="auto"/>
        <w:ind w:right="808" w:firstLine="480" w:firstLineChars="200"/>
        <w:jc w:val="both"/>
        <w:rPr>
          <w:rFonts w:eastAsia="宋体"/>
          <w:kern w:val="2"/>
          <w:lang w:eastAsia="zh-CN"/>
        </w:rPr>
      </w:pPr>
      <w:r>
        <w:rPr>
          <w:rFonts w:hint="eastAsia" w:eastAsia="宋体"/>
          <w:kern w:val="2"/>
          <w:lang w:eastAsia="zh-CN"/>
        </w:rPr>
        <w:t>9.5未参与踏勘现场不作为否定投标人资格的理由。</w:t>
      </w:r>
    </w:p>
    <w:p w14:paraId="558BAE16">
      <w:pPr>
        <w:widowControl/>
        <w:wordWrap w:val="0"/>
        <w:autoSpaceDE w:val="0"/>
        <w:autoSpaceDN w:val="0"/>
        <w:spacing w:line="360" w:lineRule="auto"/>
        <w:ind w:right="808" w:firstLine="482" w:firstLineChars="200"/>
        <w:jc w:val="both"/>
        <w:rPr>
          <w:rFonts w:hint="eastAsia" w:eastAsia="宋体"/>
          <w:b/>
          <w:kern w:val="2"/>
          <w:lang w:eastAsia="zh-CN"/>
        </w:rPr>
      </w:pPr>
      <w:r>
        <w:rPr>
          <w:rFonts w:hint="eastAsia" w:eastAsia="宋体"/>
          <w:b/>
          <w:kern w:val="2"/>
          <w:lang w:eastAsia="zh-CN"/>
        </w:rPr>
        <w:t>10．标前会议</w:t>
      </w:r>
    </w:p>
    <w:p w14:paraId="5EEC0879">
      <w:pPr>
        <w:widowControl/>
        <w:wordWrap w:val="0"/>
        <w:autoSpaceDE w:val="0"/>
        <w:autoSpaceDN w:val="0"/>
        <w:spacing w:line="360" w:lineRule="auto"/>
        <w:ind w:right="808" w:firstLine="480" w:firstLineChars="200"/>
        <w:jc w:val="both"/>
        <w:rPr>
          <w:rFonts w:eastAsia="宋体"/>
          <w:kern w:val="2"/>
          <w:lang w:eastAsia="zh-CN"/>
        </w:rPr>
      </w:pPr>
      <w:r>
        <w:rPr>
          <w:rFonts w:hint="eastAsia" w:eastAsia="宋体"/>
          <w:kern w:val="2"/>
          <w:lang w:eastAsia="zh-CN"/>
        </w:rPr>
        <w:t>10.1如采购人或采购代理机构认为有必要组织标前会议，投标人应按照招标文件规定的时间或采购代理机构另行书面通知（包括采购代理机构网站发布方式，如更正公告等）的时间和地点，参与标前会议。</w:t>
      </w:r>
    </w:p>
    <w:p w14:paraId="4C726EC7">
      <w:pPr>
        <w:widowControl/>
        <w:wordWrap w:val="0"/>
        <w:autoSpaceDE w:val="0"/>
        <w:autoSpaceDN w:val="0"/>
        <w:spacing w:line="360" w:lineRule="auto"/>
        <w:ind w:right="808" w:firstLine="480" w:firstLineChars="200"/>
        <w:jc w:val="both"/>
        <w:rPr>
          <w:rFonts w:eastAsia="宋体"/>
          <w:kern w:val="2"/>
          <w:lang w:eastAsia="zh-CN"/>
        </w:rPr>
      </w:pPr>
      <w:r>
        <w:rPr>
          <w:rFonts w:hint="eastAsia" w:eastAsia="宋体"/>
          <w:kern w:val="2"/>
          <w:lang w:eastAsia="zh-CN"/>
        </w:rPr>
        <w:t>10.2任何人或任何组织在标前会议时向投标人提供的任何书面资料或口头承诺，未经采购代理机构在网上发布或书面通知，均作无效处理。</w:t>
      </w:r>
    </w:p>
    <w:p w14:paraId="3CCE56B8">
      <w:pPr>
        <w:widowControl/>
        <w:wordWrap w:val="0"/>
        <w:autoSpaceDE w:val="0"/>
        <w:autoSpaceDN w:val="0"/>
        <w:spacing w:line="360" w:lineRule="auto"/>
        <w:ind w:right="808" w:firstLine="480" w:firstLineChars="200"/>
        <w:jc w:val="both"/>
        <w:rPr>
          <w:rFonts w:eastAsia="宋体"/>
          <w:kern w:val="2"/>
          <w:lang w:eastAsia="zh-CN"/>
        </w:rPr>
      </w:pPr>
      <w:r>
        <w:rPr>
          <w:rFonts w:hint="eastAsia" w:eastAsia="宋体"/>
          <w:kern w:val="2"/>
          <w:lang w:eastAsia="zh-CN"/>
        </w:rPr>
        <w:t>10.3未参与标前会议不作为否定投标人资格的理由。</w:t>
      </w:r>
      <w:r>
        <w:rPr>
          <w:rFonts w:hint="eastAsia" w:eastAsia="宋体"/>
          <w:kern w:val="2"/>
          <w:lang w:eastAsia="zh-CN"/>
        </w:rPr>
        <w:br w:type="page"/>
      </w:r>
    </w:p>
    <w:p w14:paraId="6062F98D">
      <w:pPr>
        <w:keepNext/>
        <w:keepLines/>
        <w:widowControl/>
        <w:wordWrap w:val="0"/>
        <w:autoSpaceDE w:val="0"/>
        <w:autoSpaceDN w:val="0"/>
        <w:spacing w:line="360" w:lineRule="auto"/>
        <w:ind w:right="808" w:firstLine="643" w:firstLineChars="200"/>
        <w:jc w:val="center"/>
        <w:outlineLvl w:val="1"/>
        <w:rPr>
          <w:rFonts w:ascii="Arial" w:hAnsi="Arial" w:eastAsia="宋体"/>
          <w:b/>
          <w:kern w:val="2"/>
          <w:sz w:val="32"/>
          <w:lang w:eastAsia="zh-CN"/>
        </w:rPr>
      </w:pPr>
      <w:bookmarkStart w:id="29" w:name="_Toc696"/>
      <w:r>
        <w:rPr>
          <w:rFonts w:hint="eastAsia" w:ascii="Arial" w:hAnsi="Arial" w:eastAsia="宋体"/>
          <w:b/>
          <w:kern w:val="2"/>
          <w:sz w:val="32"/>
          <w:lang w:eastAsia="zh-CN"/>
        </w:rPr>
        <w:t>第二章</w:t>
      </w:r>
      <w:bookmarkStart w:id="30" w:name="_Toc16272"/>
      <w:bookmarkStart w:id="31" w:name="_Toc4237"/>
      <w:bookmarkStart w:id="32" w:name="_Toc25500"/>
      <w:r>
        <w:rPr>
          <w:rFonts w:hint="eastAsia" w:ascii="Arial" w:hAnsi="Arial" w:eastAsia="宋体"/>
          <w:b/>
          <w:kern w:val="2"/>
          <w:sz w:val="32"/>
          <w:lang w:eastAsia="zh-CN"/>
        </w:rPr>
        <w:t xml:space="preserve">  招标文件</w:t>
      </w:r>
      <w:bookmarkEnd w:id="29"/>
      <w:bookmarkEnd w:id="30"/>
      <w:bookmarkEnd w:id="31"/>
      <w:bookmarkEnd w:id="32"/>
    </w:p>
    <w:p w14:paraId="21310E6C">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1</w:t>
      </w:r>
      <w:r>
        <w:rPr>
          <w:rFonts w:eastAsia="宋体"/>
          <w:kern w:val="2"/>
          <w:sz w:val="21"/>
          <w:lang w:eastAsia="zh-CN"/>
        </w:rPr>
        <w:t>1</w:t>
      </w:r>
      <w:r>
        <w:rPr>
          <w:rFonts w:hint="eastAsia" w:eastAsia="宋体"/>
          <w:kern w:val="2"/>
          <w:sz w:val="21"/>
          <w:lang w:eastAsia="zh-CN"/>
        </w:rPr>
        <w:t>．</w:t>
      </w:r>
      <w:bookmarkStart w:id="33" w:name="_Hlk72399819"/>
      <w:r>
        <w:rPr>
          <w:rFonts w:hint="eastAsia" w:eastAsia="宋体"/>
          <w:kern w:val="2"/>
          <w:sz w:val="21"/>
          <w:lang w:eastAsia="zh-CN"/>
        </w:rPr>
        <w:t>招标文件的编制与组成</w:t>
      </w:r>
    </w:p>
    <w:p w14:paraId="4EE5152D">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1</w:t>
      </w:r>
      <w:r>
        <w:rPr>
          <w:rFonts w:eastAsia="宋体"/>
          <w:kern w:val="2"/>
          <w:sz w:val="21"/>
          <w:lang w:eastAsia="zh-CN"/>
        </w:rPr>
        <w:t>1</w:t>
      </w:r>
      <w:r>
        <w:rPr>
          <w:rFonts w:hint="eastAsia" w:eastAsia="宋体"/>
          <w:kern w:val="2"/>
          <w:sz w:val="21"/>
          <w:lang w:eastAsia="zh-CN"/>
        </w:rPr>
        <w:t>.1招标文件除以下内容外，采购代理机构在招标期间发出的澄清或修改等相关公告或通知内容，均是招标文件的组成部分，对投标人起约束作用；</w:t>
      </w:r>
    </w:p>
    <w:p w14:paraId="54F27395">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招标文件包括下列内容：</w:t>
      </w:r>
    </w:p>
    <w:p w14:paraId="0CC1A23F">
      <w:pPr>
        <w:widowControl w:val="0"/>
        <w:ind w:left="480" w:leftChars="200" w:firstLine="413" w:firstLineChars="196"/>
        <w:jc w:val="both"/>
        <w:rPr>
          <w:rFonts w:ascii="宋体" w:hAnsi="宋体" w:eastAsia="宋体"/>
          <w:b/>
          <w:kern w:val="2"/>
          <w:sz w:val="21"/>
          <w:szCs w:val="21"/>
          <w:lang w:eastAsia="zh-CN"/>
        </w:rPr>
      </w:pPr>
      <w:r>
        <w:rPr>
          <w:rFonts w:hint="eastAsia" w:ascii="宋体" w:hAnsi="宋体" w:eastAsia="宋体" w:cstheme="minorBidi"/>
          <w:b/>
          <w:kern w:val="2"/>
          <w:sz w:val="21"/>
          <w:szCs w:val="21"/>
          <w:lang w:eastAsia="zh-CN"/>
        </w:rPr>
        <w:t>第一册  专用条款</w:t>
      </w:r>
    </w:p>
    <w:p w14:paraId="0B67618D">
      <w:pPr>
        <w:widowControl w:val="0"/>
        <w:ind w:left="1234" w:leftChars="514"/>
        <w:jc w:val="both"/>
        <w:rPr>
          <w:rFonts w:ascii="宋体" w:hAnsi="宋体" w:eastAsia="宋体"/>
          <w:b/>
          <w:kern w:val="2"/>
          <w:sz w:val="21"/>
          <w:szCs w:val="21"/>
          <w:lang w:eastAsia="zh-CN"/>
        </w:rPr>
      </w:pPr>
      <w:r>
        <w:rPr>
          <w:rFonts w:hint="eastAsia" w:ascii="宋体" w:hAnsi="宋体" w:eastAsia="宋体" w:cstheme="minorBidi"/>
          <w:b/>
          <w:kern w:val="2"/>
          <w:sz w:val="21"/>
          <w:szCs w:val="21"/>
          <w:lang w:eastAsia="zh-CN"/>
        </w:rPr>
        <w:t>关键信息</w:t>
      </w:r>
    </w:p>
    <w:p w14:paraId="67466945">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第一章  招标公告</w:t>
      </w:r>
    </w:p>
    <w:p w14:paraId="67012B79">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第二章  对通用条款的补充内容及其他关键信息</w:t>
      </w:r>
    </w:p>
    <w:p w14:paraId="13A6CB25">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第三章  用户需求书</w:t>
      </w:r>
    </w:p>
    <w:p w14:paraId="02A7FCD8">
      <w:pPr>
        <w:widowControl w:val="0"/>
        <w:ind w:left="720" w:leftChars="300" w:firstLine="411" w:firstLineChars="196"/>
        <w:jc w:val="both"/>
        <w:rPr>
          <w:rFonts w:ascii="宋体" w:hAnsi="宋体" w:eastAsia="宋体"/>
          <w:kern w:val="2"/>
          <w:sz w:val="21"/>
          <w:szCs w:val="21"/>
          <w:lang w:eastAsia="zh-CN"/>
        </w:rPr>
      </w:pPr>
      <w:r>
        <w:rPr>
          <w:rFonts w:hint="eastAsia" w:ascii="Calibri" w:hAnsi="Calibri" w:eastAsia="宋体" w:cstheme="minorBidi"/>
          <w:kern w:val="2"/>
          <w:sz w:val="21"/>
          <w:szCs w:val="22"/>
          <w:lang w:eastAsia="zh-CN"/>
        </w:rPr>
        <w:t xml:space="preserve">第四章 </w:t>
      </w:r>
      <w:r>
        <w:rPr>
          <w:rFonts w:ascii="Calibri" w:hAnsi="Calibri" w:eastAsia="宋体" w:cstheme="minorBidi"/>
          <w:kern w:val="2"/>
          <w:sz w:val="21"/>
          <w:szCs w:val="22"/>
          <w:lang w:eastAsia="zh-CN"/>
        </w:rPr>
        <w:t xml:space="preserve"> </w:t>
      </w:r>
      <w:r>
        <w:rPr>
          <w:rFonts w:hint="eastAsia" w:ascii="Calibri" w:hAnsi="Calibri" w:eastAsia="宋体" w:cstheme="minorBidi"/>
          <w:kern w:val="2"/>
          <w:sz w:val="21"/>
          <w:szCs w:val="22"/>
          <w:lang w:eastAsia="zh-CN"/>
        </w:rPr>
        <w:t>投标文件格式及附件</w:t>
      </w:r>
    </w:p>
    <w:p w14:paraId="631E08F6">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第五章  合同条款及格式</w:t>
      </w:r>
    </w:p>
    <w:p w14:paraId="3475E92A">
      <w:pPr>
        <w:widowControl w:val="0"/>
        <w:ind w:left="480" w:leftChars="200" w:firstLine="413" w:firstLineChars="196"/>
        <w:jc w:val="both"/>
        <w:rPr>
          <w:rFonts w:ascii="宋体" w:hAnsi="宋体" w:eastAsia="宋体"/>
          <w:b/>
          <w:kern w:val="2"/>
          <w:sz w:val="21"/>
          <w:szCs w:val="21"/>
          <w:lang w:eastAsia="zh-CN"/>
        </w:rPr>
      </w:pPr>
      <w:r>
        <w:rPr>
          <w:rFonts w:hint="eastAsia" w:ascii="宋体" w:hAnsi="宋体" w:eastAsia="宋体" w:cstheme="minorBidi"/>
          <w:b/>
          <w:kern w:val="2"/>
          <w:sz w:val="21"/>
          <w:szCs w:val="21"/>
          <w:lang w:eastAsia="zh-CN"/>
        </w:rPr>
        <w:t>第二册  通用条款</w:t>
      </w:r>
    </w:p>
    <w:p w14:paraId="2A1F5E9C">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第一章  总则</w:t>
      </w:r>
    </w:p>
    <w:p w14:paraId="456C7BC4">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第二章  招标文件</w:t>
      </w:r>
    </w:p>
    <w:p w14:paraId="633F5039">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第三章  投标文件的编制</w:t>
      </w:r>
    </w:p>
    <w:p w14:paraId="069295D4">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第四章  投标文件的递交</w:t>
      </w:r>
    </w:p>
    <w:p w14:paraId="5E7D3363">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第五章  开标</w:t>
      </w:r>
    </w:p>
    <w:p w14:paraId="5D193A9F">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第六章  评审要求</w:t>
      </w:r>
    </w:p>
    <w:p w14:paraId="4DFE4C51">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第七章  评审程序及评审方法</w:t>
      </w:r>
    </w:p>
    <w:p w14:paraId="27C3E1E5">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第八章  定标及公示</w:t>
      </w:r>
    </w:p>
    <w:p w14:paraId="5BE74026">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第九章  公开采购失败的后续处理</w:t>
      </w:r>
    </w:p>
    <w:p w14:paraId="4D69A75E">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第十章  合同的授予与备案</w:t>
      </w:r>
    </w:p>
    <w:p w14:paraId="60F1C617">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第十一章  质疑处理</w:t>
      </w:r>
    </w:p>
    <w:p w14:paraId="35BBE938">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1</w:t>
      </w:r>
      <w:r>
        <w:rPr>
          <w:rFonts w:eastAsia="宋体"/>
          <w:kern w:val="2"/>
          <w:sz w:val="21"/>
          <w:lang w:eastAsia="zh-CN"/>
        </w:rPr>
        <w:t>1</w:t>
      </w:r>
      <w:r>
        <w:rPr>
          <w:rFonts w:hint="eastAsia" w:eastAsia="宋体"/>
          <w:kern w:val="2"/>
          <w:sz w:val="21"/>
          <w:lang w:eastAsia="zh-CN"/>
        </w:rPr>
        <w:t>.2投标人下载招标文件后，应仔细检查招标文件的所有内容，如有疑问应在答疑截止时间之前向采购代理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14:paraId="79EDE932">
      <w:pPr>
        <w:widowControl/>
        <w:wordWrap w:val="0"/>
        <w:autoSpaceDE w:val="0"/>
        <w:autoSpaceDN w:val="0"/>
        <w:spacing w:line="400" w:lineRule="exact"/>
        <w:ind w:right="808" w:firstLine="420" w:firstLineChars="200"/>
        <w:jc w:val="both"/>
        <w:rPr>
          <w:rFonts w:eastAsia="宋体"/>
          <w:kern w:val="2"/>
          <w:sz w:val="21"/>
          <w:szCs w:val="21"/>
          <w:lang w:eastAsia="zh-CN"/>
        </w:rPr>
      </w:pPr>
      <w:r>
        <w:rPr>
          <w:rFonts w:hint="eastAsia" w:eastAsia="宋体"/>
          <w:kern w:val="2"/>
          <w:sz w:val="21"/>
          <w:szCs w:val="21"/>
          <w:lang w:eastAsia="zh-CN"/>
        </w:rPr>
        <w:t>1</w:t>
      </w:r>
      <w:r>
        <w:rPr>
          <w:rFonts w:eastAsia="宋体"/>
          <w:kern w:val="2"/>
          <w:sz w:val="21"/>
          <w:szCs w:val="21"/>
          <w:lang w:eastAsia="zh-CN"/>
        </w:rPr>
        <w:t>1</w:t>
      </w:r>
      <w:r>
        <w:rPr>
          <w:rFonts w:hint="eastAsia" w:eastAsia="宋体"/>
          <w:kern w:val="2"/>
          <w:sz w:val="21"/>
          <w:szCs w:val="21"/>
          <w:lang w:eastAsia="zh-CN"/>
        </w:rPr>
        <w:t>.3</w:t>
      </w:r>
      <w:r>
        <w:rPr>
          <w:rFonts w:hint="eastAsia" w:eastAsia="宋体"/>
          <w:kern w:val="2"/>
          <w:sz w:val="21"/>
          <w:lang w:eastAsia="zh-CN"/>
        </w:rPr>
        <w:t>任何人或任何组织向投标人提交的任何书面或口头资料，未经采购代理机构在网上发布或书面通知，均作无效处理，不得作为招标文件的组成部分。采购代理机构对投标人由此而做出的推论、理解和结论概不负责。</w:t>
      </w:r>
    </w:p>
    <w:p w14:paraId="57E8E7CD">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1</w:t>
      </w:r>
      <w:r>
        <w:rPr>
          <w:rFonts w:eastAsia="宋体"/>
          <w:kern w:val="2"/>
          <w:sz w:val="21"/>
          <w:lang w:eastAsia="zh-CN"/>
        </w:rPr>
        <w:t>2</w:t>
      </w:r>
      <w:r>
        <w:rPr>
          <w:rFonts w:hint="eastAsia" w:eastAsia="宋体"/>
          <w:kern w:val="2"/>
          <w:sz w:val="21"/>
          <w:lang w:eastAsia="zh-CN"/>
        </w:rPr>
        <w:t>．招标文件的澄清</w:t>
      </w:r>
    </w:p>
    <w:p w14:paraId="67E61D76">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1</w:t>
      </w:r>
      <w:r>
        <w:rPr>
          <w:rFonts w:eastAsia="宋体"/>
          <w:kern w:val="2"/>
          <w:sz w:val="21"/>
          <w:lang w:eastAsia="zh-CN"/>
        </w:rPr>
        <w:t>2</w:t>
      </w:r>
      <w:r>
        <w:rPr>
          <w:rFonts w:hint="eastAsia" w:eastAsia="宋体"/>
          <w:kern w:val="2"/>
          <w:sz w:val="21"/>
          <w:lang w:eastAsia="zh-CN"/>
        </w:rPr>
        <w:t>.1招标文件澄清的目的是澄清、解答投标人在查阅招标文件后或现场踏勘中可能提出的与投标有关的疑问或询问。</w:t>
      </w:r>
    </w:p>
    <w:p w14:paraId="1BAFBF5D">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1</w:t>
      </w:r>
      <w:r>
        <w:rPr>
          <w:rFonts w:eastAsia="宋体"/>
          <w:kern w:val="2"/>
          <w:sz w:val="21"/>
          <w:lang w:eastAsia="zh-CN"/>
        </w:rPr>
        <w:t>2</w:t>
      </w:r>
      <w:r>
        <w:rPr>
          <w:rFonts w:hint="eastAsia" w:eastAsia="宋体"/>
          <w:kern w:val="2"/>
          <w:sz w:val="21"/>
          <w:lang w:eastAsia="zh-CN"/>
        </w:rPr>
        <w:t>.2投标人如对招标文件内容有疑问，应当在招标公告规定的澄清（提问）截止时间前以网上提问的形式通过网上政府采购系统提交采购代理机构。</w:t>
      </w:r>
    </w:p>
    <w:p w14:paraId="0EAC6169">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1</w:t>
      </w:r>
      <w:r>
        <w:rPr>
          <w:rFonts w:eastAsia="宋体"/>
          <w:kern w:val="2"/>
          <w:sz w:val="21"/>
          <w:lang w:eastAsia="zh-CN"/>
        </w:rPr>
        <w:t>2</w:t>
      </w:r>
      <w:r>
        <w:rPr>
          <w:rFonts w:hint="eastAsia" w:eastAsia="宋体"/>
          <w:kern w:val="2"/>
          <w:sz w:val="21"/>
          <w:lang w:eastAsia="zh-CN"/>
        </w:rPr>
        <w:t>.3不论是采购代理机构根据需要主动对招标文件进行必要的澄清或是根据投标人的要求对招标文件做出澄清，采购代理机构都将在投标截止日期前以书面形式（包括采购代理机构网站发布方式）答复或发送给所有投标人。答复内容是招标文件的组成部分，对投标人起约束作用，其有效性按照本通用条款第1</w:t>
      </w:r>
      <w:r>
        <w:rPr>
          <w:rFonts w:eastAsia="宋体"/>
          <w:kern w:val="2"/>
          <w:sz w:val="21"/>
          <w:lang w:eastAsia="zh-CN"/>
        </w:rPr>
        <w:t>3.3</w:t>
      </w:r>
      <w:r>
        <w:rPr>
          <w:rFonts w:hint="eastAsia" w:eastAsia="宋体"/>
          <w:kern w:val="2"/>
          <w:sz w:val="21"/>
          <w:lang w:eastAsia="zh-CN"/>
        </w:rPr>
        <w:t>、1</w:t>
      </w:r>
      <w:r>
        <w:rPr>
          <w:rFonts w:eastAsia="宋体"/>
          <w:kern w:val="2"/>
          <w:sz w:val="21"/>
          <w:lang w:eastAsia="zh-CN"/>
        </w:rPr>
        <w:t>3.4</w:t>
      </w:r>
      <w:r>
        <w:rPr>
          <w:rFonts w:hint="eastAsia" w:eastAsia="宋体"/>
          <w:kern w:val="2"/>
          <w:sz w:val="21"/>
          <w:lang w:eastAsia="zh-CN"/>
        </w:rPr>
        <w:t>款规定执行。</w:t>
      </w:r>
    </w:p>
    <w:p w14:paraId="7DA1453E">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1</w:t>
      </w:r>
      <w:r>
        <w:rPr>
          <w:rFonts w:hint="eastAsia" w:eastAsia="宋体"/>
          <w:kern w:val="2"/>
          <w:sz w:val="21"/>
          <w:lang w:eastAsia="zh-CN"/>
        </w:rPr>
        <w:t>3．招标文件的修改</w:t>
      </w:r>
    </w:p>
    <w:p w14:paraId="52D423FF">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1</w:t>
      </w:r>
      <w:r>
        <w:rPr>
          <w:rFonts w:hint="eastAsia" w:eastAsia="宋体"/>
          <w:kern w:val="2"/>
          <w:sz w:val="21"/>
          <w:lang w:eastAsia="zh-CN"/>
        </w:rPr>
        <w:t>3.1招标文件发出后，在投标截止日期前任何时候，确需要变更招标文件内容的，采购代理机构可主动或在解答投标人提出的澄清问题时对招标文件进行修改。</w:t>
      </w:r>
    </w:p>
    <w:p w14:paraId="09CEDCA7">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1</w:t>
      </w:r>
      <w:r>
        <w:rPr>
          <w:rFonts w:hint="eastAsia" w:eastAsia="宋体"/>
          <w:kern w:val="2"/>
          <w:sz w:val="21"/>
          <w:lang w:eastAsia="zh-CN"/>
        </w:rPr>
        <w:t>3.2招标文件的修改以书面形式（包括采购代理机构网站发布方式，如更正公告等）发送给所有投标人，招标文件的修改内容作为招标文件的组成部分，并具有约束力。</w:t>
      </w:r>
    </w:p>
    <w:p w14:paraId="72E59E26">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1</w:t>
      </w:r>
      <w:r>
        <w:rPr>
          <w:rFonts w:hint="eastAsia" w:eastAsia="宋体"/>
          <w:kern w:val="2"/>
          <w:sz w:val="21"/>
          <w:lang w:eastAsia="zh-CN"/>
        </w:rPr>
        <w:t>3.3招标文件、招标文件澄清答复内容、招标文件修改补充内容均以书面形式（包括采购代理机构网站公开发布方式，如更正公告等）明确的内容为准。当招标文件、修改补充通知、招标文件澄清答复内容相互矛盾时，以最后发出的内容为准。</w:t>
      </w:r>
    </w:p>
    <w:p w14:paraId="3E809631">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1</w:t>
      </w:r>
      <w:r>
        <w:rPr>
          <w:rFonts w:hint="eastAsia" w:eastAsia="宋体"/>
          <w:kern w:val="2"/>
          <w:sz w:val="21"/>
          <w:lang w:eastAsia="zh-CN"/>
        </w:rPr>
        <w:t>3.4采购代理机构保证招标文件澄清答复内容和招标文件修改补充内容在投标截止时间前以书面形式（包括采购代理机构网站发布方式，如更正公告等）发送给所有投标人。为使投标人在编制投标文件时有充分时间对招标文件的修改部分进行研究，采购代理机构可以酌情延长递交投标文件的截止日期。</w:t>
      </w:r>
      <w:bookmarkEnd w:id="33"/>
    </w:p>
    <w:p w14:paraId="6FF9DE5B">
      <w:pPr>
        <w:widowControl/>
        <w:wordWrap w:val="0"/>
        <w:autoSpaceDE w:val="0"/>
        <w:autoSpaceDN w:val="0"/>
        <w:spacing w:line="360" w:lineRule="auto"/>
        <w:ind w:right="808" w:firstLine="482" w:firstLineChars="200"/>
        <w:jc w:val="both"/>
        <w:rPr>
          <w:rFonts w:eastAsia="宋体"/>
          <w:b/>
          <w:kern w:val="2"/>
          <w:lang w:eastAsia="zh-CN"/>
        </w:rPr>
      </w:pPr>
    </w:p>
    <w:p w14:paraId="2C805656">
      <w:pPr>
        <w:keepNext/>
        <w:keepLines/>
        <w:widowControl/>
        <w:wordWrap w:val="0"/>
        <w:autoSpaceDE w:val="0"/>
        <w:autoSpaceDN w:val="0"/>
        <w:spacing w:line="360" w:lineRule="auto"/>
        <w:ind w:right="808" w:firstLine="643" w:firstLineChars="200"/>
        <w:jc w:val="center"/>
        <w:outlineLvl w:val="1"/>
        <w:rPr>
          <w:rFonts w:ascii="Arial" w:hAnsi="Arial" w:eastAsia="宋体"/>
          <w:b/>
          <w:kern w:val="2"/>
          <w:sz w:val="32"/>
          <w:lang w:eastAsia="zh-CN"/>
        </w:rPr>
      </w:pPr>
      <w:bookmarkStart w:id="34" w:name="_Toc13741"/>
      <w:bookmarkStart w:id="35" w:name="_Toc31413"/>
      <w:bookmarkStart w:id="36" w:name="_Toc18814"/>
      <w:bookmarkStart w:id="37" w:name="_Toc17279"/>
      <w:r>
        <w:rPr>
          <w:rFonts w:hint="eastAsia" w:ascii="Arial" w:hAnsi="Arial" w:eastAsia="宋体"/>
          <w:b/>
          <w:kern w:val="2"/>
          <w:sz w:val="32"/>
          <w:lang w:eastAsia="zh-CN"/>
        </w:rPr>
        <w:t>第三章  投标文件的编制</w:t>
      </w:r>
      <w:bookmarkEnd w:id="34"/>
      <w:bookmarkEnd w:id="35"/>
      <w:bookmarkEnd w:id="36"/>
      <w:bookmarkEnd w:id="37"/>
    </w:p>
    <w:p w14:paraId="3B48F279">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14．</w:t>
      </w:r>
      <w:bookmarkStart w:id="38" w:name="_Hlk72400236"/>
      <w:r>
        <w:rPr>
          <w:rFonts w:hint="eastAsia" w:eastAsia="宋体"/>
          <w:kern w:val="2"/>
          <w:sz w:val="21"/>
          <w:lang w:eastAsia="zh-CN"/>
        </w:rPr>
        <w:t>投标文件的语言及度量单位</w:t>
      </w:r>
    </w:p>
    <w:p w14:paraId="05B38E54">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14.1投标人与采购代理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14:paraId="403AA660">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14.2除技术规范另有规定外，投标文件使用的度量单位，均采用中华人民共和国法定计量单位。</w:t>
      </w:r>
    </w:p>
    <w:bookmarkEnd w:id="38"/>
    <w:p w14:paraId="40966CAF">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15．</w:t>
      </w:r>
      <w:bookmarkStart w:id="39" w:name="_Hlk72401567"/>
      <w:r>
        <w:rPr>
          <w:rFonts w:hint="eastAsia" w:eastAsia="宋体"/>
          <w:kern w:val="2"/>
          <w:sz w:val="21"/>
          <w:lang w:eastAsia="zh-CN"/>
        </w:rPr>
        <w:t>投标文件的组成</w:t>
      </w:r>
    </w:p>
    <w:p w14:paraId="2C0E04B5">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具体内容在招标文件专用条款中进行规定。</w:t>
      </w:r>
    </w:p>
    <w:p w14:paraId="73B5019F">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16．投标文件格式</w:t>
      </w:r>
    </w:p>
    <w:p w14:paraId="069E84E9">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投标文件包括本通用条款第</w:t>
      </w:r>
      <w:r>
        <w:rPr>
          <w:rFonts w:eastAsia="宋体"/>
          <w:kern w:val="2"/>
          <w:sz w:val="21"/>
          <w:lang w:eastAsia="zh-CN"/>
        </w:rPr>
        <w:t>15条中规定的内容。如招标文件提供了投标文件格式，则</w:t>
      </w:r>
      <w:r>
        <w:rPr>
          <w:rFonts w:hint="eastAsia" w:eastAsia="宋体"/>
          <w:b/>
          <w:bCs/>
          <w:kern w:val="2"/>
          <w:sz w:val="21"/>
          <w:lang w:eastAsia="zh-CN"/>
        </w:rPr>
        <w:t>投标人提交的投标文件应毫无例外地使用招标文件所提供的相应格式</w:t>
      </w:r>
      <w:r>
        <w:rPr>
          <w:rFonts w:hint="eastAsia" w:eastAsia="宋体"/>
          <w:kern w:val="2"/>
          <w:sz w:val="21"/>
          <w:lang w:eastAsia="zh-CN"/>
        </w:rPr>
        <w:t>（表格均可按同样格式扩展）。</w:t>
      </w:r>
    </w:p>
    <w:p w14:paraId="5FC043B1">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17．投标货币</w:t>
      </w:r>
    </w:p>
    <w:p w14:paraId="5E27E114">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本项目的投标报价应以人民币计。</w:t>
      </w:r>
    </w:p>
    <w:bookmarkEnd w:id="39"/>
    <w:p w14:paraId="55AAC41C">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18．</w:t>
      </w:r>
      <w:bookmarkStart w:id="40" w:name="_Hlk72401735"/>
      <w:r>
        <w:rPr>
          <w:rFonts w:hint="eastAsia" w:eastAsia="宋体"/>
          <w:kern w:val="2"/>
          <w:sz w:val="21"/>
          <w:lang w:eastAsia="zh-CN"/>
        </w:rPr>
        <w:t>证明投标文件投标技术方案的合格性和符合招标文件规定的文件要求</w:t>
      </w:r>
    </w:p>
    <w:p w14:paraId="3C121603">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18</w:t>
      </w:r>
      <w:r>
        <w:rPr>
          <w:rFonts w:eastAsia="宋体"/>
          <w:kern w:val="2"/>
          <w:sz w:val="21"/>
          <w:lang w:eastAsia="zh-CN"/>
        </w:rPr>
        <w:t>.1</w:t>
      </w:r>
      <w:r>
        <w:rPr>
          <w:rFonts w:hint="eastAsia" w:eastAsia="宋体"/>
          <w:kern w:val="2"/>
          <w:sz w:val="21"/>
          <w:lang w:eastAsia="zh-CN"/>
        </w:rPr>
        <w:t>投标人应提交证明文件，证明其投标技术方案项下的货物和服务的合格性符合招标文件规定。该投标技术方案及其证明文件均作为投标文件组成部分。</w:t>
      </w:r>
    </w:p>
    <w:p w14:paraId="3DA8127D">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1</w:t>
      </w:r>
      <w:r>
        <w:rPr>
          <w:rFonts w:hint="eastAsia" w:eastAsia="宋体"/>
          <w:kern w:val="2"/>
          <w:sz w:val="21"/>
          <w:lang w:eastAsia="zh-CN"/>
        </w:rPr>
        <w:t>8</w:t>
      </w:r>
      <w:r>
        <w:rPr>
          <w:rFonts w:eastAsia="宋体"/>
          <w:kern w:val="2"/>
          <w:sz w:val="21"/>
          <w:lang w:eastAsia="zh-CN"/>
        </w:rPr>
        <w:t>.2</w:t>
      </w:r>
      <w:r>
        <w:rPr>
          <w:rFonts w:hint="eastAsia" w:eastAsia="宋体"/>
          <w:kern w:val="2"/>
          <w:sz w:val="21"/>
          <w:lang w:eastAsia="zh-CN"/>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14:paraId="3C5AAEC7">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18.2.1主要技术指标和性能的详细说明。</w:t>
      </w:r>
    </w:p>
    <w:p w14:paraId="29195333">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18.2.</w:t>
      </w:r>
      <w:r>
        <w:rPr>
          <w:rFonts w:eastAsia="宋体"/>
          <w:kern w:val="2"/>
          <w:sz w:val="21"/>
          <w:lang w:eastAsia="zh-CN"/>
        </w:rPr>
        <w:t>2</w:t>
      </w:r>
      <w:r>
        <w:rPr>
          <w:rFonts w:hint="eastAsia" w:eastAsia="宋体"/>
          <w:kern w:val="2"/>
          <w:sz w:val="21"/>
          <w:lang w:eastAsia="zh-CN"/>
        </w:rPr>
        <w:t>投标产品从采购人开始使用至招标文件中规定的周期内正常、连续地使用所必须的备件和专用工具清单，包括备件和专用工具的货源及现行价格。</w:t>
      </w:r>
    </w:p>
    <w:p w14:paraId="3A53E131">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18.2.</w:t>
      </w:r>
      <w:r>
        <w:rPr>
          <w:rFonts w:eastAsia="宋体"/>
          <w:kern w:val="2"/>
          <w:sz w:val="21"/>
          <w:lang w:eastAsia="zh-CN"/>
        </w:rPr>
        <w:t>3</w:t>
      </w:r>
      <w:r>
        <w:rPr>
          <w:rFonts w:hint="eastAsia" w:eastAsia="宋体"/>
          <w:kern w:val="2"/>
          <w:sz w:val="21"/>
          <w:lang w:eastAsia="zh-CN"/>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14:paraId="3F369319">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清晰度要求能够使用电脑阅读、识别和判断；</w:t>
      </w:r>
    </w:p>
    <w:p w14:paraId="158C5765">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18.2.5我国政府机构出具的产品检验和核准证件应为证件正面、背面和附件标注的全部具体内容；产品检验和核准证件的尺寸和清晰度应该能够在电脑上被阅读、识别和判断，提供原件扫描件。</w:t>
      </w:r>
    </w:p>
    <w:p w14:paraId="196716F3">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18.3相关资料不符合18.2款要求的，评审委员会有权认定为投标技术方案不合格响应，其相关分数予以扣减或作投标无效处理。</w:t>
      </w:r>
    </w:p>
    <w:p w14:paraId="2D57BDB6">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1</w:t>
      </w:r>
      <w:r>
        <w:rPr>
          <w:rFonts w:hint="eastAsia" w:eastAsia="宋体"/>
          <w:kern w:val="2"/>
          <w:sz w:val="21"/>
          <w:lang w:eastAsia="zh-CN"/>
        </w:rPr>
        <w:t>8</w:t>
      </w:r>
      <w:r>
        <w:rPr>
          <w:rFonts w:eastAsia="宋体"/>
          <w:kern w:val="2"/>
          <w:sz w:val="21"/>
          <w:lang w:eastAsia="zh-CN"/>
        </w:rPr>
        <w:t>.</w:t>
      </w:r>
      <w:r>
        <w:rPr>
          <w:rFonts w:hint="eastAsia" w:eastAsia="宋体"/>
          <w:kern w:val="2"/>
          <w:sz w:val="21"/>
          <w:lang w:eastAsia="zh-CN"/>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满足要求，由评审委员会来评判。</w:t>
      </w:r>
    </w:p>
    <w:p w14:paraId="0C4061E7">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18.5除非另有规定或说明，投标人对同一项目投标时，不得同时提供两套或两套以上的投标方案。</w:t>
      </w:r>
    </w:p>
    <w:bookmarkEnd w:id="40"/>
    <w:p w14:paraId="0E160264">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19．</w:t>
      </w:r>
      <w:bookmarkStart w:id="41" w:name="_Hlk72402034"/>
      <w:r>
        <w:rPr>
          <w:rFonts w:hint="eastAsia" w:eastAsia="宋体"/>
          <w:kern w:val="2"/>
          <w:sz w:val="21"/>
          <w:lang w:eastAsia="zh-CN"/>
        </w:rPr>
        <w:t>投标文件其他证明文件的要求</w:t>
      </w:r>
    </w:p>
    <w:p w14:paraId="1137BD95">
      <w:pPr>
        <w:widowControl/>
        <w:wordWrap w:val="0"/>
        <w:autoSpaceDE w:val="0"/>
        <w:autoSpaceDN w:val="0"/>
        <w:spacing w:line="400" w:lineRule="exact"/>
        <w:ind w:right="808" w:firstLine="420" w:firstLineChars="200"/>
        <w:jc w:val="both"/>
        <w:rPr>
          <w:rFonts w:eastAsia="宋体"/>
          <w:color w:val="FF0000"/>
          <w:kern w:val="2"/>
          <w:sz w:val="21"/>
          <w:lang w:eastAsia="zh-CN"/>
        </w:rPr>
      </w:pPr>
      <w:r>
        <w:rPr>
          <w:rFonts w:hint="eastAsia" w:eastAsia="宋体"/>
          <w:kern w:val="2"/>
          <w:sz w:val="21"/>
          <w:lang w:eastAsia="zh-CN"/>
        </w:rPr>
        <w:t>19.1</w:t>
      </w:r>
      <w:bookmarkStart w:id="42" w:name="_Hlk71407299"/>
      <w:r>
        <w:rPr>
          <w:rFonts w:hint="eastAsia" w:eastAsia="宋体"/>
          <w:kern w:val="2"/>
          <w:sz w:val="21"/>
          <w:lang w:eastAsia="zh-CN"/>
        </w:rPr>
        <w:t>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若投标人未按要求提供证明材料或提供的是部分证明材料或提供不清晰的扫描件（或照片）的，采购人、代理机构及评审委员会依据各自审查范围，有权认定其投标文件未对招标文件有关需求进行响应，涉及资格性审查或符合性审查的予以投标无效处理，涉及《评标信息》打分项的则该项评分予以0分处理。对供应商投标资料是否异常、是否有效问题进行核查和判定，如认为供应商投标资料有异常或无效的，若涉及资格性审查或符合性审查条款的，则应作投标无效处理；若涉及评分的，则作不得分处理。</w:t>
      </w:r>
    </w:p>
    <w:bookmarkEnd w:id="42"/>
    <w:p w14:paraId="1A711F62">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14:paraId="5359BA5E">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20．投标有效期</w:t>
      </w:r>
    </w:p>
    <w:bookmarkEnd w:id="41"/>
    <w:p w14:paraId="5DA83925">
      <w:pPr>
        <w:widowControl/>
        <w:wordWrap w:val="0"/>
        <w:autoSpaceDE w:val="0"/>
        <w:autoSpaceDN w:val="0"/>
        <w:spacing w:line="400" w:lineRule="exact"/>
        <w:ind w:right="808" w:firstLine="420" w:firstLineChars="200"/>
        <w:jc w:val="both"/>
        <w:rPr>
          <w:rFonts w:eastAsia="宋体"/>
          <w:kern w:val="2"/>
          <w:sz w:val="21"/>
          <w:lang w:eastAsia="zh-CN"/>
        </w:rPr>
      </w:pPr>
      <w:bookmarkStart w:id="43" w:name="_Hlk72402214"/>
      <w:r>
        <w:rPr>
          <w:rFonts w:hint="eastAsia" w:eastAsia="宋体"/>
          <w:kern w:val="2"/>
          <w:sz w:val="21"/>
          <w:lang w:eastAsia="zh-CN"/>
        </w:rPr>
        <w:t>20.1投标有效期为</w:t>
      </w:r>
      <w:r>
        <w:rPr>
          <w:rFonts w:hint="eastAsia" w:ascii="Arial" w:hAnsi="Arial" w:eastAsia="宋体" w:cs="Arial"/>
          <w:kern w:val="2"/>
          <w:sz w:val="21"/>
          <w:lang w:eastAsia="zh-CN"/>
        </w:rPr>
        <w:t>从投标截止之日算起的日历天数。</w:t>
      </w:r>
      <w:r>
        <w:rPr>
          <w:rFonts w:hint="eastAsia" w:eastAsia="宋体"/>
          <w:kern w:val="2"/>
          <w:sz w:val="21"/>
          <w:lang w:eastAsia="zh-CN"/>
        </w:rPr>
        <w:t>在此期限内，所有投标文件均保持有效。</w:t>
      </w:r>
    </w:p>
    <w:p w14:paraId="49EC0C1C">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20.2在特殊情况下，采购代理机构在原定的投标有效期满之前，采购代理机构可以根据需要以书面形式（包括采购代理机构网站公开发布方式）向投标人提出延长投标有效期的要求，对此要求投标人须以书面形式予以答复，投标人可以拒绝采购代理机构此项要求，其投标在原投标有效期满后不再有效。同意延长投标有效期的投标人不能要求也不允许修改其投标文件。</w:t>
      </w:r>
    </w:p>
    <w:p w14:paraId="64B58874">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20</w:t>
      </w:r>
      <w:r>
        <w:rPr>
          <w:rFonts w:eastAsia="宋体"/>
          <w:kern w:val="2"/>
          <w:sz w:val="21"/>
          <w:lang w:eastAsia="zh-CN"/>
        </w:rPr>
        <w:t>.3</w:t>
      </w:r>
      <w:r>
        <w:rPr>
          <w:rFonts w:hint="eastAsia" w:eastAsia="宋体"/>
          <w:kern w:val="2"/>
          <w:sz w:val="21"/>
          <w:lang w:eastAsia="zh-CN"/>
        </w:rPr>
        <w:t>中标供应商的投标文件有效期，截止于完成本招标文件规定的全部项目内容，并通过竣工验收及保修期结束。</w:t>
      </w:r>
    </w:p>
    <w:bookmarkEnd w:id="43"/>
    <w:p w14:paraId="1ED97C5B">
      <w:pPr>
        <w:widowControl/>
        <w:wordWrap w:val="0"/>
        <w:autoSpaceDE w:val="0"/>
        <w:autoSpaceDN w:val="0"/>
        <w:spacing w:line="400" w:lineRule="exact"/>
        <w:ind w:right="808" w:firstLine="420" w:firstLineChars="200"/>
        <w:jc w:val="both"/>
        <w:rPr>
          <w:rFonts w:hint="eastAsia" w:eastAsia="宋体"/>
          <w:kern w:val="2"/>
          <w:sz w:val="21"/>
          <w:lang w:eastAsia="zh-CN"/>
        </w:rPr>
      </w:pPr>
      <w:r>
        <w:rPr>
          <w:rFonts w:hint="eastAsia" w:eastAsia="宋体"/>
          <w:kern w:val="2"/>
          <w:sz w:val="21"/>
          <w:lang w:eastAsia="zh-CN"/>
        </w:rPr>
        <w:t>21．</w:t>
      </w:r>
      <w:bookmarkStart w:id="44" w:name="_Hlk72402325"/>
      <w:r>
        <w:rPr>
          <w:rFonts w:hint="eastAsia" w:eastAsia="宋体"/>
          <w:kern w:val="2"/>
          <w:sz w:val="21"/>
          <w:lang w:eastAsia="zh-CN"/>
        </w:rPr>
        <w:t>关于投标保证金</w:t>
      </w:r>
    </w:p>
    <w:p w14:paraId="7B6FD5AB">
      <w:pPr>
        <w:widowControl/>
        <w:wordWrap w:val="0"/>
        <w:autoSpaceDE w:val="0"/>
        <w:autoSpaceDN w:val="0"/>
        <w:spacing w:line="400" w:lineRule="exact"/>
        <w:ind w:right="808"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21.1</w:t>
      </w:r>
      <w:r>
        <w:rPr>
          <w:rFonts w:hint="eastAsia" w:eastAsia="宋体"/>
          <w:kern w:val="2"/>
          <w:sz w:val="21"/>
          <w:lang w:eastAsia="zh-CN"/>
        </w:rPr>
        <w:t>根据《深圳市财政局关于调整政府采购投标（响应）保证金管理政策的通知》（深财购〔2021〕51号）文的规定，本项目不收取投标保证金。</w:t>
      </w:r>
    </w:p>
    <w:p w14:paraId="7DD3BB12">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22．投标人的替代方案</w:t>
      </w:r>
    </w:p>
    <w:p w14:paraId="196BC023">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22.1投标人所提交的投标文件应完全满足招标文件（包括图纸和技术规范所示的基本技术设计）的要求。除非项目明确允许投标人提交替代方案，否则投标人有关替代方案的条款将初审不通过，作投标无效处理。</w:t>
      </w:r>
    </w:p>
    <w:p w14:paraId="33D55ACC">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22.2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44"/>
    <w:p w14:paraId="4FB5A1C1">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23．</w:t>
      </w:r>
      <w:bookmarkStart w:id="45" w:name="_Hlk72402860"/>
      <w:r>
        <w:rPr>
          <w:rFonts w:eastAsia="宋体"/>
          <w:kern w:val="2"/>
          <w:sz w:val="21"/>
          <w:lang w:eastAsia="zh-CN"/>
        </w:rPr>
        <w:t>投标文件的</w:t>
      </w:r>
      <w:r>
        <w:rPr>
          <w:rFonts w:hint="eastAsia" w:eastAsia="宋体"/>
          <w:kern w:val="2"/>
          <w:sz w:val="21"/>
          <w:lang w:eastAsia="zh-CN"/>
        </w:rPr>
        <w:t>制作</w:t>
      </w:r>
      <w:r>
        <w:rPr>
          <w:rFonts w:eastAsia="宋体"/>
          <w:kern w:val="2"/>
          <w:sz w:val="21"/>
          <w:lang w:eastAsia="zh-CN"/>
        </w:rPr>
        <w:t>要求</w:t>
      </w:r>
    </w:p>
    <w:p w14:paraId="1194B8CE">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23.1投标人应准备所投项目的电子投标文件一份。</w:t>
      </w:r>
    </w:p>
    <w:p w14:paraId="02D88EB4">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23.2投标人在使用《投标书编制软件》编制投标书时须注意：</w:t>
      </w:r>
    </w:p>
    <w:p w14:paraId="035FA8A6">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23.2.1导入《投标书编制软件》的招标文件项目编号、包号应与以此制作的投标文件项目编号、包号一致。例如，不能将甲项目A包的招标书导入《投标书编制软件》，制作乙项目B包的投标书。</w:t>
      </w:r>
    </w:p>
    <w:p w14:paraId="4F290645">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23.2.2不能用非本公司的电子密钥加密本公司的投标文件，或者用其它公司的登录用户上传本公司的投标文件。</w:t>
      </w:r>
    </w:p>
    <w:p w14:paraId="3859113D">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23.2.3要求用《投标书编制软件》编制投标书的包，不能用其它方式编制投标书。编制投标文件时，电脑须连通互联网。</w:t>
      </w:r>
    </w:p>
    <w:p w14:paraId="3CD5D9E3">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23.2.4投标文件不能带病毒。采购代理机构将用专业杀毒软件对投标文件进行病毒检测，如果这两种软件均报告发现病毒，则采购代理机构认为该投标文件带病毒。</w:t>
      </w:r>
    </w:p>
    <w:p w14:paraId="2871DA0A">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23.2.6投标人在编辑投标文件时，在投标文件目录中属于本节点内容的必须在本节点中填写，填写到其他节点或附件，一切后果由供应商自行承担。</w:t>
      </w:r>
    </w:p>
    <w:p w14:paraId="73703D08">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23.2.7投标文件编写完成后，必须用属于投标人的电子密钥或电子营业执照进行加密，否则视同未盖公章，将导致投标文件无效。</w:t>
      </w:r>
    </w:p>
    <w:p w14:paraId="4DD9F694">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23.2.8采购代理机构不接受投标截止时间后递交的纸质、电子、传真等所有形式的投标文件。由于对网上政府采购系统操作不熟悉或自身电脑、网络等原因导致不能在投标截止时间之前上传投标文件，采购代理机构概不负责。建议于开标前一个工作日完成投标文件的制作与上传，如上传确有困难，请及时咨询。</w:t>
      </w:r>
    </w:p>
    <w:p w14:paraId="5019342A">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23.2.9如果开标时出现网络故障、技术故障，影响了政府采购活动，采购代理机构有权采取措施如延期、接受无法从网上上传的投标书等，以保障政府采购活动的公开、公平和公正。</w:t>
      </w:r>
    </w:p>
    <w:p w14:paraId="5E798BCC">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23.3电报、电话、传真形式的投标概不接受。</w:t>
      </w:r>
    </w:p>
    <w:p w14:paraId="75EA86B7">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23.4经投标人电子密钥或电子营业执照加密的投标文件无须盖章或签字，专用条款另有要求的除外。</w:t>
      </w:r>
    </w:p>
    <w:p w14:paraId="7D9B94B9">
      <w:pPr>
        <w:widowControl/>
        <w:wordWrap w:val="0"/>
        <w:autoSpaceDE w:val="0"/>
        <w:autoSpaceDN w:val="0"/>
        <w:spacing w:line="400" w:lineRule="exact"/>
        <w:ind w:right="808" w:firstLine="422" w:firstLineChars="200"/>
        <w:jc w:val="both"/>
        <w:rPr>
          <w:rFonts w:eastAsia="宋体"/>
          <w:kern w:val="2"/>
          <w:sz w:val="21"/>
          <w:lang w:eastAsia="zh-CN"/>
        </w:rPr>
      </w:pPr>
      <w:r>
        <w:rPr>
          <w:rFonts w:hint="eastAsia" w:eastAsia="宋体"/>
          <w:b/>
          <w:kern w:val="2"/>
          <w:sz w:val="21"/>
          <w:lang w:eastAsia="zh-CN"/>
        </w:rPr>
        <w:t>23.5</w:t>
      </w:r>
      <w:r>
        <w:rPr>
          <w:rFonts w:hint="eastAsia" w:eastAsia="宋体"/>
          <w:kern w:val="2"/>
          <w:sz w:val="21"/>
          <w:lang w:eastAsia="zh-CN"/>
        </w:rPr>
        <w:t>各类资格（资质）文件提供扫描件，专用条款另有要求的除外。</w:t>
      </w:r>
      <w:bookmarkEnd w:id="45"/>
    </w:p>
    <w:p w14:paraId="63CB7A4C">
      <w:pPr>
        <w:widowControl/>
        <w:wordWrap w:val="0"/>
        <w:autoSpaceDE w:val="0"/>
        <w:autoSpaceDN w:val="0"/>
        <w:spacing w:line="360" w:lineRule="auto"/>
        <w:ind w:right="808" w:firstLine="482" w:firstLineChars="200"/>
        <w:jc w:val="both"/>
        <w:rPr>
          <w:rFonts w:eastAsia="宋体"/>
          <w:b/>
          <w:kern w:val="2"/>
          <w:lang w:eastAsia="zh-CN"/>
        </w:rPr>
      </w:pPr>
    </w:p>
    <w:p w14:paraId="7C2FE885">
      <w:pPr>
        <w:widowControl/>
        <w:wordWrap w:val="0"/>
        <w:autoSpaceDE w:val="0"/>
        <w:autoSpaceDN w:val="0"/>
        <w:spacing w:line="360" w:lineRule="auto"/>
        <w:ind w:right="808" w:firstLine="482" w:firstLineChars="200"/>
        <w:jc w:val="both"/>
        <w:rPr>
          <w:rFonts w:eastAsia="宋体"/>
          <w:b/>
          <w:kern w:val="2"/>
          <w:lang w:eastAsia="zh-CN"/>
        </w:rPr>
      </w:pPr>
    </w:p>
    <w:p w14:paraId="05BF2D09">
      <w:pPr>
        <w:keepNext/>
        <w:keepLines/>
        <w:widowControl/>
        <w:wordWrap w:val="0"/>
        <w:autoSpaceDE w:val="0"/>
        <w:autoSpaceDN w:val="0"/>
        <w:spacing w:line="360" w:lineRule="auto"/>
        <w:ind w:right="808" w:firstLine="643" w:firstLineChars="200"/>
        <w:jc w:val="center"/>
        <w:outlineLvl w:val="1"/>
        <w:rPr>
          <w:rFonts w:ascii="Arial" w:hAnsi="Arial" w:eastAsia="宋体"/>
          <w:b/>
          <w:kern w:val="2"/>
          <w:sz w:val="32"/>
          <w:lang w:eastAsia="zh-CN"/>
        </w:rPr>
      </w:pPr>
      <w:bookmarkStart w:id="46" w:name="_Toc18062"/>
      <w:bookmarkStart w:id="47" w:name="_Toc21427"/>
      <w:bookmarkStart w:id="48" w:name="_Toc28552"/>
      <w:bookmarkStart w:id="49" w:name="_Toc26761"/>
      <w:r>
        <w:rPr>
          <w:rFonts w:hint="eastAsia" w:ascii="Arial" w:hAnsi="Arial" w:eastAsia="宋体"/>
          <w:b/>
          <w:kern w:val="2"/>
          <w:sz w:val="32"/>
          <w:lang w:eastAsia="zh-CN"/>
        </w:rPr>
        <w:t>第四章</w:t>
      </w:r>
      <w:bookmarkStart w:id="50" w:name="_Toc30105"/>
      <w:r>
        <w:rPr>
          <w:rFonts w:hint="eastAsia" w:ascii="Arial" w:hAnsi="Arial" w:eastAsia="宋体"/>
          <w:b/>
          <w:kern w:val="2"/>
          <w:sz w:val="32"/>
          <w:lang w:eastAsia="zh-CN"/>
        </w:rPr>
        <w:t xml:space="preserve">  投标文件的</w:t>
      </w:r>
      <w:bookmarkEnd w:id="46"/>
      <w:r>
        <w:rPr>
          <w:rFonts w:hint="eastAsia" w:ascii="Arial" w:hAnsi="Arial" w:eastAsia="宋体"/>
          <w:b/>
          <w:kern w:val="2"/>
          <w:sz w:val="32"/>
          <w:lang w:eastAsia="zh-CN"/>
        </w:rPr>
        <w:t>递交</w:t>
      </w:r>
      <w:bookmarkEnd w:id="47"/>
      <w:bookmarkEnd w:id="48"/>
      <w:bookmarkEnd w:id="49"/>
      <w:bookmarkEnd w:id="50"/>
    </w:p>
    <w:p w14:paraId="28654141">
      <w:pPr>
        <w:widowControl/>
        <w:wordWrap w:val="0"/>
        <w:autoSpaceDE w:val="0"/>
        <w:autoSpaceDN w:val="0"/>
        <w:spacing w:line="400" w:lineRule="exact"/>
        <w:ind w:right="808" w:firstLine="420" w:firstLineChars="200"/>
        <w:jc w:val="both"/>
        <w:rPr>
          <w:rFonts w:eastAsia="宋体"/>
          <w:kern w:val="2"/>
          <w:sz w:val="21"/>
          <w:lang w:eastAsia="zh-CN"/>
        </w:rPr>
      </w:pPr>
      <w:bookmarkStart w:id="51" w:name="_Hlk72405459"/>
      <w:r>
        <w:rPr>
          <w:rFonts w:hint="eastAsia" w:eastAsia="宋体"/>
          <w:kern w:val="2"/>
          <w:sz w:val="21"/>
          <w:lang w:eastAsia="zh-CN"/>
        </w:rPr>
        <w:t>24．投标文件的保密</w:t>
      </w:r>
    </w:p>
    <w:p w14:paraId="4C41CFA4">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24.1在投标文件制作完成后，生成后会选择是否加密投标文件，如不加密则直接点击生成文件即可，如需加密请插入CA锁，点击加密后生成文件，需输入CA锁密码即可加密成功。加密后会提示文件生成成功！</w:t>
      </w:r>
      <w:r>
        <w:rPr>
          <w:rFonts w:hint="eastAsia" w:eastAsia="宋体"/>
          <w:kern w:val="2"/>
          <w:sz w:val="21"/>
          <w:highlight w:val="yellow"/>
          <w:lang w:eastAsia="zh-CN"/>
        </w:rPr>
        <w:t>(注意：加密的投标文件开标时须使用加密文件时使用的锁在项目规定时间内解密！)</w:t>
      </w:r>
    </w:p>
    <w:p w14:paraId="2437D455">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24.2若采购项目出现延期情况：</w:t>
      </w:r>
    </w:p>
    <w:p w14:paraId="5C72FB6F">
      <w:pPr>
        <w:widowControl/>
        <w:wordWrap w:val="0"/>
        <w:autoSpaceDE w:val="0"/>
        <w:autoSpaceDN w:val="0"/>
        <w:spacing w:line="400" w:lineRule="exact"/>
        <w:ind w:right="808" w:firstLine="420" w:firstLineChars="200"/>
        <w:jc w:val="both"/>
        <w:rPr>
          <w:rFonts w:ascii="黑体" w:eastAsia="黑体"/>
          <w:kern w:val="2"/>
          <w:lang w:eastAsia="zh-CN"/>
        </w:rPr>
      </w:pPr>
      <w:r>
        <w:rPr>
          <w:rFonts w:hint="eastAsia" w:eastAsia="宋体"/>
          <w:kern w:val="2"/>
          <w:sz w:val="21"/>
          <w:lang w:eastAsia="zh-CN"/>
        </w:rPr>
        <w:t>如果供下载的招标文件有更新，投标人必须重新下载招标文件、重新制作投标文件、重新加密投标文件、重新上传投标文件。</w:t>
      </w:r>
    </w:p>
    <w:p w14:paraId="7C759106">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25．上传投标文件及投标截止日期</w:t>
      </w:r>
    </w:p>
    <w:p w14:paraId="3AF2AEF9">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25</w:t>
      </w:r>
      <w:r>
        <w:rPr>
          <w:rFonts w:eastAsia="宋体"/>
          <w:kern w:val="2"/>
          <w:sz w:val="21"/>
          <w:lang w:eastAsia="zh-CN"/>
        </w:rPr>
        <w:t>.</w:t>
      </w:r>
      <w:r>
        <w:rPr>
          <w:rFonts w:hint="eastAsia" w:eastAsia="宋体"/>
          <w:kern w:val="2"/>
          <w:sz w:val="21"/>
          <w:lang w:eastAsia="zh-CN"/>
        </w:rPr>
        <w:t>1实行网上投标，</w:t>
      </w:r>
      <w:r>
        <w:rPr>
          <w:rFonts w:eastAsia="宋体"/>
          <w:kern w:val="2"/>
          <w:sz w:val="21"/>
          <w:lang w:eastAsia="zh-CN"/>
        </w:rPr>
        <w:t>投标人必须</w:t>
      </w:r>
      <w:r>
        <w:rPr>
          <w:rFonts w:hint="eastAsia" w:eastAsia="宋体"/>
          <w:kern w:val="2"/>
          <w:sz w:val="21"/>
          <w:lang w:eastAsia="zh-CN"/>
        </w:rPr>
        <w:t>在招标</w:t>
      </w:r>
      <w:r>
        <w:rPr>
          <w:rFonts w:eastAsia="宋体"/>
          <w:kern w:val="2"/>
          <w:sz w:val="21"/>
          <w:lang w:eastAsia="zh-CN"/>
        </w:rPr>
        <w:t>文件规定的投标截止时间前</w:t>
      </w:r>
      <w:r>
        <w:rPr>
          <w:rFonts w:hint="eastAsia" w:eastAsia="宋体"/>
          <w:kern w:val="2"/>
          <w:sz w:val="21"/>
          <w:lang w:eastAsia="zh-CN"/>
        </w:rPr>
        <w:t>用电子密钥登录“深圳政府采购自行采购系统（https://trade.szggzy.com/ggzy/center/#/login）”上传投标文件。如上传过程中遇到问题，可拨打采购公告中的技术支持电话。如多次上传均告失败，请在投标截止时间之前携带加密后的电子投标文件送达至</w:t>
      </w:r>
      <w:r>
        <w:rPr>
          <w:rFonts w:hint="eastAsia" w:ascii="宋体" w:hAnsi="宋体" w:eastAsia="宋体" w:cstheme="minorBidi"/>
          <w:b/>
          <w:bCs/>
          <w:kern w:val="2"/>
          <w:sz w:val="21"/>
          <w:szCs w:val="21"/>
          <w:lang w:eastAsia="zh-CN"/>
        </w:rPr>
        <w:t>深圳公共资源交易中心（深圳交易集团有限公司政府采购业务分公司）</w:t>
      </w:r>
      <w:r>
        <w:rPr>
          <w:rFonts w:hint="eastAsia" w:ascii="宋体" w:hAnsi="宋体" w:eastAsia="宋体" w:cstheme="minorBidi"/>
          <w:b/>
          <w:bCs/>
          <w:kern w:val="2"/>
          <w:sz w:val="21"/>
          <w:szCs w:val="22"/>
          <w:lang w:eastAsia="zh-CN"/>
        </w:rPr>
        <w:t>（地址：深圳市南山区沙河西路3185号南山智谷A座（深圳交易集团总部大楼）3楼）</w:t>
      </w:r>
      <w:r>
        <w:rPr>
          <w:rFonts w:hint="eastAsia" w:eastAsia="宋体"/>
          <w:b/>
          <w:bCs/>
          <w:kern w:val="2"/>
          <w:sz w:val="21"/>
          <w:szCs w:val="21"/>
          <w:lang w:eastAsia="zh-CN"/>
        </w:rPr>
        <w:t>协助上传，但上传过程中投标截止时间到达仍无法上传成功的，由投标人自行负责。</w:t>
      </w:r>
    </w:p>
    <w:p w14:paraId="717F03F6">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25.2采购代理机构可以按本通用条款第13条规定，通过修改招标文件自行决定酌情延长投标截止期。在此情况下，采购代理机构、采购人和投标人受投标截止期制约的所有权利和义务均应延长至新的截止期。</w:t>
      </w:r>
    </w:p>
    <w:p w14:paraId="206A4119">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25</w:t>
      </w:r>
      <w:r>
        <w:rPr>
          <w:rFonts w:eastAsia="宋体"/>
          <w:kern w:val="2"/>
          <w:sz w:val="21"/>
          <w:lang w:eastAsia="zh-CN"/>
        </w:rPr>
        <w:t>.</w:t>
      </w:r>
      <w:r>
        <w:rPr>
          <w:rFonts w:hint="eastAsia" w:eastAsia="宋体"/>
          <w:kern w:val="2"/>
          <w:sz w:val="21"/>
          <w:lang w:eastAsia="zh-CN"/>
        </w:rPr>
        <w:t>3投标截止时间以后不得上传投标文件。</w:t>
      </w:r>
    </w:p>
    <w:bookmarkEnd w:id="51"/>
    <w:p w14:paraId="5D8B6F15">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26.样品、现场演示、方案讲解</w:t>
      </w:r>
    </w:p>
    <w:p w14:paraId="0E7DE4C9">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26.1样品、现场演示、方案讲解等事项在招标文件专用条款中进行规定。</w:t>
      </w:r>
    </w:p>
    <w:p w14:paraId="3E3FEF06">
      <w:pPr>
        <w:widowControl/>
        <w:wordWrap w:val="0"/>
        <w:autoSpaceDE w:val="0"/>
        <w:autoSpaceDN w:val="0"/>
        <w:spacing w:line="400" w:lineRule="exact"/>
        <w:ind w:right="808" w:firstLine="420" w:firstLineChars="200"/>
        <w:jc w:val="both"/>
        <w:rPr>
          <w:rFonts w:eastAsia="宋体"/>
          <w:kern w:val="2"/>
          <w:sz w:val="21"/>
          <w:lang w:eastAsia="zh-CN"/>
        </w:rPr>
      </w:pPr>
      <w:bookmarkStart w:id="52" w:name="_Hlk72428346"/>
      <w:r>
        <w:rPr>
          <w:rFonts w:eastAsia="宋体"/>
          <w:kern w:val="2"/>
          <w:sz w:val="21"/>
          <w:lang w:eastAsia="zh-CN"/>
        </w:rPr>
        <w:t>2</w:t>
      </w:r>
      <w:r>
        <w:rPr>
          <w:rFonts w:hint="eastAsia" w:eastAsia="宋体"/>
          <w:kern w:val="2"/>
          <w:sz w:val="21"/>
          <w:lang w:eastAsia="zh-CN"/>
        </w:rPr>
        <w:t>7．</w:t>
      </w:r>
      <w:r>
        <w:rPr>
          <w:rFonts w:eastAsia="宋体"/>
          <w:kern w:val="2"/>
          <w:sz w:val="21"/>
          <w:lang w:eastAsia="zh-CN"/>
        </w:rPr>
        <w:t>投标文件的修改和撤销</w:t>
      </w:r>
    </w:p>
    <w:p w14:paraId="2ACA6B5F">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2</w:t>
      </w:r>
      <w:r>
        <w:rPr>
          <w:rFonts w:hint="eastAsia" w:eastAsia="宋体"/>
          <w:kern w:val="2"/>
          <w:sz w:val="21"/>
          <w:lang w:eastAsia="zh-CN"/>
        </w:rPr>
        <w:t>7</w:t>
      </w:r>
      <w:r>
        <w:rPr>
          <w:rFonts w:eastAsia="宋体"/>
          <w:kern w:val="2"/>
          <w:sz w:val="21"/>
          <w:lang w:eastAsia="zh-CN"/>
        </w:rPr>
        <w:t>.</w:t>
      </w:r>
      <w:r>
        <w:rPr>
          <w:rFonts w:hint="eastAsia" w:eastAsia="宋体"/>
          <w:kern w:val="2"/>
          <w:sz w:val="21"/>
          <w:lang w:eastAsia="zh-CN"/>
        </w:rPr>
        <w:t>1</w:t>
      </w:r>
      <w:r>
        <w:rPr>
          <w:rFonts w:eastAsia="宋体"/>
          <w:kern w:val="2"/>
          <w:sz w:val="21"/>
          <w:lang w:eastAsia="zh-CN"/>
        </w:rPr>
        <w:t>投标方在提交投标文件后可对其投标文件进行修改</w:t>
      </w:r>
      <w:r>
        <w:rPr>
          <w:rFonts w:hint="eastAsia" w:eastAsia="宋体"/>
          <w:kern w:val="2"/>
          <w:sz w:val="21"/>
          <w:lang w:eastAsia="zh-CN"/>
        </w:rPr>
        <w:t>并重新上传投标文件</w:t>
      </w:r>
      <w:r>
        <w:rPr>
          <w:rFonts w:eastAsia="宋体"/>
          <w:kern w:val="2"/>
          <w:sz w:val="21"/>
          <w:lang w:eastAsia="zh-CN"/>
        </w:rPr>
        <w:t>或</w:t>
      </w:r>
      <w:r>
        <w:rPr>
          <w:rFonts w:hint="eastAsia" w:eastAsia="宋体"/>
          <w:kern w:val="2"/>
          <w:sz w:val="21"/>
          <w:lang w:eastAsia="zh-CN"/>
        </w:rPr>
        <w:t>在网上进行</w:t>
      </w:r>
      <w:r>
        <w:rPr>
          <w:rFonts w:eastAsia="宋体"/>
          <w:kern w:val="2"/>
          <w:sz w:val="21"/>
          <w:lang w:eastAsia="zh-CN"/>
        </w:rPr>
        <w:t>撤销</w:t>
      </w:r>
      <w:r>
        <w:rPr>
          <w:rFonts w:hint="eastAsia" w:eastAsia="宋体"/>
          <w:kern w:val="2"/>
          <w:sz w:val="21"/>
          <w:lang w:eastAsia="zh-CN"/>
        </w:rPr>
        <w:t>投标的操作</w:t>
      </w:r>
      <w:r>
        <w:rPr>
          <w:rFonts w:eastAsia="宋体"/>
          <w:kern w:val="2"/>
          <w:sz w:val="21"/>
          <w:lang w:eastAsia="zh-CN"/>
        </w:rPr>
        <w:t>。</w:t>
      </w:r>
    </w:p>
    <w:p w14:paraId="3F138807">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2</w:t>
      </w:r>
      <w:r>
        <w:rPr>
          <w:rFonts w:hint="eastAsia" w:eastAsia="宋体"/>
          <w:kern w:val="2"/>
          <w:sz w:val="21"/>
          <w:lang w:eastAsia="zh-CN"/>
        </w:rPr>
        <w:t>7</w:t>
      </w:r>
      <w:r>
        <w:rPr>
          <w:rFonts w:eastAsia="宋体"/>
          <w:kern w:val="2"/>
          <w:sz w:val="21"/>
          <w:lang w:eastAsia="zh-CN"/>
        </w:rPr>
        <w:t>.</w:t>
      </w:r>
      <w:r>
        <w:rPr>
          <w:rFonts w:hint="eastAsia" w:eastAsia="宋体"/>
          <w:kern w:val="2"/>
          <w:sz w:val="21"/>
          <w:lang w:eastAsia="zh-CN"/>
        </w:rPr>
        <w:t>2</w:t>
      </w:r>
      <w:r>
        <w:rPr>
          <w:rFonts w:eastAsia="宋体"/>
          <w:kern w:val="2"/>
          <w:sz w:val="21"/>
          <w:lang w:eastAsia="zh-CN"/>
        </w:rPr>
        <w:t>投标截止时间以后不得修改投标文件。</w:t>
      </w:r>
    </w:p>
    <w:p w14:paraId="557AEEEC">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2</w:t>
      </w:r>
      <w:r>
        <w:rPr>
          <w:rFonts w:hint="eastAsia" w:eastAsia="宋体"/>
          <w:kern w:val="2"/>
          <w:sz w:val="21"/>
          <w:lang w:eastAsia="zh-CN"/>
        </w:rPr>
        <w:t>7</w:t>
      </w:r>
      <w:r>
        <w:rPr>
          <w:rFonts w:eastAsia="宋体"/>
          <w:kern w:val="2"/>
          <w:sz w:val="21"/>
          <w:lang w:eastAsia="zh-CN"/>
        </w:rPr>
        <w:t>.</w:t>
      </w:r>
      <w:r>
        <w:rPr>
          <w:rFonts w:hint="eastAsia" w:eastAsia="宋体"/>
          <w:kern w:val="2"/>
          <w:sz w:val="21"/>
          <w:lang w:eastAsia="zh-CN"/>
        </w:rPr>
        <w:t>3从投标截止期至投标人在投标文件中确定的投标有效期之间的这段时间内，投标人不得撤回其投标。</w:t>
      </w:r>
    </w:p>
    <w:p w14:paraId="70601112">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27.4采购代理机构不退还投标文件，专用条款另有规定的除外。</w:t>
      </w:r>
    </w:p>
    <w:bookmarkEnd w:id="52"/>
    <w:p w14:paraId="0A99C5A3">
      <w:pPr>
        <w:widowControl/>
        <w:wordWrap w:val="0"/>
        <w:autoSpaceDE w:val="0"/>
        <w:autoSpaceDN w:val="0"/>
        <w:spacing w:line="360" w:lineRule="auto"/>
        <w:ind w:right="808" w:firstLine="482" w:firstLineChars="200"/>
        <w:jc w:val="both"/>
        <w:rPr>
          <w:rFonts w:eastAsia="宋体"/>
          <w:b/>
          <w:kern w:val="2"/>
          <w:lang w:eastAsia="zh-CN"/>
        </w:rPr>
      </w:pPr>
    </w:p>
    <w:p w14:paraId="23B37D7C">
      <w:pPr>
        <w:keepNext/>
        <w:keepLines/>
        <w:widowControl/>
        <w:wordWrap w:val="0"/>
        <w:autoSpaceDE w:val="0"/>
        <w:autoSpaceDN w:val="0"/>
        <w:spacing w:line="360" w:lineRule="auto"/>
        <w:ind w:right="808" w:firstLine="643" w:firstLineChars="200"/>
        <w:jc w:val="center"/>
        <w:outlineLvl w:val="1"/>
        <w:rPr>
          <w:rFonts w:ascii="Arial" w:hAnsi="Arial" w:eastAsia="宋体"/>
          <w:b/>
          <w:kern w:val="2"/>
          <w:sz w:val="32"/>
          <w:lang w:eastAsia="zh-CN"/>
        </w:rPr>
      </w:pPr>
      <w:bookmarkStart w:id="53" w:name="第五章1"/>
      <w:bookmarkEnd w:id="53"/>
      <w:bookmarkStart w:id="54" w:name="_Toc100052391"/>
      <w:bookmarkStart w:id="55" w:name="_Toc1658"/>
      <w:bookmarkStart w:id="56" w:name="_Toc14713"/>
      <w:bookmarkStart w:id="57" w:name="_Toc2041"/>
      <w:bookmarkStart w:id="58" w:name="_Toc73518144"/>
      <w:bookmarkStart w:id="59" w:name="_Toc101074881"/>
      <w:bookmarkStart w:id="60" w:name="_Toc13806"/>
      <w:bookmarkStart w:id="61" w:name="_Toc73517666"/>
      <w:r>
        <w:rPr>
          <w:rFonts w:hint="eastAsia" w:ascii="Arial" w:hAnsi="Arial" w:eastAsia="宋体"/>
          <w:b/>
          <w:kern w:val="2"/>
          <w:sz w:val="32"/>
          <w:lang w:eastAsia="zh-CN"/>
        </w:rPr>
        <w:t>第五章</w:t>
      </w:r>
      <w:bookmarkStart w:id="62" w:name="_Toc4434"/>
      <w:r>
        <w:rPr>
          <w:rFonts w:hint="eastAsia" w:ascii="Arial" w:hAnsi="Arial" w:eastAsia="宋体"/>
          <w:b/>
          <w:kern w:val="2"/>
          <w:sz w:val="32"/>
          <w:lang w:eastAsia="zh-CN"/>
        </w:rPr>
        <w:t xml:space="preserve">  开标</w:t>
      </w:r>
      <w:bookmarkEnd w:id="54"/>
      <w:bookmarkEnd w:id="55"/>
      <w:bookmarkEnd w:id="56"/>
      <w:bookmarkEnd w:id="57"/>
      <w:bookmarkEnd w:id="58"/>
      <w:bookmarkEnd w:id="59"/>
      <w:bookmarkEnd w:id="60"/>
      <w:bookmarkEnd w:id="61"/>
      <w:bookmarkEnd w:id="62"/>
    </w:p>
    <w:p w14:paraId="74C6AFBC">
      <w:pPr>
        <w:widowControl/>
        <w:wordWrap w:val="0"/>
        <w:autoSpaceDE w:val="0"/>
        <w:autoSpaceDN w:val="0"/>
        <w:spacing w:line="400" w:lineRule="exact"/>
        <w:ind w:right="808" w:firstLine="420" w:firstLineChars="200"/>
        <w:jc w:val="both"/>
        <w:rPr>
          <w:rFonts w:eastAsia="宋体"/>
          <w:kern w:val="2"/>
          <w:sz w:val="21"/>
          <w:lang w:eastAsia="zh-CN"/>
        </w:rPr>
      </w:pPr>
      <w:bookmarkStart w:id="63" w:name="_Toc73518146"/>
      <w:bookmarkStart w:id="64" w:name="_Toc73517668"/>
      <w:bookmarkStart w:id="65" w:name="_Toc100052393"/>
      <w:bookmarkStart w:id="66" w:name="_Toc101074882"/>
      <w:r>
        <w:rPr>
          <w:rFonts w:hint="eastAsia" w:eastAsia="宋体"/>
          <w:kern w:val="2"/>
          <w:sz w:val="21"/>
          <w:lang w:eastAsia="zh-CN"/>
        </w:rPr>
        <w:t>28．开标</w:t>
      </w:r>
    </w:p>
    <w:p w14:paraId="00624727">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2</w:t>
      </w:r>
      <w:r>
        <w:rPr>
          <w:rFonts w:hint="eastAsia" w:eastAsia="宋体"/>
          <w:kern w:val="2"/>
          <w:sz w:val="21"/>
          <w:lang w:eastAsia="zh-CN"/>
        </w:rPr>
        <w:t>8</w:t>
      </w:r>
      <w:r>
        <w:rPr>
          <w:rFonts w:eastAsia="宋体"/>
          <w:kern w:val="2"/>
          <w:sz w:val="21"/>
          <w:lang w:eastAsia="zh-CN"/>
        </w:rPr>
        <w:t>.</w:t>
      </w:r>
      <w:r>
        <w:rPr>
          <w:rFonts w:hint="eastAsia" w:eastAsia="宋体"/>
          <w:kern w:val="2"/>
          <w:sz w:val="21"/>
          <w:lang w:eastAsia="zh-CN"/>
        </w:rPr>
        <w:t>1投标人须在开标当日的开标时间至解密截止时间内进行解密，逾期未解密的作无效处理。解密方法：登录“深圳政府采购自行采购系统（https://trade.szggzy.com/ggzy/center/#/login）”，使用本单位制作电子投标文件同一个电子密钥进行在线解密、查询开标情况。</w:t>
      </w:r>
    </w:p>
    <w:p w14:paraId="45BB6135">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28.2采购代理机构将在满足开标条件（①解密时间结束，解密后的投标供应商数量满足开标要求或②解密时间结束前所有投标供应商均完成投标文件解密）后，对投标文件进行开标，并在网上公布开标结果。</w:t>
      </w:r>
    </w:p>
    <w:p w14:paraId="6F5654A9">
      <w:pPr>
        <w:widowControl/>
        <w:wordWrap w:val="0"/>
        <w:autoSpaceDE w:val="0"/>
        <w:autoSpaceDN w:val="0"/>
        <w:spacing w:line="360" w:lineRule="auto"/>
        <w:ind w:right="808" w:firstLine="482" w:firstLineChars="200"/>
        <w:jc w:val="both"/>
        <w:rPr>
          <w:rFonts w:eastAsia="宋体"/>
          <w:b/>
          <w:kern w:val="2"/>
          <w:lang w:eastAsia="zh-CN"/>
        </w:rPr>
      </w:pPr>
    </w:p>
    <w:bookmarkEnd w:id="63"/>
    <w:bookmarkEnd w:id="64"/>
    <w:p w14:paraId="37F9A436">
      <w:pPr>
        <w:keepNext/>
        <w:keepLines/>
        <w:widowControl/>
        <w:wordWrap w:val="0"/>
        <w:autoSpaceDE w:val="0"/>
        <w:autoSpaceDN w:val="0"/>
        <w:spacing w:line="360" w:lineRule="auto"/>
        <w:ind w:right="808" w:firstLine="643" w:firstLineChars="200"/>
        <w:jc w:val="center"/>
        <w:outlineLvl w:val="1"/>
        <w:rPr>
          <w:rFonts w:ascii="Arial" w:hAnsi="Arial" w:eastAsia="宋体"/>
          <w:b/>
          <w:kern w:val="2"/>
          <w:sz w:val="32"/>
          <w:lang w:eastAsia="zh-CN"/>
        </w:rPr>
      </w:pPr>
      <w:bookmarkStart w:id="67" w:name="第六章1"/>
      <w:bookmarkEnd w:id="67"/>
      <w:bookmarkStart w:id="68" w:name="_Toc20179"/>
      <w:bookmarkStart w:id="69" w:name="_Toc7319"/>
      <w:bookmarkStart w:id="70" w:name="_Toc29197"/>
      <w:bookmarkStart w:id="71" w:name="_Toc27869"/>
      <w:r>
        <w:rPr>
          <w:rFonts w:hint="eastAsia" w:ascii="Arial" w:hAnsi="Arial" w:eastAsia="宋体"/>
          <w:b/>
          <w:kern w:val="2"/>
          <w:sz w:val="32"/>
          <w:lang w:eastAsia="zh-CN"/>
        </w:rPr>
        <w:t>第六章</w:t>
      </w:r>
      <w:bookmarkStart w:id="72" w:name="_Toc29225"/>
      <w:r>
        <w:rPr>
          <w:rFonts w:hint="eastAsia" w:ascii="Arial" w:hAnsi="Arial" w:eastAsia="宋体"/>
          <w:b/>
          <w:kern w:val="2"/>
          <w:sz w:val="32"/>
          <w:lang w:eastAsia="zh-CN"/>
        </w:rPr>
        <w:t xml:space="preserve">  评审要求</w:t>
      </w:r>
      <w:bookmarkEnd w:id="65"/>
      <w:bookmarkEnd w:id="66"/>
      <w:bookmarkEnd w:id="68"/>
      <w:bookmarkEnd w:id="69"/>
      <w:bookmarkEnd w:id="70"/>
      <w:bookmarkEnd w:id="71"/>
      <w:bookmarkEnd w:id="72"/>
    </w:p>
    <w:p w14:paraId="59AE632E">
      <w:pPr>
        <w:widowControl/>
        <w:wordWrap w:val="0"/>
        <w:autoSpaceDE w:val="0"/>
        <w:autoSpaceDN w:val="0"/>
        <w:spacing w:line="400" w:lineRule="exact"/>
        <w:ind w:right="808" w:firstLine="420" w:firstLineChars="200"/>
        <w:jc w:val="both"/>
        <w:rPr>
          <w:rFonts w:eastAsia="宋体"/>
          <w:kern w:val="2"/>
          <w:sz w:val="21"/>
          <w:lang w:eastAsia="zh-CN"/>
        </w:rPr>
      </w:pPr>
      <w:bookmarkStart w:id="73" w:name="第七章1"/>
      <w:bookmarkEnd w:id="73"/>
      <w:bookmarkStart w:id="74" w:name="_Toc19125"/>
      <w:bookmarkStart w:id="75" w:name="_Toc1296"/>
      <w:bookmarkStart w:id="76" w:name="_Toc100052397"/>
      <w:bookmarkStart w:id="77" w:name="_Toc101074883"/>
      <w:bookmarkStart w:id="78" w:name="_Toc20125"/>
      <w:r>
        <w:rPr>
          <w:rFonts w:hint="eastAsia" w:eastAsia="宋体"/>
          <w:kern w:val="2"/>
          <w:sz w:val="21"/>
          <w:lang w:eastAsia="zh-CN"/>
        </w:rPr>
        <w:t>29．评审委员会组成</w:t>
      </w:r>
    </w:p>
    <w:p w14:paraId="79F6943A">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29.1网上开标结束后召开评审会议，</w:t>
      </w:r>
      <w:r>
        <w:rPr>
          <w:rFonts w:hint="eastAsia" w:eastAsia="宋体"/>
          <w:kern w:val="2"/>
          <w:sz w:val="21"/>
          <w:szCs w:val="21"/>
          <w:lang w:eastAsia="zh-CN"/>
        </w:rPr>
        <w:t>评审委员会</w:t>
      </w:r>
      <w:r>
        <w:rPr>
          <w:rFonts w:hint="eastAsia" w:eastAsia="宋体"/>
          <w:kern w:val="2"/>
          <w:sz w:val="21"/>
          <w:lang w:eastAsia="zh-CN"/>
        </w:rPr>
        <w:t>由采购代理机构依法组建，负责评审活动。</w:t>
      </w:r>
    </w:p>
    <w:p w14:paraId="7C64610B">
      <w:pPr>
        <w:widowControl/>
        <w:wordWrap w:val="0"/>
        <w:autoSpaceDE w:val="0"/>
        <w:autoSpaceDN w:val="0"/>
        <w:spacing w:line="400" w:lineRule="exact"/>
        <w:ind w:right="808" w:firstLine="420" w:firstLineChars="200"/>
        <w:jc w:val="both"/>
        <w:rPr>
          <w:rFonts w:eastAsia="宋体"/>
          <w:kern w:val="2"/>
          <w:sz w:val="21"/>
          <w:lang w:eastAsia="zh-CN"/>
        </w:rPr>
      </w:pPr>
      <w:bookmarkStart w:id="79" w:name="_Hlk72436580"/>
      <w:r>
        <w:rPr>
          <w:rFonts w:hint="eastAsia" w:eastAsia="宋体"/>
          <w:kern w:val="2"/>
          <w:sz w:val="21"/>
          <w:lang w:eastAsia="zh-CN"/>
        </w:rPr>
        <w:t>评审委员会由采购人代表和评审专家组成，成员人数应当为5人以上单数（部分条件下为7人以上单数），其中评审专家不得少于成员总数的三分之二。</w:t>
      </w:r>
      <w:bookmarkEnd w:id="79"/>
      <w:r>
        <w:rPr>
          <w:rFonts w:hint="eastAsia" w:eastAsia="宋体"/>
          <w:kern w:val="2"/>
          <w:sz w:val="21"/>
          <w:lang w:eastAsia="zh-CN"/>
        </w:rPr>
        <w:t>评定分离项目</w:t>
      </w:r>
      <w:r>
        <w:rPr>
          <w:rFonts w:eastAsia="宋体"/>
          <w:kern w:val="2"/>
          <w:sz w:val="21"/>
          <w:lang w:eastAsia="zh-CN"/>
        </w:rPr>
        <w:t>评审专家</w:t>
      </w:r>
      <w:r>
        <w:rPr>
          <w:rFonts w:hint="eastAsia" w:eastAsia="宋体"/>
          <w:kern w:val="2"/>
          <w:sz w:val="21"/>
          <w:lang w:eastAsia="zh-CN"/>
        </w:rPr>
        <w:t>均</w:t>
      </w:r>
      <w:r>
        <w:rPr>
          <w:rFonts w:eastAsia="宋体"/>
          <w:kern w:val="2"/>
          <w:sz w:val="21"/>
          <w:lang w:eastAsia="zh-CN"/>
        </w:rPr>
        <w:t>由</w:t>
      </w:r>
      <w:r>
        <w:rPr>
          <w:rFonts w:hint="eastAsia" w:eastAsia="宋体"/>
          <w:kern w:val="2"/>
          <w:sz w:val="21"/>
          <w:lang w:eastAsia="zh-CN"/>
        </w:rPr>
        <w:t>评审专家组成。</w:t>
      </w:r>
      <w:r>
        <w:rPr>
          <w:rFonts w:hint="eastAsia" w:eastAsia="宋体"/>
          <w:kern w:val="2"/>
          <w:sz w:val="21"/>
          <w:szCs w:val="21"/>
          <w:lang w:eastAsia="zh-CN"/>
        </w:rPr>
        <w:t>评审专家一般是</w:t>
      </w:r>
      <w:r>
        <w:rPr>
          <w:rFonts w:hint="eastAsia" w:eastAsia="宋体"/>
          <w:kern w:val="2"/>
          <w:sz w:val="21"/>
          <w:lang w:eastAsia="zh-CN"/>
        </w:rPr>
        <w:t>从深圳市政府采购评审专家库中随机抽取。采购人代表须持本单位签发的《评审授权书》参加评审。</w:t>
      </w:r>
    </w:p>
    <w:p w14:paraId="54BAAE74">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29.2评审定标应当遵循公平、公正、科学、择优的原则。</w:t>
      </w:r>
    </w:p>
    <w:p w14:paraId="7EAD4432">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29.3评审活动依法进行，任何单位和个人不得非法干预评标过程和结果。</w:t>
      </w:r>
    </w:p>
    <w:p w14:paraId="65CEB314">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29.4评审过程中不允许违背评标程序或采用招标文件未载明的评标方法或评标因素进行评标。</w:t>
      </w:r>
    </w:p>
    <w:p w14:paraId="7643E752">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29.5开标后，直到签订合同为止，凡属于对投标文件的审查、澄清、评价和比较的有关资料以及中标候选人的推荐情况、与评审有关的其他任何情况均严格保密（信息公开的内容除外）。</w:t>
      </w:r>
    </w:p>
    <w:p w14:paraId="02844764">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30．向评审委员会提供的资料</w:t>
      </w:r>
    </w:p>
    <w:p w14:paraId="3F1E5D3A">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30.1公开发布的招标文件，包括图纸、服务清单、答疑文件等；</w:t>
      </w:r>
    </w:p>
    <w:p w14:paraId="59DCCE15">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30.2其他评标必须的资料。</w:t>
      </w:r>
    </w:p>
    <w:p w14:paraId="4D0126E1">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30.3</w:t>
      </w:r>
      <w:r>
        <w:rPr>
          <w:rFonts w:hint="eastAsia" w:eastAsia="宋体"/>
          <w:kern w:val="2"/>
          <w:sz w:val="21"/>
          <w:szCs w:val="21"/>
          <w:lang w:eastAsia="zh-CN"/>
        </w:rPr>
        <w:t>评审委员会</w:t>
      </w:r>
      <w:r>
        <w:rPr>
          <w:rFonts w:hint="eastAsia" w:eastAsia="宋体"/>
          <w:kern w:val="2"/>
          <w:sz w:val="21"/>
          <w:lang w:eastAsia="zh-CN"/>
        </w:rPr>
        <w:t>应当认真研究招标文件，至少应了解熟悉以下内容：</w:t>
      </w:r>
    </w:p>
    <w:p w14:paraId="5EF64D2F">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（1）招标的目的；</w:t>
      </w:r>
    </w:p>
    <w:p w14:paraId="4F8EA15E">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（2）招标项目需求的范围和性质；</w:t>
      </w:r>
    </w:p>
    <w:p w14:paraId="55DFF629">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（3）招标文件规定的投标人的资格、财政预算限额、商务条款；</w:t>
      </w:r>
    </w:p>
    <w:p w14:paraId="5A74853F">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（4）招标文件规定的评标程序、评标方法和评标因素；</w:t>
      </w:r>
    </w:p>
    <w:p w14:paraId="7843E804">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（5）招标文件所列示的资格性审查表及符合性审查表。</w:t>
      </w:r>
    </w:p>
    <w:p w14:paraId="357D75DC">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31．独立评审</w:t>
      </w:r>
    </w:p>
    <w:p w14:paraId="67E3BA58">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3</w:t>
      </w:r>
      <w:r>
        <w:rPr>
          <w:rFonts w:eastAsia="宋体"/>
          <w:kern w:val="2"/>
          <w:sz w:val="21"/>
          <w:lang w:eastAsia="zh-CN"/>
        </w:rPr>
        <w:t>1</w:t>
      </w:r>
      <w:r>
        <w:rPr>
          <w:rFonts w:hint="eastAsia" w:eastAsia="宋体"/>
          <w:kern w:val="2"/>
          <w:sz w:val="21"/>
          <w:lang w:eastAsia="zh-CN"/>
        </w:rPr>
        <w:t>.1</w:t>
      </w:r>
      <w:r>
        <w:rPr>
          <w:rFonts w:hint="eastAsia" w:eastAsia="宋体"/>
          <w:kern w:val="2"/>
          <w:sz w:val="21"/>
          <w:szCs w:val="21"/>
          <w:lang w:eastAsia="zh-CN"/>
        </w:rPr>
        <w:t>评审委员会</w:t>
      </w:r>
      <w:r>
        <w:rPr>
          <w:rFonts w:hint="eastAsia" w:eastAsia="宋体"/>
          <w:kern w:val="2"/>
          <w:sz w:val="21"/>
          <w:lang w:eastAsia="zh-CN"/>
        </w:rPr>
        <w:t>成员的评标活动应当独立进行，并应遵循投标文件初审、澄清有关问题、比较与评价、确定中标供应商、编写评审报告的工作程序。</w:t>
      </w:r>
    </w:p>
    <w:p w14:paraId="349867C4">
      <w:pPr>
        <w:keepNext/>
        <w:keepLines/>
        <w:widowControl/>
        <w:wordWrap w:val="0"/>
        <w:autoSpaceDE w:val="0"/>
        <w:autoSpaceDN w:val="0"/>
        <w:spacing w:line="360" w:lineRule="auto"/>
        <w:ind w:right="808" w:firstLine="643" w:firstLineChars="200"/>
        <w:jc w:val="center"/>
        <w:outlineLvl w:val="1"/>
        <w:rPr>
          <w:rFonts w:ascii="Arial" w:hAnsi="Arial" w:eastAsia="宋体"/>
          <w:b/>
          <w:kern w:val="2"/>
          <w:sz w:val="32"/>
          <w:lang w:eastAsia="zh-CN"/>
        </w:rPr>
      </w:pPr>
      <w:bookmarkStart w:id="80" w:name="_Toc18761"/>
      <w:r>
        <w:rPr>
          <w:rFonts w:hint="eastAsia" w:ascii="Arial" w:hAnsi="Arial" w:eastAsia="宋体"/>
          <w:b/>
          <w:kern w:val="2"/>
          <w:sz w:val="32"/>
          <w:lang w:eastAsia="zh-CN"/>
        </w:rPr>
        <w:t>第七章</w:t>
      </w:r>
      <w:bookmarkStart w:id="81" w:name="_Toc26636"/>
      <w:r>
        <w:rPr>
          <w:rFonts w:hint="eastAsia" w:ascii="Arial" w:hAnsi="Arial" w:eastAsia="宋体"/>
          <w:b/>
          <w:kern w:val="2"/>
          <w:sz w:val="32"/>
          <w:lang w:eastAsia="zh-CN"/>
        </w:rPr>
        <w:t xml:space="preserve">  评审程序</w:t>
      </w:r>
      <w:bookmarkStart w:id="82" w:name="_Toc73517671"/>
      <w:bookmarkStart w:id="83" w:name="_Toc73518149"/>
      <w:r>
        <w:rPr>
          <w:rFonts w:hint="eastAsia" w:ascii="Arial" w:hAnsi="Arial" w:eastAsia="宋体"/>
          <w:b/>
          <w:kern w:val="2"/>
          <w:sz w:val="32"/>
          <w:lang w:eastAsia="zh-CN"/>
        </w:rPr>
        <w:t>及评审方法</w:t>
      </w:r>
      <w:bookmarkEnd w:id="74"/>
      <w:bookmarkEnd w:id="75"/>
      <w:bookmarkEnd w:id="76"/>
      <w:bookmarkEnd w:id="77"/>
      <w:bookmarkEnd w:id="78"/>
      <w:bookmarkEnd w:id="80"/>
      <w:bookmarkEnd w:id="81"/>
    </w:p>
    <w:bookmarkEnd w:id="82"/>
    <w:bookmarkEnd w:id="83"/>
    <w:p w14:paraId="76B6C562">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32．投标文件初审</w:t>
      </w:r>
    </w:p>
    <w:p w14:paraId="44FECE04">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32.1投标文件初审包括资格性审查和符合性审查。</w:t>
      </w:r>
    </w:p>
    <w:p w14:paraId="268868A5">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资格性审查：依据法律法规和招标文件的规定，对投标文件中的资格证明等进行审查，以确定投标供应商是否具备投标资格。</w:t>
      </w:r>
    </w:p>
    <w:p w14:paraId="609CE0FC">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符合性审查：依据招标文件的规定，对投标文件的有效性、完整性和对招标文件的响应程度进行审查，以确定是否满足符合性审查的要求。</w:t>
      </w:r>
    </w:p>
    <w:p w14:paraId="62A14587">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32.2投标文件初审内容请详见《资格性审查表》和《符合性审查表》部分。投标人若有一条审查不通过则按投标无效处理。</w:t>
      </w:r>
    </w:p>
    <w:p w14:paraId="4ED3ACD7">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32.3投标文件初审中关于供应商家数的计算：</w:t>
      </w:r>
    </w:p>
    <w:p w14:paraId="1E67F773">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14:paraId="71022884">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hint="eastAsia" w:eastAsia="宋体"/>
          <w:kern w:val="2"/>
          <w:sz w:val="21"/>
          <w:szCs w:val="21"/>
          <w:lang w:eastAsia="zh-CN"/>
        </w:rPr>
        <w:t>评审委员会</w:t>
      </w:r>
      <w:r>
        <w:rPr>
          <w:rFonts w:hint="eastAsia" w:eastAsia="宋体"/>
          <w:kern w:val="2"/>
          <w:sz w:val="21"/>
          <w:lang w:eastAsia="zh-CN"/>
        </w:rPr>
        <w:t>按照招标文件规定的方式确定一个投标人获得中标人推荐资格，招标文件未规定的采取随机抽取方式确定，其他同品牌投标人不作为中标候选人。</w:t>
      </w:r>
    </w:p>
    <w:p w14:paraId="0F814FCF">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32.3.3非单一产品采购项目，采购人应当根据采购项目技术构成、产品价格比重等合理确定核心产品，并在招标文件中载明。多家投标人提供的核心产品品牌相同的，按前两款规定处理。</w:t>
      </w:r>
    </w:p>
    <w:p w14:paraId="3FF73ADC">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32.4投标人投标文件作无效处理的情形，具体包括但不限于以下：</w:t>
      </w:r>
    </w:p>
    <w:p w14:paraId="61531EC5">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ascii="宋体" w:hAnsi="宋体" w:eastAsia="宋体"/>
          <w:kern w:val="2"/>
          <w:sz w:val="21"/>
          <w:lang w:eastAsia="zh-CN"/>
        </w:rPr>
        <w:t>32.4.1</w:t>
      </w:r>
      <w:r>
        <w:rPr>
          <w:rFonts w:hint="eastAsia" w:eastAsia="宋体"/>
          <w:kern w:val="2"/>
          <w:sz w:val="21"/>
          <w:lang w:eastAsia="zh-CN"/>
        </w:rPr>
        <w:t>不同投标人的投标文件由同一单位或者同一个人编制，或者由同一个人分阶段参与编制；</w:t>
      </w:r>
    </w:p>
    <w:p w14:paraId="6BF21A27">
      <w:pPr>
        <w:widowControl/>
        <w:wordWrap w:val="0"/>
        <w:autoSpaceDE w:val="0"/>
        <w:autoSpaceDN w:val="0"/>
        <w:spacing w:line="400" w:lineRule="exact"/>
        <w:ind w:right="808" w:firstLine="420" w:firstLineChars="200"/>
        <w:jc w:val="both"/>
        <w:rPr>
          <w:rFonts w:eastAsia="宋体"/>
          <w:kern w:val="2"/>
          <w:sz w:val="21"/>
          <w:lang w:eastAsia="zh-CN"/>
        </w:rPr>
      </w:pPr>
      <w:r>
        <w:rPr>
          <w:rFonts w:ascii="宋体" w:hAnsi="宋体" w:eastAsia="宋体"/>
          <w:kern w:val="2"/>
          <w:sz w:val="21"/>
          <w:lang w:eastAsia="zh-CN"/>
        </w:rPr>
        <w:t>32.4.</w:t>
      </w:r>
      <w:r>
        <w:rPr>
          <w:rFonts w:hint="eastAsia" w:ascii="宋体" w:hAnsi="宋体" w:eastAsia="宋体"/>
          <w:kern w:val="2"/>
          <w:sz w:val="21"/>
          <w:lang w:eastAsia="zh-CN"/>
        </w:rPr>
        <w:t>2</w:t>
      </w:r>
      <w:r>
        <w:rPr>
          <w:rFonts w:hint="eastAsia" w:eastAsia="宋体"/>
          <w:kern w:val="2"/>
          <w:sz w:val="21"/>
          <w:lang w:eastAsia="zh-CN"/>
        </w:rPr>
        <w:t>不同投标人委托同一单位或者个人办理投标事宜；</w:t>
      </w:r>
    </w:p>
    <w:p w14:paraId="2AFD4C27">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32.4.3不同投标人的投标文件载明的项目管理成员或者联系人员为同一人；</w:t>
      </w:r>
    </w:p>
    <w:p w14:paraId="260367FB">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32.4.4不同投标人的投标文件异常一致或者投标报价呈规律性差异；</w:t>
      </w:r>
    </w:p>
    <w:p w14:paraId="5166A3EC">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32.4.5</w:t>
      </w:r>
      <w:r>
        <w:rPr>
          <w:rFonts w:eastAsia="宋体"/>
          <w:kern w:val="2"/>
          <w:sz w:val="21"/>
          <w:lang w:eastAsia="zh-CN"/>
        </w:rPr>
        <w:t>不同投标供应商的投标文件或部分投标文件相互混装</w:t>
      </w:r>
      <w:r>
        <w:rPr>
          <w:rFonts w:hint="eastAsia" w:eastAsia="宋体"/>
          <w:kern w:val="2"/>
          <w:sz w:val="21"/>
          <w:lang w:eastAsia="zh-CN"/>
        </w:rPr>
        <w:t>；</w:t>
      </w:r>
    </w:p>
    <w:p w14:paraId="1DFF84F8">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32.4.6投标供应商之间相互约定给予未中标的供应商利益补偿；</w:t>
      </w:r>
    </w:p>
    <w:p w14:paraId="686A2A7E">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32.4.7不同投标供应商的法定代表人、主要经营负责人、项目投标授权代表人、项目负责人、主要技术人员为同一人、属同一单位或者同一单位缴纳社会保险；</w:t>
      </w:r>
    </w:p>
    <w:p w14:paraId="18F0B1FD">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32.4.8不同投标供应商的投标文件内容存在非正常一致；</w:t>
      </w:r>
    </w:p>
    <w:p w14:paraId="3A4B2ACF">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32.4.9在同一单位工作人员为两家以上（含两家）供应商进行同一项投标活动；</w:t>
      </w:r>
    </w:p>
    <w:p w14:paraId="2E532645">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32.4.10主管部门依照法律、法规认定的其他情形。</w:t>
      </w:r>
    </w:p>
    <w:p w14:paraId="4ADD0E7F">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32.5对不属于《资格性审查表》和《符合性审查表》所列的其他情形，除专用条款另有规定和32.4条款所列情形外，不得作为投标无效的理由。</w:t>
      </w:r>
    </w:p>
    <w:p w14:paraId="50D3361E">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33．澄清有关问题</w:t>
      </w:r>
    </w:p>
    <w:p w14:paraId="711A3ED6">
      <w:pPr>
        <w:widowControl/>
        <w:wordWrap w:val="0"/>
        <w:autoSpaceDE w:val="0"/>
        <w:autoSpaceDN w:val="0"/>
        <w:spacing w:line="400" w:lineRule="exact"/>
        <w:ind w:right="808" w:firstLine="420" w:firstLineChars="200"/>
        <w:jc w:val="both"/>
        <w:rPr>
          <w:rFonts w:eastAsia="宋体"/>
          <w:kern w:val="2"/>
          <w:sz w:val="21"/>
          <w:lang w:eastAsia="zh-CN"/>
        </w:rPr>
      </w:pPr>
      <w:bookmarkStart w:id="84" w:name="_Hlk71407321"/>
      <w:r>
        <w:rPr>
          <w:rFonts w:hint="eastAsia" w:eastAsia="宋体"/>
          <w:kern w:val="2"/>
          <w:sz w:val="21"/>
          <w:lang w:eastAsia="zh-CN"/>
        </w:rPr>
        <w:t>3</w:t>
      </w:r>
      <w:r>
        <w:rPr>
          <w:rFonts w:eastAsia="宋体"/>
          <w:kern w:val="2"/>
          <w:sz w:val="21"/>
          <w:lang w:eastAsia="zh-CN"/>
        </w:rPr>
        <w:t>3.1</w:t>
      </w:r>
      <w:r>
        <w:rPr>
          <w:rFonts w:hint="eastAsia" w:eastAsia="宋体"/>
          <w:kern w:val="2"/>
          <w:sz w:val="21"/>
          <w:lang w:eastAsia="zh-CN"/>
        </w:rPr>
        <w:t>对招标文件中描述有歧义或前后不一致的地方（不含</w:t>
      </w:r>
      <w:r>
        <w:rPr>
          <w:rFonts w:eastAsia="宋体"/>
          <w:kern w:val="2"/>
          <w:sz w:val="21"/>
          <w:szCs w:val="21"/>
          <w:lang w:eastAsia="zh-CN"/>
        </w:rPr>
        <w:t>招标文件存在歧义、重大缺陷导致评</w:t>
      </w:r>
      <w:r>
        <w:rPr>
          <w:rFonts w:hint="eastAsia" w:eastAsia="宋体"/>
          <w:kern w:val="2"/>
          <w:sz w:val="21"/>
          <w:szCs w:val="21"/>
          <w:lang w:eastAsia="zh-CN"/>
        </w:rPr>
        <w:t>审</w:t>
      </w:r>
      <w:r>
        <w:rPr>
          <w:rFonts w:eastAsia="宋体"/>
          <w:kern w:val="2"/>
          <w:sz w:val="21"/>
          <w:szCs w:val="21"/>
          <w:lang w:eastAsia="zh-CN"/>
        </w:rPr>
        <w:t>工作无法进行</w:t>
      </w:r>
      <w:r>
        <w:rPr>
          <w:rFonts w:hint="eastAsia" w:eastAsia="宋体"/>
          <w:kern w:val="2"/>
          <w:sz w:val="21"/>
          <w:szCs w:val="21"/>
          <w:lang w:eastAsia="zh-CN"/>
        </w:rPr>
        <w:t>的情况）</w:t>
      </w:r>
      <w:r>
        <w:rPr>
          <w:rFonts w:hint="eastAsia" w:eastAsia="宋体"/>
          <w:kern w:val="2"/>
          <w:sz w:val="21"/>
          <w:lang w:eastAsia="zh-CN"/>
        </w:rPr>
        <w:t>，评审委员会有权进行评判，但对同一条款的评判应适用于每个投标人。</w:t>
      </w:r>
      <w:bookmarkEnd w:id="84"/>
    </w:p>
    <w:p w14:paraId="6819D8C9">
      <w:pPr>
        <w:widowControl/>
        <w:wordWrap w:val="0"/>
        <w:autoSpaceDE w:val="0"/>
        <w:autoSpaceDN w:val="0"/>
        <w:spacing w:line="400" w:lineRule="exact"/>
        <w:ind w:right="808" w:firstLine="420" w:firstLineChars="200"/>
        <w:jc w:val="both"/>
        <w:rPr>
          <w:rFonts w:ascii="宋体" w:hAnsi="宋体" w:eastAsia="宋体"/>
          <w:kern w:val="2"/>
          <w:sz w:val="21"/>
          <w:lang w:eastAsia="zh-CN"/>
        </w:rPr>
      </w:pPr>
      <w:r>
        <w:rPr>
          <w:rFonts w:hint="eastAsia" w:ascii="宋体" w:hAnsi="宋体" w:eastAsia="宋体"/>
          <w:kern w:val="2"/>
          <w:sz w:val="21"/>
          <w:lang w:eastAsia="zh-CN"/>
        </w:rPr>
        <w:t>3</w:t>
      </w:r>
      <w:r>
        <w:rPr>
          <w:rFonts w:ascii="宋体" w:hAnsi="宋体" w:eastAsia="宋体"/>
          <w:kern w:val="2"/>
          <w:sz w:val="21"/>
          <w:lang w:eastAsia="zh-CN"/>
        </w:rPr>
        <w:t>3.2</w:t>
      </w:r>
      <w:r>
        <w:rPr>
          <w:rFonts w:eastAsia="宋体"/>
          <w:kern w:val="2"/>
          <w:sz w:val="21"/>
          <w:lang w:eastAsia="zh-CN"/>
        </w:rPr>
        <w:t>评</w:t>
      </w:r>
      <w:r>
        <w:rPr>
          <w:rFonts w:hint="eastAsia" w:eastAsia="宋体"/>
          <w:kern w:val="2"/>
          <w:sz w:val="21"/>
          <w:lang w:eastAsia="zh-CN"/>
        </w:rPr>
        <w:t>审</w:t>
      </w:r>
      <w:r>
        <w:rPr>
          <w:rFonts w:eastAsia="宋体"/>
          <w:kern w:val="2"/>
          <w:sz w:val="21"/>
          <w:lang w:eastAsia="zh-CN"/>
        </w:rPr>
        <w:t>委员会发现招标文件存在歧义、重大缺陷导致评</w:t>
      </w:r>
      <w:r>
        <w:rPr>
          <w:rFonts w:hint="eastAsia" w:eastAsia="宋体"/>
          <w:kern w:val="2"/>
          <w:sz w:val="21"/>
          <w:lang w:eastAsia="zh-CN"/>
        </w:rPr>
        <w:t>审</w:t>
      </w:r>
      <w:r>
        <w:rPr>
          <w:rFonts w:eastAsia="宋体"/>
          <w:kern w:val="2"/>
          <w:sz w:val="21"/>
          <w:lang w:eastAsia="zh-CN"/>
        </w:rPr>
        <w:t>工作无法进行，或者招标文件内容违反国家有关强制性规定的，应当停止评</w:t>
      </w:r>
      <w:r>
        <w:rPr>
          <w:rFonts w:hint="eastAsia" w:eastAsia="宋体"/>
          <w:kern w:val="2"/>
          <w:sz w:val="21"/>
          <w:lang w:eastAsia="zh-CN"/>
        </w:rPr>
        <w:t>审</w:t>
      </w:r>
      <w:r>
        <w:rPr>
          <w:rFonts w:eastAsia="宋体"/>
          <w:kern w:val="2"/>
          <w:sz w:val="21"/>
          <w:lang w:eastAsia="zh-CN"/>
        </w:rPr>
        <w:t>工作，与</w:t>
      </w:r>
      <w:r>
        <w:rPr>
          <w:rFonts w:hint="eastAsia" w:eastAsia="宋体"/>
          <w:kern w:val="2"/>
          <w:sz w:val="21"/>
          <w:lang w:eastAsia="zh-CN"/>
        </w:rPr>
        <w:t>采购代理机构</w:t>
      </w:r>
      <w:r>
        <w:rPr>
          <w:rFonts w:eastAsia="宋体"/>
          <w:kern w:val="2"/>
          <w:sz w:val="21"/>
          <w:lang w:eastAsia="zh-CN"/>
        </w:rPr>
        <w:t>沟通并作书面记录。</w:t>
      </w:r>
      <w:r>
        <w:rPr>
          <w:rFonts w:hint="eastAsia" w:eastAsia="宋体"/>
          <w:kern w:val="2"/>
          <w:sz w:val="21"/>
          <w:lang w:eastAsia="zh-CN"/>
        </w:rPr>
        <w:t>经</w:t>
      </w:r>
      <w:r>
        <w:rPr>
          <w:rFonts w:eastAsia="宋体"/>
          <w:kern w:val="2"/>
          <w:sz w:val="21"/>
          <w:lang w:eastAsia="zh-CN"/>
        </w:rPr>
        <w:t>确认后，</w:t>
      </w:r>
      <w:r>
        <w:rPr>
          <w:rFonts w:hint="eastAsia" w:eastAsia="宋体"/>
          <w:kern w:val="2"/>
          <w:sz w:val="21"/>
          <w:lang w:eastAsia="zh-CN"/>
        </w:rPr>
        <w:t>项目</w:t>
      </w:r>
      <w:r>
        <w:rPr>
          <w:rFonts w:eastAsia="宋体"/>
          <w:kern w:val="2"/>
          <w:sz w:val="21"/>
          <w:lang w:eastAsia="zh-CN"/>
        </w:rPr>
        <w:t>应当修改招标文件，重新组织采购活动。</w:t>
      </w:r>
    </w:p>
    <w:p w14:paraId="5367B286">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33.3</w:t>
      </w:r>
      <w:r>
        <w:rPr>
          <w:rFonts w:hint="eastAsia" w:eastAsia="宋体"/>
          <w:kern w:val="2"/>
          <w:sz w:val="21"/>
          <w:lang w:eastAsia="zh-CN"/>
        </w:rPr>
        <w:t>对于投标文件中含义不明确、同类问题表述不一致或者有明显文字和计算错误的内容，评审委员会应当以书面形式要求投标人作出必要的澄清、说明或者补正。</w:t>
      </w:r>
    </w:p>
    <w:p w14:paraId="49EAE315">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14:paraId="3BADE582">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根据本通用条款第34条，凡属于评审委员会在评审中发现的算术错误进行核实的修改不在此列。</w:t>
      </w:r>
    </w:p>
    <w:p w14:paraId="66335A2A">
      <w:pPr>
        <w:widowControl/>
        <w:wordWrap w:val="0"/>
        <w:autoSpaceDE w:val="0"/>
        <w:autoSpaceDN w:val="0"/>
        <w:spacing w:line="400" w:lineRule="exact"/>
        <w:ind w:right="808" w:firstLine="420" w:firstLineChars="200"/>
        <w:jc w:val="both"/>
        <w:rPr>
          <w:rFonts w:eastAsia="宋体"/>
          <w:kern w:val="2"/>
          <w:sz w:val="21"/>
          <w:lang w:eastAsia="zh-CN"/>
        </w:rPr>
      </w:pPr>
      <w:bookmarkStart w:id="85" w:name="_Toc73521669"/>
      <w:bookmarkStart w:id="86" w:name="_Toc100052400"/>
      <w:bookmarkStart w:id="87" w:name="_Toc73518151"/>
      <w:bookmarkStart w:id="88" w:name="_Toc73521581"/>
      <w:bookmarkStart w:id="89" w:name="_Toc73517673"/>
      <w:r>
        <w:rPr>
          <w:rFonts w:hint="eastAsia" w:eastAsia="宋体"/>
          <w:kern w:val="2"/>
          <w:sz w:val="21"/>
          <w:lang w:eastAsia="zh-CN"/>
        </w:rPr>
        <w:t>34．错误的修正</w:t>
      </w:r>
      <w:bookmarkEnd w:id="85"/>
      <w:bookmarkEnd w:id="86"/>
      <w:bookmarkEnd w:id="87"/>
      <w:bookmarkEnd w:id="88"/>
      <w:bookmarkEnd w:id="89"/>
    </w:p>
    <w:p w14:paraId="74569367">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投标文件报价出现前后不一致的，除专用条款另有规定外，按照下列规定修正：</w:t>
      </w:r>
    </w:p>
    <w:p w14:paraId="1555F21A">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34.1投标文件中开标一览表投标报价内容与投标文件中投标报价相应内容不一致的，以开标一览表为准；</w:t>
      </w:r>
    </w:p>
    <w:p w14:paraId="44D1717F">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34.2大写金额和小写金额不一致的，以大写金额为准；</w:t>
      </w:r>
    </w:p>
    <w:p w14:paraId="2D263531">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34.3单价金额小数点或者百分比有明显错位，以开标一览表的总价为准，并修改单价；</w:t>
      </w:r>
    </w:p>
    <w:p w14:paraId="18F915AD">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34.4总价金额与按单价汇总金额不一致的，以单价金额计算结果为准。</w:t>
      </w:r>
    </w:p>
    <w:p w14:paraId="41782A0C">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34.5同时出现两种以上不一致的，按照前款规定的顺序修正。修正后的报价按照本通用条款33条的规定，经投标人确认后产生约束力，投标人不确认的，其投标无效。</w:t>
      </w:r>
    </w:p>
    <w:p w14:paraId="54BC2665">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35．投标文件的比较与评价</w:t>
      </w:r>
    </w:p>
    <w:p w14:paraId="4B6D1999">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14:paraId="26DA9E7E">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评审委员会成员对需要共同认定的事项存在争议的，应当按照少数服从多数的原则作出结论。持不同意见的评审委员会成员应当书面作出说明，否则视为无异议。</w:t>
      </w:r>
    </w:p>
    <w:p w14:paraId="6F24FC16">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36.实地考察或资料查验</w:t>
      </w:r>
    </w:p>
    <w:p w14:paraId="7FA9D248">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36.1在评审过程中，评审委员会有权决定是否对本项目投标人进行实地考察或资料查验（原件）。投标人应随时做好接受实地考察或资料查验的准备。</w:t>
      </w:r>
    </w:p>
    <w:p w14:paraId="4B5AD795">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37．评审方法</w:t>
      </w:r>
    </w:p>
    <w:p w14:paraId="3625732E">
      <w:pPr>
        <w:widowControl/>
        <w:wordWrap w:val="0"/>
        <w:autoSpaceDE w:val="0"/>
        <w:autoSpaceDN w:val="0"/>
        <w:spacing w:line="400" w:lineRule="exact"/>
        <w:ind w:right="808" w:firstLine="420" w:firstLineChars="200"/>
        <w:jc w:val="both"/>
        <w:rPr>
          <w:rFonts w:eastAsia="宋体"/>
          <w:kern w:val="2"/>
          <w:sz w:val="21"/>
          <w:lang w:eastAsia="zh-CN"/>
        </w:rPr>
      </w:pPr>
      <w:bookmarkStart w:id="90" w:name="_Hlk72438142"/>
      <w:r>
        <w:rPr>
          <w:rFonts w:hint="eastAsia" w:eastAsia="宋体"/>
          <w:kern w:val="2"/>
          <w:sz w:val="21"/>
          <w:lang w:eastAsia="zh-CN"/>
        </w:rPr>
        <w:t>37.1.1最低价法</w:t>
      </w:r>
    </w:p>
    <w:p w14:paraId="3BE933D1">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最低价法，是指完全满足招标文件实质性要求，按照报价由低到高的顺序，依据招标文件中规定的数量或者比例推荐候选中标供应商。</w:t>
      </w:r>
    </w:p>
    <w:p w14:paraId="4346F60C">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37.1.2综合评分法</w:t>
      </w:r>
    </w:p>
    <w:bookmarkEnd w:id="90"/>
    <w:p w14:paraId="782B5C1E">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综合评分法，是指在满足招标文件全部实质性要求的前提下，按照招标文件中规定的各项因素进行综合评审，评审总得分排名前列的投标人，作为推荐的候选中标供应商。</w:t>
      </w:r>
    </w:p>
    <w:p w14:paraId="5B13DE37">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37.2本项目采用的评审方法见本项目招标文件第一册“专用条款”的相关内容。</w:t>
      </w:r>
    </w:p>
    <w:p w14:paraId="35A5A16E">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37.3重新评审的情形</w:t>
      </w:r>
    </w:p>
    <w:p w14:paraId="7BC05FFD">
      <w:pPr>
        <w:widowControl/>
        <w:wordWrap w:val="0"/>
        <w:autoSpaceDE w:val="0"/>
        <w:autoSpaceDN w:val="0"/>
        <w:spacing w:line="400" w:lineRule="exact"/>
        <w:ind w:right="808" w:firstLine="420" w:firstLineChars="200"/>
        <w:jc w:val="both"/>
        <w:rPr>
          <w:rFonts w:eastAsia="宋体"/>
          <w:b/>
          <w:bCs/>
          <w:kern w:val="2"/>
          <w:sz w:val="21"/>
          <w:lang w:eastAsia="zh-CN"/>
        </w:rPr>
      </w:pPr>
      <w:r>
        <w:rPr>
          <w:rFonts w:hint="eastAsia" w:eastAsia="宋体"/>
          <w:sz w:val="21"/>
          <w:lang w:eastAsia="zh-CN"/>
        </w:rPr>
        <w:t>评审结果汇总完成后，除下列情形外，任何人不得修改评审结果：</w:t>
      </w:r>
    </w:p>
    <w:p w14:paraId="6B23FA32">
      <w:pPr>
        <w:widowControl/>
        <w:wordWrap w:val="0"/>
        <w:autoSpaceDE w:val="0"/>
        <w:autoSpaceDN w:val="0"/>
        <w:spacing w:line="400" w:lineRule="exact"/>
        <w:ind w:right="808" w:firstLine="420" w:firstLineChars="200"/>
        <w:jc w:val="both"/>
        <w:rPr>
          <w:rFonts w:eastAsia="宋体"/>
          <w:sz w:val="21"/>
          <w:lang w:eastAsia="zh-CN"/>
        </w:rPr>
      </w:pPr>
      <w:r>
        <w:rPr>
          <w:rFonts w:hint="eastAsia" w:eastAsia="宋体"/>
          <w:sz w:val="21"/>
          <w:lang w:eastAsia="zh-CN"/>
        </w:rPr>
        <w:t>37.3.1分值汇总计算错误的；</w:t>
      </w:r>
    </w:p>
    <w:p w14:paraId="71519A36">
      <w:pPr>
        <w:widowControl/>
        <w:wordWrap w:val="0"/>
        <w:autoSpaceDE w:val="0"/>
        <w:autoSpaceDN w:val="0"/>
        <w:spacing w:line="400" w:lineRule="exact"/>
        <w:ind w:right="808" w:firstLine="420" w:firstLineChars="200"/>
        <w:jc w:val="both"/>
        <w:rPr>
          <w:rFonts w:eastAsia="宋体"/>
          <w:sz w:val="21"/>
          <w:lang w:eastAsia="zh-CN"/>
        </w:rPr>
      </w:pPr>
      <w:r>
        <w:rPr>
          <w:rFonts w:hint="eastAsia" w:eastAsia="宋体"/>
          <w:sz w:val="21"/>
          <w:lang w:eastAsia="zh-CN"/>
        </w:rPr>
        <w:t>37.3.2分项评分超出评分标准范围的；</w:t>
      </w:r>
    </w:p>
    <w:p w14:paraId="21BFBDFB">
      <w:pPr>
        <w:widowControl/>
        <w:wordWrap w:val="0"/>
        <w:autoSpaceDE w:val="0"/>
        <w:autoSpaceDN w:val="0"/>
        <w:spacing w:line="400" w:lineRule="exact"/>
        <w:ind w:right="808" w:firstLine="420" w:firstLineChars="200"/>
        <w:jc w:val="both"/>
        <w:rPr>
          <w:rFonts w:eastAsia="宋体"/>
          <w:sz w:val="21"/>
          <w:lang w:eastAsia="zh-CN"/>
        </w:rPr>
      </w:pPr>
      <w:r>
        <w:rPr>
          <w:rFonts w:hint="eastAsia" w:eastAsia="宋体"/>
          <w:sz w:val="21"/>
          <w:lang w:eastAsia="zh-CN"/>
        </w:rPr>
        <w:t>37.3.3评审委员会成员对客观评审因素评分不一致的；</w:t>
      </w:r>
    </w:p>
    <w:p w14:paraId="2F98023A">
      <w:pPr>
        <w:widowControl/>
        <w:wordWrap w:val="0"/>
        <w:autoSpaceDE w:val="0"/>
        <w:autoSpaceDN w:val="0"/>
        <w:spacing w:line="400" w:lineRule="exact"/>
        <w:ind w:right="808" w:firstLine="420" w:firstLineChars="200"/>
        <w:jc w:val="both"/>
        <w:rPr>
          <w:rFonts w:eastAsia="宋体"/>
          <w:sz w:val="21"/>
          <w:lang w:eastAsia="zh-CN"/>
        </w:rPr>
      </w:pPr>
      <w:r>
        <w:rPr>
          <w:rFonts w:hint="eastAsia" w:eastAsia="宋体"/>
          <w:sz w:val="21"/>
          <w:lang w:eastAsia="zh-CN"/>
        </w:rPr>
        <w:t>37.3.4经评审委员会认定评分畸高、畸低的。</w:t>
      </w:r>
    </w:p>
    <w:p w14:paraId="7293367A">
      <w:pPr>
        <w:widowControl/>
        <w:wordWrap w:val="0"/>
        <w:autoSpaceDE w:val="0"/>
        <w:autoSpaceDN w:val="0"/>
        <w:spacing w:line="400" w:lineRule="exact"/>
        <w:ind w:right="808" w:firstLine="420" w:firstLineChars="200"/>
        <w:jc w:val="both"/>
        <w:rPr>
          <w:rFonts w:eastAsia="宋体"/>
          <w:sz w:val="21"/>
          <w:lang w:eastAsia="zh-CN"/>
        </w:rPr>
      </w:pPr>
      <w:r>
        <w:rPr>
          <w:rFonts w:hint="eastAsia" w:eastAsia="宋体"/>
          <w:sz w:val="21"/>
          <w:lang w:eastAsia="zh-CN"/>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14:paraId="5DAEF47E">
      <w:pPr>
        <w:widowControl/>
        <w:wordWrap w:val="0"/>
        <w:autoSpaceDE w:val="0"/>
        <w:autoSpaceDN w:val="0"/>
        <w:spacing w:line="400" w:lineRule="exact"/>
        <w:ind w:right="808" w:firstLine="420" w:firstLineChars="200"/>
        <w:jc w:val="both"/>
        <w:rPr>
          <w:rFonts w:eastAsia="宋体"/>
          <w:sz w:val="21"/>
          <w:lang w:eastAsia="zh-CN"/>
        </w:rPr>
      </w:pPr>
      <w:r>
        <w:rPr>
          <w:rFonts w:hint="eastAsia" w:eastAsia="宋体"/>
          <w:sz w:val="21"/>
          <w:lang w:eastAsia="zh-CN"/>
        </w:rPr>
        <w:t>投标人对本条第一款情形提出质疑的，采购人或者采购代理机构可以组织原评审委员会进行重新评审，重新评审改变评审结果的，应当书面报告本级财政部门。</w:t>
      </w:r>
    </w:p>
    <w:p w14:paraId="7517F6F1">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37.4重新组建评审委员会的情形</w:t>
      </w:r>
    </w:p>
    <w:p w14:paraId="33039788">
      <w:pPr>
        <w:widowControl/>
        <w:wordWrap w:val="0"/>
        <w:autoSpaceDE w:val="0"/>
        <w:autoSpaceDN w:val="0"/>
        <w:spacing w:line="400" w:lineRule="exact"/>
        <w:ind w:right="808" w:firstLine="420" w:firstLineChars="200"/>
        <w:jc w:val="both"/>
        <w:rPr>
          <w:rFonts w:eastAsia="宋体"/>
          <w:sz w:val="21"/>
          <w:lang w:eastAsia="zh-CN"/>
        </w:rPr>
      </w:pPr>
      <w:r>
        <w:rPr>
          <w:rFonts w:hint="eastAsia" w:eastAsia="宋体"/>
          <w:sz w:val="21"/>
          <w:lang w:eastAsia="zh-CN"/>
        </w:rPr>
        <w:t>评审委员会或者其成员存在下列情形导致评审结果无效的，重新组建评审委员会进行评标，并书面报告本级财政部门：</w:t>
      </w:r>
    </w:p>
    <w:p w14:paraId="1E9682B2">
      <w:pPr>
        <w:widowControl/>
        <w:wordWrap w:val="0"/>
        <w:autoSpaceDE w:val="0"/>
        <w:autoSpaceDN w:val="0"/>
        <w:spacing w:line="400" w:lineRule="exact"/>
        <w:ind w:right="808" w:firstLine="420" w:firstLineChars="200"/>
        <w:jc w:val="both"/>
        <w:rPr>
          <w:rFonts w:eastAsia="宋体"/>
          <w:sz w:val="21"/>
          <w:lang w:eastAsia="zh-CN"/>
        </w:rPr>
      </w:pPr>
      <w:r>
        <w:rPr>
          <w:rFonts w:hint="eastAsia" w:eastAsia="宋体"/>
          <w:sz w:val="21"/>
          <w:lang w:eastAsia="zh-CN"/>
        </w:rPr>
        <w:t>37.4.1评审委员会组成不符合《政府采购货物和服务招标投标管理办法》规定的；</w:t>
      </w:r>
    </w:p>
    <w:p w14:paraId="5C476E7C">
      <w:pPr>
        <w:widowControl/>
        <w:wordWrap w:val="0"/>
        <w:autoSpaceDE w:val="0"/>
        <w:autoSpaceDN w:val="0"/>
        <w:spacing w:line="400" w:lineRule="exact"/>
        <w:ind w:right="808" w:firstLine="420" w:firstLineChars="200"/>
        <w:jc w:val="both"/>
        <w:rPr>
          <w:rFonts w:eastAsia="宋体"/>
          <w:sz w:val="21"/>
          <w:lang w:eastAsia="zh-CN"/>
        </w:rPr>
      </w:pPr>
      <w:r>
        <w:rPr>
          <w:rFonts w:hint="eastAsia" w:eastAsia="宋体"/>
          <w:sz w:val="21"/>
          <w:lang w:eastAsia="zh-CN"/>
        </w:rPr>
        <w:t>37.4.2有《政府采购货物和服务招标投标管理办法》第六十二条第一至五项情形的；</w:t>
      </w:r>
    </w:p>
    <w:p w14:paraId="12396034">
      <w:pPr>
        <w:widowControl/>
        <w:wordWrap w:val="0"/>
        <w:autoSpaceDE w:val="0"/>
        <w:autoSpaceDN w:val="0"/>
        <w:spacing w:line="400" w:lineRule="exact"/>
        <w:ind w:right="808" w:firstLine="420" w:firstLineChars="200"/>
        <w:jc w:val="both"/>
        <w:rPr>
          <w:rFonts w:eastAsia="宋体"/>
          <w:sz w:val="21"/>
          <w:lang w:eastAsia="zh-CN"/>
        </w:rPr>
      </w:pPr>
      <w:r>
        <w:rPr>
          <w:rFonts w:hint="eastAsia" w:eastAsia="宋体"/>
          <w:sz w:val="21"/>
          <w:lang w:eastAsia="zh-CN"/>
        </w:rPr>
        <w:t>37.4.3评审委员会及其成员独立评标受到非法干预的；</w:t>
      </w:r>
    </w:p>
    <w:p w14:paraId="03B9A05E">
      <w:pPr>
        <w:widowControl/>
        <w:wordWrap w:val="0"/>
        <w:autoSpaceDE w:val="0"/>
        <w:autoSpaceDN w:val="0"/>
        <w:spacing w:line="400" w:lineRule="exact"/>
        <w:ind w:right="808" w:firstLine="420" w:firstLineChars="200"/>
        <w:jc w:val="both"/>
        <w:rPr>
          <w:rFonts w:eastAsia="宋体"/>
          <w:sz w:val="21"/>
          <w:lang w:eastAsia="zh-CN"/>
        </w:rPr>
      </w:pPr>
      <w:r>
        <w:rPr>
          <w:rFonts w:hint="eastAsia" w:eastAsia="宋体"/>
          <w:sz w:val="21"/>
          <w:lang w:eastAsia="zh-CN"/>
        </w:rPr>
        <w:t>37.4.4有政府采购法实施条例第七十五条规定的违法行为的。</w:t>
      </w:r>
    </w:p>
    <w:p w14:paraId="26C6EE5F">
      <w:pPr>
        <w:widowControl/>
        <w:wordWrap w:val="0"/>
        <w:autoSpaceDE w:val="0"/>
        <w:autoSpaceDN w:val="0"/>
        <w:spacing w:line="400" w:lineRule="exact"/>
        <w:ind w:right="808" w:firstLine="420" w:firstLineChars="200"/>
        <w:jc w:val="both"/>
        <w:rPr>
          <w:rFonts w:eastAsia="宋体"/>
          <w:sz w:val="21"/>
          <w:lang w:eastAsia="zh-CN"/>
        </w:rPr>
      </w:pPr>
      <w:r>
        <w:rPr>
          <w:rFonts w:hint="eastAsia" w:eastAsia="宋体"/>
          <w:sz w:val="21"/>
          <w:lang w:eastAsia="zh-CN"/>
        </w:rPr>
        <w:t>有违法违规行为的原评审委员会成员不得参加重新组建的评审委员会。</w:t>
      </w:r>
    </w:p>
    <w:p w14:paraId="6205D8E7">
      <w:pPr>
        <w:widowControl/>
        <w:wordWrap w:val="0"/>
        <w:autoSpaceDE w:val="0"/>
        <w:autoSpaceDN w:val="0"/>
        <w:spacing w:line="360" w:lineRule="auto"/>
        <w:ind w:right="808" w:firstLine="482" w:firstLineChars="200"/>
        <w:jc w:val="both"/>
        <w:rPr>
          <w:rFonts w:eastAsia="宋体"/>
          <w:b/>
          <w:kern w:val="2"/>
          <w:lang w:eastAsia="zh-CN"/>
        </w:rPr>
      </w:pPr>
    </w:p>
    <w:p w14:paraId="6C628FEF">
      <w:pPr>
        <w:keepNext/>
        <w:keepLines/>
        <w:widowControl/>
        <w:wordWrap w:val="0"/>
        <w:autoSpaceDE w:val="0"/>
        <w:autoSpaceDN w:val="0"/>
        <w:spacing w:line="360" w:lineRule="auto"/>
        <w:ind w:right="808" w:firstLine="643" w:firstLineChars="200"/>
        <w:jc w:val="center"/>
        <w:outlineLvl w:val="1"/>
        <w:rPr>
          <w:rFonts w:ascii="Arial" w:hAnsi="Arial" w:eastAsia="宋体"/>
          <w:b/>
          <w:kern w:val="2"/>
          <w:sz w:val="32"/>
          <w:lang w:eastAsia="zh-CN"/>
        </w:rPr>
      </w:pPr>
      <w:bookmarkStart w:id="91" w:name="第八章1"/>
      <w:bookmarkEnd w:id="91"/>
      <w:bookmarkStart w:id="92" w:name="_Toc26094"/>
      <w:bookmarkStart w:id="93" w:name="_Toc1513"/>
      <w:bookmarkStart w:id="94" w:name="_Toc30568"/>
      <w:bookmarkStart w:id="95" w:name="_Toc13341"/>
      <w:r>
        <w:rPr>
          <w:rFonts w:hint="eastAsia" w:ascii="Arial" w:hAnsi="Arial" w:eastAsia="宋体"/>
          <w:b/>
          <w:kern w:val="2"/>
          <w:sz w:val="32"/>
          <w:lang w:eastAsia="zh-CN"/>
        </w:rPr>
        <w:t>第八章</w:t>
      </w:r>
      <w:bookmarkStart w:id="96" w:name="_Toc24537"/>
      <w:r>
        <w:rPr>
          <w:rFonts w:hint="eastAsia" w:ascii="Arial" w:hAnsi="Arial" w:eastAsia="宋体"/>
          <w:b/>
          <w:kern w:val="2"/>
          <w:sz w:val="32"/>
          <w:lang w:eastAsia="zh-CN"/>
        </w:rPr>
        <w:t xml:space="preserve">  定标及公示</w:t>
      </w:r>
      <w:bookmarkEnd w:id="92"/>
      <w:bookmarkEnd w:id="93"/>
      <w:bookmarkEnd w:id="94"/>
      <w:bookmarkEnd w:id="95"/>
      <w:bookmarkEnd w:id="96"/>
    </w:p>
    <w:p w14:paraId="2369782B">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38．定标方法</w:t>
      </w:r>
    </w:p>
    <w:p w14:paraId="6A38C2FD">
      <w:pPr>
        <w:widowControl/>
        <w:wordWrap w:val="0"/>
        <w:autoSpaceDE w:val="0"/>
        <w:autoSpaceDN w:val="0"/>
        <w:spacing w:line="400" w:lineRule="exact"/>
        <w:ind w:right="808" w:firstLine="420" w:firstLineChars="200"/>
        <w:jc w:val="both"/>
        <w:rPr>
          <w:rFonts w:eastAsia="宋体"/>
          <w:kern w:val="2"/>
          <w:sz w:val="21"/>
          <w:lang w:eastAsia="zh-CN"/>
        </w:rPr>
      </w:pPr>
      <w:bookmarkStart w:id="97" w:name="_Hlk73782795"/>
      <w:r>
        <w:rPr>
          <w:rFonts w:hint="eastAsia" w:eastAsia="宋体"/>
          <w:kern w:val="2"/>
          <w:sz w:val="21"/>
          <w:lang w:eastAsia="zh-CN"/>
        </w:rPr>
        <w:t>38.1非评定分离项目定标方法</w:t>
      </w:r>
    </w:p>
    <w:p w14:paraId="10585AFB">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38</w:t>
      </w:r>
      <w:r>
        <w:rPr>
          <w:rFonts w:eastAsia="宋体"/>
          <w:kern w:val="2"/>
          <w:sz w:val="21"/>
          <w:lang w:eastAsia="zh-CN"/>
        </w:rPr>
        <w:t>.</w:t>
      </w:r>
      <w:r>
        <w:rPr>
          <w:rFonts w:hint="eastAsia" w:eastAsia="宋体"/>
          <w:kern w:val="2"/>
          <w:sz w:val="21"/>
          <w:lang w:eastAsia="zh-CN"/>
        </w:rPr>
        <w:t>1.1评审委员会依据本项目招标文件所约定的评审方法进行评审和比较，向采购代理机构提交书面评审报告，并根据评审方法比较评价结果从优到劣进行排序，确定候选中标供应商。</w:t>
      </w:r>
    </w:p>
    <w:p w14:paraId="63E0A915">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38.1.2采用最低价法的，评审结果按投标报价由低到高顺序排列。投标报价相同的并列。投标文件满足招标文件全部实质性要求且投标报价最低的投标人为唯一候选中标供应商。</w:t>
      </w:r>
    </w:p>
    <w:p w14:paraId="2AD12F53">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38.1.3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唯一候选中标供应商。出现得分且投标报价相同的并列情况时，采取随机抽取的方式确定，具体操作办法及流程由评审委员会确定（如“专用条款”中另有规定的以“专用条款”相关规定内容为准）。如唯一候选中标供应商被认定投标或中标无效，采购人应当重新开展采购活动。</w:t>
      </w:r>
    </w:p>
    <w:p w14:paraId="7B259F32">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38.2评定分离项目定标方法</w:t>
      </w:r>
    </w:p>
    <w:p w14:paraId="27B9FE42">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14:paraId="4490C56B">
      <w:pPr>
        <w:widowControl/>
        <w:wordWrap w:val="0"/>
        <w:autoSpaceDE w:val="0"/>
        <w:autoSpaceDN w:val="0"/>
        <w:spacing w:line="400" w:lineRule="exact"/>
        <w:ind w:right="808" w:firstLine="420" w:firstLineChars="200"/>
        <w:jc w:val="both"/>
        <w:rPr>
          <w:rFonts w:eastAsia="宋体"/>
          <w:kern w:val="2"/>
          <w:sz w:val="21"/>
          <w:lang w:eastAsia="zh-CN"/>
        </w:rPr>
      </w:pPr>
      <w:r>
        <w:rPr>
          <w:rFonts w:ascii="宋体" w:hAnsi="宋体" w:eastAsia="宋体"/>
          <w:kern w:val="2"/>
          <w:sz w:val="21"/>
          <w:szCs w:val="21"/>
          <w:lang w:eastAsia="zh-CN"/>
        </w:rPr>
        <w:t>38.2.2</w:t>
      </w:r>
      <w:bookmarkStart w:id="98" w:name="_Hlk71469733"/>
      <w:r>
        <w:rPr>
          <w:rFonts w:eastAsia="宋体"/>
          <w:kern w:val="2"/>
          <w:sz w:val="21"/>
          <w:lang w:eastAsia="zh-CN"/>
        </w:rPr>
        <w:t>适用评定分离的政府采购项目，采用综合评分法评</w:t>
      </w:r>
      <w:r>
        <w:rPr>
          <w:rFonts w:hint="eastAsia" w:eastAsia="宋体"/>
          <w:kern w:val="2"/>
          <w:sz w:val="21"/>
          <w:lang w:eastAsia="zh-CN"/>
        </w:rPr>
        <w:t>审。</w:t>
      </w:r>
      <w:r>
        <w:rPr>
          <w:rFonts w:hint="eastAsia" w:ascii="宋体" w:hAnsi="宋体" w:eastAsia="宋体"/>
          <w:kern w:val="2"/>
          <w:sz w:val="21"/>
          <w:szCs w:val="21"/>
          <w:lang w:eastAsia="zh-CN"/>
        </w:rPr>
        <w:t>评审委员会按照评审结果，推荐</w:t>
      </w:r>
      <w:r>
        <w:rPr>
          <w:rFonts w:eastAsia="宋体"/>
          <w:kern w:val="2"/>
          <w:sz w:val="21"/>
          <w:lang w:eastAsia="zh-CN"/>
        </w:rPr>
        <w:t>三个合格的候选中标供应商。</w:t>
      </w:r>
    </w:p>
    <w:p w14:paraId="77C2D28A">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38.2.3</w:t>
      </w:r>
      <w:bookmarkStart w:id="99" w:name="_Hlk71469688"/>
      <w:r>
        <w:rPr>
          <w:rFonts w:eastAsia="宋体"/>
          <w:kern w:val="2"/>
          <w:sz w:val="21"/>
          <w:lang w:eastAsia="zh-CN"/>
        </w:rPr>
        <w:t>适用评定分离的政府采购项目，</w:t>
      </w:r>
      <w:r>
        <w:rPr>
          <w:rFonts w:hint="eastAsia" w:eastAsia="宋体"/>
          <w:kern w:val="2"/>
          <w:sz w:val="21"/>
          <w:lang w:eastAsia="zh-CN"/>
        </w:rPr>
        <w:t>按照自定法确定中标供应商：自定法是指采购人组织定标委员会，由定标委员会在三家候选中标供应商中确定中标供应商。</w:t>
      </w:r>
      <w:bookmarkEnd w:id="98"/>
      <w:bookmarkEnd w:id="99"/>
    </w:p>
    <w:p w14:paraId="488D5797">
      <w:pPr>
        <w:widowControl/>
        <w:wordWrap w:val="0"/>
        <w:autoSpaceDE w:val="0"/>
        <w:autoSpaceDN w:val="0"/>
        <w:spacing w:line="400" w:lineRule="exact"/>
        <w:ind w:right="808" w:firstLine="420" w:firstLineChars="200"/>
        <w:jc w:val="both"/>
        <w:rPr>
          <w:rFonts w:ascii="宋体" w:hAnsi="宋体" w:eastAsia="宋体"/>
          <w:kern w:val="2"/>
          <w:sz w:val="21"/>
          <w:szCs w:val="21"/>
          <w:lang w:eastAsia="zh-CN"/>
        </w:rPr>
      </w:pPr>
      <w:r>
        <w:rPr>
          <w:rFonts w:ascii="宋体" w:hAnsi="宋体" w:eastAsia="宋体"/>
          <w:kern w:val="2"/>
          <w:sz w:val="21"/>
          <w:szCs w:val="21"/>
          <w:lang w:eastAsia="zh-CN"/>
        </w:rPr>
        <w:t>38.2.4</w:t>
      </w:r>
      <w:r>
        <w:rPr>
          <w:rFonts w:hint="eastAsia" w:ascii="宋体" w:hAnsi="宋体" w:eastAsia="宋体"/>
          <w:kern w:val="2"/>
          <w:sz w:val="21"/>
          <w:szCs w:val="21"/>
          <w:lang w:eastAsia="zh-CN"/>
        </w:rPr>
        <w:t>采购代理机构</w:t>
      </w:r>
      <w:r>
        <w:rPr>
          <w:rFonts w:eastAsia="宋体"/>
          <w:kern w:val="2"/>
          <w:sz w:val="21"/>
          <w:lang w:eastAsia="zh-CN"/>
        </w:rPr>
        <w:t>应当自评审结束之日起两个工作日内将候选中标供应商名单及其投标文件、评审报告送交采购人</w:t>
      </w:r>
      <w:r>
        <w:rPr>
          <w:rFonts w:hint="eastAsia" w:ascii="宋体" w:hAnsi="宋体" w:eastAsia="宋体"/>
          <w:kern w:val="2"/>
          <w:sz w:val="21"/>
          <w:szCs w:val="21"/>
          <w:lang w:eastAsia="zh-CN"/>
        </w:rPr>
        <w:t>。</w:t>
      </w:r>
      <w:r>
        <w:rPr>
          <w:rFonts w:eastAsia="宋体"/>
          <w:kern w:val="2"/>
          <w:sz w:val="21"/>
          <w:lang w:eastAsia="zh-CN"/>
        </w:rPr>
        <w:t>采购人应当安排专人对定标过程进行书面记录，形成定标报告，作为采购文件的组成部分存档，并及时将定标结果反馈</w:t>
      </w:r>
      <w:r>
        <w:rPr>
          <w:rFonts w:hint="eastAsia" w:eastAsia="宋体"/>
          <w:kern w:val="2"/>
          <w:sz w:val="21"/>
          <w:lang w:eastAsia="zh-CN"/>
        </w:rPr>
        <w:t>采购代理机构。具体定标程序及相关要求以按照《</w:t>
      </w:r>
      <w:r>
        <w:rPr>
          <w:rFonts w:eastAsia="宋体"/>
          <w:kern w:val="2"/>
          <w:sz w:val="21"/>
          <w:lang w:eastAsia="zh-CN"/>
        </w:rPr>
        <w:t>深圳市财政局关于印发</w:t>
      </w:r>
      <w:r>
        <w:rPr>
          <w:rFonts w:hint="eastAsia" w:ascii="宋体" w:hAnsi="宋体" w:eastAsia="宋体"/>
          <w:kern w:val="2"/>
          <w:sz w:val="21"/>
          <w:lang w:eastAsia="zh-CN"/>
        </w:rPr>
        <w:t>〈</w:t>
      </w:r>
      <w:r>
        <w:rPr>
          <w:rFonts w:eastAsia="宋体"/>
          <w:kern w:val="2"/>
          <w:sz w:val="21"/>
          <w:lang w:eastAsia="zh-CN"/>
        </w:rPr>
        <w:t>深圳市政府采购评标定标分离管理办法</w:t>
      </w:r>
      <w:r>
        <w:rPr>
          <w:rFonts w:hint="eastAsia" w:ascii="宋体" w:hAnsi="宋体" w:eastAsia="宋体"/>
          <w:kern w:val="2"/>
          <w:sz w:val="21"/>
          <w:lang w:eastAsia="zh-CN"/>
        </w:rPr>
        <w:t>〉</w:t>
      </w:r>
      <w:r>
        <w:rPr>
          <w:rFonts w:eastAsia="宋体"/>
          <w:kern w:val="2"/>
          <w:sz w:val="21"/>
          <w:lang w:eastAsia="zh-CN"/>
        </w:rPr>
        <w:t>的通知</w:t>
      </w:r>
      <w:r>
        <w:rPr>
          <w:rFonts w:hint="eastAsia" w:eastAsia="宋体"/>
          <w:kern w:val="2"/>
          <w:sz w:val="21"/>
          <w:lang w:eastAsia="zh-CN"/>
        </w:rPr>
        <w:t>》（深财规【2</w:t>
      </w:r>
      <w:r>
        <w:rPr>
          <w:rFonts w:eastAsia="宋体"/>
          <w:kern w:val="2"/>
          <w:sz w:val="21"/>
          <w:lang w:eastAsia="zh-CN"/>
        </w:rPr>
        <w:t>020</w:t>
      </w:r>
      <w:r>
        <w:rPr>
          <w:rFonts w:hint="eastAsia" w:eastAsia="宋体"/>
          <w:kern w:val="2"/>
          <w:sz w:val="21"/>
          <w:lang w:eastAsia="zh-CN"/>
        </w:rPr>
        <w:t>】1号）执行。</w:t>
      </w:r>
    </w:p>
    <w:p w14:paraId="16945B3D">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说明：采购人及投标供应商应按照上述方法提前做好相关准备。</w:t>
      </w:r>
    </w:p>
    <w:p w14:paraId="2AF05D04">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38.3专用条款另有规定的，按专用条款相关要求定标。</w:t>
      </w:r>
      <w:bookmarkEnd w:id="97"/>
    </w:p>
    <w:p w14:paraId="10878FAF">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39．编写评审报告</w:t>
      </w:r>
    </w:p>
    <w:p w14:paraId="46C2C339">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14:paraId="6B233A1F">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40．中标公告</w:t>
      </w:r>
    </w:p>
    <w:p w14:paraId="61732AB4">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40.1</w:t>
      </w:r>
      <w:bookmarkStart w:id="100" w:name="_Hlk72438709"/>
      <w:r>
        <w:rPr>
          <w:rFonts w:hint="eastAsia" w:eastAsia="宋体"/>
          <w:kern w:val="2"/>
          <w:sz w:val="21"/>
          <w:lang w:eastAsia="zh-CN"/>
        </w:rPr>
        <w:t>为体现“公开、公平、公正”的原则，评审结束后经采购人确认（确定）评审结果，采购代理机构将在</w:t>
      </w:r>
      <w:r>
        <w:rPr>
          <w:rFonts w:hint="eastAsia" w:eastAsia="宋体"/>
          <w:b/>
          <w:bCs/>
          <w:kern w:val="2"/>
          <w:sz w:val="21"/>
          <w:lang w:eastAsia="zh-CN"/>
        </w:rPr>
        <w:t>深圳政府采购自行采购系统（https://zxcg.szggzy.com/home/index.html）</w:t>
      </w:r>
      <w:r>
        <w:rPr>
          <w:rFonts w:hint="eastAsia" w:eastAsia="宋体"/>
          <w:kern w:val="2"/>
          <w:sz w:val="21"/>
          <w:lang w:eastAsia="zh-CN"/>
        </w:rPr>
        <w:t>上发布中标结果公告。</w:t>
      </w:r>
      <w:bookmarkEnd w:id="100"/>
      <w:bookmarkStart w:id="101" w:name="_Hlk72438751"/>
      <w:r>
        <w:rPr>
          <w:rFonts w:hint="eastAsia" w:eastAsia="宋体"/>
          <w:kern w:val="2"/>
          <w:sz w:val="21"/>
          <w:lang w:eastAsia="zh-CN"/>
        </w:rPr>
        <w:t>供应商如对评审结果有异议，</w:t>
      </w:r>
      <w:r>
        <w:rPr>
          <w:rFonts w:eastAsia="宋体"/>
          <w:kern w:val="2"/>
          <w:sz w:val="21"/>
          <w:lang w:eastAsia="zh-CN"/>
        </w:rPr>
        <w:t>可在发布公示日期起</w:t>
      </w:r>
      <w:r>
        <w:rPr>
          <w:rFonts w:hint="eastAsia" w:eastAsia="宋体"/>
          <w:kern w:val="2"/>
          <w:sz w:val="21"/>
          <w:lang w:eastAsia="zh-CN"/>
        </w:rPr>
        <w:t>七</w:t>
      </w:r>
      <w:r>
        <w:rPr>
          <w:rFonts w:eastAsia="宋体"/>
          <w:kern w:val="2"/>
          <w:sz w:val="21"/>
          <w:lang w:eastAsia="zh-CN"/>
        </w:rPr>
        <w:t>个工作日内向</w:t>
      </w:r>
      <w:r>
        <w:rPr>
          <w:rFonts w:hint="eastAsia" w:eastAsia="宋体"/>
          <w:kern w:val="2"/>
          <w:sz w:val="21"/>
          <w:lang w:eastAsia="zh-CN"/>
        </w:rPr>
        <w:t>采购代理机构</w:t>
      </w:r>
      <w:r>
        <w:rPr>
          <w:rFonts w:eastAsia="宋体"/>
          <w:kern w:val="2"/>
          <w:sz w:val="21"/>
          <w:lang w:eastAsia="zh-CN"/>
        </w:rPr>
        <w:t>提出。监督电话：0755-21070507。</w:t>
      </w:r>
      <w:r>
        <w:rPr>
          <w:rFonts w:hint="eastAsia" w:eastAsia="宋体"/>
          <w:kern w:val="2"/>
          <w:sz w:val="21"/>
          <w:lang w:eastAsia="zh-CN"/>
        </w:rPr>
        <w:t>若在公示期内未提出质疑，则视为认同该评审结果。</w:t>
      </w:r>
    </w:p>
    <w:bookmarkEnd w:id="101"/>
    <w:p w14:paraId="41D6CEE8">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40.2质疑、投诉供应商应保证质疑、投诉内容的真实性和可靠性，并承担相应的法律责任。</w:t>
      </w:r>
    </w:p>
    <w:p w14:paraId="1ECAD160">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41．中标通知书</w:t>
      </w:r>
    </w:p>
    <w:p w14:paraId="7CBC04A8">
      <w:pPr>
        <w:widowControl/>
        <w:wordWrap w:val="0"/>
        <w:autoSpaceDE w:val="0"/>
        <w:autoSpaceDN w:val="0"/>
        <w:spacing w:line="400" w:lineRule="exact"/>
        <w:ind w:right="808" w:firstLine="420" w:firstLineChars="200"/>
        <w:jc w:val="both"/>
        <w:rPr>
          <w:rFonts w:eastAsia="宋体"/>
          <w:kern w:val="2"/>
          <w:sz w:val="21"/>
          <w:szCs w:val="21"/>
          <w:lang w:eastAsia="zh-CN"/>
        </w:rPr>
      </w:pPr>
      <w:r>
        <w:rPr>
          <w:rFonts w:hint="eastAsia" w:eastAsia="宋体"/>
          <w:kern w:val="2"/>
          <w:sz w:val="21"/>
          <w:szCs w:val="21"/>
          <w:lang w:eastAsia="zh-CN"/>
        </w:rPr>
        <w:t>41</w:t>
      </w:r>
      <w:r>
        <w:rPr>
          <w:rFonts w:eastAsia="宋体"/>
          <w:kern w:val="2"/>
          <w:sz w:val="21"/>
          <w:szCs w:val="21"/>
          <w:lang w:eastAsia="zh-CN"/>
        </w:rPr>
        <w:t>.</w:t>
      </w:r>
      <w:r>
        <w:rPr>
          <w:rFonts w:hint="eastAsia" w:eastAsia="宋体"/>
          <w:kern w:val="2"/>
          <w:sz w:val="21"/>
          <w:szCs w:val="21"/>
          <w:lang w:eastAsia="zh-CN"/>
        </w:rPr>
        <w:t>1</w:t>
      </w:r>
      <w:bookmarkStart w:id="102" w:name="_Hlk72438863"/>
      <w:r>
        <w:rPr>
          <w:rFonts w:hint="eastAsia" w:eastAsia="宋体"/>
          <w:kern w:val="2"/>
          <w:sz w:val="21"/>
          <w:szCs w:val="21"/>
          <w:lang w:eastAsia="zh-CN"/>
        </w:rPr>
        <w:t>中标公告公布以后无异常的情况下，中标供应商和采购人可自行登录</w:t>
      </w:r>
      <w:r>
        <w:rPr>
          <w:rFonts w:hint="eastAsia" w:eastAsia="宋体"/>
          <w:b/>
          <w:bCs/>
          <w:kern w:val="2"/>
          <w:sz w:val="21"/>
          <w:szCs w:val="21"/>
          <w:lang w:eastAsia="zh-CN"/>
        </w:rPr>
        <w:t>“</w:t>
      </w:r>
      <w:r>
        <w:rPr>
          <w:rFonts w:hint="eastAsia" w:eastAsia="宋体"/>
          <w:kern w:val="2"/>
          <w:sz w:val="21"/>
          <w:lang w:eastAsia="zh-CN"/>
        </w:rPr>
        <w:t>深圳政府采购自行采购系统（https://trade.szggzy.com/ggzy/center/#/login）</w:t>
      </w:r>
      <w:r>
        <w:rPr>
          <w:rFonts w:hint="eastAsia" w:eastAsia="宋体"/>
          <w:b/>
          <w:bCs/>
          <w:kern w:val="2"/>
          <w:sz w:val="21"/>
          <w:szCs w:val="21"/>
          <w:lang w:eastAsia="zh-CN"/>
        </w:rPr>
        <w:t>”</w:t>
      </w:r>
      <w:r>
        <w:rPr>
          <w:rFonts w:hint="eastAsia" w:eastAsia="宋体"/>
          <w:kern w:val="2"/>
          <w:sz w:val="21"/>
          <w:szCs w:val="21"/>
          <w:lang w:eastAsia="zh-CN"/>
        </w:rPr>
        <w:t>上打印</w:t>
      </w:r>
      <w:r>
        <w:rPr>
          <w:rFonts w:hint="eastAsia" w:eastAsia="宋体"/>
          <w:b/>
          <w:kern w:val="2"/>
          <w:sz w:val="21"/>
          <w:szCs w:val="21"/>
          <w:lang w:eastAsia="zh-CN"/>
        </w:rPr>
        <w:t>《数字中标通知书》</w:t>
      </w:r>
      <w:r>
        <w:rPr>
          <w:rFonts w:hint="eastAsia" w:eastAsia="宋体"/>
          <w:kern w:val="2"/>
          <w:sz w:val="21"/>
          <w:szCs w:val="21"/>
          <w:lang w:eastAsia="zh-CN"/>
        </w:rPr>
        <w:t>。</w:t>
      </w:r>
      <w:bookmarkEnd w:id="102"/>
    </w:p>
    <w:p w14:paraId="6C0F5C45">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41</w:t>
      </w:r>
      <w:r>
        <w:rPr>
          <w:rFonts w:eastAsia="宋体"/>
          <w:kern w:val="2"/>
          <w:sz w:val="21"/>
          <w:lang w:eastAsia="zh-CN"/>
        </w:rPr>
        <w:t>.2</w:t>
      </w:r>
      <w:r>
        <w:rPr>
          <w:rFonts w:hint="eastAsia" w:eastAsia="宋体"/>
          <w:kern w:val="2"/>
          <w:sz w:val="21"/>
          <w:lang w:eastAsia="zh-CN"/>
        </w:rPr>
        <w:t>中标通知书是合同的重要组成部分。</w:t>
      </w:r>
    </w:p>
    <w:p w14:paraId="4CA8ECE8">
      <w:pPr>
        <w:widowControl/>
        <w:wordWrap w:val="0"/>
        <w:autoSpaceDE w:val="0"/>
        <w:autoSpaceDN w:val="0"/>
        <w:spacing w:line="400" w:lineRule="exact"/>
        <w:ind w:right="808" w:firstLine="420" w:firstLineChars="200"/>
        <w:jc w:val="both"/>
        <w:rPr>
          <w:rFonts w:eastAsia="宋体"/>
          <w:kern w:val="2"/>
          <w:sz w:val="21"/>
          <w:lang w:eastAsia="zh-CN"/>
        </w:rPr>
      </w:pPr>
      <w:bookmarkStart w:id="103" w:name="_Hlk71407340"/>
      <w:r>
        <w:rPr>
          <w:rFonts w:hint="eastAsia" w:eastAsia="宋体"/>
          <w:kern w:val="2"/>
          <w:sz w:val="21"/>
          <w:lang w:eastAsia="zh-CN"/>
        </w:rPr>
        <w:t>41.3因质疑投诉或其它原因导致项目结果变更或采购终止的，采购代理机构有权吊销中标通知书。</w:t>
      </w:r>
    </w:p>
    <w:bookmarkEnd w:id="103"/>
    <w:p w14:paraId="637BDB22">
      <w:pPr>
        <w:widowControl/>
        <w:wordWrap w:val="0"/>
        <w:autoSpaceDE w:val="0"/>
        <w:autoSpaceDN w:val="0"/>
        <w:spacing w:line="360" w:lineRule="auto"/>
        <w:ind w:right="808" w:firstLine="482" w:firstLineChars="200"/>
        <w:jc w:val="both"/>
        <w:rPr>
          <w:rFonts w:eastAsia="宋体"/>
          <w:b/>
          <w:kern w:val="2"/>
          <w:lang w:eastAsia="zh-CN"/>
        </w:rPr>
      </w:pPr>
    </w:p>
    <w:p w14:paraId="5F04F3D8">
      <w:pPr>
        <w:keepNext/>
        <w:keepLines/>
        <w:widowControl/>
        <w:wordWrap w:val="0"/>
        <w:autoSpaceDE w:val="0"/>
        <w:autoSpaceDN w:val="0"/>
        <w:spacing w:line="360" w:lineRule="auto"/>
        <w:ind w:right="808" w:firstLine="643" w:firstLineChars="200"/>
        <w:jc w:val="center"/>
        <w:outlineLvl w:val="1"/>
        <w:rPr>
          <w:rFonts w:ascii="Arial" w:hAnsi="Arial" w:eastAsia="宋体"/>
          <w:b/>
          <w:kern w:val="2"/>
          <w:sz w:val="32"/>
          <w:lang w:eastAsia="zh-CN"/>
        </w:rPr>
      </w:pPr>
      <w:bookmarkStart w:id="104" w:name="第九章1"/>
      <w:bookmarkEnd w:id="104"/>
      <w:bookmarkStart w:id="105" w:name="_Toc20277"/>
      <w:bookmarkStart w:id="106" w:name="_Toc17412"/>
      <w:bookmarkStart w:id="107" w:name="_Toc25733"/>
      <w:bookmarkStart w:id="108" w:name="_Toc24474"/>
      <w:bookmarkStart w:id="109" w:name="_Toc11736"/>
      <w:bookmarkStart w:id="110" w:name="_Toc73517678"/>
      <w:bookmarkStart w:id="111" w:name="_Toc100052407"/>
      <w:bookmarkStart w:id="112" w:name="_Toc101074884"/>
      <w:r>
        <w:rPr>
          <w:rFonts w:hint="eastAsia" w:ascii="Arial" w:hAnsi="Arial" w:eastAsia="宋体"/>
          <w:b/>
          <w:kern w:val="2"/>
          <w:sz w:val="32"/>
          <w:lang w:eastAsia="zh-CN"/>
        </w:rPr>
        <w:t>第九章  公开采购失败的后续处理</w:t>
      </w:r>
      <w:bookmarkEnd w:id="105"/>
      <w:bookmarkEnd w:id="106"/>
      <w:bookmarkEnd w:id="107"/>
      <w:bookmarkEnd w:id="108"/>
      <w:bookmarkEnd w:id="109"/>
    </w:p>
    <w:p w14:paraId="0A3B52E9">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42．公开招标失败的处理</w:t>
      </w:r>
    </w:p>
    <w:p w14:paraId="3B7309A3">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szCs w:val="21"/>
          <w:lang w:eastAsia="zh-CN"/>
        </w:rPr>
        <w:t>42.1本项目公开招标过程中若由于投标截止后</w:t>
      </w:r>
      <w:r>
        <w:rPr>
          <w:rFonts w:hint="eastAsia" w:eastAsia="宋体"/>
          <w:kern w:val="2"/>
          <w:sz w:val="21"/>
          <w:lang w:eastAsia="zh-CN"/>
        </w:rPr>
        <w:t>实际递交</w:t>
      </w:r>
      <w:r>
        <w:rPr>
          <w:rFonts w:eastAsia="宋体"/>
          <w:kern w:val="2"/>
          <w:sz w:val="21"/>
          <w:lang w:eastAsia="zh-CN"/>
        </w:rPr>
        <w:t>投标</w:t>
      </w:r>
      <w:r>
        <w:rPr>
          <w:rFonts w:hint="eastAsia" w:eastAsia="宋体"/>
          <w:kern w:val="2"/>
          <w:sz w:val="21"/>
          <w:lang w:eastAsia="zh-CN"/>
        </w:rPr>
        <w:t>文件的供应商数量不足、经</w:t>
      </w:r>
      <w:r>
        <w:rPr>
          <w:rFonts w:hint="eastAsia" w:eastAsia="宋体"/>
          <w:kern w:val="2"/>
          <w:sz w:val="21"/>
          <w:szCs w:val="21"/>
          <w:lang w:eastAsia="zh-CN"/>
        </w:rPr>
        <w:t>评审委员会</w:t>
      </w:r>
      <w:r>
        <w:rPr>
          <w:rFonts w:hint="eastAsia" w:eastAsia="宋体"/>
          <w:kern w:val="2"/>
          <w:sz w:val="21"/>
          <w:lang w:eastAsia="zh-CN"/>
        </w:rPr>
        <w:t>评审对招标文件作实质响应的供应商不足等原因造成公开招标失败，可由</w:t>
      </w:r>
      <w:r>
        <w:rPr>
          <w:rFonts w:hint="eastAsia" w:eastAsia="宋体" w:cs="宋体"/>
          <w:kern w:val="2"/>
          <w:sz w:val="21"/>
          <w:lang w:eastAsia="zh-CN"/>
        </w:rPr>
        <w:t>采购代理机构</w:t>
      </w:r>
      <w:r>
        <w:rPr>
          <w:rFonts w:hint="eastAsia" w:eastAsia="宋体"/>
          <w:kern w:val="2"/>
          <w:sz w:val="21"/>
          <w:lang w:eastAsia="zh-CN"/>
        </w:rPr>
        <w:t>重新组织采购。</w:t>
      </w:r>
    </w:p>
    <w:p w14:paraId="087866A0">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42.2对公开招标失败的项目，评审委员会在出具该项目招标失败结论的同时，可以提出重新采购组织形式的建议，以及进一步完善招标文件的资格、技术、商务要求的修改建议。</w:t>
      </w:r>
    </w:p>
    <w:p w14:paraId="5B45652E">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42.3重新组织采购有以下两种组织形式：</w:t>
      </w:r>
    </w:p>
    <w:p w14:paraId="0DD654CB">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（1）由采购代理机构重新组织公开招标；</w:t>
      </w:r>
    </w:p>
    <w:p w14:paraId="58E64CF4">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（2）根据实际情况需要向同级财政部门提出非公开招标方式申请，经同级财政部门批准，公开招标失败采购项目可转为竞争性谈判或单一来源谈判方式采购。</w:t>
      </w:r>
    </w:p>
    <w:p w14:paraId="39D2E327">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42.4公开招标失败的采购项目重新组织公开招标，由采购代理机构重新按公开招标流程组织采购活动。</w:t>
      </w:r>
    </w:p>
    <w:p w14:paraId="6B315663">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42.5公开招标失败的采购项目经同级财政部门批准转为竞争性谈判或单一来源谈判方式采购的，按规定要求组织政府采购工作。</w:t>
      </w:r>
    </w:p>
    <w:p w14:paraId="7AFD1DBD">
      <w:pPr>
        <w:widowControl/>
        <w:wordWrap w:val="0"/>
        <w:autoSpaceDE w:val="0"/>
        <w:autoSpaceDN w:val="0"/>
        <w:spacing w:line="360" w:lineRule="auto"/>
        <w:ind w:right="808" w:firstLine="482" w:firstLineChars="200"/>
        <w:jc w:val="both"/>
        <w:rPr>
          <w:rFonts w:eastAsia="宋体"/>
          <w:b/>
          <w:kern w:val="2"/>
          <w:lang w:eastAsia="zh-CN"/>
        </w:rPr>
      </w:pPr>
    </w:p>
    <w:bookmarkEnd w:id="110"/>
    <w:bookmarkEnd w:id="111"/>
    <w:bookmarkEnd w:id="112"/>
    <w:p w14:paraId="129173E8">
      <w:pPr>
        <w:keepNext/>
        <w:keepLines/>
        <w:widowControl/>
        <w:wordWrap w:val="0"/>
        <w:autoSpaceDE w:val="0"/>
        <w:autoSpaceDN w:val="0"/>
        <w:spacing w:line="360" w:lineRule="auto"/>
        <w:ind w:right="808" w:firstLine="643" w:firstLineChars="200"/>
        <w:jc w:val="center"/>
        <w:outlineLvl w:val="1"/>
        <w:rPr>
          <w:rFonts w:ascii="Arial" w:hAnsi="Arial" w:eastAsia="宋体"/>
          <w:b/>
          <w:kern w:val="2"/>
          <w:sz w:val="32"/>
          <w:lang w:eastAsia="zh-CN"/>
        </w:rPr>
      </w:pPr>
      <w:bookmarkStart w:id="113" w:name="第十章1"/>
      <w:bookmarkEnd w:id="113"/>
      <w:bookmarkStart w:id="114" w:name="_Toc27904"/>
      <w:bookmarkStart w:id="115" w:name="_Toc26814"/>
      <w:bookmarkStart w:id="116" w:name="_Toc13677"/>
      <w:bookmarkStart w:id="117" w:name="_Toc9122"/>
      <w:bookmarkStart w:id="118" w:name="_Toc26432"/>
      <w:r>
        <w:rPr>
          <w:rFonts w:hint="eastAsia" w:ascii="Arial" w:hAnsi="Arial" w:eastAsia="宋体"/>
          <w:b/>
          <w:kern w:val="2"/>
          <w:sz w:val="32"/>
          <w:lang w:eastAsia="zh-CN"/>
        </w:rPr>
        <w:t>第十章  合同的授予与备案</w:t>
      </w:r>
      <w:bookmarkEnd w:id="114"/>
      <w:bookmarkEnd w:id="115"/>
      <w:bookmarkEnd w:id="116"/>
      <w:bookmarkEnd w:id="117"/>
      <w:bookmarkEnd w:id="118"/>
    </w:p>
    <w:p w14:paraId="1B226F27">
      <w:pPr>
        <w:widowControl/>
        <w:wordWrap w:val="0"/>
        <w:autoSpaceDE w:val="0"/>
        <w:autoSpaceDN w:val="0"/>
        <w:spacing w:line="400" w:lineRule="exact"/>
        <w:ind w:right="808" w:firstLine="420" w:firstLineChars="200"/>
        <w:jc w:val="both"/>
        <w:rPr>
          <w:rFonts w:eastAsia="宋体"/>
          <w:kern w:val="2"/>
          <w:sz w:val="21"/>
          <w:lang w:eastAsia="zh-CN"/>
        </w:rPr>
      </w:pPr>
      <w:bookmarkStart w:id="119" w:name="_33._合同授予标准"/>
      <w:bookmarkEnd w:id="119"/>
      <w:bookmarkStart w:id="120" w:name="_Toc73521586"/>
      <w:bookmarkStart w:id="121" w:name="_Toc73518157"/>
      <w:bookmarkStart w:id="122" w:name="_Toc73517679"/>
      <w:bookmarkStart w:id="123" w:name="_Toc100052408"/>
      <w:bookmarkStart w:id="124" w:name="_Toc73521674"/>
      <w:bookmarkStart w:id="125" w:name="_Hlk72439088"/>
      <w:r>
        <w:rPr>
          <w:rFonts w:hint="eastAsia" w:eastAsia="宋体"/>
          <w:kern w:val="2"/>
          <w:sz w:val="21"/>
          <w:lang w:eastAsia="zh-CN"/>
        </w:rPr>
        <w:t>43．合同授予标准</w:t>
      </w:r>
      <w:bookmarkEnd w:id="120"/>
      <w:bookmarkEnd w:id="121"/>
      <w:bookmarkEnd w:id="122"/>
      <w:bookmarkEnd w:id="123"/>
      <w:bookmarkEnd w:id="124"/>
    </w:p>
    <w:p w14:paraId="14308314">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本项目的合同将授予经本招标文件规定评审确定的中标供应商。</w:t>
      </w:r>
    </w:p>
    <w:p w14:paraId="19B6294E">
      <w:pPr>
        <w:widowControl/>
        <w:wordWrap w:val="0"/>
        <w:autoSpaceDE w:val="0"/>
        <w:autoSpaceDN w:val="0"/>
        <w:spacing w:line="400" w:lineRule="exact"/>
        <w:ind w:right="808" w:firstLine="420" w:firstLineChars="200"/>
        <w:jc w:val="both"/>
        <w:rPr>
          <w:rFonts w:eastAsia="宋体"/>
          <w:kern w:val="2"/>
          <w:sz w:val="21"/>
          <w:lang w:eastAsia="zh-CN"/>
        </w:rPr>
      </w:pPr>
      <w:bookmarkStart w:id="126" w:name="_Toc73521587"/>
      <w:bookmarkStart w:id="127" w:name="_Toc73521675"/>
      <w:bookmarkStart w:id="128" w:name="_Toc73517680"/>
      <w:bookmarkStart w:id="129" w:name="_Toc100052409"/>
      <w:bookmarkStart w:id="130" w:name="_Toc73518158"/>
      <w:r>
        <w:rPr>
          <w:rFonts w:hint="eastAsia" w:eastAsia="宋体"/>
          <w:kern w:val="2"/>
          <w:sz w:val="21"/>
          <w:lang w:eastAsia="zh-CN"/>
        </w:rPr>
        <w:t>44．</w:t>
      </w:r>
      <w:bookmarkEnd w:id="126"/>
      <w:bookmarkEnd w:id="127"/>
      <w:bookmarkEnd w:id="128"/>
      <w:bookmarkEnd w:id="129"/>
      <w:bookmarkEnd w:id="130"/>
      <w:r>
        <w:rPr>
          <w:rFonts w:hint="eastAsia" w:eastAsia="宋体"/>
          <w:kern w:val="2"/>
          <w:sz w:val="21"/>
          <w:lang w:eastAsia="zh-CN"/>
        </w:rPr>
        <w:t>接受和拒绝任何或所有投标的权力</w:t>
      </w:r>
    </w:p>
    <w:p w14:paraId="7B90424B">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采购代理机构和采购人保留在投标之前任何时候接受或拒绝任何投标或所有投标，以及宣布招标无效的权力，对受影响的投标人不承担任何责任，也无义务向受影响的投标人解释采取这一行动的理由。</w:t>
      </w:r>
    </w:p>
    <w:p w14:paraId="691F3981">
      <w:pPr>
        <w:widowControl/>
        <w:wordWrap w:val="0"/>
        <w:autoSpaceDE w:val="0"/>
        <w:autoSpaceDN w:val="0"/>
        <w:spacing w:line="400" w:lineRule="exact"/>
        <w:ind w:right="808" w:firstLine="420" w:firstLineChars="200"/>
        <w:jc w:val="both"/>
        <w:rPr>
          <w:rFonts w:eastAsia="宋体"/>
          <w:kern w:val="2"/>
          <w:sz w:val="21"/>
          <w:lang w:eastAsia="zh-CN"/>
        </w:rPr>
      </w:pPr>
      <w:bookmarkStart w:id="131" w:name="_Toc73521677"/>
      <w:bookmarkStart w:id="132" w:name="_Toc73521589"/>
      <w:bookmarkStart w:id="133" w:name="_Toc73517682"/>
      <w:bookmarkStart w:id="134" w:name="_Toc100052410"/>
      <w:bookmarkStart w:id="135" w:name="_Toc73518160"/>
      <w:r>
        <w:rPr>
          <w:rFonts w:hint="eastAsia" w:eastAsia="宋体"/>
          <w:kern w:val="2"/>
          <w:sz w:val="21"/>
          <w:lang w:eastAsia="zh-CN"/>
        </w:rPr>
        <w:t>45．合同的签订</w:t>
      </w:r>
      <w:bookmarkEnd w:id="131"/>
      <w:bookmarkEnd w:id="132"/>
      <w:bookmarkEnd w:id="133"/>
      <w:bookmarkEnd w:id="134"/>
      <w:bookmarkEnd w:id="135"/>
    </w:p>
    <w:p w14:paraId="63EB44A7">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45.1中标人将于中标通知书发出之日起十个工作日内，按照采购文件（招标文件和投标文件等）内容与采购人签订政府采购合同；合同的实质性内容应当符合招标文件的规定；</w:t>
      </w:r>
    </w:p>
    <w:p w14:paraId="45813894">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45.2中标人如不按本通用条款第45</w:t>
      </w:r>
      <w:r>
        <w:rPr>
          <w:rFonts w:eastAsia="宋体"/>
          <w:kern w:val="2"/>
          <w:sz w:val="21"/>
          <w:lang w:eastAsia="zh-CN"/>
        </w:rPr>
        <w:t>.1</w:t>
      </w:r>
      <w:r>
        <w:rPr>
          <w:rFonts w:hint="eastAsia" w:eastAsia="宋体"/>
          <w:kern w:val="2"/>
          <w:sz w:val="21"/>
          <w:lang w:eastAsia="zh-CN"/>
        </w:rPr>
        <w:t>款的规定与采购人签订合同，</w:t>
      </w:r>
      <w:r>
        <w:rPr>
          <w:rFonts w:eastAsia="宋体" w:cs="宋体"/>
          <w:sz w:val="21"/>
          <w:lang w:eastAsia="zh-CN"/>
        </w:rPr>
        <w:t>情节严重的，由</w:t>
      </w:r>
      <w:r>
        <w:rPr>
          <w:rFonts w:hint="eastAsia" w:eastAsia="宋体" w:cs="宋体"/>
          <w:sz w:val="21"/>
          <w:lang w:eastAsia="zh-CN"/>
        </w:rPr>
        <w:t>同级财政</w:t>
      </w:r>
      <w:r>
        <w:rPr>
          <w:rFonts w:eastAsia="宋体" w:cs="宋体"/>
          <w:sz w:val="21"/>
          <w:lang w:eastAsia="zh-CN"/>
        </w:rPr>
        <w:t>部门记入供应商诚信档案，予以通报</w:t>
      </w:r>
      <w:r>
        <w:rPr>
          <w:rFonts w:hint="eastAsia" w:eastAsia="宋体"/>
          <w:kern w:val="2"/>
          <w:sz w:val="21"/>
          <w:lang w:eastAsia="zh-CN"/>
        </w:rPr>
        <w:t>；</w:t>
      </w:r>
    </w:p>
    <w:p w14:paraId="6D316B7D">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45.3中标人应当按照合同约定履行义务，完成中标项目，不得将中标项目转让（转包）给他人。</w:t>
      </w:r>
    </w:p>
    <w:p w14:paraId="44AB5801">
      <w:pPr>
        <w:widowControl/>
        <w:wordWrap w:val="0"/>
        <w:autoSpaceDE w:val="0"/>
        <w:autoSpaceDN w:val="0"/>
        <w:spacing w:line="400" w:lineRule="exact"/>
        <w:ind w:right="808" w:firstLine="420" w:firstLineChars="200"/>
        <w:jc w:val="both"/>
        <w:rPr>
          <w:rFonts w:eastAsia="宋体"/>
          <w:kern w:val="2"/>
          <w:sz w:val="21"/>
          <w:lang w:eastAsia="zh-CN"/>
        </w:rPr>
      </w:pPr>
      <w:bookmarkStart w:id="136" w:name="_Toc73518161"/>
      <w:bookmarkStart w:id="137" w:name="_Toc73517683"/>
      <w:bookmarkStart w:id="138" w:name="_Toc100052411"/>
      <w:bookmarkStart w:id="139" w:name="_Toc73521678"/>
      <w:bookmarkStart w:id="140" w:name="_Toc73521590"/>
      <w:r>
        <w:rPr>
          <w:rFonts w:hint="eastAsia" w:eastAsia="宋体"/>
          <w:kern w:val="2"/>
          <w:sz w:val="21"/>
          <w:lang w:eastAsia="zh-CN"/>
        </w:rPr>
        <w:t>46．履约担保</w:t>
      </w:r>
      <w:bookmarkEnd w:id="136"/>
      <w:bookmarkEnd w:id="137"/>
      <w:bookmarkEnd w:id="138"/>
      <w:bookmarkEnd w:id="139"/>
      <w:bookmarkEnd w:id="140"/>
    </w:p>
    <w:p w14:paraId="49253427">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46.1在签订项目合同的同时，中标人应按“对通用条款的补充内容”中规定的金额向采购人提交履约担保；</w:t>
      </w:r>
    </w:p>
    <w:p w14:paraId="494B9608">
      <w:pPr>
        <w:widowControl/>
        <w:wordWrap w:val="0"/>
        <w:autoSpaceDE w:val="0"/>
        <w:autoSpaceDN w:val="0"/>
        <w:spacing w:line="400" w:lineRule="exact"/>
        <w:ind w:right="808"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46.2，允许供应商自主选择以支票、汇票、本票、保函等非现金方式提交履约担保；</w:t>
      </w:r>
      <w:r>
        <w:rPr>
          <w:rFonts w:eastAsia="宋体"/>
          <w:kern w:val="2"/>
          <w:sz w:val="21"/>
          <w:lang w:eastAsia="zh-CN"/>
        </w:rPr>
        <w:t>中标</w:t>
      </w:r>
      <w:r>
        <w:rPr>
          <w:rFonts w:hint="eastAsia" w:eastAsia="宋体"/>
          <w:kern w:val="2"/>
          <w:sz w:val="21"/>
          <w:lang w:eastAsia="zh-CN"/>
        </w:rPr>
        <w:t>人</w:t>
      </w:r>
      <w:r>
        <w:rPr>
          <w:rFonts w:eastAsia="宋体"/>
          <w:kern w:val="2"/>
          <w:sz w:val="21"/>
          <w:lang w:eastAsia="zh-CN"/>
        </w:rPr>
        <w:t>提交履约</w:t>
      </w:r>
      <w:r>
        <w:rPr>
          <w:rFonts w:hint="eastAsia" w:eastAsia="宋体"/>
          <w:kern w:val="2"/>
          <w:sz w:val="21"/>
          <w:lang w:eastAsia="zh-CN"/>
        </w:rPr>
        <w:t>担保不是</w:t>
      </w:r>
      <w:r>
        <w:rPr>
          <w:rFonts w:eastAsia="宋体"/>
          <w:kern w:val="2"/>
          <w:sz w:val="21"/>
          <w:lang w:eastAsia="zh-CN"/>
        </w:rPr>
        <w:t>合同签订的</w:t>
      </w:r>
      <w:r>
        <w:rPr>
          <w:rFonts w:hint="eastAsia" w:eastAsia="宋体"/>
          <w:kern w:val="2"/>
          <w:sz w:val="21"/>
          <w:lang w:eastAsia="zh-CN"/>
        </w:rPr>
        <w:t>前提</w:t>
      </w:r>
      <w:r>
        <w:rPr>
          <w:rFonts w:eastAsia="宋体"/>
          <w:kern w:val="2"/>
          <w:sz w:val="21"/>
          <w:lang w:eastAsia="zh-CN"/>
        </w:rPr>
        <w:t>条件，不要求中标</w:t>
      </w:r>
      <w:r>
        <w:rPr>
          <w:rFonts w:hint="eastAsia" w:eastAsia="宋体"/>
          <w:kern w:val="2"/>
          <w:sz w:val="21"/>
          <w:lang w:eastAsia="zh-CN"/>
        </w:rPr>
        <w:t>人</w:t>
      </w:r>
      <w:r>
        <w:rPr>
          <w:rFonts w:eastAsia="宋体"/>
          <w:kern w:val="2"/>
          <w:sz w:val="21"/>
          <w:lang w:eastAsia="zh-CN"/>
        </w:rPr>
        <w:t>提供除法律、法规明确规定外的其他担保</w:t>
      </w:r>
      <w:r>
        <w:rPr>
          <w:rFonts w:hint="eastAsia" w:eastAsia="宋体"/>
          <w:kern w:val="2"/>
          <w:sz w:val="21"/>
          <w:lang w:eastAsia="zh-CN"/>
        </w:rPr>
        <w:t>。</w:t>
      </w:r>
    </w:p>
    <w:p w14:paraId="4FA75303">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47.合同备案</w:t>
      </w:r>
    </w:p>
    <w:p w14:paraId="41FB0145">
      <w:pPr>
        <w:widowControl/>
        <w:wordWrap w:val="0"/>
        <w:autoSpaceDE w:val="0"/>
        <w:autoSpaceDN w:val="0"/>
        <w:spacing w:line="400" w:lineRule="exact"/>
        <w:ind w:right="808" w:firstLine="420" w:firstLineChars="200"/>
        <w:jc w:val="both"/>
        <w:rPr>
          <w:rFonts w:ascii="黑体" w:eastAsia="黑体"/>
          <w:kern w:val="2"/>
          <w:lang w:eastAsia="zh-CN"/>
        </w:rPr>
      </w:pPr>
      <w:r>
        <w:rPr>
          <w:rFonts w:hint="eastAsia" w:eastAsia="宋体"/>
          <w:kern w:val="2"/>
          <w:sz w:val="21"/>
          <w:lang w:eastAsia="zh-CN"/>
        </w:rPr>
        <w:t>采购人与中标供应商自中标通知书发出之日起10个工作日内签订政府采购合同，并按财政部门规定提交备案。</w:t>
      </w:r>
      <w:r>
        <w:rPr>
          <w:rFonts w:hint="eastAsia" w:ascii="黑体" w:eastAsia="黑体"/>
          <w:kern w:val="2"/>
          <w:lang w:eastAsia="zh-CN"/>
        </w:rPr>
        <w:t>48.合同变更</w:t>
      </w:r>
    </w:p>
    <w:p w14:paraId="739BCB03">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合同变更事宜按《深圳市财政局关于优化政府采购合同备案的通知》（深财发保〔2022〕2号）相关规定执行。</w:t>
      </w:r>
    </w:p>
    <w:p w14:paraId="723270A8">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49.项目验收</w:t>
      </w:r>
    </w:p>
    <w:p w14:paraId="014EA553">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49.1采购人应当按照招标文件和合同规定的标准和方法，及时组织验收。</w:t>
      </w:r>
    </w:p>
    <w:p w14:paraId="1AA8A7F2">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50.宣传</w:t>
      </w:r>
    </w:p>
    <w:p w14:paraId="1ADA88D9">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凡与政府采购活动有关的宣传或广告，若当中提及政府采购，</w:t>
      </w:r>
      <w:r>
        <w:rPr>
          <w:rFonts w:eastAsia="宋体"/>
          <w:kern w:val="2"/>
          <w:sz w:val="21"/>
          <w:lang w:eastAsia="zh-CN"/>
        </w:rPr>
        <w:t>必须事先将具体对外宣传方案报</w:t>
      </w:r>
      <w:r>
        <w:rPr>
          <w:rFonts w:hint="eastAsia" w:eastAsia="宋体"/>
          <w:kern w:val="2"/>
          <w:sz w:val="21"/>
          <w:lang w:eastAsia="zh-CN"/>
        </w:rPr>
        <w:t>同级财政部门</w:t>
      </w:r>
      <w:r>
        <w:rPr>
          <w:rFonts w:eastAsia="宋体"/>
          <w:kern w:val="2"/>
          <w:sz w:val="21"/>
          <w:lang w:eastAsia="zh-CN"/>
        </w:rPr>
        <w:t>和</w:t>
      </w:r>
      <w:r>
        <w:rPr>
          <w:rFonts w:hint="eastAsia" w:eastAsia="宋体"/>
          <w:kern w:val="2"/>
          <w:sz w:val="21"/>
          <w:lang w:eastAsia="zh-CN"/>
        </w:rPr>
        <w:t>采购代理机构</w:t>
      </w:r>
      <w:r>
        <w:rPr>
          <w:rFonts w:eastAsia="宋体"/>
          <w:kern w:val="2"/>
          <w:sz w:val="21"/>
          <w:lang w:eastAsia="zh-CN"/>
        </w:rPr>
        <w:t>，并征得其同意。对外市场宣传包括但不限于以下形式：</w:t>
      </w:r>
    </w:p>
    <w:p w14:paraId="260B94EE">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a.名片、宣传册、广告标语等；</w:t>
      </w:r>
    </w:p>
    <w:p w14:paraId="6277D121">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b.案例介绍、推广等；</w:t>
      </w:r>
    </w:p>
    <w:p w14:paraId="5174810E">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c.工作</w:t>
      </w:r>
      <w:r>
        <w:rPr>
          <w:rFonts w:eastAsia="宋体"/>
          <w:kern w:val="2"/>
          <w:sz w:val="21"/>
          <w:lang w:eastAsia="zh-CN"/>
        </w:rPr>
        <w:t>人员向其他消费群体宣传。</w:t>
      </w:r>
    </w:p>
    <w:p w14:paraId="0B9E7E6A">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51.供应商违法责任</w:t>
      </w:r>
    </w:p>
    <w:p w14:paraId="2815421E">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5</w:t>
      </w:r>
      <w:r>
        <w:rPr>
          <w:rFonts w:eastAsia="宋体"/>
          <w:kern w:val="2"/>
          <w:sz w:val="21"/>
          <w:lang w:eastAsia="zh-CN"/>
        </w:rPr>
        <w:t>1.1</w:t>
      </w:r>
      <w:r>
        <w:rPr>
          <w:rFonts w:hint="eastAsia" w:eastAsia="宋体"/>
          <w:kern w:val="2"/>
          <w:sz w:val="21"/>
          <w:lang w:eastAsia="zh-CN"/>
        </w:rPr>
        <w:t>《深圳经济特区政府采购条例》第五十七条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1DA982E0">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（1）在采购活动中应当回避而未回避的；</w:t>
      </w:r>
    </w:p>
    <w:p w14:paraId="2B982DF2">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（2）未按本条例规定签订、履行采购合同，造成严重后果的；</w:t>
      </w:r>
    </w:p>
    <w:p w14:paraId="40724004">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（3）隐瞒真实情况，提供虚假资料的；</w:t>
      </w:r>
    </w:p>
    <w:p w14:paraId="1AC22FA4">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（4）以非法手段排斥其他供应商参与竞争的；</w:t>
      </w:r>
    </w:p>
    <w:p w14:paraId="2A069072">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（5）与其他采购参加人串通投标的；</w:t>
      </w:r>
    </w:p>
    <w:p w14:paraId="2B31243E">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（6）恶意投诉的；</w:t>
      </w:r>
    </w:p>
    <w:p w14:paraId="67BE082C">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（7）向采购项目相关人行贿或者提供其他不当利益的；</w:t>
      </w:r>
    </w:p>
    <w:p w14:paraId="469A71C9">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（8）阻碍、抗拒主管部门监督检查的；</w:t>
      </w:r>
    </w:p>
    <w:p w14:paraId="3EE5C073">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（9）其他违反本条例规定的行为。</w:t>
      </w:r>
    </w:p>
    <w:p w14:paraId="77FB7727">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5</w:t>
      </w:r>
      <w:r>
        <w:rPr>
          <w:rFonts w:eastAsia="宋体"/>
          <w:kern w:val="2"/>
          <w:sz w:val="21"/>
          <w:lang w:eastAsia="zh-CN"/>
        </w:rPr>
        <w:t>1.2</w:t>
      </w:r>
      <w:r>
        <w:rPr>
          <w:rFonts w:hint="eastAsia" w:eastAsia="宋体"/>
          <w:kern w:val="2"/>
          <w:sz w:val="21"/>
          <w:lang w:eastAsia="zh-CN"/>
        </w:rPr>
        <w:t>根据《深圳市财政局关于调整政府采购投标（响应）保证金管理政策的通知》（深财购〔2021〕51号）的要求，供应商在政府采购活动中出现《深圳经济特区政府采购条例实施细则》第八十条所列情形的，</w:t>
      </w:r>
      <w:bookmarkStart w:id="141" w:name="_Hlk72440769"/>
      <w:r>
        <w:rPr>
          <w:rFonts w:hint="eastAsia" w:eastAsia="宋体"/>
          <w:kern w:val="2"/>
          <w:sz w:val="21"/>
          <w:lang w:eastAsia="zh-CN"/>
        </w:rPr>
        <w:t>采购代理机构或采购人不予退还其交纳的谈判保证金，情节严重的，并由主管部门</w:t>
      </w:r>
      <w:bookmarkEnd w:id="141"/>
      <w:r>
        <w:rPr>
          <w:rFonts w:hint="eastAsia" w:eastAsia="宋体"/>
          <w:kern w:val="2"/>
          <w:sz w:val="21"/>
          <w:lang w:eastAsia="zh-CN"/>
        </w:rPr>
        <w:t>记入供应商诚信档案，予以通报：</w:t>
      </w:r>
    </w:p>
    <w:p w14:paraId="79E76484">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（1</w:t>
      </w:r>
      <w:r>
        <w:rPr>
          <w:rFonts w:eastAsia="宋体"/>
          <w:kern w:val="2"/>
          <w:sz w:val="21"/>
          <w:lang w:eastAsia="zh-CN"/>
        </w:rPr>
        <w:t>）投标截止后，撤销投标的；</w:t>
      </w:r>
    </w:p>
    <w:p w14:paraId="69021A9D">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w:t>
      </w:r>
      <w:r>
        <w:rPr>
          <w:rFonts w:hint="eastAsia" w:eastAsia="宋体"/>
          <w:kern w:val="2"/>
          <w:sz w:val="21"/>
          <w:lang w:eastAsia="zh-CN"/>
        </w:rPr>
        <w:t>2</w:t>
      </w:r>
      <w:r>
        <w:rPr>
          <w:rFonts w:eastAsia="宋体"/>
          <w:kern w:val="2"/>
          <w:sz w:val="21"/>
          <w:lang w:eastAsia="zh-CN"/>
        </w:rPr>
        <w:t>）中标后无正当理由未在规定期限内签订合同的；</w:t>
      </w:r>
    </w:p>
    <w:p w14:paraId="09E5D8E6">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w:t>
      </w:r>
      <w:r>
        <w:rPr>
          <w:rFonts w:hint="eastAsia" w:eastAsia="宋体"/>
          <w:kern w:val="2"/>
          <w:sz w:val="21"/>
          <w:lang w:eastAsia="zh-CN"/>
        </w:rPr>
        <w:t>3</w:t>
      </w:r>
      <w:r>
        <w:rPr>
          <w:rFonts w:eastAsia="宋体"/>
          <w:kern w:val="2"/>
          <w:sz w:val="21"/>
          <w:lang w:eastAsia="zh-CN"/>
        </w:rPr>
        <w:t>）将中标项目转让给他人、或者在投标文件中未说明且未经采购人、采购招标机构同意，将中标项目分包给他人的；</w:t>
      </w:r>
    </w:p>
    <w:p w14:paraId="0CBAE133">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w:t>
      </w:r>
      <w:r>
        <w:rPr>
          <w:rFonts w:hint="eastAsia" w:eastAsia="宋体"/>
          <w:kern w:val="2"/>
          <w:sz w:val="21"/>
          <w:lang w:eastAsia="zh-CN"/>
        </w:rPr>
        <w:t>4</w:t>
      </w:r>
      <w:r>
        <w:rPr>
          <w:rFonts w:eastAsia="宋体"/>
          <w:kern w:val="2"/>
          <w:sz w:val="21"/>
          <w:lang w:eastAsia="zh-CN"/>
        </w:rPr>
        <w:t>）拒绝履行合同义务的</w:t>
      </w:r>
      <w:r>
        <w:rPr>
          <w:rFonts w:hint="eastAsia" w:eastAsia="宋体"/>
          <w:kern w:val="2"/>
          <w:sz w:val="21"/>
          <w:lang w:eastAsia="zh-CN"/>
        </w:rPr>
        <w:t>。</w:t>
      </w:r>
    </w:p>
    <w:bookmarkEnd w:id="125"/>
    <w:p w14:paraId="0A33A0A7">
      <w:pPr>
        <w:widowControl/>
        <w:wordWrap w:val="0"/>
        <w:autoSpaceDE w:val="0"/>
        <w:autoSpaceDN w:val="0"/>
        <w:spacing w:line="360" w:lineRule="auto"/>
        <w:ind w:right="808" w:firstLine="482" w:firstLineChars="200"/>
        <w:jc w:val="both"/>
        <w:rPr>
          <w:rFonts w:eastAsia="宋体"/>
          <w:b/>
          <w:kern w:val="2"/>
          <w:lang w:eastAsia="zh-CN"/>
        </w:rPr>
      </w:pPr>
    </w:p>
    <w:p w14:paraId="41F617A8">
      <w:pPr>
        <w:keepNext/>
        <w:keepLines/>
        <w:widowControl/>
        <w:wordWrap w:val="0"/>
        <w:autoSpaceDE w:val="0"/>
        <w:autoSpaceDN w:val="0"/>
        <w:spacing w:line="360" w:lineRule="auto"/>
        <w:ind w:right="808" w:firstLine="643" w:firstLineChars="200"/>
        <w:jc w:val="center"/>
        <w:outlineLvl w:val="1"/>
        <w:rPr>
          <w:rFonts w:ascii="Arial" w:hAnsi="Arial" w:eastAsia="宋体"/>
          <w:b/>
          <w:kern w:val="2"/>
          <w:sz w:val="32"/>
          <w:lang w:eastAsia="zh-CN"/>
        </w:rPr>
      </w:pPr>
      <w:bookmarkStart w:id="142" w:name="_Toc19433"/>
      <w:r>
        <w:rPr>
          <w:rFonts w:hint="eastAsia" w:ascii="Arial" w:hAnsi="Arial" w:eastAsia="宋体"/>
          <w:b/>
          <w:kern w:val="2"/>
          <w:sz w:val="32"/>
          <w:lang w:eastAsia="zh-CN"/>
        </w:rPr>
        <w:t>第十一章  质疑处理</w:t>
      </w:r>
      <w:bookmarkEnd w:id="142"/>
    </w:p>
    <w:p w14:paraId="03C3A1D4">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52.质疑提出与答复</w:t>
      </w:r>
    </w:p>
    <w:p w14:paraId="17ACADFC">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52.1提出质疑</w:t>
      </w:r>
    </w:p>
    <w:p w14:paraId="382F620A">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参与政府采购活动的供应商认为自己的权益在采购活动中受到损害的，应当自知道或者应当知道其权益受到损害之日起七个工作日内向采购人、采购代理机构以书面形式提出质疑。</w:t>
      </w:r>
    </w:p>
    <w:p w14:paraId="02E975AB">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52.2</w:t>
      </w:r>
      <w:r>
        <w:rPr>
          <w:rFonts w:eastAsia="宋体"/>
          <w:kern w:val="2"/>
          <w:sz w:val="21"/>
          <w:lang w:eastAsia="zh-CN"/>
        </w:rPr>
        <w:t>法律依据</w:t>
      </w:r>
    </w:p>
    <w:p w14:paraId="062A5DE4">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《中华人民共和国政府采购法》、《中华人民共和国政府采购法实施条例》、</w:t>
      </w:r>
      <w:r>
        <w:rPr>
          <w:rFonts w:eastAsia="宋体"/>
          <w:kern w:val="2"/>
          <w:sz w:val="21"/>
          <w:lang w:eastAsia="zh-CN"/>
        </w:rPr>
        <w:t>《</w:t>
      </w:r>
      <w:r>
        <w:rPr>
          <w:rFonts w:hint="eastAsia" w:eastAsia="宋体"/>
          <w:kern w:val="2"/>
          <w:sz w:val="21"/>
          <w:lang w:eastAsia="zh-CN"/>
        </w:rPr>
        <w:t>深圳经济特区政府采购</w:t>
      </w:r>
      <w:r>
        <w:rPr>
          <w:rFonts w:eastAsia="宋体"/>
          <w:kern w:val="2"/>
          <w:sz w:val="21"/>
          <w:lang w:eastAsia="zh-CN"/>
        </w:rPr>
        <w:t>条例</w:t>
      </w:r>
      <w:r>
        <w:rPr>
          <w:rFonts w:hint="eastAsia" w:eastAsia="宋体"/>
          <w:kern w:val="2"/>
          <w:sz w:val="21"/>
          <w:lang w:eastAsia="zh-CN"/>
        </w:rPr>
        <w:t>》、《深圳经济特区政府采购条例实施细则》、《政府采购质疑和投诉办法》（财政部令第94号）和其他有关法律法规规定。</w:t>
      </w:r>
    </w:p>
    <w:p w14:paraId="33FB2095">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52.3质疑条件</w:t>
      </w:r>
    </w:p>
    <w:p w14:paraId="736AEA46">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52.3.1提出质疑的供应商应当是参与所质疑项目采购活动的供应商；</w:t>
      </w:r>
      <w:bookmarkStart w:id="143" w:name="_Hlk75374941"/>
      <w:r>
        <w:rPr>
          <w:rFonts w:hint="eastAsia" w:eastAsia="宋体"/>
          <w:kern w:val="2"/>
          <w:sz w:val="21"/>
          <w:lang w:eastAsia="zh-CN"/>
        </w:rPr>
        <w:t>以联合体形式参与的，质疑应当由组成联合体的所有成员共同提出</w:t>
      </w:r>
      <w:bookmarkEnd w:id="143"/>
      <w:r>
        <w:rPr>
          <w:rFonts w:hint="eastAsia" w:eastAsia="宋体"/>
          <w:kern w:val="2"/>
          <w:sz w:val="21"/>
          <w:lang w:eastAsia="zh-CN"/>
        </w:rPr>
        <w:t>；</w:t>
      </w:r>
    </w:p>
    <w:p w14:paraId="4BA87FE0">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14:paraId="70D53357">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52.3.3应提交书面质疑函，质疑函应当包括以下内容：</w:t>
      </w:r>
    </w:p>
    <w:p w14:paraId="36838B1F">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（1）供应商的名称（或者姓名）、地址、邮编、邮箱、联系人及联系电话；</w:t>
      </w:r>
    </w:p>
    <w:p w14:paraId="4F86DC69">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（2）质疑项目的名称、编号；</w:t>
      </w:r>
    </w:p>
    <w:p w14:paraId="6F6487C7">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（3）具体、明确的质疑对象、质疑事项和质疑请求；</w:t>
      </w:r>
    </w:p>
    <w:p w14:paraId="5FCC1D4F">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（4）因质疑事项而受损害的权益；</w:t>
      </w:r>
    </w:p>
    <w:p w14:paraId="31A9E85B">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（5）事实依据；</w:t>
      </w:r>
    </w:p>
    <w:p w14:paraId="0D645762">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（6）必要的法律依据；</w:t>
      </w:r>
    </w:p>
    <w:p w14:paraId="6ACBA2FF">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（7）提出质疑的日期。</w:t>
      </w:r>
    </w:p>
    <w:p w14:paraId="28C6BC40">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供应商为自然人的，应当由本人签字；供应商为法人或者其他组织的，应当由法定代表人（负责人），或者其授权代理人签字或者盖章，并加盖公章。</w:t>
      </w:r>
    </w:p>
    <w:p w14:paraId="64941BD0">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52.4提交</w:t>
      </w:r>
      <w:r>
        <w:rPr>
          <w:rFonts w:eastAsia="宋体"/>
          <w:kern w:val="2"/>
          <w:sz w:val="21"/>
          <w:lang w:eastAsia="zh-CN"/>
        </w:rPr>
        <w:t>材料</w:t>
      </w:r>
    </w:p>
    <w:p w14:paraId="7C1D7CA0">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供应商质疑实行实名制。供应商为自然人的，应当提交本人身份证复印件；供应商为法人或者其他组织的，应当根据自身性质提交营业执照复印件或者其他证明文件（如事业单位法人证书等）复印件。</w:t>
      </w:r>
    </w:p>
    <w:p w14:paraId="24A1EF4C">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供应商可以委托代理人进行质疑。</w:t>
      </w:r>
      <w:r>
        <w:rPr>
          <w:rFonts w:eastAsia="宋体"/>
          <w:kern w:val="2"/>
          <w:sz w:val="21"/>
          <w:lang w:eastAsia="zh-CN"/>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56CF5A83">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52.5收文地点</w:t>
      </w:r>
    </w:p>
    <w:p w14:paraId="4778C272">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地址：深圳市千里招标代理有限公司（地址：深圳市龙华区民治街道民强社区梅龙路和民旺路相交处民治商贸广场B2102）。</w:t>
      </w:r>
    </w:p>
    <w:p w14:paraId="2391C4FC">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52.6收文办理</w:t>
      </w:r>
      <w:r>
        <w:rPr>
          <w:rFonts w:eastAsia="宋体"/>
          <w:kern w:val="2"/>
          <w:sz w:val="21"/>
          <w:lang w:eastAsia="zh-CN"/>
        </w:rPr>
        <w:t>程序</w:t>
      </w:r>
    </w:p>
    <w:p w14:paraId="7DBDE7CD">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52.6.1供应商提交的质疑符合受理条件的，采购代理机构自收到质疑材料之日起即为受理，应当向供应商出具质疑函收文回执并可以要求其递交质疑的法定代表人（负责人）或者授权代理人签署质疑文书送达地址确认书。</w:t>
      </w:r>
    </w:p>
    <w:p w14:paraId="2A4975FD">
      <w:pPr>
        <w:widowControl/>
        <w:wordWrap w:val="0"/>
        <w:autoSpaceDE w:val="0"/>
        <w:autoSpaceDN w:val="0"/>
        <w:spacing w:line="400" w:lineRule="exact"/>
        <w:ind w:right="808" w:firstLine="420" w:firstLineChars="200"/>
        <w:jc w:val="both"/>
        <w:rPr>
          <w:rFonts w:ascii="仿宋" w:hAnsi="仿宋" w:eastAsia="仿宋"/>
          <w:kern w:val="2"/>
          <w:sz w:val="28"/>
          <w:szCs w:val="28"/>
          <w:lang w:eastAsia="zh-CN"/>
        </w:rPr>
      </w:pPr>
      <w:r>
        <w:rPr>
          <w:rFonts w:hint="eastAsia" w:eastAsia="宋体"/>
          <w:kern w:val="2"/>
          <w:sz w:val="21"/>
          <w:lang w:eastAsia="zh-CN"/>
        </w:rPr>
        <w:t>52.6.2供应商提交的质疑材料不符合质疑条件的，视情况处理：</w:t>
      </w:r>
    </w:p>
    <w:p w14:paraId="6028D4C4">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供应商提交的质疑材料不全或者未按要求签字或者盖章的，采购代理机构应当一次性告知供应商需补正的内容和补正期限。</w:t>
      </w:r>
    </w:p>
    <w:p w14:paraId="21D13ED3">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供应商提交的质疑存在下列情形之一的，不予受理：</w:t>
      </w:r>
    </w:p>
    <w:p w14:paraId="74730455">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（1）质疑主体不满足要求的；</w:t>
      </w:r>
    </w:p>
    <w:p w14:paraId="7A613505">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（2）供应商自身权益未受到损害的；</w:t>
      </w:r>
    </w:p>
    <w:p w14:paraId="30FF19DF">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（3）供应商未在法定质疑期限内提出质疑的；</w:t>
      </w:r>
    </w:p>
    <w:p w14:paraId="6385F4C5">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（4）质疑材料不全或者未按要求签字或者盖章的情况下，要求补正后，逾期未补正或者补正后仍不符合规定的；</w:t>
      </w:r>
    </w:p>
    <w:p w14:paraId="2D271F4C">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（5）其他不符合受理条件情形的。</w:t>
      </w:r>
    </w:p>
    <w:p w14:paraId="5A5FEE38">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质疑事项不予受理的，采购代理机构应当向供应商出具不符合质疑条件告知书。</w:t>
      </w:r>
    </w:p>
    <w:p w14:paraId="50342475">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52.7质疑答复时限</w:t>
      </w:r>
    </w:p>
    <w:p w14:paraId="2BD9E908">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自收文之日起七个工作日内。</w:t>
      </w:r>
    </w:p>
    <w:p w14:paraId="710354D4">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52.8投诉</w:t>
      </w:r>
    </w:p>
    <w:p w14:paraId="4E38C58F">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对质疑答复不满意或者未在规定时间内答复的，提出质疑的供应商可以在答复期满后15个工作日内向本项目预算主管单位投诉。</w:t>
      </w:r>
    </w:p>
    <w:p w14:paraId="2FE8BE4C">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53.质疑后续处理</w:t>
      </w:r>
    </w:p>
    <w:p w14:paraId="289E4DEA">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53.1供应商质疑不成立，或者成立但未对中标、成交结果构成影响的，继续开展采购活动。</w:t>
      </w:r>
    </w:p>
    <w:p w14:paraId="5CF9B080">
      <w:pPr>
        <w:widowControl/>
        <w:wordWrap w:val="0"/>
        <w:autoSpaceDE w:val="0"/>
        <w:autoSpaceDN w:val="0"/>
        <w:spacing w:line="400" w:lineRule="exact"/>
        <w:ind w:right="808" w:firstLine="420" w:firstLineChars="200"/>
        <w:jc w:val="both"/>
        <w:rPr>
          <w:rFonts w:ascii="微软雅黑" w:hAnsi="微软雅黑" w:eastAsia="微软雅黑" w:cs="微软雅黑"/>
          <w:color w:val="333333"/>
          <w:lang w:val="en" w:eastAsia="en"/>
        </w:rPr>
        <w:sectPr>
          <w:headerReference r:id="rId3" w:type="default"/>
          <w:footerReference r:id="rId4" w:type="default"/>
          <w:pgMar w:top="1440" w:right="1800" w:bottom="1440" w:left="1800" w:header="708" w:footer="708" w:gutter="0"/>
          <w:cols w:space="708" w:num="1"/>
        </w:sectPr>
      </w:pPr>
      <w:r>
        <w:rPr>
          <w:rFonts w:hint="eastAsia" w:eastAsia="宋体"/>
          <w:kern w:val="2"/>
          <w:sz w:val="21"/>
          <w:lang w:eastAsia="zh-CN"/>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14:paraId="66E7B210">
      <w:pPr>
        <w:pBdr>
          <w:top w:val="none" w:color="auto" w:sz="0" w:space="0"/>
          <w:left w:val="single" w:color="DDDDDD" w:sz="6" w:space="0"/>
          <w:bottom w:val="none" w:color="auto" w:sz="0" w:space="0"/>
          <w:right w:val="single" w:color="DDDDDD" w:sz="6" w:space="0"/>
        </w:pBdr>
        <w:spacing w:before="0" w:after="0" w:line="648" w:lineRule="atLeast"/>
        <w:ind w:left="15" w:right="15"/>
        <w:jc w:val="center"/>
        <w:outlineLvl w:val="0"/>
        <w:rPr>
          <w:rFonts w:ascii="仿宋" w:hAnsi="仿宋" w:eastAsia="仿宋" w:cs="仿宋"/>
          <w:b/>
          <w:bCs/>
          <w:color w:val="000000"/>
          <w:sz w:val="48"/>
          <w:szCs w:val="48"/>
          <w:lang w:val="en" w:eastAsia="en"/>
        </w:rPr>
      </w:pPr>
      <w:r>
        <w:rPr>
          <w:rFonts w:ascii="仿宋" w:hAnsi="仿宋" w:eastAsia="仿宋" w:cs="仿宋"/>
          <w:b/>
          <w:bCs/>
          <w:color w:val="000000"/>
          <w:sz w:val="48"/>
          <w:szCs w:val="48"/>
          <w:lang w:val="en" w:eastAsia="en"/>
        </w:rPr>
        <w:t>投标文件格式</w:t>
      </w:r>
    </w:p>
    <w:p w14:paraId="717C59A7">
      <w:pPr>
        <w:pBdr>
          <w:top w:val="none" w:color="auto" w:sz="0" w:space="0"/>
          <w:left w:val="none" w:color="auto" w:sz="0" w:space="0"/>
          <w:bottom w:val="none" w:color="auto" w:sz="0" w:space="0"/>
          <w:right w:val="none" w:color="auto" w:sz="0" w:space="0"/>
        </w:pBdr>
        <w:spacing w:before="0" w:after="0" w:line="504" w:lineRule="atLeast"/>
        <w:ind w:left="15" w:right="15"/>
        <w:jc w:val="center"/>
        <w:rPr>
          <w:rFonts w:ascii="仿宋" w:hAnsi="仿宋" w:eastAsia="仿宋" w:cs="仿宋"/>
          <w:b/>
          <w:bCs/>
          <w:color w:val="333333"/>
          <w:sz w:val="28"/>
          <w:szCs w:val="28"/>
          <w:lang w:val="en" w:eastAsia="en"/>
        </w:rPr>
      </w:pPr>
      <w:r>
        <w:rPr>
          <w:rFonts w:hint="eastAsia" w:ascii="仿宋" w:hAnsi="仿宋" w:eastAsia="仿宋" w:cs="仿宋"/>
          <w:b/>
          <w:bCs/>
          <w:color w:val="333333"/>
          <w:sz w:val="28"/>
          <w:szCs w:val="28"/>
          <w:lang w:val="en" w:eastAsia="zh-CN"/>
        </w:rPr>
        <w:t>大浪校区监控视频存储及光网络交换设备</w:t>
      </w:r>
      <w:r>
        <w:rPr>
          <w:rFonts w:ascii="仿宋" w:hAnsi="仿宋" w:eastAsia="仿宋" w:cs="仿宋"/>
          <w:b/>
          <w:bCs/>
          <w:color w:val="333333"/>
          <w:sz w:val="28"/>
          <w:szCs w:val="28"/>
          <w:lang w:val="en" w:eastAsia="en"/>
        </w:rPr>
        <w:t>-A</w:t>
      </w:r>
    </w:p>
    <w:tbl>
      <w:tblPr>
        <w:tblStyle w:val="12"/>
        <w:tblW w:w="5000" w:type="pct"/>
        <w:tblInd w:w="15"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0" w:type="dxa"/>
          <w:left w:w="0" w:type="dxa"/>
          <w:bottom w:w="0" w:type="dxa"/>
          <w:right w:w="0" w:type="dxa"/>
        </w:tblCellMar>
      </w:tblPr>
      <w:tblGrid>
        <w:gridCol w:w="1644"/>
        <w:gridCol w:w="7492"/>
      </w:tblGrid>
      <w:tr w14:paraId="265732AF">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tblHeader/>
        </w:trPr>
        <w:tc>
          <w:tcPr>
            <w:tcW w:w="9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72B2DE68">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序号</w:t>
            </w:r>
          </w:p>
        </w:tc>
        <w:tc>
          <w:tcPr>
            <w:tcW w:w="41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54C68503">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文件夹/文件名称</w:t>
            </w:r>
          </w:p>
        </w:tc>
      </w:tr>
      <w:tr w14:paraId="601C14B3">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7D636CF">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E811C39">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投标函</w:t>
            </w:r>
          </w:p>
        </w:tc>
      </w:tr>
      <w:tr w14:paraId="0F6AC4E5">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2B09117">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2</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2EE8DF2">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龙华区教育局自行采购投标及履约承诺函</w:t>
            </w:r>
          </w:p>
        </w:tc>
      </w:tr>
      <w:tr w14:paraId="0729D9CF">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9067FC9">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3</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64F23B3">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投标人情况及资格证明文件</w:t>
            </w:r>
          </w:p>
        </w:tc>
      </w:tr>
      <w:tr w14:paraId="350E01BD">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677AC4B">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4</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F69E8FA">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分项报价清单</w:t>
            </w:r>
          </w:p>
        </w:tc>
      </w:tr>
      <w:tr w14:paraId="7D75B68E">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DB517FE">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5</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3DC82E6">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股东构成审查表</w:t>
            </w:r>
          </w:p>
        </w:tc>
      </w:tr>
      <w:tr w14:paraId="62C9599A">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4546A4B">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6</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7049368">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法定代表人（负责人）证明书</w:t>
            </w:r>
          </w:p>
        </w:tc>
      </w:tr>
      <w:tr w14:paraId="4DE595A3">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8570FB2">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7</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CAAD276">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投标文件签署授权委托书</w:t>
            </w:r>
          </w:p>
        </w:tc>
      </w:tr>
      <w:tr w14:paraId="4C6FD1DB">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E90D59D">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8</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4A2DCC5">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实质性条款响应情况表</w:t>
            </w:r>
          </w:p>
        </w:tc>
      </w:tr>
      <w:tr w14:paraId="62BAC241">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E98BC14">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9</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665FF4F">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技术要求偏离表</w:t>
            </w:r>
          </w:p>
        </w:tc>
      </w:tr>
      <w:tr w14:paraId="36D0D40B">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E9C7CDE">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8C456AE">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商务要求偏离表</w:t>
            </w:r>
          </w:p>
        </w:tc>
      </w:tr>
      <w:tr w14:paraId="33D3FB43">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980EC66">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8F87C7A">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技术保障措施</w:t>
            </w:r>
          </w:p>
        </w:tc>
      </w:tr>
      <w:tr w14:paraId="54B3854D">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38FDEC3">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12</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1958150">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售后服务方案</w:t>
            </w:r>
          </w:p>
        </w:tc>
      </w:tr>
      <w:tr w14:paraId="3867A970">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5FBF1F4">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13</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3D37CCE">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拟安排的项目负责人情况(仅限1人)</w:t>
            </w:r>
          </w:p>
        </w:tc>
      </w:tr>
      <w:tr w14:paraId="3CD15C1F">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D83F66B">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14</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D534515">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拟安排的项目主要团队成员（主要技术人员）情况（项目负责人除外）</w:t>
            </w:r>
          </w:p>
        </w:tc>
      </w:tr>
      <w:tr w14:paraId="53508B69">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E093B9B">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15</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443222F">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同类项目业绩</w:t>
            </w:r>
          </w:p>
        </w:tc>
      </w:tr>
      <w:tr w14:paraId="6CC60263">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8DB4C80">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16</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9E7FB23">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投标人认证情况</w:t>
            </w:r>
          </w:p>
        </w:tc>
      </w:tr>
      <w:tr w14:paraId="113F6FC8">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726ADE4">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17</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CC41C2C">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投标人荣誉情况</w:t>
            </w:r>
          </w:p>
        </w:tc>
      </w:tr>
      <w:tr w14:paraId="5E1BFD98">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9FB861F">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18</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5DD1E8B">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投标人自主知识产权产品（创新、设计）情况</w:t>
            </w:r>
          </w:p>
        </w:tc>
      </w:tr>
      <w:tr w14:paraId="3DC6C576">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E395F53">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19</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7888D85">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诚信情况</w:t>
            </w:r>
          </w:p>
        </w:tc>
      </w:tr>
    </w:tbl>
    <w:p w14:paraId="2C7CDBA0">
      <w:pPr>
        <w:pBdr>
          <w:top w:val="none" w:color="auto" w:sz="0" w:space="0"/>
          <w:left w:val="none" w:color="auto" w:sz="0" w:space="0"/>
          <w:bottom w:val="none" w:color="auto" w:sz="0" w:space="0"/>
          <w:right w:val="none" w:color="auto" w:sz="0" w:space="0"/>
        </w:pBdr>
        <w:spacing w:line="432" w:lineRule="atLeast"/>
        <w:rPr>
          <w:rFonts w:ascii="仿宋" w:hAnsi="仿宋" w:eastAsia="仿宋" w:cs="仿宋"/>
          <w:b/>
          <w:bCs/>
          <w:color w:val="333333"/>
          <w:lang w:val="en" w:eastAsia="en"/>
        </w:rPr>
        <w:sectPr>
          <w:pgMar w:top="1440" w:right="1800" w:bottom="1440" w:left="1800" w:header="708" w:footer="708" w:gutter="0"/>
          <w:cols w:space="708" w:num="1"/>
        </w:sectPr>
      </w:pPr>
    </w:p>
    <w:p w14:paraId="68760071">
      <w:pPr>
        <w:pBdr>
          <w:top w:val="none" w:color="auto" w:sz="0" w:space="0"/>
          <w:left w:val="single" w:color="DDDDDD" w:sz="6" w:space="0"/>
          <w:bottom w:val="none" w:color="auto" w:sz="0" w:space="0"/>
          <w:right w:val="single" w:color="DDDDDD" w:sz="6" w:space="0"/>
        </w:pBdr>
        <w:spacing w:before="0" w:after="0" w:line="648" w:lineRule="atLeast"/>
        <w:ind w:left="15" w:right="15"/>
        <w:jc w:val="center"/>
        <w:outlineLvl w:val="0"/>
        <w:rPr>
          <w:rFonts w:ascii="仿宋" w:hAnsi="仿宋" w:eastAsia="仿宋" w:cs="仿宋"/>
          <w:b/>
          <w:bCs/>
          <w:color w:val="000000"/>
          <w:sz w:val="48"/>
          <w:szCs w:val="48"/>
          <w:lang w:val="en" w:eastAsia="en"/>
        </w:rPr>
      </w:pPr>
      <w:r>
        <w:rPr>
          <w:rFonts w:ascii="仿宋" w:hAnsi="仿宋" w:eastAsia="仿宋" w:cs="仿宋"/>
          <w:b/>
          <w:bCs/>
          <w:color w:val="000000"/>
          <w:sz w:val="48"/>
          <w:szCs w:val="48"/>
          <w:lang w:val="en" w:eastAsia="en"/>
        </w:rPr>
        <w:t>评标办法附表</w:t>
      </w:r>
    </w:p>
    <w:p w14:paraId="65334DE6">
      <w:pPr>
        <w:pBdr>
          <w:top w:val="none" w:color="auto" w:sz="0" w:space="0"/>
          <w:left w:val="none" w:color="auto" w:sz="0" w:space="0"/>
          <w:bottom w:val="none" w:color="auto" w:sz="0" w:space="0"/>
          <w:right w:val="none" w:color="auto" w:sz="0" w:space="0"/>
        </w:pBdr>
        <w:spacing w:before="0" w:after="288" w:line="432" w:lineRule="atLeast"/>
        <w:ind w:left="15" w:right="15"/>
        <w:rPr>
          <w:rFonts w:ascii="微软雅黑" w:hAnsi="微软雅黑" w:eastAsia="微软雅黑" w:cs="微软雅黑"/>
          <w:color w:val="333333"/>
          <w:lang w:val="en" w:eastAsia="en"/>
        </w:rPr>
      </w:pPr>
      <w:r>
        <w:rPr>
          <w:rFonts w:ascii="仿宋" w:hAnsi="仿宋" w:eastAsia="仿宋" w:cs="仿宋"/>
          <w:b/>
          <w:bCs/>
          <w:color w:val="333333"/>
          <w:sz w:val="28"/>
          <w:szCs w:val="28"/>
          <w:lang w:val="en" w:eastAsia="en"/>
        </w:rPr>
        <w:t>1.标段基本信息</w:t>
      </w:r>
    </w:p>
    <w:p w14:paraId="0D834884">
      <w:pPr>
        <w:pBdr>
          <w:top w:val="none" w:color="auto" w:sz="0" w:space="0"/>
          <w:left w:val="none" w:color="auto" w:sz="0" w:space="0"/>
          <w:bottom w:val="none" w:color="auto" w:sz="0" w:space="0"/>
          <w:right w:val="none" w:color="auto" w:sz="0" w:space="0"/>
        </w:pBdr>
        <w:spacing w:after="0" w:line="432" w:lineRule="atLeast"/>
        <w:ind w:left="15" w:right="15"/>
        <w:rPr>
          <w:rFonts w:ascii="仿宋" w:hAnsi="仿宋" w:eastAsia="仿宋" w:cs="仿宋"/>
          <w:color w:val="333333"/>
          <w:lang w:val="en" w:eastAsia="en"/>
        </w:rPr>
      </w:pPr>
      <w:r>
        <w:rPr>
          <w:rFonts w:ascii="仿宋" w:hAnsi="仿宋" w:eastAsia="仿宋" w:cs="仿宋"/>
          <w:color w:val="333333"/>
          <w:lang w:val="en" w:eastAsia="en"/>
        </w:rPr>
        <w:t>标段编号：</w:t>
      </w:r>
      <w:r>
        <w:rPr>
          <w:rFonts w:ascii="微软雅黑" w:hAnsi="微软雅黑" w:eastAsia="微软雅黑" w:cs="微软雅黑"/>
          <w:color w:val="333333"/>
          <w:lang w:val="en" w:eastAsia="en"/>
        </w:rPr>
        <w:t xml:space="preserve"> </w:t>
      </w:r>
      <w:r>
        <w:rPr>
          <w:rFonts w:ascii="仿宋" w:hAnsi="仿宋" w:eastAsia="仿宋" w:cs="仿宋"/>
          <w:color w:val="333333"/>
          <w:u w:val="single" w:color="333333"/>
          <w:lang w:val="en" w:eastAsia="en"/>
        </w:rPr>
        <w:t>LHAZXDL-2024-00161-001</w:t>
      </w:r>
      <w:r>
        <w:rPr>
          <w:rFonts w:ascii="仿宋" w:hAnsi="仿宋" w:eastAsia="仿宋" w:cs="仿宋"/>
          <w:color w:val="333333"/>
          <w:u w:val="single" w:color="333333"/>
          <w:lang w:val="en" w:eastAsia="en"/>
        </w:rPr>
        <w:br w:type="textWrapping"/>
      </w:r>
      <w:r>
        <w:rPr>
          <w:rFonts w:ascii="仿宋" w:hAnsi="仿宋" w:eastAsia="仿宋" w:cs="仿宋"/>
          <w:color w:val="333333"/>
          <w:lang w:val="en" w:eastAsia="en"/>
        </w:rPr>
        <w:t>标段名称：</w:t>
      </w:r>
      <w:r>
        <w:rPr>
          <w:rFonts w:ascii="微软雅黑" w:hAnsi="微软雅黑" w:eastAsia="微软雅黑" w:cs="微软雅黑"/>
          <w:color w:val="333333"/>
          <w:lang w:val="en" w:eastAsia="en"/>
        </w:rPr>
        <w:t xml:space="preserve"> </w:t>
      </w:r>
      <w:r>
        <w:rPr>
          <w:rFonts w:hint="eastAsia" w:ascii="仿宋" w:hAnsi="仿宋" w:eastAsia="仿宋" w:cs="仿宋"/>
          <w:color w:val="333333"/>
          <w:u w:val="single" w:color="333333"/>
          <w:lang w:val="en" w:eastAsia="zh-CN"/>
        </w:rPr>
        <w:t>大浪校区监控视频存储及光网络交换设备</w:t>
      </w:r>
      <w:r>
        <w:rPr>
          <w:rFonts w:ascii="仿宋" w:hAnsi="仿宋" w:eastAsia="仿宋" w:cs="仿宋"/>
          <w:color w:val="333333"/>
          <w:u w:val="single" w:color="333333"/>
          <w:lang w:val="en" w:eastAsia="en"/>
        </w:rPr>
        <w:t>-A</w:t>
      </w:r>
      <w:r>
        <w:rPr>
          <w:rFonts w:ascii="仿宋" w:hAnsi="仿宋" w:eastAsia="仿宋" w:cs="仿宋"/>
          <w:color w:val="333333"/>
          <w:u w:val="single" w:color="333333"/>
          <w:lang w:val="en" w:eastAsia="en"/>
        </w:rPr>
        <w:br w:type="textWrapping"/>
      </w:r>
    </w:p>
    <w:p w14:paraId="642558EB">
      <w:pPr>
        <w:keepLines/>
        <w:pBdr>
          <w:top w:val="none" w:color="auto" w:sz="0" w:space="0"/>
          <w:left w:val="none" w:color="auto" w:sz="0" w:space="0"/>
          <w:bottom w:val="none" w:color="auto" w:sz="0" w:space="0"/>
          <w:right w:val="none" w:color="auto" w:sz="0" w:space="0"/>
        </w:pBdr>
        <w:spacing w:before="0" w:after="0" w:line="432" w:lineRule="atLeast"/>
        <w:ind w:left="15" w:right="15"/>
        <w:rPr>
          <w:rFonts w:ascii="微软雅黑" w:hAnsi="微软雅黑" w:eastAsia="微软雅黑" w:cs="微软雅黑"/>
          <w:color w:val="333333"/>
          <w:lang w:val="en" w:eastAsia="en"/>
        </w:rPr>
      </w:pPr>
    </w:p>
    <w:p w14:paraId="7DF6229F">
      <w:pPr>
        <w:pBdr>
          <w:top w:val="none" w:color="auto" w:sz="0" w:space="0"/>
          <w:left w:val="none" w:color="auto" w:sz="0" w:space="0"/>
          <w:bottom w:val="none" w:color="auto" w:sz="0" w:space="0"/>
          <w:right w:val="none" w:color="auto" w:sz="0" w:space="0"/>
        </w:pBdr>
        <w:spacing w:before="0" w:after="288" w:line="432" w:lineRule="atLeast"/>
        <w:ind w:left="15" w:right="15"/>
        <w:rPr>
          <w:rFonts w:ascii="微软雅黑" w:hAnsi="微软雅黑" w:eastAsia="微软雅黑" w:cs="微软雅黑"/>
          <w:color w:val="333333"/>
          <w:lang w:val="en" w:eastAsia="en"/>
        </w:rPr>
      </w:pPr>
      <w:r>
        <w:rPr>
          <w:rFonts w:ascii="仿宋" w:hAnsi="仿宋" w:eastAsia="仿宋" w:cs="仿宋"/>
          <w:b/>
          <w:bCs/>
          <w:color w:val="333333"/>
          <w:sz w:val="28"/>
          <w:szCs w:val="28"/>
          <w:lang w:val="en" w:eastAsia="en"/>
        </w:rPr>
        <w:t>2.入围参数</w:t>
      </w:r>
    </w:p>
    <w:p w14:paraId="495F5C94">
      <w:pPr>
        <w:keepLines/>
        <w:pBdr>
          <w:top w:val="none" w:color="auto" w:sz="0" w:space="0"/>
          <w:left w:val="none" w:color="auto" w:sz="0" w:space="0"/>
          <w:bottom w:val="none" w:color="auto" w:sz="0" w:space="0"/>
          <w:right w:val="none" w:color="auto" w:sz="0" w:space="0"/>
        </w:pBdr>
        <w:spacing w:before="0" w:after="0" w:line="432" w:lineRule="atLeast"/>
        <w:ind w:left="15" w:right="15"/>
        <w:rPr>
          <w:rFonts w:ascii="微软雅黑" w:hAnsi="微软雅黑" w:eastAsia="微软雅黑" w:cs="微软雅黑"/>
          <w:color w:val="333333"/>
          <w:lang w:val="en" w:eastAsia="en"/>
        </w:rPr>
      </w:pPr>
      <w:r>
        <w:rPr>
          <w:rFonts w:ascii="仿宋" w:hAnsi="仿宋" w:eastAsia="仿宋" w:cs="仿宋"/>
          <w:color w:val="333333"/>
          <w:lang w:val="en" w:eastAsia="en"/>
        </w:rPr>
        <w:t>是否过多投标人淘汰：</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否</w:t>
      </w:r>
    </w:p>
    <w:p w14:paraId="76A0B57F">
      <w:pPr>
        <w:pBdr>
          <w:top w:val="none" w:color="auto" w:sz="0" w:space="0"/>
          <w:left w:val="none" w:color="auto" w:sz="0" w:space="0"/>
          <w:bottom w:val="none" w:color="auto" w:sz="0" w:space="0"/>
          <w:right w:val="none" w:color="auto" w:sz="0" w:space="0"/>
        </w:pBdr>
        <w:spacing w:before="0" w:after="288" w:line="432" w:lineRule="atLeast"/>
        <w:ind w:left="15" w:right="15"/>
        <w:rPr>
          <w:rFonts w:ascii="微软雅黑" w:hAnsi="微软雅黑" w:eastAsia="微软雅黑" w:cs="微软雅黑"/>
          <w:color w:val="333333"/>
          <w:lang w:val="en" w:eastAsia="en"/>
        </w:rPr>
      </w:pPr>
      <w:r>
        <w:rPr>
          <w:rFonts w:ascii="仿宋" w:hAnsi="仿宋" w:eastAsia="仿宋" w:cs="仿宋"/>
          <w:b/>
          <w:bCs/>
          <w:color w:val="333333"/>
          <w:sz w:val="28"/>
          <w:szCs w:val="28"/>
          <w:lang w:val="en" w:eastAsia="en"/>
        </w:rPr>
        <w:t>3.评审步骤</w:t>
      </w:r>
    </w:p>
    <w:tbl>
      <w:tblPr>
        <w:tblStyle w:val="13"/>
        <w:tblW w:w="5000" w:type="pct"/>
        <w:tblInd w:w="15"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0" w:type="dxa"/>
          <w:left w:w="0" w:type="dxa"/>
          <w:bottom w:w="0" w:type="dxa"/>
          <w:right w:w="0" w:type="dxa"/>
        </w:tblCellMar>
      </w:tblPr>
      <w:tblGrid>
        <w:gridCol w:w="1142"/>
        <w:gridCol w:w="6852"/>
        <w:gridCol w:w="1142"/>
      </w:tblGrid>
      <w:tr w14:paraId="22EA52E1">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blHeader/>
        </w:trPr>
        <w:tc>
          <w:tcPr>
            <w:tcW w:w="5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6E610BEA">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序号</w:t>
            </w:r>
          </w:p>
        </w:tc>
        <w:tc>
          <w:tcPr>
            <w:tcW w:w="30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34C1FFA8">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评审步骤</w:t>
            </w:r>
          </w:p>
        </w:tc>
        <w:tc>
          <w:tcPr>
            <w:tcW w:w="5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69DD8F1E">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分值</w:t>
            </w:r>
          </w:p>
        </w:tc>
      </w:tr>
      <w:tr w14:paraId="7025D5AE">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BACFA22">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F653344">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资格评审</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44CD96B">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p>
        </w:tc>
      </w:tr>
      <w:tr w14:paraId="23BB1B4F">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F25CF7F">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2</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49BE7B9">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初步评审</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58BF584">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p>
        </w:tc>
      </w:tr>
      <w:tr w14:paraId="1A2AA7A7">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CF24C08">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3</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C466070">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详细评审</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6D29B61">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70</w:t>
            </w:r>
          </w:p>
        </w:tc>
      </w:tr>
      <w:tr w14:paraId="47193C7D">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2A1F7FE">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4</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D8570F3">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报价修正</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D958D05">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p>
        </w:tc>
      </w:tr>
      <w:tr w14:paraId="5772A31F">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4C1AA28">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5</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9C165F9">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价格评审</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6259E9D">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30</w:t>
            </w:r>
          </w:p>
        </w:tc>
      </w:tr>
      <w:tr w14:paraId="7CB0EB64">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459EF05">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6</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67CDEED">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综合评分</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EDA6B42">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p>
        </w:tc>
      </w:tr>
      <w:tr w14:paraId="46D10403">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BAD368E">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7</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A20C835">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推荐中标候选人</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E9458CA">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p>
        </w:tc>
      </w:tr>
    </w:tbl>
    <w:p w14:paraId="7BECAC5B">
      <w:pPr>
        <w:pBdr>
          <w:top w:val="none" w:color="auto" w:sz="0" w:space="0"/>
          <w:left w:val="none" w:color="auto" w:sz="0" w:space="0"/>
          <w:bottom w:val="none" w:color="auto" w:sz="0" w:space="0"/>
          <w:right w:val="none" w:color="auto" w:sz="0" w:space="0"/>
        </w:pBdr>
        <w:spacing w:after="0" w:line="432" w:lineRule="atLeast"/>
        <w:ind w:left="15" w:right="15"/>
        <w:rPr>
          <w:rFonts w:ascii="微软雅黑" w:hAnsi="微软雅黑" w:eastAsia="微软雅黑" w:cs="微软雅黑"/>
          <w:color w:val="333333"/>
          <w:lang w:val="en" w:eastAsia="en"/>
        </w:rPr>
      </w:pPr>
    </w:p>
    <w:p w14:paraId="0D9600E6">
      <w:pPr>
        <w:pBdr>
          <w:top w:val="none" w:color="auto" w:sz="0" w:space="0"/>
          <w:left w:val="none" w:color="auto" w:sz="0" w:space="0"/>
          <w:bottom w:val="none" w:color="auto" w:sz="0" w:space="0"/>
          <w:right w:val="none" w:color="auto" w:sz="0" w:space="0"/>
        </w:pBdr>
        <w:spacing w:before="0" w:after="288" w:line="432" w:lineRule="atLeast"/>
        <w:ind w:left="15" w:right="15"/>
        <w:rPr>
          <w:rFonts w:ascii="微软雅黑" w:hAnsi="微软雅黑" w:eastAsia="微软雅黑" w:cs="微软雅黑"/>
          <w:color w:val="333333"/>
          <w:lang w:val="en" w:eastAsia="en"/>
        </w:rPr>
      </w:pPr>
      <w:r>
        <w:rPr>
          <w:rFonts w:ascii="仿宋" w:hAnsi="仿宋" w:eastAsia="仿宋" w:cs="仿宋"/>
          <w:b/>
          <w:bCs/>
          <w:color w:val="333333"/>
          <w:sz w:val="28"/>
          <w:szCs w:val="28"/>
          <w:lang w:val="en" w:eastAsia="en"/>
        </w:rPr>
        <w:t>4.评审条款</w:t>
      </w:r>
    </w:p>
    <w:p w14:paraId="2C45822F">
      <w:pPr>
        <w:pBdr>
          <w:top w:val="none" w:color="auto" w:sz="0" w:space="0"/>
          <w:left w:val="none" w:color="auto" w:sz="0" w:space="0"/>
          <w:bottom w:val="none" w:color="auto" w:sz="0" w:space="0"/>
          <w:right w:val="none" w:color="auto" w:sz="0" w:space="0"/>
        </w:pBdr>
        <w:spacing w:line="432" w:lineRule="atLeast"/>
        <w:ind w:left="15" w:right="15"/>
        <w:rPr>
          <w:rFonts w:ascii="仿宋" w:hAnsi="仿宋" w:eastAsia="仿宋" w:cs="仿宋"/>
          <w:color w:val="333333"/>
          <w:lang w:val="en" w:eastAsia="en"/>
        </w:rPr>
      </w:pPr>
      <w:r>
        <w:rPr>
          <w:rFonts w:ascii="仿宋" w:hAnsi="仿宋" w:eastAsia="仿宋" w:cs="仿宋"/>
          <w:color w:val="333333"/>
          <w:lang w:val="en" w:eastAsia="en"/>
        </w:rPr>
        <w:t>中标候选人：</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委托评标委员会直接定标</w:t>
      </w:r>
      <w:r>
        <w:rPr>
          <w:rFonts w:ascii="仿宋" w:hAnsi="仿宋" w:eastAsia="仿宋" w:cs="仿宋"/>
          <w:color w:val="333333"/>
          <w:lang w:val="en" w:eastAsia="en"/>
        </w:rPr>
        <w:br w:type="textWrapping"/>
      </w:r>
      <w:r>
        <w:rPr>
          <w:rFonts w:ascii="仿宋" w:hAnsi="仿宋" w:eastAsia="仿宋" w:cs="仿宋"/>
          <w:color w:val="333333"/>
          <w:lang w:val="en" w:eastAsia="en"/>
        </w:rPr>
        <w:br w:type="textWrapping"/>
      </w:r>
      <w:r>
        <w:rPr>
          <w:rFonts w:ascii="仿宋" w:hAnsi="仿宋" w:eastAsia="仿宋" w:cs="仿宋"/>
          <w:b/>
          <w:bCs/>
          <w:color w:val="000000"/>
          <w:lang w:val="en" w:eastAsia="en"/>
        </w:rPr>
        <w:t>4.1 资格评审</w:t>
      </w:r>
      <w:r>
        <w:rPr>
          <w:rFonts w:ascii="仿宋" w:hAnsi="仿宋" w:eastAsia="仿宋" w:cs="仿宋"/>
          <w:b/>
          <w:bCs/>
          <w:color w:val="000000"/>
          <w:lang w:val="en" w:eastAsia="en"/>
        </w:rPr>
        <w:br w:type="textWrapping"/>
      </w:r>
      <w:r>
        <w:rPr>
          <w:rFonts w:ascii="仿宋" w:hAnsi="仿宋" w:eastAsia="仿宋" w:cs="仿宋"/>
          <w:color w:val="333333"/>
          <w:lang w:val="en" w:eastAsia="en"/>
        </w:rPr>
        <w:t>汇总规则：</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按分项自动汇总并发起否决投标</w:t>
      </w:r>
      <w:r>
        <w:rPr>
          <w:rFonts w:ascii="微软雅黑" w:hAnsi="微软雅黑" w:eastAsia="微软雅黑" w:cs="微软雅黑"/>
          <w:color w:val="333333"/>
          <w:lang w:val="en" w:eastAsia="en"/>
        </w:rPr>
        <w:t xml:space="preserve"> </w:t>
      </w:r>
    </w:p>
    <w:tbl>
      <w:tblPr>
        <w:tblStyle w:val="13"/>
        <w:tblW w:w="5000" w:type="pct"/>
        <w:tblInd w:w="15"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0" w:type="dxa"/>
          <w:left w:w="0" w:type="dxa"/>
          <w:bottom w:w="0" w:type="dxa"/>
          <w:right w:w="0" w:type="dxa"/>
        </w:tblCellMar>
      </w:tblPr>
      <w:tblGrid>
        <w:gridCol w:w="1612"/>
        <w:gridCol w:w="3762"/>
        <w:gridCol w:w="3762"/>
      </w:tblGrid>
      <w:tr w14:paraId="38A941D9">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blHeader/>
        </w:trPr>
        <w:tc>
          <w:tcPr>
            <w:tcW w:w="75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5A637F41">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序号</w:t>
            </w:r>
          </w:p>
        </w:tc>
        <w:tc>
          <w:tcPr>
            <w:tcW w:w="175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06D25D26">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评审要素</w:t>
            </w:r>
          </w:p>
        </w:tc>
        <w:tc>
          <w:tcPr>
            <w:tcW w:w="175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2516852F">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评审标准</w:t>
            </w:r>
          </w:p>
        </w:tc>
      </w:tr>
      <w:tr w14:paraId="05523D9A">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3779AE3">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2085F80">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资质要求</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7BCA9B0">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1、投标人须是在中华人民共和国境内注册，具有独立法人资格或是具有独立承担民事责任的能力的其它组织（提供营业执照复印件或事业单位法人证等法人证明复印件，原件备查）；总公司或者分公司只允许一家投标，不允许同时参与本项目投标，分公司参与投标的，须提供总公司或具有独立法人的上一级公司出具的愿为其参与本项目投标的行为以及履约等行为承担民事责任的加盖总公司公章的授权函，以及提供总、分公司的营业执照复印件，原件备查。：</w:t>
            </w:r>
            <w:r>
              <w:rPr>
                <w:rFonts w:ascii="仿宋" w:hAnsi="仿宋" w:eastAsia="仿宋" w:cs="仿宋"/>
                <w:color w:val="666666"/>
                <w:lang w:val="en" w:eastAsia="en"/>
              </w:rPr>
              <w:br w:type="textWrapping"/>
            </w:r>
            <w:r>
              <w:rPr>
                <w:rFonts w:ascii="仿宋" w:hAnsi="仿宋" w:eastAsia="仿宋" w:cs="仿宋"/>
                <w:color w:val="666666"/>
                <w:lang w:val="en" w:eastAsia="en"/>
              </w:rPr>
              <w:t>1、投标人须是在中华人民共和国境内注册，具有独立法人资格或是具有独立承担民事责任的能力的其它组织（提供营业执照复印件或事业单位法人证等法人证明复印件，原件备查）；总公司或者分公司只允许一家投标，不允许同时参与本项目投标，分公司参与投标的，须提供总公司或具有独立法人的上一级公司出具的愿为其参与本项目投标的行为以及履约等行为承担民事责任的加盖总公司公章的授权函，以及提供总、分公司的营业执照复印件，原件备查。</w:t>
            </w:r>
            <w:r>
              <w:rPr>
                <w:rFonts w:ascii="仿宋" w:hAnsi="仿宋" w:eastAsia="仿宋" w:cs="仿宋"/>
                <w:color w:val="666666"/>
                <w:lang w:val="en" w:eastAsia="en"/>
              </w:rPr>
              <w:br w:type="textWrapping"/>
            </w:r>
            <w:r>
              <w:rPr>
                <w:rFonts w:ascii="仿宋" w:hAnsi="仿宋" w:eastAsia="仿宋" w:cs="仿宋"/>
                <w:color w:val="666666"/>
                <w:lang w:val="en" w:eastAsia="en"/>
              </w:rPr>
              <w:t>2、参与本项目投标前三年内，在经营活动中没有重大违法记录（由供应商在《龙华区教育局自行采购投标及履约承诺函》中作出声明）。：</w:t>
            </w:r>
            <w:r>
              <w:rPr>
                <w:rFonts w:ascii="仿宋" w:hAnsi="仿宋" w:eastAsia="仿宋" w:cs="仿宋"/>
                <w:color w:val="666666"/>
                <w:lang w:val="en" w:eastAsia="en"/>
              </w:rPr>
              <w:br w:type="textWrapping"/>
            </w:r>
            <w:r>
              <w:rPr>
                <w:rFonts w:ascii="仿宋" w:hAnsi="仿宋" w:eastAsia="仿宋" w:cs="仿宋"/>
                <w:color w:val="666666"/>
                <w:lang w:val="en" w:eastAsia="en"/>
              </w:rPr>
              <w:t>2、参与本项目投标前三年内，在经营活动中没有重大违法记录（由供应商在《龙华区教育局自行采购投标及履约承诺函》中作出声明）。</w:t>
            </w:r>
            <w:r>
              <w:rPr>
                <w:rFonts w:ascii="仿宋" w:hAnsi="仿宋" w:eastAsia="仿宋" w:cs="仿宋"/>
                <w:color w:val="666666"/>
                <w:lang w:val="en" w:eastAsia="en"/>
              </w:rPr>
              <w:br w:type="textWrapping"/>
            </w:r>
            <w:r>
              <w:rPr>
                <w:rFonts w:ascii="仿宋" w:hAnsi="仿宋" w:eastAsia="仿宋" w:cs="仿宋"/>
                <w:color w:val="666666"/>
                <w:lang w:val="en" w:eastAsia="en"/>
              </w:rPr>
              <w:t>3、参与本项目政府采购活动时不存在被有关部门禁止参与政府采购活动且在有效期内的情况（由供应商在《龙华区教育局自行采购投标及履约承诺函》中作出声明）。：</w:t>
            </w:r>
            <w:r>
              <w:rPr>
                <w:rFonts w:ascii="仿宋" w:hAnsi="仿宋" w:eastAsia="仿宋" w:cs="仿宋"/>
                <w:color w:val="666666"/>
                <w:lang w:val="en" w:eastAsia="en"/>
              </w:rPr>
              <w:br w:type="textWrapping"/>
            </w:r>
            <w:r>
              <w:rPr>
                <w:rFonts w:ascii="仿宋" w:hAnsi="仿宋" w:eastAsia="仿宋" w:cs="仿宋"/>
                <w:color w:val="666666"/>
                <w:lang w:val="en" w:eastAsia="en"/>
              </w:rPr>
              <w:t>3、参与本项目政府采购活动时不存在被有关部门禁止参与政府采购活动且在有效期内的情况（由供应商在《龙华区教育局自行采购投标及履约承诺函》中作出声明）。</w:t>
            </w:r>
            <w:r>
              <w:rPr>
                <w:rFonts w:ascii="仿宋" w:hAnsi="仿宋" w:eastAsia="仿宋" w:cs="仿宋"/>
                <w:color w:val="666666"/>
                <w:lang w:val="en" w:eastAsia="en"/>
              </w:rPr>
              <w:br w:type="textWrapping"/>
            </w:r>
            <w:r>
              <w:rPr>
                <w:rFonts w:ascii="仿宋" w:hAnsi="仿宋" w:eastAsia="仿宋" w:cs="仿宋"/>
                <w:color w:val="666666"/>
                <w:lang w:val="en" w:eastAsia="en"/>
              </w:rPr>
              <w:t>4、具备《中华人民共和国政府采购法》第二十二条第一款的条件（由供应商在《龙华区教育局自行采购投标及履约承诺函》中作出声明）。：</w:t>
            </w:r>
            <w:r>
              <w:rPr>
                <w:rFonts w:ascii="仿宋" w:hAnsi="仿宋" w:eastAsia="仿宋" w:cs="仿宋"/>
                <w:color w:val="666666"/>
                <w:lang w:val="en" w:eastAsia="en"/>
              </w:rPr>
              <w:br w:type="textWrapping"/>
            </w:r>
            <w:r>
              <w:rPr>
                <w:rFonts w:ascii="仿宋" w:hAnsi="仿宋" w:eastAsia="仿宋" w:cs="仿宋"/>
                <w:color w:val="666666"/>
                <w:lang w:val="en" w:eastAsia="en"/>
              </w:rPr>
              <w:t>4、具备《中华人民共和国政府采购法》第二十二条第一款的条件（由供应商在《龙华区教育局自行采购投标及履约承诺函》中作出声明）。</w:t>
            </w:r>
            <w:r>
              <w:rPr>
                <w:rFonts w:ascii="仿宋" w:hAnsi="仿宋" w:eastAsia="仿宋" w:cs="仿宋"/>
                <w:color w:val="666666"/>
                <w:lang w:val="en" w:eastAsia="en"/>
              </w:rPr>
              <w:br w:type="textWrapping"/>
            </w:r>
            <w:r>
              <w:rPr>
                <w:rFonts w:ascii="仿宋" w:hAnsi="仿宋" w:eastAsia="仿宋" w:cs="仿宋"/>
                <w:color w:val="666666"/>
                <w:lang w:val="en" w:eastAsia="en"/>
              </w:rPr>
              <w:t>5、参与本项目政府采购活动时未被列入失信被执行人、重大税收违法失信主体、政府采购严重违法失信行为记录名单（由供应商在《龙华区教育局自行采购投标及履约承诺函》中作出承诺）。备注：信用中国”中信用服务”栏的重大税收违法失信主体”失信被执行人”中国政府采购网”中的政府采购严重违法失信行为记录名单”，深圳信用网”以及深圳市政府采购监管网”为供应商信用信息的查询渠道，相关信息以开标当日的查询结果为准。：</w:t>
            </w:r>
            <w:r>
              <w:rPr>
                <w:rFonts w:ascii="仿宋" w:hAnsi="仿宋" w:eastAsia="仿宋" w:cs="仿宋"/>
                <w:color w:val="666666"/>
                <w:lang w:val="en" w:eastAsia="en"/>
              </w:rPr>
              <w:br w:type="textWrapping"/>
            </w:r>
            <w:r>
              <w:rPr>
                <w:rFonts w:ascii="仿宋" w:hAnsi="仿宋" w:eastAsia="仿宋" w:cs="仿宋"/>
                <w:color w:val="666666"/>
                <w:lang w:val="en" w:eastAsia="en"/>
              </w:rPr>
              <w:t>5、参与本项目政府采购活动时未被列入失信被执行人、重大税收违法失信主体、政府采购严重违法失信行为记录名单（由供应商在《龙华区教育局自行采购投标及履约承诺函》中作出承诺）。备注：信用中国”中信用服务”栏的重大税收违法失信主体”失信被执行人”中国政府采购网”中的政府采购严重违法失信行为记录名单”，深圳信用网”以及深圳市政府采购监管网”为供应商信用信息的查询渠道，相关信息以开标当日的查询结果为准。</w:t>
            </w:r>
            <w:r>
              <w:rPr>
                <w:rFonts w:ascii="仿宋" w:hAnsi="仿宋" w:eastAsia="仿宋" w:cs="仿宋"/>
                <w:color w:val="666666"/>
                <w:lang w:val="en" w:eastAsia="en"/>
              </w:rPr>
              <w:br w:type="textWrapping"/>
            </w:r>
            <w:r>
              <w:rPr>
                <w:rFonts w:ascii="仿宋" w:hAnsi="仿宋" w:eastAsia="仿宋" w:cs="仿宋"/>
                <w:color w:val="666666"/>
                <w:lang w:val="en" w:eastAsia="en"/>
              </w:rPr>
              <w:t>6、为采购项目提供整体设计、规范编制或者项目管理、监理、检测等服务的供应商，不得再参加该采购项目同一合同项下的其他采购活动。（由供应商在《龙华区教育局自行采购投标及履约承诺函》中作出承诺）。：</w:t>
            </w:r>
            <w:r>
              <w:rPr>
                <w:rFonts w:ascii="仿宋" w:hAnsi="仿宋" w:eastAsia="仿宋" w:cs="仿宋"/>
                <w:color w:val="666666"/>
                <w:lang w:val="en" w:eastAsia="en"/>
              </w:rPr>
              <w:br w:type="textWrapping"/>
            </w:r>
            <w:r>
              <w:rPr>
                <w:rFonts w:ascii="仿宋" w:hAnsi="仿宋" w:eastAsia="仿宋" w:cs="仿宋"/>
                <w:color w:val="666666"/>
                <w:lang w:val="en" w:eastAsia="en"/>
              </w:rPr>
              <w:t>6、为采购项目提供整体设计、规范编制或者项目管理、监理、检测等服务的供应商，不得再参加该采购项目同一合同项下的其他采购活动。（由供应商在《龙华区教育局自行采购投标及履约承诺函》中作出承诺）。</w:t>
            </w:r>
            <w:r>
              <w:rPr>
                <w:rFonts w:ascii="仿宋" w:hAnsi="仿宋" w:eastAsia="仿宋" w:cs="仿宋"/>
                <w:color w:val="666666"/>
                <w:lang w:val="en" w:eastAsia="en"/>
              </w:rPr>
              <w:br w:type="textWrapping"/>
            </w:r>
            <w:r>
              <w:rPr>
                <w:rFonts w:ascii="仿宋" w:hAnsi="仿宋" w:eastAsia="仿宋" w:cs="仿宋"/>
                <w:color w:val="666666"/>
                <w:lang w:val="en" w:eastAsia="en"/>
              </w:rPr>
              <w:t>7、单位负责人为同一人或者存在直接控股、管理关系的不同供应商，不得参加同一合同项下的政府采购活动。（由供应商在《龙华区教育局自行采购投标及履约承诺函》中作出承诺）。：</w:t>
            </w:r>
            <w:r>
              <w:rPr>
                <w:rFonts w:ascii="仿宋" w:hAnsi="仿宋" w:eastAsia="仿宋" w:cs="仿宋"/>
                <w:color w:val="666666"/>
                <w:lang w:val="en" w:eastAsia="en"/>
              </w:rPr>
              <w:br w:type="textWrapping"/>
            </w:r>
            <w:r>
              <w:rPr>
                <w:rFonts w:ascii="仿宋" w:hAnsi="仿宋" w:eastAsia="仿宋" w:cs="仿宋"/>
                <w:color w:val="666666"/>
                <w:lang w:val="en" w:eastAsia="en"/>
              </w:rPr>
              <w:t>7、单位负责人为同一人或者存在直接控股、管理关系的不同供应商，不得参加同一合同项下的政府采购活动。（由供应商在《龙华区教育局自行采购投标及履约承诺函》中作出承诺）。</w:t>
            </w:r>
            <w:r>
              <w:rPr>
                <w:rFonts w:ascii="仿宋" w:hAnsi="仿宋" w:eastAsia="仿宋" w:cs="仿宋"/>
                <w:color w:val="666666"/>
                <w:lang w:val="en" w:eastAsia="en"/>
              </w:rPr>
              <w:br w:type="textWrapping"/>
            </w:r>
            <w:r>
              <w:rPr>
                <w:rFonts w:ascii="仿宋" w:hAnsi="仿宋" w:eastAsia="仿宋" w:cs="仿宋"/>
                <w:color w:val="666666"/>
                <w:lang w:val="en" w:eastAsia="en"/>
              </w:rPr>
              <w:t>8、本项目不属于专门面向中小微企业采购项目。：</w:t>
            </w:r>
            <w:r>
              <w:rPr>
                <w:rFonts w:ascii="仿宋" w:hAnsi="仿宋" w:eastAsia="仿宋" w:cs="仿宋"/>
                <w:color w:val="666666"/>
                <w:lang w:val="en" w:eastAsia="en"/>
              </w:rPr>
              <w:br w:type="textWrapping"/>
            </w:r>
            <w:r>
              <w:rPr>
                <w:rFonts w:ascii="仿宋" w:hAnsi="仿宋" w:eastAsia="仿宋" w:cs="仿宋"/>
                <w:color w:val="666666"/>
                <w:lang w:val="en" w:eastAsia="en"/>
              </w:rPr>
              <w:t>8、本项目不属于专门面向中小微企业采购项目。</w:t>
            </w:r>
            <w:r>
              <w:rPr>
                <w:rFonts w:ascii="仿宋" w:hAnsi="仿宋" w:eastAsia="仿宋" w:cs="仿宋"/>
                <w:color w:val="666666"/>
                <w:lang w:val="en" w:eastAsia="en"/>
              </w:rPr>
              <w:br w:type="textWrapping"/>
            </w:r>
            <w:r>
              <w:rPr>
                <w:rFonts w:ascii="仿宋" w:hAnsi="仿宋" w:eastAsia="仿宋" w:cs="仿宋"/>
                <w:color w:val="666666"/>
                <w:lang w:val="en" w:eastAsia="en"/>
              </w:rPr>
              <w:t>9、本项目不接受联合体投标，不接受进口产品参与投标，不允许转包、分包。（由供应商在《龙华区教育局自行采购投标及履约承诺函》中作出承诺）。：</w:t>
            </w:r>
            <w:r>
              <w:rPr>
                <w:rFonts w:ascii="仿宋" w:hAnsi="仿宋" w:eastAsia="仿宋" w:cs="仿宋"/>
                <w:color w:val="666666"/>
                <w:lang w:val="en" w:eastAsia="en"/>
              </w:rPr>
              <w:br w:type="textWrapping"/>
            </w:r>
            <w:r>
              <w:rPr>
                <w:rFonts w:ascii="仿宋" w:hAnsi="仿宋" w:eastAsia="仿宋" w:cs="仿宋"/>
                <w:color w:val="666666"/>
                <w:lang w:val="en" w:eastAsia="en"/>
              </w:rPr>
              <w:t>9、本项目不接受联合体投标，不接受进口产品参与投标，不允许转包、分包。（由供应商在《龙华区教育局自行采购投标及履约承诺函》中作出承诺）。</w:t>
            </w:r>
          </w:p>
        </w:tc>
      </w:tr>
    </w:tbl>
    <w:p w14:paraId="67EAC842">
      <w:pPr>
        <w:pBdr>
          <w:top w:val="none" w:color="auto" w:sz="0" w:space="0"/>
          <w:left w:val="none" w:color="auto" w:sz="0" w:space="0"/>
          <w:bottom w:val="none" w:color="auto" w:sz="0" w:space="0"/>
          <w:right w:val="none" w:color="auto" w:sz="0" w:space="0"/>
        </w:pBdr>
        <w:spacing w:line="240" w:lineRule="atLeast"/>
        <w:ind w:left="15" w:right="15"/>
        <w:rPr>
          <w:rFonts w:ascii="仿宋" w:hAnsi="仿宋" w:eastAsia="仿宋" w:cs="仿宋"/>
          <w:b/>
          <w:bCs/>
          <w:color w:val="000000"/>
          <w:lang w:val="en" w:eastAsia="en"/>
        </w:rPr>
      </w:pPr>
      <w:r>
        <w:rPr>
          <w:rFonts w:ascii="仿宋" w:hAnsi="仿宋" w:eastAsia="仿宋" w:cs="仿宋"/>
          <w:b/>
          <w:bCs/>
          <w:color w:val="000000"/>
          <w:lang w:val="en" w:eastAsia="en"/>
        </w:rPr>
        <w:t>4.2 初步评审</w:t>
      </w:r>
      <w:r>
        <w:rPr>
          <w:rFonts w:ascii="仿宋" w:hAnsi="仿宋" w:eastAsia="仿宋" w:cs="仿宋"/>
          <w:b/>
          <w:bCs/>
          <w:color w:val="000000"/>
          <w:lang w:val="en" w:eastAsia="en"/>
        </w:rPr>
        <w:br w:type="textWrapping"/>
      </w:r>
      <w:r>
        <w:rPr>
          <w:rFonts w:ascii="仿宋" w:hAnsi="仿宋" w:eastAsia="仿宋" w:cs="仿宋"/>
          <w:color w:val="333333"/>
          <w:lang w:val="en" w:eastAsia="en"/>
        </w:rPr>
        <w:t>汇总规则：</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按分项自动汇总并发起否决投标</w:t>
      </w:r>
      <w:r>
        <w:rPr>
          <w:rFonts w:ascii="微软雅黑" w:hAnsi="微软雅黑" w:eastAsia="微软雅黑" w:cs="微软雅黑"/>
          <w:color w:val="333333"/>
          <w:lang w:val="en" w:eastAsia="en"/>
        </w:rPr>
        <w:t xml:space="preserve"> </w:t>
      </w:r>
    </w:p>
    <w:tbl>
      <w:tblPr>
        <w:tblStyle w:val="13"/>
        <w:tblW w:w="5000" w:type="pct"/>
        <w:tblInd w:w="15"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0" w:type="dxa"/>
          <w:left w:w="0" w:type="dxa"/>
          <w:bottom w:w="0" w:type="dxa"/>
          <w:right w:w="0" w:type="dxa"/>
        </w:tblCellMar>
      </w:tblPr>
      <w:tblGrid>
        <w:gridCol w:w="1612"/>
        <w:gridCol w:w="3762"/>
        <w:gridCol w:w="3762"/>
      </w:tblGrid>
      <w:tr w14:paraId="1A707C91">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blHeader/>
        </w:trPr>
        <w:tc>
          <w:tcPr>
            <w:tcW w:w="75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5FABC7E6">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序号</w:t>
            </w:r>
          </w:p>
        </w:tc>
        <w:tc>
          <w:tcPr>
            <w:tcW w:w="175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621DAE1C">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评审要素</w:t>
            </w:r>
          </w:p>
        </w:tc>
        <w:tc>
          <w:tcPr>
            <w:tcW w:w="175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6F0E1131">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评审标准</w:t>
            </w:r>
          </w:p>
        </w:tc>
      </w:tr>
      <w:tr w14:paraId="7052C34F">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EDE54DF">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B0CBF2A">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符合性审查</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05C9956">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r>
      <w:tr w14:paraId="4DC31E0A">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A2FD6D1">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2</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4BD22CA">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不得将一个包的内容拆开投标；</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433823E">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不得将一个包的内容拆开投标；</w:t>
            </w:r>
          </w:p>
        </w:tc>
      </w:tr>
      <w:tr w14:paraId="3B1158E0">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B8C0AAF">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3</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2080875">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对同一项目投标时，不得提供两套以上的投标方案（招标文件另有规定的除外）；</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A691701">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对同一项目投标时，不得提供两套以上的投标方案（招标文件另有规定的除外）；</w:t>
            </w:r>
          </w:p>
        </w:tc>
      </w:tr>
      <w:tr w14:paraId="33BB5591">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8AA768C">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4</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70AA097">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分项报价或投标总价不得高于相应预算金额（或设定的预算金额下的最高限价）；</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1CED134">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分项报价或投标总价不得高于相应预算金额（或设定的预算金额下的最高限价）；</w:t>
            </w:r>
          </w:p>
        </w:tc>
      </w:tr>
      <w:tr w14:paraId="69FDB073">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2DE62B4">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5</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0498877">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66BC77B">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5822605C">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B46BD5A">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6</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CC1C874">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E9A39FB">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14:paraId="236C6C63">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5708221">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7</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DA73356">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未按招标文件所提供的样式填写《投标函》、《股东构成审查表》；未按招标文件所提供的《龙华区教育局自行采购投标及履约承诺函》进行承诺；未按招标文件对投标文件组成的要求提供投标文件；</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567A015">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未按招标文件所提供的样式填写《投标函》、《股东构成审查表》；未按招标文件所提供的《龙华区教育局自行采购投标及履约承诺函》进行承诺；未按招标文件对投标文件组成的要求提供投标文件；</w:t>
            </w:r>
          </w:p>
        </w:tc>
      </w:tr>
      <w:tr w14:paraId="07BAC1F1">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0A8DD10">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8</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DC8AEE5">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采购标的所投产品货物清单报价等任意一类有缺漏项或响应不全，或者对招标文件规定的项目需求内容或者需求数量进行修改，评审委员会判定投标响应不满足采购需求；</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B4F852E">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采购标的所投产品货物清单报价等任意一类有缺漏项或响应不全，或者对招标文件规定的项目需求内容或者需求数量进行修改，评审委员会判定投标响应不满足采购需求；</w:t>
            </w:r>
          </w:p>
        </w:tc>
      </w:tr>
      <w:tr w14:paraId="54E0D430">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22E3BAC">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9</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294F15E">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投标文件电子文档不得带病毒；</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C998B28">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投标文件电子文档不得带病毒；</w:t>
            </w:r>
          </w:p>
        </w:tc>
      </w:tr>
      <w:tr w14:paraId="158BD563">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3EE7859">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AA150FB">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投标文件用不属于本公司的电子密钥进行加密的；</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1BC8206">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投标文件用不属于本公司的电子密钥进行加密的；</w:t>
            </w:r>
          </w:p>
        </w:tc>
      </w:tr>
      <w:tr w14:paraId="3808CFE2">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B5FF163">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F320548">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不同投标供应商投标文件文件制作机器码”一致；</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3ABE682">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不同投标供应商投标文件文件制作机器码”一致；</w:t>
            </w:r>
          </w:p>
        </w:tc>
      </w:tr>
      <w:tr w14:paraId="683FF7A0">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C038096">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12</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03FA9C6">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不同投标供应商投标文件文件创建标识码”一致；</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3BA7FE1">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不同投标供应商投标文件文件创建标识码”一致；</w:t>
            </w:r>
          </w:p>
        </w:tc>
      </w:tr>
      <w:tr w14:paraId="0FF293D1">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A113924">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13</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D9108EF">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法律、法规、规章、规范性文件规定的其他情形。</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86680A5">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法律、法规、规章、规范性文件规定的其他情形。</w:t>
            </w:r>
          </w:p>
        </w:tc>
      </w:tr>
    </w:tbl>
    <w:p w14:paraId="3B0E67DA">
      <w:pPr>
        <w:pBdr>
          <w:top w:val="none" w:color="auto" w:sz="0" w:space="0"/>
          <w:left w:val="none" w:color="auto" w:sz="0" w:space="0"/>
          <w:bottom w:val="none" w:color="auto" w:sz="0" w:space="0"/>
          <w:right w:val="none" w:color="auto" w:sz="0" w:space="0"/>
        </w:pBdr>
        <w:spacing w:line="240" w:lineRule="atLeast"/>
        <w:ind w:left="15" w:right="15"/>
        <w:rPr>
          <w:rFonts w:ascii="仿宋" w:hAnsi="仿宋" w:eastAsia="仿宋" w:cs="仿宋"/>
          <w:b/>
          <w:bCs/>
          <w:color w:val="000000"/>
          <w:lang w:val="en" w:eastAsia="en"/>
        </w:rPr>
      </w:pPr>
      <w:r>
        <w:rPr>
          <w:rFonts w:ascii="仿宋" w:hAnsi="仿宋" w:eastAsia="仿宋" w:cs="仿宋"/>
          <w:b/>
          <w:bCs/>
          <w:color w:val="000000"/>
          <w:lang w:val="en" w:eastAsia="en"/>
        </w:rPr>
        <w:t>4.3 详细评审</w:t>
      </w:r>
      <w:r>
        <w:rPr>
          <w:rFonts w:ascii="仿宋" w:hAnsi="仿宋" w:eastAsia="仿宋" w:cs="仿宋"/>
          <w:b/>
          <w:bCs/>
          <w:color w:val="000000"/>
          <w:lang w:val="en" w:eastAsia="en"/>
        </w:rPr>
        <w:br w:type="textWrapping"/>
      </w:r>
      <w:r>
        <w:rPr>
          <w:rFonts w:ascii="仿宋" w:hAnsi="仿宋" w:eastAsia="仿宋" w:cs="仿宋"/>
          <w:color w:val="333333"/>
          <w:lang w:val="en" w:eastAsia="en"/>
        </w:rPr>
        <w:t>汇总规则：</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按评委打分直接平均</w:t>
      </w:r>
      <w:r>
        <w:rPr>
          <w:rFonts w:ascii="微软雅黑" w:hAnsi="微软雅黑" w:eastAsia="微软雅黑" w:cs="微软雅黑"/>
          <w:color w:val="333333"/>
          <w:lang w:val="en" w:eastAsia="en"/>
        </w:rPr>
        <w:t xml:space="preserve"> </w:t>
      </w:r>
    </w:p>
    <w:tbl>
      <w:tblPr>
        <w:tblStyle w:val="13"/>
        <w:tblW w:w="5000" w:type="pct"/>
        <w:tblInd w:w="15"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0" w:type="dxa"/>
          <w:left w:w="0" w:type="dxa"/>
          <w:bottom w:w="0" w:type="dxa"/>
          <w:right w:w="0" w:type="dxa"/>
        </w:tblCellMar>
      </w:tblPr>
      <w:tblGrid>
        <w:gridCol w:w="913"/>
        <w:gridCol w:w="3289"/>
        <w:gridCol w:w="3289"/>
        <w:gridCol w:w="914"/>
        <w:gridCol w:w="731"/>
      </w:tblGrid>
      <w:tr w14:paraId="7344D073">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blHeader/>
        </w:trPr>
        <w:tc>
          <w:tcPr>
            <w:tcW w:w="4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37ED5B61">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序号</w:t>
            </w:r>
          </w:p>
        </w:tc>
        <w:tc>
          <w:tcPr>
            <w:tcW w:w="18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290AC11A">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评审要素</w:t>
            </w:r>
          </w:p>
        </w:tc>
        <w:tc>
          <w:tcPr>
            <w:tcW w:w="18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042C76FB">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评审标准</w:t>
            </w:r>
          </w:p>
        </w:tc>
        <w:tc>
          <w:tcPr>
            <w:tcW w:w="5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077923EA">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分值</w:t>
            </w:r>
          </w:p>
        </w:tc>
        <w:tc>
          <w:tcPr>
            <w:tcW w:w="5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066E4F20">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权重</w:t>
            </w:r>
          </w:p>
        </w:tc>
      </w:tr>
      <w:tr w14:paraId="79A16A36">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EBE78AB">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F3C64E8">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技术部分</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27D4617">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266E05C5">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38960B94">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p>
        </w:tc>
      </w:tr>
      <w:tr w14:paraId="02FBEE4A">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A5CC3AE">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2</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F3851B8">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技术保障措施</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5055961">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（一）评审内容： 投标人针对本项目的需求制定技术保障措施，内容包含但不限于： 1.技术方案； 2.项目管理方案； 3.培训方案。 （二）评分标准： 1.满足以上3项要求得10分，满足以上2项要求得5分，满足以上1项要求得1分，其他不得分。 2.在此基础上，评审委员会根据采购文件的需求和投标文件响应情况进一步评审： （1）优：项目技术保障措施内容全面、具体，对用户需求理解程度高，数据准确详实，符合项目需求的，加90分； （2）良：项目技术保障措施内容较为全面、具体，对用户需求理解程度较高，数据准确较详实，较符合项目需求的，加50分； （3）中：项目技术保障措施内容基本满足要求，对用户需求理解程度一般，数据基本准确，基本符合项目需求的，加10分。 （4）差：项目技术保障措施评价为差或未提供者不得分。 本项最高得100分。</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341312FE">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6E60755F">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8</w:t>
            </w:r>
          </w:p>
        </w:tc>
      </w:tr>
      <w:tr w14:paraId="74795A11">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718772C">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3</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37E3EA5">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售后服务方案</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0BCBDE4">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评审内容： 投标人应在投标文件中针对本项目详细说明售后服务方案，方案应包括： (1)售后服务期间应急响应时间、服务网点及能力； (2)售后服务专业性； (3)售后服务保障能力。 满足以上3项要求得10分，满足以上2项要求得5分，满足以上1项要求得1分，其他不得分。 评审标准： 在投标人以上内容提供的基础上，评审委员会根据以下评审标准分档打分： （1）投标文件响应内容全面； （2）投标文件响应内容具体； （3）投标文件响应内容针对性强； （4）投标文件响应内容科学合理； （5）投标文件响应内容可操作性强。 满足以上五项要求的评价为优，得,90分。 满足以上四项要求的评价为良，得50分。 满足以上三项要求的评价为中，得10分。 其它情况的评价为差，不得分。</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721470EF">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216847FC">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8</w:t>
            </w:r>
          </w:p>
        </w:tc>
      </w:tr>
      <w:tr w14:paraId="4A2F291D">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DE18B90">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4</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9FAD1F7">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技术规格偏离情况</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8C5BA78">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考察内容： 评审委员会根据技术需求参数响应情况进行打分，各项技术参数指标及要求全部满足的得满分，所有标注▲”的重要参数每项负偏离（含不符合或者不满足、不响应）一项扣15分，一般参数每负偏离（含不符合或者不满足、不响应）一项扣1分，扣完为止。 证明文件： 注：投标人须按《技术规格偏离表》中的要求提供相关证明资料，如要求提供厂家网站截图说明书厂家出具的参数文件检验报告”等证明资料的，需按要求提供相关证明资料；提供的证明资料与所填写内容不一致的，以证明资料为准，原件备查。证明资料未提供，或提供的证明资料不清或无法判断的，不得分。</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23A0E492">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11C5C646">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14</w:t>
            </w:r>
          </w:p>
        </w:tc>
      </w:tr>
      <w:tr w14:paraId="663E82D2">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BA181F9">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5</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A246C65">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拟安排的项目负责人情况 (仅限1人)</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38ACC39">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考察内容： 拟安排的项目负责人（仅限1人）需为投标人自有员工（提供社保证明），否则本项不得分，在此基础上： 1.具有人社部门颁发的计算机技术与软件专业技术资格（级别：高级或以上（含副高），专业：系统与规划管理师）证书或计算机技术与软件专业技术资格（级别：高级或以上（含副高），专业：信息系统项目管理师）证书； 2.具有行政机关或事业单位颁发的信息安全保障人员认证（CISAW）证书； 3.具有工信部门颁发的智能运维工程师证书； 4.具有工信部门颁发的人工智能类专业中级（或以上）职称证书； 5.具有工信部门颁发的网络技术工程师（高级或以上（含副高））证书； 提供以上5项得100分，提供以上任意4项60分，提供以上任意3项30分，提供以上任意2项10分，未提供或其他情况不得分。 证明文件： 1.提供开标日前由投标人为拟投入本项目的负责人缴交的载有政府部门公章（或专用章）的2024年7月-2024年9月近三个月任意一个月的社保缴交证明材料，如开标日上一个月的社保材料因政府部门原因暂时无法取得，则可以往前顺延一个月；社保资料至少显示缴交养老保险信息，未显示该信息的该社保资料则不符合要求，原件备查。如供应商为新成立企业且成立时间不足1个月的，需承诺相关人员为投标人自有员工，承诺函格式自拟并加盖公章； 2.第1-5项提供有效证书扫描件； 3.未提供或未按要求提供或提供的不清晰导致评审委员会无法判断的，不得分。</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1D3F0EB5">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4724D097">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9</w:t>
            </w:r>
          </w:p>
        </w:tc>
      </w:tr>
      <w:tr w14:paraId="63A09A5A">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C8F1E81">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6</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B015CB9">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拟安排的项目主要团队成员（主要技术人员）情况（项目负责人除外）</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891A021">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考察内容： 拟安排项目团队成员（项目负责人除外）需为投标人自有员工（提供社保证明），否则本项不得分，在此基础上： 一、技术负责人（1名）： 1.具有行政机关或事业单位颁发的注册信息安全工程师（CISE）证书； 2.具有人社部门或工信部门颁发的（高级或以上（含副高））软件开发工程师证书。 以上每提供1项得15分，技术负责人最高得30分，其他情况不得分。 二、终端及应急保障服务负责人（1名）： 1.具有注册信息安全工程师（CISE）证书； 2.具有人社部门或工信部门颁发的智能化系统工程师证书； 3.具有人社部门或工信部门颁发的（高级或以上（含副高））软件开发工程师证书。 以上每提供1项得10分，终端及应急保障服务负责人最高得30分，其他情况不得分。 三、安全售后负责人（1人）： 1.具有行政机关或事业单位颁发的注册人信息安全工程师(CISE)证书。 2.具有工信部门颁发的安防系统工程师（高级或以上（含副高））证书。 以上每提供1项得10分，安全售后负责人最高得20分，其他情况不得分。 四、项目实施团队（4人）： 团队成员（技术负责人、终端及应急保障服务负责人、安全售后负责人除外）中具有人社部门或工信部门或信息产业部门颁发的通信类或广电类或信息工程类专业中级（或以上）职称的，每提供一人得5分，项目实施团队最高得20分，其他情况不得分。 证明文件： 1.提供开标日前由投标人为相关人员缴交的载有政府部门公章（或专用章）的2024年7月-2024年9月近三个月任意一个月的社保缴交证明材料，如开标日上一个月的社保材料因政府部门原因暂时无法取得，则可以往前顺延一个月；社保资料至少显示缴交养老保险信息，未显示该信息的该社保资料则不符合要求，原件备查。如供应商为新成立企业且成立时间不足1个月的，需承诺相关人员为投标人自有员工，承诺函格式自拟并加盖公章； 2.提供上述评分项中对应的有效证书扫描件； 3.未提供或未按要求提供或提供的不清晰导致评审委员会无法判断的，不得分。</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637E497E">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2B265F34">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w:t>
            </w:r>
          </w:p>
        </w:tc>
      </w:tr>
      <w:tr w14:paraId="7710A14E">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90B0A17">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7</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FB5437D">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商务部分</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B453540">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00D9D3EC">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3F85932D">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p>
        </w:tc>
      </w:tr>
      <w:tr w14:paraId="63653272">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8E7A5B4">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8</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1E78BF2">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商务条款偏离情况</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6AD07C8">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投标人应如实填写《商务条款偏离情况》，评审小组根据响应情况进行打分，除带★”实质性条款外全部满足要求的得100分，每负偏离一项扣15分。</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3C71798B">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1584BE46">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w:t>
            </w:r>
          </w:p>
        </w:tc>
      </w:tr>
      <w:tr w14:paraId="06C22C55">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D0E72F0">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9</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65F904E">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同类项目业绩</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2CA3CAA">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考察内容： 投标人（如投标人为分公司或分支机构可用其总公司业绩）2021年10月1日至本项目投标截止时间，（以签订合同日期为准）在同类项目业绩情况：每提供1个得20分，最高得100分。每项业绩须按以下要求提供完整准确的证明文件，一年一签的长期服务续签合同只计算一个业绩。 证明文件： 提供合同或协议关键页（关键信息包括但不仅限于合同的项目名称、服务内容（采购标的）、签订日期等），未提供的不得分，原件备查。 评分中出现无证明资料或专家无法凭所提供资料判断是否得分的情况，一律作不得分处理。 通过上述资料无法判断是否得分的，也可以同时提供能证明得分的其它资料，如项目报告或采购单位（或被服务单位）出具的证明文件等。</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43F2458F">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1B582F3C">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2</w:t>
            </w:r>
          </w:p>
        </w:tc>
      </w:tr>
      <w:tr w14:paraId="1F0608CA">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8D4C8CD">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B01DA08">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投标人认证情况</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3C58FC5">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考察内容： 1.具有质量管理体系认证证书得25分； 2.具有售后服务认证证书得25分； 3.具有环境管理体系认证证书得25分； 4.具有职业健康安全管理体系认证证书得25分； 本项最高得100分，未提供或其他情况不得分。 证明文件： 1.提供证书扫描件及全国认证认可信息公共服务平台（cx.cnca.cn）认证信息查询截图（截图需显示证书状态为有效）。相关证书在公开渠道无法查询的，投标人需提供颁发部门或者监管机构的证明材料，证明证书真实有效且为合法机构颁发； 2.如投标人为分支机构，提供其总公司的证书也可按照评分规则计分；证书单位名称需与投标人名称或其总公司名称一致，否则不得分； 3.未提供或未按要求提供或提供的不清晰导致评审委员会无法判断的，不得分。</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7DD94666">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7F0CD155">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2</w:t>
            </w:r>
          </w:p>
        </w:tc>
      </w:tr>
      <w:tr w14:paraId="3A4229D4">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814424A">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2B274D9">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投标人荣誉情况</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58303DE">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考察内容： 投标人获得过行政机关或事业单位颁发的科学技术或信息技术相关奖项，国家级的得100分，省级（含副省级）的得30分，其他情况不得分，最高得100分。 证明文件： 1.提供奖项照片或获奖（荣誉）证书等证明材料，如投标人为分公司或分支机构，提供其总公司获奖证书也可按照评分规则计分；获奖单位名称需与投标人名称或其总公司名称一致，否则不得分； 2.未提供或未按要求提供或提供的不清晰导致评审委员会无法判断的，不得分。</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4532C413">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24B5F56A">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5</w:t>
            </w:r>
          </w:p>
        </w:tc>
      </w:tr>
      <w:tr w14:paraId="18FD3B66">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7FC2367">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12</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D263E24">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投标人自主知识产权产品（创新、设计）情况</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B1B3DD5">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考察内容： 1.具有图像数据和电子身份标识识别类相关计算机软件著作权登记证书或专利证书。 2.具有视频AI分析集约管控平台类相关计算机软件著作权登记证书或专利证书。 3.具有智能识别系统类相关计算机软件著作权登记证书或专利证书。 4.具有云视频分析引擎类相关计算机软件著作权登记证书或专利证书。 5.具有智能运维平台类相关计算机软件著作权登记证书或专利证书。 提供任意一项得20分，最高得100分，未提供或其他情况不得分。 （投标人提供的计算机软件著作权登记证书名称或专利证书名称与招标文件要求不必完全一致，用途一致或相近即可） 评审标准： 1.提供国家版权部门或国家知识产权部门颁发的有效证书扫描件（知识产权人或专利权人需为投标人，如投标人为分公司或分支机构，可提供总公司相应证书。证书单位名称需与投标人名称或其总公司名称一致，否则不得分）； 2.未提供或未按要求提供或提供的不清晰导致评审委员会无法判断的，不得分。</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47A8B124">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0FEDE9E3">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6</w:t>
            </w:r>
          </w:p>
        </w:tc>
      </w:tr>
      <w:tr w14:paraId="146674AF">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36252C1">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13</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0B08571">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诚信情况</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7D875A8">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考察内容： 投标人承诺在参与自行采购活动中未出现诚信或安全相关问题且不在相关主管部门处理措施实施期限内的本项得100分，否则不得分。 证明文件： 投标人须提供的《诚信承诺函》，按采购文件格式要求提供，不提供或提供的不符合要求或提供不清晰导致专家无法判断的均不得分。如被认定提供的陈述与事实不符受到行政处罚的，依法追究其责任。</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331E5BDA">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2A2A0311">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5</w:t>
            </w:r>
          </w:p>
        </w:tc>
      </w:tr>
    </w:tbl>
    <w:p w14:paraId="44E26D7B">
      <w:pPr>
        <w:keepLines/>
        <w:pBdr>
          <w:top w:val="none" w:color="auto" w:sz="0" w:space="0"/>
          <w:left w:val="none" w:color="auto" w:sz="0" w:space="0"/>
          <w:bottom w:val="none" w:color="auto" w:sz="0" w:space="0"/>
          <w:right w:val="none" w:color="auto" w:sz="0" w:space="0"/>
        </w:pBdr>
        <w:spacing w:before="0" w:line="432" w:lineRule="atLeast"/>
        <w:ind w:left="15" w:right="15"/>
        <w:rPr>
          <w:rFonts w:ascii="微软雅黑" w:hAnsi="微软雅黑" w:eastAsia="微软雅黑" w:cs="微软雅黑"/>
          <w:color w:val="333333"/>
          <w:lang w:val="en" w:eastAsia="en"/>
        </w:rPr>
      </w:pPr>
      <w:r>
        <w:rPr>
          <w:rFonts w:ascii="仿宋" w:hAnsi="仿宋" w:eastAsia="仿宋" w:cs="仿宋"/>
          <w:b/>
          <w:bCs/>
          <w:color w:val="000000"/>
          <w:lang w:val="en" w:eastAsia="en"/>
        </w:rPr>
        <w:t>4.5 价格评审</w:t>
      </w:r>
      <w:r>
        <w:rPr>
          <w:rFonts w:ascii="微软雅黑" w:hAnsi="微软雅黑" w:eastAsia="微软雅黑" w:cs="微软雅黑"/>
          <w:color w:val="333333"/>
          <w:lang w:val="en" w:eastAsia="en"/>
        </w:rPr>
        <w:t xml:space="preserve"> </w:t>
      </w:r>
    </w:p>
    <w:p w14:paraId="52180E06">
      <w:pPr>
        <w:keepLines/>
        <w:pBdr>
          <w:top w:val="none" w:color="auto" w:sz="0" w:space="0"/>
          <w:left w:val="none" w:color="auto" w:sz="0" w:space="0"/>
          <w:bottom w:val="none" w:color="auto" w:sz="0" w:space="0"/>
          <w:right w:val="none" w:color="auto" w:sz="0" w:space="0"/>
        </w:pBdr>
        <w:spacing w:before="0" w:after="0" w:line="432" w:lineRule="atLeast"/>
        <w:ind w:left="15" w:right="15"/>
        <w:rPr>
          <w:rFonts w:ascii="微软雅黑" w:hAnsi="微软雅黑" w:eastAsia="微软雅黑" w:cs="微软雅黑"/>
          <w:color w:val="333333"/>
          <w:lang w:val="en" w:eastAsia="en"/>
        </w:rPr>
        <w:sectPr>
          <w:pgMar w:top="1440" w:right="1800" w:bottom="1440" w:left="1800" w:header="708" w:footer="708" w:gutter="0"/>
          <w:cols w:space="708" w:num="1"/>
        </w:sectPr>
      </w:pPr>
      <w:r>
        <w:rPr>
          <w:rFonts w:ascii="仿宋" w:hAnsi="仿宋" w:eastAsia="仿宋" w:cs="仿宋"/>
          <w:color w:val="333333"/>
          <w:lang w:val="en" w:eastAsia="en"/>
        </w:rPr>
        <w:t>4.5.1 投标总价</w:t>
      </w:r>
      <w:r>
        <w:rPr>
          <w:rFonts w:ascii="仿宋" w:hAnsi="仿宋" w:eastAsia="仿宋" w:cs="仿宋"/>
          <w:color w:val="333333"/>
          <w:lang w:val="en" w:eastAsia="en"/>
        </w:rPr>
        <w:br w:type="textWrapping"/>
      </w:r>
      <w:r>
        <w:rPr>
          <w:rFonts w:ascii="仿宋" w:hAnsi="仿宋" w:eastAsia="仿宋" w:cs="仿宋"/>
          <w:color w:val="333333"/>
          <w:lang w:val="en" w:eastAsia="en"/>
        </w:rPr>
        <w:t>价格得分满分：</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30</w:t>
      </w:r>
      <w:r>
        <w:rPr>
          <w:rFonts w:ascii="仿宋" w:hAnsi="仿宋" w:eastAsia="仿宋" w:cs="仿宋"/>
          <w:color w:val="333333"/>
          <w:lang w:val="en" w:eastAsia="en"/>
        </w:rPr>
        <w:br w:type="textWrapping"/>
      </w:r>
      <w:r>
        <w:rPr>
          <w:rFonts w:ascii="仿宋" w:hAnsi="仿宋" w:eastAsia="仿宋" w:cs="仿宋"/>
          <w:color w:val="333333"/>
          <w:lang w:val="en" w:eastAsia="en"/>
        </w:rPr>
        <w:t>报价打分方式：</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自动算分（内插法）</w:t>
      </w:r>
      <w:r>
        <w:rPr>
          <w:rFonts w:ascii="仿宋" w:hAnsi="仿宋" w:eastAsia="仿宋" w:cs="仿宋"/>
          <w:color w:val="333333"/>
          <w:lang w:val="en" w:eastAsia="en"/>
        </w:rPr>
        <w:br w:type="textWrapping"/>
      </w:r>
      <w:r>
        <w:rPr>
          <w:rFonts w:ascii="仿宋" w:hAnsi="仿宋" w:eastAsia="仿宋" w:cs="仿宋"/>
          <w:color w:val="333333"/>
          <w:lang w:val="en" w:eastAsia="en"/>
        </w:rPr>
        <w:t>参与基准价计算范围的计算公式：全部投标报价</w:t>
      </w:r>
      <w:r>
        <w:rPr>
          <w:rFonts w:ascii="仿宋" w:hAnsi="仿宋" w:eastAsia="仿宋" w:cs="仿宋"/>
          <w:color w:val="333333"/>
          <w:lang w:val="en" w:eastAsia="en"/>
        </w:rPr>
        <w:br w:type="textWrapping"/>
      </w:r>
      <w:r>
        <w:rPr>
          <w:rFonts w:ascii="仿宋" w:hAnsi="仿宋" w:eastAsia="仿宋" w:cs="仿宋"/>
          <w:color w:val="333333"/>
          <w:lang w:val="en" w:eastAsia="en"/>
        </w:rPr>
        <w:t>评标价计算公式：评标价=投标函中的投标报价*价格扣除（上浮）比例：中小微企业（或监狱企业或残疾人福利性单位）价格扣除比例：10%；中小微联合体（协议合同金额占到联合体协议合同总金额30%以上）价格扣除比例：0%；失信供应商价格上浮比例：10%。</w:t>
      </w:r>
      <w:r>
        <w:rPr>
          <w:rFonts w:ascii="仿宋" w:hAnsi="仿宋" w:eastAsia="仿宋" w:cs="仿宋"/>
          <w:color w:val="333333"/>
          <w:lang w:val="en" w:eastAsia="en"/>
        </w:rPr>
        <w:br w:type="textWrapping"/>
      </w:r>
      <w:r>
        <w:rPr>
          <w:rFonts w:ascii="仿宋" w:hAnsi="仿宋" w:eastAsia="仿宋" w:cs="仿宋"/>
          <w:color w:val="333333"/>
          <w:lang w:val="en" w:eastAsia="en"/>
        </w:rPr>
        <w:t>基准价计算公式：基准价=最低评标价</w:t>
      </w:r>
      <w:r>
        <w:rPr>
          <w:rFonts w:ascii="仿宋" w:hAnsi="仿宋" w:eastAsia="仿宋" w:cs="仿宋"/>
          <w:color w:val="333333"/>
          <w:lang w:val="en" w:eastAsia="en"/>
        </w:rPr>
        <w:br w:type="textWrapping"/>
      </w:r>
      <w:r>
        <w:rPr>
          <w:rFonts w:ascii="仿宋" w:hAnsi="仿宋" w:eastAsia="仿宋" w:cs="仿宋"/>
          <w:color w:val="333333"/>
          <w:lang w:val="en" w:eastAsia="en"/>
        </w:rPr>
        <w:t>报价打分计算公式：得分=（基准价/评标价）*总分</w:t>
      </w:r>
    </w:p>
    <w:p w14:paraId="33080406">
      <w:pPr>
        <w:pBdr>
          <w:top w:val="none" w:color="auto" w:sz="0" w:space="0"/>
          <w:left w:val="single" w:color="DDDDDD" w:sz="6" w:space="0"/>
          <w:bottom w:val="none" w:color="auto" w:sz="0" w:space="0"/>
          <w:right w:val="single" w:color="DDDDDD" w:sz="6" w:space="0"/>
        </w:pBdr>
        <w:spacing w:before="0" w:after="0" w:line="648" w:lineRule="atLeast"/>
        <w:ind w:left="15" w:right="15"/>
        <w:jc w:val="center"/>
        <w:outlineLvl w:val="0"/>
        <w:rPr>
          <w:rFonts w:ascii="仿宋" w:hAnsi="仿宋" w:eastAsia="仿宋" w:cs="仿宋"/>
          <w:b/>
          <w:bCs/>
          <w:color w:val="000000"/>
          <w:sz w:val="48"/>
          <w:szCs w:val="48"/>
          <w:lang w:val="en" w:eastAsia="en"/>
        </w:rPr>
      </w:pPr>
      <w:r>
        <w:rPr>
          <w:rFonts w:ascii="仿宋" w:hAnsi="仿宋" w:eastAsia="仿宋" w:cs="仿宋"/>
          <w:b/>
          <w:bCs/>
          <w:color w:val="000000"/>
          <w:sz w:val="48"/>
          <w:szCs w:val="48"/>
          <w:lang w:val="en" w:eastAsia="en"/>
        </w:rPr>
        <w:t>投标文件格式</w:t>
      </w:r>
    </w:p>
    <w:p w14:paraId="1892AC3A">
      <w:pPr>
        <w:pBdr>
          <w:top w:val="none" w:color="auto" w:sz="0" w:space="0"/>
          <w:left w:val="none" w:color="auto" w:sz="0" w:space="0"/>
          <w:bottom w:val="none" w:color="auto" w:sz="0" w:space="0"/>
          <w:right w:val="none" w:color="auto" w:sz="0" w:space="0"/>
        </w:pBdr>
        <w:spacing w:before="0" w:after="0" w:line="504" w:lineRule="atLeast"/>
        <w:ind w:left="15" w:right="15"/>
        <w:jc w:val="center"/>
        <w:rPr>
          <w:rFonts w:ascii="仿宋" w:hAnsi="仿宋" w:eastAsia="仿宋" w:cs="仿宋"/>
          <w:b/>
          <w:bCs/>
          <w:color w:val="333333"/>
          <w:sz w:val="28"/>
          <w:szCs w:val="28"/>
          <w:lang w:val="en" w:eastAsia="en"/>
        </w:rPr>
      </w:pPr>
      <w:r>
        <w:rPr>
          <w:rFonts w:hint="eastAsia" w:ascii="仿宋" w:hAnsi="仿宋" w:eastAsia="仿宋" w:cs="仿宋"/>
          <w:b/>
          <w:bCs/>
          <w:color w:val="333333"/>
          <w:sz w:val="28"/>
          <w:szCs w:val="28"/>
          <w:lang w:val="en" w:eastAsia="zh-CN"/>
        </w:rPr>
        <w:t>大浪校区监控视频存储及光网络交换设备</w:t>
      </w:r>
      <w:r>
        <w:rPr>
          <w:rFonts w:ascii="仿宋" w:hAnsi="仿宋" w:eastAsia="仿宋" w:cs="仿宋"/>
          <w:b/>
          <w:bCs/>
          <w:color w:val="333333"/>
          <w:sz w:val="28"/>
          <w:szCs w:val="28"/>
          <w:lang w:val="en" w:eastAsia="en"/>
        </w:rPr>
        <w:t>-A</w:t>
      </w:r>
    </w:p>
    <w:tbl>
      <w:tblPr>
        <w:tblStyle w:val="14"/>
        <w:tblW w:w="5000" w:type="pct"/>
        <w:tblInd w:w="15"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0" w:type="dxa"/>
          <w:left w:w="0" w:type="dxa"/>
          <w:bottom w:w="0" w:type="dxa"/>
          <w:right w:w="0" w:type="dxa"/>
        </w:tblCellMar>
      </w:tblPr>
      <w:tblGrid>
        <w:gridCol w:w="1644"/>
        <w:gridCol w:w="7492"/>
      </w:tblGrid>
      <w:tr w14:paraId="5C1F6A20">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tblHeader/>
        </w:trPr>
        <w:tc>
          <w:tcPr>
            <w:tcW w:w="9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1F1CAA81">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序号</w:t>
            </w:r>
          </w:p>
        </w:tc>
        <w:tc>
          <w:tcPr>
            <w:tcW w:w="41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45735478">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文件夹/文件名称</w:t>
            </w:r>
          </w:p>
        </w:tc>
      </w:tr>
      <w:tr w14:paraId="77E8105E">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30E471E">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877BAF8">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投标函</w:t>
            </w:r>
          </w:p>
        </w:tc>
      </w:tr>
      <w:tr w14:paraId="5C3DD87D">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C9979AE">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2</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9343AD0">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龙华区教育局自行采购投标及履约承诺函</w:t>
            </w:r>
          </w:p>
        </w:tc>
      </w:tr>
      <w:tr w14:paraId="0D440770">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C698277">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3</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D33F3C3">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投标人情况及资格证明文件</w:t>
            </w:r>
          </w:p>
        </w:tc>
      </w:tr>
      <w:tr w14:paraId="08D2F2EB">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559CFA9">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4</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E86E9E7">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分项报价清单</w:t>
            </w:r>
          </w:p>
        </w:tc>
      </w:tr>
      <w:tr w14:paraId="7BBDA5BC">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E8C1FDD">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5</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E8DE0A7">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股东构成审查表</w:t>
            </w:r>
          </w:p>
        </w:tc>
      </w:tr>
      <w:tr w14:paraId="60CC46FA">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31FEDFF">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6</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C5A3D03">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法定代表人（负责人）证明书</w:t>
            </w:r>
          </w:p>
        </w:tc>
      </w:tr>
      <w:tr w14:paraId="6CB54F02">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AB71D26">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7</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D470DF7">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投标文件签署授权委托书</w:t>
            </w:r>
          </w:p>
        </w:tc>
      </w:tr>
      <w:tr w14:paraId="665DFFB6">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949DE21">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8</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DB092C3">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实质性条款响应情况表</w:t>
            </w:r>
          </w:p>
        </w:tc>
      </w:tr>
      <w:tr w14:paraId="49B1667B">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3274CD9">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9</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8173DA3">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技术要求偏离表</w:t>
            </w:r>
          </w:p>
        </w:tc>
      </w:tr>
      <w:tr w14:paraId="1F81C96F">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8F0155D">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90BE895">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商务要求偏离表</w:t>
            </w:r>
          </w:p>
        </w:tc>
      </w:tr>
      <w:tr w14:paraId="30A24814">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DB17CE3">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6BA6191">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技术保障措施</w:t>
            </w:r>
          </w:p>
        </w:tc>
      </w:tr>
      <w:tr w14:paraId="17782BA4">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F70C3D7">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12</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CD93994">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售后服务方案</w:t>
            </w:r>
          </w:p>
        </w:tc>
      </w:tr>
      <w:tr w14:paraId="07989E2A">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CF28AEF">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13</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904DB5A">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拟安排的项目负责人情况(仅限1人)</w:t>
            </w:r>
          </w:p>
        </w:tc>
      </w:tr>
      <w:tr w14:paraId="220D5E47">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2E7B3D0">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14</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20EB084">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拟安排的项目主要团队成员（主要技术人员）情况（项目负责人除外）</w:t>
            </w:r>
          </w:p>
        </w:tc>
      </w:tr>
      <w:tr w14:paraId="036B8AC4">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DF618E3">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15</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3D6A991">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同类项目业绩</w:t>
            </w:r>
          </w:p>
        </w:tc>
      </w:tr>
      <w:tr w14:paraId="2140D964">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B6986E6">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16</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32FEEEC">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投标人认证情况</w:t>
            </w:r>
          </w:p>
        </w:tc>
      </w:tr>
      <w:tr w14:paraId="31BD7AF1">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398F0D3">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17</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0531B2E">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投标人荣誉情况</w:t>
            </w:r>
          </w:p>
        </w:tc>
      </w:tr>
      <w:tr w14:paraId="293D6EF2">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79354DD">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18</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8D78342">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投标人自主知识产权产品（创新、设计）情况</w:t>
            </w:r>
          </w:p>
        </w:tc>
      </w:tr>
      <w:tr w14:paraId="6536C77C">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1A8743A">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19</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7AA74E4">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诚信情况</w:t>
            </w:r>
          </w:p>
        </w:tc>
      </w:tr>
      <w:tr w14:paraId="7D2F19F0">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C0C10D6">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20</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8EDD100">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投标人认为需要加以说明的其他内容</w:t>
            </w:r>
          </w:p>
        </w:tc>
      </w:tr>
    </w:tbl>
    <w:p w14:paraId="1E091FCA">
      <w:pPr>
        <w:pBdr>
          <w:top w:val="none" w:color="auto" w:sz="0" w:space="0"/>
          <w:left w:val="none" w:color="auto" w:sz="0" w:space="0"/>
          <w:bottom w:val="none" w:color="auto" w:sz="0" w:space="0"/>
          <w:right w:val="none" w:color="auto" w:sz="0" w:space="0"/>
        </w:pBdr>
        <w:spacing w:line="432" w:lineRule="atLeast"/>
        <w:rPr>
          <w:rFonts w:ascii="仿宋" w:hAnsi="仿宋" w:eastAsia="仿宋" w:cs="仿宋"/>
          <w:b/>
          <w:bCs/>
          <w:color w:val="333333"/>
          <w:lang w:val="en" w:eastAsia="en"/>
        </w:rPr>
        <w:sectPr>
          <w:pgMar w:top="1440" w:right="1800" w:bottom="1440" w:left="1800" w:header="708" w:footer="708" w:gutter="0"/>
          <w:cols w:space="708" w:num="1"/>
        </w:sectPr>
      </w:pPr>
    </w:p>
    <w:p w14:paraId="0A178976">
      <w:pPr>
        <w:pBdr>
          <w:top w:val="none" w:color="auto" w:sz="0" w:space="0"/>
          <w:left w:val="single" w:color="DDDDDD" w:sz="6" w:space="0"/>
          <w:bottom w:val="none" w:color="auto" w:sz="0" w:space="0"/>
          <w:right w:val="single" w:color="DDDDDD" w:sz="6" w:space="0"/>
        </w:pBdr>
        <w:spacing w:before="0" w:after="0" w:line="648" w:lineRule="atLeast"/>
        <w:ind w:left="15" w:right="15"/>
        <w:jc w:val="center"/>
        <w:outlineLvl w:val="0"/>
        <w:rPr>
          <w:rFonts w:ascii="仿宋" w:hAnsi="仿宋" w:eastAsia="仿宋" w:cs="仿宋"/>
          <w:b/>
          <w:bCs/>
          <w:color w:val="000000"/>
          <w:sz w:val="48"/>
          <w:szCs w:val="48"/>
          <w:lang w:val="en" w:eastAsia="en"/>
        </w:rPr>
      </w:pPr>
      <w:r>
        <w:rPr>
          <w:rFonts w:ascii="仿宋" w:hAnsi="仿宋" w:eastAsia="仿宋" w:cs="仿宋"/>
          <w:b/>
          <w:bCs/>
          <w:color w:val="000000"/>
          <w:sz w:val="48"/>
          <w:szCs w:val="48"/>
          <w:lang w:val="en" w:eastAsia="en"/>
        </w:rPr>
        <w:t>评标办法附表</w:t>
      </w:r>
    </w:p>
    <w:p w14:paraId="7936120E">
      <w:pPr>
        <w:pBdr>
          <w:top w:val="none" w:color="auto" w:sz="0" w:space="0"/>
          <w:left w:val="none" w:color="auto" w:sz="0" w:space="0"/>
          <w:bottom w:val="none" w:color="auto" w:sz="0" w:space="0"/>
          <w:right w:val="none" w:color="auto" w:sz="0" w:space="0"/>
        </w:pBdr>
        <w:spacing w:before="0" w:after="288" w:line="432" w:lineRule="atLeast"/>
        <w:ind w:left="15" w:right="15"/>
        <w:rPr>
          <w:rFonts w:ascii="微软雅黑" w:hAnsi="微软雅黑" w:eastAsia="微软雅黑" w:cs="微软雅黑"/>
          <w:color w:val="333333"/>
          <w:lang w:val="en" w:eastAsia="en"/>
        </w:rPr>
      </w:pPr>
      <w:r>
        <w:rPr>
          <w:rFonts w:ascii="仿宋" w:hAnsi="仿宋" w:eastAsia="仿宋" w:cs="仿宋"/>
          <w:b/>
          <w:bCs/>
          <w:color w:val="333333"/>
          <w:sz w:val="28"/>
          <w:szCs w:val="28"/>
          <w:lang w:val="en" w:eastAsia="en"/>
        </w:rPr>
        <w:t>1.标段基本信息</w:t>
      </w:r>
    </w:p>
    <w:p w14:paraId="050412B7">
      <w:pPr>
        <w:pBdr>
          <w:top w:val="none" w:color="auto" w:sz="0" w:space="0"/>
          <w:left w:val="none" w:color="auto" w:sz="0" w:space="0"/>
          <w:bottom w:val="none" w:color="auto" w:sz="0" w:space="0"/>
          <w:right w:val="none" w:color="auto" w:sz="0" w:space="0"/>
        </w:pBdr>
        <w:spacing w:after="0" w:line="432" w:lineRule="atLeast"/>
        <w:ind w:left="15" w:right="15"/>
        <w:rPr>
          <w:rFonts w:ascii="仿宋" w:hAnsi="仿宋" w:eastAsia="仿宋" w:cs="仿宋"/>
          <w:color w:val="333333"/>
          <w:lang w:val="en" w:eastAsia="en"/>
        </w:rPr>
      </w:pPr>
      <w:r>
        <w:rPr>
          <w:rFonts w:ascii="仿宋" w:hAnsi="仿宋" w:eastAsia="仿宋" w:cs="仿宋"/>
          <w:color w:val="333333"/>
          <w:lang w:val="en" w:eastAsia="en"/>
        </w:rPr>
        <w:t>标段编号：</w:t>
      </w:r>
      <w:r>
        <w:rPr>
          <w:rFonts w:ascii="微软雅黑" w:hAnsi="微软雅黑" w:eastAsia="微软雅黑" w:cs="微软雅黑"/>
          <w:color w:val="333333"/>
          <w:lang w:val="en" w:eastAsia="en"/>
        </w:rPr>
        <w:t xml:space="preserve"> </w:t>
      </w:r>
      <w:r>
        <w:rPr>
          <w:rFonts w:ascii="仿宋" w:hAnsi="仿宋" w:eastAsia="仿宋" w:cs="仿宋"/>
          <w:color w:val="333333"/>
          <w:u w:val="single" w:color="333333"/>
          <w:lang w:val="en" w:eastAsia="en"/>
        </w:rPr>
        <w:t>LHAZXDL-2024-00195-001</w:t>
      </w:r>
      <w:r>
        <w:rPr>
          <w:rFonts w:ascii="仿宋" w:hAnsi="仿宋" w:eastAsia="仿宋" w:cs="仿宋"/>
          <w:color w:val="333333"/>
          <w:u w:val="single" w:color="333333"/>
          <w:lang w:val="en" w:eastAsia="en"/>
        </w:rPr>
        <w:br w:type="textWrapping"/>
      </w:r>
      <w:r>
        <w:rPr>
          <w:rFonts w:ascii="仿宋" w:hAnsi="仿宋" w:eastAsia="仿宋" w:cs="仿宋"/>
          <w:color w:val="333333"/>
          <w:lang w:val="en" w:eastAsia="en"/>
        </w:rPr>
        <w:t>标段名称：</w:t>
      </w:r>
      <w:r>
        <w:rPr>
          <w:rFonts w:ascii="微软雅黑" w:hAnsi="微软雅黑" w:eastAsia="微软雅黑" w:cs="微软雅黑"/>
          <w:color w:val="333333"/>
          <w:lang w:val="en" w:eastAsia="en"/>
        </w:rPr>
        <w:t xml:space="preserve"> </w:t>
      </w:r>
      <w:r>
        <w:rPr>
          <w:rFonts w:hint="eastAsia" w:ascii="仿宋" w:hAnsi="仿宋" w:eastAsia="仿宋" w:cs="仿宋"/>
          <w:color w:val="333333"/>
          <w:u w:val="single" w:color="333333"/>
          <w:lang w:val="en" w:eastAsia="zh-CN"/>
        </w:rPr>
        <w:t>大浪校区监控视频存储及光网络交换设备</w:t>
      </w:r>
      <w:r>
        <w:rPr>
          <w:rFonts w:ascii="仿宋" w:hAnsi="仿宋" w:eastAsia="仿宋" w:cs="仿宋"/>
          <w:color w:val="333333"/>
          <w:u w:val="single" w:color="333333"/>
          <w:lang w:val="en" w:eastAsia="en"/>
        </w:rPr>
        <w:t>-A</w:t>
      </w:r>
      <w:r>
        <w:rPr>
          <w:rFonts w:ascii="仿宋" w:hAnsi="仿宋" w:eastAsia="仿宋" w:cs="仿宋"/>
          <w:color w:val="333333"/>
          <w:u w:val="single" w:color="333333"/>
          <w:lang w:val="en" w:eastAsia="en"/>
        </w:rPr>
        <w:br w:type="textWrapping"/>
      </w:r>
    </w:p>
    <w:p w14:paraId="3E0BB0A0">
      <w:pPr>
        <w:keepLines/>
        <w:pBdr>
          <w:top w:val="none" w:color="auto" w:sz="0" w:space="0"/>
          <w:left w:val="none" w:color="auto" w:sz="0" w:space="0"/>
          <w:bottom w:val="none" w:color="auto" w:sz="0" w:space="0"/>
          <w:right w:val="none" w:color="auto" w:sz="0" w:space="0"/>
        </w:pBdr>
        <w:spacing w:before="0" w:after="0" w:line="432" w:lineRule="atLeast"/>
        <w:ind w:left="15" w:right="15"/>
        <w:rPr>
          <w:rFonts w:ascii="微软雅黑" w:hAnsi="微软雅黑" w:eastAsia="微软雅黑" w:cs="微软雅黑"/>
          <w:color w:val="333333"/>
          <w:lang w:val="en" w:eastAsia="en"/>
        </w:rPr>
      </w:pPr>
    </w:p>
    <w:p w14:paraId="3B9EFDF5">
      <w:pPr>
        <w:pBdr>
          <w:top w:val="none" w:color="auto" w:sz="0" w:space="0"/>
          <w:left w:val="none" w:color="auto" w:sz="0" w:space="0"/>
          <w:bottom w:val="none" w:color="auto" w:sz="0" w:space="0"/>
          <w:right w:val="none" w:color="auto" w:sz="0" w:space="0"/>
        </w:pBdr>
        <w:spacing w:before="0" w:after="288" w:line="432" w:lineRule="atLeast"/>
        <w:ind w:left="15" w:right="15"/>
        <w:rPr>
          <w:rFonts w:ascii="微软雅黑" w:hAnsi="微软雅黑" w:eastAsia="微软雅黑" w:cs="微软雅黑"/>
          <w:color w:val="333333"/>
          <w:lang w:val="en" w:eastAsia="en"/>
        </w:rPr>
      </w:pPr>
      <w:r>
        <w:rPr>
          <w:rFonts w:ascii="仿宋" w:hAnsi="仿宋" w:eastAsia="仿宋" w:cs="仿宋"/>
          <w:b/>
          <w:bCs/>
          <w:color w:val="333333"/>
          <w:sz w:val="28"/>
          <w:szCs w:val="28"/>
          <w:lang w:val="en" w:eastAsia="en"/>
        </w:rPr>
        <w:t>2.入围参数</w:t>
      </w:r>
    </w:p>
    <w:p w14:paraId="7522B3D9">
      <w:pPr>
        <w:keepLines/>
        <w:pBdr>
          <w:top w:val="none" w:color="auto" w:sz="0" w:space="0"/>
          <w:left w:val="none" w:color="auto" w:sz="0" w:space="0"/>
          <w:bottom w:val="none" w:color="auto" w:sz="0" w:space="0"/>
          <w:right w:val="none" w:color="auto" w:sz="0" w:space="0"/>
        </w:pBdr>
        <w:spacing w:before="0" w:after="0" w:line="432" w:lineRule="atLeast"/>
        <w:ind w:left="15" w:right="15"/>
        <w:rPr>
          <w:rFonts w:ascii="微软雅黑" w:hAnsi="微软雅黑" w:eastAsia="微软雅黑" w:cs="微软雅黑"/>
          <w:color w:val="333333"/>
          <w:lang w:val="en" w:eastAsia="en"/>
        </w:rPr>
      </w:pPr>
      <w:r>
        <w:rPr>
          <w:rFonts w:ascii="仿宋" w:hAnsi="仿宋" w:eastAsia="仿宋" w:cs="仿宋"/>
          <w:color w:val="333333"/>
          <w:lang w:val="en" w:eastAsia="en"/>
        </w:rPr>
        <w:t>是否过多投标人淘汰：</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否</w:t>
      </w:r>
    </w:p>
    <w:p w14:paraId="30987AD1">
      <w:pPr>
        <w:pBdr>
          <w:top w:val="none" w:color="auto" w:sz="0" w:space="0"/>
          <w:left w:val="none" w:color="auto" w:sz="0" w:space="0"/>
          <w:bottom w:val="none" w:color="auto" w:sz="0" w:space="0"/>
          <w:right w:val="none" w:color="auto" w:sz="0" w:space="0"/>
        </w:pBdr>
        <w:spacing w:before="0" w:after="288" w:line="432" w:lineRule="atLeast"/>
        <w:ind w:left="15" w:right="15"/>
        <w:rPr>
          <w:rFonts w:ascii="微软雅黑" w:hAnsi="微软雅黑" w:eastAsia="微软雅黑" w:cs="微软雅黑"/>
          <w:color w:val="333333"/>
          <w:lang w:val="en" w:eastAsia="en"/>
        </w:rPr>
      </w:pPr>
      <w:r>
        <w:rPr>
          <w:rFonts w:ascii="仿宋" w:hAnsi="仿宋" w:eastAsia="仿宋" w:cs="仿宋"/>
          <w:b/>
          <w:bCs/>
          <w:color w:val="333333"/>
          <w:sz w:val="28"/>
          <w:szCs w:val="28"/>
          <w:lang w:val="en" w:eastAsia="en"/>
        </w:rPr>
        <w:t>3.评审步骤</w:t>
      </w:r>
    </w:p>
    <w:tbl>
      <w:tblPr>
        <w:tblStyle w:val="15"/>
        <w:tblW w:w="5000" w:type="pct"/>
        <w:tblInd w:w="15"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0" w:type="dxa"/>
          <w:left w:w="0" w:type="dxa"/>
          <w:bottom w:w="0" w:type="dxa"/>
          <w:right w:w="0" w:type="dxa"/>
        </w:tblCellMar>
      </w:tblPr>
      <w:tblGrid>
        <w:gridCol w:w="1142"/>
        <w:gridCol w:w="6852"/>
        <w:gridCol w:w="1142"/>
      </w:tblGrid>
      <w:tr w14:paraId="0C4B5FDA">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blHeader/>
        </w:trPr>
        <w:tc>
          <w:tcPr>
            <w:tcW w:w="5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72576F5F">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序号</w:t>
            </w:r>
          </w:p>
        </w:tc>
        <w:tc>
          <w:tcPr>
            <w:tcW w:w="30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52035ED8">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评审步骤</w:t>
            </w:r>
          </w:p>
        </w:tc>
        <w:tc>
          <w:tcPr>
            <w:tcW w:w="5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38B0B0E3">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分值</w:t>
            </w:r>
          </w:p>
        </w:tc>
      </w:tr>
      <w:tr w14:paraId="300AA5D3">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95C7B24">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2B4649D">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资格评审</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0A46CBF">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p>
        </w:tc>
      </w:tr>
      <w:tr w14:paraId="125EF0A5">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CC00679">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2</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8F3A099">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初步评审</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80867EE">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p>
        </w:tc>
      </w:tr>
      <w:tr w14:paraId="226D6465">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A995DB2">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3</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4C34AB4">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详细评审</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E36966F">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70</w:t>
            </w:r>
          </w:p>
        </w:tc>
      </w:tr>
      <w:tr w14:paraId="10225840">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F5FC781">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4</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9A779F7">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报价修正</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7ACA58B">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p>
        </w:tc>
      </w:tr>
      <w:tr w14:paraId="5A163503">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1CB7356">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5</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EBB955B">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价格评审</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3DFFD4C">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30</w:t>
            </w:r>
          </w:p>
        </w:tc>
      </w:tr>
      <w:tr w14:paraId="3F5E7448">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ADDDF00">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6</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2FBEDC7">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综合评分</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33AD695">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p>
        </w:tc>
      </w:tr>
      <w:tr w14:paraId="6D0A0A09">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5DA9949">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7</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FEA9BEC">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推荐中标候选人</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7340F15">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p>
        </w:tc>
      </w:tr>
    </w:tbl>
    <w:p w14:paraId="655A0A2C">
      <w:pPr>
        <w:pBdr>
          <w:top w:val="none" w:color="auto" w:sz="0" w:space="0"/>
          <w:left w:val="none" w:color="auto" w:sz="0" w:space="0"/>
          <w:bottom w:val="none" w:color="auto" w:sz="0" w:space="0"/>
          <w:right w:val="none" w:color="auto" w:sz="0" w:space="0"/>
        </w:pBdr>
        <w:spacing w:after="0" w:line="432" w:lineRule="atLeast"/>
        <w:ind w:left="15" w:right="15"/>
        <w:rPr>
          <w:rFonts w:ascii="微软雅黑" w:hAnsi="微软雅黑" w:eastAsia="微软雅黑" w:cs="微软雅黑"/>
          <w:color w:val="333333"/>
          <w:lang w:val="en" w:eastAsia="en"/>
        </w:rPr>
      </w:pPr>
    </w:p>
    <w:p w14:paraId="19021915">
      <w:pPr>
        <w:pBdr>
          <w:top w:val="none" w:color="auto" w:sz="0" w:space="0"/>
          <w:left w:val="none" w:color="auto" w:sz="0" w:space="0"/>
          <w:bottom w:val="none" w:color="auto" w:sz="0" w:space="0"/>
          <w:right w:val="none" w:color="auto" w:sz="0" w:space="0"/>
        </w:pBdr>
        <w:spacing w:before="0" w:after="288" w:line="432" w:lineRule="atLeast"/>
        <w:ind w:left="15" w:right="15"/>
        <w:rPr>
          <w:rFonts w:ascii="微软雅黑" w:hAnsi="微软雅黑" w:eastAsia="微软雅黑" w:cs="微软雅黑"/>
          <w:color w:val="333333"/>
          <w:lang w:val="en" w:eastAsia="en"/>
        </w:rPr>
      </w:pPr>
      <w:r>
        <w:rPr>
          <w:rFonts w:ascii="仿宋" w:hAnsi="仿宋" w:eastAsia="仿宋" w:cs="仿宋"/>
          <w:b/>
          <w:bCs/>
          <w:color w:val="333333"/>
          <w:sz w:val="28"/>
          <w:szCs w:val="28"/>
          <w:lang w:val="en" w:eastAsia="en"/>
        </w:rPr>
        <w:t>4.评审条款</w:t>
      </w:r>
    </w:p>
    <w:p w14:paraId="765DEE52">
      <w:pPr>
        <w:pBdr>
          <w:top w:val="none" w:color="auto" w:sz="0" w:space="0"/>
          <w:left w:val="none" w:color="auto" w:sz="0" w:space="0"/>
          <w:bottom w:val="none" w:color="auto" w:sz="0" w:space="0"/>
          <w:right w:val="none" w:color="auto" w:sz="0" w:space="0"/>
        </w:pBdr>
        <w:spacing w:line="432" w:lineRule="atLeast"/>
        <w:ind w:left="15" w:right="15"/>
        <w:rPr>
          <w:rFonts w:ascii="仿宋" w:hAnsi="仿宋" w:eastAsia="仿宋" w:cs="仿宋"/>
          <w:color w:val="333333"/>
          <w:lang w:val="en" w:eastAsia="en"/>
        </w:rPr>
      </w:pPr>
      <w:r>
        <w:rPr>
          <w:rFonts w:ascii="仿宋" w:hAnsi="仿宋" w:eastAsia="仿宋" w:cs="仿宋"/>
          <w:color w:val="333333"/>
          <w:lang w:val="en" w:eastAsia="en"/>
        </w:rPr>
        <w:t>中标候选人：</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委托评标委员会直接定标</w:t>
      </w:r>
      <w:r>
        <w:rPr>
          <w:rFonts w:ascii="仿宋" w:hAnsi="仿宋" w:eastAsia="仿宋" w:cs="仿宋"/>
          <w:color w:val="333333"/>
          <w:lang w:val="en" w:eastAsia="en"/>
        </w:rPr>
        <w:br w:type="textWrapping"/>
      </w:r>
      <w:r>
        <w:rPr>
          <w:rFonts w:ascii="仿宋" w:hAnsi="仿宋" w:eastAsia="仿宋" w:cs="仿宋"/>
          <w:color w:val="333333"/>
          <w:lang w:val="en" w:eastAsia="en"/>
        </w:rPr>
        <w:br w:type="textWrapping"/>
      </w:r>
      <w:r>
        <w:rPr>
          <w:rFonts w:ascii="仿宋" w:hAnsi="仿宋" w:eastAsia="仿宋" w:cs="仿宋"/>
          <w:b/>
          <w:bCs/>
          <w:color w:val="000000"/>
          <w:lang w:val="en" w:eastAsia="en"/>
        </w:rPr>
        <w:t>4.1 资格评审</w:t>
      </w:r>
      <w:r>
        <w:rPr>
          <w:rFonts w:ascii="仿宋" w:hAnsi="仿宋" w:eastAsia="仿宋" w:cs="仿宋"/>
          <w:b/>
          <w:bCs/>
          <w:color w:val="000000"/>
          <w:lang w:val="en" w:eastAsia="en"/>
        </w:rPr>
        <w:br w:type="textWrapping"/>
      </w:r>
      <w:r>
        <w:rPr>
          <w:rFonts w:ascii="仿宋" w:hAnsi="仿宋" w:eastAsia="仿宋" w:cs="仿宋"/>
          <w:color w:val="333333"/>
          <w:lang w:val="en" w:eastAsia="en"/>
        </w:rPr>
        <w:t>汇总规则：</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按分项自动汇总并发起否决投标</w:t>
      </w:r>
      <w:r>
        <w:rPr>
          <w:rFonts w:ascii="微软雅黑" w:hAnsi="微软雅黑" w:eastAsia="微软雅黑" w:cs="微软雅黑"/>
          <w:color w:val="333333"/>
          <w:lang w:val="en" w:eastAsia="en"/>
        </w:rPr>
        <w:t xml:space="preserve"> </w:t>
      </w:r>
    </w:p>
    <w:tbl>
      <w:tblPr>
        <w:tblStyle w:val="15"/>
        <w:tblW w:w="5000" w:type="pct"/>
        <w:tblInd w:w="15"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0" w:type="dxa"/>
          <w:left w:w="0" w:type="dxa"/>
          <w:bottom w:w="0" w:type="dxa"/>
          <w:right w:w="0" w:type="dxa"/>
        </w:tblCellMar>
      </w:tblPr>
      <w:tblGrid>
        <w:gridCol w:w="1612"/>
        <w:gridCol w:w="3762"/>
        <w:gridCol w:w="3762"/>
      </w:tblGrid>
      <w:tr w14:paraId="2C190BB3">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blHeader/>
        </w:trPr>
        <w:tc>
          <w:tcPr>
            <w:tcW w:w="75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5C4DEBD9">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序号</w:t>
            </w:r>
          </w:p>
        </w:tc>
        <w:tc>
          <w:tcPr>
            <w:tcW w:w="175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70085D82">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评审要素</w:t>
            </w:r>
          </w:p>
        </w:tc>
        <w:tc>
          <w:tcPr>
            <w:tcW w:w="175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5C09D453">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评审标准</w:t>
            </w:r>
          </w:p>
        </w:tc>
      </w:tr>
      <w:tr w14:paraId="51D4EE14">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7CB136A">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ED38740">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资质要求</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87BAEF5">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1、投标人须是在中华人民共和国境内注册，具有独立法人资格或是具有独立承担民事责任的能力的其它组织（提供营业执照复印件或事业单位法人证等法人证明复印件，原件备查）；总公司或者分公司只允许一家投标，不允许同时参与本项目投标，分公司参与投标的，须提供总公司或具有独立法人的上一级公司出具的愿为其参与本项目投标的行为以及履约等行为承担民事责任的加盖总公司公章的授权函，以及提供总、分公司的营业执照复印件，原件备查。：</w:t>
            </w:r>
            <w:r>
              <w:rPr>
                <w:rFonts w:ascii="仿宋" w:hAnsi="仿宋" w:eastAsia="仿宋" w:cs="仿宋"/>
                <w:color w:val="666666"/>
                <w:lang w:val="en" w:eastAsia="en"/>
              </w:rPr>
              <w:br w:type="textWrapping"/>
            </w:r>
            <w:r>
              <w:rPr>
                <w:rFonts w:ascii="仿宋" w:hAnsi="仿宋" w:eastAsia="仿宋" w:cs="仿宋"/>
                <w:color w:val="666666"/>
                <w:lang w:val="en" w:eastAsia="en"/>
              </w:rPr>
              <w:t>1、投标人须是在中华人民共和国境内注册，具有独立法人资格或是具有独立承担民事责任的能力的其它组织（提供营业执照复印件或事业单位法人证等法人证明复印件，原件备查）；总公司或者分公司只允许一家投标，不允许同时参与本项目投标，分公司参与投标的，须提供总公司或具有独立法人的上一级公司出具的愿为其参与本项目投标的行为以及履约等行为承担民事责任的加盖总公司公章的授权函，以及提供总、分公司的营业执照复印件，原件备查。</w:t>
            </w:r>
            <w:r>
              <w:rPr>
                <w:rFonts w:ascii="仿宋" w:hAnsi="仿宋" w:eastAsia="仿宋" w:cs="仿宋"/>
                <w:color w:val="666666"/>
                <w:lang w:val="en" w:eastAsia="en"/>
              </w:rPr>
              <w:br w:type="textWrapping"/>
            </w:r>
            <w:r>
              <w:rPr>
                <w:rFonts w:ascii="仿宋" w:hAnsi="仿宋" w:eastAsia="仿宋" w:cs="仿宋"/>
                <w:color w:val="666666"/>
                <w:lang w:val="en" w:eastAsia="en"/>
              </w:rPr>
              <w:t>2、参与本项目投标前三年内，在经营活动中没有重大违法记录（由供应商在《龙华区教育局自行采购投标及履约承诺函》中作出声明）。：</w:t>
            </w:r>
            <w:r>
              <w:rPr>
                <w:rFonts w:ascii="仿宋" w:hAnsi="仿宋" w:eastAsia="仿宋" w:cs="仿宋"/>
                <w:color w:val="666666"/>
                <w:lang w:val="en" w:eastAsia="en"/>
              </w:rPr>
              <w:br w:type="textWrapping"/>
            </w:r>
            <w:r>
              <w:rPr>
                <w:rFonts w:ascii="仿宋" w:hAnsi="仿宋" w:eastAsia="仿宋" w:cs="仿宋"/>
                <w:color w:val="666666"/>
                <w:lang w:val="en" w:eastAsia="en"/>
              </w:rPr>
              <w:t>2、参与本项目投标前三年内，在经营活动中没有重大违法记录（由供应商在《龙华区教育局自行采购投标及履约承诺函》中作出声明）。</w:t>
            </w:r>
            <w:r>
              <w:rPr>
                <w:rFonts w:ascii="仿宋" w:hAnsi="仿宋" w:eastAsia="仿宋" w:cs="仿宋"/>
                <w:color w:val="666666"/>
                <w:lang w:val="en" w:eastAsia="en"/>
              </w:rPr>
              <w:br w:type="textWrapping"/>
            </w:r>
            <w:r>
              <w:rPr>
                <w:rFonts w:ascii="仿宋" w:hAnsi="仿宋" w:eastAsia="仿宋" w:cs="仿宋"/>
                <w:color w:val="666666"/>
                <w:lang w:val="en" w:eastAsia="en"/>
              </w:rPr>
              <w:t>3、参与本项目政府采购活动时不存在被有关部门禁止参与政府采购活动且在有效期内的情况（由供应商在《龙华区教育局自行采购投标及履约承诺函》中作出声明）。：</w:t>
            </w:r>
            <w:r>
              <w:rPr>
                <w:rFonts w:ascii="仿宋" w:hAnsi="仿宋" w:eastAsia="仿宋" w:cs="仿宋"/>
                <w:color w:val="666666"/>
                <w:lang w:val="en" w:eastAsia="en"/>
              </w:rPr>
              <w:br w:type="textWrapping"/>
            </w:r>
            <w:r>
              <w:rPr>
                <w:rFonts w:ascii="仿宋" w:hAnsi="仿宋" w:eastAsia="仿宋" w:cs="仿宋"/>
                <w:color w:val="666666"/>
                <w:lang w:val="en" w:eastAsia="en"/>
              </w:rPr>
              <w:t>3、参与本项目政府采购活动时不存在被有关部门禁止参与政府采购活动且在有效期内的情况（由供应商在《龙华区教育局自行采购投标及履约承诺函》中作出声明）。</w:t>
            </w:r>
            <w:r>
              <w:rPr>
                <w:rFonts w:ascii="仿宋" w:hAnsi="仿宋" w:eastAsia="仿宋" w:cs="仿宋"/>
                <w:color w:val="666666"/>
                <w:lang w:val="en" w:eastAsia="en"/>
              </w:rPr>
              <w:br w:type="textWrapping"/>
            </w:r>
            <w:r>
              <w:rPr>
                <w:rFonts w:ascii="仿宋" w:hAnsi="仿宋" w:eastAsia="仿宋" w:cs="仿宋"/>
                <w:color w:val="666666"/>
                <w:lang w:val="en" w:eastAsia="en"/>
              </w:rPr>
              <w:t>4、具备《中华人民共和国政府采购法》第二十二条第一款的条件（由供应商在《龙华区教育局自行采购投标及履约承诺函》中作出声明）。：</w:t>
            </w:r>
            <w:r>
              <w:rPr>
                <w:rFonts w:ascii="仿宋" w:hAnsi="仿宋" w:eastAsia="仿宋" w:cs="仿宋"/>
                <w:color w:val="666666"/>
                <w:lang w:val="en" w:eastAsia="en"/>
              </w:rPr>
              <w:br w:type="textWrapping"/>
            </w:r>
            <w:r>
              <w:rPr>
                <w:rFonts w:ascii="仿宋" w:hAnsi="仿宋" w:eastAsia="仿宋" w:cs="仿宋"/>
                <w:color w:val="666666"/>
                <w:lang w:val="en" w:eastAsia="en"/>
              </w:rPr>
              <w:t>4、具备《中华人民共和国政府采购法》第二十二条第一款的条件（由供应商在《龙华区教育局自行采购投标及履约承诺函》中作出声明）。</w:t>
            </w:r>
            <w:r>
              <w:rPr>
                <w:rFonts w:ascii="仿宋" w:hAnsi="仿宋" w:eastAsia="仿宋" w:cs="仿宋"/>
                <w:color w:val="666666"/>
                <w:lang w:val="en" w:eastAsia="en"/>
              </w:rPr>
              <w:br w:type="textWrapping"/>
            </w:r>
            <w:r>
              <w:rPr>
                <w:rFonts w:ascii="仿宋" w:hAnsi="仿宋" w:eastAsia="仿宋" w:cs="仿宋"/>
                <w:color w:val="666666"/>
                <w:lang w:val="en" w:eastAsia="en"/>
              </w:rPr>
              <w:t>5、参与本项目政府采购活动时未被列入失信被执行人、重大税收违法失信主体、政府采购严重违法失信行为记录名单（由供应商在《龙华区教育局自行采购投标及履约承诺函》中作出承诺）。备注：信用中国”中信用服务”栏的重大税收违法失信主体”失信被执行人”中国政府采购网”中的政府采购严重违法失信行为记录名单”，深圳信用网”以及深圳市政府采购监管网”为供应商信用信息的查询渠道，相关信息以开标当日的查询结果为准。：</w:t>
            </w:r>
            <w:r>
              <w:rPr>
                <w:rFonts w:ascii="仿宋" w:hAnsi="仿宋" w:eastAsia="仿宋" w:cs="仿宋"/>
                <w:color w:val="666666"/>
                <w:lang w:val="en" w:eastAsia="en"/>
              </w:rPr>
              <w:br w:type="textWrapping"/>
            </w:r>
            <w:r>
              <w:rPr>
                <w:rFonts w:ascii="仿宋" w:hAnsi="仿宋" w:eastAsia="仿宋" w:cs="仿宋"/>
                <w:color w:val="666666"/>
                <w:lang w:val="en" w:eastAsia="en"/>
              </w:rPr>
              <w:t>5、参与本项目政府采购活动时未被列入失信被执行人、重大税收违法失信主体、政府采购严重违法失信行为记录名单（由供应商在《龙华区教育局自行采购投标及履约承诺函》中作出承诺）。备注：信用中国”中信用服务”栏的重大税收违法失信主体”失信被执行人”中国政府采购网”中的政府采购严重违法失信行为记录名单”，深圳信用网”以及深圳市政府采购监管网”为供应商信用信息的查询渠道，相关信息以开标当日的查询结果为准。</w:t>
            </w:r>
            <w:r>
              <w:rPr>
                <w:rFonts w:ascii="仿宋" w:hAnsi="仿宋" w:eastAsia="仿宋" w:cs="仿宋"/>
                <w:color w:val="666666"/>
                <w:lang w:val="en" w:eastAsia="en"/>
              </w:rPr>
              <w:br w:type="textWrapping"/>
            </w:r>
            <w:r>
              <w:rPr>
                <w:rFonts w:ascii="仿宋" w:hAnsi="仿宋" w:eastAsia="仿宋" w:cs="仿宋"/>
                <w:color w:val="666666"/>
                <w:lang w:val="en" w:eastAsia="en"/>
              </w:rPr>
              <w:t>6、为采购项目提供整体设计、规范编制或者项目管理、监理、检测等服务的供应商，不得再参加该采购项目同一合同项下的其他采购活动。（由供应商在《龙华区教育局自行采购投标及履约承诺函》中作出承诺）。：</w:t>
            </w:r>
            <w:r>
              <w:rPr>
                <w:rFonts w:ascii="仿宋" w:hAnsi="仿宋" w:eastAsia="仿宋" w:cs="仿宋"/>
                <w:color w:val="666666"/>
                <w:lang w:val="en" w:eastAsia="en"/>
              </w:rPr>
              <w:br w:type="textWrapping"/>
            </w:r>
            <w:r>
              <w:rPr>
                <w:rFonts w:ascii="仿宋" w:hAnsi="仿宋" w:eastAsia="仿宋" w:cs="仿宋"/>
                <w:color w:val="666666"/>
                <w:lang w:val="en" w:eastAsia="en"/>
              </w:rPr>
              <w:t>6、为采购项目提供整体设计、规范编制或者项目管理、监理、检测等服务的供应商，不得再参加该采购项目同一合同项下的其他采购活动。（由供应商在《龙华区教育局自行采购投标及履约承诺函》中作出承诺）。</w:t>
            </w:r>
            <w:r>
              <w:rPr>
                <w:rFonts w:ascii="仿宋" w:hAnsi="仿宋" w:eastAsia="仿宋" w:cs="仿宋"/>
                <w:color w:val="666666"/>
                <w:lang w:val="en" w:eastAsia="en"/>
              </w:rPr>
              <w:br w:type="textWrapping"/>
            </w:r>
            <w:r>
              <w:rPr>
                <w:rFonts w:ascii="仿宋" w:hAnsi="仿宋" w:eastAsia="仿宋" w:cs="仿宋"/>
                <w:color w:val="666666"/>
                <w:lang w:val="en" w:eastAsia="en"/>
              </w:rPr>
              <w:t>7、单位负责人为同一人或者存在直接控股、管理关系的不同供应商，不得参加同一合同项下的政府采购活动。（由供应商在《龙华区教育局自行采购投标及履约承诺函》中作出承诺）。：</w:t>
            </w:r>
            <w:r>
              <w:rPr>
                <w:rFonts w:ascii="仿宋" w:hAnsi="仿宋" w:eastAsia="仿宋" w:cs="仿宋"/>
                <w:color w:val="666666"/>
                <w:lang w:val="en" w:eastAsia="en"/>
              </w:rPr>
              <w:br w:type="textWrapping"/>
            </w:r>
            <w:r>
              <w:rPr>
                <w:rFonts w:ascii="仿宋" w:hAnsi="仿宋" w:eastAsia="仿宋" w:cs="仿宋"/>
                <w:color w:val="666666"/>
                <w:lang w:val="en" w:eastAsia="en"/>
              </w:rPr>
              <w:t>7、单位负责人为同一人或者存在直接控股、管理关系的不同供应商，不得参加同一合同项下的政府采购活动。（由供应商在《龙华区教育局自行采购投标及履约承诺函》中作出承诺）。</w:t>
            </w:r>
            <w:r>
              <w:rPr>
                <w:rFonts w:ascii="仿宋" w:hAnsi="仿宋" w:eastAsia="仿宋" w:cs="仿宋"/>
                <w:color w:val="666666"/>
                <w:lang w:val="en" w:eastAsia="en"/>
              </w:rPr>
              <w:br w:type="textWrapping"/>
            </w:r>
            <w:r>
              <w:rPr>
                <w:rFonts w:ascii="仿宋" w:hAnsi="仿宋" w:eastAsia="仿宋" w:cs="仿宋"/>
                <w:color w:val="666666"/>
                <w:lang w:val="en" w:eastAsia="en"/>
              </w:rPr>
              <w:t>8、本项目不属于专门面向中小微企业采购项目。：</w:t>
            </w:r>
            <w:r>
              <w:rPr>
                <w:rFonts w:ascii="仿宋" w:hAnsi="仿宋" w:eastAsia="仿宋" w:cs="仿宋"/>
                <w:color w:val="666666"/>
                <w:lang w:val="en" w:eastAsia="en"/>
              </w:rPr>
              <w:br w:type="textWrapping"/>
            </w:r>
            <w:r>
              <w:rPr>
                <w:rFonts w:ascii="仿宋" w:hAnsi="仿宋" w:eastAsia="仿宋" w:cs="仿宋"/>
                <w:color w:val="666666"/>
                <w:lang w:val="en" w:eastAsia="en"/>
              </w:rPr>
              <w:t>8、本项目不属于专门面向中小微企业采购项目。</w:t>
            </w:r>
            <w:r>
              <w:rPr>
                <w:rFonts w:ascii="仿宋" w:hAnsi="仿宋" w:eastAsia="仿宋" w:cs="仿宋"/>
                <w:color w:val="666666"/>
                <w:lang w:val="en" w:eastAsia="en"/>
              </w:rPr>
              <w:br w:type="textWrapping"/>
            </w:r>
            <w:r>
              <w:rPr>
                <w:rFonts w:ascii="仿宋" w:hAnsi="仿宋" w:eastAsia="仿宋" w:cs="仿宋"/>
                <w:color w:val="666666"/>
                <w:lang w:val="en" w:eastAsia="en"/>
              </w:rPr>
              <w:t>9、本项目不接受联合体投标，不接受进口产品参与投标，不允许转包、分包。（由供应商在《龙华区教育局自行采购投标及履约承诺函》中作出承诺）。：</w:t>
            </w:r>
            <w:r>
              <w:rPr>
                <w:rFonts w:ascii="仿宋" w:hAnsi="仿宋" w:eastAsia="仿宋" w:cs="仿宋"/>
                <w:color w:val="666666"/>
                <w:lang w:val="en" w:eastAsia="en"/>
              </w:rPr>
              <w:br w:type="textWrapping"/>
            </w:r>
            <w:r>
              <w:rPr>
                <w:rFonts w:ascii="仿宋" w:hAnsi="仿宋" w:eastAsia="仿宋" w:cs="仿宋"/>
                <w:color w:val="666666"/>
                <w:lang w:val="en" w:eastAsia="en"/>
              </w:rPr>
              <w:t>9、本项目不接受联合体投标，不接受进口产品参与投标，不允许转包、分包。（由供应商在《龙华区教育局自行采购投标及履约承诺函》中作出承诺）。</w:t>
            </w:r>
          </w:p>
        </w:tc>
      </w:tr>
    </w:tbl>
    <w:p w14:paraId="14D0B073">
      <w:pPr>
        <w:pBdr>
          <w:top w:val="none" w:color="auto" w:sz="0" w:space="0"/>
          <w:left w:val="none" w:color="auto" w:sz="0" w:space="0"/>
          <w:bottom w:val="none" w:color="auto" w:sz="0" w:space="0"/>
          <w:right w:val="none" w:color="auto" w:sz="0" w:space="0"/>
        </w:pBdr>
        <w:spacing w:line="240" w:lineRule="atLeast"/>
        <w:ind w:left="15" w:right="15"/>
        <w:rPr>
          <w:rFonts w:ascii="仿宋" w:hAnsi="仿宋" w:eastAsia="仿宋" w:cs="仿宋"/>
          <w:b/>
          <w:bCs/>
          <w:color w:val="000000"/>
          <w:lang w:val="en" w:eastAsia="en"/>
        </w:rPr>
      </w:pPr>
      <w:r>
        <w:rPr>
          <w:rFonts w:ascii="仿宋" w:hAnsi="仿宋" w:eastAsia="仿宋" w:cs="仿宋"/>
          <w:b/>
          <w:bCs/>
          <w:color w:val="000000"/>
          <w:lang w:val="en" w:eastAsia="en"/>
        </w:rPr>
        <w:t>4.2 初步评审</w:t>
      </w:r>
      <w:r>
        <w:rPr>
          <w:rFonts w:ascii="仿宋" w:hAnsi="仿宋" w:eastAsia="仿宋" w:cs="仿宋"/>
          <w:b/>
          <w:bCs/>
          <w:color w:val="000000"/>
          <w:lang w:val="en" w:eastAsia="en"/>
        </w:rPr>
        <w:br w:type="textWrapping"/>
      </w:r>
      <w:r>
        <w:rPr>
          <w:rFonts w:ascii="仿宋" w:hAnsi="仿宋" w:eastAsia="仿宋" w:cs="仿宋"/>
          <w:color w:val="333333"/>
          <w:lang w:val="en" w:eastAsia="en"/>
        </w:rPr>
        <w:t>汇总规则：</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按分项自动汇总并发起否决投标</w:t>
      </w:r>
      <w:r>
        <w:rPr>
          <w:rFonts w:ascii="微软雅黑" w:hAnsi="微软雅黑" w:eastAsia="微软雅黑" w:cs="微软雅黑"/>
          <w:color w:val="333333"/>
          <w:lang w:val="en" w:eastAsia="en"/>
        </w:rPr>
        <w:t xml:space="preserve"> </w:t>
      </w:r>
    </w:p>
    <w:tbl>
      <w:tblPr>
        <w:tblStyle w:val="15"/>
        <w:tblW w:w="5000" w:type="pct"/>
        <w:tblInd w:w="15"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0" w:type="dxa"/>
          <w:left w:w="0" w:type="dxa"/>
          <w:bottom w:w="0" w:type="dxa"/>
          <w:right w:w="0" w:type="dxa"/>
        </w:tblCellMar>
      </w:tblPr>
      <w:tblGrid>
        <w:gridCol w:w="1612"/>
        <w:gridCol w:w="3762"/>
        <w:gridCol w:w="3762"/>
      </w:tblGrid>
      <w:tr w14:paraId="6451A581">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blHeader/>
        </w:trPr>
        <w:tc>
          <w:tcPr>
            <w:tcW w:w="75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7D36AEEF">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序号</w:t>
            </w:r>
          </w:p>
        </w:tc>
        <w:tc>
          <w:tcPr>
            <w:tcW w:w="175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1041AB2D">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评审要素</w:t>
            </w:r>
          </w:p>
        </w:tc>
        <w:tc>
          <w:tcPr>
            <w:tcW w:w="175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13F36360">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评审标准</w:t>
            </w:r>
          </w:p>
        </w:tc>
      </w:tr>
      <w:tr w14:paraId="2AA9A30C">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A71046B">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5F56AD6">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符合性审查表</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016C9AD">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r>
      <w:tr w14:paraId="316EAA7D">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A95E8BF">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2</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2B33640">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不得将一个包的内容拆开投标；</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6A5C1B7">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不得将一个包的内容拆开投标；</w:t>
            </w:r>
          </w:p>
        </w:tc>
      </w:tr>
      <w:tr w14:paraId="72F3C20C">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26D40E5">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3</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BD9CCEF">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对同一项目投标时，不得提供两套以上的投标方案（招标文件另有规定的除外）；</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65FD31C">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对同一项目投标时，不得提供两套以上的投标方案（招标文件另有规定的除外）；</w:t>
            </w:r>
          </w:p>
        </w:tc>
      </w:tr>
      <w:tr w14:paraId="7624D214">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F5516FB">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4</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752E099">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分项报价或投标总价不得高于相应预算金额（或设定的预算金额下的最高限价）；</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8959B7B">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分项报价或投标总价不得高于相应预算金额（或设定的预算金额下的最高限价）；</w:t>
            </w:r>
          </w:p>
        </w:tc>
      </w:tr>
      <w:tr w14:paraId="4748D0BF">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A208202">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5</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06FA796">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E8CE6FA">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79B50F9B">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70B2828">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6</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B00EDE8">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91E2741">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14:paraId="2765515C">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32C887D">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7</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D995916">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未按招标文件所提供的样式填写《投标函》、《股东构成审查表》；未按招标文件所提供的《龙华区教育局自行采购投标及履约承诺函》进行承诺；未按招标文件对投标文件组成的要求提供投标文件；</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95F500F">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未按招标文件所提供的样式填写《投标函》、《股东构成审查表》；未按招标文件所提供的《龙华区教育局自行采购投标及履约承诺函》进行承诺；未按招标文件对投标文件组成的要求提供投标文件；</w:t>
            </w:r>
          </w:p>
        </w:tc>
      </w:tr>
      <w:tr w14:paraId="489BEF78">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AD7A328">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8</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E5240B2">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采购标的所投产品货物清单报价等任意一类有缺漏项或响应不全，或者对招标文件规定的项目需求内容或者需求数量进行修改，评审委员会判定投标响应不满足采购需求；</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5356620">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采购标的所投产品货物清单报价等任意一类有缺漏项或响应不全，或者对招标文件规定的项目需求内容或者需求数量进行修改，评审委员会判定投标响应不满足采购需求；</w:t>
            </w:r>
          </w:p>
        </w:tc>
      </w:tr>
      <w:tr w14:paraId="0B4FCA62">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1DF9607">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9</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5973673">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投标文件电子文档不得带病毒；</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BD6DC8B">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投标文件电子文档不得带病毒；</w:t>
            </w:r>
          </w:p>
        </w:tc>
      </w:tr>
      <w:tr w14:paraId="37D3E5E0">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CC9757D">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D5F335D">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投标文件用不属于本公司的电子密钥进行加密的；</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314CA07">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投标文件用不属于本公司的电子密钥进行加密的；</w:t>
            </w:r>
          </w:p>
        </w:tc>
      </w:tr>
      <w:tr w14:paraId="626A2438">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A907740">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95B8995">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不同投标供应商投标文件文件制作机器码”一致；</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ECCA371">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不同投标供应商投标文件文件制作机器码”一致；</w:t>
            </w:r>
          </w:p>
        </w:tc>
      </w:tr>
      <w:tr w14:paraId="0DA0D99E">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86A2C5A">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12</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E4CB95B">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不同投标供应商投标文件文件创建标识码”一致；</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D35F8DD">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不同投标供应商投标文件文件创建标识码”一致；</w:t>
            </w:r>
          </w:p>
        </w:tc>
      </w:tr>
      <w:tr w14:paraId="57920635">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62DEA0E">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13</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19CC7E1">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法律、法规、规章、规范性文件规定的其他情形。</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A0B5087">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法律、法规、规章、规范性文件规定的其他情形。</w:t>
            </w:r>
          </w:p>
        </w:tc>
      </w:tr>
    </w:tbl>
    <w:p w14:paraId="49C43B72">
      <w:pPr>
        <w:pBdr>
          <w:top w:val="none" w:color="auto" w:sz="0" w:space="0"/>
          <w:left w:val="none" w:color="auto" w:sz="0" w:space="0"/>
          <w:bottom w:val="none" w:color="auto" w:sz="0" w:space="0"/>
          <w:right w:val="none" w:color="auto" w:sz="0" w:space="0"/>
        </w:pBdr>
        <w:spacing w:line="240" w:lineRule="atLeast"/>
        <w:ind w:left="15" w:right="15"/>
        <w:rPr>
          <w:rFonts w:ascii="仿宋" w:hAnsi="仿宋" w:eastAsia="仿宋" w:cs="仿宋"/>
          <w:b/>
          <w:bCs/>
          <w:color w:val="000000"/>
          <w:lang w:val="en" w:eastAsia="en"/>
        </w:rPr>
      </w:pPr>
      <w:r>
        <w:rPr>
          <w:rFonts w:ascii="仿宋" w:hAnsi="仿宋" w:eastAsia="仿宋" w:cs="仿宋"/>
          <w:b/>
          <w:bCs/>
          <w:color w:val="000000"/>
          <w:lang w:val="en" w:eastAsia="en"/>
        </w:rPr>
        <w:t>4.3 详细评审</w:t>
      </w:r>
      <w:r>
        <w:rPr>
          <w:rFonts w:ascii="仿宋" w:hAnsi="仿宋" w:eastAsia="仿宋" w:cs="仿宋"/>
          <w:b/>
          <w:bCs/>
          <w:color w:val="000000"/>
          <w:lang w:val="en" w:eastAsia="en"/>
        </w:rPr>
        <w:br w:type="textWrapping"/>
      </w:r>
      <w:r>
        <w:rPr>
          <w:rFonts w:ascii="仿宋" w:hAnsi="仿宋" w:eastAsia="仿宋" w:cs="仿宋"/>
          <w:color w:val="333333"/>
          <w:lang w:val="en" w:eastAsia="en"/>
        </w:rPr>
        <w:t>汇总规则：</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按分项得分去最高去最低求平均</w:t>
      </w:r>
      <w:r>
        <w:rPr>
          <w:rFonts w:ascii="微软雅黑" w:hAnsi="微软雅黑" w:eastAsia="微软雅黑" w:cs="微软雅黑"/>
          <w:color w:val="333333"/>
          <w:lang w:val="en" w:eastAsia="en"/>
        </w:rPr>
        <w:t xml:space="preserve"> </w:t>
      </w:r>
    </w:p>
    <w:tbl>
      <w:tblPr>
        <w:tblStyle w:val="15"/>
        <w:tblW w:w="5000" w:type="pct"/>
        <w:tblInd w:w="15"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0" w:type="dxa"/>
          <w:left w:w="0" w:type="dxa"/>
          <w:bottom w:w="0" w:type="dxa"/>
          <w:right w:w="0" w:type="dxa"/>
        </w:tblCellMar>
      </w:tblPr>
      <w:tblGrid>
        <w:gridCol w:w="913"/>
        <w:gridCol w:w="3289"/>
        <w:gridCol w:w="3289"/>
        <w:gridCol w:w="914"/>
        <w:gridCol w:w="731"/>
      </w:tblGrid>
      <w:tr w14:paraId="7D50FC63">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blHeader/>
        </w:trPr>
        <w:tc>
          <w:tcPr>
            <w:tcW w:w="4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569554E2">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序号</w:t>
            </w:r>
          </w:p>
        </w:tc>
        <w:tc>
          <w:tcPr>
            <w:tcW w:w="18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3B286AC4">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评审要素</w:t>
            </w:r>
          </w:p>
        </w:tc>
        <w:tc>
          <w:tcPr>
            <w:tcW w:w="18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1D899A0D">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评审标准</w:t>
            </w:r>
          </w:p>
        </w:tc>
        <w:tc>
          <w:tcPr>
            <w:tcW w:w="5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3E29388E">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分值</w:t>
            </w:r>
          </w:p>
        </w:tc>
        <w:tc>
          <w:tcPr>
            <w:tcW w:w="5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16AA6FBC">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权重</w:t>
            </w:r>
          </w:p>
        </w:tc>
      </w:tr>
      <w:tr w14:paraId="7C87C7AD">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D95B349">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16A07AD">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技术部分</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4326AA0">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140B6481">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77A09CE8">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p>
        </w:tc>
      </w:tr>
      <w:tr w14:paraId="1055CB94">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A1272CA">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2</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74E40D8">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技术保障措施</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B9DA986">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（一）评审内容： 投标人针对本项目的需求制定技术保障措施，内容包含但不限于： 1.技术方案； 2.项目管理方案； 3.培训方案。 （二）评分标准： 1.满足以上3项要求得10分，满足以上2项要求得5分，满足以上1项要求得1分，其他不得分。 2.在此基础上，评审委员会根据采购文件的需求和投标文件响应情况进一步评审： （1）优：项目技术保障措施内容全面、具体，对用户需求理解程度高，数据准确详实，符合项目需求的，加90分； （2）良：项目技术保障措施内容较为全面、具体，对用户需求理解程度较高，数据准确较详实，较符合项目需求的，加50分； （3）中：项目技术保障措施内容基本满足要求，对用户需求理解程度一般，数据基本准确，基本符合项目需求的，加10分。 （4）差：项目技术保障措施评价为差或未提供者不得分。 本项最高得100分。</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60530B1E">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066DBC43">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8</w:t>
            </w:r>
          </w:p>
        </w:tc>
      </w:tr>
      <w:tr w14:paraId="26D0B090">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63E72EF">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3</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14F7556">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售后服务方案</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A55AD31">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评审内容： 投标人应在投标文件中针对本项目详细说明售后服务方案，方案应包括： (1)售后服务期间应急响应时间、服务网点及能力； (2)售后服务专业性； (3)售后服务保障能力。 满足以上3项要求得10分，满足以上2项要求得5分，满足以上1项要求得1分，其他不得分。 评审标准： 在投标人以上内容提供的基础上，评审委员会根据以下评审标准分档打分： （1）投标文件响应内容全面； （2）投标文件响应内容具体； （3）投标文件响应内容针对性强； （4）投标文件响应内容科学合理； （5）投标文件响应内容可操作性强。 满足以上五项要求的评价为优，得,90分。 满足以上四项要求的评价为良，得50分。 满足以上三项要求的评价为中，得10分。 其它情况的评价为差，不得分。</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073D065C">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7B4F79BE">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8</w:t>
            </w:r>
          </w:p>
        </w:tc>
      </w:tr>
      <w:tr w14:paraId="30F3B8F7">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97D42A4">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4</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5043F7E">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技术规格偏离情况</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95A2450">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考察内容： 评审委员会根据技术需求参数响应情况进行打分，各项技术参数指标及要求全部满足的得满分，所有标注▲”的重要参数每项负偏离（含不符合或者不满足、不响应）一项扣15分，一般参数每负偏离（含不符合或者不满足、不响应）一项扣1分，扣完为止。 证明文件： 注：投标人须按《技术规格偏离表》中的要求提供相关证明资料，如要求提供厂家网站截图说明书厂家出具的参数文件检验报告”等证明资料的，需按要求提供相关证明资料；提供的证明资料与所填写内容不一致的，以证明资料为准，原件备查。证明资料未提供，或提供的证明资料不清或无法判断的，不得分。</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0F350F04">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5084A49B">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14</w:t>
            </w:r>
          </w:p>
        </w:tc>
      </w:tr>
      <w:tr w14:paraId="1542D02E">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88BE39C">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5</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33A7281">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拟安排的项目负责人情况 (仅限1人)</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CB22ACC">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考察内容： 拟安排的项目负责人（仅限1人）需为投标人自有员工（提供社保证明），否则本项不得分，在此基础上： 1.具有人社部门颁发的计算机技术与软件专业技术资格（级别：高级或以上（含副高），专业：系统与规划管理师）证书或计算机技术与软件专业技术资格（级别：高级或以上（含副高），专业：信息系统项目管理师）证书； 2.具有行政机关或事业单位颁发的信息安全保障人员认证（CISAW）证书； 3.具有工信部门颁发的智能运维工程师证书； 4.具有工信部门颁发的人工智能类专业中级（或以上）职称证书； 5.具有工信部门颁发的网络技术工程师（高级或以上（含副高））证书； 提供以上5项得100分，提供以上任意4项60分，提供以上任意3项30分，提供以上任意2项10分，未提供或其他情况不得分。 证明文件： 1.提供开标日前由投标人为拟投入本项目的负责人缴交的载有政府部门公章（或专用章）的2024年7月-2024年9月近三个月任意一个月的社保缴交证明材料，如开标日上一个月的社保材料因政府部门原因暂时无法取得，则可以往前顺延一个月；社保资料至少显示缴交养老保险信息，未显示该信息的该社保资料则不符合要求，原件备查。如供应商为新成立企业且成立时间不足1个月的，需承诺相关人员为投标人自有员工，承诺函格式自拟并加盖公章； 2.第1-5项提供有效证书扫描件； 3.未提供或未按要求提供或提供的不清晰导致评审委员会无法判断的，不得分。</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0572ADBC">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5829CA4A">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9</w:t>
            </w:r>
          </w:p>
        </w:tc>
      </w:tr>
      <w:tr w14:paraId="68313034">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F97D553">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6</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1A685BA">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拟安排的项目主要团队成员（主要技术人员）情况（项目负责人除外）</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D448DF9">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考察内容： 拟安排项目团队成员（项目负责人除外）需为投标人自有员工（提供社保证明），否则本项不得分，在此基础上： 一、技术负责人（1名）： 1.具有行政机关或事业单位颁发的注册信息安全工程师（CISE）证书； 2.具有人社部门或工信部门颁发的（高级或以上（含副高））软件开发工程师证书。 以上每提供1项得15分，技术负责人最高得30分，其他情况不得分。 二、终端及应急保障服务负责人（1名）： 1.具有注册信息安全工程师（CISE）证书； 2.具有人社部门或工信部门颁发的智能化系统工程师证书； 3.具有人社部门或工信部门颁发的（高级或以上（含副高））软件开发工程师证书。 以上每提供1项得10分，终端及应急保障服务负责人最高得30分，其他情况不得分。 三、安全售后负责人（1人）： 1.具有行政机关或事业单位颁发的注册人信息安全工程师(CISE)证书。 2.具有工信部门颁发的安防系统工程师（高级或以上（含副高））证书。 以上每提供1项得10分，安全售后负责人最高得20分，其他情况不得分。 四、项目实施团队（4人）： 团队成员（技术负责人、终端及应急保障服务负责人、安全售后负责人除外）中具有人社部门或工信部门或信息产业部门颁发的通信类或广电类或信息工程类专业中级（或以上）职称的，每提供一人得5分，项目实施团队最高得20分，其他情况不得分。 证明文件： 1.提供开标日前由投标人为相关人员缴交的载有政府部门公章（或专用章）的2024年7月-2024年9月近三个月任意一个月的社保缴交证明材料，如开标日上一个月的社保材料因政府部门原因暂时无法取得，则可以往前顺延一个月；社保资料至少显示缴交养老保险信息，未显示该信息的该社保资料则不符合要求，原件备查。如供应商为新成立企业且成立时间不足1个月的，需承诺相关人员为投标人自有员工，承诺函格式自拟并加盖公章； 2.提供上述评分项中对应的有效证书扫描件； 3.未提供或未按要求提供或提供的不清晰导致评审委员会无法判断的，不得分。</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7A3E5C76">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7458C492">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w:t>
            </w:r>
          </w:p>
        </w:tc>
      </w:tr>
      <w:tr w14:paraId="0E7202C5">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AE5FD0B">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7</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5EEC8D0">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商务部分</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3B96FB2">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24029EB9">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1634B4DE">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p>
        </w:tc>
      </w:tr>
      <w:tr w14:paraId="0414627E">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4C59E5A">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8</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C26E23B">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商务条款偏离情况</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F2E97A3">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投标人应如实填写《商务条款偏离情况》，评审小组根据响应情况进行打分，除带★”实质性条款外全部满足要求的得100分，每负偏离一项扣15分。</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55DA7B38">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647147EC">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w:t>
            </w:r>
          </w:p>
        </w:tc>
      </w:tr>
      <w:tr w14:paraId="09B89BFE">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CAA5BE0">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9</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3D0485F">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同类项目业绩</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1526661">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考察内容： 投标人（如投标人为分公司或分支机构可用其总公司业绩）2021年10月1日至本项目投标截止时间，（以签订合同日期为准）在同类项目业绩情况：每提供1个得20分，最高得100分。每项业绩须按以下要求提供完整准确的证明文件，一年一签的长期服务续签合同只计算一个业绩。 证明文件： 提供合同或协议关键页（关键信息包括但不仅限于合同的项目名称、服务内容（采购标的）、签订日期等），未提供的不得分，原件备查。 评分中出现无证明资料或专家无法凭所提供资料判断是否得分的情况，一律作不得分处理。 通过上述资料无法判断是否得分的，也可以同时提供能证明得分的其它资料，如项目报告或采购单位（或被服务单位）出具的证明文件等。</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01C665ED">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35C10D1A">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2</w:t>
            </w:r>
          </w:p>
        </w:tc>
      </w:tr>
      <w:tr w14:paraId="169F5916">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721E20C">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6C3811B">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投标人认证情况</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0D3265C">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考察内容： 1.具有质量管理体系认证证书得25分； 2.具有售后服务认证证书得25分； 3.具有环境管理体系认证证书得25分； 4.具有职业健康安全管理体系认证证书得25分； 本项最高得100分，未提供或其他情况不得分。 证明文件： 1.提供证书扫描件及全国认证认可信息公共服务平台（cx.cnca.cn）认证信息查询截图（截图需显示证书状态为有效）。相关证书在公开渠道无法查询的，投标人需提供颁发部门或者监管机构的证明材料，证明证书真实有效且为合法机构颁发； 2.如投标人为分支机构，提供其总公司的证书也可按照评分规则计分；证书单位名称需与投标人名称或其总公司名称一致，否则不得分； 3.未提供或未按要求提供或提供的不清晰导致评审委员会无法判断的，不得分。</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75BAEDC5">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215C7124">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2</w:t>
            </w:r>
          </w:p>
        </w:tc>
      </w:tr>
      <w:tr w14:paraId="3DF2521E">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6FDF974">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93C00DB">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投标人荣誉情况</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AB87AB6">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考察内容： 投标人获得过行政机关或事业单位颁发的科学技术或信息技术相关奖项，国家级的得100分，省级（含副省级）的得30分，其他情况不得分，最高得100分。 证明文件： 1.提供奖项照片或获奖（荣誉）证书等证明材料，如投标人为分公司或分支机构，提供其总公司获奖证书也可按照评分规则计分；获奖单位名称需与投标人名称或其总公司名称一致，否则不得分； 2.未提供或未按要求提供或提供的不清晰导致评审委员会无法判断的，不得分。</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2582D200">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4E00D3DB">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5</w:t>
            </w:r>
          </w:p>
        </w:tc>
      </w:tr>
      <w:tr w14:paraId="4632A4DB">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1D4403E">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12</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C5BF933">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投标人自主知识产权产品（创新、设计）情况</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394970F">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考察内容： 1.具有图像数据和电子身份标识识别类相关计算机软件著作权登记证书或专利证书。 2.具有视频AI分析集约管控平台类相关计算机软件著作权登记证书或专利证书。 3.具有智能识别系统类相关计算机软件著作权登记证书或专利证书。 4.具有云视频分析引擎类相关计算机软件著作权登记证书或专利证书。 5.具有智能运维平台类相关计算机软件著作权登记证书或专利证书。 提供任意一项得20分，最高得100分，未提供或其他情况不得分。 （投标人提供的计算机软件著作权登记证书名称或专利证书名称与招标文件要求不必完全一致，用途一致或相近即可） 评审标准： 1.提供国家版权部门或国家知识产权部门颁发的有效证书扫描件（知识产权人或专利权人需为投标人，如投标人为分公司或分支机构，可提供总公司相应证书。证书单位名称需与投标人名称或其总公司名称一致，否则不得分）； 2.未提供或未按要求提供或提供的不清晰导致评审委员会无法判断的，不得分。</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09489B1A">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33E0446A">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6</w:t>
            </w:r>
          </w:p>
        </w:tc>
      </w:tr>
      <w:tr w14:paraId="0C63536E">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C48273E">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13</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A93F79F">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诚信情况</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0D5A033">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考察内容： 投标人承诺在参与自行采购活动中未出现诚信或安全相关问题且不在相关主管部门处理措施实施期限内的本项得100分，否则不得分。 证明文件： 投标人须提供的《诚信承诺函》，按采购文件格式要求提供，不提供或提供的不符合要求或提供不清晰导致专家无法判断的均不得分。如被认定提供的陈述与事实不符受到行政处罚的，依法追究其责任。</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0389042E">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6D41CE4F">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5</w:t>
            </w:r>
          </w:p>
        </w:tc>
      </w:tr>
    </w:tbl>
    <w:p w14:paraId="76062D1B">
      <w:pPr>
        <w:keepLines/>
        <w:pBdr>
          <w:top w:val="none" w:color="auto" w:sz="0" w:space="0"/>
          <w:left w:val="none" w:color="auto" w:sz="0" w:space="0"/>
          <w:bottom w:val="none" w:color="auto" w:sz="0" w:space="0"/>
          <w:right w:val="none" w:color="auto" w:sz="0" w:space="0"/>
        </w:pBdr>
        <w:spacing w:before="0" w:line="432" w:lineRule="atLeast"/>
        <w:ind w:left="15" w:right="15"/>
        <w:rPr>
          <w:rFonts w:ascii="微软雅黑" w:hAnsi="微软雅黑" w:eastAsia="微软雅黑" w:cs="微软雅黑"/>
          <w:color w:val="333333"/>
          <w:lang w:val="en" w:eastAsia="en"/>
        </w:rPr>
      </w:pPr>
      <w:r>
        <w:rPr>
          <w:rFonts w:ascii="仿宋" w:hAnsi="仿宋" w:eastAsia="仿宋" w:cs="仿宋"/>
          <w:b/>
          <w:bCs/>
          <w:color w:val="000000"/>
          <w:lang w:val="en" w:eastAsia="en"/>
        </w:rPr>
        <w:t>4.5 价格评审</w:t>
      </w:r>
      <w:r>
        <w:rPr>
          <w:rFonts w:ascii="微软雅黑" w:hAnsi="微软雅黑" w:eastAsia="微软雅黑" w:cs="微软雅黑"/>
          <w:color w:val="333333"/>
          <w:lang w:val="en" w:eastAsia="en"/>
        </w:rPr>
        <w:t xml:space="preserve"> </w:t>
      </w:r>
    </w:p>
    <w:p w14:paraId="7CB463CD">
      <w:pPr>
        <w:keepLines/>
        <w:pBdr>
          <w:top w:val="none" w:color="auto" w:sz="0" w:space="0"/>
          <w:left w:val="none" w:color="auto" w:sz="0" w:space="0"/>
          <w:bottom w:val="none" w:color="auto" w:sz="0" w:space="0"/>
          <w:right w:val="none" w:color="auto" w:sz="0" w:space="0"/>
        </w:pBdr>
        <w:spacing w:before="0" w:after="0" w:line="432" w:lineRule="atLeast"/>
        <w:ind w:left="15" w:right="15"/>
        <w:rPr>
          <w:rFonts w:ascii="微软雅黑" w:hAnsi="微软雅黑" w:eastAsia="微软雅黑" w:cs="微软雅黑"/>
          <w:color w:val="333333"/>
          <w:lang w:val="en" w:eastAsia="en"/>
        </w:rPr>
        <w:sectPr>
          <w:pgMar w:top="1440" w:right="1800" w:bottom="1440" w:left="1800" w:header="708" w:footer="708" w:gutter="0"/>
          <w:cols w:space="708" w:num="1"/>
        </w:sectPr>
      </w:pPr>
      <w:r>
        <w:rPr>
          <w:rFonts w:ascii="仿宋" w:hAnsi="仿宋" w:eastAsia="仿宋" w:cs="仿宋"/>
          <w:color w:val="333333"/>
          <w:lang w:val="en" w:eastAsia="en"/>
        </w:rPr>
        <w:t>4.5.1 投标总价</w:t>
      </w:r>
      <w:r>
        <w:rPr>
          <w:rFonts w:ascii="仿宋" w:hAnsi="仿宋" w:eastAsia="仿宋" w:cs="仿宋"/>
          <w:color w:val="333333"/>
          <w:lang w:val="en" w:eastAsia="en"/>
        </w:rPr>
        <w:br w:type="textWrapping"/>
      </w:r>
      <w:r>
        <w:rPr>
          <w:rFonts w:ascii="仿宋" w:hAnsi="仿宋" w:eastAsia="仿宋" w:cs="仿宋"/>
          <w:color w:val="333333"/>
          <w:lang w:val="en" w:eastAsia="en"/>
        </w:rPr>
        <w:t>价格得分满分：</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30</w:t>
      </w:r>
      <w:r>
        <w:rPr>
          <w:rFonts w:ascii="仿宋" w:hAnsi="仿宋" w:eastAsia="仿宋" w:cs="仿宋"/>
          <w:color w:val="333333"/>
          <w:lang w:val="en" w:eastAsia="en"/>
        </w:rPr>
        <w:br w:type="textWrapping"/>
      </w:r>
      <w:r>
        <w:rPr>
          <w:rFonts w:ascii="仿宋" w:hAnsi="仿宋" w:eastAsia="仿宋" w:cs="仿宋"/>
          <w:color w:val="333333"/>
          <w:lang w:val="en" w:eastAsia="en"/>
        </w:rPr>
        <w:t>报价打分方式：</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自动算分（内插法）</w:t>
      </w:r>
      <w:r>
        <w:rPr>
          <w:rFonts w:ascii="仿宋" w:hAnsi="仿宋" w:eastAsia="仿宋" w:cs="仿宋"/>
          <w:color w:val="333333"/>
          <w:lang w:val="en" w:eastAsia="en"/>
        </w:rPr>
        <w:br w:type="textWrapping"/>
      </w:r>
      <w:r>
        <w:rPr>
          <w:rFonts w:ascii="仿宋" w:hAnsi="仿宋" w:eastAsia="仿宋" w:cs="仿宋"/>
          <w:color w:val="333333"/>
          <w:lang w:val="en" w:eastAsia="en"/>
        </w:rPr>
        <w:t>参与基准价计算范围的计算公式：全部投标报价</w:t>
      </w:r>
      <w:r>
        <w:rPr>
          <w:rFonts w:ascii="仿宋" w:hAnsi="仿宋" w:eastAsia="仿宋" w:cs="仿宋"/>
          <w:color w:val="333333"/>
          <w:lang w:val="en" w:eastAsia="en"/>
        </w:rPr>
        <w:br w:type="textWrapping"/>
      </w:r>
      <w:r>
        <w:rPr>
          <w:rFonts w:ascii="仿宋" w:hAnsi="仿宋" w:eastAsia="仿宋" w:cs="仿宋"/>
          <w:color w:val="333333"/>
          <w:lang w:val="en" w:eastAsia="en"/>
        </w:rPr>
        <w:t>评标价计算公式：评标价=投标函中的投标报价*价格扣除（上浮）比例：中小微企业（或监狱企业或残疾人福利性单位）价格扣除比例：10%；中小微联合体（协议合同金额占到联合体协议合同总金额30%以上）价格扣除比例：0%；失信供应商价格上浮比例：0%。</w:t>
      </w:r>
      <w:r>
        <w:rPr>
          <w:rFonts w:ascii="仿宋" w:hAnsi="仿宋" w:eastAsia="仿宋" w:cs="仿宋"/>
          <w:color w:val="333333"/>
          <w:lang w:val="en" w:eastAsia="en"/>
        </w:rPr>
        <w:br w:type="textWrapping"/>
      </w:r>
      <w:r>
        <w:rPr>
          <w:rFonts w:ascii="仿宋" w:hAnsi="仿宋" w:eastAsia="仿宋" w:cs="仿宋"/>
          <w:color w:val="333333"/>
          <w:lang w:val="en" w:eastAsia="en"/>
        </w:rPr>
        <w:t>基准价计算公式：基准价=最低评标价</w:t>
      </w:r>
      <w:r>
        <w:rPr>
          <w:rFonts w:ascii="仿宋" w:hAnsi="仿宋" w:eastAsia="仿宋" w:cs="仿宋"/>
          <w:color w:val="333333"/>
          <w:lang w:val="en" w:eastAsia="en"/>
        </w:rPr>
        <w:br w:type="textWrapping"/>
      </w:r>
      <w:r>
        <w:rPr>
          <w:rFonts w:ascii="仿宋" w:hAnsi="仿宋" w:eastAsia="仿宋" w:cs="仿宋"/>
          <w:color w:val="333333"/>
          <w:lang w:val="en" w:eastAsia="en"/>
        </w:rPr>
        <w:t>报价打分计算公式：得分=（基准价/评标价）*总分</w:t>
      </w:r>
    </w:p>
    <w:p w14:paraId="7D460C65">
      <w:pPr>
        <w:pBdr>
          <w:top w:val="none" w:color="auto" w:sz="0" w:space="0"/>
          <w:left w:val="single" w:color="DDDDDD" w:sz="6" w:space="0"/>
          <w:bottom w:val="none" w:color="auto" w:sz="0" w:space="0"/>
          <w:right w:val="single" w:color="DDDDDD" w:sz="6" w:space="0"/>
        </w:pBdr>
        <w:spacing w:before="0" w:after="0" w:line="648" w:lineRule="atLeast"/>
        <w:ind w:left="15" w:right="15"/>
        <w:jc w:val="center"/>
        <w:outlineLvl w:val="0"/>
        <w:rPr>
          <w:rFonts w:ascii="仿宋" w:hAnsi="仿宋" w:eastAsia="仿宋" w:cs="仿宋"/>
          <w:b/>
          <w:bCs/>
          <w:color w:val="000000"/>
          <w:sz w:val="48"/>
          <w:szCs w:val="48"/>
          <w:lang w:val="en" w:eastAsia="en"/>
        </w:rPr>
      </w:pPr>
      <w:r>
        <w:rPr>
          <w:rFonts w:ascii="仿宋" w:hAnsi="仿宋" w:eastAsia="仿宋" w:cs="仿宋"/>
          <w:b/>
          <w:bCs/>
          <w:color w:val="000000"/>
          <w:sz w:val="48"/>
          <w:szCs w:val="48"/>
          <w:lang w:val="en" w:eastAsia="en"/>
        </w:rPr>
        <w:t>投标文件格式</w:t>
      </w:r>
    </w:p>
    <w:p w14:paraId="0558B960">
      <w:pPr>
        <w:pBdr>
          <w:top w:val="none" w:color="auto" w:sz="0" w:space="0"/>
          <w:left w:val="none" w:color="auto" w:sz="0" w:space="0"/>
          <w:bottom w:val="none" w:color="auto" w:sz="0" w:space="0"/>
          <w:right w:val="none" w:color="auto" w:sz="0" w:space="0"/>
        </w:pBdr>
        <w:spacing w:before="0" w:after="0" w:line="504" w:lineRule="atLeast"/>
        <w:ind w:left="15" w:right="15"/>
        <w:jc w:val="center"/>
        <w:rPr>
          <w:rFonts w:ascii="仿宋" w:hAnsi="仿宋" w:eastAsia="仿宋" w:cs="仿宋"/>
          <w:b/>
          <w:bCs/>
          <w:color w:val="333333"/>
          <w:sz w:val="28"/>
          <w:szCs w:val="28"/>
          <w:lang w:val="en" w:eastAsia="en"/>
        </w:rPr>
      </w:pPr>
      <w:r>
        <w:rPr>
          <w:rFonts w:ascii="仿宋" w:hAnsi="仿宋" w:eastAsia="仿宋" w:cs="仿宋"/>
          <w:b/>
          <w:bCs/>
          <w:color w:val="333333"/>
          <w:sz w:val="28"/>
          <w:szCs w:val="28"/>
          <w:lang w:val="en" w:eastAsia="en"/>
        </w:rPr>
        <w:t>大浪校区监控视频存储及光网络交换设备-A</w:t>
      </w:r>
    </w:p>
    <w:tbl>
      <w:tblPr>
        <w:tblStyle w:val="16"/>
        <w:tblW w:w="5000" w:type="pct"/>
        <w:tblInd w:w="15"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0" w:type="dxa"/>
          <w:left w:w="0" w:type="dxa"/>
          <w:bottom w:w="0" w:type="dxa"/>
          <w:right w:w="0" w:type="dxa"/>
        </w:tblCellMar>
      </w:tblPr>
      <w:tblGrid>
        <w:gridCol w:w="1644"/>
        <w:gridCol w:w="7492"/>
      </w:tblGrid>
      <w:tr w14:paraId="58C88030">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tblHeader/>
        </w:trPr>
        <w:tc>
          <w:tcPr>
            <w:tcW w:w="9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09865A2B">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序号</w:t>
            </w:r>
          </w:p>
        </w:tc>
        <w:tc>
          <w:tcPr>
            <w:tcW w:w="41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3A50BC8E">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文件夹/文件名称</w:t>
            </w:r>
          </w:p>
        </w:tc>
      </w:tr>
      <w:tr w14:paraId="078DA85A">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46E4A04">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37E8415">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投标函</w:t>
            </w:r>
          </w:p>
        </w:tc>
      </w:tr>
      <w:tr w14:paraId="6ABEB4B4">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5445EA1">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2</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C2A3DEB">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龙华区教育局自行采购投标及履约承诺函</w:t>
            </w:r>
          </w:p>
        </w:tc>
      </w:tr>
      <w:tr w14:paraId="4DE8BFDD">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D54C3FC">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3</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DD5159E">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投标人情况及资格证明文件</w:t>
            </w:r>
          </w:p>
        </w:tc>
      </w:tr>
      <w:tr w14:paraId="52DD8F1A">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D5F26CC">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4</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DD22E56">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供应商基本情况表</w:t>
            </w:r>
          </w:p>
        </w:tc>
      </w:tr>
      <w:tr w14:paraId="1C65D042">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1A38C14">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5</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673FA6A">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分项报价清单</w:t>
            </w:r>
          </w:p>
        </w:tc>
      </w:tr>
      <w:tr w14:paraId="3DA510F6">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B9E3D65">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6</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4A50BE4">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股东构成审查表</w:t>
            </w:r>
          </w:p>
        </w:tc>
      </w:tr>
      <w:tr w14:paraId="6D9EA7AE">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EA6AE25">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7</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BDF083A">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法定代表人（负责人）证明书</w:t>
            </w:r>
          </w:p>
        </w:tc>
      </w:tr>
      <w:tr w14:paraId="2681024B">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3046D11">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8</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1487507">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投标文件签署授权委托书</w:t>
            </w:r>
          </w:p>
        </w:tc>
      </w:tr>
      <w:tr w14:paraId="39B9F9BA">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8CFCD1E">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9</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EB46CC3">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实质性条款响应情况表</w:t>
            </w:r>
          </w:p>
        </w:tc>
      </w:tr>
      <w:tr w14:paraId="039668FC">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007F7F1">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60C5CE3">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技术要求偏离表</w:t>
            </w:r>
          </w:p>
        </w:tc>
      </w:tr>
      <w:tr w14:paraId="44217903">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1488CFC">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D14AE85">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商务要求偏离表</w:t>
            </w:r>
          </w:p>
        </w:tc>
      </w:tr>
      <w:tr w14:paraId="1A890EA5">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2620A9B">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12</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AA22122">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技术保障措施</w:t>
            </w:r>
          </w:p>
        </w:tc>
      </w:tr>
      <w:tr w14:paraId="3A1F79B8">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4FCB6B2">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13</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F6DA1A8">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同类项目业绩</w:t>
            </w:r>
          </w:p>
        </w:tc>
      </w:tr>
      <w:tr w14:paraId="5ED5EB40">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766828A">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14</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80993A7">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投标人资质证书</w:t>
            </w:r>
          </w:p>
        </w:tc>
      </w:tr>
      <w:tr w14:paraId="6CFB52CD">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6FD1CAC">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15</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FD1A98F">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诚信承诺函</w:t>
            </w:r>
          </w:p>
        </w:tc>
      </w:tr>
      <w:tr w14:paraId="77BA8C45">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EE474B1">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16</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052D9CD">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投标人认为需要加以说明的其他内容</w:t>
            </w:r>
          </w:p>
        </w:tc>
      </w:tr>
    </w:tbl>
    <w:p w14:paraId="3EA8383F">
      <w:pPr>
        <w:pBdr>
          <w:top w:val="none" w:color="auto" w:sz="0" w:space="0"/>
          <w:left w:val="none" w:color="auto" w:sz="0" w:space="0"/>
          <w:bottom w:val="none" w:color="auto" w:sz="0" w:space="0"/>
          <w:right w:val="none" w:color="auto" w:sz="0" w:space="0"/>
        </w:pBdr>
        <w:spacing w:line="432" w:lineRule="atLeast"/>
        <w:rPr>
          <w:rFonts w:ascii="仿宋" w:hAnsi="仿宋" w:eastAsia="仿宋" w:cs="仿宋"/>
          <w:b/>
          <w:bCs/>
          <w:color w:val="333333"/>
          <w:lang w:val="en" w:eastAsia="en"/>
        </w:rPr>
        <w:sectPr>
          <w:pgMar w:top="1440" w:right="1800" w:bottom="1440" w:left="1800" w:header="708" w:footer="708" w:gutter="0"/>
          <w:cols w:space="708" w:num="1"/>
        </w:sectPr>
      </w:pPr>
    </w:p>
    <w:p w14:paraId="2483D1E8">
      <w:pPr>
        <w:pBdr>
          <w:top w:val="none" w:color="auto" w:sz="0" w:space="0"/>
          <w:left w:val="single" w:color="DDDDDD" w:sz="6" w:space="0"/>
          <w:bottom w:val="none" w:color="auto" w:sz="0" w:space="0"/>
          <w:right w:val="single" w:color="DDDDDD" w:sz="6" w:space="0"/>
        </w:pBdr>
        <w:spacing w:before="0" w:after="0" w:line="648" w:lineRule="atLeast"/>
        <w:ind w:left="15" w:right="15"/>
        <w:jc w:val="center"/>
        <w:outlineLvl w:val="0"/>
        <w:rPr>
          <w:rFonts w:ascii="仿宋" w:hAnsi="仿宋" w:eastAsia="仿宋" w:cs="仿宋"/>
          <w:b/>
          <w:bCs/>
          <w:color w:val="000000"/>
          <w:sz w:val="48"/>
          <w:szCs w:val="48"/>
          <w:lang w:val="en" w:eastAsia="en"/>
        </w:rPr>
      </w:pPr>
      <w:r>
        <w:rPr>
          <w:rFonts w:ascii="仿宋" w:hAnsi="仿宋" w:eastAsia="仿宋" w:cs="仿宋"/>
          <w:b/>
          <w:bCs/>
          <w:color w:val="000000"/>
          <w:sz w:val="48"/>
          <w:szCs w:val="48"/>
          <w:lang w:val="en" w:eastAsia="en"/>
        </w:rPr>
        <w:t>评标办法附表</w:t>
      </w:r>
    </w:p>
    <w:p w14:paraId="072D495B">
      <w:pPr>
        <w:pBdr>
          <w:top w:val="none" w:color="auto" w:sz="0" w:space="0"/>
          <w:left w:val="none" w:color="auto" w:sz="0" w:space="0"/>
          <w:bottom w:val="none" w:color="auto" w:sz="0" w:space="0"/>
          <w:right w:val="none" w:color="auto" w:sz="0" w:space="0"/>
        </w:pBdr>
        <w:spacing w:before="0" w:after="288" w:line="432" w:lineRule="atLeast"/>
        <w:ind w:left="15" w:right="15"/>
        <w:rPr>
          <w:rFonts w:ascii="微软雅黑" w:hAnsi="微软雅黑" w:eastAsia="微软雅黑" w:cs="微软雅黑"/>
          <w:color w:val="333333"/>
          <w:lang w:val="en" w:eastAsia="en"/>
        </w:rPr>
      </w:pPr>
      <w:r>
        <w:rPr>
          <w:rFonts w:ascii="仿宋" w:hAnsi="仿宋" w:eastAsia="仿宋" w:cs="仿宋"/>
          <w:b/>
          <w:bCs/>
          <w:color w:val="333333"/>
          <w:sz w:val="28"/>
          <w:szCs w:val="28"/>
          <w:lang w:val="en" w:eastAsia="en"/>
        </w:rPr>
        <w:t>1.标段基本信息</w:t>
      </w:r>
    </w:p>
    <w:p w14:paraId="27BD38D1">
      <w:pPr>
        <w:pBdr>
          <w:top w:val="none" w:color="auto" w:sz="0" w:space="0"/>
          <w:left w:val="none" w:color="auto" w:sz="0" w:space="0"/>
          <w:bottom w:val="none" w:color="auto" w:sz="0" w:space="0"/>
          <w:right w:val="none" w:color="auto" w:sz="0" w:space="0"/>
        </w:pBdr>
        <w:spacing w:after="0" w:line="432" w:lineRule="atLeast"/>
        <w:ind w:left="15" w:right="15"/>
        <w:rPr>
          <w:rFonts w:ascii="仿宋" w:hAnsi="仿宋" w:eastAsia="仿宋" w:cs="仿宋"/>
          <w:color w:val="333333"/>
          <w:lang w:val="en" w:eastAsia="en"/>
        </w:rPr>
      </w:pPr>
      <w:r>
        <w:rPr>
          <w:rFonts w:ascii="仿宋" w:hAnsi="仿宋" w:eastAsia="仿宋" w:cs="仿宋"/>
          <w:color w:val="333333"/>
          <w:lang w:val="en" w:eastAsia="en"/>
        </w:rPr>
        <w:t>标段编号：</w:t>
      </w:r>
      <w:r>
        <w:rPr>
          <w:rFonts w:ascii="微软雅黑" w:hAnsi="微软雅黑" w:eastAsia="微软雅黑" w:cs="微软雅黑"/>
          <w:color w:val="333333"/>
          <w:lang w:val="en" w:eastAsia="en"/>
        </w:rPr>
        <w:t xml:space="preserve"> </w:t>
      </w:r>
      <w:r>
        <w:rPr>
          <w:rFonts w:ascii="仿宋" w:hAnsi="仿宋" w:eastAsia="仿宋" w:cs="仿宋"/>
          <w:color w:val="333333"/>
          <w:u w:val="single" w:color="333333"/>
          <w:lang w:val="en" w:eastAsia="en"/>
        </w:rPr>
        <w:t>LHAZXDL-2025-00097-001</w:t>
      </w:r>
      <w:r>
        <w:rPr>
          <w:rFonts w:ascii="仿宋" w:hAnsi="仿宋" w:eastAsia="仿宋" w:cs="仿宋"/>
          <w:color w:val="333333"/>
          <w:u w:val="single" w:color="333333"/>
          <w:lang w:val="en" w:eastAsia="en"/>
        </w:rPr>
        <w:br w:type="textWrapping"/>
      </w:r>
      <w:r>
        <w:rPr>
          <w:rFonts w:ascii="仿宋" w:hAnsi="仿宋" w:eastAsia="仿宋" w:cs="仿宋"/>
          <w:color w:val="333333"/>
          <w:lang w:val="en" w:eastAsia="en"/>
        </w:rPr>
        <w:t>标段名称：</w:t>
      </w:r>
      <w:r>
        <w:rPr>
          <w:rFonts w:ascii="微软雅黑" w:hAnsi="微软雅黑" w:eastAsia="微软雅黑" w:cs="微软雅黑"/>
          <w:color w:val="333333"/>
          <w:lang w:val="en" w:eastAsia="en"/>
        </w:rPr>
        <w:t xml:space="preserve"> </w:t>
      </w:r>
      <w:r>
        <w:rPr>
          <w:rFonts w:ascii="仿宋" w:hAnsi="仿宋" w:eastAsia="仿宋" w:cs="仿宋"/>
          <w:color w:val="333333"/>
          <w:u w:val="single" w:color="333333"/>
          <w:lang w:val="en" w:eastAsia="en"/>
        </w:rPr>
        <w:t>大浪校区监控视频存储及光网络交换设备-A</w:t>
      </w:r>
      <w:r>
        <w:rPr>
          <w:rFonts w:ascii="仿宋" w:hAnsi="仿宋" w:eastAsia="仿宋" w:cs="仿宋"/>
          <w:color w:val="333333"/>
          <w:u w:val="single" w:color="333333"/>
          <w:lang w:val="en" w:eastAsia="en"/>
        </w:rPr>
        <w:br w:type="textWrapping"/>
      </w:r>
    </w:p>
    <w:p w14:paraId="55ED6E43">
      <w:pPr>
        <w:keepLines/>
        <w:pBdr>
          <w:top w:val="none" w:color="auto" w:sz="0" w:space="0"/>
          <w:left w:val="none" w:color="auto" w:sz="0" w:space="0"/>
          <w:bottom w:val="none" w:color="auto" w:sz="0" w:space="0"/>
          <w:right w:val="none" w:color="auto" w:sz="0" w:space="0"/>
        </w:pBdr>
        <w:spacing w:before="0" w:after="0" w:line="432" w:lineRule="atLeast"/>
        <w:ind w:left="15" w:right="15"/>
        <w:rPr>
          <w:rFonts w:ascii="微软雅黑" w:hAnsi="微软雅黑" w:eastAsia="微软雅黑" w:cs="微软雅黑"/>
          <w:color w:val="333333"/>
          <w:lang w:val="en" w:eastAsia="en"/>
        </w:rPr>
      </w:pPr>
    </w:p>
    <w:p w14:paraId="53984982">
      <w:pPr>
        <w:pBdr>
          <w:top w:val="none" w:color="auto" w:sz="0" w:space="0"/>
          <w:left w:val="none" w:color="auto" w:sz="0" w:space="0"/>
          <w:bottom w:val="none" w:color="auto" w:sz="0" w:space="0"/>
          <w:right w:val="none" w:color="auto" w:sz="0" w:space="0"/>
        </w:pBdr>
        <w:spacing w:before="0" w:after="288" w:line="432" w:lineRule="atLeast"/>
        <w:ind w:left="15" w:right="15"/>
        <w:rPr>
          <w:rFonts w:ascii="微软雅黑" w:hAnsi="微软雅黑" w:eastAsia="微软雅黑" w:cs="微软雅黑"/>
          <w:color w:val="333333"/>
          <w:lang w:val="en" w:eastAsia="en"/>
        </w:rPr>
      </w:pPr>
      <w:r>
        <w:rPr>
          <w:rFonts w:ascii="仿宋" w:hAnsi="仿宋" w:eastAsia="仿宋" w:cs="仿宋"/>
          <w:b/>
          <w:bCs/>
          <w:color w:val="333333"/>
          <w:sz w:val="28"/>
          <w:szCs w:val="28"/>
          <w:lang w:val="en" w:eastAsia="en"/>
        </w:rPr>
        <w:t>2.入围参数</w:t>
      </w:r>
    </w:p>
    <w:p w14:paraId="7409F46E">
      <w:pPr>
        <w:keepLines/>
        <w:pBdr>
          <w:top w:val="none" w:color="auto" w:sz="0" w:space="0"/>
          <w:left w:val="none" w:color="auto" w:sz="0" w:space="0"/>
          <w:bottom w:val="none" w:color="auto" w:sz="0" w:space="0"/>
          <w:right w:val="none" w:color="auto" w:sz="0" w:space="0"/>
        </w:pBdr>
        <w:spacing w:before="0" w:after="0" w:line="432" w:lineRule="atLeast"/>
        <w:ind w:left="15" w:right="15"/>
        <w:rPr>
          <w:rFonts w:ascii="微软雅黑" w:hAnsi="微软雅黑" w:eastAsia="微软雅黑" w:cs="微软雅黑"/>
          <w:color w:val="333333"/>
          <w:lang w:val="en" w:eastAsia="en"/>
        </w:rPr>
      </w:pPr>
      <w:r>
        <w:rPr>
          <w:rFonts w:ascii="仿宋" w:hAnsi="仿宋" w:eastAsia="仿宋" w:cs="仿宋"/>
          <w:color w:val="333333"/>
          <w:lang w:val="en" w:eastAsia="en"/>
        </w:rPr>
        <w:t>是否过多投标人淘汰：</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否</w:t>
      </w:r>
    </w:p>
    <w:p w14:paraId="18BDB585">
      <w:pPr>
        <w:pBdr>
          <w:top w:val="none" w:color="auto" w:sz="0" w:space="0"/>
          <w:left w:val="none" w:color="auto" w:sz="0" w:space="0"/>
          <w:bottom w:val="none" w:color="auto" w:sz="0" w:space="0"/>
          <w:right w:val="none" w:color="auto" w:sz="0" w:space="0"/>
        </w:pBdr>
        <w:spacing w:before="0" w:after="288" w:line="432" w:lineRule="atLeast"/>
        <w:ind w:left="15" w:right="15"/>
        <w:rPr>
          <w:rFonts w:ascii="微软雅黑" w:hAnsi="微软雅黑" w:eastAsia="微软雅黑" w:cs="微软雅黑"/>
          <w:color w:val="333333"/>
          <w:lang w:val="en" w:eastAsia="en"/>
        </w:rPr>
      </w:pPr>
      <w:r>
        <w:rPr>
          <w:rFonts w:ascii="仿宋" w:hAnsi="仿宋" w:eastAsia="仿宋" w:cs="仿宋"/>
          <w:b/>
          <w:bCs/>
          <w:color w:val="333333"/>
          <w:sz w:val="28"/>
          <w:szCs w:val="28"/>
          <w:lang w:val="en" w:eastAsia="en"/>
        </w:rPr>
        <w:t>3.评审步骤</w:t>
      </w:r>
    </w:p>
    <w:tbl>
      <w:tblPr>
        <w:tblStyle w:val="24"/>
        <w:tblW w:w="5000" w:type="pct"/>
        <w:tblInd w:w="15"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0" w:type="dxa"/>
          <w:left w:w="0" w:type="dxa"/>
          <w:bottom w:w="0" w:type="dxa"/>
          <w:right w:w="0" w:type="dxa"/>
        </w:tblCellMar>
      </w:tblPr>
      <w:tblGrid>
        <w:gridCol w:w="1142"/>
        <w:gridCol w:w="6852"/>
        <w:gridCol w:w="1142"/>
      </w:tblGrid>
      <w:tr w14:paraId="61EFFEA8">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blHeader/>
        </w:trPr>
        <w:tc>
          <w:tcPr>
            <w:tcW w:w="5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24C0F821">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序号</w:t>
            </w:r>
          </w:p>
        </w:tc>
        <w:tc>
          <w:tcPr>
            <w:tcW w:w="30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3FC7A6ED">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评审步骤</w:t>
            </w:r>
          </w:p>
        </w:tc>
        <w:tc>
          <w:tcPr>
            <w:tcW w:w="5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2E74D2EC">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分值</w:t>
            </w:r>
          </w:p>
        </w:tc>
      </w:tr>
      <w:tr w14:paraId="51477C1F">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1E4FD1F">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0646499">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资格评审</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44F2022">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p>
        </w:tc>
      </w:tr>
      <w:tr w14:paraId="531629F1">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0F1AD19">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2</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D35CE1C">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初步评审</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5050F8E">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p>
        </w:tc>
      </w:tr>
      <w:tr w14:paraId="5F4B1725">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B1FC0C6">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3</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1BBC9C2">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详细评审</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207A036">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70</w:t>
            </w:r>
          </w:p>
        </w:tc>
      </w:tr>
      <w:tr w14:paraId="325C66B6">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42546B2">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4</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9CAC07E">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报价修正</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19BE255">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p>
        </w:tc>
      </w:tr>
      <w:tr w14:paraId="7A0A4217">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23D47A8">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5</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B7DA43A">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价格评审</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8B7815E">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30</w:t>
            </w:r>
          </w:p>
        </w:tc>
      </w:tr>
      <w:tr w14:paraId="1DEDB54A">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DD1F6B3">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6</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E5731E4">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综合评分</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246A1FE">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p>
        </w:tc>
      </w:tr>
      <w:tr w14:paraId="05F94007">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93AE2F3">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7</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C8D5264">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推荐中标候选人</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9282663">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p>
        </w:tc>
      </w:tr>
    </w:tbl>
    <w:p w14:paraId="09C7ADB3">
      <w:pPr>
        <w:pBdr>
          <w:top w:val="none" w:color="auto" w:sz="0" w:space="0"/>
          <w:left w:val="none" w:color="auto" w:sz="0" w:space="0"/>
          <w:bottom w:val="none" w:color="auto" w:sz="0" w:space="0"/>
          <w:right w:val="none" w:color="auto" w:sz="0" w:space="0"/>
        </w:pBdr>
        <w:spacing w:after="0" w:line="432" w:lineRule="atLeast"/>
        <w:ind w:left="15" w:right="15"/>
        <w:rPr>
          <w:rFonts w:ascii="微软雅黑" w:hAnsi="微软雅黑" w:eastAsia="微软雅黑" w:cs="微软雅黑"/>
          <w:color w:val="333333"/>
          <w:lang w:val="en" w:eastAsia="en"/>
        </w:rPr>
      </w:pPr>
    </w:p>
    <w:p w14:paraId="3E78DD6B">
      <w:pPr>
        <w:pBdr>
          <w:top w:val="none" w:color="auto" w:sz="0" w:space="0"/>
          <w:left w:val="none" w:color="auto" w:sz="0" w:space="0"/>
          <w:bottom w:val="none" w:color="auto" w:sz="0" w:space="0"/>
          <w:right w:val="none" w:color="auto" w:sz="0" w:space="0"/>
        </w:pBdr>
        <w:spacing w:before="0" w:after="288" w:line="432" w:lineRule="atLeast"/>
        <w:ind w:left="15" w:right="15"/>
        <w:rPr>
          <w:rFonts w:ascii="微软雅黑" w:hAnsi="微软雅黑" w:eastAsia="微软雅黑" w:cs="微软雅黑"/>
          <w:color w:val="333333"/>
          <w:lang w:val="en" w:eastAsia="en"/>
        </w:rPr>
      </w:pPr>
      <w:r>
        <w:rPr>
          <w:rFonts w:ascii="仿宋" w:hAnsi="仿宋" w:eastAsia="仿宋" w:cs="仿宋"/>
          <w:b/>
          <w:bCs/>
          <w:color w:val="333333"/>
          <w:sz w:val="28"/>
          <w:szCs w:val="28"/>
          <w:lang w:val="en" w:eastAsia="en"/>
        </w:rPr>
        <w:t>4.评审条款</w:t>
      </w:r>
    </w:p>
    <w:p w14:paraId="0D883FF1">
      <w:pPr>
        <w:pBdr>
          <w:top w:val="none" w:color="auto" w:sz="0" w:space="0"/>
          <w:left w:val="none" w:color="auto" w:sz="0" w:space="0"/>
          <w:bottom w:val="none" w:color="auto" w:sz="0" w:space="0"/>
          <w:right w:val="none" w:color="auto" w:sz="0" w:space="0"/>
        </w:pBdr>
        <w:spacing w:line="432" w:lineRule="atLeast"/>
        <w:ind w:left="15" w:right="15"/>
        <w:rPr>
          <w:rFonts w:ascii="仿宋" w:hAnsi="仿宋" w:eastAsia="仿宋" w:cs="仿宋"/>
          <w:color w:val="333333"/>
          <w:lang w:val="en" w:eastAsia="en"/>
        </w:rPr>
      </w:pPr>
      <w:r>
        <w:rPr>
          <w:rFonts w:ascii="仿宋" w:hAnsi="仿宋" w:eastAsia="仿宋" w:cs="仿宋"/>
          <w:color w:val="333333"/>
          <w:lang w:val="en" w:eastAsia="en"/>
        </w:rPr>
        <w:t>中标候选人：</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委托评标委员会直接定标</w:t>
      </w:r>
      <w:r>
        <w:rPr>
          <w:rFonts w:ascii="仿宋" w:hAnsi="仿宋" w:eastAsia="仿宋" w:cs="仿宋"/>
          <w:color w:val="333333"/>
          <w:lang w:val="en" w:eastAsia="en"/>
        </w:rPr>
        <w:br w:type="textWrapping"/>
      </w:r>
      <w:r>
        <w:rPr>
          <w:rFonts w:ascii="仿宋" w:hAnsi="仿宋" w:eastAsia="仿宋" w:cs="仿宋"/>
          <w:color w:val="333333"/>
          <w:lang w:val="en" w:eastAsia="en"/>
        </w:rPr>
        <w:br w:type="textWrapping"/>
      </w:r>
      <w:r>
        <w:rPr>
          <w:rFonts w:ascii="仿宋" w:hAnsi="仿宋" w:eastAsia="仿宋" w:cs="仿宋"/>
          <w:b/>
          <w:bCs/>
          <w:color w:val="000000"/>
          <w:lang w:val="en" w:eastAsia="en"/>
        </w:rPr>
        <w:t>4.1 资格评审</w:t>
      </w:r>
      <w:r>
        <w:rPr>
          <w:rFonts w:ascii="仿宋" w:hAnsi="仿宋" w:eastAsia="仿宋" w:cs="仿宋"/>
          <w:b/>
          <w:bCs/>
          <w:color w:val="000000"/>
          <w:lang w:val="en" w:eastAsia="en"/>
        </w:rPr>
        <w:br w:type="textWrapping"/>
      </w:r>
      <w:r>
        <w:rPr>
          <w:rFonts w:ascii="仿宋" w:hAnsi="仿宋" w:eastAsia="仿宋" w:cs="仿宋"/>
          <w:color w:val="333333"/>
          <w:lang w:val="en" w:eastAsia="en"/>
        </w:rPr>
        <w:t>汇总规则：</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按分项自动汇总并发起否决投标</w:t>
      </w:r>
      <w:r>
        <w:rPr>
          <w:rFonts w:ascii="微软雅黑" w:hAnsi="微软雅黑" w:eastAsia="微软雅黑" w:cs="微软雅黑"/>
          <w:color w:val="333333"/>
          <w:lang w:val="en" w:eastAsia="en"/>
        </w:rPr>
        <w:t xml:space="preserve"> </w:t>
      </w:r>
    </w:p>
    <w:tbl>
      <w:tblPr>
        <w:tblStyle w:val="24"/>
        <w:tblW w:w="5000" w:type="pct"/>
        <w:tblInd w:w="15"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0" w:type="dxa"/>
          <w:left w:w="0" w:type="dxa"/>
          <w:bottom w:w="0" w:type="dxa"/>
          <w:right w:w="0" w:type="dxa"/>
        </w:tblCellMar>
      </w:tblPr>
      <w:tblGrid>
        <w:gridCol w:w="1612"/>
        <w:gridCol w:w="3762"/>
        <w:gridCol w:w="3762"/>
      </w:tblGrid>
      <w:tr w14:paraId="29F0D10E">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blHeader/>
        </w:trPr>
        <w:tc>
          <w:tcPr>
            <w:tcW w:w="75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21D2EBCF">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序号</w:t>
            </w:r>
          </w:p>
        </w:tc>
        <w:tc>
          <w:tcPr>
            <w:tcW w:w="175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5EB22511">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评审要素</w:t>
            </w:r>
          </w:p>
        </w:tc>
        <w:tc>
          <w:tcPr>
            <w:tcW w:w="175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5561985C">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评审标准</w:t>
            </w:r>
          </w:p>
        </w:tc>
      </w:tr>
      <w:tr w14:paraId="327F0024">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590CA90">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4B7BEFC">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资质要求</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902A262">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1、具有独立法人资格或具有独立承担民事责任的能力的其它组织（提供营业执照或事业单位法人证等法人证明扫描件，原件备查）。：</w:t>
            </w:r>
            <w:r>
              <w:rPr>
                <w:rFonts w:ascii="仿宋" w:hAnsi="仿宋" w:eastAsia="仿宋" w:cs="仿宋"/>
                <w:color w:val="666666"/>
                <w:lang w:val="en" w:eastAsia="en"/>
              </w:rPr>
              <w:br w:type="textWrapping"/>
            </w:r>
            <w:r>
              <w:rPr>
                <w:rFonts w:ascii="仿宋" w:hAnsi="仿宋" w:eastAsia="仿宋" w:cs="仿宋"/>
                <w:color w:val="666666"/>
                <w:lang w:val="en" w:eastAsia="en"/>
              </w:rPr>
              <w:t>1、具有独立法人资格或具有独立承担民事责任的能力的其它组织（提供营业执照或事业单位法人证等法人证明扫描件，原件备查）。</w:t>
            </w:r>
            <w:r>
              <w:rPr>
                <w:rFonts w:ascii="仿宋" w:hAnsi="仿宋" w:eastAsia="仿宋" w:cs="仿宋"/>
                <w:color w:val="666666"/>
                <w:lang w:val="en" w:eastAsia="en"/>
              </w:rPr>
              <w:br w:type="textWrapping"/>
            </w:r>
            <w:r>
              <w:rPr>
                <w:rFonts w:ascii="仿宋" w:hAnsi="仿宋" w:eastAsia="仿宋" w:cs="仿宋"/>
                <w:color w:val="666666"/>
                <w:lang w:val="en" w:eastAsia="en"/>
              </w:rPr>
              <w:t>2、参与本项目投标前三年内，在经营活动中没有重大违法记录（由供应商在《龙华区教育局自行采购投标及履约承诺函》中作出声明）。：</w:t>
            </w:r>
            <w:r>
              <w:rPr>
                <w:rFonts w:ascii="仿宋" w:hAnsi="仿宋" w:eastAsia="仿宋" w:cs="仿宋"/>
                <w:color w:val="666666"/>
                <w:lang w:val="en" w:eastAsia="en"/>
              </w:rPr>
              <w:br w:type="textWrapping"/>
            </w:r>
            <w:r>
              <w:rPr>
                <w:rFonts w:ascii="仿宋" w:hAnsi="仿宋" w:eastAsia="仿宋" w:cs="仿宋"/>
                <w:color w:val="666666"/>
                <w:lang w:val="en" w:eastAsia="en"/>
              </w:rPr>
              <w:t>2、参与本项目投标前三年内，在经营活动中没有重大违法记录（由供应商在《龙华区教育局自行采购投标及履约承诺函》中作出声明）。</w:t>
            </w:r>
            <w:r>
              <w:rPr>
                <w:rFonts w:ascii="仿宋" w:hAnsi="仿宋" w:eastAsia="仿宋" w:cs="仿宋"/>
                <w:color w:val="666666"/>
                <w:lang w:val="en" w:eastAsia="en"/>
              </w:rPr>
              <w:br w:type="textWrapping"/>
            </w:r>
            <w:r>
              <w:rPr>
                <w:rFonts w:ascii="仿宋" w:hAnsi="仿宋" w:eastAsia="仿宋" w:cs="仿宋"/>
                <w:color w:val="666666"/>
                <w:lang w:val="en" w:eastAsia="en"/>
              </w:rPr>
              <w:t>3、参与本项目政府采购活动时不存在被有关部门禁止参与政府采购活动且在有效期内的情况（由供应商在《龙华区教育局自行采购投标及履约承诺函》中作出声明）。：</w:t>
            </w:r>
            <w:r>
              <w:rPr>
                <w:rFonts w:ascii="仿宋" w:hAnsi="仿宋" w:eastAsia="仿宋" w:cs="仿宋"/>
                <w:color w:val="666666"/>
                <w:lang w:val="en" w:eastAsia="en"/>
              </w:rPr>
              <w:br w:type="textWrapping"/>
            </w:r>
            <w:r>
              <w:rPr>
                <w:rFonts w:ascii="仿宋" w:hAnsi="仿宋" w:eastAsia="仿宋" w:cs="仿宋"/>
                <w:color w:val="666666"/>
                <w:lang w:val="en" w:eastAsia="en"/>
              </w:rPr>
              <w:t>3、参与本项目政府采购活动时不存在被有关部门禁止参与政府采购活动且在有效期内的情况（由供应商在《龙华区教育局自行采购投标及履约承诺函》中作出声明）。</w:t>
            </w:r>
            <w:r>
              <w:rPr>
                <w:rFonts w:ascii="仿宋" w:hAnsi="仿宋" w:eastAsia="仿宋" w:cs="仿宋"/>
                <w:color w:val="666666"/>
                <w:lang w:val="en" w:eastAsia="en"/>
              </w:rPr>
              <w:br w:type="textWrapping"/>
            </w:r>
            <w:r>
              <w:rPr>
                <w:rFonts w:ascii="仿宋" w:hAnsi="仿宋" w:eastAsia="仿宋" w:cs="仿宋"/>
                <w:color w:val="666666"/>
                <w:lang w:val="en" w:eastAsia="en"/>
              </w:rPr>
              <w:t>4、具备《中华人民共和国政府采购法》第二十二条第一款的条件（由供应商在《龙华区教育局自行采购投标及履约承诺函》中作出声明）。：</w:t>
            </w:r>
            <w:r>
              <w:rPr>
                <w:rFonts w:ascii="仿宋" w:hAnsi="仿宋" w:eastAsia="仿宋" w:cs="仿宋"/>
                <w:color w:val="666666"/>
                <w:lang w:val="en" w:eastAsia="en"/>
              </w:rPr>
              <w:br w:type="textWrapping"/>
            </w:r>
            <w:r>
              <w:rPr>
                <w:rFonts w:ascii="仿宋" w:hAnsi="仿宋" w:eastAsia="仿宋" w:cs="仿宋"/>
                <w:color w:val="666666"/>
                <w:lang w:val="en" w:eastAsia="en"/>
              </w:rPr>
              <w:t>4、具备《中华人民共和国政府采购法》第二十二条第一款的条件（由供应商在《龙华区教育局自行采购投标及履约承诺函》中作出声明）。</w:t>
            </w:r>
            <w:r>
              <w:rPr>
                <w:rFonts w:ascii="仿宋" w:hAnsi="仿宋" w:eastAsia="仿宋" w:cs="仿宋"/>
                <w:color w:val="666666"/>
                <w:lang w:val="en" w:eastAsia="en"/>
              </w:rPr>
              <w:br w:type="textWrapping"/>
            </w:r>
            <w:r>
              <w:rPr>
                <w:rFonts w:ascii="仿宋" w:hAnsi="仿宋" w:eastAsia="仿宋" w:cs="仿宋"/>
                <w:color w:val="666666"/>
                <w:lang w:val="en" w:eastAsia="en"/>
              </w:rPr>
              <w:t>5、参与本项目政府采购活动时未被列入失信被执行人、重大税收违法失信主体、政府采购严重违法失信行为记录名单（由供应商在《龙华区教育局自行采购投标及履约承诺函》中作出承诺）。备注：信用中国”中信用服务”栏的重大税收违法失信主体”失信被执行人”中国政府采购网”中的政府采购严重违法失信行为记录名单”，深圳信用网”以及深圳市政府采购监管网”为供应商信用信息的查询渠道，相关信息以开标当日的查询结果为准。：</w:t>
            </w:r>
            <w:r>
              <w:rPr>
                <w:rFonts w:ascii="仿宋" w:hAnsi="仿宋" w:eastAsia="仿宋" w:cs="仿宋"/>
                <w:color w:val="666666"/>
                <w:lang w:val="en" w:eastAsia="en"/>
              </w:rPr>
              <w:br w:type="textWrapping"/>
            </w:r>
            <w:r>
              <w:rPr>
                <w:rFonts w:ascii="仿宋" w:hAnsi="仿宋" w:eastAsia="仿宋" w:cs="仿宋"/>
                <w:color w:val="666666"/>
                <w:lang w:val="en" w:eastAsia="en"/>
              </w:rPr>
              <w:t>5、参与本项目政府采购活动时未被列入失信被执行人、重大税收违法失信主体、政府采购严重违法失信行为记录名单（由供应商在《龙华区教育局自行采购投标及履约承诺函》中作出承诺）。备注：信用中国”中信用服务”栏的重大税收违法失信主体”失信被执行人”中国政府采购网”中的政府采购严重违法失信行为记录名单”，深圳信用网”以及深圳市政府采购监管网”为供应商信用信息的查询渠道，相关信息以开标当日的查询结果为准。</w:t>
            </w:r>
            <w:r>
              <w:rPr>
                <w:rFonts w:ascii="仿宋" w:hAnsi="仿宋" w:eastAsia="仿宋" w:cs="仿宋"/>
                <w:color w:val="666666"/>
                <w:lang w:val="en" w:eastAsia="en"/>
              </w:rPr>
              <w:br w:type="textWrapping"/>
            </w:r>
            <w:r>
              <w:rPr>
                <w:rFonts w:ascii="仿宋" w:hAnsi="仿宋" w:eastAsia="仿宋" w:cs="仿宋"/>
                <w:color w:val="666666"/>
                <w:lang w:val="en" w:eastAsia="en"/>
              </w:rPr>
              <w:t>6、投标人不存在《深圳市财政局政府采购供应商信用信息管理办法》（深财规〔2023〕3号）列明的严重违法失信行为（由供应商在《龙华区教育局自行采购投标及履约承诺函》中作出声明）。：</w:t>
            </w:r>
            <w:r>
              <w:rPr>
                <w:rFonts w:ascii="仿宋" w:hAnsi="仿宋" w:eastAsia="仿宋" w:cs="仿宋"/>
                <w:color w:val="666666"/>
                <w:lang w:val="en" w:eastAsia="en"/>
              </w:rPr>
              <w:br w:type="textWrapping"/>
            </w:r>
            <w:r>
              <w:rPr>
                <w:rFonts w:ascii="仿宋" w:hAnsi="仿宋" w:eastAsia="仿宋" w:cs="仿宋"/>
                <w:color w:val="666666"/>
                <w:lang w:val="en" w:eastAsia="en"/>
              </w:rPr>
              <w:t>6、投标人不存在《深圳市财政局政府采购供应商信用信息管理办法》（深财规〔2023〕3号）列明的严重违法失信行为（由供应商在《龙华区教育局自行采购投标及履约承诺函》中作出声明）。</w:t>
            </w:r>
            <w:r>
              <w:rPr>
                <w:rFonts w:ascii="仿宋" w:hAnsi="仿宋" w:eastAsia="仿宋" w:cs="仿宋"/>
                <w:color w:val="666666"/>
                <w:lang w:val="en" w:eastAsia="en"/>
              </w:rPr>
              <w:br w:type="textWrapping"/>
            </w:r>
            <w:r>
              <w:rPr>
                <w:rFonts w:ascii="仿宋" w:hAnsi="仿宋" w:eastAsia="仿宋" w:cs="仿宋"/>
                <w:color w:val="666666"/>
                <w:lang w:val="en" w:eastAsia="en"/>
              </w:rPr>
              <w:t>7、为采购项目提供整体设计、规范编制或者项目管理、监理、检测等服务的供应商，不得再参加该采购项目同一合同项下的其他采购活动。（由供应商在《龙华区教育局自行采购投标及履约承诺函》中作出承诺）。：</w:t>
            </w:r>
            <w:r>
              <w:rPr>
                <w:rFonts w:ascii="仿宋" w:hAnsi="仿宋" w:eastAsia="仿宋" w:cs="仿宋"/>
                <w:color w:val="666666"/>
                <w:lang w:val="en" w:eastAsia="en"/>
              </w:rPr>
              <w:br w:type="textWrapping"/>
            </w:r>
            <w:r>
              <w:rPr>
                <w:rFonts w:ascii="仿宋" w:hAnsi="仿宋" w:eastAsia="仿宋" w:cs="仿宋"/>
                <w:color w:val="666666"/>
                <w:lang w:val="en" w:eastAsia="en"/>
              </w:rPr>
              <w:t>7、为采购项目提供整体设计、规范编制或者项目管理、监理、检测等服务的供应商，不得再参加该采购项目同一合同项下的其他采购活动。（由供应商在《龙华区教育局自行采购投标及履约承诺函》中作出承诺）。</w:t>
            </w:r>
            <w:r>
              <w:rPr>
                <w:rFonts w:ascii="仿宋" w:hAnsi="仿宋" w:eastAsia="仿宋" w:cs="仿宋"/>
                <w:color w:val="666666"/>
                <w:lang w:val="en" w:eastAsia="en"/>
              </w:rPr>
              <w:br w:type="textWrapping"/>
            </w:r>
            <w:r>
              <w:rPr>
                <w:rFonts w:ascii="仿宋" w:hAnsi="仿宋" w:eastAsia="仿宋" w:cs="仿宋"/>
                <w:color w:val="666666"/>
                <w:lang w:val="en" w:eastAsia="en"/>
              </w:rPr>
              <w:t>8、单位负责人为同一人或者存在直接控股、管理关系的不同供应商，不得参加同一合同项下的政府采购活动。（由供应商在《龙华区教育局自行采购投标及履约承诺函》中作出承诺）。：</w:t>
            </w:r>
            <w:r>
              <w:rPr>
                <w:rFonts w:ascii="仿宋" w:hAnsi="仿宋" w:eastAsia="仿宋" w:cs="仿宋"/>
                <w:color w:val="666666"/>
                <w:lang w:val="en" w:eastAsia="en"/>
              </w:rPr>
              <w:br w:type="textWrapping"/>
            </w:r>
            <w:r>
              <w:rPr>
                <w:rFonts w:ascii="仿宋" w:hAnsi="仿宋" w:eastAsia="仿宋" w:cs="仿宋"/>
                <w:color w:val="666666"/>
                <w:lang w:val="en" w:eastAsia="en"/>
              </w:rPr>
              <w:t>8、单位负责人为同一人或者存在直接控股、管理关系的不同供应商，不得参加同一合同项下的政府采购活动。（由供应商在《龙华区教育局自行采购投标及履约承诺函》中作出承诺）。</w:t>
            </w:r>
            <w:r>
              <w:rPr>
                <w:rFonts w:ascii="仿宋" w:hAnsi="仿宋" w:eastAsia="仿宋" w:cs="仿宋"/>
                <w:color w:val="666666"/>
                <w:lang w:val="en" w:eastAsia="en"/>
              </w:rPr>
              <w:br w:type="textWrapping"/>
            </w:r>
            <w:r>
              <w:rPr>
                <w:rFonts w:ascii="仿宋" w:hAnsi="仿宋" w:eastAsia="仿宋" w:cs="仿宋"/>
                <w:color w:val="666666"/>
                <w:lang w:val="en" w:eastAsia="en"/>
              </w:rPr>
              <w:t>9、本项目不属于专门面向中小微企业采购项目。：</w:t>
            </w:r>
            <w:r>
              <w:rPr>
                <w:rFonts w:ascii="仿宋" w:hAnsi="仿宋" w:eastAsia="仿宋" w:cs="仿宋"/>
                <w:color w:val="666666"/>
                <w:lang w:val="en" w:eastAsia="en"/>
              </w:rPr>
              <w:br w:type="textWrapping"/>
            </w:r>
            <w:r>
              <w:rPr>
                <w:rFonts w:ascii="仿宋" w:hAnsi="仿宋" w:eastAsia="仿宋" w:cs="仿宋"/>
                <w:color w:val="666666"/>
                <w:lang w:val="en" w:eastAsia="en"/>
              </w:rPr>
              <w:t>9、本项目不属于专门面向中小微企业采购项目。</w:t>
            </w:r>
            <w:r>
              <w:rPr>
                <w:rFonts w:ascii="仿宋" w:hAnsi="仿宋" w:eastAsia="仿宋" w:cs="仿宋"/>
                <w:color w:val="666666"/>
                <w:lang w:val="en" w:eastAsia="en"/>
              </w:rPr>
              <w:br w:type="textWrapping"/>
            </w:r>
            <w:r>
              <w:rPr>
                <w:rFonts w:ascii="仿宋" w:hAnsi="仿宋" w:eastAsia="仿宋" w:cs="仿宋"/>
                <w:color w:val="666666"/>
                <w:lang w:val="en" w:eastAsia="en"/>
              </w:rPr>
              <w:t>10、本项目不接受联合体投标，不接受进口产品参与投标，不允许转包、分包。（由供应商在《龙华区教育局自行采购投标及履约承诺函》中作出承诺）。：</w:t>
            </w:r>
            <w:r>
              <w:rPr>
                <w:rFonts w:ascii="仿宋" w:hAnsi="仿宋" w:eastAsia="仿宋" w:cs="仿宋"/>
                <w:color w:val="666666"/>
                <w:lang w:val="en" w:eastAsia="en"/>
              </w:rPr>
              <w:br w:type="textWrapping"/>
            </w:r>
            <w:r>
              <w:rPr>
                <w:rFonts w:ascii="仿宋" w:hAnsi="仿宋" w:eastAsia="仿宋" w:cs="仿宋"/>
                <w:color w:val="666666"/>
                <w:lang w:val="en" w:eastAsia="en"/>
              </w:rPr>
              <w:t>10、本项目不接受联合体投标，不接受进口产品参与投标，不允许转包、分包。（由供应商在《龙华区教育局自行采购投标及履约承诺函》中作出承诺）。</w:t>
            </w:r>
            <w:r>
              <w:rPr>
                <w:rFonts w:ascii="仿宋" w:hAnsi="仿宋" w:eastAsia="仿宋" w:cs="仿宋"/>
                <w:color w:val="666666"/>
                <w:lang w:val="en" w:eastAsia="en"/>
              </w:rPr>
              <w:br w:type="textWrapping"/>
            </w:r>
            <w:r>
              <w:rPr>
                <w:rFonts w:ascii="仿宋" w:hAnsi="仿宋" w:eastAsia="仿宋" w:cs="仿宋"/>
                <w:color w:val="666666"/>
                <w:lang w:val="en" w:eastAsia="en"/>
              </w:rPr>
              <w:t>11、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r>
              <w:rPr>
                <w:rFonts w:ascii="仿宋" w:hAnsi="仿宋" w:eastAsia="仿宋" w:cs="仿宋"/>
                <w:color w:val="666666"/>
                <w:lang w:val="en" w:eastAsia="en"/>
              </w:rPr>
              <w:br w:type="textWrapping"/>
            </w:r>
            <w:r>
              <w:rPr>
                <w:rFonts w:ascii="仿宋" w:hAnsi="仿宋" w:eastAsia="仿宋" w:cs="仿宋"/>
                <w:color w:val="666666"/>
                <w:lang w:val="en" w:eastAsia="en"/>
              </w:rPr>
              <w:t>11、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tc>
      </w:tr>
    </w:tbl>
    <w:p w14:paraId="5A084796">
      <w:pPr>
        <w:pBdr>
          <w:top w:val="none" w:color="auto" w:sz="0" w:space="0"/>
          <w:left w:val="none" w:color="auto" w:sz="0" w:space="0"/>
          <w:bottom w:val="none" w:color="auto" w:sz="0" w:space="0"/>
          <w:right w:val="none" w:color="auto" w:sz="0" w:space="0"/>
        </w:pBdr>
        <w:spacing w:line="240" w:lineRule="atLeast"/>
        <w:ind w:left="15" w:right="15"/>
        <w:rPr>
          <w:rFonts w:ascii="仿宋" w:hAnsi="仿宋" w:eastAsia="仿宋" w:cs="仿宋"/>
          <w:b/>
          <w:bCs/>
          <w:color w:val="000000"/>
          <w:lang w:val="en" w:eastAsia="en"/>
        </w:rPr>
      </w:pPr>
      <w:r>
        <w:rPr>
          <w:rFonts w:ascii="仿宋" w:hAnsi="仿宋" w:eastAsia="仿宋" w:cs="仿宋"/>
          <w:b/>
          <w:bCs/>
          <w:color w:val="000000"/>
          <w:lang w:val="en" w:eastAsia="en"/>
        </w:rPr>
        <w:t>4.2 初步评审</w:t>
      </w:r>
      <w:r>
        <w:rPr>
          <w:rFonts w:ascii="仿宋" w:hAnsi="仿宋" w:eastAsia="仿宋" w:cs="仿宋"/>
          <w:b/>
          <w:bCs/>
          <w:color w:val="000000"/>
          <w:lang w:val="en" w:eastAsia="en"/>
        </w:rPr>
        <w:br w:type="textWrapping"/>
      </w:r>
      <w:r>
        <w:rPr>
          <w:rFonts w:ascii="仿宋" w:hAnsi="仿宋" w:eastAsia="仿宋" w:cs="仿宋"/>
          <w:color w:val="333333"/>
          <w:lang w:val="en" w:eastAsia="en"/>
        </w:rPr>
        <w:t>汇总规则：</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按分项自动汇总并发起否决投标</w:t>
      </w:r>
      <w:r>
        <w:rPr>
          <w:rFonts w:ascii="微软雅黑" w:hAnsi="微软雅黑" w:eastAsia="微软雅黑" w:cs="微软雅黑"/>
          <w:color w:val="333333"/>
          <w:lang w:val="en" w:eastAsia="en"/>
        </w:rPr>
        <w:t xml:space="preserve"> </w:t>
      </w:r>
    </w:p>
    <w:tbl>
      <w:tblPr>
        <w:tblStyle w:val="24"/>
        <w:tblW w:w="5000" w:type="pct"/>
        <w:tblInd w:w="15"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0" w:type="dxa"/>
          <w:left w:w="0" w:type="dxa"/>
          <w:bottom w:w="0" w:type="dxa"/>
          <w:right w:w="0" w:type="dxa"/>
        </w:tblCellMar>
      </w:tblPr>
      <w:tblGrid>
        <w:gridCol w:w="1612"/>
        <w:gridCol w:w="3762"/>
        <w:gridCol w:w="3762"/>
      </w:tblGrid>
      <w:tr w14:paraId="44752867">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blHeader/>
        </w:trPr>
        <w:tc>
          <w:tcPr>
            <w:tcW w:w="75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3CA404CD">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序号</w:t>
            </w:r>
          </w:p>
        </w:tc>
        <w:tc>
          <w:tcPr>
            <w:tcW w:w="175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4022ACFC">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评审要素</w:t>
            </w:r>
          </w:p>
        </w:tc>
        <w:tc>
          <w:tcPr>
            <w:tcW w:w="175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2ACA7530">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评审标准</w:t>
            </w:r>
          </w:p>
        </w:tc>
      </w:tr>
      <w:tr w14:paraId="0A2DCE33">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B58CC8C">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5865705">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不得将一个包的内容拆开投标；</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A79E424">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不得将一个包的内容拆开投标；</w:t>
            </w:r>
          </w:p>
        </w:tc>
      </w:tr>
      <w:tr w14:paraId="12E31F9F">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E815DEC">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2</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080AF21">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对同一项目投标时，不得提供两套以上的投标方案（招标文件另有规定的除外）；</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9ACDD47">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对同一项目投标时，不得提供两套以上的投标方案（招标文件另有规定的除外）；</w:t>
            </w:r>
          </w:p>
        </w:tc>
      </w:tr>
      <w:tr w14:paraId="5EE35443">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CBA5D29">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3</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1E56891">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分项报价或投标总价不得高于相应预算金额（或设定的预算金额下的最高限价）；</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ECA7DCD">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分项报价或投标总价不得高于相应预算金额（或设定的预算金额下的最高限价）；</w:t>
            </w:r>
          </w:p>
        </w:tc>
      </w:tr>
      <w:tr w14:paraId="79A1D259">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EE2BDD8">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4</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81B895F">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F014B67">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78309D59">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9834984">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5</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0123C37">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5415D85">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14:paraId="76801806">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29E661A">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6</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F77062F">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未按招标文件所提供的样式填写《投标函》、《股东构成审查表》；未按招标文件所提供的《龙华区教育局自行采购投标及履约承诺函》进行承诺；未按招标文件对投标文件组成的要求提供投标文件；</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1FE0088">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未按招标文件所提供的样式填写《投标函》、《股东构成审查表》；未按招标文件所提供的《龙华区教育局自行采购投标及履约承诺函》进行承诺；未按招标文件对投标文件组成的要求提供投标文件；</w:t>
            </w:r>
          </w:p>
        </w:tc>
      </w:tr>
      <w:tr w14:paraId="62658FFB">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1589F79">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7</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B434E10">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采购标的所投产品货物清单报价等任意一类有缺漏项或响应不全，或者对招标文件规定的项目需求内容或者需求数量进行修改，评审委员会判定投标响应不满足采购需求</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0466BB0">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采购标的所投产品货物清单报价等任意一类有缺漏项或响应不全，或者对招标文件规定的项目需求内容或者需求数量进行修改，评审委员会判定投标响应不满足采购需求</w:t>
            </w:r>
          </w:p>
        </w:tc>
      </w:tr>
      <w:tr w14:paraId="3B4E4525">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1D59A10">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8</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747031A">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投标文件电子文档不得带病毒；</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D5BAA5E">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投标文件电子文档不得带病毒；</w:t>
            </w:r>
          </w:p>
        </w:tc>
      </w:tr>
      <w:tr w14:paraId="130ADCA9">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22BB3A6">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9</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B1C6737">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投标文件用不属于本公司的电子密钥进行加密的；</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1041B9D">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投标文件用不属于本公司的电子密钥进行加密的；</w:t>
            </w:r>
          </w:p>
        </w:tc>
      </w:tr>
      <w:tr w14:paraId="23BF1F94">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00B0B1B">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75EE933">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不同投标供应商投标文件“文件制作机器码”一致；</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1157978">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不同投标供应商投标文件“文件制作机器码”一致；</w:t>
            </w:r>
          </w:p>
        </w:tc>
      </w:tr>
      <w:tr w14:paraId="5432B67A">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01B214C">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11A0542">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不同投标供应商投标文件“文件创建标识码”一致；</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9B1DEE1">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不同投标供应商投标文件“文件创建标识码”一致；</w:t>
            </w:r>
          </w:p>
        </w:tc>
      </w:tr>
      <w:tr w14:paraId="041EBCD2">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54D0544">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12</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3A6283D">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法律、法规、规章、规范性文件规定的其他情形。</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9F54126">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法律、法规、规章、规范性文件规定的其他情形。</w:t>
            </w:r>
          </w:p>
        </w:tc>
      </w:tr>
    </w:tbl>
    <w:p w14:paraId="3E03BA16">
      <w:pPr>
        <w:pBdr>
          <w:top w:val="none" w:color="auto" w:sz="0" w:space="0"/>
          <w:left w:val="none" w:color="auto" w:sz="0" w:space="0"/>
          <w:bottom w:val="none" w:color="auto" w:sz="0" w:space="0"/>
          <w:right w:val="none" w:color="auto" w:sz="0" w:space="0"/>
        </w:pBdr>
        <w:spacing w:line="240" w:lineRule="atLeast"/>
        <w:ind w:left="15" w:right="15"/>
        <w:rPr>
          <w:rFonts w:ascii="仿宋" w:hAnsi="仿宋" w:eastAsia="仿宋" w:cs="仿宋"/>
          <w:b/>
          <w:bCs/>
          <w:color w:val="000000"/>
          <w:lang w:val="en" w:eastAsia="en"/>
        </w:rPr>
      </w:pPr>
      <w:r>
        <w:rPr>
          <w:rFonts w:ascii="仿宋" w:hAnsi="仿宋" w:eastAsia="仿宋" w:cs="仿宋"/>
          <w:b/>
          <w:bCs/>
          <w:color w:val="000000"/>
          <w:lang w:val="en" w:eastAsia="en"/>
        </w:rPr>
        <w:t>4.3 详细评审</w:t>
      </w:r>
      <w:r>
        <w:rPr>
          <w:rFonts w:ascii="仿宋" w:hAnsi="仿宋" w:eastAsia="仿宋" w:cs="仿宋"/>
          <w:b/>
          <w:bCs/>
          <w:color w:val="000000"/>
          <w:lang w:val="en" w:eastAsia="en"/>
        </w:rPr>
        <w:br w:type="textWrapping"/>
      </w:r>
      <w:r>
        <w:rPr>
          <w:rFonts w:ascii="仿宋" w:hAnsi="仿宋" w:eastAsia="仿宋" w:cs="仿宋"/>
          <w:color w:val="333333"/>
          <w:lang w:val="en" w:eastAsia="en"/>
        </w:rPr>
        <w:t>汇总规则：</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按评委打分直接平均</w:t>
      </w:r>
      <w:r>
        <w:rPr>
          <w:rFonts w:ascii="微软雅黑" w:hAnsi="微软雅黑" w:eastAsia="微软雅黑" w:cs="微软雅黑"/>
          <w:color w:val="333333"/>
          <w:lang w:val="en" w:eastAsia="en"/>
        </w:rPr>
        <w:t xml:space="preserve"> </w:t>
      </w:r>
    </w:p>
    <w:tbl>
      <w:tblPr>
        <w:tblStyle w:val="24"/>
        <w:tblW w:w="5000" w:type="pct"/>
        <w:tblInd w:w="15"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0" w:type="dxa"/>
          <w:left w:w="0" w:type="dxa"/>
          <w:bottom w:w="0" w:type="dxa"/>
          <w:right w:w="0" w:type="dxa"/>
        </w:tblCellMar>
      </w:tblPr>
      <w:tblGrid>
        <w:gridCol w:w="913"/>
        <w:gridCol w:w="3289"/>
        <w:gridCol w:w="3289"/>
        <w:gridCol w:w="914"/>
        <w:gridCol w:w="731"/>
      </w:tblGrid>
      <w:tr w14:paraId="050EED9E">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blHeader/>
        </w:trPr>
        <w:tc>
          <w:tcPr>
            <w:tcW w:w="4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7CD03F0E">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序号</w:t>
            </w:r>
          </w:p>
        </w:tc>
        <w:tc>
          <w:tcPr>
            <w:tcW w:w="18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19E6AA5B">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评审要素</w:t>
            </w:r>
          </w:p>
        </w:tc>
        <w:tc>
          <w:tcPr>
            <w:tcW w:w="18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24D6E946">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评审标准</w:t>
            </w:r>
          </w:p>
        </w:tc>
        <w:tc>
          <w:tcPr>
            <w:tcW w:w="5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475AB5B5">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分值</w:t>
            </w:r>
          </w:p>
        </w:tc>
        <w:tc>
          <w:tcPr>
            <w:tcW w:w="5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0667ADB1">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权重</w:t>
            </w:r>
          </w:p>
        </w:tc>
      </w:tr>
      <w:tr w14:paraId="4CB03EA8">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1A067DC">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EA8F468">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技术部分</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EA9F68B">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173B391C">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2ACA35D2">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p>
        </w:tc>
      </w:tr>
      <w:tr w14:paraId="1BC1DADE">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E55619F">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2</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7FEBF5D">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技术保障措施</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7B2AC29">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1.评审内容： 在投标文件中详细说明技术保障措施包括： （1）技术团队情况 （2）技术保障方案 （3）工期保证 （4）项目履约进度计划 2.评分标准 1）以上内容，每提供任意1项得5分，本项最高得20分。 2）在此基础上，根据施工方案详细程度、具体程度、与项目要求的符合性进行评分，本项最高加2分。 （1）投标文件响应内容详细； （2）投标文件响应内容具体； （3）投标文件响应内容符合项目要求； 满足以上三项要求的评价为优，加80分。 满足以上二项要求的评价为良，加50分。 满足以上一项要求的评价为中，加20分。 其它情况的评价为差，不加分。 本项累计最高得100分，未按要求提供或提供不清晰导致评审无法判别的不得分。</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2999F00F">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0BDB41D8">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w:t>
            </w:r>
          </w:p>
        </w:tc>
      </w:tr>
      <w:tr w14:paraId="48B66D9F">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623DCF1">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3</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919D2B0">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一般技术规格偏离情况</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6875D00">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评审小组根据《技术规格偏离表》（以下简称“偏离表”）响应情况进行打分，全部满足的得100分，一般参数负偏离一项扣1.89分，扣完为止。 偏离表应如实对应填写所投产品的具体参数。如要求提供“厂家网站截图说明书厂家出具的参数文件检验报告”等证明资料的，需按要求提供相关证明资料；提供的证明资料与所填写内容不一致的，以证明资料为准，原件备查。</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61CF02C5">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502A18FB">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27</w:t>
            </w:r>
          </w:p>
        </w:tc>
      </w:tr>
      <w:tr w14:paraId="62E15F5C">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CB1FCCE">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4</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5DD8954">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重要技术规格偏离情况</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A3B2DA0">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评审小组根据《技术规格偏离表》（以下简称“偏离表”）响应情况进行打分，全部满足的得100分，重点技术参数▲项负偏离一项扣14.5分，扣完为止。 偏离表应如实对应填写所投产品的具体参数。如要求提供“厂家网站截图说明书厂家出具的参数文件检验报告”等证明资料的，需按要求提供相关证明资料；提供的证明资料与所填写内容不一致的，以证明资料为准，原件备查。</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1C31CB6D">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7ED7A211">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14</w:t>
            </w:r>
          </w:p>
        </w:tc>
      </w:tr>
      <w:tr w14:paraId="739BD61C">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EBBB2FF">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5</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55A9575">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商务部分</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D01BC4A">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55691901">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748EE16E">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p>
        </w:tc>
      </w:tr>
      <w:tr w14:paraId="63BC20E3">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647884A">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6</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1FF91D5">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商务条款偏离情况</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66A5410">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投标人应如实填写《商务条款偏离情况》，评审小组根据响应情况进行打分，除带“★”号实质性条款外，全部满足要求的得100分，每负偏离一项扣7.7分，扣完为止。</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72A5FB78">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5574229A">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3</w:t>
            </w:r>
          </w:p>
        </w:tc>
      </w:tr>
      <w:tr w14:paraId="3EA07737">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CF82F56">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7</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4EE1CDF">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同类项目业绩</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9CFB0F6">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2022年1月1日至本项目投标截止之日（以合同签订日期为准），具有政府单位或事业单位监控类或网络类或信息化类项目经验,每提供1个得50分，最高得100分。 （提供合同关键页（含签订合同双方的单位名称、合同项目名称、含签订合同双方的落款盖章、签订日期）及验收报告扫描件，原件备查。未提供或提供的不符合或提供不清晰导致无法判断的均不得分）</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6552E3DD">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7F187A2F">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2</w:t>
            </w:r>
          </w:p>
        </w:tc>
      </w:tr>
      <w:tr w14:paraId="691F32D1">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0C540C7">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8</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F2E3038">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投标人资质证书</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0640BB0">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（一）评分内容： 1、投标人具有质量管理体系认证证书、环境管理体系认证证书、职业健康安全管理体系认证证书，且以上证书认证范围均需包含计算机系统集成和电教设备的维护的，得30分； 2、投标人具有售后服务认证证书，且证书认证范围均需包含计算机系统集成、电教设备的维护所涉及的售后服务的，得20分； 3、投标人具有履约能力评价服务认证证书，且证书认证范围均需包含计算机系统集成和电教设备的维护的，得20分； 4、投标人具有信息系统服务交付能力等级证书（四级）或以上，且证书认证范围均需包含信息系统集成实施和运行维护服务的，得30分。 以上1-4项累计得分，最高得100分。 （二）评分依据： 提供有效期内的认证证书扫描件（如证书标明需年度审核的，需有已年审标志）及在全国认证认可信息公共服务平台（认e云）（网址：httpcx.cnca.cnCertECloudindexindexpage）网站查询有效的截图并加盖投标人公章，原件备查。 上述证书如因投标人为新成立企业且成立时间不足三个月而未能获得的，提供相关情况说明（格式自拟），可获得对应证书得分。评分中出现无证明资料或专家无法凭所提供资料判断是否得分的情况，一律作不得分处理。</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1E7233A0">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2FE08EE4">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9</w:t>
            </w:r>
          </w:p>
        </w:tc>
      </w:tr>
      <w:tr w14:paraId="30E1308B">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9076F98">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9</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AA0C07B">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诚信承诺函</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3A9ABBE">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投标人承诺在参与自行采购活动中未出现诚信或安全相关问题且不在相关主管部门处理措施实施期限内的本项得100分，否则不得分。 评分依据： 投标人须提供的《诚信承诺函》，按采购文件格式要求提供，不提供或提供的不符合要求或提供不清晰导致专家无法判断的均不得分。如被认定提供的陈述与事实不符受到行政处罚的，依法追究其责任。</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10C0A045">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2B25D272">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5</w:t>
            </w:r>
          </w:p>
        </w:tc>
      </w:tr>
    </w:tbl>
    <w:p w14:paraId="1FDAD490">
      <w:pPr>
        <w:keepLines/>
        <w:pBdr>
          <w:top w:val="none" w:color="auto" w:sz="0" w:space="0"/>
          <w:left w:val="none" w:color="auto" w:sz="0" w:space="0"/>
          <w:bottom w:val="none" w:color="auto" w:sz="0" w:space="0"/>
          <w:right w:val="none" w:color="auto" w:sz="0" w:space="0"/>
        </w:pBdr>
        <w:spacing w:before="0" w:line="432" w:lineRule="atLeast"/>
        <w:ind w:left="15" w:right="15"/>
        <w:rPr>
          <w:rFonts w:ascii="微软雅黑" w:hAnsi="微软雅黑" w:eastAsia="微软雅黑" w:cs="微软雅黑"/>
          <w:color w:val="333333"/>
          <w:lang w:val="en" w:eastAsia="en"/>
        </w:rPr>
      </w:pPr>
      <w:r>
        <w:rPr>
          <w:rFonts w:ascii="仿宋" w:hAnsi="仿宋" w:eastAsia="仿宋" w:cs="仿宋"/>
          <w:b/>
          <w:bCs/>
          <w:color w:val="000000"/>
          <w:lang w:val="en" w:eastAsia="en"/>
        </w:rPr>
        <w:t>4.5 价格评审</w:t>
      </w:r>
      <w:r>
        <w:rPr>
          <w:rFonts w:ascii="微软雅黑" w:hAnsi="微软雅黑" w:eastAsia="微软雅黑" w:cs="微软雅黑"/>
          <w:color w:val="333333"/>
          <w:lang w:val="en" w:eastAsia="en"/>
        </w:rPr>
        <w:t xml:space="preserve"> </w:t>
      </w:r>
    </w:p>
    <w:p w14:paraId="7CCAB19A">
      <w:pPr>
        <w:keepLines/>
        <w:pBdr>
          <w:top w:val="none" w:color="auto" w:sz="0" w:space="0"/>
          <w:left w:val="none" w:color="auto" w:sz="0" w:space="0"/>
          <w:bottom w:val="none" w:color="auto" w:sz="0" w:space="0"/>
          <w:right w:val="none" w:color="auto" w:sz="0" w:space="0"/>
        </w:pBdr>
        <w:spacing w:before="0" w:after="0" w:line="432" w:lineRule="atLeast"/>
        <w:ind w:left="15" w:right="15"/>
        <w:rPr>
          <w:rFonts w:ascii="微软雅黑" w:hAnsi="微软雅黑" w:eastAsia="微软雅黑" w:cs="微软雅黑"/>
          <w:color w:val="333333"/>
          <w:lang w:val="en" w:eastAsia="en"/>
        </w:rPr>
      </w:pPr>
      <w:r>
        <w:rPr>
          <w:rFonts w:ascii="仿宋" w:hAnsi="仿宋" w:eastAsia="仿宋" w:cs="仿宋"/>
          <w:color w:val="333333"/>
          <w:lang w:val="en" w:eastAsia="en"/>
        </w:rPr>
        <w:t>4.5.1 投标总价</w:t>
      </w:r>
      <w:r>
        <w:rPr>
          <w:rFonts w:ascii="仿宋" w:hAnsi="仿宋" w:eastAsia="仿宋" w:cs="仿宋"/>
          <w:color w:val="333333"/>
          <w:lang w:val="en" w:eastAsia="en"/>
        </w:rPr>
        <w:br w:type="textWrapping"/>
      </w:r>
      <w:r>
        <w:rPr>
          <w:rFonts w:ascii="仿宋" w:hAnsi="仿宋" w:eastAsia="仿宋" w:cs="仿宋"/>
          <w:color w:val="333333"/>
          <w:lang w:val="en" w:eastAsia="en"/>
        </w:rPr>
        <w:t>价格得分满分：</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30</w:t>
      </w:r>
      <w:r>
        <w:rPr>
          <w:rFonts w:ascii="仿宋" w:hAnsi="仿宋" w:eastAsia="仿宋" w:cs="仿宋"/>
          <w:color w:val="333333"/>
          <w:lang w:val="en" w:eastAsia="en"/>
        </w:rPr>
        <w:br w:type="textWrapping"/>
      </w:r>
      <w:r>
        <w:rPr>
          <w:rFonts w:ascii="仿宋" w:hAnsi="仿宋" w:eastAsia="仿宋" w:cs="仿宋"/>
          <w:color w:val="333333"/>
          <w:lang w:val="en" w:eastAsia="en"/>
        </w:rPr>
        <w:t>报价打分方式：</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自动算分（内插法）</w:t>
      </w:r>
      <w:r>
        <w:rPr>
          <w:rFonts w:ascii="仿宋" w:hAnsi="仿宋" w:eastAsia="仿宋" w:cs="仿宋"/>
          <w:color w:val="333333"/>
          <w:lang w:val="en" w:eastAsia="en"/>
        </w:rPr>
        <w:br w:type="textWrapping"/>
      </w:r>
      <w:r>
        <w:rPr>
          <w:rFonts w:ascii="仿宋" w:hAnsi="仿宋" w:eastAsia="仿宋" w:cs="仿宋"/>
          <w:color w:val="333333"/>
          <w:lang w:val="en" w:eastAsia="en"/>
        </w:rPr>
        <w:t>参与基准价计算范围的计算公式：全部投标报价</w:t>
      </w:r>
      <w:r>
        <w:rPr>
          <w:rFonts w:ascii="仿宋" w:hAnsi="仿宋" w:eastAsia="仿宋" w:cs="仿宋"/>
          <w:color w:val="333333"/>
          <w:lang w:val="en" w:eastAsia="en"/>
        </w:rPr>
        <w:br w:type="textWrapping"/>
      </w:r>
      <w:r>
        <w:rPr>
          <w:rFonts w:ascii="仿宋" w:hAnsi="仿宋" w:eastAsia="仿宋" w:cs="仿宋"/>
          <w:color w:val="333333"/>
          <w:lang w:val="en" w:eastAsia="en"/>
        </w:rPr>
        <w:t>评标价计算公式：评标价=投标函中的投标报价*价格扣除（上浮）比例：中小微企业（或监狱企业或残疾人福利性单位）价格扣除比例：10%；中小微联合体（协议合同金额占到联合体协议合同总金额30%以上）价格扣除比例：0%；失信供应商价格上浮比例：0%。</w:t>
      </w:r>
      <w:r>
        <w:rPr>
          <w:rFonts w:ascii="仿宋" w:hAnsi="仿宋" w:eastAsia="仿宋" w:cs="仿宋"/>
          <w:color w:val="333333"/>
          <w:lang w:val="en" w:eastAsia="en"/>
        </w:rPr>
        <w:br w:type="textWrapping"/>
      </w:r>
      <w:r>
        <w:rPr>
          <w:rFonts w:ascii="仿宋" w:hAnsi="仿宋" w:eastAsia="仿宋" w:cs="仿宋"/>
          <w:color w:val="333333"/>
          <w:lang w:val="en" w:eastAsia="en"/>
        </w:rPr>
        <w:t>基准价计算公式：基准价=最低评标价</w:t>
      </w:r>
      <w:r>
        <w:rPr>
          <w:rFonts w:ascii="仿宋" w:hAnsi="仿宋" w:eastAsia="仿宋" w:cs="仿宋"/>
          <w:color w:val="333333"/>
          <w:lang w:val="en" w:eastAsia="en"/>
        </w:rPr>
        <w:br w:type="textWrapping"/>
      </w:r>
      <w:r>
        <w:rPr>
          <w:rFonts w:ascii="仿宋" w:hAnsi="仿宋" w:eastAsia="仿宋" w:cs="仿宋"/>
          <w:color w:val="333333"/>
          <w:lang w:val="en" w:eastAsia="en"/>
        </w:rPr>
        <w:t>报价打分计算公式：得分=（基准价/评标价）*总分</w:t>
      </w:r>
    </w:p>
    <w:sectPr>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CC"/>
    <w:family w:val="swiss"/>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3295E1">
    <w:pPr>
      <w:pStyle w:val="5"/>
      <w:jc w:val="center"/>
    </w:pPr>
  </w:p>
  <w:p w14:paraId="79C4DBEB">
    <w:pPr>
      <w:pStyle w:val="5"/>
      <w:spacing w:after="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4EBE3D">
    <w:pPr>
      <w:pStyle w:val="6"/>
      <w:spacing w:after="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09221C"/>
    <w:multiLevelType w:val="singleLevel"/>
    <w:tmpl w:val="B609221C"/>
    <w:lvl w:ilvl="0" w:tentative="0">
      <w:start w:val="1"/>
      <w:numFmt w:val="decimal"/>
      <w:suff w:val="nothing"/>
      <w:lvlText w:val="%1、"/>
      <w:lvlJc w:val="left"/>
    </w:lvl>
  </w:abstractNum>
  <w:abstractNum w:abstractNumId="1">
    <w:nsid w:val="B9358C2E"/>
    <w:multiLevelType w:val="singleLevel"/>
    <w:tmpl w:val="B9358C2E"/>
    <w:lvl w:ilvl="0" w:tentative="0">
      <w:start w:val="2"/>
      <w:numFmt w:val="decimal"/>
      <w:suff w:val="nothing"/>
      <w:lvlText w:val="%1、"/>
      <w:lvlJc w:val="left"/>
    </w:lvl>
  </w:abstractNum>
  <w:abstractNum w:abstractNumId="2">
    <w:nsid w:val="721CBBE0"/>
    <w:multiLevelType w:val="singleLevel"/>
    <w:tmpl w:val="721CBBE0"/>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noPunctuationKerning w:val="1"/>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77B3E"/>
    <w:rsid w:val="00A77B3E"/>
    <w:rsid w:val="00CA2A55"/>
    <w:rsid w:val="2DF567BC"/>
    <w:rsid w:val="654567A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paragraph" w:styleId="2">
    <w:name w:val="heading 3"/>
    <w:basedOn w:val="3"/>
    <w:next w:val="1"/>
    <w:qFormat/>
    <w:uiPriority w:val="9"/>
    <w:pPr>
      <w:spacing w:before="260" w:after="260" w:line="240" w:lineRule="auto"/>
      <w:outlineLvl w:val="2"/>
    </w:pPr>
    <w:rPr>
      <w:rFonts w:ascii="宋体" w:hAnsi="宋体" w:eastAsia="宋体"/>
      <w:szCs w:val="32"/>
    </w:rPr>
  </w:style>
  <w:style w:type="paragraph" w:styleId="3">
    <w:name w:val="heading 4"/>
    <w:basedOn w:val="1"/>
    <w:next w:val="1"/>
    <w:qFormat/>
    <w:uiPriority w:val="9"/>
    <w:pPr>
      <w:keepNext/>
      <w:keepLines/>
      <w:spacing w:before="280" w:after="290" w:line="376" w:lineRule="auto"/>
      <w:outlineLvl w:val="3"/>
    </w:pPr>
    <w:rPr>
      <w:rFonts w:ascii="Arial" w:hAnsi="Arial" w:eastAsia="黑体"/>
      <w:b/>
      <w:bCs/>
      <w:kern w:val="2"/>
      <w:sz w:val="28"/>
      <w:szCs w:val="28"/>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Body Text"/>
    <w:basedOn w:val="1"/>
    <w:next w:val="1"/>
    <w:qFormat/>
    <w:uiPriority w:val="0"/>
    <w:pPr>
      <w:spacing w:line="360" w:lineRule="auto"/>
    </w:pPr>
    <w:rPr>
      <w:b/>
      <w:bCs/>
      <w:kern w:val="2"/>
    </w:rPr>
  </w:style>
  <w:style w:type="paragraph" w:styleId="5">
    <w:name w:val="footer"/>
    <w:basedOn w:val="1"/>
    <w:link w:val="11"/>
    <w:unhideWhenUsed/>
    <w:qFormat/>
    <w:uiPriority w:val="99"/>
    <w:pPr>
      <w:widowControl w:val="0"/>
      <w:tabs>
        <w:tab w:val="center" w:pos="4153"/>
        <w:tab w:val="right" w:pos="8306"/>
      </w:tabs>
      <w:snapToGrid w:val="0"/>
    </w:pPr>
    <w:rPr>
      <w:rFonts w:asciiTheme="minorHAnsi" w:hAnsiTheme="minorHAnsi" w:eastAsiaTheme="minorEastAsia" w:cstheme="minorBidi"/>
      <w:kern w:val="2"/>
      <w:sz w:val="18"/>
      <w:szCs w:val="18"/>
      <w:lang w:eastAsia="zh-CN"/>
    </w:rPr>
  </w:style>
  <w:style w:type="paragraph" w:styleId="6">
    <w:name w:val="header"/>
    <w:basedOn w:val="1"/>
    <w:link w:val="10"/>
    <w:unhideWhenUsed/>
    <w:qFormat/>
    <w:uiPriority w:val="99"/>
    <w:pPr>
      <w:widowControl w:val="0"/>
      <w:pBdr>
        <w:bottom w:val="single" w:color="auto" w:sz="6" w:space="1"/>
      </w:pBdr>
      <w:tabs>
        <w:tab w:val="center" w:pos="4153"/>
        <w:tab w:val="right" w:pos="8306"/>
      </w:tabs>
      <w:snapToGrid w:val="0"/>
      <w:jc w:val="center"/>
    </w:pPr>
    <w:rPr>
      <w:rFonts w:asciiTheme="minorHAnsi" w:hAnsiTheme="minorHAnsi" w:eastAsiaTheme="minorEastAsia" w:cstheme="minorBidi"/>
      <w:kern w:val="2"/>
      <w:sz w:val="18"/>
      <w:szCs w:val="18"/>
      <w:lang w:eastAsia="zh-CN"/>
    </w:rPr>
  </w:style>
  <w:style w:type="table" w:styleId="8">
    <w:name w:val="Table Grid"/>
    <w:basedOn w:val="7"/>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Char"/>
    <w:basedOn w:val="9"/>
    <w:link w:val="6"/>
    <w:qFormat/>
    <w:uiPriority w:val="99"/>
    <w:rPr>
      <w:rFonts w:eastAsia="宋体"/>
      <w:sz w:val="18"/>
      <w:szCs w:val="18"/>
    </w:rPr>
  </w:style>
  <w:style w:type="character" w:customStyle="1" w:styleId="11">
    <w:name w:val="页脚 Char"/>
    <w:basedOn w:val="9"/>
    <w:link w:val="5"/>
    <w:qFormat/>
    <w:uiPriority w:val="99"/>
    <w:rPr>
      <w:rFonts w:eastAsia="宋体"/>
      <w:sz w:val="18"/>
      <w:szCs w:val="18"/>
    </w:rPr>
  </w:style>
  <w:style w:type="table" w:customStyle="1" w:styleId="12">
    <w:name w:val="typo_table"/>
    <w:basedOn w:val="7"/>
    <w:qFormat/>
    <w:uiPriority w:val="0"/>
    <w:rPr>
      <w:rFonts w:eastAsia="宋体"/>
    </w:rPr>
    <w:tblPr/>
  </w:style>
  <w:style w:type="table" w:customStyle="1" w:styleId="13">
    <w:name w:val="typo_table_0"/>
    <w:basedOn w:val="7"/>
    <w:qFormat/>
    <w:uiPriority w:val="0"/>
    <w:rPr>
      <w:rFonts w:eastAsia="宋体"/>
    </w:rPr>
    <w:tblPr/>
  </w:style>
  <w:style w:type="table" w:customStyle="1" w:styleId="14">
    <w:name w:val="typo_table_1"/>
    <w:basedOn w:val="7"/>
    <w:qFormat/>
    <w:uiPriority w:val="0"/>
    <w:rPr>
      <w:rFonts w:eastAsia="宋体"/>
    </w:rPr>
    <w:tblPr/>
  </w:style>
  <w:style w:type="table" w:customStyle="1" w:styleId="15">
    <w:name w:val="typo_table_2"/>
    <w:basedOn w:val="7"/>
    <w:qFormat/>
    <w:uiPriority w:val="0"/>
    <w:rPr>
      <w:rFonts w:eastAsia="宋体"/>
    </w:rPr>
    <w:tblPr/>
  </w:style>
  <w:style w:type="table" w:customStyle="1" w:styleId="16">
    <w:name w:val="typo_table_3"/>
    <w:basedOn w:val="7"/>
    <w:qFormat/>
    <w:uiPriority w:val="0"/>
  </w:style>
  <w:style w:type="paragraph" w:customStyle="1" w:styleId="17">
    <w:name w:val="typo_h1"/>
    <w:basedOn w:val="1"/>
    <w:qFormat/>
    <w:uiPriority w:val="0"/>
    <w:pPr>
      <w:spacing w:line="648" w:lineRule="atLeast"/>
    </w:pPr>
    <w:rPr>
      <w:rFonts w:ascii="微软雅黑" w:hAnsi="微软雅黑" w:eastAsia="微软雅黑" w:cs="微软雅黑"/>
      <w:color w:val="333333"/>
      <w:sz w:val="48"/>
      <w:szCs w:val="48"/>
    </w:rPr>
  </w:style>
  <w:style w:type="character" w:customStyle="1" w:styleId="18">
    <w:name w:val="base"/>
    <w:basedOn w:val="9"/>
    <w:qFormat/>
    <w:uiPriority w:val="0"/>
    <w:rPr>
      <w:rFonts w:ascii="仿宋" w:hAnsi="仿宋" w:eastAsia="仿宋" w:cs="仿宋"/>
      <w:b/>
      <w:bCs/>
      <w:sz w:val="28"/>
      <w:szCs w:val="28"/>
    </w:rPr>
  </w:style>
  <w:style w:type="paragraph" w:customStyle="1" w:styleId="19">
    <w:name w:val="typo_p"/>
    <w:basedOn w:val="1"/>
    <w:qFormat/>
    <w:uiPriority w:val="0"/>
    <w:pPr>
      <w:spacing w:line="432" w:lineRule="atLeast"/>
    </w:pPr>
    <w:rPr>
      <w:rFonts w:ascii="微软雅黑" w:hAnsi="微软雅黑" w:eastAsia="微软雅黑" w:cs="微软雅黑"/>
      <w:color w:val="333333"/>
    </w:rPr>
  </w:style>
  <w:style w:type="character" w:customStyle="1" w:styleId="20">
    <w:name w:val="span"/>
    <w:basedOn w:val="9"/>
    <w:qFormat/>
    <w:uiPriority w:val="0"/>
    <w:rPr>
      <w:rFonts w:ascii="仿宋" w:hAnsi="仿宋" w:eastAsia="仿宋" w:cs="仿宋"/>
    </w:rPr>
  </w:style>
  <w:style w:type="character" w:customStyle="1" w:styleId="21">
    <w:name w:val="underline"/>
    <w:basedOn w:val="9"/>
    <w:qFormat/>
    <w:uiPriority w:val="0"/>
  </w:style>
  <w:style w:type="paragraph" w:customStyle="1" w:styleId="22">
    <w:name w:val="div"/>
    <w:basedOn w:val="1"/>
    <w:qFormat/>
    <w:uiPriority w:val="0"/>
    <w:pPr>
      <w:keepLines/>
      <w:spacing w:line="432" w:lineRule="atLeast"/>
    </w:pPr>
    <w:rPr>
      <w:rFonts w:ascii="微软雅黑" w:hAnsi="微软雅黑" w:eastAsia="微软雅黑" w:cs="微软雅黑"/>
      <w:color w:val="333333"/>
    </w:rPr>
  </w:style>
  <w:style w:type="character" w:customStyle="1" w:styleId="23">
    <w:name w:val="step-methods_step-item_label"/>
    <w:basedOn w:val="9"/>
    <w:qFormat/>
    <w:uiPriority w:val="0"/>
  </w:style>
  <w:style w:type="table" w:customStyle="1" w:styleId="24">
    <w:name w:val="typo_table_4"/>
    <w:basedOn w:val="7"/>
    <w:qFormat/>
    <w:uiPriority w:val="0"/>
  </w:style>
  <w:style w:type="character" w:customStyle="1" w:styleId="25">
    <w:name w:val="strong"/>
    <w:basedOn w:val="9"/>
    <w:qFormat/>
    <w:uiPriority w:val="0"/>
    <w:rPr>
      <w:b/>
      <w:bCs/>
      <w:color w:val="00000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Pages>116</Pages>
  <Words>9892</Words>
  <Characters>10655</Characters>
  <Lines>1</Lines>
  <Paragraphs>1</Paragraphs>
  <TotalTime>0</TotalTime>
  <ScaleCrop>false</ScaleCrop>
  <LinksUpToDate>false</LinksUpToDate>
  <CharactersWithSpaces>10728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2025-03-28T03:59:41Z</dcterms:created>
  <dc:creator>Administrator</dc:creator>
  <cp:lastModifiedBy>景山</cp:lastModifiedBy>
  <dcterms:modified xsi:type="dcterms:W3CDTF">2025-03-28T04:00:26Z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eyJoZGlkIjoiZTUzNDRlOTBkNTc5N2M2NzRiZjZlMGY0NzJmMzgxZGUiLCJ1c2VySWQiOiI1NzMwMDk5MjMifQ==</vt:lpwstr>
  </property>
  <property fmtid="{D5CDD505-2E9C-101B-9397-08002B2CF9AE}" pid="3" name="KSOProductBuildVer">
    <vt:lpwstr>2052-12.1.0.20305</vt:lpwstr>
  </property>
  <property fmtid="{D5CDD505-2E9C-101B-9397-08002B2CF9AE}" pid="4" name="ICV">
    <vt:lpwstr>4A7266817DA0488D9AF06445EEB7E71E_12</vt:lpwstr>
  </property>
</Properties>
</file>