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LHAZXDL-2025-00341</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大浪校区监控视频存储及光网络交换设备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730"/>
      </w:tblGrid>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83"/>
        <w:gridCol w:w="843"/>
        <w:gridCol w:w="1915"/>
        <w:gridCol w:w="916"/>
        <w:gridCol w:w="4339"/>
      </w:tblGrid>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496"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064"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1</w:t>
            </w:r>
          </w:p>
        </w:tc>
        <w:tc>
          <w:tcPr>
            <w:tcW w:w="2064"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价格</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30</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val="restart"/>
            <w:tcBorders>
              <w:top w:val="single" w:sz="8" w:space="0" w:color="000000"/>
              <w:left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2</w:t>
            </w:r>
          </w:p>
        </w:tc>
        <w:tc>
          <w:tcPr>
            <w:tcW w:w="2064"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技术部分</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51</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rPr>
            </w:pPr>
          </w:p>
        </w:tc>
        <w:tc>
          <w:tcPr>
            <w:tcW w:w="473"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序号</w:t>
            </w:r>
          </w:p>
        </w:tc>
        <w:tc>
          <w:tcPr>
            <w:tcW w:w="1076"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514"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权重(%)</w:t>
            </w:r>
          </w:p>
        </w:tc>
        <w:tc>
          <w:tcPr>
            <w:tcW w:w="2438"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076"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514"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10</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1.评审内容：</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在投标文件中详细说明技术保障措施包括：</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（1）技术团队情况</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（2）技术保障方案</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（3）工期保证</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（4）项目履约进度计划</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2.评分标准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1）以上内容，每提供任意1项得5分，本项最高得20分。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2）在此基础上，根据施工方案详细程度、具体程度、与项目要求的符合性进行评分，本项最高加2分。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（1）投标文件响应内容详细；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（2）投标文件响应内容具体；</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（3）投标文件响应内容符合项目要求；</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满足以上三项要求的评价为优，加80分。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满足以上二项要求的评价为良，加50分。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满足以上一项要求的评价为中，加20分。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其它情况的评价为差，不加分。</w:t>
            </w:r>
          </w:p>
          <w:p>
            <w:pPr>
              <w:rPr>
                <w:rFonts w:ascii="宋体" w:eastAsia="宋体" w:hAnsi="宋体" w:cs="宋体" w:hint="eastAsia"/>
                <w:bCs/>
                <w:sz w:val="21"/>
                <w:szCs w:val="21"/>
                <w:lang w:eastAsia="zh-CN"/>
              </w:rPr>
            </w:pPr>
            <w:r>
              <w:rPr>
                <w:rFonts w:ascii="宋体" w:eastAsia="宋体" w:hAnsi="宋体" w:cs="宋体" w:hint="eastAsia"/>
                <w:sz w:val="21"/>
                <w:szCs w:val="21"/>
                <w:lang w:eastAsia="zh-CN"/>
              </w:rPr>
              <w:t>本项累计最高得100分，未按要求提供或提供不清晰导致评审无法判别的不得分。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lang w:eastAsia="zh-CN"/>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076"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一般技术规格偏离情况</w:t>
            </w:r>
          </w:p>
        </w:tc>
        <w:tc>
          <w:tcPr>
            <w:tcW w:w="514"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27</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评审小组根据《技术规格偏离表》（以下简称“偏离表”）响应情况进行打分，全部满足的得100分，一般参数负偏离一项扣1.89分，扣完为止。</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jc w:val="center"/>
          <w:tblCellSpacing w:w="0" w:type="dxa"/>
          <w:tblLayout w:type="fixed"/>
          <w:tblCellMar>
            <w:top w:w="20" w:type="dxa"/>
            <w:left w:w="108" w:type="dxa"/>
            <w:bottom w:w="20" w:type="dxa"/>
            <w:right w:w="108" w:type="dxa"/>
          </w:tblCellMar>
        </w:tblPrEx>
        <w:trPr>
          <w:trHeight w:val="2685"/>
          <w:tblCellSpacing w:w="0" w:type="dxa"/>
          <w:jc w:val="center"/>
        </w:trPr>
        <w:tc>
          <w:tcPr>
            <w:tcW w:w="496" w:type="pct"/>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lang w:eastAsia="zh-CN"/>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1076"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重要技术规格偏离情况</w:t>
            </w:r>
          </w:p>
        </w:tc>
        <w:tc>
          <w:tcPr>
            <w:tcW w:w="514" w:type="pct"/>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rPr>
                <w:rFonts w:ascii="宋体" w:eastAsia="宋体" w:hAnsi="宋体" w:cs="宋体" w:hint="eastAsia"/>
                <w:sz w:val="21"/>
                <w:szCs w:val="21"/>
              </w:rPr>
            </w:pPr>
            <w:r>
              <w:rPr>
                <w:rFonts w:ascii="宋体" w:eastAsia="宋体" w:hAnsi="宋体" w:cs="宋体" w:hint="eastAsia"/>
                <w:sz w:val="21"/>
                <w:szCs w:val="21"/>
              </w:rPr>
              <w:t>14</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评审小组根据《技术规格偏离表》（以下简称“偏离表”）响应情况进行打分，全部满足的得100分，重点技术参数▲项负偏离一项扣14.5分，扣完为止。</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val="restart"/>
            <w:tcBorders>
              <w:top w:val="single" w:sz="8" w:space="0" w:color="000000"/>
              <w:left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3</w:t>
            </w:r>
          </w:p>
        </w:tc>
        <w:tc>
          <w:tcPr>
            <w:tcW w:w="2064"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商务部分</w:t>
            </w:r>
          </w:p>
        </w:tc>
        <w:tc>
          <w:tcPr>
            <w:tcW w:w="2438" w:type="pct"/>
            <w:tcBorders>
              <w:top w:val="single" w:sz="8" w:space="0" w:color="000000"/>
              <w:left w:val="single" w:sz="8" w:space="0" w:color="000000"/>
              <w:bottom w:val="single" w:sz="8" w:space="0" w:color="000000"/>
              <w:right w:val="single" w:sz="8" w:space="0" w:color="000000"/>
            </w:tcBorders>
            <w:shd w:val="clear" w:color="auto" w:fill="auto"/>
            <w:vAlign w:val="center"/>
          </w:tcPr>
          <w:p>
            <w:pPr>
              <w:wordWrap w:val="0"/>
              <w:spacing w:line="360" w:lineRule="auto"/>
              <w:jc w:val="cente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19</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E6EFFA"/>
            <w:vAlign w:val="center"/>
          </w:tcPr>
          <w:p>
            <w:pPr>
              <w:spacing w:line="360" w:lineRule="auto"/>
              <w:jc w:val="center"/>
              <w:rPr>
                <w:rFonts w:ascii="宋体" w:eastAsia="宋体" w:hAnsi="宋体" w:cs="宋体" w:hint="eastAsia"/>
                <w:b/>
                <w:bCs/>
                <w:sz w:val="21"/>
                <w:szCs w:val="21"/>
              </w:rPr>
            </w:pPr>
          </w:p>
        </w:tc>
        <w:tc>
          <w:tcPr>
            <w:tcW w:w="473"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序号</w:t>
            </w:r>
          </w:p>
        </w:tc>
        <w:tc>
          <w:tcPr>
            <w:tcW w:w="1076"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514"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权重(%)</w:t>
            </w:r>
          </w:p>
        </w:tc>
        <w:tc>
          <w:tcPr>
            <w:tcW w:w="2438" w:type="pct"/>
            <w:tcBorders>
              <w:top w:val="outset" w:sz="6" w:space="0" w:color="000000"/>
              <w:left w:val="outset" w:sz="6" w:space="0" w:color="000000"/>
              <w:bottom w:val="outset" w:sz="6" w:space="0" w:color="000000"/>
              <w:right w:val="outset" w:sz="6" w:space="0" w:color="000000"/>
            </w:tcBorders>
            <w:shd w:val="clear" w:color="auto" w:fill="auto"/>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916"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91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4339" w:type="dxa"/>
            <w:tcBorders>
              <w:top w:val="single" w:sz="8" w:space="0" w:color="000000"/>
              <w:left w:val="single" w:sz="8" w:space="0" w:color="000000"/>
              <w:bottom w:val="single" w:sz="8" w:space="0" w:color="000000"/>
              <w:right w:val="single" w:sz="8" w:space="0" w:color="000000"/>
            </w:tcBorders>
            <w:shd w:val="clear" w:color="auto" w:fill="auto"/>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投标人应如实填写《商务条款偏离情况》，评审小组根据响应情况进行打分，除带“★”号实质性条款外，全部满足要求的得100分，每负偏离一项扣7.7分，扣完为止。</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lang w:eastAsia="zh-CN"/>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916"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91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4339" w:type="dxa"/>
            <w:tcBorders>
              <w:top w:val="single" w:sz="8" w:space="0" w:color="000000"/>
              <w:left w:val="single" w:sz="8" w:space="0" w:color="000000"/>
              <w:bottom w:val="single" w:sz="8" w:space="0" w:color="000000"/>
              <w:right w:val="single" w:sz="8" w:space="0" w:color="000000"/>
            </w:tcBorders>
            <w:shd w:val="clear" w:color="auto" w:fill="auto"/>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2022年1月1日至本项目投标截止之日（以合同签订日期为准），具有政府单位或事业单位监控类或网络类或信息化类项目经验,每提供1个得50分，最高得100分。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（提供合同关键页（含签订合同双方的单位名称、合同项目名称、含签订合同双方的落款盖章、签订日期）及验收报告扫描件，原件备查。未提供或提供的不符合或提供不清晰导致无法判断的均不得分）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lang w:eastAsia="zh-CN"/>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1916"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rPr>
                <w:rFonts w:ascii="宋体" w:eastAsia="宋体" w:hAnsi="宋体" w:cs="宋体" w:hint="eastAsia"/>
                <w:sz w:val="21"/>
                <w:szCs w:val="21"/>
              </w:rPr>
            </w:pPr>
            <w:r>
              <w:rPr>
                <w:rFonts w:ascii="宋体" w:eastAsia="宋体" w:hAnsi="宋体" w:cs="宋体" w:hint="eastAsia"/>
                <w:sz w:val="21"/>
                <w:szCs w:val="21"/>
              </w:rPr>
              <w:t>投标人资质证书</w:t>
            </w:r>
          </w:p>
        </w:tc>
        <w:tc>
          <w:tcPr>
            <w:tcW w:w="91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9</w:t>
            </w:r>
          </w:p>
        </w:tc>
        <w:tc>
          <w:tcPr>
            <w:tcW w:w="4339" w:type="dxa"/>
            <w:tcBorders>
              <w:top w:val="single" w:sz="8" w:space="0" w:color="000000"/>
              <w:left w:val="single" w:sz="8" w:space="0" w:color="000000"/>
              <w:bottom w:val="single" w:sz="8" w:space="0" w:color="000000"/>
              <w:right w:val="single" w:sz="8" w:space="0" w:color="000000"/>
            </w:tcBorders>
            <w:shd w:val="clear" w:color="auto" w:fill="auto"/>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（一）评分内容：</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1、投标人具有质量管理体系认证证书、环境管理体系认证证书、职业健康安全管理体系认证证书，且以上证书认证范围均需包含计算机系统集成和电教设备的维护的，得30分；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2、投标人具有售后服务认证证书，且证书认证范围均需包含计算机系统集成、电教设备的维护所涉及的售后服务的，得20分；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3、投标人具有履约能力评价服务认证证书，且证书认证范围均需包含计算机系统集成和电教设备的维护的，得20分；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4、投标人具有信息系统服务交付能力等级证书（四级）或以上，且证书认证范围均需包含信息系统集成实施和运行维护服务的，得30分。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以上1-4项累计得分，最高得100分。</w:t>
            </w:r>
          </w:p>
          <w:p>
            <w:pPr>
              <w:rPr>
                <w:rFonts w:ascii="宋体" w:eastAsia="宋体" w:hAnsi="宋体" w:cs="宋体" w:hint="eastAsia"/>
                <w:sz w:val="21"/>
                <w:szCs w:val="21"/>
              </w:rPr>
            </w:pPr>
            <w:r>
              <w:rPr>
                <w:rFonts w:ascii="宋体" w:eastAsia="宋体" w:hAnsi="宋体" w:cs="宋体" w:hint="eastAsia"/>
                <w:sz w:val="21"/>
                <w:szCs w:val="21"/>
              </w:rPr>
              <w:t>（二）评分依据：</w:t>
            </w:r>
          </w:p>
          <w:p>
            <w:pPr>
              <w:rPr>
                <w:rFonts w:ascii="宋体" w:eastAsia="宋体" w:hAnsi="宋体" w:cs="宋体" w:hint="eastAsia"/>
                <w:sz w:val="21"/>
                <w:szCs w:val="21"/>
              </w:rPr>
            </w:pPr>
            <w:r>
              <w:rPr>
                <w:rFonts w:ascii="宋体" w:eastAsia="宋体" w:hAnsi="宋体" w:cs="宋体" w:hint="eastAsia"/>
                <w:sz w:val="21"/>
                <w:szCs w:val="21"/>
              </w:rPr>
              <w:t>提供有效期内的认证证书扫描件（如证书标明需年度审核的，需有已年审标志）及在全国认证认可信息公共服务平台（认e云）（网址：http://cx.cnca.cn/CertECloud/index/index/page）网站查询有效的截图并加盖投标人公章，原件备查。</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上述证书如因投标人为新成立企业且成立时间不足三个月而未能获得的，提供相关情况说明（格式自拟），可获得对应证书得分。评分中出现无证明资料或专家无法凭所提供资料判断是否得分的情况，一律作不得分处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496" w:type="pct"/>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sz w:val="21"/>
                <w:szCs w:val="21"/>
                <w:lang w:eastAsia="zh-CN"/>
              </w:rPr>
            </w:pPr>
          </w:p>
        </w:tc>
        <w:tc>
          <w:tcPr>
            <w:tcW w:w="473" w:type="pct"/>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4</w:t>
            </w:r>
          </w:p>
        </w:tc>
        <w:tc>
          <w:tcPr>
            <w:tcW w:w="1916"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rPr>
                <w:rFonts w:ascii="宋体" w:eastAsia="宋体" w:hAnsi="宋体" w:cs="宋体" w:hint="eastAsia"/>
                <w:sz w:val="21"/>
                <w:szCs w:val="21"/>
              </w:rPr>
            </w:pPr>
            <w:r>
              <w:rPr>
                <w:rFonts w:ascii="宋体" w:eastAsia="宋体" w:hAnsi="宋体" w:cs="宋体" w:hint="eastAsia"/>
                <w:sz w:val="21"/>
                <w:szCs w:val="21"/>
                <w:lang w:bidi="ar"/>
              </w:rPr>
              <w:t>诚信承诺函</w:t>
            </w:r>
          </w:p>
        </w:tc>
        <w:tc>
          <w:tcPr>
            <w:tcW w:w="91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4339" w:type="dxa"/>
            <w:tcBorders>
              <w:top w:val="single" w:sz="8" w:space="0" w:color="000000"/>
              <w:left w:val="single" w:sz="8" w:space="0" w:color="000000"/>
              <w:bottom w:val="single" w:sz="8" w:space="0" w:color="000000"/>
              <w:right w:val="single" w:sz="8" w:space="0" w:color="000000"/>
            </w:tcBorders>
            <w:shd w:val="clear" w:color="auto" w:fill="auto"/>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投标人承诺在参与自行采购活动中未出现诚信或安全相关问题且不在相关主管部门处理措施实施期限内的本项得100分，否则不得分。</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评分依据：</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投标人须提供的《诚信承诺函》，按采购文件格式要求提供，不提供或提供的不符合要求或提供不清晰导致专家无法判断的均不得分。如被认定提供的陈述与事实不符受到行政处罚的，依法追究其责任。</w:t>
            </w:r>
          </w:p>
        </w:tc>
      </w:tr>
      <w:bookmarkEnd w:id="0"/>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1、具有独立法人资格或具有独立承担民事责任的能力的其它组织（提供营业执照或事业单位法人证等法人证明扫描件，原件备查）。</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2、参与本项目投标前三年内，在经营活动中没有重大违法记录（由供应商在《龙华区教育局自行采购投标及履约承诺函》中作出声明）。</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3、参与本项目政府采购活动时不存在被有关部门禁止参与政府采购活动且在有效期内的情况（由供应商在《龙华区教育局自行采购投标及履约承诺函》中作出声明）。</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4、具备《中华人民共和国政府采购法》第二十二条第一款的条件（由供应商在《龙华区教育局自行采购投标及履约承诺函》中作出声明）。</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sz w:val="21"/>
          <w:szCs w:val="21"/>
          <w:lang w:eastAsia="zh-CN"/>
        </w:rPr>
        <w:t>《龙华区教育局自行采购投标及履约承诺函》</w:t>
      </w:r>
      <w:r>
        <w:rPr>
          <w:rFonts w:ascii="宋体" w:eastAsia="宋体" w:hAnsi="宋体" w:cs="宋体" w:hint="eastAsia"/>
          <w:sz w:val="21"/>
          <w:szCs w:val="21"/>
          <w:lang w:eastAsia="zh-CN"/>
        </w:rPr>
        <w:t>中作出声明）。</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8、单位负责人为同一人或者存在直接控股、管理关系的不同供应商，不得参加同一合同项下的政府采购活动。（由供应商在《龙华区教育局自行采购投标及履约承诺函》中作出承诺）。</w:t>
      </w:r>
    </w:p>
    <w:p>
      <w:pPr>
        <w:spacing w:after="60" w:afterLines="25" w:line="300" w:lineRule="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9、本项目不属于专门面向中小微企业采购项目。</w:t>
      </w:r>
    </w:p>
    <w:p>
      <w:pPr>
        <w:spacing w:after="60" w:afterLines="25"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10、本项目不接受联合体投标，不接受进口产品参与投标，不允许转包、分包。（由供应商在《龙华区教育局自行采购投标及履约承诺函》中作出承诺）。</w:t>
      </w:r>
    </w:p>
    <w:p>
      <w:pPr>
        <w:widowControl w:val="0"/>
        <w:spacing w:after="60" w:afterLines="25"/>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4" w:name="_Toc73517639"/>
      <w:bookmarkStart w:id="5" w:name="_Toc73518117"/>
      <w:bookmarkStart w:id="6" w:name="_Toc60560625"/>
      <w:bookmarkStart w:id="7" w:name="_Toc73521547"/>
      <w:bookmarkStart w:id="8" w:name="_Toc101074876"/>
      <w:bookmarkStart w:id="9" w:name="_Toc73521635"/>
      <w:bookmarkStart w:id="10" w:name="_Toc100052364"/>
      <w:bookmarkStart w:id="11" w:name="_Toc60631620"/>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深圳市龙华高级中学教育集团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hint="eastAsia"/>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备注：最低收费不低于人民币6000元。代理服务费用超过6000元，则按国家计费规定收取代理服务费。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tblInd w:w="-149" w:type="dxa"/>
        <w:tblLayout w:type="fixed"/>
        <w:tblCellMar>
          <w:top w:w="15" w:type="dxa"/>
          <w:left w:w="15" w:type="dxa"/>
          <w:bottom w:w="15" w:type="dxa"/>
          <w:right w:w="15" w:type="dxa"/>
        </w:tblCellMar>
      </w:tblPr>
      <w:tblGrid>
        <w:gridCol w:w="805"/>
        <w:gridCol w:w="2538"/>
        <w:gridCol w:w="2892"/>
        <w:gridCol w:w="2435"/>
      </w:tblGrid>
      <w:tr>
        <w:tblPrEx>
          <w:tblW w:w="5000" w:type="pct"/>
          <w:tblInd w:w="-149" w:type="dxa"/>
          <w:tblLayout w:type="fixed"/>
          <w:tblCellMar>
            <w:top w:w="15" w:type="dxa"/>
            <w:left w:w="15" w:type="dxa"/>
            <w:bottom w:w="15" w:type="dxa"/>
            <w:right w:w="15" w:type="dxa"/>
          </w:tblCellMar>
        </w:tblPrEx>
        <w:trPr>
          <w:trHeight w:val="552"/>
        </w:trPr>
        <w:tc>
          <w:tcPr>
            <w:tcW w:w="867"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742"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125"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6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149" w:type="dxa"/>
          <w:tblLayout w:type="fixed"/>
          <w:tblCellMar>
            <w:top w:w="15" w:type="dxa"/>
            <w:left w:w="15" w:type="dxa"/>
            <w:bottom w:w="15" w:type="dxa"/>
            <w:right w:w="15" w:type="dxa"/>
          </w:tblCellMar>
        </w:tblPrEx>
        <w:trPr>
          <w:trHeight w:val="485"/>
        </w:trPr>
        <w:tc>
          <w:tcPr>
            <w:tcW w:w="867"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2742"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LHAZXDL-2025-00341</w:t>
            </w:r>
          </w:p>
        </w:tc>
        <w:tc>
          <w:tcPr>
            <w:tcW w:w="3125"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大浪校区监控视频存储及光网络交换设备</w:t>
            </w:r>
          </w:p>
        </w:tc>
        <w:tc>
          <w:tcPr>
            <w:tcW w:w="2630"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632,912.00</w:t>
            </w:r>
          </w:p>
        </w:tc>
      </w:tr>
    </w:tbl>
    <w:p>
      <w:pPr>
        <w:keepNext/>
        <w:keepLines/>
        <w:widowControl w:val="0"/>
        <w:tabs>
          <w:tab w:val="left" w:pos="1680"/>
        </w:tabs>
        <w:spacing w:before="260" w:after="60" w:afterLines="25"/>
        <w:jc w:val="center"/>
        <w:outlineLvl w:val="2"/>
        <w:rPr>
          <w:rFonts w:ascii="宋体" w:eastAsia="宋体" w:hAnsi="宋体" w:hint="eastAsia"/>
          <w:b/>
          <w:color w:val="000000"/>
          <w:sz w:val="21"/>
          <w:szCs w:val="21"/>
          <w:lang w:eastAsia="zh-CN"/>
        </w:rPr>
      </w:pPr>
      <w:r>
        <w:rPr>
          <w:rFonts w:ascii="Arial" w:eastAsia="宋体" w:hAnsi="Arial" w:hint="eastAsia"/>
          <w:b/>
          <w:kern w:val="2"/>
          <w:sz w:val="32"/>
          <w:szCs w:val="32"/>
          <w:lang w:eastAsia="zh-CN"/>
        </w:rPr>
        <w:t>二、货物需求明细</w:t>
      </w:r>
      <w:bookmarkStart w:id="13" w:name="_Toc128884461"/>
    </w:p>
    <w:tbl>
      <w:tblPr>
        <w:tblStyle w:val="TableNormal"/>
        <w:tblpPr w:leftFromText="180" w:rightFromText="180" w:vertAnchor="text" w:horzAnchor="page" w:tblpX="1800" w:tblpY="450"/>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9"/>
        <w:gridCol w:w="1724"/>
        <w:gridCol w:w="696"/>
        <w:gridCol w:w="712"/>
        <w:gridCol w:w="1147"/>
        <w:gridCol w:w="1375"/>
        <w:gridCol w:w="781"/>
        <w:gridCol w:w="174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6"/>
        </w:trPr>
        <w:tc>
          <w:tcPr>
            <w:tcW w:w="708" w:type="dxa"/>
            <w:vMerge w:val="restart"/>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824" w:type="dxa"/>
            <w:vMerge w:val="restart"/>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货物名称</w:t>
            </w:r>
          </w:p>
        </w:tc>
        <w:tc>
          <w:tcPr>
            <w:tcW w:w="727" w:type="dxa"/>
            <w:vMerge w:val="restart"/>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数量</w:t>
            </w:r>
          </w:p>
        </w:tc>
        <w:tc>
          <w:tcPr>
            <w:tcW w:w="744" w:type="dxa"/>
            <w:vMerge w:val="restart"/>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单位</w:t>
            </w:r>
          </w:p>
        </w:tc>
        <w:tc>
          <w:tcPr>
            <w:tcW w:w="2659" w:type="dxa"/>
            <w:gridSpan w:val="2"/>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单价限额（元）</w:t>
            </w:r>
          </w:p>
        </w:tc>
        <w:tc>
          <w:tcPr>
            <w:tcW w:w="817" w:type="dxa"/>
            <w:vAlign w:val="center"/>
          </w:tcPr>
          <w:p>
            <w:pPr>
              <w:jc w:val="center"/>
              <w:rPr>
                <w:rFonts w:ascii="宋体" w:eastAsia="宋体" w:hAnsi="宋体" w:cs="宋体" w:hint="eastAsia"/>
                <w:b/>
                <w:color w:val="FF0000"/>
                <w:sz w:val="21"/>
                <w:szCs w:val="21"/>
              </w:rPr>
            </w:pPr>
            <w:r>
              <w:rPr>
                <w:rFonts w:ascii="宋体" w:eastAsia="宋体" w:hAnsi="宋体" w:cs="宋体" w:hint="eastAsia"/>
                <w:b/>
                <w:color w:val="FF0000"/>
                <w:sz w:val="21"/>
                <w:szCs w:val="21"/>
              </w:rPr>
              <w:t>备注</w:t>
            </w:r>
          </w:p>
        </w:tc>
        <w:tc>
          <w:tcPr>
            <w:tcW w:w="1843" w:type="dxa"/>
            <w:vAlign w:val="center"/>
          </w:tcPr>
          <w:p>
            <w:pPr>
              <w:jc w:val="center"/>
              <w:rPr>
                <w:rFonts w:ascii="宋体" w:eastAsia="宋体" w:hAnsi="宋体" w:cs="宋体" w:hint="eastAsia"/>
                <w:b/>
                <w:color w:val="FF0000"/>
                <w:sz w:val="21"/>
                <w:szCs w:val="21"/>
              </w:rPr>
            </w:pPr>
            <w:r>
              <w:rPr>
                <w:rFonts w:ascii="宋体" w:eastAsia="宋体" w:hAnsi="宋体" w:cs="宋体" w:hint="eastAsia"/>
                <w:b/>
                <w:color w:val="FF0000"/>
                <w:sz w:val="21"/>
                <w:szCs w:val="21"/>
              </w:rPr>
              <w:t>财政预算限额（元）</w:t>
            </w:r>
          </w:p>
        </w:tc>
      </w:tr>
      <w:tr>
        <w:tblPrEx>
          <w:tblW w:w="5000" w:type="pct"/>
          <w:tblInd w:w="0" w:type="dxa"/>
          <w:tblLayout w:type="fixed"/>
          <w:tblCellMar>
            <w:top w:w="0" w:type="dxa"/>
            <w:left w:w="108" w:type="dxa"/>
            <w:bottom w:w="0" w:type="dxa"/>
            <w:right w:w="108" w:type="dxa"/>
          </w:tblCellMar>
        </w:tblPrEx>
        <w:trPr>
          <w:trHeight w:val="566"/>
        </w:trPr>
        <w:tc>
          <w:tcPr>
            <w:tcW w:w="708" w:type="dxa"/>
            <w:vMerge/>
            <w:vAlign w:val="center"/>
          </w:tcPr>
          <w:p>
            <w:pPr>
              <w:jc w:val="center"/>
              <w:rPr>
                <w:rFonts w:ascii="宋体" w:eastAsia="宋体" w:hAnsi="宋体" w:cs="宋体" w:hint="eastAsia"/>
                <w:b/>
                <w:sz w:val="21"/>
                <w:szCs w:val="21"/>
              </w:rPr>
            </w:pPr>
          </w:p>
        </w:tc>
        <w:tc>
          <w:tcPr>
            <w:tcW w:w="1824" w:type="dxa"/>
            <w:vMerge/>
            <w:vAlign w:val="center"/>
          </w:tcPr>
          <w:p>
            <w:pPr>
              <w:jc w:val="center"/>
              <w:rPr>
                <w:rFonts w:ascii="宋体" w:eastAsia="宋体" w:hAnsi="宋体" w:cs="宋体" w:hint="eastAsia"/>
                <w:b/>
                <w:sz w:val="21"/>
                <w:szCs w:val="21"/>
              </w:rPr>
            </w:pPr>
          </w:p>
        </w:tc>
        <w:tc>
          <w:tcPr>
            <w:tcW w:w="727" w:type="dxa"/>
            <w:vMerge/>
            <w:vAlign w:val="center"/>
          </w:tcPr>
          <w:p>
            <w:pPr>
              <w:jc w:val="center"/>
              <w:rPr>
                <w:rFonts w:ascii="宋体" w:eastAsia="宋体" w:hAnsi="宋体" w:cs="宋体" w:hint="eastAsia"/>
                <w:b/>
                <w:sz w:val="21"/>
                <w:szCs w:val="21"/>
              </w:rPr>
            </w:pPr>
          </w:p>
        </w:tc>
        <w:tc>
          <w:tcPr>
            <w:tcW w:w="744" w:type="dxa"/>
            <w:vMerge/>
            <w:vAlign w:val="center"/>
          </w:tcPr>
          <w:p>
            <w:pPr>
              <w:jc w:val="center"/>
              <w:rPr>
                <w:rFonts w:ascii="宋体" w:eastAsia="宋体" w:hAnsi="宋体" w:cs="宋体" w:hint="eastAsia"/>
                <w:b/>
                <w:sz w:val="21"/>
                <w:szCs w:val="21"/>
              </w:rPr>
            </w:pPr>
          </w:p>
        </w:tc>
        <w:tc>
          <w:tcPr>
            <w:tcW w:w="1208"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单价</w:t>
            </w:r>
          </w:p>
        </w:tc>
        <w:tc>
          <w:tcPr>
            <w:tcW w:w="1451" w:type="dxa"/>
            <w:vAlign w:val="center"/>
          </w:tcPr>
          <w:p>
            <w:pPr>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单价限额（单价乘以数量）</w:t>
            </w:r>
          </w:p>
        </w:tc>
        <w:tc>
          <w:tcPr>
            <w:tcW w:w="817" w:type="dxa"/>
            <w:vAlign w:val="center"/>
          </w:tcPr>
          <w:p>
            <w:pPr>
              <w:jc w:val="center"/>
              <w:rPr>
                <w:rFonts w:ascii="宋体" w:eastAsia="宋体" w:hAnsi="宋体" w:cs="宋体" w:hint="eastAsia"/>
                <w:b/>
                <w:color w:val="FF0000"/>
                <w:sz w:val="21"/>
                <w:szCs w:val="21"/>
                <w:lang w:eastAsia="zh-CN"/>
              </w:rPr>
            </w:pPr>
          </w:p>
        </w:tc>
        <w:tc>
          <w:tcPr>
            <w:tcW w:w="1843" w:type="dxa"/>
            <w:vAlign w:val="center"/>
          </w:tcPr>
          <w:p>
            <w:pPr>
              <w:jc w:val="center"/>
              <w:rPr>
                <w:rFonts w:ascii="宋体" w:eastAsia="宋体" w:hAnsi="宋体" w:cs="宋体" w:hint="eastAsia"/>
                <w:b/>
                <w:color w:val="FF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1</w:t>
            </w:r>
          </w:p>
        </w:tc>
        <w:tc>
          <w:tcPr>
            <w:tcW w:w="1824" w:type="dxa"/>
            <w:vAlign w:val="center"/>
          </w:tcPr>
          <w:p>
            <w:pPr>
              <w:jc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rPr>
              <w:t>监控视频存储</w:t>
            </w:r>
          </w:p>
          <w:p>
            <w:pPr>
              <w:jc w:val="center"/>
              <w:rPr>
                <w:rFonts w:ascii="宋体" w:eastAsia="宋体" w:hAnsi="宋体" w:cs="宋体" w:hint="eastAsia"/>
                <w:bCs/>
                <w:sz w:val="21"/>
                <w:szCs w:val="21"/>
                <w:lang w:eastAsia="zh-CN"/>
              </w:rPr>
            </w:pPr>
            <w:r>
              <w:rPr>
                <w:rFonts w:ascii="宋体" w:eastAsia="宋体" w:hAnsi="宋体" w:cs="宋体" w:hint="eastAsia"/>
                <w:b/>
                <w:bCs/>
                <w:sz w:val="21"/>
                <w:szCs w:val="21"/>
                <w:lang w:eastAsia="zh-CN"/>
              </w:rPr>
              <w:t>（核心产品）</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4</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台</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138293.00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553172.00 </w:t>
            </w:r>
          </w:p>
        </w:tc>
        <w:tc>
          <w:tcPr>
            <w:tcW w:w="817" w:type="dxa"/>
            <w:vMerge w:val="restart"/>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拒绝进口</w:t>
            </w:r>
          </w:p>
        </w:tc>
        <w:tc>
          <w:tcPr>
            <w:tcW w:w="1843" w:type="dxa"/>
            <w:vMerge w:val="restart"/>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632912.00</w:t>
            </w: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2</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黑光枪型摄像头</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1</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台</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880.00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880.00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3</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8口光网络交换设备</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3</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台</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8600.00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25800.00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4</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24口光网络交换设备</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2</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台</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15400.00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30800.00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5</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无线AP</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8</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个</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1000.00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8000.00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6</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AC控制器</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1</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台</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1780.00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1780.00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7</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POE交换机</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1</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台</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830.00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830.00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8</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网线</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4</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箱</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850.00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3400.00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566"/>
        </w:trPr>
        <w:tc>
          <w:tcPr>
            <w:tcW w:w="708" w:type="dxa"/>
            <w:vAlign w:val="center"/>
          </w:tcPr>
          <w:p>
            <w:pPr>
              <w:jc w:val="center"/>
              <w:rPr>
                <w:rFonts w:ascii="宋体" w:eastAsia="宋体" w:hAnsi="宋体" w:cs="宋体" w:hint="eastAsia"/>
                <w:sz w:val="21"/>
                <w:szCs w:val="21"/>
              </w:rPr>
            </w:pPr>
            <w:r>
              <w:rPr>
                <w:rFonts w:ascii="宋体" w:eastAsia="宋体" w:hAnsi="宋体" w:cs="宋体" w:hint="eastAsia"/>
                <w:color w:val="000000"/>
                <w:sz w:val="21"/>
                <w:szCs w:val="21"/>
              </w:rPr>
              <w:t>9</w:t>
            </w:r>
          </w:p>
        </w:tc>
        <w:tc>
          <w:tcPr>
            <w:tcW w:w="182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6U壁挂机柜</w:t>
            </w:r>
          </w:p>
        </w:tc>
        <w:tc>
          <w:tcPr>
            <w:tcW w:w="727"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5</w:t>
            </w:r>
          </w:p>
        </w:tc>
        <w:tc>
          <w:tcPr>
            <w:tcW w:w="744" w:type="dxa"/>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个</w:t>
            </w:r>
          </w:p>
        </w:tc>
        <w:tc>
          <w:tcPr>
            <w:tcW w:w="1208"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1650.00 </w:t>
            </w:r>
          </w:p>
        </w:tc>
        <w:tc>
          <w:tcPr>
            <w:tcW w:w="1451"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8250.00 </w:t>
            </w:r>
          </w:p>
        </w:tc>
        <w:tc>
          <w:tcPr>
            <w:tcW w:w="817" w:type="dxa"/>
            <w:vMerge/>
            <w:vAlign w:val="center"/>
          </w:tcPr>
          <w:p>
            <w:pPr>
              <w:jc w:val="center"/>
              <w:rPr>
                <w:rFonts w:ascii="宋体" w:eastAsia="宋体" w:hAnsi="宋体" w:cs="宋体" w:hint="eastAsia"/>
                <w:b/>
                <w:bCs/>
                <w:color w:val="FF0000"/>
                <w:sz w:val="21"/>
                <w:szCs w:val="21"/>
              </w:rPr>
            </w:pPr>
          </w:p>
        </w:tc>
        <w:tc>
          <w:tcPr>
            <w:tcW w:w="1843" w:type="dxa"/>
            <w:vMerge/>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323"/>
        </w:trPr>
        <w:tc>
          <w:tcPr>
            <w:tcW w:w="708" w:type="dxa"/>
          </w:tcPr>
          <w:p>
            <w:pPr>
              <w:jc w:val="center"/>
              <w:rPr>
                <w:rFonts w:ascii="宋体" w:eastAsia="宋体" w:hAnsi="宋体" w:cs="宋体" w:hint="eastAsia"/>
                <w:bCs/>
                <w:sz w:val="21"/>
                <w:szCs w:val="21"/>
              </w:rPr>
            </w:pPr>
            <w:r>
              <w:rPr>
                <w:rFonts w:ascii="宋体" w:eastAsia="宋体" w:hAnsi="宋体" w:cs="宋体" w:hint="eastAsia"/>
                <w:bCs/>
                <w:sz w:val="21"/>
                <w:szCs w:val="21"/>
              </w:rPr>
              <w:t>合计</w:t>
            </w:r>
          </w:p>
        </w:tc>
        <w:tc>
          <w:tcPr>
            <w:tcW w:w="1824" w:type="dxa"/>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727" w:type="dxa"/>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744" w:type="dxa"/>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1208" w:type="dxa"/>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1451" w:type="dxa"/>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632912.00</w:t>
            </w:r>
          </w:p>
        </w:tc>
        <w:tc>
          <w:tcPr>
            <w:tcW w:w="817" w:type="dxa"/>
          </w:tcPr>
          <w:p>
            <w:pPr>
              <w:jc w:val="center"/>
              <w:rPr>
                <w:rFonts w:ascii="宋体" w:eastAsia="宋体" w:hAnsi="宋体" w:cs="宋体" w:hint="eastAsia"/>
                <w:bCs/>
                <w:sz w:val="21"/>
                <w:szCs w:val="21"/>
              </w:rPr>
            </w:pPr>
          </w:p>
        </w:tc>
        <w:tc>
          <w:tcPr>
            <w:tcW w:w="1843" w:type="dxa"/>
            <w:vMerge/>
          </w:tcPr>
          <w:p>
            <w:pPr>
              <w:jc w:val="center"/>
              <w:rPr>
                <w:rFonts w:ascii="宋体" w:eastAsia="宋体" w:hAnsi="宋体" w:cs="宋体" w:hint="eastAsia"/>
                <w:bCs/>
                <w:sz w:val="21"/>
                <w:szCs w:val="21"/>
              </w:rPr>
            </w:pPr>
          </w:p>
        </w:tc>
      </w:tr>
    </w:tbl>
    <w:p>
      <w:pPr>
        <w:spacing w:after="120" w:line="360" w:lineRule="auto"/>
        <w:ind w:firstLine="480" w:firstLineChars="200"/>
        <w:rPr>
          <w:rFonts w:ascii="宋体" w:hAnsi="宋体"/>
          <w:b/>
          <w:color w:val="000000"/>
          <w:szCs w:val="21"/>
        </w:rPr>
      </w:pPr>
    </w:p>
    <w:p>
      <w:pPr>
        <w:spacing w:after="120" w:line="360" w:lineRule="auto"/>
        <w:ind w:firstLine="420" w:firstLineChars="200"/>
        <w:rPr>
          <w:rFonts w:ascii="宋体" w:hAnsi="宋体"/>
          <w:b/>
          <w:color w:val="000000"/>
          <w:sz w:val="21"/>
          <w:szCs w:val="21"/>
          <w:lang w:eastAsia="zh-CN"/>
        </w:rPr>
      </w:pPr>
      <w:r>
        <w:rPr>
          <w:rFonts w:ascii="宋体" w:hAnsi="宋体" w:hint="eastAsia"/>
          <w:b/>
          <w:color w:val="000000"/>
          <w:sz w:val="21"/>
          <w:szCs w:val="21"/>
          <w:lang w:eastAsia="zh-CN"/>
        </w:rPr>
        <w:t>1、本项目总预算为632912.00元。投标总价不得超过项目总预算限额，分项报价不得超过相应单价限额。</w:t>
      </w:r>
    </w:p>
    <w:p>
      <w:pPr>
        <w:spacing w:after="120" w:line="360" w:lineRule="auto"/>
        <w:ind w:firstLine="420" w:firstLineChars="200"/>
        <w:rPr>
          <w:rFonts w:ascii="宋体" w:hAnsi="宋体"/>
          <w:b/>
          <w:color w:val="000000"/>
          <w:sz w:val="21"/>
          <w:szCs w:val="21"/>
          <w:lang w:eastAsia="zh-CN"/>
        </w:rPr>
      </w:pPr>
      <w:r>
        <w:rPr>
          <w:rFonts w:ascii="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rPr>
          <w:b/>
          <w:sz w:val="21"/>
          <w:szCs w:val="21"/>
          <w:lang w:eastAsia="zh-CN"/>
        </w:rPr>
      </w:pPr>
      <w:r>
        <w:rPr>
          <w:rFonts w:ascii="宋体" w:hAnsi="宋体" w:hint="eastAsia"/>
          <w:color w:val="000000"/>
          <w:sz w:val="21"/>
          <w:szCs w:val="21"/>
          <w:lang w:eastAsia="zh-CN"/>
        </w:rPr>
        <w:t xml:space="preserve">    </w:t>
      </w:r>
      <w:r>
        <w:rPr>
          <w:rFonts w:ascii="宋体" w:hAnsi="宋体" w:hint="eastAsia"/>
          <w:b/>
          <w:color w:val="000000"/>
          <w:sz w:val="21"/>
          <w:szCs w:val="21"/>
          <w:lang w:eastAsia="zh-CN"/>
        </w:rPr>
        <w:t>3、核心产品：</w:t>
      </w:r>
      <w:r>
        <w:rPr>
          <w:rFonts w:ascii="宋体" w:hAnsi="宋体" w:hint="eastAsia"/>
          <w:b/>
          <w:color w:val="000000"/>
          <w:sz w:val="21"/>
          <w:szCs w:val="21"/>
          <w:u w:val="single"/>
          <w:lang w:eastAsia="zh-CN"/>
        </w:rPr>
        <w:t>监控视频存储</w:t>
      </w:r>
    </w:p>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6"/>
        <w:gridCol w:w="817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711"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序号</w:t>
            </w:r>
          </w:p>
        </w:tc>
        <w:tc>
          <w:tcPr>
            <w:tcW w:w="8614"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11"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p>
        </w:tc>
        <w:tc>
          <w:tcPr>
            <w:tcW w:w="8614"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9"/>
        <w:gridCol w:w="1563"/>
        <w:gridCol w:w="6074"/>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6323"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9203" w:type="dxa"/>
            <w:gridSpan w:val="3"/>
          </w:tcPr>
          <w:p>
            <w:pPr>
              <w:rPr>
                <w:rFonts w:ascii="宋体" w:eastAsia="宋体" w:hAnsi="宋体" w:cs="宋体" w:hint="eastAsia"/>
                <w:b/>
                <w:sz w:val="21"/>
                <w:szCs w:val="21"/>
                <w:lang w:eastAsia="zh-CN"/>
              </w:rPr>
            </w:pPr>
            <w:r>
              <w:rPr>
                <w:rFonts w:ascii="宋体" w:eastAsia="宋体" w:hAnsi="宋体" w:cs="宋体" w:hint="eastAsia"/>
                <w:b/>
                <w:sz w:val="21"/>
                <w:szCs w:val="21"/>
                <w:lang w:eastAsia="zh-CN"/>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Align w:val="center"/>
          </w:tcPr>
          <w:p>
            <w:pPr>
              <w:rPr>
                <w:rFonts w:ascii="宋体" w:eastAsia="宋体" w:hAnsi="宋体" w:cs="宋体" w:hint="eastAsia"/>
                <w:sz w:val="21"/>
                <w:szCs w:val="21"/>
              </w:rPr>
            </w:pPr>
            <w:r>
              <w:rPr>
                <w:rFonts w:ascii="宋体" w:eastAsia="宋体" w:hAnsi="宋体" w:cs="宋体" w:hint="eastAsia"/>
                <w:sz w:val="21"/>
                <w:szCs w:val="21"/>
              </w:rPr>
              <w:t>免费保修期</w:t>
            </w:r>
          </w:p>
        </w:tc>
        <w:tc>
          <w:tcPr>
            <w:tcW w:w="6323" w:type="dxa"/>
          </w:tcPr>
          <w:p>
            <w:pPr>
              <w:rPr>
                <w:rFonts w:ascii="宋体" w:eastAsia="宋体" w:hAnsi="宋体" w:cs="宋体" w:hint="eastAsia"/>
                <w:b/>
                <w:sz w:val="21"/>
                <w:szCs w:val="21"/>
                <w:lang w:eastAsia="zh-CN"/>
              </w:rPr>
            </w:pPr>
            <w:r>
              <w:rPr>
                <w:rFonts w:ascii="宋体" w:eastAsia="宋体" w:hAnsi="宋体" w:cs="宋体" w:hint="eastAsia"/>
                <w:sz w:val="21"/>
                <w:szCs w:val="21"/>
                <w:lang w:eastAsia="zh-CN"/>
              </w:rPr>
              <w:t>★</w:t>
            </w:r>
            <w:r>
              <w:rPr>
                <w:rFonts w:ascii="宋体" w:eastAsia="宋体" w:hAnsi="宋体" w:cs="宋体" w:hint="eastAsia"/>
                <w:bCs/>
                <w:sz w:val="21"/>
                <w:szCs w:val="21"/>
                <w:lang w:eastAsia="zh-CN"/>
              </w:rPr>
              <w:t>货物免费保修期2年，时间自最终验收合格并交付使用之日起计算。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维修响应及故障解决时间</w:t>
            </w:r>
          </w:p>
        </w:tc>
        <w:tc>
          <w:tcPr>
            <w:tcW w:w="6323" w:type="dxa"/>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投标人承诺中标后，在保修期内，一旦发生质量问题，投标人保证在接到通知24小时内赶到现场进行修理或更换。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vAlign w:val="center"/>
          </w:tcPr>
          <w:p>
            <w:pPr>
              <w:rPr>
                <w:rFonts w:ascii="宋体" w:eastAsia="宋体" w:hAnsi="宋体" w:cs="宋体" w:hint="eastAsia"/>
                <w:b/>
                <w:sz w:val="21"/>
                <w:szCs w:val="21"/>
              </w:rPr>
            </w:pPr>
            <w:r>
              <w:rPr>
                <w:rFonts w:ascii="宋体" w:eastAsia="宋体" w:hAnsi="宋体" w:cs="宋体" w:hint="eastAsia"/>
                <w:sz w:val="21"/>
                <w:szCs w:val="21"/>
              </w:rPr>
              <w:t>其他</w:t>
            </w:r>
          </w:p>
        </w:tc>
        <w:tc>
          <w:tcPr>
            <w:tcW w:w="6323" w:type="dxa"/>
            <w:vAlign w:val="center"/>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投标人中标后，应按其投标文件中的承诺，进行其他售后服务工作。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280"/>
        </w:trPr>
        <w:tc>
          <w:tcPr>
            <w:tcW w:w="9203" w:type="dxa"/>
            <w:gridSpan w:val="3"/>
          </w:tcPr>
          <w:p>
            <w:pPr>
              <w:rPr>
                <w:rFonts w:ascii="宋体" w:eastAsia="宋体" w:hAnsi="宋体" w:cs="宋体" w:hint="eastAsia"/>
                <w:b/>
                <w:sz w:val="21"/>
                <w:szCs w:val="21"/>
                <w:lang w:eastAsia="zh-CN"/>
              </w:rPr>
            </w:pPr>
            <w:r>
              <w:rPr>
                <w:rFonts w:ascii="宋体" w:eastAsia="宋体" w:hAnsi="宋体" w:cs="宋体" w:hint="eastAsia"/>
                <w:b/>
                <w:sz w:val="21"/>
                <w:szCs w:val="21"/>
                <w:lang w:eastAsia="zh-CN"/>
              </w:rPr>
              <w:t>（二）免费保修期外售后服务要求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维修零配件、消耗品和延续保修合同的报价</w:t>
            </w:r>
          </w:p>
        </w:tc>
        <w:tc>
          <w:tcPr>
            <w:tcW w:w="6323" w:type="dxa"/>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1.1由设备制造商提供售后服务，</w:t>
            </w:r>
            <w:r>
              <w:rPr>
                <w:rFonts w:ascii="宋体" w:eastAsia="宋体" w:hAnsi="宋体" w:cs="宋体" w:hint="eastAsia"/>
                <w:color w:val="000000"/>
                <w:sz w:val="21"/>
                <w:szCs w:val="21"/>
                <w:u w:val="single"/>
                <w:lang w:eastAsia="zh-CN"/>
              </w:rPr>
              <w:t xml:space="preserve"> 1 </w:t>
            </w:r>
            <w:r>
              <w:rPr>
                <w:rFonts w:ascii="宋体" w:eastAsia="宋体" w:hAnsi="宋体" w:cs="宋体" w:hint="eastAsia"/>
                <w:color w:val="000000"/>
                <w:sz w:val="21"/>
                <w:szCs w:val="21"/>
                <w:lang w:eastAsia="zh-CN"/>
              </w:rPr>
              <w:t>小时内响应，</w:t>
            </w:r>
            <w:r>
              <w:rPr>
                <w:rFonts w:ascii="宋体" w:eastAsia="宋体" w:hAnsi="宋体" w:cs="宋体" w:hint="eastAsia"/>
                <w:color w:val="000000"/>
                <w:sz w:val="21"/>
                <w:szCs w:val="21"/>
                <w:u w:val="single"/>
                <w:lang w:eastAsia="zh-CN"/>
              </w:rPr>
              <w:t> 24 </w:t>
            </w:r>
            <w:r>
              <w:rPr>
                <w:rFonts w:ascii="宋体" w:eastAsia="宋体" w:hAnsi="宋体" w:cs="宋体" w:hint="eastAsia"/>
                <w:color w:val="000000"/>
                <w:sz w:val="21"/>
                <w:szCs w:val="21"/>
                <w:lang w:eastAsia="zh-CN"/>
              </w:rPr>
              <w:t>小时维修到位，并在48小时内消除故障（不可抗力情况除外）。消耗品和零配件供应及时，特殊情况下可提供备用机。</w:t>
            </w:r>
          </w:p>
        </w:tc>
      </w:tr>
      <w:tr>
        <w:tblPrEx>
          <w:tblW w:w="5000" w:type="pct"/>
          <w:tblInd w:w="108" w:type="dxa"/>
          <w:tblLayout w:type="fixed"/>
          <w:tblCellMar>
            <w:top w:w="0" w:type="dxa"/>
            <w:left w:w="108" w:type="dxa"/>
            <w:bottom w:w="0" w:type="dxa"/>
            <w:right w:w="108" w:type="dxa"/>
          </w:tblCellMar>
        </w:tblPrEx>
        <w:trPr>
          <w:trHeight w:val="350"/>
        </w:trPr>
        <w:tc>
          <w:tcPr>
            <w:tcW w:w="9203" w:type="dxa"/>
            <w:gridSpan w:val="3"/>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Merge w:val="restart"/>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关于交货</w:t>
            </w:r>
          </w:p>
        </w:tc>
        <w:tc>
          <w:tcPr>
            <w:tcW w:w="6323" w:type="dxa"/>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1.1</w:t>
            </w:r>
            <w:r>
              <w:rPr>
                <w:rFonts w:ascii="宋体" w:eastAsia="宋体" w:hAnsi="宋体" w:cs="宋体" w:hint="eastAsia"/>
                <w:sz w:val="21"/>
                <w:szCs w:val="21"/>
                <w:lang w:eastAsia="zh-CN"/>
              </w:rPr>
              <w:t>★</w:t>
            </w:r>
            <w:r>
              <w:rPr>
                <w:rFonts w:ascii="宋体" w:eastAsia="宋体" w:hAnsi="宋体" w:cs="宋体" w:hint="eastAsia"/>
                <w:bCs/>
                <w:sz w:val="21"/>
                <w:szCs w:val="21"/>
                <w:lang w:eastAsia="zh-CN"/>
              </w:rPr>
              <w:t>签订合同后_</w:t>
            </w:r>
            <w:r>
              <w:rPr>
                <w:rFonts w:ascii="宋体" w:eastAsia="宋体" w:hAnsi="宋体" w:cs="宋体" w:hint="eastAsia"/>
                <w:bCs/>
                <w:sz w:val="21"/>
                <w:szCs w:val="21"/>
                <w:u w:val="single"/>
                <w:lang w:eastAsia="zh-CN"/>
              </w:rPr>
              <w:t>15</w:t>
            </w:r>
            <w:r>
              <w:rPr>
                <w:rFonts w:ascii="宋体" w:eastAsia="宋体" w:hAnsi="宋体" w:cs="宋体" w:hint="eastAsia"/>
                <w:bCs/>
                <w:sz w:val="21"/>
                <w:szCs w:val="21"/>
                <w:lang w:eastAsia="zh-CN"/>
              </w:rPr>
              <w:t>_天（日历日）内。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vAlign w:val="center"/>
          </w:tcPr>
          <w:p>
            <w:pPr>
              <w:jc w:val="center"/>
              <w:rPr>
                <w:rFonts w:ascii="宋体" w:eastAsia="宋体" w:hAnsi="宋体" w:cs="宋体" w:hint="eastAsia"/>
                <w:b/>
                <w:sz w:val="21"/>
                <w:szCs w:val="21"/>
                <w:lang w:eastAsia="zh-CN"/>
              </w:rPr>
            </w:pPr>
          </w:p>
        </w:tc>
        <w:tc>
          <w:tcPr>
            <w:tcW w:w="1620" w:type="dxa"/>
            <w:vMerge/>
            <w:vAlign w:val="center"/>
          </w:tcPr>
          <w:p>
            <w:pPr>
              <w:jc w:val="center"/>
              <w:rPr>
                <w:rFonts w:ascii="宋体" w:eastAsia="宋体" w:hAnsi="宋体" w:cs="宋体" w:hint="eastAsia"/>
                <w:sz w:val="21"/>
                <w:szCs w:val="21"/>
                <w:lang w:eastAsia="zh-CN"/>
              </w:rPr>
            </w:pPr>
          </w:p>
        </w:tc>
        <w:tc>
          <w:tcPr>
            <w:tcW w:w="6323" w:type="dxa"/>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1.2投标人中标后，必须承担设备运输、安装调试、验收检测和提供设备操作说明书、图纸等其他类似的义务。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vMerge w:val="restart"/>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关于验收</w:t>
            </w:r>
          </w:p>
        </w:tc>
        <w:tc>
          <w:tcPr>
            <w:tcW w:w="6323" w:type="dxa"/>
          </w:tcPr>
          <w:p>
            <w:pPr>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2.1投标人中标后，其货物经过双方检验认可后，签署验收报告，产品保修期自验收合格之日起算，由投标人提供产品保修文件。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ign w:val="center"/>
          </w:tcPr>
          <w:p>
            <w:pPr>
              <w:jc w:val="center"/>
              <w:rPr>
                <w:rFonts w:ascii="宋体" w:eastAsia="宋体" w:hAnsi="宋体" w:cs="宋体" w:hint="eastAsia"/>
                <w:b/>
                <w:sz w:val="21"/>
                <w:szCs w:val="21"/>
                <w:lang w:eastAsia="zh-CN"/>
              </w:rPr>
            </w:pPr>
          </w:p>
        </w:tc>
        <w:tc>
          <w:tcPr>
            <w:tcW w:w="1620" w:type="dxa"/>
            <w:vMerge/>
          </w:tcPr>
          <w:p>
            <w:pPr>
              <w:rPr>
                <w:rFonts w:ascii="宋体" w:eastAsia="宋体" w:hAnsi="宋体" w:cs="宋体" w:hint="eastAsia"/>
                <w:b/>
                <w:sz w:val="21"/>
                <w:szCs w:val="21"/>
                <w:lang w:eastAsia="zh-CN"/>
              </w:rPr>
            </w:pPr>
          </w:p>
        </w:tc>
        <w:tc>
          <w:tcPr>
            <w:tcW w:w="6323" w:type="dxa"/>
          </w:tcPr>
          <w:p>
            <w:pPr>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2.2投标人中标后，当满足以下条件时，采购人才向投标人签发货物验收报告：</w:t>
            </w:r>
          </w:p>
          <w:p>
            <w:pPr>
              <w:tabs>
                <w:tab w:val="left" w:pos="1260"/>
              </w:tabs>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a、投标人已按照合同规定提供了全部产品及完整的技术资料。</w:t>
            </w:r>
          </w:p>
          <w:p>
            <w:pPr>
              <w:tabs>
                <w:tab w:val="left" w:pos="1260"/>
              </w:tabs>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b、货物符合采购文件技术规格书的要求，性能满足要求。</w:t>
            </w:r>
          </w:p>
          <w:p>
            <w:pPr>
              <w:tabs>
                <w:tab w:val="left" w:pos="1260"/>
              </w:tabs>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c、货物具备产品合格证。</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vMerge w:val="restart"/>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违约责任</w:t>
            </w:r>
          </w:p>
        </w:tc>
        <w:tc>
          <w:tcPr>
            <w:tcW w:w="6323" w:type="dxa"/>
          </w:tcPr>
          <w:p>
            <w:pPr>
              <w:spacing w:line="340" w:lineRule="exact"/>
              <w:rPr>
                <w:rFonts w:ascii="宋体" w:eastAsia="宋体" w:hAnsi="宋体" w:cs="宋体" w:hint="eastAsia"/>
                <w:bCs/>
                <w:sz w:val="21"/>
                <w:szCs w:val="21"/>
                <w:lang w:eastAsia="zh-CN"/>
              </w:rPr>
            </w:pPr>
            <w:r>
              <w:rPr>
                <w:rFonts w:ascii="宋体" w:eastAsia="宋体" w:hAnsi="宋体" w:cs="宋体" w:hint="eastAsia"/>
                <w:sz w:val="21"/>
                <w:szCs w:val="21"/>
                <w:lang w:eastAsia="zh-CN"/>
              </w:rPr>
              <w:t>3.1如</w:t>
            </w:r>
            <w:r>
              <w:rPr>
                <w:rFonts w:ascii="宋体" w:eastAsia="宋体" w:hAnsi="宋体" w:cs="宋体" w:hint="eastAsia"/>
                <w:bCs/>
                <w:sz w:val="21"/>
                <w:szCs w:val="21"/>
                <w:lang w:eastAsia="zh-CN"/>
              </w:rPr>
              <w:t>投标人中标后</w:t>
            </w:r>
            <w:r>
              <w:rPr>
                <w:rFonts w:ascii="宋体" w:eastAsia="宋体" w:hAnsi="宋体" w:cs="宋体" w:hint="eastAsia"/>
                <w:sz w:val="21"/>
                <w:szCs w:val="21"/>
                <w:lang w:eastAsia="zh-CN"/>
              </w:rPr>
              <w:t>未按照投标文件中承诺的时间交货或提供服务，</w:t>
            </w:r>
            <w:r>
              <w:rPr>
                <w:rFonts w:ascii="宋体" w:eastAsia="宋体" w:hAnsi="宋体" w:cs="宋体" w:hint="eastAsia"/>
                <w:bCs/>
                <w:sz w:val="21"/>
                <w:szCs w:val="21"/>
                <w:lang w:eastAsia="zh-CN"/>
              </w:rPr>
              <w:t>投标人</w:t>
            </w:r>
            <w:r>
              <w:rPr>
                <w:rFonts w:ascii="宋体" w:eastAsia="宋体" w:hAnsi="宋体" w:cs="宋体" w:hint="eastAsia"/>
                <w:sz w:val="21"/>
                <w:szCs w:val="21"/>
                <w:lang w:eastAsia="zh-CN"/>
              </w:rPr>
              <w:t>应承担延期交货和延期服务的违约责任，并赔偿采购人因此造成的实际经济损失，采购人有权终止合同。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ign w:val="center"/>
          </w:tcPr>
          <w:p>
            <w:pPr>
              <w:jc w:val="center"/>
              <w:rPr>
                <w:rFonts w:ascii="宋体" w:eastAsia="宋体" w:hAnsi="宋体" w:cs="宋体" w:hint="eastAsia"/>
                <w:bCs/>
                <w:sz w:val="21"/>
                <w:szCs w:val="21"/>
                <w:lang w:eastAsia="zh-CN"/>
              </w:rPr>
            </w:pPr>
          </w:p>
        </w:tc>
        <w:tc>
          <w:tcPr>
            <w:tcW w:w="1620" w:type="dxa"/>
            <w:vMerge/>
            <w:vAlign w:val="center"/>
          </w:tcPr>
          <w:p>
            <w:pPr>
              <w:jc w:val="center"/>
              <w:rPr>
                <w:rFonts w:ascii="宋体" w:eastAsia="宋体" w:hAnsi="宋体" w:cs="宋体" w:hint="eastAsia"/>
                <w:bCs/>
                <w:sz w:val="21"/>
                <w:szCs w:val="21"/>
                <w:lang w:eastAsia="zh-CN"/>
              </w:rPr>
            </w:pPr>
          </w:p>
        </w:tc>
        <w:tc>
          <w:tcPr>
            <w:tcW w:w="6323" w:type="dxa"/>
          </w:tcPr>
          <w:p>
            <w:pPr>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 xml:space="preserve">3.2投标人中标后所交设备的品种、型号、规格、质量、功能、技术参数等方面不能实质性满足采购文件要求的，采购人有权拒绝收货，投标人向采购人偿付项目采购金额【15】% （10%以上20%以下）的违约金并采取更换、补足等补救措施，致使逾期交付的，还应承担逾期交付的违约责任。 </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ign w:val="center"/>
          </w:tcPr>
          <w:p>
            <w:pPr>
              <w:jc w:val="center"/>
              <w:rPr>
                <w:rFonts w:ascii="宋体" w:eastAsia="宋体" w:hAnsi="宋体" w:cs="宋体" w:hint="eastAsia"/>
                <w:bCs/>
                <w:sz w:val="21"/>
                <w:szCs w:val="21"/>
                <w:lang w:eastAsia="zh-CN"/>
              </w:rPr>
            </w:pPr>
          </w:p>
        </w:tc>
        <w:tc>
          <w:tcPr>
            <w:tcW w:w="1620" w:type="dxa"/>
            <w:vMerge/>
            <w:vAlign w:val="center"/>
          </w:tcPr>
          <w:p>
            <w:pPr>
              <w:jc w:val="center"/>
              <w:rPr>
                <w:rFonts w:ascii="宋体" w:eastAsia="宋体" w:hAnsi="宋体" w:cs="宋体" w:hint="eastAsia"/>
                <w:bCs/>
                <w:sz w:val="21"/>
                <w:szCs w:val="21"/>
                <w:lang w:eastAsia="zh-CN"/>
              </w:rPr>
            </w:pPr>
          </w:p>
        </w:tc>
        <w:tc>
          <w:tcPr>
            <w:tcW w:w="6323" w:type="dxa"/>
          </w:tcPr>
          <w:p>
            <w:pPr>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3.3投标人中标后不能交付设备的，投标人向采购人偿付项目采购金额【15】%（10%以上20%以下）的违约金。</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ign w:val="center"/>
          </w:tcPr>
          <w:p>
            <w:pPr>
              <w:jc w:val="center"/>
              <w:rPr>
                <w:rFonts w:ascii="宋体" w:eastAsia="宋体" w:hAnsi="宋体" w:cs="宋体" w:hint="eastAsia"/>
                <w:bCs/>
                <w:sz w:val="21"/>
                <w:szCs w:val="21"/>
                <w:lang w:eastAsia="zh-CN"/>
              </w:rPr>
            </w:pPr>
          </w:p>
        </w:tc>
        <w:tc>
          <w:tcPr>
            <w:tcW w:w="1620" w:type="dxa"/>
            <w:vMerge/>
          </w:tcPr>
          <w:p>
            <w:pPr>
              <w:rPr>
                <w:rFonts w:ascii="宋体" w:eastAsia="宋体" w:hAnsi="宋体" w:cs="宋体" w:hint="eastAsia"/>
                <w:bCs/>
                <w:sz w:val="21"/>
                <w:szCs w:val="21"/>
                <w:lang w:eastAsia="zh-CN"/>
              </w:rPr>
            </w:pPr>
          </w:p>
        </w:tc>
        <w:tc>
          <w:tcPr>
            <w:tcW w:w="6323" w:type="dxa"/>
          </w:tcPr>
          <w:p>
            <w:pPr>
              <w:spacing w:line="340" w:lineRule="exact"/>
              <w:rPr>
                <w:rFonts w:ascii="宋体" w:eastAsia="宋体" w:hAnsi="宋体" w:cs="宋体" w:hint="eastAsia"/>
                <w:bCs/>
                <w:sz w:val="21"/>
                <w:szCs w:val="21"/>
                <w:lang w:eastAsia="zh-CN"/>
              </w:rPr>
            </w:pPr>
            <w:r>
              <w:rPr>
                <w:rFonts w:ascii="宋体" w:eastAsia="宋体" w:hAnsi="宋体" w:cs="宋体" w:hint="eastAsia"/>
                <w:bCs/>
                <w:sz w:val="21"/>
                <w:szCs w:val="21"/>
                <w:lang w:eastAsia="zh-CN"/>
              </w:rPr>
              <w:t>3.4投标人中标后逾期交付货物的，每逾期1天，投标人向采购人偿付项目采购金额的【5】‰（1‰以上5‰以下）的违约金。如投标人逾期交货达</w:t>
            </w:r>
            <w:r>
              <w:rPr>
                <w:rFonts w:ascii="宋体" w:eastAsia="宋体" w:hAnsi="宋体" w:cs="宋体" w:hint="eastAsia"/>
                <w:bCs/>
                <w:sz w:val="21"/>
                <w:szCs w:val="21"/>
                <w:u w:val="single"/>
                <w:lang w:eastAsia="zh-CN"/>
              </w:rPr>
              <w:t xml:space="preserve"> 30 </w:t>
            </w:r>
            <w:r>
              <w:rPr>
                <w:rFonts w:ascii="宋体" w:eastAsia="宋体" w:hAnsi="宋体" w:cs="宋体" w:hint="eastAsia"/>
                <w:bCs/>
                <w:sz w:val="21"/>
                <w:szCs w:val="21"/>
                <w:lang w:eastAsia="zh-CN"/>
              </w:rPr>
              <w:t>天，采购人有权解除合同。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ign w:val="center"/>
          </w:tcPr>
          <w:p>
            <w:pPr>
              <w:jc w:val="center"/>
              <w:rPr>
                <w:rFonts w:ascii="宋体" w:eastAsia="宋体" w:hAnsi="宋体" w:cs="宋体" w:hint="eastAsia"/>
                <w:bCs/>
                <w:sz w:val="21"/>
                <w:szCs w:val="21"/>
                <w:lang w:eastAsia="zh-CN"/>
              </w:rPr>
            </w:pPr>
          </w:p>
        </w:tc>
        <w:tc>
          <w:tcPr>
            <w:tcW w:w="1620" w:type="dxa"/>
            <w:vMerge/>
          </w:tcPr>
          <w:p>
            <w:pPr>
              <w:rPr>
                <w:rFonts w:ascii="宋体" w:eastAsia="宋体" w:hAnsi="宋体" w:cs="宋体" w:hint="eastAsia"/>
                <w:bCs/>
                <w:sz w:val="21"/>
                <w:szCs w:val="21"/>
                <w:lang w:eastAsia="zh-CN"/>
              </w:rPr>
            </w:pPr>
          </w:p>
        </w:tc>
        <w:tc>
          <w:tcPr>
            <w:tcW w:w="6323" w:type="dxa"/>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3.5投标人中标后，在其承诺的或国家规定的质量保证期内（取两者中最长的期限），如经投标人两次维修或更换，货物仍不能达到采购文件要求及投标文件承诺的质量标准，采购人有权退货，投标人应退回全部货款并赔偿采购人因此遭受的损失。</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ign w:val="center"/>
          </w:tcPr>
          <w:p>
            <w:pPr>
              <w:jc w:val="center"/>
              <w:rPr>
                <w:rFonts w:ascii="宋体" w:eastAsia="宋体" w:hAnsi="宋体" w:cs="宋体" w:hint="eastAsia"/>
                <w:bCs/>
                <w:sz w:val="21"/>
                <w:szCs w:val="21"/>
                <w:lang w:eastAsia="zh-CN"/>
              </w:rPr>
            </w:pPr>
          </w:p>
        </w:tc>
        <w:tc>
          <w:tcPr>
            <w:tcW w:w="1620" w:type="dxa"/>
            <w:vMerge/>
          </w:tcPr>
          <w:p>
            <w:pPr>
              <w:rPr>
                <w:rFonts w:ascii="宋体" w:eastAsia="宋体" w:hAnsi="宋体" w:cs="宋体" w:hint="eastAsia"/>
                <w:bCs/>
                <w:sz w:val="21"/>
                <w:szCs w:val="21"/>
                <w:lang w:eastAsia="zh-CN"/>
              </w:rPr>
            </w:pPr>
          </w:p>
        </w:tc>
        <w:tc>
          <w:tcPr>
            <w:tcW w:w="6323" w:type="dxa"/>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3.6投标人中标后在承担上述一项或多项违约责任后，仍应继续履行合同规定的义务（采购人解除合同的除外）。采购人未能及时追究投标人的任何一项违约责任并不表明采购人放弃追究投标人该项或其他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w:t>
            </w:r>
          </w:p>
        </w:tc>
        <w:tc>
          <w:tcPr>
            <w:tcW w:w="162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其他</w:t>
            </w:r>
          </w:p>
        </w:tc>
        <w:tc>
          <w:tcPr>
            <w:tcW w:w="6323" w:type="dxa"/>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投标人中标后应按其投标文件中的承诺，进行其他售后服务工作。</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hint="eastAsia"/>
          <w:bCs/>
          <w:kern w:val="2"/>
          <w:sz w:val="21"/>
          <w:szCs w:val="22"/>
          <w:lang w:eastAsia="zh-CN"/>
        </w:rPr>
        <w:t>评分时，如对一项招标技术要求（以划分框为准）中的内容存在两处（或以上）负偏离的，在评分时只作一项负偏离扣分。</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0"/>
        <w:gridCol w:w="1012"/>
        <w:gridCol w:w="7154"/>
      </w:tblGrid>
      <w:tr>
        <w:tblPrEx>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710"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047"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7464"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b/>
                <w:sz w:val="21"/>
                <w:szCs w:val="21"/>
              </w:rPr>
            </w:pPr>
            <w:r>
              <w:rPr>
                <w:rFonts w:ascii="宋体" w:eastAsia="宋体" w:hAnsi="宋体" w:cs="宋体" w:hint="eastAsia"/>
                <w:color w:val="000000"/>
                <w:sz w:val="21"/>
                <w:szCs w:val="21"/>
              </w:rPr>
              <w:t>1</w:t>
            </w:r>
          </w:p>
        </w:tc>
        <w:tc>
          <w:tcPr>
            <w:tcW w:w="1047" w:type="dxa"/>
            <w:vMerge w:val="restart"/>
            <w:vAlign w:val="center"/>
          </w:tcPr>
          <w:p>
            <w:pPr>
              <w:rPr>
                <w:rFonts w:ascii="宋体" w:eastAsia="宋体" w:hAnsi="宋体" w:cs="宋体" w:hint="eastAsia"/>
                <w:b/>
                <w:sz w:val="21"/>
                <w:szCs w:val="21"/>
              </w:rPr>
            </w:pPr>
            <w:r>
              <w:rPr>
                <w:rFonts w:ascii="宋体" w:eastAsia="宋体" w:hAnsi="宋体" w:cs="宋体" w:hint="eastAsia"/>
                <w:sz w:val="21"/>
                <w:szCs w:val="21"/>
              </w:rPr>
              <w:t>监控视频存储</w:t>
            </w: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1、配置：≥1颗64位多核处理器，≥4GB内存，内存支持扩展到≥64GB，可以扩展到≥2个SSD作为缓盘，可支持 ≥6个风扇，风扇支持热插拔并可冗余温控调速，采用可热插拔 1+1AC220V 电源</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lang w:eastAsia="zh-CN"/>
              </w:rPr>
            </w:pPr>
          </w:p>
        </w:tc>
        <w:tc>
          <w:tcPr>
            <w:tcW w:w="1047" w:type="dxa"/>
            <w:vMerge/>
            <w:vAlign w:val="center"/>
          </w:tcPr>
          <w:p>
            <w:pPr>
              <w:rPr>
                <w:rFonts w:ascii="宋体" w:eastAsia="宋体" w:hAnsi="宋体" w:cs="宋体" w:hint="eastAsia"/>
                <w:b/>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2、支持红灯/蓝灯报警，可根据故障紧急程度分级报警，不同级别闪烁不同颜色保养灯，保养灯闪烁时长、频率可设</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lang w:eastAsia="zh-CN"/>
              </w:rPr>
            </w:pPr>
          </w:p>
        </w:tc>
        <w:tc>
          <w:tcPr>
            <w:tcW w:w="1047" w:type="dxa"/>
            <w:vMerge/>
            <w:vAlign w:val="center"/>
          </w:tcPr>
          <w:p>
            <w:pPr>
              <w:rPr>
                <w:rFonts w:ascii="宋体" w:eastAsia="宋体" w:hAnsi="宋体" w:cs="宋体" w:hint="eastAsia"/>
                <w:b/>
                <w:sz w:val="21"/>
                <w:szCs w:val="21"/>
                <w:lang w:eastAsia="zh-CN"/>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3、标配≥2个千兆网口，支持 PCI-E3.0 插槽，可扩展 RS485 接口、eSATA 接口，可扩展至≥7个千兆网口或增配≥2个10Gb/25Gb光纤接口或增配≥4个8Gb/16Gb光纤接口或增配≥4个HDMI接口或增配≥3个Mini SAS HD接口，可支持 PCI-E X16和 PCI-E X8 ，可支持≥12GB SAS扩展口</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rPr>
            </w:pPr>
          </w:p>
        </w:tc>
        <w:tc>
          <w:tcPr>
            <w:tcW w:w="1047" w:type="dxa"/>
            <w:vMerge/>
            <w:vAlign w:val="center"/>
          </w:tcPr>
          <w:p>
            <w:pPr>
              <w:rPr>
                <w:rFonts w:ascii="宋体" w:eastAsia="宋体" w:hAnsi="宋体" w:cs="宋体" w:hint="eastAsia"/>
                <w:b/>
                <w:sz w:val="21"/>
                <w:szCs w:val="21"/>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4、可接入2T/3T/4T/6T/8T/10T/12T/14T/16T/18T/20T/25T/26T SATA/SAS硬盘；支持NL-SAS 硬盘、HDD硬盘、SSD硬盘、氦气硬盘、空气硬盘；支持 CMR或SMR硬盘；支持硬盘交错/分时启动，节省功耗。</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rPr>
            </w:pPr>
          </w:p>
        </w:tc>
        <w:tc>
          <w:tcPr>
            <w:tcW w:w="1047" w:type="dxa"/>
            <w:vMerge/>
            <w:vAlign w:val="center"/>
          </w:tcPr>
          <w:p>
            <w:pPr>
              <w:rPr>
                <w:rFonts w:ascii="宋体" w:eastAsia="宋体" w:hAnsi="宋体" w:cs="宋体" w:hint="eastAsia"/>
                <w:b/>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rPr>
              <w:t>5、支持国际GB/T 28181和Onvif视频流直存模式；支持iSCSI直存功能，前端网络摄像机和设备之间可直接通过iSCSI协议进行块存储；</w:t>
            </w:r>
            <w:r>
              <w:rPr>
                <w:rFonts w:ascii="宋体" w:eastAsia="宋体" w:hAnsi="宋体" w:cs="宋体" w:hint="eastAsia"/>
                <w:b/>
                <w:bCs/>
                <w:color w:val="000000"/>
                <w:sz w:val="21"/>
                <w:szCs w:val="21"/>
                <w:lang w:eastAsia="zh-CN"/>
              </w:rPr>
              <w:t>（需提供拥有CMA认证标识的第三方检测机构出具检测报告扫描件，</w:t>
            </w:r>
            <w:r>
              <w:rPr>
                <w:rFonts w:ascii="宋体" w:eastAsia="宋体" w:hAnsi="宋体" w:cs="宋体" w:hint="eastAsia"/>
                <w:b/>
                <w:bCs/>
                <w:sz w:val="21"/>
                <w:szCs w:val="21"/>
                <w:lang w:eastAsia="zh-CN"/>
              </w:rPr>
              <w:t>要求内容能体现满足上述参数要求。检测报告需提供全国认证认可信息公共服务平台网站（http://cx.cnca.cn/CertECloud/qts/qts/qtsPage）查询截图作为证明材料）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lang w:eastAsia="zh-CN"/>
              </w:rPr>
            </w:pPr>
          </w:p>
        </w:tc>
        <w:tc>
          <w:tcPr>
            <w:tcW w:w="1047" w:type="dxa"/>
            <w:vMerge/>
            <w:vAlign w:val="center"/>
          </w:tcPr>
          <w:p>
            <w:pPr>
              <w:rPr>
                <w:rFonts w:ascii="宋体" w:eastAsia="宋体" w:hAnsi="宋体" w:cs="宋体" w:hint="eastAsia"/>
                <w:b/>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rPr>
              <w:t>6、支持查看硬盘体检的历史记录、硬盘健康状态，并对硬盘健康状态进行分级分类，包括健康（良好、正常）、亚健康（警告、即将损坏）、故障（错误、损坏）等；支持硬盘体检报告打印输出；</w:t>
            </w:r>
            <w:r>
              <w:rPr>
                <w:rFonts w:ascii="宋体" w:eastAsia="宋体" w:hAnsi="宋体" w:cs="宋体" w:hint="eastAsia"/>
                <w:b/>
                <w:bCs/>
                <w:color w:val="000000"/>
                <w:sz w:val="21"/>
                <w:szCs w:val="21"/>
                <w:lang w:eastAsia="zh-CN"/>
              </w:rPr>
              <w:t>（需提供拥有CMA认证标识的第三方检测机构出具检测报告扫描件，</w:t>
            </w:r>
            <w:r>
              <w:rPr>
                <w:rFonts w:ascii="宋体" w:eastAsia="宋体" w:hAnsi="宋体" w:cs="宋体" w:hint="eastAsia"/>
                <w:b/>
                <w:bCs/>
                <w:sz w:val="21"/>
                <w:szCs w:val="21"/>
                <w:lang w:eastAsia="zh-CN"/>
              </w:rPr>
              <w:t>要求内容能体现满足上述参数要求。检测报告需提供全国认证认可信息公共服务平台网站（http://cx.cnca.cn/CertECloud/qts/qts/qtsPage）查询截图作为证明材料）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lang w:eastAsia="zh-CN"/>
              </w:rPr>
            </w:pPr>
          </w:p>
        </w:tc>
        <w:tc>
          <w:tcPr>
            <w:tcW w:w="1047" w:type="dxa"/>
            <w:vMerge/>
            <w:vAlign w:val="center"/>
          </w:tcPr>
          <w:p>
            <w:pPr>
              <w:rPr>
                <w:rFonts w:ascii="宋体" w:eastAsia="宋体" w:hAnsi="宋体" w:cs="宋体" w:hint="eastAsia"/>
                <w:b/>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7、支持内存资源动态调节，根据业务需求进行自动分配，当业务压力增加时，内存自动分配</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lang w:eastAsia="zh-CN"/>
              </w:rPr>
            </w:pPr>
          </w:p>
        </w:tc>
        <w:tc>
          <w:tcPr>
            <w:tcW w:w="1047" w:type="dxa"/>
            <w:vMerge/>
            <w:vAlign w:val="center"/>
          </w:tcPr>
          <w:p>
            <w:pPr>
              <w:rPr>
                <w:rFonts w:ascii="宋体" w:eastAsia="宋体" w:hAnsi="宋体" w:cs="宋体" w:hint="eastAsia"/>
                <w:b/>
                <w:sz w:val="21"/>
                <w:szCs w:val="21"/>
                <w:lang w:eastAsia="zh-CN"/>
              </w:rPr>
            </w:pPr>
          </w:p>
        </w:tc>
        <w:tc>
          <w:tcPr>
            <w:tcW w:w="7464" w:type="dxa"/>
            <w:vAlign w:val="center"/>
          </w:tcPr>
          <w:p>
            <w:pP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rPr>
              <w:t>8、支持通过IE、火狐、Google、QQ、360、遨游、搜狗、百度、猎豹、欧朋浏览器对样机进行操作；对单个或多个设备或设备内的磁盘进行定位，并可设置时间，支持存储硬盘出现故障，对应硬盘槽位有报警灯光提示</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b/>
                <w:sz w:val="21"/>
                <w:szCs w:val="21"/>
              </w:rPr>
            </w:pPr>
            <w:r>
              <w:rPr>
                <w:rFonts w:ascii="宋体" w:eastAsia="宋体" w:hAnsi="宋体" w:cs="宋体" w:hint="eastAsia"/>
                <w:color w:val="000000"/>
                <w:sz w:val="21"/>
                <w:szCs w:val="21"/>
              </w:rPr>
              <w:t>2</w:t>
            </w:r>
          </w:p>
        </w:tc>
        <w:tc>
          <w:tcPr>
            <w:tcW w:w="1047" w:type="dxa"/>
            <w:vMerge w:val="restart"/>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黑光枪型摄像头</w:t>
            </w:r>
          </w:p>
        </w:tc>
        <w:tc>
          <w:tcPr>
            <w:tcW w:w="7464" w:type="dxa"/>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1、分辨率设置为≥2560×1440@25fps，分辨力不小于1400TVL；</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color w:val="000000"/>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2、内置双镜头，靶面尺寸均不低于1/1.8英寸；</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rPr>
              <w:t>3、内置两个图像传感器，分别输出黑白及彩色图像，可对视频图像进行融合输出；</w:t>
            </w:r>
            <w:r>
              <w:rPr>
                <w:rFonts w:ascii="宋体" w:eastAsia="宋体" w:hAnsi="宋体" w:cs="宋体" w:hint="eastAsia"/>
                <w:b/>
                <w:bCs/>
                <w:color w:val="000000"/>
                <w:sz w:val="21"/>
                <w:szCs w:val="21"/>
                <w:lang w:eastAsia="zh-CN"/>
              </w:rPr>
              <w:t>（需提供拥有CMA认证标识的第三方检测机构出具检测报告扫描件，</w:t>
            </w:r>
            <w:r>
              <w:rPr>
                <w:rFonts w:ascii="宋体" w:eastAsia="宋体" w:hAnsi="宋体" w:cs="宋体" w:hint="eastAsia"/>
                <w:b/>
                <w:bCs/>
                <w:sz w:val="21"/>
                <w:szCs w:val="21"/>
                <w:lang w:eastAsia="zh-CN"/>
              </w:rPr>
              <w:t>要求内容能体现满足上述参数要求。检测报告需提供全国认证认可信息公共服务平台网站（http://cx.cnca.cn/CertECloud/qts/qts/qtsPage）查询截图作为证明材料）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4、内置GPU芯片；</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color w:val="000000"/>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5、最低照度彩色：0.0002 lx，黑白:0.0001 lx，最大亮度鉴别等级（灰度等级）不小于11级；</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6、内置混合补光灯，每颗补光灯由红外灯、白光灯组成，可自动或手动调节补光灯的亮度；</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7、人脸检出率不小于99%；</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rPr>
              <w:t>8、设备具有耀光抑制功能，耀光区域≤1%；</w:t>
            </w:r>
            <w:r>
              <w:rPr>
                <w:rFonts w:ascii="宋体" w:eastAsia="宋体" w:hAnsi="宋体" w:cs="宋体" w:hint="eastAsia"/>
                <w:b/>
                <w:bCs/>
                <w:color w:val="000000"/>
                <w:sz w:val="21"/>
                <w:szCs w:val="21"/>
                <w:lang w:eastAsia="zh-CN"/>
              </w:rPr>
              <w:t>（需提供拥有CMA标识的第三方检测机构出具检测报告扫描件，</w:t>
            </w:r>
            <w:r>
              <w:rPr>
                <w:rFonts w:ascii="宋体" w:eastAsia="宋体" w:hAnsi="宋体" w:cs="宋体" w:hint="eastAsia"/>
                <w:b/>
                <w:bCs/>
                <w:sz w:val="21"/>
                <w:szCs w:val="21"/>
                <w:lang w:eastAsia="zh-CN"/>
              </w:rPr>
              <w:t>要求内容能体现满足上述参数要求。检测报告需提供全国认证认可信息公共服务平台网站（http://cx.cnca.cn/CertECloud/qts/qts/qtsPage）查询截图作为证明材料）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
                <w:sz w:val="21"/>
                <w:szCs w:val="21"/>
                <w:lang w:eastAsia="zh-CN"/>
              </w:rPr>
            </w:pPr>
          </w:p>
        </w:tc>
        <w:tc>
          <w:tcPr>
            <w:tcW w:w="1047" w:type="dxa"/>
            <w:vMerge/>
            <w:vAlign w:val="center"/>
          </w:tcPr>
          <w:p>
            <w:pPr>
              <w:rPr>
                <w:rFonts w:ascii="宋体" w:eastAsia="宋体" w:hAnsi="宋体" w:cs="宋体" w:hint="eastAsia"/>
                <w:b/>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9、不低于IP67防尘防水等级</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rPr>
              <w:t>3</w:t>
            </w:r>
          </w:p>
        </w:tc>
        <w:tc>
          <w:tcPr>
            <w:tcW w:w="1047" w:type="dxa"/>
            <w:vMerge w:val="restart"/>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8口光网络交换设备</w:t>
            </w:r>
          </w:p>
        </w:tc>
        <w:tc>
          <w:tcPr>
            <w:tcW w:w="7464" w:type="dxa"/>
            <w:vAlign w:val="center"/>
          </w:tcPr>
          <w:p>
            <w:pPr>
              <w:rPr>
                <w:rFonts w:ascii="宋体" w:eastAsia="宋体" w:hAnsi="宋体" w:cs="宋体" w:hint="eastAsia"/>
                <w:bCs/>
                <w:sz w:val="21"/>
                <w:szCs w:val="21"/>
              </w:rPr>
            </w:pPr>
            <w:r>
              <w:rPr>
                <w:rFonts w:ascii="宋体" w:eastAsia="宋体" w:hAnsi="宋体" w:cs="宋体" w:hint="eastAsia"/>
                <w:bCs/>
                <w:sz w:val="21"/>
                <w:szCs w:val="21"/>
              </w:rPr>
              <w:t>1、上行提供≥1个GPON接口、下行支持≥8*GE，其中 PoE1~PoE4 接口支持PoE/PoE+；</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bCs/>
                <w:sz w:val="21"/>
                <w:szCs w:val="21"/>
              </w:rPr>
            </w:pPr>
            <w:r>
              <w:rPr>
                <w:rFonts w:ascii="宋体" w:eastAsia="宋体" w:hAnsi="宋体" w:cs="宋体" w:hint="eastAsia"/>
                <w:bCs/>
                <w:sz w:val="21"/>
                <w:szCs w:val="21"/>
              </w:rPr>
              <w:t>2、防雷性能：</w:t>
            </w:r>
            <w:r>
              <w:rPr>
                <w:rFonts w:ascii="宋体" w:eastAsia="宋体" w:hAnsi="宋体" w:cs="宋体" w:hint="eastAsia"/>
                <w:color w:val="000000"/>
                <w:sz w:val="21"/>
                <w:szCs w:val="21"/>
              </w:rPr>
              <w:t>≥</w:t>
            </w:r>
            <w:r>
              <w:rPr>
                <w:rFonts w:ascii="宋体" w:eastAsia="宋体" w:hAnsi="宋体" w:cs="宋体" w:hint="eastAsia"/>
                <w:bCs/>
                <w:sz w:val="21"/>
                <w:szCs w:val="21"/>
              </w:rPr>
              <w:t xml:space="preserve"> 6kV；</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3、工作温度:-5°C ~ +45°C；</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4、环境湿度:5% RH ～ 95% RH，非凝结；</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5、统一网管：支持网管系统集中管理</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b/>
                <w:sz w:val="21"/>
                <w:szCs w:val="21"/>
                <w:lang w:eastAsia="zh-CN"/>
              </w:rPr>
              <w:t>6、支持802.1x，提供官网链接和截图或产品彩页</w:t>
            </w:r>
            <w:r>
              <w:rPr>
                <w:rFonts w:ascii="宋体" w:eastAsia="宋体" w:hAnsi="宋体" w:cs="宋体" w:hint="eastAsia"/>
                <w:b/>
                <w:bCs/>
                <w:color w:val="000000"/>
                <w:sz w:val="21"/>
                <w:szCs w:val="21"/>
                <w:lang w:eastAsia="zh-CN"/>
              </w:rPr>
              <w:t>扫描件</w:t>
            </w:r>
            <w:r>
              <w:rPr>
                <w:rFonts w:ascii="宋体" w:eastAsia="宋体" w:hAnsi="宋体" w:cs="宋体" w:hint="eastAsia"/>
                <w:b/>
                <w:sz w:val="21"/>
                <w:szCs w:val="21"/>
                <w:lang w:eastAsia="zh-CN"/>
              </w:rPr>
              <w:t>；</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7、支持静态 MAC 地址绑定；</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b/>
                <w:sz w:val="21"/>
                <w:szCs w:val="21"/>
                <w:lang w:eastAsia="zh-CN"/>
              </w:rPr>
              <w:t>8、支持Type B（单双归属）保护，提供官网链接和截图或产品彩页</w:t>
            </w:r>
            <w:r>
              <w:rPr>
                <w:rFonts w:ascii="宋体" w:eastAsia="宋体" w:hAnsi="宋体" w:cs="宋体" w:hint="eastAsia"/>
                <w:b/>
                <w:bCs/>
                <w:color w:val="000000"/>
                <w:sz w:val="21"/>
                <w:szCs w:val="21"/>
                <w:lang w:eastAsia="zh-CN"/>
              </w:rPr>
              <w:t>扫描件</w:t>
            </w:r>
            <w:r>
              <w:rPr>
                <w:rFonts w:ascii="宋体" w:eastAsia="宋体" w:hAnsi="宋体" w:cs="宋体" w:hint="eastAsia"/>
                <w:b/>
                <w:sz w:val="21"/>
                <w:szCs w:val="21"/>
                <w:lang w:eastAsia="zh-CN"/>
              </w:rPr>
              <w:t>；</w:t>
            </w:r>
          </w:p>
        </w:tc>
      </w:tr>
      <w:tr>
        <w:tblPrEx>
          <w:tblW w:w="5000" w:type="pct"/>
          <w:tblInd w:w="107" w:type="dxa"/>
          <w:tblLayout w:type="fixed"/>
          <w:tblCellMar>
            <w:top w:w="0" w:type="dxa"/>
            <w:left w:w="108" w:type="dxa"/>
            <w:bottom w:w="0" w:type="dxa"/>
            <w:right w:w="108" w:type="dxa"/>
          </w:tblCellMar>
        </w:tblPrEx>
        <w:trPr>
          <w:trHeight w:val="90"/>
        </w:trPr>
        <w:tc>
          <w:tcPr>
            <w:tcW w:w="710" w:type="dxa"/>
            <w:vMerge/>
            <w:vAlign w:val="center"/>
          </w:tcPr>
          <w:p>
            <w:pPr>
              <w:jc w:val="center"/>
              <w:rPr>
                <w:rFonts w:ascii="宋体" w:eastAsia="宋体" w:hAnsi="宋体" w:cs="宋体" w:hint="eastAsia"/>
                <w:bCs/>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Cs/>
                <w:sz w:val="21"/>
                <w:szCs w:val="21"/>
              </w:rPr>
            </w:pPr>
            <w:r>
              <w:rPr>
                <w:rFonts w:ascii="宋体" w:eastAsia="宋体" w:hAnsi="宋体" w:cs="宋体" w:hint="eastAsia"/>
                <w:bCs/>
                <w:sz w:val="21"/>
                <w:szCs w:val="21"/>
              </w:rPr>
              <w:t>9、支持IPv6；</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bCs/>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10、为确保网络兼容性和稳定性，要求此设备和现有OLT设备同一品牌；</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b/>
                <w:sz w:val="21"/>
                <w:szCs w:val="21"/>
              </w:rPr>
            </w:pPr>
            <w:r>
              <w:rPr>
                <w:rFonts w:ascii="宋体" w:eastAsia="宋体" w:hAnsi="宋体" w:cs="宋体" w:hint="eastAsia"/>
                <w:color w:val="000000"/>
                <w:sz w:val="21"/>
                <w:szCs w:val="21"/>
              </w:rPr>
              <w:t>4</w:t>
            </w:r>
          </w:p>
        </w:tc>
        <w:tc>
          <w:tcPr>
            <w:tcW w:w="1047" w:type="dxa"/>
            <w:vMerge w:val="restart"/>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24口光网络交换设备</w:t>
            </w:r>
          </w:p>
        </w:tc>
        <w:tc>
          <w:tcPr>
            <w:tcW w:w="7464" w:type="dxa"/>
            <w:vAlign w:val="center"/>
          </w:tcPr>
          <w:p>
            <w:pPr>
              <w:rPr>
                <w:rFonts w:ascii="宋体" w:eastAsia="宋体" w:hAnsi="宋体" w:cs="宋体" w:hint="eastAsia"/>
                <w:b/>
                <w:bCs/>
                <w:sz w:val="21"/>
                <w:szCs w:val="21"/>
              </w:rPr>
            </w:pPr>
            <w:r>
              <w:rPr>
                <w:rFonts w:ascii="宋体" w:eastAsia="宋体" w:hAnsi="宋体" w:cs="宋体" w:hint="eastAsia"/>
                <w:b/>
                <w:bCs/>
                <w:sz w:val="21"/>
                <w:szCs w:val="21"/>
              </w:rPr>
              <w:t>1、上行最大提供≥2*GPON(1*BOB+1*SFP),下行支持≥2*10GE(光) + 2*10GE(电) + 24*GE, 10GE(电)和 GE 接口支持 PoE++，提供官网链接和截图或产品彩页</w:t>
            </w:r>
            <w:r>
              <w:rPr>
                <w:rFonts w:ascii="宋体" w:eastAsia="宋体" w:hAnsi="宋体" w:cs="宋体" w:hint="eastAsia"/>
                <w:b/>
                <w:bCs/>
                <w:color w:val="000000"/>
                <w:sz w:val="21"/>
                <w:szCs w:val="21"/>
              </w:rPr>
              <w:t>扫描件</w:t>
            </w:r>
            <w:r>
              <w:rPr>
                <w:rFonts w:ascii="宋体" w:eastAsia="宋体" w:hAnsi="宋体" w:cs="宋体" w:hint="eastAsia"/>
                <w:b/>
                <w:bCs/>
                <w:sz w:val="21"/>
                <w:szCs w:val="21"/>
              </w:rPr>
              <w:t>；</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color w:val="000000"/>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2、防雷性能：AC 电源 6kV；</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3、工作温度:-40°C～65°C，提供官网链接和截图或产品彩页</w:t>
            </w:r>
            <w:r>
              <w:rPr>
                <w:rFonts w:ascii="宋体" w:eastAsia="宋体" w:hAnsi="宋体" w:cs="宋体" w:hint="eastAsia"/>
                <w:b/>
                <w:bCs/>
                <w:color w:val="000000"/>
                <w:sz w:val="21"/>
                <w:szCs w:val="21"/>
                <w:lang w:eastAsia="zh-CN"/>
              </w:rPr>
              <w:t>扫描件</w:t>
            </w:r>
            <w:r>
              <w:rPr>
                <w:rFonts w:ascii="宋体" w:eastAsia="宋体" w:hAnsi="宋体" w:cs="宋体" w:hint="eastAsia"/>
                <w:b/>
                <w:bCs/>
                <w:sz w:val="21"/>
                <w:szCs w:val="21"/>
                <w:lang w:eastAsia="zh-CN"/>
              </w:rPr>
              <w:t>；</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4、环境湿度:5%～95%，非凝结；</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5、认证方式：支持802.1x，提供官网链接和截图或产品彩页</w:t>
            </w:r>
            <w:r>
              <w:rPr>
                <w:rFonts w:ascii="宋体" w:eastAsia="宋体" w:hAnsi="宋体" w:cs="宋体" w:hint="eastAsia"/>
                <w:b/>
                <w:bCs/>
                <w:color w:val="000000"/>
                <w:sz w:val="21"/>
                <w:szCs w:val="21"/>
                <w:lang w:eastAsia="zh-CN"/>
              </w:rPr>
              <w:t>扫描件</w:t>
            </w:r>
            <w:r>
              <w:rPr>
                <w:rFonts w:ascii="宋体" w:eastAsia="宋体" w:hAnsi="宋体" w:cs="宋体" w:hint="eastAsia"/>
                <w:b/>
                <w:bCs/>
                <w:sz w:val="21"/>
                <w:szCs w:val="21"/>
                <w:lang w:eastAsia="zh-CN"/>
              </w:rPr>
              <w:t>；</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6、支持 PoE++功能，提供官网链接和截图或产品彩页</w:t>
            </w:r>
            <w:r>
              <w:rPr>
                <w:rFonts w:ascii="宋体" w:eastAsia="宋体" w:hAnsi="宋体" w:cs="宋体" w:hint="eastAsia"/>
                <w:b/>
                <w:bCs/>
                <w:color w:val="000000"/>
                <w:sz w:val="21"/>
                <w:szCs w:val="21"/>
                <w:lang w:eastAsia="zh-CN"/>
              </w:rPr>
              <w:t>扫描件</w:t>
            </w:r>
            <w:r>
              <w:rPr>
                <w:rFonts w:ascii="宋体" w:eastAsia="宋体" w:hAnsi="宋体" w:cs="宋体" w:hint="eastAsia"/>
                <w:b/>
                <w:bCs/>
                <w:sz w:val="21"/>
                <w:szCs w:val="21"/>
                <w:lang w:eastAsia="zh-CN"/>
              </w:rPr>
              <w:t>；</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7、支持Type B、Type C保护，提供官网链接和截图或产品彩页</w:t>
            </w:r>
            <w:r>
              <w:rPr>
                <w:rFonts w:ascii="宋体" w:eastAsia="宋体" w:hAnsi="宋体" w:cs="宋体" w:hint="eastAsia"/>
                <w:b/>
                <w:bCs/>
                <w:color w:val="000000"/>
                <w:sz w:val="21"/>
                <w:szCs w:val="21"/>
                <w:lang w:eastAsia="zh-CN"/>
              </w:rPr>
              <w:t>扫描件</w:t>
            </w:r>
            <w:r>
              <w:rPr>
                <w:rFonts w:ascii="宋体" w:eastAsia="宋体" w:hAnsi="宋体" w:cs="宋体" w:hint="eastAsia"/>
                <w:b/>
                <w:bCs/>
                <w:sz w:val="21"/>
                <w:szCs w:val="21"/>
                <w:lang w:eastAsia="zh-CN"/>
              </w:rPr>
              <w:t>；</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color w:val="000000"/>
                <w:sz w:val="21"/>
                <w:szCs w:val="21"/>
              </w:rPr>
              <w:t>8、支持IPv6；</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rPr>
              <w:t>9、为确保网络兼容性和稳定性，要求此设备和现有OLT设备同一品牌；</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sz w:val="21"/>
                <w:szCs w:val="21"/>
              </w:rPr>
            </w:pPr>
            <w:r>
              <w:rPr>
                <w:rFonts w:ascii="宋体" w:eastAsia="宋体" w:hAnsi="宋体" w:cs="宋体" w:hint="eastAsia"/>
                <w:sz w:val="21"/>
                <w:szCs w:val="21"/>
              </w:rPr>
              <w:t>5</w:t>
            </w:r>
          </w:p>
        </w:tc>
        <w:tc>
          <w:tcPr>
            <w:tcW w:w="1047" w:type="dxa"/>
            <w:vMerge w:val="restart"/>
            <w:vAlign w:val="center"/>
          </w:tcPr>
          <w:p>
            <w:pPr>
              <w:jc w:val="center"/>
              <w:rPr>
                <w:rFonts w:ascii="宋体" w:eastAsia="宋体" w:hAnsi="宋体" w:cs="宋体" w:hint="eastAsia"/>
                <w:sz w:val="21"/>
                <w:szCs w:val="21"/>
              </w:rPr>
            </w:pPr>
            <w:r>
              <w:rPr>
                <w:rFonts w:ascii="宋体" w:eastAsia="宋体" w:hAnsi="宋体" w:cs="宋体" w:hint="eastAsia"/>
                <w:sz w:val="21"/>
                <w:szCs w:val="21"/>
              </w:rPr>
              <w:t>无线AP</w:t>
            </w:r>
          </w:p>
        </w:tc>
        <w:tc>
          <w:tcPr>
            <w:tcW w:w="7464" w:type="dxa"/>
            <w:vAlign w:val="center"/>
          </w:tcPr>
          <w:p>
            <w:pPr>
              <w:rPr>
                <w:rFonts w:ascii="宋体" w:eastAsia="宋体" w:hAnsi="宋体" w:cs="宋体" w:hint="eastAsia"/>
                <w:bCs/>
                <w:sz w:val="21"/>
                <w:szCs w:val="21"/>
              </w:rPr>
            </w:pPr>
            <w:r>
              <w:rPr>
                <w:rFonts w:ascii="宋体" w:eastAsia="宋体" w:hAnsi="宋体" w:cs="宋体" w:hint="eastAsia"/>
                <w:bCs/>
                <w:sz w:val="21"/>
                <w:szCs w:val="21"/>
              </w:rPr>
              <w:t>1、支持IEEE 802.11a/n/ac/ax、IEEE 802.11b/g/n/ax无线协议</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bCs/>
                <w:sz w:val="21"/>
                <w:szCs w:val="21"/>
                <w:lang w:eastAsia="zh-CN"/>
              </w:rPr>
              <w:t>2、支持最高无线速:2.4GHz频段0.575Gbps，5GHz频段2.4Gbps</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bCs/>
                <w:sz w:val="21"/>
                <w:szCs w:val="21"/>
              </w:rPr>
              <w:t>3、SSID数量:2.4G:7;5G:7</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bCs/>
                <w:sz w:val="21"/>
                <w:szCs w:val="21"/>
                <w:lang w:eastAsia="zh-CN"/>
              </w:rPr>
              <w:t>4、信道带宽设置：2.4G:20M/40MHz/自动;5G:20M/40M/80/160MHz/自动</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sz w:val="21"/>
                <w:szCs w:val="21"/>
              </w:rPr>
            </w:pPr>
            <w:r>
              <w:rPr>
                <w:rFonts w:ascii="宋体" w:eastAsia="宋体" w:hAnsi="宋体" w:cs="宋体" w:hint="eastAsia"/>
                <w:bCs/>
                <w:sz w:val="21"/>
                <w:szCs w:val="21"/>
              </w:rPr>
              <w:t>5、支持Wi-Fi多频合一</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bCs/>
                <w:sz w:val="21"/>
                <w:szCs w:val="21"/>
                <w:lang w:eastAsia="zh-CN"/>
              </w:rPr>
              <w:t>6、接口：1个10/100/1000Mbps速率自适应以太网接口</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sz w:val="21"/>
                <w:szCs w:val="21"/>
              </w:rPr>
            </w:pPr>
            <w:r>
              <w:rPr>
                <w:rFonts w:ascii="宋体" w:eastAsia="宋体" w:hAnsi="宋体" w:cs="宋体" w:hint="eastAsia"/>
                <w:bCs/>
                <w:sz w:val="21"/>
                <w:szCs w:val="21"/>
              </w:rPr>
              <w:t>7、支持IEEE 802.3at标准PoE供电，支持12V直流供电</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sz w:val="21"/>
                <w:szCs w:val="21"/>
              </w:rPr>
            </w:pPr>
            <w:r>
              <w:rPr>
                <w:rFonts w:ascii="宋体" w:eastAsia="宋体" w:hAnsi="宋体" w:cs="宋体" w:hint="eastAsia"/>
                <w:sz w:val="21"/>
                <w:szCs w:val="21"/>
              </w:rPr>
              <w:t>6</w:t>
            </w:r>
          </w:p>
        </w:tc>
        <w:tc>
          <w:tcPr>
            <w:tcW w:w="1047" w:type="dxa"/>
            <w:vMerge w:val="restart"/>
            <w:vAlign w:val="center"/>
          </w:tcPr>
          <w:p>
            <w:pPr>
              <w:jc w:val="center"/>
              <w:rPr>
                <w:rFonts w:ascii="宋体" w:eastAsia="宋体" w:hAnsi="宋体" w:cs="宋体" w:hint="eastAsia"/>
                <w:sz w:val="21"/>
                <w:szCs w:val="21"/>
              </w:rPr>
            </w:pPr>
            <w:r>
              <w:rPr>
                <w:rFonts w:ascii="宋体" w:eastAsia="宋体" w:hAnsi="宋体" w:cs="宋体" w:hint="eastAsia"/>
                <w:sz w:val="21"/>
                <w:szCs w:val="21"/>
              </w:rPr>
              <w:t>AC控制器</w:t>
            </w: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1、LAN输出口：三个及以上2.5G网口</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2、WAN接入口：三个及以上2.5G网口</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sz w:val="21"/>
                <w:szCs w:val="21"/>
              </w:rPr>
            </w:pPr>
            <w:r>
              <w:rPr>
                <w:rFonts w:ascii="宋体" w:eastAsia="宋体" w:hAnsi="宋体" w:cs="宋体" w:hint="eastAsia"/>
                <w:sz w:val="21"/>
                <w:szCs w:val="21"/>
              </w:rPr>
              <w:t>3、总带机量：81-100终端</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sz w:val="21"/>
                <w:szCs w:val="21"/>
              </w:rPr>
            </w:pPr>
          </w:p>
        </w:tc>
        <w:tc>
          <w:tcPr>
            <w:tcW w:w="7464" w:type="dxa"/>
            <w:vAlign w:val="center"/>
          </w:tcPr>
          <w:p>
            <w:pPr>
              <w:rPr>
                <w:rFonts w:ascii="宋体" w:eastAsia="宋体" w:hAnsi="宋体" w:cs="宋体" w:hint="eastAsia"/>
                <w:sz w:val="21"/>
                <w:szCs w:val="21"/>
              </w:rPr>
            </w:pPr>
            <w:r>
              <w:rPr>
                <w:rFonts w:ascii="宋体" w:eastAsia="宋体" w:hAnsi="宋体" w:cs="宋体" w:hint="eastAsia"/>
                <w:sz w:val="21"/>
                <w:szCs w:val="21"/>
              </w:rPr>
              <w:t>4、其他端口：USB口</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7</w:t>
            </w:r>
          </w:p>
        </w:tc>
        <w:tc>
          <w:tcPr>
            <w:tcW w:w="1047" w:type="dxa"/>
            <w:vMerge w:val="restart"/>
            <w:vAlign w:val="center"/>
          </w:tcPr>
          <w:p>
            <w:pPr>
              <w:rPr>
                <w:rFonts w:ascii="宋体" w:eastAsia="宋体" w:hAnsi="宋体" w:cs="宋体" w:hint="eastAsia"/>
                <w:sz w:val="21"/>
                <w:szCs w:val="21"/>
              </w:rPr>
            </w:pPr>
            <w:r>
              <w:rPr>
                <w:rFonts w:ascii="宋体" w:eastAsia="宋体" w:hAnsi="宋体" w:cs="宋体" w:hint="eastAsia"/>
                <w:color w:val="000000"/>
                <w:sz w:val="21"/>
                <w:szCs w:val="21"/>
              </w:rPr>
              <w:t>POE交换机</w:t>
            </w: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1、端口数量：10口10/100/1000Mbps自适应以太网端口</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sz w:val="21"/>
                <w:szCs w:val="21"/>
                <w:lang w:eastAsia="zh-CN"/>
              </w:rPr>
            </w:pPr>
            <w:r>
              <w:rPr>
                <w:rFonts w:ascii="宋体" w:eastAsia="宋体" w:hAnsi="宋体" w:cs="宋体" w:hint="eastAsia"/>
                <w:sz w:val="21"/>
                <w:szCs w:val="21"/>
                <w:lang w:eastAsia="zh-CN"/>
              </w:rPr>
              <w:t>2、端口供电功能：POE供电</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restart"/>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8</w:t>
            </w:r>
          </w:p>
        </w:tc>
        <w:tc>
          <w:tcPr>
            <w:tcW w:w="1047" w:type="dxa"/>
            <w:vMerge w:val="restart"/>
            <w:vAlign w:val="center"/>
          </w:tcPr>
          <w:p>
            <w:pPr>
              <w:rPr>
                <w:rFonts w:ascii="宋体" w:eastAsia="宋体" w:hAnsi="宋体" w:cs="宋体" w:hint="eastAsia"/>
                <w:sz w:val="21"/>
                <w:szCs w:val="21"/>
              </w:rPr>
            </w:pPr>
            <w:r>
              <w:rPr>
                <w:rFonts w:ascii="宋体" w:eastAsia="宋体" w:hAnsi="宋体" w:cs="宋体" w:hint="eastAsia"/>
                <w:color w:val="000000"/>
                <w:sz w:val="21"/>
                <w:szCs w:val="21"/>
              </w:rPr>
              <w:t>网线</w:t>
            </w:r>
          </w:p>
        </w:tc>
        <w:tc>
          <w:tcPr>
            <w:tcW w:w="7464" w:type="dxa"/>
            <w:vAlign w:val="center"/>
          </w:tcPr>
          <w:p>
            <w:pPr>
              <w:rPr>
                <w:rFonts w:ascii="宋体" w:eastAsia="宋体" w:hAnsi="宋体" w:cs="宋体" w:hint="eastAsia"/>
                <w:b/>
                <w:sz w:val="21"/>
                <w:szCs w:val="21"/>
              </w:rPr>
            </w:pPr>
            <w:r>
              <w:rPr>
                <w:rFonts w:ascii="宋体" w:eastAsia="宋体" w:hAnsi="宋体" w:cs="宋体" w:hint="eastAsia"/>
                <w:sz w:val="21"/>
                <w:szCs w:val="21"/>
                <w:lang w:bidi="ar"/>
              </w:rPr>
              <w:t>1、符合标准：YD/T1019，ANSI∕TIA-568.2-D，ISO/IEC 11801；</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color w:val="000000"/>
                <w:sz w:val="21"/>
                <w:szCs w:val="21"/>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sz w:val="21"/>
                <w:szCs w:val="21"/>
                <w:lang w:bidi="ar"/>
              </w:rPr>
              <w:t>2、线缆阻抗：100±15Ω；</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color w:val="000000"/>
                <w:sz w:val="21"/>
                <w:szCs w:val="21"/>
              </w:rPr>
            </w:pPr>
          </w:p>
        </w:tc>
        <w:tc>
          <w:tcPr>
            <w:tcW w:w="7464" w:type="dxa"/>
            <w:vAlign w:val="center"/>
          </w:tcPr>
          <w:p>
            <w:pPr>
              <w:rPr>
                <w:rFonts w:ascii="宋体" w:eastAsia="宋体" w:hAnsi="宋体" w:cs="宋体" w:hint="eastAsia"/>
                <w:b/>
                <w:sz w:val="21"/>
                <w:szCs w:val="21"/>
              </w:rPr>
            </w:pPr>
            <w:r>
              <w:rPr>
                <w:rFonts w:ascii="宋体" w:eastAsia="宋体" w:hAnsi="宋体" w:cs="宋体" w:hint="eastAsia"/>
                <w:sz w:val="21"/>
                <w:szCs w:val="21"/>
                <w:lang w:bidi="ar"/>
              </w:rPr>
              <w:t>3、工作温度：-20～+60℃；</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rPr>
            </w:pPr>
          </w:p>
        </w:tc>
        <w:tc>
          <w:tcPr>
            <w:tcW w:w="1047" w:type="dxa"/>
            <w:vMerge/>
            <w:vAlign w:val="center"/>
          </w:tcPr>
          <w:p>
            <w:pPr>
              <w:rPr>
                <w:rFonts w:ascii="宋体" w:eastAsia="宋体" w:hAnsi="宋体" w:cs="宋体" w:hint="eastAsia"/>
                <w:color w:val="000000"/>
                <w:sz w:val="21"/>
                <w:szCs w:val="21"/>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bidi="ar"/>
              </w:rPr>
              <w:t>4、护套上印有电缆品牌LOGO和型号；</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5、采用CM等级PVC料；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bidi="ar"/>
              </w:rPr>
              <w:t>6、绝缘层： HD-PE料；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sz w:val="21"/>
                <w:szCs w:val="21"/>
                <w:lang w:eastAsia="zh-CN"/>
              </w:rPr>
            </w:pPr>
            <w:r>
              <w:rPr>
                <w:rFonts w:ascii="宋体" w:eastAsia="宋体" w:hAnsi="宋体" w:cs="宋体" w:hint="eastAsia"/>
                <w:sz w:val="21"/>
                <w:szCs w:val="21"/>
                <w:lang w:eastAsia="zh-CN" w:bidi="ar"/>
              </w:rPr>
              <w:t>7、通过标准最高传输频率250MHz测试，直流电阻不平衡：≤2.5%；</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b/>
                <w:bCs/>
                <w:sz w:val="21"/>
                <w:szCs w:val="21"/>
                <w:lang w:eastAsia="zh-CN" w:bidi="ar"/>
              </w:rPr>
              <w:t>8、线规：</w:t>
            </w:r>
            <w:r>
              <w:rPr>
                <w:rFonts w:ascii="宋体" w:eastAsia="宋体" w:hAnsi="宋体" w:cs="宋体" w:hint="eastAsia"/>
                <w:color w:val="000000"/>
                <w:sz w:val="21"/>
                <w:szCs w:val="21"/>
                <w:lang w:eastAsia="zh-CN"/>
              </w:rPr>
              <w:t>≥</w:t>
            </w:r>
            <w:r>
              <w:rPr>
                <w:rFonts w:ascii="宋体" w:eastAsia="宋体" w:hAnsi="宋体" w:cs="宋体" w:hint="eastAsia"/>
                <w:b/>
                <w:bCs/>
                <w:sz w:val="21"/>
                <w:szCs w:val="21"/>
                <w:lang w:eastAsia="zh-CN" w:bidi="ar"/>
              </w:rPr>
              <w:t>23AWG，材料为99.99%无氧铜，采用带十字支撑架结构，为确保线缆传输性能、线缆质量及线缆稳定性，需提供国家认可的CMA第三方实验室出具的Cu≥99.99%的铜芯铜纯度报告。（需提供拥有CMA认证标识的第三方检测机构出具检测报告扫描件，要求内容能体现满足上述参数要求。检测报告需提供全国认证认可信息公共服务平台网站（http://cx.cnca.cn/CertECloud/qts/qts/qtsPage）查询截</w:t>
            </w:r>
            <w:r>
              <w:rPr>
                <w:rFonts w:ascii="宋体" w:eastAsia="宋体" w:hAnsi="宋体" w:cs="宋体" w:hint="eastAsia"/>
                <w:b/>
                <w:bCs/>
                <w:sz w:val="21"/>
                <w:szCs w:val="21"/>
                <w:lang w:eastAsia="zh-CN"/>
              </w:rPr>
              <w:t>图</w:t>
            </w:r>
            <w:r>
              <w:rPr>
                <w:rFonts w:ascii="宋体" w:eastAsia="宋体" w:hAnsi="宋体" w:cs="宋体" w:hint="eastAsia"/>
                <w:b/>
                <w:bCs/>
                <w:sz w:val="21"/>
                <w:szCs w:val="21"/>
                <w:lang w:eastAsia="zh-CN" w:bidi="ar"/>
              </w:rPr>
              <w:t>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sz w:val="21"/>
                <w:szCs w:val="21"/>
                <w:lang w:eastAsia="zh-CN" w:bidi="ar"/>
              </w:rPr>
            </w:pPr>
            <w:r>
              <w:rPr>
                <w:rFonts w:ascii="宋体" w:eastAsia="宋体" w:hAnsi="宋体" w:cs="宋体" w:hint="eastAsia"/>
                <w:sz w:val="21"/>
                <w:szCs w:val="21"/>
                <w:lang w:eastAsia="zh-CN"/>
              </w:rPr>
              <w:t>9、为了提高链路性能，降低施工难度，增长使用寿命，线缆4对线的对绞方向和成缆的总绞方向相反；</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color w:val="000000"/>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b/>
                <w:bCs/>
                <w:sz w:val="21"/>
                <w:szCs w:val="21"/>
                <w:lang w:eastAsia="zh-CN"/>
              </w:rPr>
              <w:t>10、产品满足标准《GB/T 2423.17-2008》盐雾试验要求，并且可提供CMA中国认可检测机构出具的盐雾试验检测报告；（需提供拥有</w:t>
            </w:r>
            <w:r>
              <w:rPr>
                <w:rFonts w:ascii="宋体" w:eastAsia="宋体" w:hAnsi="宋体" w:cs="宋体" w:hint="eastAsia"/>
                <w:b/>
                <w:bCs/>
                <w:sz w:val="21"/>
                <w:szCs w:val="21"/>
                <w:lang w:eastAsia="zh-CN" w:bidi="ar"/>
              </w:rPr>
              <w:t>CMA</w:t>
            </w:r>
            <w:r>
              <w:rPr>
                <w:rFonts w:ascii="宋体" w:eastAsia="宋体" w:hAnsi="宋体" w:cs="宋体" w:hint="eastAsia"/>
                <w:b/>
                <w:bCs/>
                <w:sz w:val="21"/>
                <w:szCs w:val="21"/>
                <w:lang w:eastAsia="zh-CN"/>
              </w:rPr>
              <w:t>认证标识的第三方检测机构出具检测报告扫描件，要求内容能体现满足上述参数要求。检测报告需提供全国认证认可信息公共服务平台网站（http://cx.cnca.cn/CertECloud/qts/qts/qtsPage）查询截图作为证明材料）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Merge/>
            <w:vAlign w:val="center"/>
          </w:tcPr>
          <w:p>
            <w:pPr>
              <w:jc w:val="center"/>
              <w:rPr>
                <w:rFonts w:ascii="宋体" w:eastAsia="宋体" w:hAnsi="宋体" w:cs="宋体" w:hint="eastAsia"/>
                <w:color w:val="000000"/>
                <w:sz w:val="21"/>
                <w:szCs w:val="21"/>
                <w:lang w:eastAsia="zh-CN"/>
              </w:rPr>
            </w:pPr>
          </w:p>
        </w:tc>
        <w:tc>
          <w:tcPr>
            <w:tcW w:w="1047" w:type="dxa"/>
            <w:vMerge/>
            <w:vAlign w:val="center"/>
          </w:tcPr>
          <w:p>
            <w:pPr>
              <w:rPr>
                <w:rFonts w:ascii="宋体" w:eastAsia="宋体" w:hAnsi="宋体" w:cs="宋体" w:hint="eastAsia"/>
                <w:sz w:val="21"/>
                <w:szCs w:val="21"/>
                <w:lang w:eastAsia="zh-CN"/>
              </w:rPr>
            </w:pPr>
          </w:p>
        </w:tc>
        <w:tc>
          <w:tcPr>
            <w:tcW w:w="7464" w:type="dxa"/>
            <w:vAlign w:val="center"/>
          </w:tcPr>
          <w:p>
            <w:pPr>
              <w:rPr>
                <w:rFonts w:ascii="宋体" w:eastAsia="宋体" w:hAnsi="宋体" w:cs="宋体" w:hint="eastAsia"/>
                <w:b/>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b/>
                <w:bCs/>
                <w:sz w:val="21"/>
                <w:szCs w:val="21"/>
                <w:lang w:eastAsia="zh-CN"/>
              </w:rPr>
              <w:t>11、线缆需提供国内第三方</w:t>
            </w:r>
            <w:r>
              <w:rPr>
                <w:rFonts w:ascii="宋体" w:eastAsia="宋体" w:hAnsi="宋体" w:cs="宋体" w:hint="eastAsia"/>
                <w:b/>
                <w:bCs/>
                <w:sz w:val="21"/>
                <w:szCs w:val="21"/>
                <w:lang w:eastAsia="zh-CN" w:bidi="ar"/>
              </w:rPr>
              <w:t>CMA</w:t>
            </w:r>
            <w:r>
              <w:rPr>
                <w:rFonts w:ascii="宋体" w:eastAsia="宋体" w:hAnsi="宋体" w:cs="宋体" w:hint="eastAsia"/>
                <w:b/>
                <w:bCs/>
                <w:sz w:val="21"/>
                <w:szCs w:val="21"/>
                <w:lang w:eastAsia="zh-CN"/>
              </w:rPr>
              <w:t>实验室出具的满足GB/T2951.11-2008 标准机械性能试验、以及GB/T 2951.12-2008 标准热老化试验并提供检测报告；（需提供拥有</w:t>
            </w:r>
            <w:r>
              <w:rPr>
                <w:rFonts w:ascii="宋体" w:eastAsia="宋体" w:hAnsi="宋体" w:cs="宋体" w:hint="eastAsia"/>
                <w:b/>
                <w:bCs/>
                <w:sz w:val="21"/>
                <w:szCs w:val="21"/>
                <w:lang w:eastAsia="zh-CN" w:bidi="ar"/>
              </w:rPr>
              <w:t>CMA</w:t>
            </w:r>
            <w:r>
              <w:rPr>
                <w:rFonts w:ascii="宋体" w:eastAsia="宋体" w:hAnsi="宋体" w:cs="宋体" w:hint="eastAsia"/>
                <w:b/>
                <w:bCs/>
                <w:sz w:val="21"/>
                <w:szCs w:val="21"/>
                <w:lang w:eastAsia="zh-CN"/>
              </w:rPr>
              <w:t>认证标识的第三方检测机构出具检测报告扫描件，要求内容能体现满足上述参数要求。检测报告需提供全国认证认可信息公共服务平台网站（http://cx.cnca.cn/CertECloud/qts/qts/qtsPage）查询截图作为证明材料）</w:t>
            </w:r>
          </w:p>
        </w:tc>
      </w:tr>
      <w:tr>
        <w:tblPrEx>
          <w:tblW w:w="5000" w:type="pct"/>
          <w:tblInd w:w="107" w:type="dxa"/>
          <w:tblLayout w:type="fixed"/>
          <w:tblCellMar>
            <w:top w:w="0" w:type="dxa"/>
            <w:left w:w="108" w:type="dxa"/>
            <w:bottom w:w="0" w:type="dxa"/>
            <w:right w:w="108" w:type="dxa"/>
          </w:tblCellMar>
        </w:tblPrEx>
        <w:trPr>
          <w:trHeight w:val="20"/>
        </w:trPr>
        <w:tc>
          <w:tcPr>
            <w:tcW w:w="710" w:type="dxa"/>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9</w:t>
            </w:r>
          </w:p>
        </w:tc>
        <w:tc>
          <w:tcPr>
            <w:tcW w:w="1047" w:type="dxa"/>
            <w:vAlign w:val="center"/>
          </w:tcPr>
          <w:p>
            <w:pPr>
              <w:rPr>
                <w:rFonts w:ascii="宋体" w:eastAsia="宋体" w:hAnsi="宋体" w:cs="宋体" w:hint="eastAsia"/>
                <w:sz w:val="21"/>
                <w:szCs w:val="21"/>
              </w:rPr>
            </w:pPr>
            <w:r>
              <w:rPr>
                <w:rFonts w:ascii="宋体" w:eastAsia="宋体" w:hAnsi="宋体" w:cs="宋体" w:hint="eastAsia"/>
                <w:color w:val="000000"/>
                <w:sz w:val="21"/>
                <w:szCs w:val="21"/>
              </w:rPr>
              <w:t>6U壁挂机柜</w:t>
            </w:r>
          </w:p>
        </w:tc>
        <w:tc>
          <w:tcPr>
            <w:tcW w:w="7464" w:type="dxa"/>
          </w:tcPr>
          <w:p>
            <w:pPr>
              <w:rPr>
                <w:rFonts w:ascii="宋体" w:eastAsia="宋体" w:hAnsi="宋体" w:cs="宋体" w:hint="eastAsia"/>
                <w:b/>
                <w:sz w:val="21"/>
                <w:szCs w:val="21"/>
                <w:lang w:eastAsia="zh-CN"/>
              </w:rPr>
            </w:pPr>
            <w:r>
              <w:rPr>
                <w:rFonts w:ascii="宋体" w:eastAsia="宋体" w:hAnsi="宋体" w:cs="宋体" w:hint="eastAsia"/>
                <w:color w:val="000000"/>
                <w:sz w:val="21"/>
                <w:szCs w:val="21"/>
                <w:lang w:eastAsia="zh-CN"/>
              </w:rPr>
              <w:t>6U壁挂机柜，尺寸≥300*550*400mm,材质冷轧钢板。</w:t>
            </w:r>
          </w:p>
        </w:tc>
      </w:tr>
    </w:tbl>
    <w:p>
      <w:pPr>
        <w:widowControl w:val="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highlight w:val="yellow"/>
          <w:lang w:eastAsia="zh-CN"/>
        </w:rPr>
      </w:pPr>
      <w:r>
        <w:rPr>
          <w:rFonts w:ascii="宋体" w:eastAsia="宋体" w:hAnsi="宋体" w:cstheme="minorBidi" w:hint="eastAsia"/>
          <w:b/>
          <w:bCs/>
          <w:kern w:val="2"/>
          <w:sz w:val="28"/>
          <w:szCs w:val="28"/>
          <w:lang w:eastAsia="zh-CN"/>
        </w:rPr>
        <w:t>六、付款方式</w:t>
      </w:r>
    </w:p>
    <w:p>
      <w:pPr>
        <w:spacing w:before="60" w:beforeLines="25" w:after="60" w:afterLines="25" w:line="360" w:lineRule="auto"/>
        <w:ind w:firstLine="393" w:firstLineChars="187"/>
        <w:rPr>
          <w:rFonts w:ascii="宋体" w:hAnsi="宋体" w:cs="宋体"/>
          <w:sz w:val="21"/>
          <w:szCs w:val="21"/>
          <w:lang w:eastAsia="zh-CN" w:bidi="ar"/>
        </w:rPr>
      </w:pPr>
      <w:r>
        <w:rPr>
          <w:rFonts w:ascii="宋体" w:hAnsi="宋体" w:cs="宋体" w:hint="eastAsia"/>
          <w:sz w:val="21"/>
          <w:szCs w:val="21"/>
          <w:lang w:eastAsia="zh-CN" w:bidi="ar"/>
        </w:rPr>
        <w:t>1、全部货物送到采购人指定地点、完成安装并验收合格后 30 个工作日内，采购人向中标供应商支付合同总价【100】%的款项；</w:t>
      </w:r>
    </w:p>
    <w:p>
      <w:pPr>
        <w:spacing w:before="60" w:beforeLines="25" w:after="60" w:afterLines="25" w:line="360" w:lineRule="auto"/>
        <w:ind w:firstLine="393" w:firstLineChars="187"/>
        <w:rPr>
          <w:rFonts w:ascii="宋体" w:hAnsi="宋体" w:cs="宋体"/>
          <w:sz w:val="21"/>
          <w:szCs w:val="21"/>
          <w:lang w:eastAsia="zh-CN" w:bidi="ar"/>
        </w:rPr>
      </w:pPr>
      <w:r>
        <w:rPr>
          <w:rFonts w:ascii="宋体" w:hAnsi="宋体" w:cs="宋体" w:hint="eastAsia"/>
          <w:sz w:val="21"/>
          <w:szCs w:val="21"/>
          <w:lang w:eastAsia="zh-CN" w:bidi="ar"/>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3、投标人的投标报价不得超过财政预算限额，如设投标最高限价的，报价不得超过最高限价；</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4、投标人的投标报价，应是本项目采购范围和采购文件及合同条款上所列的各项内容中所述的全部，不得以任何理由予以重复，并以投标人在中提出的综合单价或总价为依据；</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5、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6、投标人应先到项目地点踏勘以充分了解项目的位置、情况、道路及任何其它足以影响投标报价的情况，任何因忽视或误解项目情况而导致的索赔或服务期限延长申请将不获批准；</w:t>
      </w:r>
    </w:p>
    <w:p>
      <w:pPr>
        <w:spacing w:line="360" w:lineRule="auto"/>
        <w:ind w:firstLine="393" w:firstLineChars="187"/>
        <w:rPr>
          <w:rFonts w:ascii="宋体" w:hAnsi="宋体"/>
          <w:sz w:val="21"/>
          <w:szCs w:val="21"/>
          <w:lang w:eastAsia="zh-CN"/>
        </w:rPr>
      </w:pPr>
      <w:r>
        <w:rPr>
          <w:rFonts w:ascii="宋体" w:hAnsi="宋体" w:hint="eastAsia"/>
          <w:sz w:val="21"/>
          <w:szCs w:val="21"/>
          <w:lang w:eastAsia="zh-CN"/>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spacing w:before="60" w:beforeLines="25" w:after="60" w:afterLines="25"/>
        <w:ind w:firstLine="393" w:firstLineChars="187"/>
        <w:rPr>
          <w:rFonts w:ascii="宋体" w:hAnsi="宋体" w:cs="宋体"/>
          <w:sz w:val="21"/>
          <w:szCs w:val="21"/>
          <w:lang w:eastAsia="zh-CN" w:bidi="ar"/>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spacing w:line="360" w:lineRule="auto"/>
        <w:ind w:firstLine="420" w:firstLineChars="200"/>
        <w:rPr>
          <w:sz w:val="21"/>
          <w:szCs w:val="21"/>
          <w:lang w:eastAsia="zh-CN"/>
        </w:rPr>
      </w:pPr>
      <w:r>
        <w:rPr>
          <w:rFonts w:hint="eastAsia"/>
          <w:sz w:val="21"/>
          <w:szCs w:val="21"/>
          <w:lang w:eastAsia="zh-CN"/>
        </w:rPr>
        <w:t>1、中标供应商不得将项目非法分包或转包给任何单位和个人。否则，采购单位有权即刻终止合同，并要求中标供应商赔偿相应损失。</w:t>
      </w:r>
    </w:p>
    <w:p>
      <w:pPr>
        <w:spacing w:line="360" w:lineRule="auto"/>
        <w:ind w:firstLine="420" w:firstLineChars="200"/>
        <w:rPr>
          <w:sz w:val="21"/>
          <w:szCs w:val="21"/>
          <w:lang w:eastAsia="zh-CN"/>
        </w:rPr>
      </w:pPr>
      <w:r>
        <w:rPr>
          <w:rFonts w:hint="eastAsia"/>
          <w:sz w:val="21"/>
          <w:szCs w:val="21"/>
          <w:lang w:eastAsia="zh-CN"/>
        </w:rPr>
        <w:t>2、投标人使用的标准必须是国际公认或国家、或地方政府颁布的同等或更高的标准，如投标人使用的标准低于上述标准,评审委员会将有权不予接受，投标人必须列表将明显的差异详细说明。</w:t>
      </w:r>
    </w:p>
    <w:p>
      <w:pPr>
        <w:spacing w:line="360" w:lineRule="auto"/>
        <w:ind w:firstLine="420" w:firstLineChars="200"/>
        <w:rPr>
          <w:sz w:val="21"/>
          <w:szCs w:val="21"/>
          <w:lang w:eastAsia="zh-CN"/>
        </w:rPr>
      </w:pPr>
      <w:r>
        <w:rPr>
          <w:rFonts w:hint="eastAsia"/>
          <w:sz w:val="21"/>
          <w:szCs w:val="21"/>
          <w:lang w:eastAsia="zh-CN"/>
        </w:rPr>
        <w:t>3、供应商须在质疑期内一次性提出针对同一采购程序环节的质疑。</w:t>
      </w:r>
    </w:p>
    <w:p>
      <w:pPr>
        <w:spacing w:line="360" w:lineRule="auto"/>
        <w:ind w:firstLine="420" w:firstLineChars="200"/>
        <w:rPr>
          <w:rFonts w:eastAsia="宋体"/>
          <w:sz w:val="21"/>
          <w:szCs w:val="21"/>
          <w:lang w:eastAsia="zh-CN"/>
        </w:rPr>
      </w:pPr>
      <w:r>
        <w:rPr>
          <w:rFonts w:hint="eastAsia"/>
          <w:sz w:val="21"/>
          <w:szCs w:val="21"/>
          <w:lang w:eastAsia="zh-CN"/>
        </w:rPr>
        <w:t>4、本项目按照深圳市龙华区教育局的相关采购规定执行，招标文件未明确的事项，参照政府采购有关法律法规执行</w:t>
      </w:r>
      <w:r>
        <w:rPr>
          <w:rFonts w:eastAsia="宋体" w:hint="eastAsia"/>
          <w:sz w:val="21"/>
          <w:szCs w:val="21"/>
          <w:lang w:eastAsia="zh-CN"/>
        </w:rPr>
        <w:t>。</w:t>
      </w:r>
    </w:p>
    <w:p>
      <w:pPr>
        <w:widowControl w:val="0"/>
        <w:ind w:firstLine="420" w:firstLineChars="200"/>
        <w:jc w:val="both"/>
        <w:rPr>
          <w:rFonts w:ascii="Calibri" w:eastAsia="宋体" w:hAnsi="Calibri"/>
          <w:bCs/>
          <w:kern w:val="2"/>
          <w:sz w:val="21"/>
          <w:szCs w:val="21"/>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15" w:name="_Hlk194503600"/>
      <w:bookmarkStart w:id="16" w:name="_Hlk72257771"/>
      <w:r>
        <w:rPr>
          <w:rFonts w:hint="eastAsia"/>
          <w:lang w:eastAsia="zh-CN"/>
        </w:rPr>
        <w:t>（</w:t>
      </w:r>
      <w:bookmarkStart w:id="17"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rFonts w:eastAsia="宋体"/>
          <w:lang w:eastAsia="zh-CN"/>
        </w:rPr>
      </w:pPr>
      <w:r>
        <w:rPr>
          <w:rFonts w:eastAsia="宋体" w:hint="eastAsia"/>
          <w:lang w:eastAsia="zh-CN"/>
        </w:rPr>
        <w:t>（4）供应商基本情况表</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6</w:t>
      </w:r>
      <w:r>
        <w:rPr>
          <w:rFonts w:hint="eastAsia"/>
          <w:lang w:eastAsia="zh-CN"/>
        </w:rPr>
        <w:t>）股东构成审查表</w:t>
      </w:r>
    </w:p>
    <w:p>
      <w:pPr>
        <w:ind w:firstLine="960" w:firstLineChars="400"/>
        <w:rPr>
          <w:lang w:eastAsia="zh-CN"/>
        </w:rPr>
      </w:pPr>
      <w:r>
        <w:rPr>
          <w:rFonts w:hint="eastAsia"/>
          <w:lang w:eastAsia="zh-CN"/>
        </w:rPr>
        <w:t>（</w:t>
      </w:r>
      <w:r>
        <w:rPr>
          <w:rFonts w:eastAsia="宋体" w:hint="eastAsia"/>
          <w:lang w:eastAsia="zh-CN"/>
        </w:rPr>
        <w:t>7</w:t>
      </w:r>
      <w:r>
        <w:rPr>
          <w:rFonts w:hint="eastAsia"/>
          <w:lang w:eastAsia="zh-CN"/>
        </w:rPr>
        <w:t>）法定代表人（负责人）证明书</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）技术保障措施</w:t>
      </w:r>
    </w:p>
    <w:p>
      <w:pPr>
        <w:ind w:firstLine="960" w:firstLineChars="400"/>
        <w:rPr>
          <w:lang w:eastAsia="zh-CN"/>
        </w:rPr>
      </w:pPr>
      <w:r>
        <w:rPr>
          <w:rFonts w:hint="eastAsia"/>
          <w:lang w:eastAsia="zh-CN"/>
        </w:rPr>
        <w:t>（</w:t>
      </w:r>
      <w:r>
        <w:rPr>
          <w:rFonts w:eastAsia="宋体" w:hint="eastAsia"/>
          <w:lang w:eastAsia="zh-CN"/>
        </w:rPr>
        <w:t>13</w:t>
      </w:r>
      <w:r>
        <w:rPr>
          <w:rFonts w:hint="eastAsia"/>
          <w:lang w:eastAsia="zh-CN"/>
        </w:rPr>
        <w:t>）同类项目业绩</w:t>
      </w:r>
    </w:p>
    <w:p>
      <w:pPr>
        <w:ind w:firstLine="960" w:firstLineChars="400"/>
        <w:rPr>
          <w:lang w:eastAsia="zh-CN"/>
        </w:rPr>
      </w:pPr>
      <w:r>
        <w:rPr>
          <w:rFonts w:hint="eastAsia"/>
          <w:lang w:eastAsia="zh-CN"/>
        </w:rPr>
        <w:t>（</w:t>
      </w:r>
      <w:r>
        <w:rPr>
          <w:rFonts w:eastAsia="宋体" w:hint="eastAsia"/>
          <w:lang w:eastAsia="zh-CN"/>
        </w:rPr>
        <w:t>14</w:t>
      </w:r>
      <w:r>
        <w:rPr>
          <w:rFonts w:hint="eastAsia"/>
          <w:lang w:eastAsia="zh-CN"/>
        </w:rPr>
        <w:t>）投标人资质证书</w:t>
      </w:r>
    </w:p>
    <w:p>
      <w:pPr>
        <w:ind w:firstLine="960" w:firstLineChars="400"/>
        <w:rPr>
          <w:rFonts w:ascii="宋体" w:hAnsi="宋体" w:cs="宋体"/>
          <w:lang w:eastAsia="zh-CN"/>
        </w:rPr>
      </w:pPr>
      <w:r>
        <w:rPr>
          <w:rFonts w:hint="eastAsia"/>
          <w:lang w:eastAsia="zh-CN"/>
        </w:rPr>
        <w:t>（</w:t>
      </w:r>
      <w:r>
        <w:rPr>
          <w:rFonts w:eastAsia="宋体" w:hint="eastAsia"/>
          <w:lang w:eastAsia="zh-CN"/>
        </w:rPr>
        <w:t>15</w:t>
      </w:r>
      <w:r>
        <w:rPr>
          <w:rFonts w:hint="eastAsia"/>
          <w:lang w:eastAsia="zh-CN"/>
        </w:rPr>
        <w:t>）诚信承诺函</w:t>
      </w:r>
    </w:p>
    <w:p>
      <w:pPr>
        <w:ind w:firstLine="960" w:firstLineChars="400"/>
        <w:rPr>
          <w:lang w:eastAsia="zh-CN"/>
        </w:rPr>
      </w:pPr>
      <w:r>
        <w:rPr>
          <w:rFonts w:hint="eastAsia"/>
          <w:lang w:eastAsia="zh-CN"/>
        </w:rPr>
        <w:t>（</w:t>
      </w:r>
      <w:r>
        <w:rPr>
          <w:rFonts w:eastAsia="宋体" w:hint="eastAsia"/>
          <w:lang w:eastAsia="zh-CN"/>
        </w:rPr>
        <w:t>16</w:t>
      </w:r>
      <w:r>
        <w:rPr>
          <w:rFonts w:hint="eastAsia"/>
          <w:lang w:eastAsia="zh-CN"/>
        </w:rPr>
        <w:t>）投标人认为需要加以说明的其他内容</w:t>
      </w:r>
    </w:p>
    <w:bookmarkEnd w:id="15"/>
    <w:bookmarkEnd w:id="17"/>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18"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8"/>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19"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0" w:name="_Hlk73818812"/>
      <w:r>
        <w:rPr>
          <w:rFonts w:ascii="Calibri" w:eastAsia="宋体" w:hAnsi="Calibri" w:cstheme="minorBidi" w:hint="eastAsia"/>
          <w:kern w:val="2"/>
          <w:sz w:val="21"/>
          <w:szCs w:val="21"/>
          <w:lang w:eastAsia="zh-CN"/>
        </w:rPr>
        <w:t>1、根据已收到贵单位的项目编号为</w:t>
      </w:r>
      <w:bookmarkStart w:id="21" w:name="_GoBack"/>
      <w:r>
        <w:rPr>
          <w:rFonts w:ascii="Calibri" w:eastAsia="宋体" w:hAnsi="Calibri" w:cstheme="minorBidi" w:hint="eastAsia"/>
          <w:kern w:val="2"/>
          <w:sz w:val="21"/>
          <w:szCs w:val="21"/>
          <w:lang w:eastAsia="zh-CN"/>
        </w:rPr>
        <w:t>LHAZXDL-2025-00341</w:t>
      </w:r>
      <w:bookmarkEnd w:id="21"/>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大浪校区监控视频存储及光网络交换设备</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2" w:name="_Hlk72263588"/>
      <w:r>
        <w:rPr>
          <w:rFonts w:ascii="Calibri" w:eastAsia="宋体" w:hAnsi="Calibri" w:cstheme="minorBidi" w:hint="eastAsia"/>
          <w:kern w:val="2"/>
          <w:sz w:val="21"/>
          <w:szCs w:val="21"/>
          <w:lang w:eastAsia="zh-CN"/>
        </w:rPr>
        <w:t>愿意按照招标文件要求承包上述项目并修补其任何缺陷。</w:t>
      </w:r>
      <w:bookmarkEnd w:id="22"/>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3"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3"/>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0"/>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19"/>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right"/>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4"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5" w:name="_Hlk72257908"/>
      <w:r>
        <w:rPr>
          <w:rFonts w:ascii="黑体" w:eastAsia="黑体" w:hAnsi="宋体" w:cstheme="minorBidi" w:hint="eastAsia"/>
          <w:bCs/>
          <w:szCs w:val="32"/>
          <w:lang w:eastAsia="zh-CN"/>
        </w:rPr>
        <w:t>（二）中小企业声明函、残疾人福利性单位声明函及监狱企业声明函</w:t>
      </w:r>
    </w:p>
    <w:bookmarkEnd w:id="24"/>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1"/>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6"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6"/>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7" w:name="_Hlk73562331"/>
      <w:bookmarkStart w:id="28"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7"/>
    </w:p>
    <w:bookmarkEnd w:id="28"/>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5"/>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四</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五、分项报价清单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六、股东构成审查表</w:t>
      </w:r>
    </w:p>
    <w:p>
      <w:pPr>
        <w:keepNext/>
        <w:keepLines/>
        <w:widowControl w:val="0"/>
        <w:numPr>
          <w:ilvl w:val="0"/>
          <w:numId w:val="2"/>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ascii="宋体" w:eastAsia="宋体" w:hAnsi="宋体" w:cs="宋体" w:hint="eastAsia"/>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七、</w:t>
      </w:r>
      <w:bookmarkStart w:id="29" w:name="_Hlk72092499"/>
      <w:r>
        <w:rPr>
          <w:rFonts w:ascii="黑体" w:eastAsia="黑体" w:hAnsi="宋体" w:cstheme="minorBidi" w:hint="eastAsia"/>
          <w:b/>
          <w:kern w:val="2"/>
          <w:sz w:val="30"/>
          <w:szCs w:val="30"/>
          <w:lang w:eastAsia="zh-CN"/>
        </w:rPr>
        <w:t>法定代表人（负责人）证明书</w:t>
      </w:r>
      <w:bookmarkEnd w:id="29"/>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30" w:name="_Hlk72092634"/>
      <w:r>
        <w:rPr>
          <w:rFonts w:ascii="黑体" w:eastAsia="黑体" w:hAnsi="Calibri" w:cstheme="minorBidi" w:hint="eastAsia"/>
          <w:b/>
          <w:kern w:val="2"/>
          <w:sz w:val="30"/>
          <w:szCs w:val="22"/>
          <w:lang w:eastAsia="zh-CN"/>
        </w:rPr>
        <w:t>实质性条款响应情况表</w:t>
      </w:r>
      <w:bookmarkEnd w:id="30"/>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3"/>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十二、技术保障措施</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十三、同类项目业绩</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十四、投标人资质证书</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十五、诚信承诺函</w:t>
      </w:r>
    </w:p>
    <w:p>
      <w:pPr>
        <w:spacing w:line="360" w:lineRule="auto"/>
        <w:rPr>
          <w:rFonts w:ascii="宋体" w:eastAsia="宋体" w:hAnsi="宋体" w:hint="eastAsia"/>
          <w:b/>
          <w:szCs w:val="21"/>
          <w:lang w:eastAsia="zh-CN"/>
        </w:rPr>
      </w:pPr>
      <w:r>
        <w:rPr>
          <w:rFonts w:ascii="宋体" w:eastAsia="宋体" w:hAnsi="宋体" w:hint="eastAsia"/>
          <w:b/>
          <w:szCs w:val="21"/>
          <w:lang w:eastAsia="zh-CN"/>
        </w:rPr>
        <w:t>致：深圳市千里招标代理有限公司</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（十二）主管部门认定的其他情形。</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特此承诺。</w:t>
      </w:r>
    </w:p>
    <w:p>
      <w:pPr>
        <w:spacing w:line="360" w:lineRule="auto"/>
        <w:jc w:val="both"/>
        <w:rPr>
          <w:rFonts w:ascii="宋体" w:eastAsia="宋体" w:hAnsi="宋体" w:hint="eastAsia"/>
          <w:szCs w:val="21"/>
          <w:lang w:eastAsia="zh-CN"/>
        </w:rPr>
      </w:pPr>
    </w:p>
    <w:p>
      <w:pPr>
        <w:spacing w:line="360" w:lineRule="auto"/>
        <w:rPr>
          <w:rFonts w:ascii="宋体" w:eastAsia="宋体" w:hAnsi="宋体" w:hint="eastAsia"/>
          <w:szCs w:val="21"/>
          <w:lang w:eastAsia="zh-CN"/>
        </w:rPr>
      </w:pPr>
    </w:p>
    <w:p>
      <w:pPr>
        <w:spacing w:line="360" w:lineRule="auto"/>
        <w:ind w:firstLine="3600" w:firstLineChars="1500"/>
        <w:rPr>
          <w:rFonts w:ascii="宋体" w:eastAsia="宋体" w:hAnsi="宋体" w:hint="eastAsia"/>
          <w:szCs w:val="21"/>
          <w:lang w:eastAsia="zh-CN"/>
        </w:rPr>
      </w:pPr>
      <w:r>
        <w:rPr>
          <w:rFonts w:ascii="宋体" w:eastAsia="宋体" w:hAnsi="宋体" w:hint="eastAsia"/>
          <w:szCs w:val="21"/>
          <w:lang w:eastAsia="zh-CN"/>
        </w:rPr>
        <w:t>投标单位：</w:t>
      </w:r>
    </w:p>
    <w:p>
      <w:pPr>
        <w:spacing w:line="360" w:lineRule="auto"/>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r>
        <w:rPr>
          <w:rFonts w:ascii="宋体" w:eastAsia="宋体" w:hAnsi="宋体" w:hint="eastAsia"/>
          <w:szCs w:val="21"/>
          <w:lang w:eastAsia="zh-CN"/>
        </w:rPr>
        <w:t>日期：</w:t>
      </w:r>
      <w:r>
        <w:rPr>
          <w:rFonts w:ascii="宋体" w:eastAsia="宋体" w:hAnsi="宋体" w:hint="eastAsia"/>
          <w:szCs w:val="21"/>
          <w:u w:val="single"/>
          <w:lang w:eastAsia="zh-CN"/>
        </w:rPr>
        <w:t xml:space="preserve">     </w:t>
      </w:r>
      <w:r>
        <w:rPr>
          <w:rFonts w:ascii="宋体" w:eastAsia="宋体" w:hAnsi="宋体" w:hint="eastAsia"/>
          <w:szCs w:val="21"/>
          <w:lang w:eastAsia="zh-CN"/>
        </w:rPr>
        <w:t>年</w:t>
      </w:r>
      <w:r>
        <w:rPr>
          <w:rFonts w:ascii="宋体" w:eastAsia="宋体" w:hAnsi="宋体" w:hint="eastAsia"/>
          <w:szCs w:val="21"/>
          <w:u w:val="single"/>
          <w:lang w:eastAsia="zh-CN"/>
        </w:rPr>
        <w:t xml:space="preserve">     </w:t>
      </w:r>
      <w:r>
        <w:rPr>
          <w:rFonts w:ascii="宋体" w:eastAsia="宋体" w:hAnsi="宋体" w:hint="eastAsia"/>
          <w:szCs w:val="21"/>
          <w:lang w:eastAsia="zh-CN"/>
        </w:rPr>
        <w:t>月</w:t>
      </w:r>
      <w:r>
        <w:rPr>
          <w:rFonts w:ascii="宋体" w:eastAsia="宋体" w:hAnsi="宋体" w:hint="eastAsia"/>
          <w:szCs w:val="21"/>
          <w:u w:val="single"/>
          <w:lang w:eastAsia="zh-CN"/>
        </w:rPr>
        <w:t xml:space="preserve">     </w:t>
      </w:r>
      <w:r>
        <w:rPr>
          <w:rFonts w:ascii="宋体" w:eastAsia="宋体" w:hAnsi="宋体" w:hint="eastAsia"/>
          <w:szCs w:val="21"/>
          <w:lang w:eastAsia="zh-CN"/>
        </w:rPr>
        <w:t>日</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rPr>
          <w:rFonts w:ascii="黑体" w:eastAsia="黑体" w:hAnsi="宋体" w:hint="eastAsia"/>
          <w:kern w:val="2"/>
          <w:szCs w:val="20"/>
          <w:highlight w:val="yellow"/>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采购人：</w:t>
      </w:r>
      <w:r>
        <w:rPr>
          <w:rFonts w:ascii="宋体" w:eastAsia="宋体" w:hAnsi="宋体" w:cs="宋体" w:hint="eastAsia"/>
          <w:sz w:val="21"/>
          <w:szCs w:val="21"/>
          <w:u w:val="single"/>
          <w:lang w:eastAsia="zh-CN"/>
        </w:rPr>
        <w:t xml:space="preserve">           </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供应商：</w:t>
      </w:r>
      <w:r>
        <w:rPr>
          <w:rFonts w:ascii="宋体" w:eastAsia="宋体" w:hAnsi="宋体" w:cs="宋体" w:hint="eastAsia"/>
          <w:sz w:val="21"/>
          <w:szCs w:val="21"/>
          <w:u w:val="single"/>
          <w:lang w:eastAsia="zh-CN"/>
        </w:rPr>
        <w:t xml:space="preserve">           </w:t>
      </w:r>
    </w:p>
    <w:p>
      <w:pPr>
        <w:rPr>
          <w:rFonts w:ascii="宋体" w:eastAsia="宋体" w:hAnsi="宋体" w:cs="宋体" w:hint="eastAsia"/>
          <w:sz w:val="21"/>
          <w:szCs w:val="21"/>
          <w:lang w:eastAsia="zh-CN"/>
        </w:rPr>
      </w:pP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号采购项目的投标结果，由</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单位为中标方。按照有关规定，经深圳市</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（以下简称甲方）和</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单位（以下简称乙方）协商，达成以下合同条款：</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第一条  合同标的</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乙方根据甲方需求提供下列货物：</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货物名称、规格及数量详见</w:t>
      </w:r>
      <w:r>
        <w:rPr>
          <w:rFonts w:ascii="宋体" w:eastAsia="宋体" w:hAnsi="宋体" w:cs="宋体" w:hint="eastAsia"/>
          <w:b/>
          <w:sz w:val="21"/>
          <w:szCs w:val="21"/>
          <w:u w:val="single"/>
          <w:lang w:eastAsia="zh-CN"/>
        </w:rPr>
        <w:t xml:space="preserve">                  </w:t>
      </w:r>
      <w:r>
        <w:rPr>
          <w:rFonts w:ascii="宋体" w:eastAsia="宋体" w:hAnsi="宋体" w:cs="宋体" w:hint="eastAsia"/>
          <w:sz w:val="21"/>
          <w:szCs w:val="21"/>
          <w:lang w:eastAsia="zh-CN"/>
        </w:rPr>
        <w:t>。</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第二条  合同价款</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本合同项下总价款为</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（大写）人民币，分项价款详见</w:t>
      </w:r>
      <w:r>
        <w:rPr>
          <w:rFonts w:ascii="宋体" w:eastAsia="宋体" w:hAnsi="宋体" w:cs="宋体" w:hint="eastAsia"/>
          <w:b/>
          <w:sz w:val="21"/>
          <w:szCs w:val="21"/>
          <w:u w:val="single"/>
          <w:lang w:eastAsia="zh-CN"/>
        </w:rPr>
        <w:t xml:space="preserve">          </w:t>
      </w:r>
      <w:r>
        <w:rPr>
          <w:rFonts w:ascii="宋体" w:eastAsia="宋体" w:hAnsi="宋体" w:cs="宋体" w:hint="eastAsia"/>
          <w:sz w:val="21"/>
          <w:szCs w:val="21"/>
          <w:lang w:eastAsia="zh-CN"/>
        </w:rPr>
        <w:t>。本合同总价款已包括乙方为履行本合同义务所发生的一切费用，系固定不变价格，且不随通货膨胀的影响而波动。</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第三条  权利保证</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第四条  质量保证</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1、乙方所提供的货物的技术规格符合采购文件规定的技术规格，货物符合中华人民共和国的设计和制造生产标准或行业标准。</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3、乙方保证交货时一并提供货物的质量合格凭证或文件。</w:t>
      </w:r>
    </w:p>
    <w:p>
      <w:pPr>
        <w:spacing w:line="360" w:lineRule="auto"/>
        <w:rPr>
          <w:rFonts w:ascii="宋体" w:eastAsia="宋体" w:hAnsi="宋体" w:cs="宋体" w:hint="eastAsia"/>
          <w:sz w:val="21"/>
          <w:szCs w:val="21"/>
          <w:lang w:eastAsia="zh-CN"/>
        </w:rPr>
      </w:pP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第五条  交货和验收</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1、乙方应按照本合同或招投标文件规定的时间和方式向甲方交付货物，交货地点由甲方指定。因交货产生的费用由乙方自行承担。</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4、甲方应当在到货后的</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个工作日内对货物进行验收；需要乙方对货物或系统进行安装调试的，甲方应在货物安装调试完毕后的</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个工作日内进行质量验收。</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第六条  保修及其他服务</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1、乙方应按照国家有关法律法规规章和“三包”规定和采购文件的要求及乙方在投标文件的相关承诺提供保修及其他服务。</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第七条  履约保证金</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1、乙方应在签订本合同之日，向甲方或甲方指定的机构提交履约保证金_________元。</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2、如乙方未能履行合同规定的义务，甲方有权从履约保证金中取得补偿。</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3、甲方在乙方履行完毕本合同项下全部义务后______天内无息退还乙方。</w:t>
      </w:r>
    </w:p>
    <w:p>
      <w:pPr>
        <w:spacing w:line="360" w:lineRule="auto"/>
        <w:ind w:firstLine="560"/>
        <w:rPr>
          <w:rFonts w:ascii="宋体" w:eastAsia="宋体" w:hAnsi="宋体" w:cs="宋体" w:hint="eastAsia"/>
          <w:sz w:val="21"/>
          <w:szCs w:val="21"/>
          <w:lang w:eastAsia="zh-CN"/>
        </w:rPr>
      </w:pP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第八条   付款方式</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按照招标文件规定的付款方式进行支付。</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第九条    违约责任</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１、甲方无正当理由拒收货物、拒付货物款的，由甲方向乙方偿付合同总价的【】%违约金。</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２、甲方未按合同规定的期限向乙方支付货款的，每逾期1天甲方向乙方偿付欠款总额的【】‰滞纳金，但累计滞纳金总额不超过欠款总额的【】% 。</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３、乙方逾期交付货物的，每逾期1天，乙方向甲方偿付逾期交货部分货款总额的【】‰的滞纳金。如乙方逾期交货达</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天，甲方有权解除合同，履约保证金不予退回，同时乙方应向甲方支付合同总价【】％的违约金。</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4、乙方所交付的货物品种、型号、规格不符合合同规定的，甲方有权拒收。甲方拒收的，乙方应向甲方支付货款总额【】%的违约金。</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6、乙方未履行本合同项下的其他义务或违反其在投标文件中的相关承诺的，应按合同总价款的【】%向甲方承担违约责任。</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第十条    合同的变更和终止</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除《中华人民共和国政府采购法》第４９条、第５０条第二款规定的情形外，本合同一经签订，甲乙双方不得擅自变更、中止或终止合同。</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第十一条   争议的解决</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2、因履行本合同引起的或与本合同有关的争议，甲、乙双方应首先通过友好协商解决，如果协商不能解决争议，则向甲方所在地有管辖权的人民法院提起诉讼；</w:t>
      </w:r>
    </w:p>
    <w:p>
      <w:pPr>
        <w:spacing w:line="360" w:lineRule="auto"/>
        <w:ind w:firstLine="560"/>
        <w:rPr>
          <w:rFonts w:ascii="宋体" w:eastAsia="宋体" w:hAnsi="宋体" w:cs="宋体" w:hint="eastAsia"/>
          <w:b/>
          <w:sz w:val="21"/>
          <w:szCs w:val="21"/>
          <w:lang w:eastAsia="zh-CN"/>
        </w:rPr>
      </w:pPr>
      <w:r>
        <w:rPr>
          <w:rFonts w:ascii="宋体" w:eastAsia="宋体" w:hAnsi="宋体" w:cs="宋体" w:hint="eastAsia"/>
          <w:b/>
          <w:sz w:val="21"/>
          <w:szCs w:val="21"/>
          <w:lang w:eastAsia="zh-CN"/>
        </w:rPr>
        <w:t>第十二条   合同生效及其他</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1、下列文件均为本合同的重要组成部分：</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（1）本项目的采购文件、答疑及补充通知；</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（2）本项目中标的投标文件；</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（3）本合同执行中共同签署的补充与修正文件。</w:t>
      </w:r>
    </w:p>
    <w:p>
      <w:pPr>
        <w:spacing w:line="360" w:lineRule="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   </w:t>
      </w:r>
      <w:r>
        <w:rPr>
          <w:rFonts w:ascii="宋体" w:eastAsia="宋体" w:hAnsi="宋体" w:cs="宋体" w:hint="eastAsia"/>
          <w:bCs/>
          <w:kern w:val="2"/>
          <w:sz w:val="21"/>
          <w:szCs w:val="21"/>
          <w:lang w:eastAsia="zh-CN"/>
        </w:rPr>
        <w:t xml:space="preserve"> 以上文件互为补充，如果出现内容冲突的情况，为准的优先顺序为（2）、（1）、（3）。</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2、本合同一式___份，甲、乙方双方各执份，具有同等法律效力。本合同自双方法人代表签字（盖章）认可之日起生效。</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3、本合同未尽事宜，双方友好协商，达成解决方案，经双方签字后，可作为本合同的有效附件。</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本合同未尽事宜，双方友好协商，达成解决方案，经双方签字后，可作为本合同的有效附件。</w:t>
      </w:r>
    </w:p>
    <w:p>
      <w:pPr>
        <w:spacing w:line="360" w:lineRule="auto"/>
        <w:ind w:firstLine="560"/>
        <w:rPr>
          <w:rFonts w:ascii="宋体" w:eastAsia="宋体" w:hAnsi="宋体" w:cs="宋体" w:hint="eastAsia"/>
          <w:sz w:val="21"/>
          <w:szCs w:val="21"/>
          <w:lang w:eastAsia="zh-CN"/>
        </w:rPr>
      </w:pPr>
      <w:r>
        <w:rPr>
          <w:rFonts w:ascii="宋体" w:eastAsia="宋体" w:hAnsi="宋体" w:cs="宋体" w:hint="eastAsia"/>
          <w:sz w:val="21"/>
          <w:szCs w:val="21"/>
          <w:lang w:eastAsia="zh-CN"/>
        </w:rPr>
        <w:t>甲方（采购人）：   （盖章）       乙方（供应商）：    （盖章）</w:t>
      </w:r>
    </w:p>
    <w:p>
      <w:pPr>
        <w:spacing w:line="360" w:lineRule="auto"/>
        <w:ind w:firstLine="560"/>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rPr>
          <w:rFonts w:ascii="宋体" w:eastAsia="宋体" w:hAnsi="宋体" w:cs="宋体" w:hint="eastAsia"/>
          <w:sz w:val="21"/>
          <w:szCs w:val="21"/>
        </w:rPr>
      </w:pPr>
      <w:r>
        <w:rPr>
          <w:rFonts w:ascii="宋体" w:eastAsia="宋体" w:hAnsi="宋体" w:cs="宋体" w:hint="eastAsia"/>
          <w:sz w:val="21"/>
          <w:szCs w:val="21"/>
        </w:rPr>
        <w:t>委托代理人：                     委托代理人：</w:t>
      </w:r>
    </w:p>
    <w:p>
      <w:pPr>
        <w:widowControl w:val="0"/>
        <w:spacing w:line="360" w:lineRule="auto"/>
        <w:ind w:firstLine="630" w:firstLineChars="300"/>
        <w:jc w:val="both"/>
        <w:rPr>
          <w:rFonts w:ascii="宋体" w:eastAsia="宋体" w:hAnsi="宋体" w:cs="宋体" w:hint="eastAsia"/>
          <w:kern w:val="2"/>
          <w:sz w:val="21"/>
          <w:szCs w:val="21"/>
          <w:lang w:eastAsia="zh-CN"/>
        </w:rPr>
      </w:pPr>
      <w:r>
        <w:rPr>
          <w:rFonts w:ascii="宋体" w:eastAsia="宋体" w:hAnsi="宋体" w:cs="宋体" w:hint="eastAsia"/>
          <w:sz w:val="21"/>
          <w:szCs w:val="21"/>
        </w:rPr>
        <w:t>日期：   年     月    日         日期：   年     月    日</w:t>
      </w: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16272"/>
      <w:bookmarkStart w:id="35" w:name="_Toc4237"/>
      <w:bookmarkStart w:id="36" w:name="_Toc25500"/>
      <w:r>
        <w:rPr>
          <w:rFonts w:ascii="Arial" w:eastAsia="宋体" w:hAnsi="Arial" w:hint="eastAsia"/>
          <w:b/>
          <w:kern w:val="2"/>
          <w:sz w:val="32"/>
          <w:lang w:eastAsia="zh-CN"/>
        </w:rPr>
        <w:t xml:space="preserve">  招标文件</w:t>
      </w:r>
      <w:bookmarkEnd w:id="33"/>
      <w:bookmarkEnd w:id="34"/>
      <w:bookmarkEnd w:id="35"/>
      <w:bookmarkEnd w:id="3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3741"/>
      <w:bookmarkStart w:id="39" w:name="_Toc31413"/>
      <w:bookmarkStart w:id="40" w:name="_Toc18814"/>
      <w:bookmarkStart w:id="41" w:name="_Toc17279"/>
      <w:r>
        <w:rPr>
          <w:rFonts w:ascii="Arial" w:eastAsia="宋体" w:hAnsi="Arial" w:hint="eastAsia"/>
          <w:b/>
          <w:kern w:val="2"/>
          <w:sz w:val="32"/>
          <w:lang w:eastAsia="zh-CN"/>
        </w:rPr>
        <w:t>第三章  投标文件的编制</w:t>
      </w:r>
      <w:bookmarkEnd w:id="38"/>
      <w:bookmarkEnd w:id="39"/>
      <w:bookmarkEnd w:id="40"/>
      <w:bookmarkEnd w:id="4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1427"/>
      <w:bookmarkStart w:id="52" w:name="_Toc28552"/>
      <w:bookmarkStart w:id="53" w:name="_Toc26761"/>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100052391"/>
      <w:bookmarkStart w:id="59" w:name="_Toc1658"/>
      <w:bookmarkStart w:id="60" w:name="_Toc14713"/>
      <w:bookmarkStart w:id="61" w:name="_Toc2041"/>
      <w:bookmarkStart w:id="62" w:name="_Toc73518144"/>
      <w:bookmarkStart w:id="63" w:name="_Toc101074881"/>
      <w:bookmarkStart w:id="64" w:name="_Toc13806"/>
      <w:bookmarkStart w:id="65" w:name="_Toc73517666"/>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ordWrap w:val="0"/>
        <w:autoSpaceDE w:val="0"/>
        <w:autoSpaceDN w:val="0"/>
        <w:spacing w:line="400" w:lineRule="exact"/>
        <w:ind w:right="808" w:firstLine="420" w:firstLineChars="200"/>
        <w:jc w:val="both"/>
        <w:rPr>
          <w:rFonts w:eastAsia="宋体"/>
          <w:kern w:val="2"/>
          <w:sz w:val="21"/>
          <w:lang w:eastAsia="zh-CN"/>
        </w:rPr>
      </w:pPr>
      <w:bookmarkStart w:id="67" w:name="_Toc73518146"/>
      <w:bookmarkStart w:id="68" w:name="_Toc73517668"/>
      <w:bookmarkStart w:id="69" w:name="_Toc100052393"/>
      <w:bookmarkStart w:id="70" w:name="_Toc101074882"/>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0179"/>
      <w:bookmarkStart w:id="73" w:name="_Toc7319"/>
      <w:bookmarkStart w:id="74" w:name="_Toc29197"/>
      <w:bookmarkStart w:id="75" w:name="_Toc27869"/>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9125"/>
      <w:bookmarkStart w:id="79" w:name="_Toc1296"/>
      <w:bookmarkStart w:id="80" w:name="_Toc100052397"/>
      <w:bookmarkStart w:id="81" w:name="_Toc101074883"/>
      <w:bookmarkStart w:id="82" w:name="_Toc20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7671"/>
      <w:bookmarkStart w:id="87" w:name="_Toc73518149"/>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89" w:name="_Toc73521669"/>
      <w:bookmarkStart w:id="90" w:name="_Toc100052400"/>
      <w:bookmarkStart w:id="91" w:name="_Toc73518151"/>
      <w:bookmarkStart w:id="92" w:name="_Toc73521581"/>
      <w:bookmarkStart w:id="93" w:name="_Toc73517673"/>
      <w:r>
        <w:rPr>
          <w:rFonts w:eastAsia="宋体" w:hint="eastAsia"/>
          <w:kern w:val="2"/>
          <w:sz w:val="21"/>
          <w:lang w:eastAsia="zh-CN"/>
        </w:rPr>
        <w:t>34．错误的修正</w:t>
      </w:r>
      <w:bookmarkEnd w:id="89"/>
      <w:bookmarkEnd w:id="90"/>
      <w:bookmarkEnd w:id="91"/>
      <w:bookmarkEnd w:id="92"/>
      <w:bookmarkEnd w:id="9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26094"/>
      <w:bookmarkStart w:id="97" w:name="_Toc1513"/>
      <w:bookmarkStart w:id="98" w:name="_Toc30568"/>
      <w:bookmarkStart w:id="99" w:name="_Toc13341"/>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20277"/>
      <w:bookmarkStart w:id="110" w:name="_Toc17412"/>
      <w:bookmarkStart w:id="111" w:name="_Toc25733"/>
      <w:bookmarkStart w:id="112" w:name="_Toc24474"/>
      <w:bookmarkStart w:id="113" w:name="_Toc11736"/>
      <w:bookmarkStart w:id="114" w:name="_Toc73517678"/>
      <w:bookmarkStart w:id="115" w:name="_Toc100052407"/>
      <w:bookmarkStart w:id="116" w:name="_Toc101074884"/>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27904"/>
      <w:bookmarkStart w:id="119" w:name="_Toc26814"/>
      <w:bookmarkStart w:id="120" w:name="_Toc13677"/>
      <w:bookmarkStart w:id="121" w:name="_Toc9122"/>
      <w:bookmarkStart w:id="122" w:name="_Toc26432"/>
      <w:r>
        <w:rPr>
          <w:rFonts w:ascii="Arial" w:eastAsia="宋体" w:hAnsi="Arial" w:hint="eastAsia"/>
          <w:b/>
          <w:kern w:val="2"/>
          <w:sz w:val="32"/>
          <w:lang w:eastAsia="zh-CN"/>
        </w:rPr>
        <w:t>第十章  合同的授予与备案</w:t>
      </w:r>
      <w:bookmarkEnd w:id="118"/>
      <w:bookmarkEnd w:id="119"/>
      <w:bookmarkEnd w:id="120"/>
      <w:bookmarkEnd w:id="121"/>
      <w:bookmarkEnd w:id="122"/>
    </w:p>
    <w:p>
      <w:pPr>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21586"/>
      <w:bookmarkStart w:id="125" w:name="_Toc73518157"/>
      <w:bookmarkStart w:id="126" w:name="_Toc73517679"/>
      <w:bookmarkStart w:id="127" w:name="_Toc100052408"/>
      <w:bookmarkStart w:id="128" w:name="_Toc73521674"/>
      <w:bookmarkStart w:id="129" w:name="_Hlk72439088"/>
      <w:r>
        <w:rPr>
          <w:rFonts w:eastAsia="宋体" w:hint="eastAsia"/>
          <w:kern w:val="2"/>
          <w:sz w:val="21"/>
          <w:lang w:eastAsia="zh-CN"/>
        </w:rPr>
        <w:t>43．合同授予标准</w:t>
      </w:r>
      <w:bookmarkEnd w:id="124"/>
      <w:bookmarkEnd w:id="125"/>
      <w:bookmarkEnd w:id="126"/>
      <w:bookmarkEnd w:id="127"/>
      <w:bookmarkEnd w:id="12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30" w:name="_Toc73521587"/>
      <w:bookmarkStart w:id="131" w:name="_Toc73521675"/>
      <w:bookmarkStart w:id="132" w:name="_Toc73517680"/>
      <w:bookmarkStart w:id="133" w:name="_Toc100052409"/>
      <w:bookmarkStart w:id="134" w:name="_Toc73518158"/>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5" w:name="_Toc73521677"/>
      <w:bookmarkStart w:id="136" w:name="_Toc73521589"/>
      <w:bookmarkStart w:id="137" w:name="_Toc73517682"/>
      <w:bookmarkStart w:id="138" w:name="_Toc100052410"/>
      <w:bookmarkStart w:id="139" w:name="_Toc73518160"/>
      <w:r>
        <w:rPr>
          <w:rFonts w:eastAsia="宋体" w:hint="eastAsia"/>
          <w:kern w:val="2"/>
          <w:sz w:val="21"/>
          <w:lang w:eastAsia="zh-CN"/>
        </w:rPr>
        <w:t>45．合同的签订</w:t>
      </w:r>
      <w:bookmarkEnd w:id="135"/>
      <w:bookmarkEnd w:id="136"/>
      <w:bookmarkEnd w:id="137"/>
      <w:bookmarkEnd w:id="138"/>
      <w:bookmarkEnd w:id="139"/>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40" w:name="_Toc73518161"/>
      <w:bookmarkStart w:id="141" w:name="_Toc73517683"/>
      <w:bookmarkStart w:id="142" w:name="_Toc100052411"/>
      <w:bookmarkStart w:id="143" w:name="_Toc73521678"/>
      <w:bookmarkStart w:id="144" w:name="_Toc73521590"/>
      <w:r>
        <w:rPr>
          <w:rFonts w:eastAsia="宋体" w:hint="eastAsia"/>
          <w:kern w:val="2"/>
          <w:sz w:val="21"/>
          <w:lang w:eastAsia="zh-CN"/>
        </w:rPr>
        <w:t>46．履约担保</w:t>
      </w:r>
      <w:bookmarkEnd w:id="140"/>
      <w:bookmarkEnd w:id="141"/>
      <w:bookmarkEnd w:id="142"/>
      <w:bookmarkEnd w:id="143"/>
      <w:bookmarkEnd w:id="144"/>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9"/>
          <w:footerReference w:type="default" r:id="rId10"/>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left w:val="single" w:sz="6" w:space="0" w:color="DDDDDD"/>
          <w:right w:val="single" w:sz="6" w:space="0" w:color="DDDDDD"/>
        </w:pBdr>
        <w:spacing w:line="648" w:lineRule="atLeast"/>
        <w:ind w:left="15" w:right="15"/>
        <w:jc w:val="center"/>
        <w:outlineLvl w:val="0"/>
        <w:rPr>
          <w:rFonts w:ascii="仿宋" w:eastAsia="仿宋" w:hAnsi="仿宋" w:cs="仿宋" w:hint="eastAsia"/>
          <w:b/>
          <w:bCs/>
          <w:color w:val="000000"/>
          <w:sz w:val="48"/>
          <w:szCs w:val="48"/>
          <w:lang w:val="en" w:eastAsia="zh-CN"/>
        </w:rPr>
      </w:pPr>
      <w:r>
        <w:rPr>
          <w:rFonts w:ascii="仿宋" w:eastAsia="仿宋" w:hAnsi="仿宋" w:cs="仿宋"/>
          <w:b/>
          <w:bCs/>
          <w:color w:val="000000"/>
          <w:sz w:val="48"/>
          <w:szCs w:val="48"/>
          <w:lang w:val="en" w:eastAsia="zh-CN"/>
        </w:rPr>
        <w:t>投标文件格式</w:t>
      </w:r>
    </w:p>
    <w:p>
      <w:pPr>
        <w:spacing w:line="504" w:lineRule="atLeast"/>
        <w:ind w:left="15" w:right="15"/>
        <w:jc w:val="center"/>
        <w:rPr>
          <w:rFonts w:ascii="仿宋" w:eastAsia="仿宋" w:hAnsi="仿宋" w:cs="仿宋" w:hint="eastAsia"/>
          <w:b/>
          <w:bCs/>
          <w:color w:val="333333"/>
          <w:sz w:val="28"/>
          <w:szCs w:val="28"/>
          <w:lang w:val="en" w:eastAsia="zh-CN"/>
        </w:rPr>
      </w:pPr>
      <w:r>
        <w:rPr>
          <w:rFonts w:ascii="仿宋" w:eastAsia="仿宋" w:hAnsi="仿宋" w:cs="仿宋" w:hint="eastAsia"/>
          <w:b/>
          <w:bCs/>
          <w:color w:val="333333"/>
          <w:sz w:val="28"/>
          <w:szCs w:val="28"/>
          <w:lang w:val="en" w:eastAsia="zh-CN"/>
        </w:rPr>
        <w:t>大浪校区监控视频存储及光网络交换设备</w:t>
      </w:r>
      <w:r>
        <w:rPr>
          <w:rFonts w:ascii="仿宋" w:eastAsia="仿宋" w:hAnsi="仿宋" w:cs="仿宋"/>
          <w:b/>
          <w:bCs/>
          <w:color w:val="333333"/>
          <w:sz w:val="28"/>
          <w:szCs w:val="28"/>
          <w:lang w:val="en" w:eastAsia="zh-CN"/>
        </w:rPr>
        <w:t>-A</w:t>
      </w:r>
    </w:p>
    <w:tbl>
      <w:tblPr>
        <w:tblStyle w:val="typotable"/>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微软雅黑" w:eastAsia="微软雅黑" w:hAnsi="微软雅黑" w:cs="微软雅黑" w:hint="eastAsia"/>
                <w:color w:val="666666"/>
                <w:lang w:val="en" w:eastAsia="en"/>
              </w:rPr>
            </w:pPr>
            <w:r>
              <w:rPr>
                <w:rFonts w:ascii="仿宋" w:eastAsia="仿宋" w:hAnsi="仿宋" w:cs="仿宋"/>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微软雅黑" w:eastAsia="微软雅黑" w:hAnsi="微软雅黑" w:cs="微软雅黑" w:hint="eastAsia"/>
                <w:color w:val="666666"/>
                <w:lang w:val="en" w:eastAsia="en"/>
              </w:rPr>
            </w:pPr>
            <w:r>
              <w:rPr>
                <w:rFonts w:ascii="仿宋" w:eastAsia="仿宋" w:hAnsi="仿宋" w:cs="仿宋"/>
                <w:color w:val="666666"/>
                <w:lang w:val="en" w:eastAsia="en"/>
              </w:rPr>
              <w:t>文件夹/文件名称</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投标函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2</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龙华区教育局自行采购投标及履约承诺函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3</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投标人情况及资格证明文件</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4</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hint="eastAsia"/>
                <w:color w:val="666666"/>
                <w:lang w:val="en" w:eastAsia="en"/>
              </w:rPr>
              <w:t>供应商基本情况表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5</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hint="eastAsia"/>
                <w:color w:val="666666"/>
                <w:lang w:val="en" w:eastAsia="en"/>
              </w:rPr>
              <w:t>分项报价清单</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6</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en"/>
              </w:rPr>
              <w:t>股东构成审查表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7</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法定代表人（负责人）证明书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8</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投标文件签署授权委托书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9</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实质性条款响应情况表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10</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技术要求偏离表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11</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商务要求偏离表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12</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技术保障措施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13</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en"/>
              </w:rPr>
              <w:t>同类项目业绩</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14</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投标人资质证书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zh-CN"/>
              </w:rPr>
            </w:pPr>
            <w:r>
              <w:rPr>
                <w:rFonts w:ascii="仿宋" w:eastAsia="仿宋" w:hAnsi="仿宋" w:cs="仿宋" w:hint="eastAsia"/>
                <w:color w:val="666666"/>
                <w:lang w:val="en" w:eastAsia="zh-CN"/>
              </w:rPr>
              <w:t>15</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诚信承诺函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zh-CN"/>
              </w:rPr>
            </w:pPr>
            <w:r>
              <w:rPr>
                <w:rFonts w:ascii="仿宋" w:eastAsia="仿宋" w:hAnsi="仿宋" w:cs="仿宋"/>
                <w:color w:val="666666"/>
                <w:lang w:val="en" w:eastAsia="en"/>
              </w:rPr>
              <w:t>1</w:t>
            </w:r>
            <w:r>
              <w:rPr>
                <w:rFonts w:ascii="仿宋" w:eastAsia="仿宋" w:hAnsi="仿宋" w:cs="仿宋" w:hint="eastAsia"/>
                <w:color w:val="666666"/>
                <w:lang w:val="en" w:eastAsia="zh-CN"/>
              </w:rPr>
              <w:t>6</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投标人认为需要加以说明的其他内容</w:t>
            </w:r>
          </w:p>
        </w:tc>
      </w:tr>
    </w:tbl>
    <w:p>
      <w:pPr>
        <w:spacing w:line="432" w:lineRule="atLeast"/>
        <w:rPr>
          <w:rFonts w:ascii="仿宋" w:eastAsia="仿宋" w:hAnsi="仿宋" w:cs="仿宋" w:hint="eastAsia"/>
          <w:b/>
          <w:bCs/>
          <w:color w:val="333333"/>
          <w:lang w:val="en" w:eastAsia="zh-CN"/>
        </w:rPr>
        <w:sectPr>
          <w:pgSz w:w="12240" w:h="15840"/>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大浪校区监控视频存储及光网络交换设备-A</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投标人资质证书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LHAZXDL-2025-00341-001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大浪校区监控视频存储及光网络交换设备-A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1.评审内容： 在投标文件中详细说明技术保障措施包括： （1）技术团队情况 （2）技术保障方案 （3）工期保证 （4）项目履约进度计划 2.评分标准 1）以上内容，每提供任意1项得5分，本项最高得20分。 2）在此基础上，根据施工方案详细程度、具体程度、与项目要求的符合性进行评分，本项最高加2分。 （1）投标文件响应内容详细； （2）投标文件响应内容具体； （3）投标文件响应内容符合项目要求； 满足以上三项要求的评价为优，加80分。 满足以上二项要求的评价为良，加50分。 满足以上一项要求的评价为中，加20分。 其它情况的评价为差，不加分。 本项累计最高得100分，未按要求提供或提供不清晰导致评审无法判别的不得分。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一般技术规格偏离情况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评审小组根据《技术规格偏离表》（以下简称“偏离表”）响应情况进行打分，全部满足的得100分，一般参数负偏离一项扣1.89分，扣完为止。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重要技术规格偏离情况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评审小组根据《技术规格偏离表》（以下简称“偏离表”）响应情况进行打分，全部满足的得100分，重点技术参数▲项负偏离一项扣14.5分，扣完为止。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投标人应如实填写《商务条款偏离情况》，评审小组根据响应情况进行打分，除带“★”号实质性条款外，全部满足要求的得100分，每负偏离一项扣7.7分，扣完为止。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2022年1月1日至本项目投标截止之日（以合同签订日期为准），具有政府单位或事业单位监控类或网络类或信息化类项目经验,每提供1个得50分，最高得100分。 （提供合同关键页（含签订合同双方的单位名称、合同项目名称、含签订合同双方的落款盖章、签订日期）及验收报告扫描件，原件备查。未提供或提供的不符合或提供不清晰导致无法判断的均不得分）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投标人资质证书</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1、投标人具有质量管理体系认证证书、环境管理体系认证证书、职业健康安全管理体系认证证书，且以上证书认证范围均需包含计算机系统集成和电教设备的维护的，得30分； 2、投标人具有售后服务认证证书，且证书认证范围均需包含计算机系统集成、电教设备的维护所涉及的售后服务的，得20分； 3、投标人具有履约能力评价服务认证证书，且证书认证范围均需包含计算机系统集成和电教设备的维护的，得20分； 4、投标人具有信息系统服务交付能力等级证书（四级）或以上，且证书认证范围均需包含信息系统集成实施和运行维护服务的，得30分。 以上1-4项累计得分，最高得100分。 （二）评分依据： 提供有效期内的认证证书扫描件（如证书标明需年度审核的，需有已年审标志）及在全国认证认可信息公共服务平台（认e云）（网址：httpcx.cnca.cnCertECloudindexindexpage）网站查询有效的截图并加盖投标人公章，原件备查。 上述证书如因投标人为新成立企业且成立时间不足三个月而未能获得的，提供相关情况说明（格式自拟），可获得对应证书得分。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投标人承诺在参与自行采购活动中未出现诚信或安全相关问题且不在相关主管部门处理措施实施期限内的本项得100分，否则不得分。 评分依据： 投标人须提供的《诚信承诺函》，按采购文件格式要求提供，不提供或提供的不符合要求或提供不清晰导致专家无法判断的均不得分。如被认定提供的陈述与事实不符受到行政处罚的，依法追究其责任。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失信供应商价格上浮比例：%。</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721CBBE0"/>
    <w:multiLevelType w:val="singleLevel"/>
    <w:tmpl w:val="721CBBE0"/>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qFormat/>
    <w:rPr>
      <w:rFonts w:eastAsia="宋体"/>
    </w:rPr>
    <w:tblPr>
      <w:tblInd w:w="0" w:type="dxa"/>
    </w:tblPr>
  </w:style>
  <w:style w:type="table" w:customStyle="1" w:styleId="typotable0">
    <w:name w:val="typo_table_0"/>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1">
    <w:name w:val="typo_table_1"/>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