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after="0" w:line="360" w:lineRule="auto"/>
        <w:ind w:firstLine="320"/>
        <w:jc w:val="center"/>
        <w:rPr>
          <w:b/>
          <w:bCs/>
          <w:color w:val="FF0000"/>
          <w:kern w:val="2"/>
          <w:sz w:val="32"/>
          <w:szCs w:val="32"/>
          <w:lang w:eastAsia="zh-CN"/>
        </w:rPr>
      </w:pPr>
      <w:r>
        <w:rPr>
          <w:rFonts w:hint="eastAsia"/>
          <w:b/>
          <w:bCs/>
          <w:color w:val="FF0000"/>
          <w:kern w:val="2"/>
          <w:sz w:val="32"/>
          <w:szCs w:val="32"/>
          <w:lang w:eastAsia="zh-CN"/>
        </w:rPr>
        <w:t>特别警示条款</w:t>
      </w:r>
    </w:p>
    <w:p>
      <w:pPr>
        <w:rPr>
          <w:lang w:eastAsia="zh-CN"/>
        </w:rPr>
      </w:pPr>
    </w:p>
    <w:p>
      <w:pPr>
        <w:spacing w:line="360" w:lineRule="auto"/>
        <w:rPr>
          <w:b/>
          <w:bCs/>
          <w:color w:val="FF0000"/>
          <w:kern w:val="2"/>
          <w:lang w:eastAsia="zh-CN"/>
        </w:rPr>
      </w:pPr>
      <w:r>
        <w:rPr>
          <w:rFonts w:hint="eastAsia"/>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pPr>
        <w:spacing w:line="360" w:lineRule="auto"/>
        <w:rPr>
          <w:b/>
          <w:bCs/>
          <w:kern w:val="2"/>
          <w:lang w:eastAsia="zh-CN"/>
        </w:rPr>
      </w:pPr>
    </w:p>
    <w:tbl>
      <w:tblPr>
        <w:tblStyle w:val="TableGrid"/>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1"/>
        <w:gridCol w:w="8235"/>
      </w:tblGrid>
      <w:tr>
        <w:tblPrEx>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序号</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lang w:eastAsia="zh-CN"/>
              </w:rPr>
            </w:pPr>
            <w:r>
              <w:rPr>
                <w:rFonts w:hint="eastAsia"/>
                <w:b/>
                <w:bCs/>
                <w:color w:val="FF0000"/>
                <w:lang w:eastAsia="zh-CN"/>
              </w:rPr>
              <w:t>供应商参与投标禁止情形</w:t>
            </w:r>
          </w:p>
        </w:tc>
      </w:tr>
      <w:tr>
        <w:tblPrEx>
          <w:tblW w:w="5000" w:type="pct"/>
          <w:tblInd w:w="250" w:type="dxa"/>
          <w:tblLayout w:type="fixed"/>
          <w:tblCellMar>
            <w:top w:w="0" w:type="dxa"/>
            <w:left w:w="108" w:type="dxa"/>
            <w:bottom w:w="0" w:type="dxa"/>
            <w:right w:w="108" w:type="dxa"/>
          </w:tblCellMar>
        </w:tblPrEx>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1</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与其他投标供应商的法定代表人、主要经营负责人、投标授权代表人、项目负责人、主要技术人员为</w:t>
            </w:r>
            <w:r>
              <w:rPr>
                <w:rFonts w:hint="eastAsia"/>
                <w:b/>
                <w:bCs/>
                <w:color w:val="FF0000"/>
                <w:lang w:eastAsia="zh-CN"/>
              </w:rPr>
              <w:t>同一人、属同一单位或者在同一单位缴纳社会保险</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90"/>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2</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参与本项目政府采购活动时，与其他投标供应商存在单位负责人为</w:t>
            </w:r>
            <w:r>
              <w:rPr>
                <w:rFonts w:hint="eastAsia"/>
                <w:b/>
                <w:bCs/>
                <w:color w:val="FF0000"/>
                <w:lang w:eastAsia="zh-CN"/>
              </w:rPr>
              <w:t>同一人或直接控股、管理关系</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3</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与其他投标供应商的投标文件或部分投标文件</w:t>
            </w:r>
            <w:r>
              <w:rPr>
                <w:rFonts w:hint="eastAsia"/>
                <w:b/>
                <w:bCs/>
                <w:color w:val="FF0000"/>
                <w:lang w:eastAsia="zh-CN"/>
              </w:rPr>
              <w:t>相互混装或存在非正常一致</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1325"/>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4</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与其他投标供应商的投标文件由</w:t>
            </w:r>
            <w:r>
              <w:rPr>
                <w:rFonts w:hint="eastAsia"/>
                <w:b/>
                <w:bCs/>
                <w:color w:val="FF0000"/>
                <w:lang w:eastAsia="zh-CN"/>
              </w:rPr>
              <w:t>同一单位或者同一人编制</w:t>
            </w:r>
            <w:r>
              <w:rPr>
                <w:rFonts w:hint="eastAsia"/>
                <w:color w:val="FF0000"/>
                <w:lang w:eastAsia="zh-CN"/>
              </w:rPr>
              <w:t>，或者使用</w:t>
            </w:r>
            <w:r>
              <w:rPr>
                <w:rFonts w:hint="eastAsia"/>
                <w:b/>
                <w:bCs/>
                <w:color w:val="FF0000"/>
                <w:lang w:eastAsia="zh-CN"/>
              </w:rPr>
              <w:t>同一设备编制</w:t>
            </w:r>
            <w:r>
              <w:rPr>
                <w:rFonts w:hint="eastAsia"/>
                <w:color w:val="FF0000"/>
                <w:lang w:eastAsia="zh-CN"/>
              </w:rPr>
              <w:t>（“文件制作机器码”“文件创建标识码”一致）。</w:t>
            </w:r>
          </w:p>
        </w:tc>
      </w:tr>
      <w:tr>
        <w:tblPrEx>
          <w:tblW w:w="5000" w:type="pct"/>
          <w:tblInd w:w="250" w:type="dxa"/>
          <w:tblLayout w:type="fixed"/>
          <w:tblCellMar>
            <w:top w:w="0" w:type="dxa"/>
            <w:left w:w="108" w:type="dxa"/>
            <w:bottom w:w="0" w:type="dxa"/>
            <w:right w:w="108" w:type="dxa"/>
          </w:tblCellMar>
        </w:tblPrEx>
        <w:trPr>
          <w:trHeight w:val="985"/>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5</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提供</w:t>
            </w:r>
            <w:r>
              <w:rPr>
                <w:rFonts w:hint="eastAsia"/>
                <w:b/>
                <w:bCs/>
                <w:color w:val="FF0000"/>
                <w:lang w:eastAsia="zh-CN"/>
              </w:rPr>
              <w:t>未经出具机构核实</w:t>
            </w:r>
            <w:r>
              <w:rPr>
                <w:rFonts w:hint="eastAsia"/>
                <w:color w:val="FF0000"/>
                <w:lang w:eastAsia="zh-CN"/>
              </w:rPr>
              <w:t>的虚假的检验检测报告、业绩材料、社保缴纳证明、学历学位证书、职称认证证书等材料。</w:t>
            </w:r>
          </w:p>
        </w:tc>
      </w:tr>
      <w:tr>
        <w:tblPrEx>
          <w:tblW w:w="5000" w:type="pct"/>
          <w:tblInd w:w="250" w:type="dxa"/>
          <w:tblLayout w:type="fixed"/>
          <w:tblCellMar>
            <w:top w:w="0" w:type="dxa"/>
            <w:left w:w="108" w:type="dxa"/>
            <w:bottom w:w="0" w:type="dxa"/>
            <w:right w:w="108" w:type="dxa"/>
          </w:tblCellMar>
        </w:tblPrEx>
        <w:trPr>
          <w:trHeight w:val="588"/>
        </w:trPr>
        <w:tc>
          <w:tcPr>
            <w:tcW w:w="561" w:type="dxa"/>
            <w:tcBorders>
              <w:top w:val="single" w:sz="4" w:space="0" w:color="auto"/>
              <w:left w:val="single" w:sz="4" w:space="0" w:color="auto"/>
              <w:bottom w:val="single" w:sz="4" w:space="0" w:color="auto"/>
              <w:right w:val="single" w:sz="4" w:space="0" w:color="auto"/>
            </w:tcBorders>
            <w:vAlign w:val="center"/>
          </w:tcPr>
          <w:p>
            <w:pPr>
              <w:widowControl/>
              <w:rPr>
                <w:color w:val="FF0000"/>
              </w:rPr>
            </w:pPr>
            <w:r>
              <w:rPr>
                <w:rFonts w:hint="eastAsia"/>
                <w:color w:val="FF0000"/>
              </w:rPr>
              <w:t>6</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擅自将投标密钥或电子营业执照出借他人使用或未妥善保管。</w:t>
            </w:r>
          </w:p>
        </w:tc>
      </w:tr>
    </w:tbl>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beforeAutospacing="1"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rPr>
          <w:rFonts w:eastAsia="黑体" w:hint="eastAsia"/>
        </w:rPr>
      </w:pP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LHAZXDL-2025-00341</w:t>
      </w:r>
    </w:p>
    <w:p>
      <w:pPr>
        <w:widowControl w:val="0"/>
        <w:tabs>
          <w:tab w:val="left" w:pos="2790"/>
        </w:tabs>
        <w:snapToGrid w:val="0"/>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大浪校区监控视频存储及光网络交换设备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spacing w:line="360" w:lineRule="auto"/>
        <w:jc w:val="both"/>
        <w:rPr>
          <w:rFonts w:ascii="Calibri" w:eastAsia="宋体" w:hAnsi="Calibri"/>
          <w:b/>
          <w:bCs/>
          <w:kern w:val="2"/>
          <w:szCs w:val="22"/>
          <w:lang w:eastAsia="zh-CN"/>
        </w:rPr>
      </w:pPr>
    </w:p>
    <w:p>
      <w:pPr>
        <w:widowControl w:val="0"/>
        <w:tabs>
          <w:tab w:val="left" w:pos="2790"/>
        </w:tabs>
        <w:snapToGrid w:val="0"/>
        <w:jc w:val="center"/>
        <w:outlineLvl w:val="0"/>
        <w:rPr>
          <w:rFonts w:ascii="黑体" w:eastAsia="黑体" w:hAnsi="黑体" w:hint="eastAsia"/>
          <w:kern w:val="2"/>
          <w:sz w:val="40"/>
          <w:szCs w:val="40"/>
          <w:lang w:eastAsia="zh-CN"/>
        </w:rPr>
      </w:pPr>
      <w:bookmarkStart w:id="0" w:name="OLE_LINK1"/>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hint="eastAsia"/>
          <w:kern w:val="2"/>
          <w:sz w:val="40"/>
          <w:szCs w:val="40"/>
          <w:lang w:eastAsia="zh-CN"/>
        </w:rPr>
      </w:pPr>
    </w:p>
    <w:p>
      <w:pPr>
        <w:widowControl w:val="0"/>
        <w:tabs>
          <w:tab w:val="left" w:pos="2790"/>
        </w:tabs>
        <w:snapToGrid w:val="0"/>
        <w:jc w:val="center"/>
        <w:outlineLvl w:val="0"/>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eastAsia="宋体" w:hAnsi="宋体" w:hint="eastAsia"/>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eastAsia="宋体" w:hAnsi="宋体" w:hint="eastAsia"/>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1" w:name="_Hlk71832186"/>
            <w:r>
              <w:rPr>
                <w:rFonts w:ascii="宋体" w:eastAsia="宋体" w:hAnsi="宋体" w:cstheme="minorBidi" w:hint="eastAsia"/>
                <w:kern w:val="2"/>
                <w:sz w:val="21"/>
                <w:szCs w:val="21"/>
                <w:lang w:eastAsia="zh-CN"/>
              </w:rPr>
              <w:t>相应预算金额（或设定的预算金额下的最高限价）</w:t>
            </w:r>
            <w:bookmarkEnd w:id="1"/>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spacing w:line="360" w:lineRule="auto"/>
        <w:jc w:val="both"/>
        <w:rPr>
          <w:rFonts w:ascii="Calibri" w:eastAsia="宋体" w:hAnsi="Calibri"/>
          <w:b/>
          <w:bCs/>
          <w:kern w:val="2"/>
          <w:lang w:eastAsia="zh-CN"/>
        </w:rPr>
      </w:pPr>
    </w:p>
    <w:p>
      <w:pPr>
        <w:widowControl w:val="0"/>
        <w:spacing w:line="360" w:lineRule="auto"/>
        <w:jc w:val="both"/>
        <w:rPr>
          <w:rFonts w:ascii="Calibri" w:eastAsia="宋体" w:hAnsi="Calibri"/>
          <w:b/>
          <w:bCs/>
          <w:kern w:val="2"/>
          <w:lang w:eastAsia="zh-CN"/>
        </w:rPr>
      </w:pPr>
    </w:p>
    <w:p>
      <w:pPr>
        <w:widowControl w:val="0"/>
        <w:spacing w:line="360" w:lineRule="auto"/>
        <w:jc w:val="both"/>
        <w:rPr>
          <w:rFonts w:ascii="Calibri" w:eastAsia="宋体" w:hAnsi="Calibri"/>
          <w:b/>
          <w:bCs/>
          <w:kern w:val="2"/>
          <w:lang w:eastAsia="zh-CN"/>
        </w:rPr>
      </w:pPr>
    </w:p>
    <w:p>
      <w:pPr>
        <w:spacing w:before="100" w:beforeAutospacing="1" w:afterAutospacing="1"/>
        <w:jc w:val="center"/>
        <w:outlineLvl w:val="0"/>
        <w:rPr>
          <w:rFonts w:ascii="黑体" w:eastAsia="黑体" w:hAnsi="宋体" w:hint="eastAsia"/>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jc w:val="center"/>
        <w:tblCellSpacing w:w="0" w:type="dxa"/>
        <w:tblLayout w:type="fixed"/>
        <w:tblCellMar>
          <w:top w:w="45" w:type="dxa"/>
          <w:left w:w="45" w:type="dxa"/>
          <w:bottom w:w="45" w:type="dxa"/>
          <w:right w:w="45" w:type="dxa"/>
        </w:tblCellMar>
      </w:tblPr>
      <w:tblGrid>
        <w:gridCol w:w="8730"/>
      </w:tblGrid>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8" w:type="dxa"/>
            <w:shd w:val="clear" w:color="auto" w:fill="auto"/>
            <w:vAlign w:val="center"/>
          </w:tcPr>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综合评分法，</w:t>
            </w:r>
            <w:r>
              <w:rPr>
                <w:rFonts w:ascii="Calibri" w:eastAsia="宋体" w:hAnsi="Calibri" w:cstheme="minorBidi" w:hint="eastAsia"/>
                <w:kern w:val="2"/>
                <w:sz w:val="21"/>
                <w:szCs w:val="21"/>
                <w:lang w:eastAsia="zh-CN"/>
              </w:rPr>
              <w:t>是指投标文件满足招标文件全部实质性要求，且按照评审因素的量化指标评审得分排名前列</w:t>
            </w:r>
            <w:r>
              <w:rPr>
                <w:rFonts w:ascii="Calibri" w:eastAsia="宋体" w:hAnsi="Calibri" w:cstheme="minorBidi"/>
                <w:kern w:val="2"/>
                <w:sz w:val="21"/>
                <w:szCs w:val="21"/>
                <w:lang w:eastAsia="zh-CN"/>
              </w:rPr>
              <w:t>的投标人为中标候选人的评标方法。</w:t>
            </w:r>
          </w:p>
          <w:p>
            <w:pPr>
              <w:widowControl w:val="0"/>
              <w:ind w:firstLine="420"/>
              <w:jc w:val="both"/>
              <w:rPr>
                <w:rFonts w:ascii="Calibri" w:eastAsia="宋体" w:hAnsi="Calibri"/>
                <w:kern w:val="2"/>
                <w:sz w:val="21"/>
                <w:szCs w:val="22"/>
                <w:lang w:eastAsia="zh-CN"/>
              </w:rPr>
            </w:pPr>
          </w:p>
          <w:p>
            <w:pPr>
              <w:widowControl w:val="0"/>
              <w:ind w:firstLine="420"/>
              <w:jc w:val="both"/>
              <w:rPr>
                <w:rFonts w:ascii="Calibri" w:eastAsia="宋体" w:hAnsi="Calibri"/>
                <w:kern w:val="2"/>
                <w:sz w:val="21"/>
                <w:szCs w:val="21"/>
                <w:lang w:eastAsia="zh-CN"/>
              </w:rPr>
            </w:pPr>
            <w:r>
              <w:rPr>
                <w:rFonts w:ascii="Calibri" w:eastAsia="宋体" w:hAnsi="Calibri" w:cstheme="minorBidi"/>
                <w:kern w:val="2"/>
                <w:sz w:val="21"/>
                <w:szCs w:val="21"/>
                <w:lang w:eastAsia="zh-CN"/>
              </w:rPr>
              <w:t>价格分计算方法：</w:t>
            </w:r>
          </w:p>
          <w:p>
            <w:pPr>
              <w:spacing w:before="100"/>
              <w:ind w:left="420"/>
              <w:rPr>
                <w:rFonts w:ascii="宋体" w:eastAsia="宋体" w:hAnsi="宋体" w:hint="eastAsia"/>
                <w:kern w:val="2"/>
                <w:sz w:val="21"/>
                <w:szCs w:val="21"/>
                <w:lang w:eastAsia="zh-CN"/>
              </w:rPr>
            </w:pPr>
            <w:r>
              <w:rPr>
                <w:rFonts w:ascii="宋体" w:eastAsia="宋体" w:hAnsi="宋体" w:cstheme="minorBidi"/>
                <w:kern w:val="2"/>
                <w:sz w:val="21"/>
                <w:szCs w:val="21"/>
                <w:lang w:eastAsia="zh-CN"/>
              </w:rPr>
              <w:t>采用低价优先法计算，即满足招标文件要求且投标价格最低的投标报价为评标基准价，其价格分为满分。其他投标人的价格分统一按照下列公式计算：</w:t>
            </w:r>
          </w:p>
          <w:p>
            <w:pPr>
              <w:spacing w:before="100"/>
              <w:ind w:left="420"/>
              <w:rPr>
                <w:rFonts w:ascii="宋体" w:eastAsia="宋体" w:hAnsi="宋体" w:hint="eastAsia"/>
                <w:kern w:val="2"/>
                <w:sz w:val="21"/>
                <w:szCs w:val="21"/>
                <w:lang w:eastAsia="zh-CN"/>
              </w:rPr>
            </w:pPr>
            <w:r>
              <w:rPr>
                <w:rFonts w:ascii="宋体" w:eastAsia="宋体" w:hAnsi="宋体" w:cstheme="minorBidi"/>
                <w:kern w:val="2"/>
                <w:sz w:val="21"/>
                <w:szCs w:val="21"/>
                <w:lang w:eastAsia="zh-CN"/>
              </w:rPr>
              <w:t>投标报价得分=(评标基准价／投标报价)×100</w:t>
            </w:r>
          </w:p>
          <w:p>
            <w:pPr>
              <w:spacing w:before="100"/>
              <w:ind w:left="420"/>
              <w:rPr>
                <w:rFonts w:ascii="宋体" w:eastAsia="宋体" w:hAnsi="宋体" w:hint="eastAsia"/>
                <w:kern w:val="2"/>
                <w:sz w:val="21"/>
                <w:szCs w:val="21"/>
                <w:lang w:eastAsia="zh-CN"/>
              </w:rPr>
            </w:pPr>
            <w:r>
              <w:rPr>
                <w:rFonts w:ascii="宋体" w:eastAsia="宋体" w:hAnsi="宋体" w:cstheme="minorBidi"/>
                <w:kern w:val="2"/>
                <w:sz w:val="21"/>
                <w:szCs w:val="21"/>
                <w:lang w:eastAsia="zh-CN"/>
              </w:rPr>
              <w:t>评标总得分＝F1×A1＋F2×A2＋……＋Fn×An</w:t>
            </w:r>
          </w:p>
          <w:p>
            <w:pPr>
              <w:spacing w:before="100"/>
              <w:ind w:left="420"/>
              <w:rPr>
                <w:rFonts w:ascii="宋体" w:eastAsia="宋体" w:hAnsi="宋体" w:hint="eastAsia"/>
                <w:kern w:val="2"/>
                <w:sz w:val="21"/>
                <w:szCs w:val="21"/>
                <w:lang w:eastAsia="zh-CN"/>
              </w:rPr>
            </w:pPr>
            <w:r>
              <w:rPr>
                <w:rFonts w:ascii="宋体" w:eastAsia="宋体" w:hAnsi="宋体" w:cstheme="minorBidi"/>
                <w:kern w:val="2"/>
                <w:sz w:val="21"/>
                <w:szCs w:val="21"/>
                <w:lang w:eastAsia="zh-CN"/>
              </w:rPr>
              <w:t>F1、F2……Fn分别为各项评审因素的得分；</w:t>
            </w:r>
          </w:p>
          <w:p>
            <w:pPr>
              <w:spacing w:before="100"/>
              <w:ind w:left="420"/>
              <w:rPr>
                <w:rFonts w:ascii="宋体" w:eastAsia="宋体" w:hAnsi="宋体" w:hint="eastAsia"/>
                <w:kern w:val="2"/>
                <w:sz w:val="21"/>
                <w:szCs w:val="21"/>
                <w:lang w:eastAsia="zh-CN"/>
              </w:rPr>
            </w:pPr>
            <w:r>
              <w:rPr>
                <w:rFonts w:ascii="宋体" w:eastAsia="宋体" w:hAnsi="宋体" w:cstheme="minorBidi"/>
                <w:kern w:val="2"/>
                <w:sz w:val="21"/>
                <w:szCs w:val="21"/>
                <w:lang w:eastAsia="zh-CN"/>
              </w:rPr>
              <w:t>A1、A2、……An分别为各项评审因素所占的权重(A1＋A2＋……＋An＝1)。</w:t>
            </w:r>
          </w:p>
          <w:p>
            <w:pPr>
              <w:spacing w:before="100"/>
              <w:ind w:left="420"/>
              <w:rPr>
                <w:rFonts w:ascii="宋体" w:eastAsia="宋体" w:hAnsi="宋体" w:hint="eastAsia"/>
                <w:kern w:val="2"/>
                <w:sz w:val="21"/>
                <w:szCs w:val="21"/>
                <w:lang w:eastAsia="zh-CN"/>
              </w:rPr>
            </w:pPr>
            <w:r>
              <w:rPr>
                <w:rFonts w:ascii="宋体" w:eastAsia="宋体" w:hAnsi="宋体" w:cstheme="minorBidi"/>
                <w:kern w:val="2"/>
                <w:sz w:val="21"/>
                <w:szCs w:val="21"/>
                <w:lang w:eastAsia="zh-CN"/>
              </w:rPr>
              <w:t>评标过程中，不得去掉报价中的最高报价和最低报价。</w:t>
            </w:r>
          </w:p>
          <w:p>
            <w:pPr>
              <w:spacing w:before="100"/>
              <w:ind w:left="420"/>
              <w:rPr>
                <w:rFonts w:ascii="宋体" w:eastAsia="宋体" w:hAnsi="宋体" w:hint="eastAsia"/>
                <w:kern w:val="2"/>
                <w:lang w:eastAsia="zh-CN"/>
              </w:rPr>
            </w:pPr>
            <w:r>
              <w:rPr>
                <w:rFonts w:ascii="宋体" w:eastAsia="宋体" w:hAnsi="宋体" w:cstheme="minorBidi" w:hint="eastAsia"/>
                <w:kern w:val="2"/>
                <w:sz w:val="21"/>
                <w:szCs w:val="21"/>
                <w:lang w:eastAsia="zh-CN"/>
              </w:rPr>
              <w:t>因落实政府采购政策进行价格调整的，以调整后的价格计算评标基准价和投标报价。</w:t>
            </w:r>
          </w:p>
        </w:tc>
      </w:tr>
    </w:tbl>
    <w:p>
      <w:pPr>
        <w:widowControl w:val="0"/>
        <w:jc w:val="both"/>
        <w:rPr>
          <w:rFonts w:ascii="Calibri" w:eastAsia="宋体" w:hAnsi="Calibri"/>
          <w:kern w:val="2"/>
          <w:sz w:val="21"/>
          <w:szCs w:val="22"/>
          <w:lang w:eastAsia="zh-CN"/>
        </w:rPr>
      </w:pPr>
    </w:p>
    <w:tbl>
      <w:tblPr>
        <w:tblStyle w:val="TableNormal"/>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883"/>
        <w:gridCol w:w="843"/>
        <w:gridCol w:w="1915"/>
        <w:gridCol w:w="916"/>
        <w:gridCol w:w="4339"/>
      </w:tblGrid>
      <w:tr>
        <w:tblPrEx>
          <w:tblW w:w="5000" w:type="pct"/>
          <w:jc w:val="center"/>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tblCellSpacing w:w="0" w:type="dxa"/>
          <w:jc w:val="center"/>
        </w:trPr>
        <w:tc>
          <w:tcPr>
            <w:tcW w:w="496" w:type="pct"/>
            <w:tcBorders>
              <w:top w:val="single" w:sz="8" w:space="0" w:color="000000"/>
              <w:left w:val="single" w:sz="8" w:space="0" w:color="000000"/>
              <w:bottom w:val="single" w:sz="8" w:space="0" w:color="000000"/>
              <w:right w:val="single" w:sz="8" w:space="0" w:color="000000"/>
            </w:tcBorders>
            <w:shd w:val="clear" w:color="auto" w:fill="auto"/>
            <w:vAlign w:val="center"/>
          </w:tcPr>
          <w:p>
            <w:pPr>
              <w:wordWrap w:val="0"/>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2064"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ordWrap w:val="0"/>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评分项</w:t>
            </w:r>
          </w:p>
        </w:tc>
        <w:tc>
          <w:tcPr>
            <w:tcW w:w="2438" w:type="pct"/>
            <w:tcBorders>
              <w:top w:val="single" w:sz="8" w:space="0" w:color="000000"/>
              <w:left w:val="single" w:sz="8" w:space="0" w:color="000000"/>
              <w:bottom w:val="single" w:sz="8" w:space="0" w:color="000000"/>
              <w:right w:val="single" w:sz="8" w:space="0" w:color="000000"/>
            </w:tcBorders>
            <w:shd w:val="clear" w:color="auto" w:fill="auto"/>
            <w:vAlign w:val="center"/>
          </w:tcPr>
          <w:p>
            <w:pPr>
              <w:wordWrap w:val="0"/>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权重(%)</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96" w:type="pct"/>
            <w:tcBorders>
              <w:top w:val="single" w:sz="8" w:space="0" w:color="000000"/>
              <w:left w:val="single" w:sz="8" w:space="0" w:color="000000"/>
              <w:bottom w:val="single" w:sz="8" w:space="0" w:color="000000"/>
              <w:right w:val="single" w:sz="8" w:space="0" w:color="000000"/>
            </w:tcBorders>
            <w:shd w:val="clear" w:color="auto" w:fill="auto"/>
            <w:vAlign w:val="center"/>
          </w:tcPr>
          <w:p>
            <w:pPr>
              <w:wordWrap w:val="0"/>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1</w:t>
            </w:r>
          </w:p>
        </w:tc>
        <w:tc>
          <w:tcPr>
            <w:tcW w:w="2064"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ordWrap w:val="0"/>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价格</w:t>
            </w:r>
          </w:p>
        </w:tc>
        <w:tc>
          <w:tcPr>
            <w:tcW w:w="2438" w:type="pct"/>
            <w:tcBorders>
              <w:top w:val="single" w:sz="8" w:space="0" w:color="000000"/>
              <w:left w:val="single" w:sz="8" w:space="0" w:color="000000"/>
              <w:bottom w:val="single" w:sz="8" w:space="0" w:color="000000"/>
              <w:right w:val="single" w:sz="8" w:space="0" w:color="000000"/>
            </w:tcBorders>
            <w:shd w:val="clear" w:color="auto" w:fill="auto"/>
            <w:vAlign w:val="center"/>
          </w:tcPr>
          <w:p>
            <w:pPr>
              <w:wordWrap w:val="0"/>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30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96" w:type="pct"/>
            <w:vMerge w:val="restart"/>
            <w:tcBorders>
              <w:top w:val="single" w:sz="8" w:space="0" w:color="000000"/>
              <w:left w:val="single" w:sz="8" w:space="0" w:color="000000"/>
              <w:right w:val="single" w:sz="8" w:space="0" w:color="000000"/>
            </w:tcBorders>
            <w:shd w:val="clear" w:color="auto" w:fill="auto"/>
            <w:vAlign w:val="center"/>
          </w:tcPr>
          <w:p>
            <w:pPr>
              <w:wordWrap w:val="0"/>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2</w:t>
            </w:r>
          </w:p>
        </w:tc>
        <w:tc>
          <w:tcPr>
            <w:tcW w:w="2064"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ordWrap w:val="0"/>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技术部分</w:t>
            </w:r>
          </w:p>
        </w:tc>
        <w:tc>
          <w:tcPr>
            <w:tcW w:w="2438" w:type="pct"/>
            <w:tcBorders>
              <w:top w:val="single" w:sz="8" w:space="0" w:color="000000"/>
              <w:left w:val="single" w:sz="8" w:space="0" w:color="000000"/>
              <w:bottom w:val="single" w:sz="8" w:space="0" w:color="000000"/>
              <w:right w:val="single" w:sz="8" w:space="0" w:color="000000"/>
            </w:tcBorders>
            <w:shd w:val="clear" w:color="auto" w:fill="auto"/>
            <w:vAlign w:val="center"/>
          </w:tcPr>
          <w:p>
            <w:pPr>
              <w:wordWrap w:val="0"/>
              <w:spacing w:line="360" w:lineRule="auto"/>
              <w:jc w:val="center"/>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51</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96" w:type="pct"/>
            <w:vMerge/>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sz w:val="21"/>
                <w:szCs w:val="21"/>
              </w:rPr>
            </w:pPr>
          </w:p>
        </w:tc>
        <w:tc>
          <w:tcPr>
            <w:tcW w:w="473" w:type="pct"/>
            <w:tcBorders>
              <w:top w:val="outset" w:sz="6" w:space="0" w:color="000000"/>
              <w:left w:val="outset" w:sz="6" w:space="0" w:color="000000"/>
              <w:bottom w:val="outset" w:sz="6" w:space="0" w:color="000000"/>
              <w:right w:val="outset" w:sz="6" w:space="0" w:color="000000"/>
            </w:tcBorders>
            <w:shd w:val="clear" w:color="auto" w:fill="auto"/>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序号</w:t>
            </w:r>
          </w:p>
        </w:tc>
        <w:tc>
          <w:tcPr>
            <w:tcW w:w="1076" w:type="pct"/>
            <w:tcBorders>
              <w:top w:val="outset" w:sz="6" w:space="0" w:color="000000"/>
              <w:left w:val="outset" w:sz="6" w:space="0" w:color="000000"/>
              <w:bottom w:val="outset" w:sz="6" w:space="0" w:color="000000"/>
              <w:right w:val="outset" w:sz="6" w:space="0" w:color="000000"/>
            </w:tcBorders>
            <w:shd w:val="clear" w:color="auto" w:fill="auto"/>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评分因素</w:t>
            </w:r>
          </w:p>
        </w:tc>
        <w:tc>
          <w:tcPr>
            <w:tcW w:w="514" w:type="pct"/>
            <w:tcBorders>
              <w:top w:val="outset" w:sz="6" w:space="0" w:color="000000"/>
              <w:left w:val="outset" w:sz="6" w:space="0" w:color="000000"/>
              <w:bottom w:val="outset" w:sz="6" w:space="0" w:color="000000"/>
              <w:right w:val="outset" w:sz="6" w:space="0" w:color="000000"/>
            </w:tcBorders>
            <w:shd w:val="clear" w:color="auto" w:fill="auto"/>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权重(%)</w:t>
            </w:r>
          </w:p>
        </w:tc>
        <w:tc>
          <w:tcPr>
            <w:tcW w:w="2438" w:type="pct"/>
            <w:tcBorders>
              <w:top w:val="outset" w:sz="6" w:space="0" w:color="000000"/>
              <w:left w:val="outset" w:sz="6" w:space="0" w:color="000000"/>
              <w:bottom w:val="outset" w:sz="6" w:space="0" w:color="000000"/>
              <w:right w:val="outset" w:sz="6" w:space="0" w:color="000000"/>
            </w:tcBorders>
            <w:shd w:val="clear" w:color="auto" w:fill="auto"/>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96" w:type="pct"/>
            <w:vMerge/>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sz w:val="21"/>
                <w:szCs w:val="21"/>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1</w:t>
            </w:r>
          </w:p>
        </w:tc>
        <w:tc>
          <w:tcPr>
            <w:tcW w:w="1076" w:type="pct"/>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技术保障措施</w:t>
            </w:r>
          </w:p>
        </w:tc>
        <w:tc>
          <w:tcPr>
            <w:tcW w:w="514" w:type="pct"/>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10</w:t>
            </w:r>
          </w:p>
        </w:tc>
        <w:tc>
          <w:tcPr>
            <w:tcW w:w="2438" w:type="pct"/>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sz w:val="21"/>
                <w:szCs w:val="21"/>
                <w:lang w:eastAsia="zh-CN"/>
              </w:rPr>
            </w:pPr>
            <w:r>
              <w:rPr>
                <w:rFonts w:ascii="宋体" w:eastAsia="宋体" w:hAnsi="宋体" w:cs="宋体" w:hint="eastAsia"/>
                <w:sz w:val="21"/>
                <w:szCs w:val="21"/>
                <w:lang w:eastAsia="zh-CN"/>
              </w:rPr>
              <w:t>1.评审内容：</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在投标文件中详细说明技术保障措施包括：</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（1）技术团队情况</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（2）技术保障方案</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（3）工期保证</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（4）项目履约进度计划</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2.评分标准</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1）以上内容，每提供任意1项得5分，本项最高得20分。</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2）在此基础上，根据施工方案详细程度、具体程度、与项目要求的符合性进行评分，本项最高加2分。</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（1）投标文件响应内容详细；</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（2）投标文件响应内容具体；</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（3）投标文件响应内容符合项目要求；</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满足以上三项要求的评价为优，加80分。</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满足以上二项要求的评价为良，加50分。</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满足以上一项要求的评价为中，加20分。</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其它情况的评价为差，不加分。</w:t>
            </w:r>
          </w:p>
          <w:p>
            <w:pPr>
              <w:rPr>
                <w:rFonts w:ascii="宋体" w:eastAsia="宋体" w:hAnsi="宋体" w:cs="宋体" w:hint="eastAsia"/>
                <w:bCs/>
                <w:sz w:val="21"/>
                <w:szCs w:val="21"/>
                <w:lang w:eastAsia="zh-CN"/>
              </w:rPr>
            </w:pPr>
            <w:r>
              <w:rPr>
                <w:rFonts w:ascii="宋体" w:eastAsia="宋体" w:hAnsi="宋体" w:cs="宋体" w:hint="eastAsia"/>
                <w:sz w:val="21"/>
                <w:szCs w:val="21"/>
                <w:lang w:eastAsia="zh-CN"/>
              </w:rPr>
              <w:t>本项累计最高得100分，未按要求提供或提供不清晰导致评审无法判别的不得分。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96" w:type="pct"/>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sz w:val="21"/>
                <w:szCs w:val="21"/>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2</w:t>
            </w:r>
          </w:p>
        </w:tc>
        <w:tc>
          <w:tcPr>
            <w:tcW w:w="1076" w:type="pct"/>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一般技术规格偏离情况</w:t>
            </w:r>
          </w:p>
        </w:tc>
        <w:tc>
          <w:tcPr>
            <w:tcW w:w="514" w:type="pct"/>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27</w:t>
            </w:r>
          </w:p>
        </w:tc>
        <w:tc>
          <w:tcPr>
            <w:tcW w:w="2438" w:type="pct"/>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sz w:val="21"/>
                <w:szCs w:val="21"/>
                <w:lang w:eastAsia="zh-CN"/>
              </w:rPr>
            </w:pPr>
            <w:r>
              <w:rPr>
                <w:rFonts w:ascii="宋体" w:eastAsia="宋体" w:hAnsi="宋体" w:cs="宋体" w:hint="eastAsia"/>
                <w:sz w:val="21"/>
                <w:szCs w:val="21"/>
                <w:lang w:eastAsia="zh-CN"/>
              </w:rPr>
              <w:t>评审小组根据《技术规格偏离表》（以下简称“偏离表”）响应情况进行打分，全部满足的得100分，一般参数负偏离一项扣1.89分，扣完为止。</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tblPrEx>
          <w:tblW w:w="5000" w:type="pct"/>
          <w:jc w:val="center"/>
          <w:tblCellSpacing w:w="0" w:type="dxa"/>
          <w:tblLayout w:type="fixed"/>
          <w:tblCellMar>
            <w:top w:w="20" w:type="dxa"/>
            <w:left w:w="108" w:type="dxa"/>
            <w:bottom w:w="20" w:type="dxa"/>
            <w:right w:w="108" w:type="dxa"/>
          </w:tblCellMar>
        </w:tblPrEx>
        <w:trPr>
          <w:trHeight w:val="2685"/>
          <w:tblCellSpacing w:w="0" w:type="dxa"/>
          <w:jc w:val="center"/>
        </w:trPr>
        <w:tc>
          <w:tcPr>
            <w:tcW w:w="496" w:type="pct"/>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sz w:val="21"/>
                <w:szCs w:val="21"/>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3</w:t>
            </w:r>
          </w:p>
        </w:tc>
        <w:tc>
          <w:tcPr>
            <w:tcW w:w="1076" w:type="pct"/>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240" w:lineRule="exact"/>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重要技术规格偏离情况</w:t>
            </w:r>
          </w:p>
        </w:tc>
        <w:tc>
          <w:tcPr>
            <w:tcW w:w="514" w:type="pct"/>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eastAsia="宋体" w:hAnsi="宋体" w:cs="宋体" w:hint="eastAsia"/>
                <w:sz w:val="21"/>
                <w:szCs w:val="21"/>
              </w:rPr>
            </w:pPr>
            <w:r>
              <w:rPr>
                <w:rFonts w:ascii="宋体" w:eastAsia="宋体" w:hAnsi="宋体" w:cs="宋体" w:hint="eastAsia"/>
                <w:sz w:val="21"/>
                <w:szCs w:val="21"/>
              </w:rPr>
              <w:t>14</w:t>
            </w:r>
          </w:p>
        </w:tc>
        <w:tc>
          <w:tcPr>
            <w:tcW w:w="2438" w:type="pct"/>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sz w:val="21"/>
                <w:szCs w:val="21"/>
                <w:lang w:eastAsia="zh-CN"/>
              </w:rPr>
            </w:pPr>
            <w:r>
              <w:rPr>
                <w:rFonts w:ascii="宋体" w:eastAsia="宋体" w:hAnsi="宋体" w:cs="宋体" w:hint="eastAsia"/>
                <w:sz w:val="21"/>
                <w:szCs w:val="21"/>
                <w:lang w:eastAsia="zh-CN"/>
              </w:rPr>
              <w:t>评审小组根据《技术规格偏离表》（以下简称“偏离表”）响应情况进行打分，全部满足的得100分，重点技术参数▲项负偏离一项扣14.5分，扣完为止。</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96" w:type="pct"/>
            <w:vMerge w:val="restart"/>
            <w:tcBorders>
              <w:top w:val="single" w:sz="8" w:space="0" w:color="000000"/>
              <w:left w:val="single" w:sz="8" w:space="0" w:color="000000"/>
              <w:right w:val="single" w:sz="8" w:space="0" w:color="000000"/>
            </w:tcBorders>
            <w:shd w:val="clear" w:color="auto" w:fill="auto"/>
            <w:vAlign w:val="center"/>
          </w:tcPr>
          <w:p>
            <w:pPr>
              <w:wordWrap w:val="0"/>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3</w:t>
            </w:r>
          </w:p>
        </w:tc>
        <w:tc>
          <w:tcPr>
            <w:tcW w:w="2064"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pPr>
              <w:wordWrap w:val="0"/>
              <w:spacing w:line="360" w:lineRule="auto"/>
              <w:jc w:val="center"/>
              <w:rPr>
                <w:rFonts w:ascii="宋体" w:eastAsia="宋体" w:hAnsi="宋体" w:cs="宋体" w:hint="eastAsia"/>
                <w:b/>
                <w:bCs/>
                <w:sz w:val="21"/>
                <w:szCs w:val="21"/>
              </w:rPr>
            </w:pPr>
            <w:r>
              <w:rPr>
                <w:rFonts w:ascii="宋体" w:eastAsia="宋体" w:hAnsi="宋体" w:cs="宋体" w:hint="eastAsia"/>
                <w:b/>
                <w:bCs/>
                <w:sz w:val="21"/>
                <w:szCs w:val="21"/>
              </w:rPr>
              <w:t>商务部分</w:t>
            </w:r>
          </w:p>
        </w:tc>
        <w:tc>
          <w:tcPr>
            <w:tcW w:w="2438" w:type="pct"/>
            <w:tcBorders>
              <w:top w:val="single" w:sz="8" w:space="0" w:color="000000"/>
              <w:left w:val="single" w:sz="8" w:space="0" w:color="000000"/>
              <w:bottom w:val="single" w:sz="8" w:space="0" w:color="000000"/>
              <w:right w:val="single" w:sz="8" w:space="0" w:color="000000"/>
            </w:tcBorders>
            <w:shd w:val="clear" w:color="auto" w:fill="auto"/>
            <w:vAlign w:val="center"/>
          </w:tcPr>
          <w:p>
            <w:pPr>
              <w:wordWrap w:val="0"/>
              <w:spacing w:line="360" w:lineRule="auto"/>
              <w:jc w:val="center"/>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19</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96" w:type="pct"/>
            <w:vMerge/>
            <w:tcBorders>
              <w:left w:val="single" w:sz="8" w:space="0" w:color="000000"/>
              <w:right w:val="single" w:sz="8" w:space="0" w:color="000000"/>
            </w:tcBorders>
            <w:shd w:val="clear" w:color="auto" w:fill="E6EFFA"/>
            <w:vAlign w:val="center"/>
          </w:tcPr>
          <w:p>
            <w:pPr>
              <w:spacing w:line="360" w:lineRule="auto"/>
              <w:jc w:val="center"/>
              <w:rPr>
                <w:rFonts w:ascii="宋体" w:eastAsia="宋体" w:hAnsi="宋体" w:cs="宋体" w:hint="eastAsia"/>
                <w:b/>
                <w:bCs/>
                <w:sz w:val="21"/>
                <w:szCs w:val="21"/>
              </w:rPr>
            </w:pPr>
          </w:p>
        </w:tc>
        <w:tc>
          <w:tcPr>
            <w:tcW w:w="473" w:type="pct"/>
            <w:tcBorders>
              <w:top w:val="outset" w:sz="6" w:space="0" w:color="000000"/>
              <w:left w:val="outset" w:sz="6" w:space="0" w:color="000000"/>
              <w:bottom w:val="outset" w:sz="6" w:space="0" w:color="000000"/>
              <w:right w:val="outset" w:sz="6" w:space="0" w:color="000000"/>
            </w:tcBorders>
            <w:shd w:val="clear" w:color="auto" w:fill="auto"/>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序号</w:t>
            </w:r>
          </w:p>
        </w:tc>
        <w:tc>
          <w:tcPr>
            <w:tcW w:w="1076" w:type="pct"/>
            <w:tcBorders>
              <w:top w:val="outset" w:sz="6" w:space="0" w:color="000000"/>
              <w:left w:val="outset" w:sz="6" w:space="0" w:color="000000"/>
              <w:bottom w:val="outset" w:sz="6" w:space="0" w:color="000000"/>
              <w:right w:val="outset" w:sz="6" w:space="0" w:color="000000"/>
            </w:tcBorders>
            <w:shd w:val="clear" w:color="auto" w:fill="auto"/>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评分因素</w:t>
            </w:r>
          </w:p>
        </w:tc>
        <w:tc>
          <w:tcPr>
            <w:tcW w:w="514" w:type="pct"/>
            <w:tcBorders>
              <w:top w:val="outset" w:sz="6" w:space="0" w:color="000000"/>
              <w:left w:val="outset" w:sz="6" w:space="0" w:color="000000"/>
              <w:bottom w:val="outset" w:sz="6" w:space="0" w:color="000000"/>
              <w:right w:val="outset" w:sz="6" w:space="0" w:color="000000"/>
            </w:tcBorders>
            <w:shd w:val="clear" w:color="auto" w:fill="auto"/>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权重(%)</w:t>
            </w:r>
          </w:p>
        </w:tc>
        <w:tc>
          <w:tcPr>
            <w:tcW w:w="2438" w:type="pct"/>
            <w:tcBorders>
              <w:top w:val="outset" w:sz="6" w:space="0" w:color="000000"/>
              <w:left w:val="outset" w:sz="6" w:space="0" w:color="000000"/>
              <w:bottom w:val="outset" w:sz="6" w:space="0" w:color="000000"/>
              <w:right w:val="outset" w:sz="6" w:space="0" w:color="000000"/>
            </w:tcBorders>
            <w:shd w:val="clear" w:color="auto" w:fill="auto"/>
            <w:vAlign w:val="center"/>
          </w:tcPr>
          <w:p>
            <w:pPr>
              <w:wordWrap w:val="0"/>
              <w:spacing w:line="360" w:lineRule="auto"/>
              <w:jc w:val="center"/>
              <w:rPr>
                <w:rFonts w:ascii="宋体" w:eastAsia="宋体" w:hAnsi="宋体" w:cs="宋体" w:hint="eastAsia"/>
                <w:sz w:val="21"/>
                <w:szCs w:val="21"/>
              </w:rPr>
            </w:pPr>
            <w:r>
              <w:rPr>
                <w:rFonts w:ascii="宋体" w:eastAsia="宋体" w:hAnsi="宋体" w:cs="宋体" w:hint="eastAsia"/>
                <w:sz w:val="21"/>
                <w:szCs w:val="21"/>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96" w:type="pct"/>
            <w:vMerge/>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sz w:val="21"/>
                <w:szCs w:val="21"/>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1</w:t>
            </w:r>
          </w:p>
        </w:tc>
        <w:tc>
          <w:tcPr>
            <w:tcW w:w="1916"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商务条款偏离情况</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3</w:t>
            </w:r>
          </w:p>
        </w:tc>
        <w:tc>
          <w:tcPr>
            <w:tcW w:w="4339" w:type="dxa"/>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sz w:val="21"/>
                <w:szCs w:val="21"/>
                <w:lang w:eastAsia="zh-CN"/>
              </w:rPr>
            </w:pPr>
            <w:r>
              <w:rPr>
                <w:rFonts w:ascii="宋体" w:eastAsia="宋体" w:hAnsi="宋体" w:cs="宋体" w:hint="eastAsia"/>
                <w:sz w:val="21"/>
                <w:szCs w:val="21"/>
                <w:lang w:eastAsia="zh-CN"/>
              </w:rPr>
              <w:t>投标人应如实填写《商务条款偏离情况》，评审小组根据响应情况进行打分，除带“★”号实质性条款外，全部满足要求的得100分，每负偏离一项扣7.7分，扣完为止。</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96" w:type="pct"/>
            <w:vMerge/>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sz w:val="21"/>
                <w:szCs w:val="21"/>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2</w:t>
            </w:r>
          </w:p>
        </w:tc>
        <w:tc>
          <w:tcPr>
            <w:tcW w:w="1916"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同类项目业绩</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2</w:t>
            </w:r>
          </w:p>
        </w:tc>
        <w:tc>
          <w:tcPr>
            <w:tcW w:w="4339" w:type="dxa"/>
            <w:tcBorders>
              <w:top w:val="single" w:sz="8" w:space="0" w:color="000000"/>
              <w:left w:val="single" w:sz="8" w:space="0" w:color="000000"/>
              <w:bottom w:val="single" w:sz="8" w:space="0" w:color="000000"/>
              <w:right w:val="single" w:sz="8" w:space="0" w:color="000000"/>
            </w:tcBorders>
            <w:shd w:val="clear" w:color="auto" w:fill="auto"/>
            <w:vAlign w:val="center"/>
          </w:tcPr>
          <w:p>
            <w:pPr>
              <w:rPr>
                <w:rFonts w:ascii="宋体" w:eastAsia="宋体" w:hAnsi="宋体" w:cs="宋体" w:hint="eastAsia"/>
                <w:sz w:val="21"/>
                <w:szCs w:val="21"/>
                <w:lang w:eastAsia="zh-CN"/>
              </w:rPr>
            </w:pPr>
            <w:r>
              <w:rPr>
                <w:rFonts w:ascii="宋体" w:eastAsia="宋体" w:hAnsi="宋体" w:cs="宋体" w:hint="eastAsia"/>
                <w:sz w:val="21"/>
                <w:szCs w:val="21"/>
                <w:lang w:eastAsia="zh-CN"/>
              </w:rPr>
              <w:t>2022年1月1日至本项目投标截止之日（以合同签订日期为准），具有政府单位或事业单位监控类或网络类或信息化类项目经验,每提供1个得50分，最高得100分。</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（提供合同关键页（含签订合同双方的单位名称、合同项目名称、含签订合同双方的落款盖章、签订日期）及验收报告扫描件，原件备查。未提供或提供的不符合或提供不清晰导致无法判断的均不得分）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96" w:type="pct"/>
            <w:vMerge/>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sz w:val="21"/>
                <w:szCs w:val="21"/>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3</w:t>
            </w:r>
          </w:p>
        </w:tc>
        <w:tc>
          <w:tcPr>
            <w:tcW w:w="1916"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eastAsia="宋体" w:hAnsi="宋体" w:cs="宋体" w:hint="eastAsia"/>
                <w:sz w:val="21"/>
                <w:szCs w:val="21"/>
              </w:rPr>
            </w:pPr>
            <w:r>
              <w:rPr>
                <w:rFonts w:ascii="宋体" w:eastAsia="宋体" w:hAnsi="宋体" w:cs="宋体" w:hint="eastAsia"/>
                <w:sz w:val="21"/>
                <w:szCs w:val="21"/>
              </w:rPr>
              <w:t>投标人资质证书</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9</w:t>
            </w:r>
          </w:p>
        </w:tc>
        <w:tc>
          <w:tcPr>
            <w:tcW w:w="4339" w:type="dxa"/>
            <w:tcBorders>
              <w:top w:val="single" w:sz="8" w:space="0" w:color="000000"/>
              <w:left w:val="single" w:sz="8" w:space="0" w:color="000000"/>
              <w:bottom w:val="single" w:sz="8" w:space="0" w:color="000000"/>
              <w:right w:val="single" w:sz="8" w:space="0" w:color="000000"/>
            </w:tcBorders>
            <w:shd w:val="clear" w:color="auto" w:fill="auto"/>
          </w:tcPr>
          <w:p>
            <w:pPr>
              <w:rPr>
                <w:rFonts w:ascii="宋体" w:eastAsia="宋体" w:hAnsi="宋体" w:cs="宋体" w:hint="eastAsia"/>
                <w:sz w:val="21"/>
                <w:szCs w:val="21"/>
                <w:lang w:eastAsia="zh-CN"/>
              </w:rPr>
            </w:pPr>
            <w:r>
              <w:rPr>
                <w:rFonts w:ascii="宋体" w:eastAsia="宋体" w:hAnsi="宋体" w:cs="宋体" w:hint="eastAsia"/>
                <w:sz w:val="21"/>
                <w:szCs w:val="21"/>
                <w:lang w:eastAsia="zh-CN"/>
              </w:rPr>
              <w:t>（一）评分内容：</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1、投标人具有质量管理体系认证证书、环境管理体系认证证书、职业健康安全管理体系认证证书，且以上证书认证范围均需包含计算机系统集成和电教设备的维护的，得30分；</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2、投标人具有售后服务认证证书，且证书认证范围均需包含计算机系统集成、电教设备的维护所涉及的售后服务的，得20分；</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3、投标人具有履约能力评价服务认证证书，且证书认证范围均需包含计算机系统集成和电教设备的维护的，得20分；</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4、投标人具有信息系统服务交付能力等级证书（四级）或以上，且证书认证范围均需包含信息系统集成实施和运行维护服务的，得30分。</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以上1-4项累计得分，最高得100分。</w:t>
            </w:r>
          </w:p>
          <w:p>
            <w:pPr>
              <w:rPr>
                <w:rFonts w:ascii="宋体" w:eastAsia="宋体" w:hAnsi="宋体" w:cs="宋体" w:hint="eastAsia"/>
                <w:sz w:val="21"/>
                <w:szCs w:val="21"/>
              </w:rPr>
            </w:pPr>
            <w:r>
              <w:rPr>
                <w:rFonts w:ascii="宋体" w:eastAsia="宋体" w:hAnsi="宋体" w:cs="宋体" w:hint="eastAsia"/>
                <w:sz w:val="21"/>
                <w:szCs w:val="21"/>
              </w:rPr>
              <w:t>（二）评分依据：</w:t>
            </w:r>
          </w:p>
          <w:p>
            <w:pPr>
              <w:rPr>
                <w:rFonts w:ascii="宋体" w:eastAsia="宋体" w:hAnsi="宋体" w:cs="宋体" w:hint="eastAsia"/>
                <w:sz w:val="21"/>
                <w:szCs w:val="21"/>
              </w:rPr>
            </w:pPr>
            <w:r>
              <w:rPr>
                <w:rFonts w:ascii="宋体" w:eastAsia="宋体" w:hAnsi="宋体" w:cs="宋体" w:hint="eastAsia"/>
                <w:sz w:val="21"/>
                <w:szCs w:val="21"/>
              </w:rPr>
              <w:t>提供有效期内的认证证书扫描件（如证书标明需年度审核的，需有已年审标志）及在全国认证认可信息公共服务平台（认e云）（网址：http://cx.cnca.cn/CertECloud/index/index/page）网站查询有效的截图并加盖投标人公章，原件备查。</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上述证书如因投标人为新成立企业且成立时间不足三个月而未能获得的，提供相关情况说明（格式自拟），可获得对应证书得分。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496" w:type="pct"/>
            <w:vMerge/>
            <w:tcBorders>
              <w:left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b/>
                <w:bCs/>
                <w:sz w:val="21"/>
                <w:szCs w:val="21"/>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360" w:lineRule="auto"/>
              <w:jc w:val="center"/>
              <w:rPr>
                <w:rFonts w:ascii="宋体" w:eastAsia="宋体" w:hAnsi="宋体" w:cs="宋体" w:hint="eastAsia"/>
                <w:sz w:val="21"/>
                <w:szCs w:val="21"/>
              </w:rPr>
            </w:pPr>
            <w:r>
              <w:rPr>
                <w:rFonts w:ascii="宋体" w:eastAsia="宋体" w:hAnsi="宋体" w:cs="宋体" w:hint="eastAsia"/>
                <w:sz w:val="21"/>
                <w:szCs w:val="21"/>
              </w:rPr>
              <w:t>4</w:t>
            </w:r>
          </w:p>
        </w:tc>
        <w:tc>
          <w:tcPr>
            <w:tcW w:w="1916"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rPr>
                <w:rFonts w:ascii="宋体" w:eastAsia="宋体" w:hAnsi="宋体" w:cs="宋体" w:hint="eastAsia"/>
                <w:sz w:val="21"/>
                <w:szCs w:val="21"/>
              </w:rPr>
            </w:pPr>
            <w:r>
              <w:rPr>
                <w:rFonts w:ascii="宋体" w:eastAsia="宋体" w:hAnsi="宋体" w:cs="宋体" w:hint="eastAsia"/>
                <w:sz w:val="21"/>
                <w:szCs w:val="21"/>
                <w:lang w:bidi="ar"/>
              </w:rPr>
              <w:t>诚信承诺函</w:t>
            </w:r>
          </w:p>
        </w:tc>
        <w:tc>
          <w:tcPr>
            <w:tcW w:w="915" w:type="dxa"/>
            <w:tcBorders>
              <w:top w:val="single" w:sz="8" w:space="0" w:color="000000"/>
              <w:left w:val="single" w:sz="8" w:space="0" w:color="000000"/>
              <w:bottom w:val="single" w:sz="8" w:space="0" w:color="000000"/>
              <w:right w:val="single" w:sz="8" w:space="0" w:color="000000"/>
            </w:tcBorders>
            <w:shd w:val="clear" w:color="auto" w:fill="auto"/>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5</w:t>
            </w:r>
          </w:p>
        </w:tc>
        <w:tc>
          <w:tcPr>
            <w:tcW w:w="4339" w:type="dxa"/>
            <w:tcBorders>
              <w:top w:val="single" w:sz="8" w:space="0" w:color="000000"/>
              <w:left w:val="single" w:sz="8" w:space="0" w:color="000000"/>
              <w:bottom w:val="single" w:sz="8" w:space="0" w:color="000000"/>
              <w:right w:val="single" w:sz="8" w:space="0" w:color="000000"/>
            </w:tcBorders>
            <w:shd w:val="clear" w:color="auto" w:fill="auto"/>
          </w:tcPr>
          <w:p>
            <w:pPr>
              <w:rPr>
                <w:rFonts w:ascii="宋体" w:eastAsia="宋体" w:hAnsi="宋体" w:cs="宋体" w:hint="eastAsia"/>
                <w:sz w:val="21"/>
                <w:szCs w:val="21"/>
                <w:lang w:eastAsia="zh-CN"/>
              </w:rPr>
            </w:pPr>
            <w:r>
              <w:rPr>
                <w:rFonts w:ascii="宋体" w:eastAsia="宋体" w:hAnsi="宋体" w:cs="宋体" w:hint="eastAsia"/>
                <w:sz w:val="21"/>
                <w:szCs w:val="21"/>
                <w:lang w:eastAsia="zh-CN"/>
              </w:rPr>
              <w:t>投标人承诺在参与自行采购活动中未出现诚信或安全相关问题且不在相关主管部门处理措施实施期限内的本项得100分，否则不得分。</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评分依据：</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投标人须提供的《诚信承诺函》，按采购文件格式要求提供，不提供或提供的不符合要求或提供不清晰导致专家无法判断的均不得分。如被认定提供的陈述与事实不符受到行政处罚的，依法追究其责任。</w:t>
            </w:r>
          </w:p>
        </w:tc>
      </w:tr>
      <w:bookmarkEnd w:id="0"/>
    </w:tbl>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25</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hint="eastAsia"/>
          <w:color w:val="FF0000"/>
          <w:kern w:val="2"/>
          <w:sz w:val="21"/>
          <w:szCs w:val="21"/>
          <w:lang w:eastAsia="zh-CN"/>
        </w:rPr>
      </w:pPr>
      <w:bookmarkStart w:id="2"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2"/>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rPr>
          <w:rFonts w:ascii="宋体" w:eastAsia="宋体" w:hAnsi="宋体" w:cs="宋体" w:hint="eastAsia"/>
          <w:color w:val="000000"/>
          <w:lang w:eastAsia="zh-CN"/>
        </w:rPr>
      </w:pPr>
    </w:p>
    <w:p>
      <w:pPr>
        <w:widowControl w:val="0"/>
        <w:snapToGrid w:val="0"/>
        <w:spacing w:line="360" w:lineRule="exact"/>
        <w:rPr>
          <w:rFonts w:ascii="宋体" w:eastAsia="宋体" w:hAnsi="宋体" w:cs="宋体" w:hint="eastAsia"/>
          <w:color w:val="000000"/>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第一章招标公告</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第一章总则</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第二章招标文件</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第五章开标</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第六章评审要求</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spacing w:line="360" w:lineRule="auto"/>
        <w:ind w:firstLine="1050" w:firstLineChars="5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jc w:val="center"/>
        <w:rPr>
          <w:rFonts w:ascii="Arial" w:eastAsia="宋体" w:hAnsi="Arial"/>
          <w:b/>
          <w:bCs/>
          <w:kern w:val="44"/>
          <w:sz w:val="32"/>
          <w:szCs w:val="32"/>
          <w:lang w:eastAsia="zh-CN"/>
        </w:rPr>
      </w:pPr>
      <w:r>
        <w:rPr>
          <w:rFonts w:ascii="Calibri" w:eastAsia="宋体" w:hAnsi="Calibri" w:cstheme="minorBidi"/>
          <w:kern w:val="2"/>
          <w:sz w:val="21"/>
          <w:szCs w:val="22"/>
          <w:lang w:eastAsia="zh-CN"/>
        </w:rPr>
        <w:br w:type="page"/>
      </w:r>
      <w:r>
        <w:rPr>
          <w:rFonts w:ascii="Arial" w:eastAsia="宋体" w:hAnsi="Arial" w:hint="eastAsia"/>
          <w:b/>
          <w:bCs/>
          <w:kern w:val="44"/>
          <w:sz w:val="32"/>
          <w:szCs w:val="32"/>
          <w:lang w:eastAsia="zh-CN"/>
        </w:rPr>
        <w:t>第一册  专用条款</w:t>
      </w:r>
    </w:p>
    <w:p>
      <w:pPr>
        <w:keepNext/>
        <w:keepLines/>
        <w:widowControl w:val="0"/>
        <w:adjustRightInd w:val="0"/>
        <w:spacing w:before="260" w:after="260" w:line="36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pPr>
        <w:spacing w:after="60" w:afterLines="25" w:line="30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1、具有独立法人资格或具有独立承担民事责任的能力的其它组织（提供营业执照或事业单位法人证等法人证明扫描件，原件备查）。</w:t>
      </w:r>
    </w:p>
    <w:p>
      <w:pPr>
        <w:spacing w:after="60" w:afterLines="25" w:line="30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2、参与本项目投标前三年内，在经营活动中没有重大违法记录（由供应商在《龙华区教育局自行采购投标及履约承诺函》中作出声明）。</w:t>
      </w:r>
    </w:p>
    <w:p>
      <w:pPr>
        <w:spacing w:after="60" w:afterLines="25" w:line="30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3、参与本项目政府采购活动时不存在被有关部门禁止参与政府采购活动且在有效期内的情况（由供应商在《龙华区教育局自行采购投标及履约承诺函》中作出声明）。</w:t>
      </w:r>
    </w:p>
    <w:p>
      <w:pPr>
        <w:spacing w:after="60" w:afterLines="25" w:line="30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4、具备《中华人民共和国政府采购法》第二十二条第一款的条件（由供应商在《龙华区教育局自行采购投标及履约承诺函》中作出声明）。</w:t>
      </w:r>
    </w:p>
    <w:p>
      <w:pPr>
        <w:spacing w:after="60" w:afterLines="25" w:line="30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5、参与本项目政府采购活动时未被列入失信被执行人、重大税收违法失信主体、政府采购严重违法失信行为记录名单（由供应商在《龙华区教育局自行采购投标及履约承诺函》中作出承诺）。</w:t>
      </w:r>
    </w:p>
    <w:p>
      <w:pPr>
        <w:spacing w:after="60" w:afterLines="25" w:line="30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pPr>
        <w:spacing w:after="60" w:afterLines="25" w:line="30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6、投标人不存在《深圳市财政局政府采购供应商信用信息管理办法》（深财规〔2023〕3 号）列明的严重违法失信行为（由供应商在</w:t>
      </w:r>
      <w:r>
        <w:rPr>
          <w:rFonts w:ascii="宋体" w:eastAsia="宋体" w:hAnsi="宋体" w:cs="宋体" w:hint="eastAsia"/>
          <w:bCs/>
          <w:sz w:val="21"/>
          <w:szCs w:val="21"/>
          <w:lang w:eastAsia="zh-CN"/>
        </w:rPr>
        <w:t>《龙华区教育局自行采购投标及履约承诺函》</w:t>
      </w:r>
      <w:r>
        <w:rPr>
          <w:rFonts w:ascii="宋体" w:eastAsia="宋体" w:hAnsi="宋体" w:cs="宋体" w:hint="eastAsia"/>
          <w:sz w:val="21"/>
          <w:szCs w:val="21"/>
          <w:lang w:eastAsia="zh-CN"/>
        </w:rPr>
        <w:t>中作出声明）。</w:t>
      </w:r>
    </w:p>
    <w:p>
      <w:pPr>
        <w:spacing w:after="60" w:afterLines="25" w:line="30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7、为采购项目提供整体设计、规范编制或者项目管理、监理、检测等服务的供应商，不得再参加该采购项目同一合同项下的其他采购活动。（由供应商在《龙华区教育局自行采购投标及履约承诺函》中作出承诺）。</w:t>
      </w:r>
    </w:p>
    <w:p>
      <w:pPr>
        <w:spacing w:after="60" w:afterLines="25" w:line="30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8、单位负责人为同一人或者存在直接控股、管理关系的不同供应商，不得参加同一合同项下的政府采购活动。（由供应商在《龙华区教育局自行采购投标及履约承诺函》中作出承诺）。</w:t>
      </w:r>
    </w:p>
    <w:p>
      <w:pPr>
        <w:spacing w:after="60" w:afterLines="25" w:line="300" w:lineRule="auto"/>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9、本项目不属于专门面向中小微企业采购项目。</w:t>
      </w:r>
    </w:p>
    <w:p>
      <w:pPr>
        <w:spacing w:after="60" w:afterLines="25" w:line="30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10、本项目不接受联合体投标，不接受进口产品参与投标，不允许转包、分包。（由供应商在《龙华区教育局自行采购投标及履约承诺函》中作出承诺）。</w:t>
      </w:r>
    </w:p>
    <w:p>
      <w:pPr>
        <w:widowControl w:val="0"/>
        <w:spacing w:after="60" w:afterLines="25"/>
        <w:jc w:val="center"/>
        <w:rPr>
          <w:rFonts w:ascii="宋体" w:eastAsia="宋体" w:hAnsi="宋体" w:cs="宋体" w:hint="eastAsia"/>
          <w:sz w:val="21"/>
          <w:szCs w:val="21"/>
          <w:lang w:eastAsia="zh-CN"/>
        </w:rPr>
      </w:pPr>
      <w:r>
        <w:rPr>
          <w:rFonts w:ascii="宋体" w:eastAsia="宋体" w:hAnsi="宋体" w:cs="宋体" w:hint="eastAsia"/>
          <w:sz w:val="21"/>
          <w:szCs w:val="21"/>
          <w:lang w:eastAsia="zh-C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keepNext/>
        <w:keepLines/>
        <w:widowControl w:val="0"/>
        <w:spacing w:before="260" w:after="260" w:line="416" w:lineRule="auto"/>
        <w:jc w:val="center"/>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w:t>
      </w:r>
      <w:bookmarkStart w:id="3" w:name="_Hlk71926094"/>
      <w:r>
        <w:rPr>
          <w:rFonts w:ascii="宋体" w:eastAsia="宋体" w:hAnsi="宋体" w:hint="eastAsia"/>
          <w:b/>
          <w:bCs/>
          <w:sz w:val="28"/>
          <w:szCs w:val="28"/>
          <w:lang w:eastAsia="zh-CN"/>
        </w:rPr>
        <w:t xml:space="preserve">  对通用条款的补充内容及其他关键信息</w:t>
      </w:r>
      <w:bookmarkEnd w:id="3"/>
    </w:p>
    <w:p>
      <w:pPr>
        <w:keepNext/>
        <w:keepLines/>
        <w:widowControl w:val="0"/>
        <w:adjustRightInd w:val="0"/>
        <w:spacing w:before="120" w:beforeLines="50" w:after="120" w:afterLines="50"/>
        <w:jc w:val="center"/>
        <w:textAlignment w:val="baseline"/>
        <w:outlineLvl w:val="2"/>
        <w:rPr>
          <w:rFonts w:ascii="宋体" w:eastAsia="宋体" w:hAnsi="宋体" w:hint="eastAsia"/>
          <w:b/>
          <w:bCs/>
          <w:lang w:eastAsia="zh-CN"/>
        </w:rPr>
      </w:pPr>
      <w:bookmarkStart w:id="4" w:name="_Toc73517639"/>
      <w:bookmarkStart w:id="5" w:name="_Toc73518117"/>
      <w:bookmarkStart w:id="6" w:name="_Toc60560625"/>
      <w:bookmarkStart w:id="7" w:name="_Toc73521547"/>
      <w:bookmarkStart w:id="8" w:name="_Toc101074876"/>
      <w:bookmarkStart w:id="9" w:name="_Toc73521635"/>
      <w:bookmarkStart w:id="10" w:name="_Toc100052364"/>
      <w:bookmarkStart w:id="11" w:name="_Toc60631620"/>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hint="eastAsia"/>
                <w:kern w:val="2"/>
                <w:sz w:val="21"/>
                <w:szCs w:val="21"/>
                <w:highlight w:val="yellow"/>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rPr>
                <w:rFonts w:ascii="宋体" w:eastAsia="宋体" w:hAnsi="宋体" w:hint="eastAsia"/>
                <w:kern w:val="2"/>
                <w:sz w:val="21"/>
                <w:szCs w:val="21"/>
                <w:highlight w:val="yellow"/>
                <w:lang w:eastAsia="zh-CN"/>
              </w:rPr>
            </w:pPr>
            <w:r>
              <w:rPr>
                <w:rFonts w:ascii="宋体" w:eastAsia="宋体" w:hAnsi="宋体" w:hint="eastAsia"/>
                <w:kern w:val="2"/>
                <w:sz w:val="21"/>
                <w:szCs w:val="21"/>
                <w:lang w:eastAsia="zh-CN"/>
              </w:rPr>
              <w:t>深圳市龙华高级中学教育集团</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rPr>
                <w:rFonts w:ascii="宋体" w:eastAsia="宋体" w:hAnsi="宋体" w:hint="eastAsia"/>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hint="eastAsia"/>
                <w:kern w:val="2"/>
                <w:sz w:val="21"/>
                <w:szCs w:val="21"/>
                <w:lang w:eastAsia="zh-CN"/>
              </w:rPr>
            </w:pPr>
            <w:bookmarkStart w:id="12" w:name="_Hlk71664860"/>
            <w:r>
              <w:rPr>
                <w:rFonts w:ascii="宋体" w:eastAsia="宋体" w:hAnsi="宋体" w:cstheme="minorBidi" w:hint="eastAsia"/>
                <w:kern w:val="2"/>
                <w:sz w:val="21"/>
                <w:szCs w:val="21"/>
                <w:lang w:eastAsia="zh-CN"/>
              </w:rPr>
              <w:t>样品、现场演示、方案讲解</w:t>
            </w:r>
            <w:bookmarkEnd w:id="12"/>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不需要</w:t>
            </w:r>
          </w:p>
        </w:tc>
      </w:tr>
      <w:bookmarkEnd w:id="4"/>
      <w:bookmarkEnd w:id="5"/>
      <w:bookmarkEnd w:id="6"/>
      <w:bookmarkEnd w:id="7"/>
      <w:bookmarkEnd w:id="8"/>
      <w:bookmarkEnd w:id="9"/>
      <w:bookmarkEnd w:id="10"/>
      <w:bookmarkEnd w:id="11"/>
    </w:tbl>
    <w:p>
      <w:pPr>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hint="eastAsia"/>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hint="eastAsia"/>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hint="eastAsia"/>
          <w:bCs/>
          <w:kern w:val="2"/>
          <w:sz w:val="21"/>
          <w:szCs w:val="21"/>
          <w:lang w:eastAsia="zh-CN"/>
        </w:rPr>
      </w:pP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（二）其他事项</w:t>
      </w: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非专门面向中小企业采购的项目，应执行价格扣除比例：投标人提供的货物（以招标文件用户需求书“货物需求明细”的“货物名称”一栏为准）全部均由优惠主体制造的，对其投标总价给予10%的扣除，用扣除后的价格参与评审。满足多项优惠政策的企业，不重复享受多项价格扣除政策。政策调整后价格仅作为评审依据，不作为中标价格。</w:t>
      </w:r>
    </w:p>
    <w:p>
      <w:pPr>
        <w:widowControl w:val="0"/>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2"/>
          <w:lang w:eastAsia="zh-CN"/>
        </w:rPr>
        <w:t>（2）</w:t>
      </w: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《中小企业声明函》中相关企业所属行业应当与采购标的所属行业相一致。</w:t>
      </w:r>
      <w:r>
        <w:rPr>
          <w:rFonts w:ascii="Calibri" w:eastAsia="宋体" w:hAnsi="Calibri" w:cstheme="minorBidi" w:hint="eastAsia"/>
          <w:kern w:val="2"/>
          <w:sz w:val="21"/>
          <w:szCs w:val="21"/>
          <w:lang w:eastAsia="zh-CN"/>
        </w:rPr>
        <w:t>本项目采购标的（</w:t>
      </w:r>
      <w:r>
        <w:rPr>
          <w:rFonts w:eastAsia="宋体" w:hAnsi="Calibri" w:cstheme="minorBidi" w:hint="eastAsia"/>
          <w:kern w:val="2"/>
          <w:sz w:val="21"/>
          <w:szCs w:val="21"/>
          <w:lang w:eastAsia="zh-CN"/>
        </w:rPr>
        <w:t>服务需求</w:t>
      </w:r>
      <w:r>
        <w:rPr>
          <w:rFonts w:ascii="Calibri" w:eastAsia="宋体" w:hAnsi="Calibri" w:cstheme="minorBidi" w:hint="eastAsia"/>
          <w:kern w:val="2"/>
          <w:sz w:val="21"/>
          <w:szCs w:val="21"/>
          <w:lang w:eastAsia="zh-CN"/>
        </w:rPr>
        <w:t>）对应的中小企业划分标准所属行业为</w:t>
      </w:r>
      <w:r>
        <w:rPr>
          <w:rFonts w:ascii="Calibri" w:eastAsia="宋体" w:hAnsi="Calibri" w:cstheme="minorBidi" w:hint="eastAsia"/>
          <w:b/>
          <w:bCs/>
          <w:color w:val="FF0000"/>
          <w:kern w:val="2"/>
          <w:sz w:val="21"/>
          <w:szCs w:val="21"/>
          <w:u w:val="single"/>
          <w:lang w:eastAsia="zh-CN"/>
        </w:rPr>
        <w:t>工业</w:t>
      </w:r>
      <w:r>
        <w:rPr>
          <w:rFonts w:ascii="Calibri" w:eastAsia="宋体" w:hAnsi="Calibri" w:cstheme="minorBidi" w:hint="eastAsia"/>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1"/>
          <w:lang w:eastAsia="zh-CN"/>
        </w:rPr>
        <w:t>（3）小型企业、微</w:t>
      </w:r>
      <w:r>
        <w:rPr>
          <w:rFonts w:ascii="Calibri" w:eastAsia="宋体" w:hAnsi="Calibri" w:cstheme="minorBidi" w:hint="eastAsia"/>
          <w:kern w:val="2"/>
          <w:sz w:val="21"/>
          <w:szCs w:val="22"/>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详见采购文件相应章节）。</w:t>
      </w:r>
    </w:p>
    <w:p>
      <w:pPr>
        <w:widowControl w:val="0"/>
        <w:tabs>
          <w:tab w:val="left" w:pos="720"/>
        </w:tabs>
        <w:ind w:firstLine="420" w:firstLineChars="200"/>
        <w:jc w:val="both"/>
        <w:rPr>
          <w:rFonts w:ascii="黑体" w:eastAsia="黑体" w:hAnsi="宋体" w:hint="eastAsia"/>
          <w:kern w:val="2"/>
          <w:szCs w:val="22"/>
          <w:lang w:eastAsia="zh-CN"/>
        </w:rPr>
      </w:pPr>
      <w:r>
        <w:rPr>
          <w:rFonts w:ascii="Calibri" w:eastAsia="宋体" w:hAnsi="Calibri" w:cstheme="minorBidi" w:hint="eastAsia"/>
          <w:kern w:val="2"/>
          <w:sz w:val="21"/>
          <w:szCs w:val="22"/>
          <w:lang w:eastAsia="zh-CN"/>
        </w:rPr>
        <w:t>（5）享受价格扣除获得政府采购合同的，小微企业不得将合同分包给大中型企业。</w:t>
      </w:r>
    </w:p>
    <w:p>
      <w:pPr>
        <w:widowControl w:val="0"/>
        <w:spacing w:line="360" w:lineRule="auto"/>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2.关于政府采购订单融资政策</w:t>
      </w:r>
    </w:p>
    <w:p>
      <w:pPr>
        <w:widowControl w:val="0"/>
        <w:ind w:firstLine="420" w:firstLineChars="200"/>
        <w:jc w:val="both"/>
        <w:rPr>
          <w:rFonts w:ascii="宋体" w:eastAsia="宋体" w:hAnsi="宋体" w:hint="eastAsia"/>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jc w:val="both"/>
        <w:rPr>
          <w:rFonts w:ascii="黑体" w:eastAsia="黑体" w:hAnsi="宋体" w:hint="eastAsia"/>
          <w:kern w:val="2"/>
          <w:szCs w:val="22"/>
          <w:lang w:eastAsia="zh-CN"/>
        </w:rPr>
      </w:pPr>
    </w:p>
    <w:p>
      <w:pPr>
        <w:widowControl w:val="0"/>
        <w:tabs>
          <w:tab w:val="left" w:pos="720"/>
        </w:tabs>
        <w:jc w:val="both"/>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ind w:firstLine="42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theme="minorBidi" w:hint="eastAsia"/>
          <w:b/>
          <w:bCs/>
          <w:kern w:val="2"/>
          <w:sz w:val="21"/>
          <w:szCs w:val="21"/>
          <w:u w:val="single"/>
          <w:lang w:eastAsia="zh-CN"/>
        </w:rPr>
        <w:t>货物采购</w:t>
      </w:r>
      <w:r>
        <w:rPr>
          <w:rFonts w:ascii="宋体" w:eastAsia="宋体" w:hAnsi="宋体" w:cstheme="minorBidi" w:hint="eastAsia"/>
          <w:kern w:val="2"/>
          <w:sz w:val="21"/>
          <w:szCs w:val="21"/>
          <w:lang w:eastAsia="zh-CN"/>
        </w:rPr>
        <w:t>：</w:t>
      </w:r>
    </w:p>
    <w:p>
      <w:pPr>
        <w:ind w:firstLine="42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（1）代理服务费以《中标（成交）通知书》确定的中标（成交）金额作为计算基数，按差额定率累进法计算。</w:t>
      </w:r>
    </w:p>
    <w:p>
      <w:pPr>
        <w:wordWrap w:val="0"/>
        <w:autoSpaceDE w:val="0"/>
        <w:autoSpaceDN w:val="0"/>
        <w:spacing w:line="400" w:lineRule="exact"/>
        <w:ind w:right="808" w:firstLine="420" w:firstLineChars="200"/>
        <w:jc w:val="both"/>
        <w:rPr>
          <w:rFonts w:eastAsia="宋体"/>
          <w:lang w:eastAsia="zh-CN"/>
        </w:rPr>
      </w:pPr>
      <w:r>
        <w:rPr>
          <w:rFonts w:eastAsia="宋体" w:hint="eastAsia"/>
          <w:kern w:val="2"/>
          <w:sz w:val="21"/>
          <w:lang w:eastAsia="zh-CN"/>
        </w:rPr>
        <w:t>（2）</w:t>
      </w:r>
      <w:r>
        <w:rPr>
          <w:rFonts w:eastAsia="宋体" w:hint="eastAsia"/>
          <w:lang w:eastAsia="zh-CN"/>
        </w:rPr>
        <w:t>招标代理服务费</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服费务类率型</w:t>
            </w:r>
          </w:p>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万元（含）-500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0.8%</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 万元（含）-1000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0.8%</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0.45%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1000 万元（含）-5000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5000 万元（含）-1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0.1%</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 亿元（含）-5 亿</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color w:val="333333"/>
                <w:kern w:val="2"/>
                <w:sz w:val="21"/>
                <w:szCs w:val="21"/>
                <w:lang w:eastAsia="zh-CN"/>
              </w:rPr>
              <w:t>5 亿元（含）-10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 亿元（含）-50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 亿元（含）-100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亿元（含）以</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r>
    </w:tbl>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（1）按本表费率计算的收费为招标代理服务的收费基准价格。</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（2）招标代理服务收费按差额定率累进法计算。</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例如：某服务招标代理业务中标金额为600万元，计算招标代理服务收费额如下：</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100万元×1.5%=1.5万元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（500-100）万元×0.8%=3.2万元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（600-500）万元×0.45%=0.45万元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合计收费=1.5+3.2+0.45=5.15万元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备注：最低收费不低于人民币6000元。代理服务费用超过6000元，则按国家计费规定收取代理服务费。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收款单位：深圳市千里招标代理有限公司</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开户银行：中国平安银行深圳创业路支行</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帐号：（人民币）15000094959311（用于支付标书费和中标服务费）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中标人须在中标公告公示期结束后，领取《中标通知书》前，向招标（采购）代理机构缴纳招标代理服务费。</w:t>
      </w:r>
    </w:p>
    <w:p>
      <w:pPr>
        <w:spacing w:line="360" w:lineRule="auto"/>
        <w:ind w:firstLine="42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招标代理服务费以转账、银行汇票形式交付。</w:t>
      </w:r>
    </w:p>
    <w:p>
      <w:pPr>
        <w:rPr>
          <w:rFonts w:ascii="宋体" w:eastAsia="黑体" w:hAnsi="宋体" w:hint="eastAsia"/>
          <w:bCs/>
          <w:kern w:val="44"/>
          <w:sz w:val="28"/>
          <w:szCs w:val="44"/>
          <w:lang w:eastAsia="zh-CN"/>
        </w:rPr>
      </w:pPr>
      <w:r>
        <w:rPr>
          <w:rFonts w:ascii="宋体" w:eastAsia="黑体" w:hAnsi="宋体"/>
          <w:bCs/>
          <w:kern w:val="44"/>
          <w:sz w:val="28"/>
          <w:szCs w:val="44"/>
          <w:lang w:eastAsia="zh-CN"/>
        </w:rPr>
        <w:br w:type="page"/>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60" w:afterLines="25"/>
        <w:jc w:val="center"/>
        <w:outlineLvl w:val="2"/>
        <w:rPr>
          <w:rFonts w:ascii="Arial" w:eastAsia="宋体" w:hAnsi="Arial"/>
          <w:b/>
          <w:kern w:val="2"/>
          <w:sz w:val="32"/>
          <w:szCs w:val="32"/>
          <w:lang w:eastAsia="zh-CN"/>
        </w:rPr>
      </w:pPr>
      <w:r>
        <w:rPr>
          <w:rFonts w:ascii="Arial" w:eastAsia="宋体" w:hAnsi="Arial" w:hint="eastAsia"/>
          <w:b/>
          <w:kern w:val="2"/>
          <w:sz w:val="32"/>
          <w:szCs w:val="32"/>
          <w:lang w:eastAsia="zh-CN"/>
        </w:rPr>
        <w:t>一、项目基本信息</w:t>
      </w:r>
    </w:p>
    <w:tbl>
      <w:tblPr>
        <w:tblStyle w:val="TableNormal"/>
        <w:tblW w:w="5000" w:type="pct"/>
        <w:tblInd w:w="-149" w:type="dxa"/>
        <w:tblLayout w:type="fixed"/>
        <w:tblCellMar>
          <w:top w:w="15" w:type="dxa"/>
          <w:left w:w="15" w:type="dxa"/>
          <w:bottom w:w="15" w:type="dxa"/>
          <w:right w:w="15" w:type="dxa"/>
        </w:tblCellMar>
      </w:tblPr>
      <w:tblGrid>
        <w:gridCol w:w="805"/>
        <w:gridCol w:w="2538"/>
        <w:gridCol w:w="2892"/>
        <w:gridCol w:w="2435"/>
      </w:tblGrid>
      <w:tr>
        <w:tblPrEx>
          <w:tblW w:w="5000" w:type="pct"/>
          <w:tblInd w:w="-149" w:type="dxa"/>
          <w:tblLayout w:type="fixed"/>
          <w:tblCellMar>
            <w:top w:w="15" w:type="dxa"/>
            <w:left w:w="15" w:type="dxa"/>
            <w:bottom w:w="15" w:type="dxa"/>
            <w:right w:w="15" w:type="dxa"/>
          </w:tblCellMar>
        </w:tblPrEx>
        <w:trPr>
          <w:trHeight w:val="552"/>
        </w:trPr>
        <w:tc>
          <w:tcPr>
            <w:tcW w:w="867" w:type="dxa"/>
            <w:tcBorders>
              <w:top w:val="single" w:sz="4" w:space="0" w:color="000000"/>
              <w:left w:val="single" w:sz="4" w:space="0" w:color="000000"/>
              <w:bottom w:val="single" w:sz="4" w:space="0" w:color="000000"/>
              <w:right w:val="single" w:sz="4" w:space="0" w:color="auto"/>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序号</w:t>
            </w:r>
          </w:p>
        </w:tc>
        <w:tc>
          <w:tcPr>
            <w:tcW w:w="2742" w:type="dxa"/>
            <w:tcBorders>
              <w:top w:val="single" w:sz="4" w:space="0" w:color="000000"/>
              <w:left w:val="single" w:sz="4" w:space="0" w:color="auto"/>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项目编号</w:t>
            </w:r>
          </w:p>
        </w:tc>
        <w:tc>
          <w:tcPr>
            <w:tcW w:w="3125"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项目名称</w:t>
            </w:r>
          </w:p>
        </w:tc>
        <w:tc>
          <w:tcPr>
            <w:tcW w:w="2630"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宋体" w:eastAsia="宋体" w:hAnsi="宋体" w:cstheme="minorBidi" w:hint="eastAsia"/>
                <w:b/>
                <w:kern w:val="2"/>
                <w:sz w:val="21"/>
                <w:szCs w:val="21"/>
                <w:lang w:eastAsia="zh-CN"/>
              </w:rPr>
              <w:t>财政预算限额（元）</w:t>
            </w:r>
          </w:p>
        </w:tc>
      </w:tr>
      <w:tr>
        <w:tblPrEx>
          <w:tblW w:w="5000" w:type="pct"/>
          <w:tblInd w:w="-149" w:type="dxa"/>
          <w:tblLayout w:type="fixed"/>
          <w:tblCellMar>
            <w:top w:w="15" w:type="dxa"/>
            <w:left w:w="15" w:type="dxa"/>
            <w:bottom w:w="15" w:type="dxa"/>
            <w:right w:w="15" w:type="dxa"/>
          </w:tblCellMar>
        </w:tblPrEx>
        <w:trPr>
          <w:trHeight w:val="485"/>
        </w:trPr>
        <w:tc>
          <w:tcPr>
            <w:tcW w:w="867"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p>
        </w:tc>
        <w:tc>
          <w:tcPr>
            <w:tcW w:w="2742"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LHAZXDL-2025-00341</w:t>
            </w:r>
          </w:p>
        </w:tc>
        <w:tc>
          <w:tcPr>
            <w:tcW w:w="3125"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大浪校区监控视频存储及光网络交换设备</w:t>
            </w:r>
          </w:p>
        </w:tc>
        <w:tc>
          <w:tcPr>
            <w:tcW w:w="2630"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632,912.00</w:t>
            </w:r>
          </w:p>
        </w:tc>
      </w:tr>
    </w:tbl>
    <w:p>
      <w:pPr>
        <w:keepNext/>
        <w:keepLines/>
        <w:widowControl w:val="0"/>
        <w:tabs>
          <w:tab w:val="left" w:pos="1680"/>
        </w:tabs>
        <w:spacing w:before="260" w:after="60" w:afterLines="25"/>
        <w:jc w:val="center"/>
        <w:outlineLvl w:val="2"/>
        <w:rPr>
          <w:rFonts w:ascii="宋体" w:eastAsia="宋体" w:hAnsi="宋体" w:hint="eastAsia"/>
          <w:b/>
          <w:color w:val="000000"/>
          <w:sz w:val="21"/>
          <w:szCs w:val="21"/>
          <w:lang w:eastAsia="zh-CN"/>
        </w:rPr>
      </w:pPr>
      <w:r>
        <w:rPr>
          <w:rFonts w:ascii="Arial" w:eastAsia="宋体" w:hAnsi="Arial" w:hint="eastAsia"/>
          <w:b/>
          <w:kern w:val="2"/>
          <w:sz w:val="32"/>
          <w:szCs w:val="32"/>
          <w:lang w:eastAsia="zh-CN"/>
        </w:rPr>
        <w:t>二、货物需求明细</w:t>
      </w:r>
      <w:bookmarkStart w:id="13" w:name="_Toc128884461"/>
    </w:p>
    <w:tbl>
      <w:tblPr>
        <w:tblStyle w:val="TableNormal"/>
        <w:tblpPr w:leftFromText="180" w:rightFromText="180" w:vertAnchor="text" w:horzAnchor="page" w:tblpX="1800" w:tblpY="450"/>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9"/>
        <w:gridCol w:w="1724"/>
        <w:gridCol w:w="696"/>
        <w:gridCol w:w="712"/>
        <w:gridCol w:w="1147"/>
        <w:gridCol w:w="1375"/>
        <w:gridCol w:w="781"/>
        <w:gridCol w:w="174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6"/>
        </w:trPr>
        <w:tc>
          <w:tcPr>
            <w:tcW w:w="708" w:type="dxa"/>
            <w:vMerge w:val="restart"/>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1824" w:type="dxa"/>
            <w:vMerge w:val="restart"/>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货物名称</w:t>
            </w:r>
          </w:p>
        </w:tc>
        <w:tc>
          <w:tcPr>
            <w:tcW w:w="727" w:type="dxa"/>
            <w:vMerge w:val="restart"/>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数量</w:t>
            </w:r>
          </w:p>
        </w:tc>
        <w:tc>
          <w:tcPr>
            <w:tcW w:w="744" w:type="dxa"/>
            <w:vMerge w:val="restart"/>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单位</w:t>
            </w:r>
          </w:p>
        </w:tc>
        <w:tc>
          <w:tcPr>
            <w:tcW w:w="2659" w:type="dxa"/>
            <w:gridSpan w:val="2"/>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单价限额（元）</w:t>
            </w:r>
          </w:p>
        </w:tc>
        <w:tc>
          <w:tcPr>
            <w:tcW w:w="817" w:type="dxa"/>
            <w:vAlign w:val="center"/>
          </w:tcPr>
          <w:p>
            <w:pPr>
              <w:jc w:val="center"/>
              <w:rPr>
                <w:rFonts w:ascii="宋体" w:eastAsia="宋体" w:hAnsi="宋体" w:cs="宋体" w:hint="eastAsia"/>
                <w:b/>
                <w:color w:val="FF0000"/>
                <w:sz w:val="21"/>
                <w:szCs w:val="21"/>
              </w:rPr>
            </w:pPr>
            <w:r>
              <w:rPr>
                <w:rFonts w:ascii="宋体" w:eastAsia="宋体" w:hAnsi="宋体" w:cs="宋体" w:hint="eastAsia"/>
                <w:b/>
                <w:color w:val="FF0000"/>
                <w:sz w:val="21"/>
                <w:szCs w:val="21"/>
              </w:rPr>
              <w:t>备注</w:t>
            </w:r>
          </w:p>
        </w:tc>
        <w:tc>
          <w:tcPr>
            <w:tcW w:w="1843" w:type="dxa"/>
            <w:vAlign w:val="center"/>
          </w:tcPr>
          <w:p>
            <w:pPr>
              <w:jc w:val="center"/>
              <w:rPr>
                <w:rFonts w:ascii="宋体" w:eastAsia="宋体" w:hAnsi="宋体" w:cs="宋体" w:hint="eastAsia"/>
                <w:b/>
                <w:color w:val="FF0000"/>
                <w:sz w:val="21"/>
                <w:szCs w:val="21"/>
              </w:rPr>
            </w:pPr>
            <w:r>
              <w:rPr>
                <w:rFonts w:ascii="宋体" w:eastAsia="宋体" w:hAnsi="宋体" w:cs="宋体" w:hint="eastAsia"/>
                <w:b/>
                <w:color w:val="FF0000"/>
                <w:sz w:val="21"/>
                <w:szCs w:val="21"/>
              </w:rPr>
              <w:t>财政预算限额（元）</w:t>
            </w:r>
          </w:p>
        </w:tc>
      </w:tr>
      <w:tr>
        <w:tblPrEx>
          <w:tblW w:w="5000" w:type="pct"/>
          <w:tblInd w:w="0" w:type="dxa"/>
          <w:tblLayout w:type="fixed"/>
          <w:tblCellMar>
            <w:top w:w="0" w:type="dxa"/>
            <w:left w:w="108" w:type="dxa"/>
            <w:bottom w:w="0" w:type="dxa"/>
            <w:right w:w="108" w:type="dxa"/>
          </w:tblCellMar>
        </w:tblPrEx>
        <w:trPr>
          <w:trHeight w:val="566"/>
        </w:trPr>
        <w:tc>
          <w:tcPr>
            <w:tcW w:w="708" w:type="dxa"/>
            <w:vMerge/>
            <w:vAlign w:val="center"/>
          </w:tcPr>
          <w:p>
            <w:pPr>
              <w:jc w:val="center"/>
              <w:rPr>
                <w:rFonts w:ascii="宋体" w:eastAsia="宋体" w:hAnsi="宋体" w:cs="宋体" w:hint="eastAsia"/>
                <w:b/>
                <w:sz w:val="21"/>
                <w:szCs w:val="21"/>
              </w:rPr>
            </w:pPr>
          </w:p>
        </w:tc>
        <w:tc>
          <w:tcPr>
            <w:tcW w:w="1824" w:type="dxa"/>
            <w:vMerge/>
            <w:vAlign w:val="center"/>
          </w:tcPr>
          <w:p>
            <w:pPr>
              <w:jc w:val="center"/>
              <w:rPr>
                <w:rFonts w:ascii="宋体" w:eastAsia="宋体" w:hAnsi="宋体" w:cs="宋体" w:hint="eastAsia"/>
                <w:b/>
                <w:sz w:val="21"/>
                <w:szCs w:val="21"/>
              </w:rPr>
            </w:pPr>
          </w:p>
        </w:tc>
        <w:tc>
          <w:tcPr>
            <w:tcW w:w="727" w:type="dxa"/>
            <w:vMerge/>
            <w:vAlign w:val="center"/>
          </w:tcPr>
          <w:p>
            <w:pPr>
              <w:jc w:val="center"/>
              <w:rPr>
                <w:rFonts w:ascii="宋体" w:eastAsia="宋体" w:hAnsi="宋体" w:cs="宋体" w:hint="eastAsia"/>
                <w:b/>
                <w:sz w:val="21"/>
                <w:szCs w:val="21"/>
              </w:rPr>
            </w:pPr>
          </w:p>
        </w:tc>
        <w:tc>
          <w:tcPr>
            <w:tcW w:w="744" w:type="dxa"/>
            <w:vMerge/>
            <w:vAlign w:val="center"/>
          </w:tcPr>
          <w:p>
            <w:pPr>
              <w:jc w:val="center"/>
              <w:rPr>
                <w:rFonts w:ascii="宋体" w:eastAsia="宋体" w:hAnsi="宋体" w:cs="宋体" w:hint="eastAsia"/>
                <w:b/>
                <w:sz w:val="21"/>
                <w:szCs w:val="21"/>
              </w:rPr>
            </w:pPr>
          </w:p>
        </w:tc>
        <w:tc>
          <w:tcPr>
            <w:tcW w:w="1208"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单价</w:t>
            </w:r>
          </w:p>
        </w:tc>
        <w:tc>
          <w:tcPr>
            <w:tcW w:w="1451" w:type="dxa"/>
            <w:vAlign w:val="center"/>
          </w:tcPr>
          <w:p>
            <w:pPr>
              <w:jc w:val="center"/>
              <w:rPr>
                <w:rFonts w:ascii="宋体" w:eastAsia="宋体" w:hAnsi="宋体" w:cs="宋体" w:hint="eastAsia"/>
                <w:b/>
                <w:sz w:val="21"/>
                <w:szCs w:val="21"/>
                <w:lang w:eastAsia="zh-CN"/>
              </w:rPr>
            </w:pPr>
            <w:r>
              <w:rPr>
                <w:rFonts w:ascii="宋体" w:eastAsia="宋体" w:hAnsi="宋体" w:cs="宋体" w:hint="eastAsia"/>
                <w:b/>
                <w:sz w:val="21"/>
                <w:szCs w:val="21"/>
                <w:lang w:eastAsia="zh-CN"/>
              </w:rPr>
              <w:t>单价限额（单价乘以数量）</w:t>
            </w:r>
          </w:p>
        </w:tc>
        <w:tc>
          <w:tcPr>
            <w:tcW w:w="817" w:type="dxa"/>
            <w:vAlign w:val="center"/>
          </w:tcPr>
          <w:p>
            <w:pPr>
              <w:jc w:val="center"/>
              <w:rPr>
                <w:rFonts w:ascii="宋体" w:eastAsia="宋体" w:hAnsi="宋体" w:cs="宋体" w:hint="eastAsia"/>
                <w:b/>
                <w:color w:val="FF0000"/>
                <w:sz w:val="21"/>
                <w:szCs w:val="21"/>
                <w:lang w:eastAsia="zh-CN"/>
              </w:rPr>
            </w:pPr>
          </w:p>
        </w:tc>
        <w:tc>
          <w:tcPr>
            <w:tcW w:w="1843" w:type="dxa"/>
            <w:vAlign w:val="center"/>
          </w:tcPr>
          <w:p>
            <w:pPr>
              <w:jc w:val="center"/>
              <w:rPr>
                <w:rFonts w:ascii="宋体" w:eastAsia="宋体" w:hAnsi="宋体" w:cs="宋体" w:hint="eastAsia"/>
                <w:b/>
                <w:color w:val="FF0000"/>
                <w:sz w:val="21"/>
                <w:szCs w:val="21"/>
                <w:lang w:eastAsia="zh-CN"/>
              </w:rPr>
            </w:pPr>
          </w:p>
        </w:tc>
      </w:tr>
      <w:tr>
        <w:tblPrEx>
          <w:tblW w:w="5000" w:type="pct"/>
          <w:tblInd w:w="0" w:type="dxa"/>
          <w:tblLayout w:type="fixed"/>
          <w:tblCellMar>
            <w:top w:w="0" w:type="dxa"/>
            <w:left w:w="108" w:type="dxa"/>
            <w:bottom w:w="0" w:type="dxa"/>
            <w:right w:w="108" w:type="dxa"/>
          </w:tblCellMar>
        </w:tblPrEx>
        <w:trPr>
          <w:trHeight w:val="566"/>
        </w:trPr>
        <w:tc>
          <w:tcPr>
            <w:tcW w:w="708" w:type="dxa"/>
            <w:vAlign w:val="center"/>
          </w:tcPr>
          <w:p>
            <w:pPr>
              <w:jc w:val="center"/>
              <w:rPr>
                <w:rFonts w:ascii="宋体" w:eastAsia="宋体" w:hAnsi="宋体" w:cs="宋体" w:hint="eastAsia"/>
                <w:sz w:val="21"/>
                <w:szCs w:val="21"/>
              </w:rPr>
            </w:pPr>
            <w:r>
              <w:rPr>
                <w:rFonts w:ascii="宋体" w:eastAsia="宋体" w:hAnsi="宋体" w:cs="宋体" w:hint="eastAsia"/>
                <w:color w:val="000000"/>
                <w:sz w:val="21"/>
                <w:szCs w:val="21"/>
              </w:rPr>
              <w:t>1</w:t>
            </w:r>
          </w:p>
        </w:tc>
        <w:tc>
          <w:tcPr>
            <w:tcW w:w="1824" w:type="dxa"/>
            <w:vAlign w:val="center"/>
          </w:tcPr>
          <w:p>
            <w:pPr>
              <w:jc w:val="cente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rPr>
              <w:t>监控视频存储</w:t>
            </w:r>
          </w:p>
          <w:p>
            <w:pPr>
              <w:jc w:val="center"/>
              <w:rPr>
                <w:rFonts w:ascii="宋体" w:eastAsia="宋体" w:hAnsi="宋体" w:cs="宋体" w:hint="eastAsia"/>
                <w:bCs/>
                <w:sz w:val="21"/>
                <w:szCs w:val="21"/>
                <w:lang w:eastAsia="zh-CN"/>
              </w:rPr>
            </w:pPr>
            <w:r>
              <w:rPr>
                <w:rFonts w:ascii="宋体" w:eastAsia="宋体" w:hAnsi="宋体" w:cs="宋体" w:hint="eastAsia"/>
                <w:b/>
                <w:bCs/>
                <w:sz w:val="21"/>
                <w:szCs w:val="21"/>
                <w:lang w:eastAsia="zh-CN"/>
              </w:rPr>
              <w:t>（核心产品）</w:t>
            </w:r>
          </w:p>
        </w:tc>
        <w:tc>
          <w:tcPr>
            <w:tcW w:w="727"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4</w:t>
            </w:r>
          </w:p>
        </w:tc>
        <w:tc>
          <w:tcPr>
            <w:tcW w:w="74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台</w:t>
            </w:r>
          </w:p>
        </w:tc>
        <w:tc>
          <w:tcPr>
            <w:tcW w:w="1208"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138293.00 </w:t>
            </w:r>
          </w:p>
        </w:tc>
        <w:tc>
          <w:tcPr>
            <w:tcW w:w="1451"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553172.00 </w:t>
            </w:r>
          </w:p>
        </w:tc>
        <w:tc>
          <w:tcPr>
            <w:tcW w:w="817" w:type="dxa"/>
            <w:vMerge w:val="restart"/>
            <w:vAlign w:val="center"/>
          </w:tcPr>
          <w:p>
            <w:pPr>
              <w:jc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rPr>
              <w:t>拒绝进口</w:t>
            </w:r>
          </w:p>
        </w:tc>
        <w:tc>
          <w:tcPr>
            <w:tcW w:w="1843" w:type="dxa"/>
            <w:vMerge w:val="restart"/>
            <w:vAlign w:val="center"/>
          </w:tcPr>
          <w:p>
            <w:pPr>
              <w:jc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rPr>
              <w:t>632912.00</w:t>
            </w:r>
          </w:p>
        </w:tc>
      </w:tr>
      <w:tr>
        <w:tblPrEx>
          <w:tblW w:w="5000" w:type="pct"/>
          <w:tblInd w:w="0" w:type="dxa"/>
          <w:tblLayout w:type="fixed"/>
          <w:tblCellMar>
            <w:top w:w="0" w:type="dxa"/>
            <w:left w:w="108" w:type="dxa"/>
            <w:bottom w:w="0" w:type="dxa"/>
            <w:right w:w="108" w:type="dxa"/>
          </w:tblCellMar>
        </w:tblPrEx>
        <w:trPr>
          <w:trHeight w:val="566"/>
        </w:trPr>
        <w:tc>
          <w:tcPr>
            <w:tcW w:w="708" w:type="dxa"/>
            <w:vAlign w:val="center"/>
          </w:tcPr>
          <w:p>
            <w:pPr>
              <w:jc w:val="center"/>
              <w:rPr>
                <w:rFonts w:ascii="宋体" w:eastAsia="宋体" w:hAnsi="宋体" w:cs="宋体" w:hint="eastAsia"/>
                <w:sz w:val="21"/>
                <w:szCs w:val="21"/>
              </w:rPr>
            </w:pPr>
            <w:r>
              <w:rPr>
                <w:rFonts w:ascii="宋体" w:eastAsia="宋体" w:hAnsi="宋体" w:cs="宋体" w:hint="eastAsia"/>
                <w:color w:val="000000"/>
                <w:sz w:val="21"/>
                <w:szCs w:val="21"/>
              </w:rPr>
              <w:t>2</w:t>
            </w:r>
          </w:p>
        </w:tc>
        <w:tc>
          <w:tcPr>
            <w:tcW w:w="182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黑光枪型摄像头</w:t>
            </w:r>
          </w:p>
        </w:tc>
        <w:tc>
          <w:tcPr>
            <w:tcW w:w="727"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1</w:t>
            </w:r>
          </w:p>
        </w:tc>
        <w:tc>
          <w:tcPr>
            <w:tcW w:w="74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台</w:t>
            </w:r>
          </w:p>
        </w:tc>
        <w:tc>
          <w:tcPr>
            <w:tcW w:w="1208"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880.00 </w:t>
            </w:r>
          </w:p>
        </w:tc>
        <w:tc>
          <w:tcPr>
            <w:tcW w:w="1451"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880.00 </w:t>
            </w:r>
          </w:p>
        </w:tc>
        <w:tc>
          <w:tcPr>
            <w:tcW w:w="817" w:type="dxa"/>
            <w:vMerge/>
            <w:vAlign w:val="center"/>
          </w:tcPr>
          <w:p>
            <w:pPr>
              <w:jc w:val="center"/>
              <w:rPr>
                <w:rFonts w:ascii="宋体" w:eastAsia="宋体" w:hAnsi="宋体" w:cs="宋体" w:hint="eastAsia"/>
                <w:b/>
                <w:bCs/>
                <w:color w:val="FF0000"/>
                <w:sz w:val="21"/>
                <w:szCs w:val="21"/>
              </w:rPr>
            </w:pPr>
          </w:p>
        </w:tc>
        <w:tc>
          <w:tcPr>
            <w:tcW w:w="1843" w:type="dxa"/>
            <w:vMerge/>
            <w:vAlign w:val="center"/>
          </w:tcPr>
          <w:p>
            <w:pPr>
              <w:jc w:val="center"/>
              <w:rPr>
                <w:rFonts w:ascii="宋体" w:eastAsia="宋体" w:hAnsi="宋体" w:cs="宋体" w:hint="eastAsia"/>
                <w:b/>
                <w:bCs/>
                <w:color w:val="FF0000"/>
                <w:sz w:val="21"/>
                <w:szCs w:val="21"/>
              </w:rPr>
            </w:pPr>
          </w:p>
        </w:tc>
      </w:tr>
      <w:tr>
        <w:tblPrEx>
          <w:tblW w:w="5000" w:type="pct"/>
          <w:tblInd w:w="0" w:type="dxa"/>
          <w:tblLayout w:type="fixed"/>
          <w:tblCellMar>
            <w:top w:w="0" w:type="dxa"/>
            <w:left w:w="108" w:type="dxa"/>
            <w:bottom w:w="0" w:type="dxa"/>
            <w:right w:w="108" w:type="dxa"/>
          </w:tblCellMar>
        </w:tblPrEx>
        <w:trPr>
          <w:trHeight w:val="566"/>
        </w:trPr>
        <w:tc>
          <w:tcPr>
            <w:tcW w:w="708" w:type="dxa"/>
            <w:vAlign w:val="center"/>
          </w:tcPr>
          <w:p>
            <w:pPr>
              <w:jc w:val="center"/>
              <w:rPr>
                <w:rFonts w:ascii="宋体" w:eastAsia="宋体" w:hAnsi="宋体" w:cs="宋体" w:hint="eastAsia"/>
                <w:sz w:val="21"/>
                <w:szCs w:val="21"/>
              </w:rPr>
            </w:pPr>
            <w:r>
              <w:rPr>
                <w:rFonts w:ascii="宋体" w:eastAsia="宋体" w:hAnsi="宋体" w:cs="宋体" w:hint="eastAsia"/>
                <w:color w:val="000000"/>
                <w:sz w:val="21"/>
                <w:szCs w:val="21"/>
              </w:rPr>
              <w:t>3</w:t>
            </w:r>
          </w:p>
        </w:tc>
        <w:tc>
          <w:tcPr>
            <w:tcW w:w="182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8口光网络交换设备</w:t>
            </w:r>
          </w:p>
        </w:tc>
        <w:tc>
          <w:tcPr>
            <w:tcW w:w="727"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3</w:t>
            </w:r>
          </w:p>
        </w:tc>
        <w:tc>
          <w:tcPr>
            <w:tcW w:w="74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台</w:t>
            </w:r>
          </w:p>
        </w:tc>
        <w:tc>
          <w:tcPr>
            <w:tcW w:w="1208"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8600.00 </w:t>
            </w:r>
          </w:p>
        </w:tc>
        <w:tc>
          <w:tcPr>
            <w:tcW w:w="1451"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25800.00 </w:t>
            </w:r>
          </w:p>
        </w:tc>
        <w:tc>
          <w:tcPr>
            <w:tcW w:w="817" w:type="dxa"/>
            <w:vMerge/>
            <w:vAlign w:val="center"/>
          </w:tcPr>
          <w:p>
            <w:pPr>
              <w:jc w:val="center"/>
              <w:rPr>
                <w:rFonts w:ascii="宋体" w:eastAsia="宋体" w:hAnsi="宋体" w:cs="宋体" w:hint="eastAsia"/>
                <w:b/>
                <w:bCs/>
                <w:color w:val="FF0000"/>
                <w:sz w:val="21"/>
                <w:szCs w:val="21"/>
              </w:rPr>
            </w:pPr>
          </w:p>
        </w:tc>
        <w:tc>
          <w:tcPr>
            <w:tcW w:w="1843" w:type="dxa"/>
            <w:vMerge/>
            <w:vAlign w:val="center"/>
          </w:tcPr>
          <w:p>
            <w:pPr>
              <w:jc w:val="center"/>
              <w:rPr>
                <w:rFonts w:ascii="宋体" w:eastAsia="宋体" w:hAnsi="宋体" w:cs="宋体" w:hint="eastAsia"/>
                <w:b/>
                <w:bCs/>
                <w:color w:val="FF0000"/>
                <w:sz w:val="21"/>
                <w:szCs w:val="21"/>
              </w:rPr>
            </w:pPr>
          </w:p>
        </w:tc>
      </w:tr>
      <w:tr>
        <w:tblPrEx>
          <w:tblW w:w="5000" w:type="pct"/>
          <w:tblInd w:w="0" w:type="dxa"/>
          <w:tblLayout w:type="fixed"/>
          <w:tblCellMar>
            <w:top w:w="0" w:type="dxa"/>
            <w:left w:w="108" w:type="dxa"/>
            <w:bottom w:w="0" w:type="dxa"/>
            <w:right w:w="108" w:type="dxa"/>
          </w:tblCellMar>
        </w:tblPrEx>
        <w:trPr>
          <w:trHeight w:val="566"/>
        </w:trPr>
        <w:tc>
          <w:tcPr>
            <w:tcW w:w="708" w:type="dxa"/>
            <w:vAlign w:val="center"/>
          </w:tcPr>
          <w:p>
            <w:pPr>
              <w:jc w:val="center"/>
              <w:rPr>
                <w:rFonts w:ascii="宋体" w:eastAsia="宋体" w:hAnsi="宋体" w:cs="宋体" w:hint="eastAsia"/>
                <w:sz w:val="21"/>
                <w:szCs w:val="21"/>
              </w:rPr>
            </w:pPr>
            <w:r>
              <w:rPr>
                <w:rFonts w:ascii="宋体" w:eastAsia="宋体" w:hAnsi="宋体" w:cs="宋体" w:hint="eastAsia"/>
                <w:color w:val="000000"/>
                <w:sz w:val="21"/>
                <w:szCs w:val="21"/>
              </w:rPr>
              <w:t>4</w:t>
            </w:r>
          </w:p>
        </w:tc>
        <w:tc>
          <w:tcPr>
            <w:tcW w:w="182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24口光网络交换设备</w:t>
            </w:r>
          </w:p>
        </w:tc>
        <w:tc>
          <w:tcPr>
            <w:tcW w:w="727"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2</w:t>
            </w:r>
          </w:p>
        </w:tc>
        <w:tc>
          <w:tcPr>
            <w:tcW w:w="74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台</w:t>
            </w:r>
          </w:p>
        </w:tc>
        <w:tc>
          <w:tcPr>
            <w:tcW w:w="1208"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15400.00 </w:t>
            </w:r>
          </w:p>
        </w:tc>
        <w:tc>
          <w:tcPr>
            <w:tcW w:w="1451"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30800.00 </w:t>
            </w:r>
          </w:p>
        </w:tc>
        <w:tc>
          <w:tcPr>
            <w:tcW w:w="817" w:type="dxa"/>
            <w:vMerge/>
            <w:vAlign w:val="center"/>
          </w:tcPr>
          <w:p>
            <w:pPr>
              <w:jc w:val="center"/>
              <w:rPr>
                <w:rFonts w:ascii="宋体" w:eastAsia="宋体" w:hAnsi="宋体" w:cs="宋体" w:hint="eastAsia"/>
                <w:b/>
                <w:bCs/>
                <w:color w:val="FF0000"/>
                <w:sz w:val="21"/>
                <w:szCs w:val="21"/>
              </w:rPr>
            </w:pPr>
          </w:p>
        </w:tc>
        <w:tc>
          <w:tcPr>
            <w:tcW w:w="1843" w:type="dxa"/>
            <w:vMerge/>
            <w:vAlign w:val="center"/>
          </w:tcPr>
          <w:p>
            <w:pPr>
              <w:jc w:val="center"/>
              <w:rPr>
                <w:rFonts w:ascii="宋体" w:eastAsia="宋体" w:hAnsi="宋体" w:cs="宋体" w:hint="eastAsia"/>
                <w:b/>
                <w:bCs/>
                <w:color w:val="FF0000"/>
                <w:sz w:val="21"/>
                <w:szCs w:val="21"/>
              </w:rPr>
            </w:pPr>
          </w:p>
        </w:tc>
      </w:tr>
      <w:tr>
        <w:tblPrEx>
          <w:tblW w:w="5000" w:type="pct"/>
          <w:tblInd w:w="0" w:type="dxa"/>
          <w:tblLayout w:type="fixed"/>
          <w:tblCellMar>
            <w:top w:w="0" w:type="dxa"/>
            <w:left w:w="108" w:type="dxa"/>
            <w:bottom w:w="0" w:type="dxa"/>
            <w:right w:w="108" w:type="dxa"/>
          </w:tblCellMar>
        </w:tblPrEx>
        <w:trPr>
          <w:trHeight w:val="566"/>
        </w:trPr>
        <w:tc>
          <w:tcPr>
            <w:tcW w:w="708" w:type="dxa"/>
            <w:vAlign w:val="center"/>
          </w:tcPr>
          <w:p>
            <w:pPr>
              <w:jc w:val="center"/>
              <w:rPr>
                <w:rFonts w:ascii="宋体" w:eastAsia="宋体" w:hAnsi="宋体" w:cs="宋体" w:hint="eastAsia"/>
                <w:sz w:val="21"/>
                <w:szCs w:val="21"/>
              </w:rPr>
            </w:pPr>
            <w:r>
              <w:rPr>
                <w:rFonts w:ascii="宋体" w:eastAsia="宋体" w:hAnsi="宋体" w:cs="宋体" w:hint="eastAsia"/>
                <w:color w:val="000000"/>
                <w:sz w:val="21"/>
                <w:szCs w:val="21"/>
              </w:rPr>
              <w:t>5</w:t>
            </w:r>
          </w:p>
        </w:tc>
        <w:tc>
          <w:tcPr>
            <w:tcW w:w="182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无线AP</w:t>
            </w:r>
          </w:p>
        </w:tc>
        <w:tc>
          <w:tcPr>
            <w:tcW w:w="727"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8</w:t>
            </w:r>
          </w:p>
        </w:tc>
        <w:tc>
          <w:tcPr>
            <w:tcW w:w="74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个</w:t>
            </w:r>
          </w:p>
        </w:tc>
        <w:tc>
          <w:tcPr>
            <w:tcW w:w="1208"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1000.00 </w:t>
            </w:r>
          </w:p>
        </w:tc>
        <w:tc>
          <w:tcPr>
            <w:tcW w:w="1451"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8000.00 </w:t>
            </w:r>
          </w:p>
        </w:tc>
        <w:tc>
          <w:tcPr>
            <w:tcW w:w="817" w:type="dxa"/>
            <w:vMerge/>
            <w:vAlign w:val="center"/>
          </w:tcPr>
          <w:p>
            <w:pPr>
              <w:jc w:val="center"/>
              <w:rPr>
                <w:rFonts w:ascii="宋体" w:eastAsia="宋体" w:hAnsi="宋体" w:cs="宋体" w:hint="eastAsia"/>
                <w:b/>
                <w:bCs/>
                <w:color w:val="FF0000"/>
                <w:sz w:val="21"/>
                <w:szCs w:val="21"/>
              </w:rPr>
            </w:pPr>
          </w:p>
        </w:tc>
        <w:tc>
          <w:tcPr>
            <w:tcW w:w="1843" w:type="dxa"/>
            <w:vMerge/>
            <w:vAlign w:val="center"/>
          </w:tcPr>
          <w:p>
            <w:pPr>
              <w:jc w:val="center"/>
              <w:rPr>
                <w:rFonts w:ascii="宋体" w:eastAsia="宋体" w:hAnsi="宋体" w:cs="宋体" w:hint="eastAsia"/>
                <w:b/>
                <w:bCs/>
                <w:color w:val="FF0000"/>
                <w:sz w:val="21"/>
                <w:szCs w:val="21"/>
              </w:rPr>
            </w:pPr>
          </w:p>
        </w:tc>
      </w:tr>
      <w:tr>
        <w:tblPrEx>
          <w:tblW w:w="5000" w:type="pct"/>
          <w:tblInd w:w="0" w:type="dxa"/>
          <w:tblLayout w:type="fixed"/>
          <w:tblCellMar>
            <w:top w:w="0" w:type="dxa"/>
            <w:left w:w="108" w:type="dxa"/>
            <w:bottom w:w="0" w:type="dxa"/>
            <w:right w:w="108" w:type="dxa"/>
          </w:tblCellMar>
        </w:tblPrEx>
        <w:trPr>
          <w:trHeight w:val="566"/>
        </w:trPr>
        <w:tc>
          <w:tcPr>
            <w:tcW w:w="708" w:type="dxa"/>
            <w:vAlign w:val="center"/>
          </w:tcPr>
          <w:p>
            <w:pPr>
              <w:jc w:val="center"/>
              <w:rPr>
                <w:rFonts w:ascii="宋体" w:eastAsia="宋体" w:hAnsi="宋体" w:cs="宋体" w:hint="eastAsia"/>
                <w:sz w:val="21"/>
                <w:szCs w:val="21"/>
              </w:rPr>
            </w:pPr>
            <w:r>
              <w:rPr>
                <w:rFonts w:ascii="宋体" w:eastAsia="宋体" w:hAnsi="宋体" w:cs="宋体" w:hint="eastAsia"/>
                <w:color w:val="000000"/>
                <w:sz w:val="21"/>
                <w:szCs w:val="21"/>
              </w:rPr>
              <w:t>6</w:t>
            </w:r>
          </w:p>
        </w:tc>
        <w:tc>
          <w:tcPr>
            <w:tcW w:w="182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AC控制器</w:t>
            </w:r>
          </w:p>
        </w:tc>
        <w:tc>
          <w:tcPr>
            <w:tcW w:w="727"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1</w:t>
            </w:r>
          </w:p>
        </w:tc>
        <w:tc>
          <w:tcPr>
            <w:tcW w:w="74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台</w:t>
            </w:r>
          </w:p>
        </w:tc>
        <w:tc>
          <w:tcPr>
            <w:tcW w:w="1208"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1780.00 </w:t>
            </w:r>
          </w:p>
        </w:tc>
        <w:tc>
          <w:tcPr>
            <w:tcW w:w="1451"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1780.00 </w:t>
            </w:r>
          </w:p>
        </w:tc>
        <w:tc>
          <w:tcPr>
            <w:tcW w:w="817" w:type="dxa"/>
            <w:vMerge/>
            <w:vAlign w:val="center"/>
          </w:tcPr>
          <w:p>
            <w:pPr>
              <w:jc w:val="center"/>
              <w:rPr>
                <w:rFonts w:ascii="宋体" w:eastAsia="宋体" w:hAnsi="宋体" w:cs="宋体" w:hint="eastAsia"/>
                <w:b/>
                <w:bCs/>
                <w:color w:val="FF0000"/>
                <w:sz w:val="21"/>
                <w:szCs w:val="21"/>
              </w:rPr>
            </w:pPr>
          </w:p>
        </w:tc>
        <w:tc>
          <w:tcPr>
            <w:tcW w:w="1843" w:type="dxa"/>
            <w:vMerge/>
            <w:vAlign w:val="center"/>
          </w:tcPr>
          <w:p>
            <w:pPr>
              <w:jc w:val="center"/>
              <w:rPr>
                <w:rFonts w:ascii="宋体" w:eastAsia="宋体" w:hAnsi="宋体" w:cs="宋体" w:hint="eastAsia"/>
                <w:b/>
                <w:bCs/>
                <w:color w:val="FF0000"/>
                <w:sz w:val="21"/>
                <w:szCs w:val="21"/>
              </w:rPr>
            </w:pPr>
          </w:p>
        </w:tc>
      </w:tr>
      <w:tr>
        <w:tblPrEx>
          <w:tblW w:w="5000" w:type="pct"/>
          <w:tblInd w:w="0" w:type="dxa"/>
          <w:tblLayout w:type="fixed"/>
          <w:tblCellMar>
            <w:top w:w="0" w:type="dxa"/>
            <w:left w:w="108" w:type="dxa"/>
            <w:bottom w:w="0" w:type="dxa"/>
            <w:right w:w="108" w:type="dxa"/>
          </w:tblCellMar>
        </w:tblPrEx>
        <w:trPr>
          <w:trHeight w:val="566"/>
        </w:trPr>
        <w:tc>
          <w:tcPr>
            <w:tcW w:w="708" w:type="dxa"/>
            <w:vAlign w:val="center"/>
          </w:tcPr>
          <w:p>
            <w:pPr>
              <w:jc w:val="center"/>
              <w:rPr>
                <w:rFonts w:ascii="宋体" w:eastAsia="宋体" w:hAnsi="宋体" w:cs="宋体" w:hint="eastAsia"/>
                <w:sz w:val="21"/>
                <w:szCs w:val="21"/>
              </w:rPr>
            </w:pPr>
            <w:r>
              <w:rPr>
                <w:rFonts w:ascii="宋体" w:eastAsia="宋体" w:hAnsi="宋体" w:cs="宋体" w:hint="eastAsia"/>
                <w:color w:val="000000"/>
                <w:sz w:val="21"/>
                <w:szCs w:val="21"/>
              </w:rPr>
              <w:t>7</w:t>
            </w:r>
          </w:p>
        </w:tc>
        <w:tc>
          <w:tcPr>
            <w:tcW w:w="182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POE交换机</w:t>
            </w:r>
          </w:p>
        </w:tc>
        <w:tc>
          <w:tcPr>
            <w:tcW w:w="727"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1</w:t>
            </w:r>
          </w:p>
        </w:tc>
        <w:tc>
          <w:tcPr>
            <w:tcW w:w="74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台</w:t>
            </w:r>
          </w:p>
        </w:tc>
        <w:tc>
          <w:tcPr>
            <w:tcW w:w="1208"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830.00 </w:t>
            </w:r>
          </w:p>
        </w:tc>
        <w:tc>
          <w:tcPr>
            <w:tcW w:w="1451"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830.00 </w:t>
            </w:r>
          </w:p>
        </w:tc>
        <w:tc>
          <w:tcPr>
            <w:tcW w:w="817" w:type="dxa"/>
            <w:vMerge/>
            <w:vAlign w:val="center"/>
          </w:tcPr>
          <w:p>
            <w:pPr>
              <w:jc w:val="center"/>
              <w:rPr>
                <w:rFonts w:ascii="宋体" w:eastAsia="宋体" w:hAnsi="宋体" w:cs="宋体" w:hint="eastAsia"/>
                <w:b/>
                <w:bCs/>
                <w:color w:val="FF0000"/>
                <w:sz w:val="21"/>
                <w:szCs w:val="21"/>
              </w:rPr>
            </w:pPr>
          </w:p>
        </w:tc>
        <w:tc>
          <w:tcPr>
            <w:tcW w:w="1843" w:type="dxa"/>
            <w:vMerge/>
            <w:vAlign w:val="center"/>
          </w:tcPr>
          <w:p>
            <w:pPr>
              <w:jc w:val="center"/>
              <w:rPr>
                <w:rFonts w:ascii="宋体" w:eastAsia="宋体" w:hAnsi="宋体" w:cs="宋体" w:hint="eastAsia"/>
                <w:b/>
                <w:bCs/>
                <w:color w:val="FF0000"/>
                <w:sz w:val="21"/>
                <w:szCs w:val="21"/>
              </w:rPr>
            </w:pPr>
          </w:p>
        </w:tc>
      </w:tr>
      <w:tr>
        <w:tblPrEx>
          <w:tblW w:w="5000" w:type="pct"/>
          <w:tblInd w:w="0" w:type="dxa"/>
          <w:tblLayout w:type="fixed"/>
          <w:tblCellMar>
            <w:top w:w="0" w:type="dxa"/>
            <w:left w:w="108" w:type="dxa"/>
            <w:bottom w:w="0" w:type="dxa"/>
            <w:right w:w="108" w:type="dxa"/>
          </w:tblCellMar>
        </w:tblPrEx>
        <w:trPr>
          <w:trHeight w:val="566"/>
        </w:trPr>
        <w:tc>
          <w:tcPr>
            <w:tcW w:w="708" w:type="dxa"/>
            <w:vAlign w:val="center"/>
          </w:tcPr>
          <w:p>
            <w:pPr>
              <w:jc w:val="center"/>
              <w:rPr>
                <w:rFonts w:ascii="宋体" w:eastAsia="宋体" w:hAnsi="宋体" w:cs="宋体" w:hint="eastAsia"/>
                <w:sz w:val="21"/>
                <w:szCs w:val="21"/>
              </w:rPr>
            </w:pPr>
            <w:r>
              <w:rPr>
                <w:rFonts w:ascii="宋体" w:eastAsia="宋体" w:hAnsi="宋体" w:cs="宋体" w:hint="eastAsia"/>
                <w:color w:val="000000"/>
                <w:sz w:val="21"/>
                <w:szCs w:val="21"/>
              </w:rPr>
              <w:t>8</w:t>
            </w:r>
          </w:p>
        </w:tc>
        <w:tc>
          <w:tcPr>
            <w:tcW w:w="182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网线</w:t>
            </w:r>
          </w:p>
        </w:tc>
        <w:tc>
          <w:tcPr>
            <w:tcW w:w="727"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4</w:t>
            </w:r>
          </w:p>
        </w:tc>
        <w:tc>
          <w:tcPr>
            <w:tcW w:w="74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箱</w:t>
            </w:r>
          </w:p>
        </w:tc>
        <w:tc>
          <w:tcPr>
            <w:tcW w:w="1208"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850.00 </w:t>
            </w:r>
          </w:p>
        </w:tc>
        <w:tc>
          <w:tcPr>
            <w:tcW w:w="1451"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3400.00 </w:t>
            </w:r>
          </w:p>
        </w:tc>
        <w:tc>
          <w:tcPr>
            <w:tcW w:w="817" w:type="dxa"/>
            <w:vMerge/>
            <w:vAlign w:val="center"/>
          </w:tcPr>
          <w:p>
            <w:pPr>
              <w:jc w:val="center"/>
              <w:rPr>
                <w:rFonts w:ascii="宋体" w:eastAsia="宋体" w:hAnsi="宋体" w:cs="宋体" w:hint="eastAsia"/>
                <w:b/>
                <w:bCs/>
                <w:color w:val="FF0000"/>
                <w:sz w:val="21"/>
                <w:szCs w:val="21"/>
              </w:rPr>
            </w:pPr>
          </w:p>
        </w:tc>
        <w:tc>
          <w:tcPr>
            <w:tcW w:w="1843" w:type="dxa"/>
            <w:vMerge/>
            <w:vAlign w:val="center"/>
          </w:tcPr>
          <w:p>
            <w:pPr>
              <w:jc w:val="center"/>
              <w:rPr>
                <w:rFonts w:ascii="宋体" w:eastAsia="宋体" w:hAnsi="宋体" w:cs="宋体" w:hint="eastAsia"/>
                <w:b/>
                <w:bCs/>
                <w:color w:val="FF0000"/>
                <w:sz w:val="21"/>
                <w:szCs w:val="21"/>
              </w:rPr>
            </w:pPr>
          </w:p>
        </w:tc>
      </w:tr>
      <w:tr>
        <w:tblPrEx>
          <w:tblW w:w="5000" w:type="pct"/>
          <w:tblInd w:w="0" w:type="dxa"/>
          <w:tblLayout w:type="fixed"/>
          <w:tblCellMar>
            <w:top w:w="0" w:type="dxa"/>
            <w:left w:w="108" w:type="dxa"/>
            <w:bottom w:w="0" w:type="dxa"/>
            <w:right w:w="108" w:type="dxa"/>
          </w:tblCellMar>
        </w:tblPrEx>
        <w:trPr>
          <w:trHeight w:val="566"/>
        </w:trPr>
        <w:tc>
          <w:tcPr>
            <w:tcW w:w="708" w:type="dxa"/>
            <w:vAlign w:val="center"/>
          </w:tcPr>
          <w:p>
            <w:pPr>
              <w:jc w:val="center"/>
              <w:rPr>
                <w:rFonts w:ascii="宋体" w:eastAsia="宋体" w:hAnsi="宋体" w:cs="宋体" w:hint="eastAsia"/>
                <w:sz w:val="21"/>
                <w:szCs w:val="21"/>
              </w:rPr>
            </w:pPr>
            <w:r>
              <w:rPr>
                <w:rFonts w:ascii="宋体" w:eastAsia="宋体" w:hAnsi="宋体" w:cs="宋体" w:hint="eastAsia"/>
                <w:color w:val="000000"/>
                <w:sz w:val="21"/>
                <w:szCs w:val="21"/>
              </w:rPr>
              <w:t>9</w:t>
            </w:r>
          </w:p>
        </w:tc>
        <w:tc>
          <w:tcPr>
            <w:tcW w:w="182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6U壁挂机柜</w:t>
            </w:r>
          </w:p>
        </w:tc>
        <w:tc>
          <w:tcPr>
            <w:tcW w:w="727"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5</w:t>
            </w:r>
          </w:p>
        </w:tc>
        <w:tc>
          <w:tcPr>
            <w:tcW w:w="744" w:type="dxa"/>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个</w:t>
            </w:r>
          </w:p>
        </w:tc>
        <w:tc>
          <w:tcPr>
            <w:tcW w:w="1208"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1650.00 </w:t>
            </w:r>
          </w:p>
        </w:tc>
        <w:tc>
          <w:tcPr>
            <w:tcW w:w="1451"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 xml:space="preserve">8250.00 </w:t>
            </w:r>
          </w:p>
        </w:tc>
        <w:tc>
          <w:tcPr>
            <w:tcW w:w="817" w:type="dxa"/>
            <w:vMerge/>
            <w:vAlign w:val="center"/>
          </w:tcPr>
          <w:p>
            <w:pPr>
              <w:jc w:val="center"/>
              <w:rPr>
                <w:rFonts w:ascii="宋体" w:eastAsia="宋体" w:hAnsi="宋体" w:cs="宋体" w:hint="eastAsia"/>
                <w:b/>
                <w:bCs/>
                <w:color w:val="FF0000"/>
                <w:sz w:val="21"/>
                <w:szCs w:val="21"/>
              </w:rPr>
            </w:pPr>
          </w:p>
        </w:tc>
        <w:tc>
          <w:tcPr>
            <w:tcW w:w="1843" w:type="dxa"/>
            <w:vMerge/>
            <w:vAlign w:val="center"/>
          </w:tcPr>
          <w:p>
            <w:pPr>
              <w:jc w:val="center"/>
              <w:rPr>
                <w:rFonts w:ascii="宋体" w:eastAsia="宋体" w:hAnsi="宋体" w:cs="宋体" w:hint="eastAsia"/>
                <w:b/>
                <w:bCs/>
                <w:color w:val="FF0000"/>
                <w:sz w:val="21"/>
                <w:szCs w:val="21"/>
              </w:rPr>
            </w:pPr>
          </w:p>
        </w:tc>
      </w:tr>
      <w:tr>
        <w:tblPrEx>
          <w:tblW w:w="5000" w:type="pct"/>
          <w:tblInd w:w="0" w:type="dxa"/>
          <w:tblLayout w:type="fixed"/>
          <w:tblCellMar>
            <w:top w:w="0" w:type="dxa"/>
            <w:left w:w="108" w:type="dxa"/>
            <w:bottom w:w="0" w:type="dxa"/>
            <w:right w:w="108" w:type="dxa"/>
          </w:tblCellMar>
        </w:tblPrEx>
        <w:trPr>
          <w:trHeight w:val="323"/>
        </w:trPr>
        <w:tc>
          <w:tcPr>
            <w:tcW w:w="708" w:type="dxa"/>
          </w:tcPr>
          <w:p>
            <w:pPr>
              <w:jc w:val="center"/>
              <w:rPr>
                <w:rFonts w:ascii="宋体" w:eastAsia="宋体" w:hAnsi="宋体" w:cs="宋体" w:hint="eastAsia"/>
                <w:bCs/>
                <w:sz w:val="21"/>
                <w:szCs w:val="21"/>
              </w:rPr>
            </w:pPr>
            <w:r>
              <w:rPr>
                <w:rFonts w:ascii="宋体" w:eastAsia="宋体" w:hAnsi="宋体" w:cs="宋体" w:hint="eastAsia"/>
                <w:bCs/>
                <w:sz w:val="21"/>
                <w:szCs w:val="21"/>
              </w:rPr>
              <w:t>合计</w:t>
            </w:r>
          </w:p>
        </w:tc>
        <w:tc>
          <w:tcPr>
            <w:tcW w:w="1824" w:type="dxa"/>
          </w:tcPr>
          <w:p>
            <w:pPr>
              <w:jc w:val="center"/>
              <w:rPr>
                <w:rFonts w:ascii="宋体" w:eastAsia="宋体" w:hAnsi="宋体" w:cs="宋体" w:hint="eastAsia"/>
                <w:bCs/>
                <w:sz w:val="21"/>
                <w:szCs w:val="21"/>
              </w:rPr>
            </w:pPr>
            <w:r>
              <w:rPr>
                <w:rFonts w:ascii="宋体" w:eastAsia="宋体" w:hAnsi="宋体" w:cs="宋体" w:hint="eastAsia"/>
                <w:bCs/>
                <w:sz w:val="21"/>
                <w:szCs w:val="21"/>
              </w:rPr>
              <w:t>\</w:t>
            </w:r>
          </w:p>
        </w:tc>
        <w:tc>
          <w:tcPr>
            <w:tcW w:w="727" w:type="dxa"/>
          </w:tcPr>
          <w:p>
            <w:pPr>
              <w:jc w:val="center"/>
              <w:rPr>
                <w:rFonts w:ascii="宋体" w:eastAsia="宋体" w:hAnsi="宋体" w:cs="宋体" w:hint="eastAsia"/>
                <w:bCs/>
                <w:sz w:val="21"/>
                <w:szCs w:val="21"/>
              </w:rPr>
            </w:pPr>
            <w:r>
              <w:rPr>
                <w:rFonts w:ascii="宋体" w:eastAsia="宋体" w:hAnsi="宋体" w:cs="宋体" w:hint="eastAsia"/>
                <w:bCs/>
                <w:sz w:val="21"/>
                <w:szCs w:val="21"/>
              </w:rPr>
              <w:t>\</w:t>
            </w:r>
          </w:p>
        </w:tc>
        <w:tc>
          <w:tcPr>
            <w:tcW w:w="744" w:type="dxa"/>
          </w:tcPr>
          <w:p>
            <w:pPr>
              <w:jc w:val="center"/>
              <w:rPr>
                <w:rFonts w:ascii="宋体" w:eastAsia="宋体" w:hAnsi="宋体" w:cs="宋体" w:hint="eastAsia"/>
                <w:bCs/>
                <w:sz w:val="21"/>
                <w:szCs w:val="21"/>
              </w:rPr>
            </w:pPr>
            <w:r>
              <w:rPr>
                <w:rFonts w:ascii="宋体" w:eastAsia="宋体" w:hAnsi="宋体" w:cs="宋体" w:hint="eastAsia"/>
                <w:bCs/>
                <w:sz w:val="21"/>
                <w:szCs w:val="21"/>
              </w:rPr>
              <w:t>\</w:t>
            </w:r>
          </w:p>
        </w:tc>
        <w:tc>
          <w:tcPr>
            <w:tcW w:w="1208" w:type="dxa"/>
          </w:tcPr>
          <w:p>
            <w:pPr>
              <w:jc w:val="center"/>
              <w:rPr>
                <w:rFonts w:ascii="宋体" w:eastAsia="宋体" w:hAnsi="宋体" w:cs="宋体" w:hint="eastAsia"/>
                <w:bCs/>
                <w:sz w:val="21"/>
                <w:szCs w:val="21"/>
              </w:rPr>
            </w:pPr>
            <w:r>
              <w:rPr>
                <w:rFonts w:ascii="宋体" w:eastAsia="宋体" w:hAnsi="宋体" w:cs="宋体" w:hint="eastAsia"/>
                <w:bCs/>
                <w:sz w:val="21"/>
                <w:szCs w:val="21"/>
              </w:rPr>
              <w:t>\</w:t>
            </w:r>
          </w:p>
        </w:tc>
        <w:tc>
          <w:tcPr>
            <w:tcW w:w="1451" w:type="dxa"/>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632912.00</w:t>
            </w:r>
          </w:p>
        </w:tc>
        <w:tc>
          <w:tcPr>
            <w:tcW w:w="817" w:type="dxa"/>
          </w:tcPr>
          <w:p>
            <w:pPr>
              <w:jc w:val="center"/>
              <w:rPr>
                <w:rFonts w:ascii="宋体" w:eastAsia="宋体" w:hAnsi="宋体" w:cs="宋体" w:hint="eastAsia"/>
                <w:bCs/>
                <w:sz w:val="21"/>
                <w:szCs w:val="21"/>
              </w:rPr>
            </w:pPr>
          </w:p>
        </w:tc>
        <w:tc>
          <w:tcPr>
            <w:tcW w:w="1843" w:type="dxa"/>
            <w:vMerge/>
          </w:tcPr>
          <w:p>
            <w:pPr>
              <w:jc w:val="center"/>
              <w:rPr>
                <w:rFonts w:ascii="宋体" w:eastAsia="宋体" w:hAnsi="宋体" w:cs="宋体" w:hint="eastAsia"/>
                <w:bCs/>
                <w:sz w:val="21"/>
                <w:szCs w:val="21"/>
              </w:rPr>
            </w:pPr>
          </w:p>
        </w:tc>
      </w:tr>
    </w:tbl>
    <w:p>
      <w:pPr>
        <w:spacing w:after="120" w:line="360" w:lineRule="auto"/>
        <w:ind w:firstLine="480" w:firstLineChars="200"/>
        <w:rPr>
          <w:rFonts w:ascii="宋体" w:hAnsi="宋体"/>
          <w:b/>
          <w:color w:val="000000"/>
          <w:szCs w:val="21"/>
        </w:rPr>
      </w:pPr>
    </w:p>
    <w:p>
      <w:pPr>
        <w:spacing w:after="120" w:line="360" w:lineRule="auto"/>
        <w:ind w:firstLine="420" w:firstLineChars="200"/>
        <w:rPr>
          <w:rFonts w:ascii="宋体" w:hAnsi="宋体"/>
          <w:b/>
          <w:color w:val="000000"/>
          <w:sz w:val="21"/>
          <w:szCs w:val="21"/>
          <w:lang w:eastAsia="zh-CN"/>
        </w:rPr>
      </w:pPr>
      <w:r>
        <w:rPr>
          <w:rFonts w:ascii="宋体" w:hAnsi="宋体" w:hint="eastAsia"/>
          <w:b/>
          <w:color w:val="000000"/>
          <w:sz w:val="21"/>
          <w:szCs w:val="21"/>
          <w:lang w:eastAsia="zh-CN"/>
        </w:rPr>
        <w:t>1、本项目总预算为632912.00元。投标总价不得超过项目总预算限额，分项报价不得超过相应单价限额。</w:t>
      </w:r>
    </w:p>
    <w:p>
      <w:pPr>
        <w:spacing w:after="120" w:line="360" w:lineRule="auto"/>
        <w:ind w:firstLine="420" w:firstLineChars="200"/>
        <w:rPr>
          <w:rFonts w:ascii="宋体" w:hAnsi="宋体"/>
          <w:b/>
          <w:color w:val="000000"/>
          <w:sz w:val="21"/>
          <w:szCs w:val="21"/>
          <w:lang w:eastAsia="zh-CN"/>
        </w:rPr>
      </w:pPr>
      <w:r>
        <w:rPr>
          <w:rFonts w:ascii="宋体" w:hAnsi="宋体" w:hint="eastAsia"/>
          <w:b/>
          <w:color w:val="000000"/>
          <w:sz w:val="21"/>
          <w:szCs w:val="21"/>
          <w:lang w:eastAsia="zh-CN"/>
        </w:rPr>
        <w:t>2、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pPr>
        <w:rPr>
          <w:b/>
          <w:sz w:val="21"/>
          <w:szCs w:val="21"/>
          <w:lang w:eastAsia="zh-CN"/>
        </w:rPr>
      </w:pPr>
      <w:r>
        <w:rPr>
          <w:rFonts w:ascii="宋体" w:hAnsi="宋体" w:hint="eastAsia"/>
          <w:color w:val="000000"/>
          <w:sz w:val="21"/>
          <w:szCs w:val="21"/>
          <w:lang w:eastAsia="zh-CN"/>
        </w:rPr>
        <w:t xml:space="preserve">    </w:t>
      </w:r>
      <w:r>
        <w:rPr>
          <w:rFonts w:ascii="宋体" w:hAnsi="宋体" w:hint="eastAsia"/>
          <w:b/>
          <w:color w:val="000000"/>
          <w:sz w:val="21"/>
          <w:szCs w:val="21"/>
          <w:lang w:eastAsia="zh-CN"/>
        </w:rPr>
        <w:t>3、核心产品：</w:t>
      </w:r>
      <w:r>
        <w:rPr>
          <w:rFonts w:ascii="宋体" w:hAnsi="宋体" w:hint="eastAsia"/>
          <w:b/>
          <w:color w:val="000000"/>
          <w:sz w:val="21"/>
          <w:szCs w:val="21"/>
          <w:u w:val="single"/>
          <w:lang w:eastAsia="zh-CN"/>
        </w:rPr>
        <w:t>监控视频存储</w:t>
      </w:r>
    </w:p>
    <w:p>
      <w:pPr>
        <w:widowControl w:val="0"/>
        <w:spacing w:after="120" w:line="360" w:lineRule="auto"/>
        <w:ind w:firstLine="420" w:firstLineChars="200"/>
        <w:jc w:val="both"/>
        <w:rPr>
          <w:rFonts w:ascii="宋体" w:eastAsia="宋体" w:hAnsi="宋体" w:hint="eastAsia"/>
          <w:b/>
          <w:color w:val="000000"/>
          <w:sz w:val="21"/>
          <w:szCs w:val="21"/>
          <w:u w:val="single"/>
          <w:lang w:eastAsia="zh-CN"/>
        </w:rPr>
      </w:pPr>
    </w:p>
    <w:p>
      <w:pPr>
        <w:keepNext/>
        <w:keepLines/>
        <w:widowControl w:val="0"/>
        <w:spacing w:before="260" w:after="260"/>
        <w:jc w:val="center"/>
        <w:outlineLvl w:val="2"/>
        <w:rPr>
          <w:rFonts w:ascii="宋体" w:eastAsia="宋体" w:hAnsi="宋体" w:hint="eastAsia"/>
          <w:b/>
          <w:bCs/>
          <w:kern w:val="2"/>
          <w:sz w:val="28"/>
          <w:szCs w:val="32"/>
          <w:lang w:eastAsia="zh-CN"/>
        </w:rPr>
      </w:pPr>
      <w:r>
        <w:rPr>
          <w:rFonts w:ascii="宋体" w:eastAsia="宋体" w:hAnsi="宋体" w:cstheme="minorBidi" w:hint="eastAsia"/>
          <w:b/>
          <w:bCs/>
          <w:kern w:val="2"/>
          <w:sz w:val="28"/>
          <w:szCs w:val="32"/>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6"/>
        <w:gridCol w:w="817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trPr>
        <w:tc>
          <w:tcPr>
            <w:tcW w:w="711" w:type="dxa"/>
            <w:vAlign w:val="center"/>
          </w:tcPr>
          <w:p>
            <w:pPr>
              <w:widowControl w:val="0"/>
              <w:jc w:val="center"/>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序号</w:t>
            </w:r>
          </w:p>
        </w:tc>
        <w:tc>
          <w:tcPr>
            <w:tcW w:w="8614" w:type="dxa"/>
            <w:vAlign w:val="center"/>
          </w:tcPr>
          <w:p>
            <w:pPr>
              <w:widowControl w:val="0"/>
              <w:jc w:val="center"/>
              <w:rPr>
                <w:rFonts w:ascii="宋体" w:eastAsia="宋体" w:hAnsi="宋体" w:hint="eastAsia"/>
                <w:b/>
                <w:kern w:val="2"/>
                <w:sz w:val="21"/>
                <w:szCs w:val="22"/>
                <w:lang w:eastAsia="zh-CN"/>
              </w:rPr>
            </w:pPr>
            <w:r>
              <w:rPr>
                <w:rFonts w:ascii="宋体" w:eastAsia="宋体" w:hAnsi="宋体" w:cstheme="minorBidi" w:hint="eastAsia"/>
                <w:b/>
                <w:kern w:val="2"/>
                <w:sz w:val="21"/>
                <w:szCs w:val="22"/>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11" w:type="dxa"/>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1</w:t>
            </w:r>
          </w:p>
        </w:tc>
        <w:tc>
          <w:tcPr>
            <w:tcW w:w="8614" w:type="dxa"/>
          </w:tcPr>
          <w:p>
            <w:pPr>
              <w:widowControl w:val="0"/>
              <w:jc w:val="center"/>
              <w:rPr>
                <w:rFonts w:ascii="宋体" w:eastAsia="宋体" w:hAnsi="宋体" w:hint="eastAsia"/>
                <w:kern w:val="2"/>
                <w:sz w:val="21"/>
                <w:szCs w:val="22"/>
                <w:lang w:eastAsia="zh-CN"/>
              </w:rPr>
            </w:pPr>
            <w:r>
              <w:rPr>
                <w:rFonts w:ascii="宋体" w:eastAsia="宋体" w:hAnsi="宋体" w:cstheme="minorBidi" w:hint="eastAsia"/>
                <w:kern w:val="2"/>
                <w:sz w:val="21"/>
                <w:szCs w:val="22"/>
                <w:lang w:eastAsia="zh-CN"/>
              </w:rPr>
              <w:t>本项目招标文件中所有带★号条款内容</w:t>
            </w:r>
          </w:p>
        </w:tc>
      </w:tr>
      <w:bookmarkEnd w:id="13"/>
    </w:tbl>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jc w:val="both"/>
        <w:rPr>
          <w:rFonts w:ascii="Calibri" w:eastAsia="宋体" w:hAnsi="Calibri"/>
          <w:b/>
          <w:color w:val="FF0000"/>
          <w:kern w:val="2"/>
          <w:sz w:val="21"/>
          <w:szCs w:val="22"/>
          <w:lang w:eastAsia="zh-CN"/>
        </w:rPr>
      </w:pPr>
    </w:p>
    <w:p>
      <w:pPr>
        <w:keepNext/>
        <w:keepLines/>
        <w:widowControl w:val="0"/>
        <w:spacing w:before="260" w:after="260"/>
        <w:jc w:val="center"/>
        <w:outlineLvl w:val="2"/>
        <w:rPr>
          <w:rFonts w:ascii="宋体" w:eastAsia="宋体" w:hAnsi="宋体" w:hint="eastAsia"/>
          <w:b/>
          <w:bCs/>
          <w:kern w:val="2"/>
          <w:sz w:val="28"/>
          <w:szCs w:val="32"/>
          <w:lang w:eastAsia="zh-CN"/>
        </w:rPr>
      </w:pPr>
      <w:r>
        <w:rPr>
          <w:rFonts w:ascii="宋体" w:eastAsia="宋体" w:hAnsi="宋体" w:cstheme="minorBidi" w:hint="eastAsia"/>
          <w:b/>
          <w:bCs/>
          <w:kern w:val="2"/>
          <w:sz w:val="28"/>
          <w:szCs w:val="32"/>
          <w:lang w:eastAsia="zh-CN"/>
        </w:rPr>
        <w:t>四、商务条款要求</w:t>
      </w:r>
    </w:p>
    <w:p>
      <w:pPr>
        <w:widowControl w:val="0"/>
        <w:ind w:firstLine="420" w:firstLineChars="200"/>
        <w:jc w:val="both"/>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19"/>
        <w:gridCol w:w="1563"/>
        <w:gridCol w:w="6074"/>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1260"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1620"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目录</w:t>
            </w:r>
          </w:p>
        </w:tc>
        <w:tc>
          <w:tcPr>
            <w:tcW w:w="6323"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采购商务需求</w:t>
            </w:r>
          </w:p>
        </w:tc>
      </w:tr>
      <w:tr>
        <w:tblPrEx>
          <w:tblW w:w="5000" w:type="pct"/>
          <w:tblInd w:w="108" w:type="dxa"/>
          <w:tblLayout w:type="fixed"/>
          <w:tblCellMar>
            <w:top w:w="0" w:type="dxa"/>
            <w:left w:w="108" w:type="dxa"/>
            <w:bottom w:w="0" w:type="dxa"/>
            <w:right w:w="108" w:type="dxa"/>
          </w:tblCellMar>
        </w:tblPrEx>
        <w:trPr>
          <w:trHeight w:val="280"/>
        </w:trPr>
        <w:tc>
          <w:tcPr>
            <w:tcW w:w="9203" w:type="dxa"/>
            <w:gridSpan w:val="3"/>
          </w:tcPr>
          <w:p>
            <w:pPr>
              <w:rPr>
                <w:rFonts w:ascii="宋体" w:eastAsia="宋体" w:hAnsi="宋体" w:cs="宋体" w:hint="eastAsia"/>
                <w:b/>
                <w:sz w:val="21"/>
                <w:szCs w:val="21"/>
                <w:lang w:eastAsia="zh-CN"/>
              </w:rPr>
            </w:pPr>
            <w:r>
              <w:rPr>
                <w:rFonts w:ascii="宋体" w:eastAsia="宋体" w:hAnsi="宋体" w:cs="宋体" w:hint="eastAsia"/>
                <w:b/>
                <w:sz w:val="21"/>
                <w:szCs w:val="21"/>
                <w:lang w:eastAsia="zh-CN"/>
              </w:rPr>
              <w:t>（一）免费保修期内售后服务要求</w:t>
            </w:r>
          </w:p>
        </w:tc>
      </w:tr>
      <w:tr>
        <w:tblPrEx>
          <w:tblW w:w="5000" w:type="pct"/>
          <w:tblInd w:w="108" w:type="dxa"/>
          <w:tblLayout w:type="fixed"/>
          <w:tblCellMar>
            <w:top w:w="0" w:type="dxa"/>
            <w:left w:w="108" w:type="dxa"/>
            <w:bottom w:w="0" w:type="dxa"/>
            <w:right w:w="108" w:type="dxa"/>
          </w:tblCellMar>
        </w:tblPrEx>
        <w:trPr>
          <w:trHeight w:val="150"/>
        </w:trPr>
        <w:tc>
          <w:tcPr>
            <w:tcW w:w="1260"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620" w:type="dxa"/>
            <w:vAlign w:val="center"/>
          </w:tcPr>
          <w:p>
            <w:pPr>
              <w:rPr>
                <w:rFonts w:ascii="宋体" w:eastAsia="宋体" w:hAnsi="宋体" w:cs="宋体" w:hint="eastAsia"/>
                <w:sz w:val="21"/>
                <w:szCs w:val="21"/>
              </w:rPr>
            </w:pPr>
            <w:r>
              <w:rPr>
                <w:rFonts w:ascii="宋体" w:eastAsia="宋体" w:hAnsi="宋体" w:cs="宋体" w:hint="eastAsia"/>
                <w:sz w:val="21"/>
                <w:szCs w:val="21"/>
              </w:rPr>
              <w:t>免费保修期</w:t>
            </w:r>
          </w:p>
        </w:tc>
        <w:tc>
          <w:tcPr>
            <w:tcW w:w="6323" w:type="dxa"/>
          </w:tcPr>
          <w:p>
            <w:pPr>
              <w:rPr>
                <w:rFonts w:ascii="宋体" w:eastAsia="宋体" w:hAnsi="宋体" w:cs="宋体" w:hint="eastAsia"/>
                <w:b/>
                <w:sz w:val="21"/>
                <w:szCs w:val="21"/>
                <w:lang w:eastAsia="zh-CN"/>
              </w:rPr>
            </w:pPr>
            <w:r>
              <w:rPr>
                <w:rFonts w:ascii="宋体" w:eastAsia="宋体" w:hAnsi="宋体" w:cs="宋体" w:hint="eastAsia"/>
                <w:sz w:val="21"/>
                <w:szCs w:val="21"/>
                <w:lang w:eastAsia="zh-CN"/>
              </w:rPr>
              <w:t>★</w:t>
            </w:r>
            <w:r>
              <w:rPr>
                <w:rFonts w:ascii="宋体" w:eastAsia="宋体" w:hAnsi="宋体" w:cs="宋体" w:hint="eastAsia"/>
                <w:bCs/>
                <w:sz w:val="21"/>
                <w:szCs w:val="21"/>
                <w:lang w:eastAsia="zh-CN"/>
              </w:rPr>
              <w:t>货物免费保修期2年，时间自最终验收合格并交付使用之日起计算。</w:t>
            </w:r>
          </w:p>
        </w:tc>
      </w:tr>
      <w:tr>
        <w:tblPrEx>
          <w:tblW w:w="5000" w:type="pct"/>
          <w:tblInd w:w="108" w:type="dxa"/>
          <w:tblLayout w:type="fixed"/>
          <w:tblCellMar>
            <w:top w:w="0" w:type="dxa"/>
            <w:left w:w="108" w:type="dxa"/>
            <w:bottom w:w="0" w:type="dxa"/>
            <w:right w:w="108" w:type="dxa"/>
          </w:tblCellMar>
        </w:tblPrEx>
        <w:trPr>
          <w:trHeight w:val="320"/>
        </w:trPr>
        <w:tc>
          <w:tcPr>
            <w:tcW w:w="1260"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620" w:type="dxa"/>
          </w:tcPr>
          <w:p>
            <w:pPr>
              <w:rPr>
                <w:rFonts w:ascii="宋体" w:eastAsia="宋体" w:hAnsi="宋体" w:cs="宋体" w:hint="eastAsia"/>
                <w:sz w:val="21"/>
                <w:szCs w:val="21"/>
                <w:lang w:eastAsia="zh-CN"/>
              </w:rPr>
            </w:pPr>
            <w:r>
              <w:rPr>
                <w:rFonts w:ascii="宋体" w:eastAsia="宋体" w:hAnsi="宋体" w:cs="宋体" w:hint="eastAsia"/>
                <w:sz w:val="21"/>
                <w:szCs w:val="21"/>
                <w:lang w:eastAsia="zh-CN"/>
              </w:rPr>
              <w:t>维修响应及故障解决时间</w:t>
            </w:r>
          </w:p>
        </w:tc>
        <w:tc>
          <w:tcPr>
            <w:tcW w:w="6323" w:type="dxa"/>
          </w:tcPr>
          <w:p>
            <w:pPr>
              <w:rPr>
                <w:rFonts w:ascii="宋体" w:eastAsia="宋体" w:hAnsi="宋体" w:cs="宋体" w:hint="eastAsia"/>
                <w:b/>
                <w:sz w:val="21"/>
                <w:szCs w:val="21"/>
                <w:lang w:eastAsia="zh-CN"/>
              </w:rPr>
            </w:pPr>
            <w:r>
              <w:rPr>
                <w:rFonts w:ascii="宋体" w:eastAsia="宋体" w:hAnsi="宋体" w:cs="宋体" w:hint="eastAsia"/>
                <w:bCs/>
                <w:sz w:val="21"/>
                <w:szCs w:val="21"/>
                <w:lang w:eastAsia="zh-CN"/>
              </w:rPr>
              <w:t>投标人承诺中标后，在保修期内，一旦发生质量问题，投标人保证在接到通知24小时内赶到现场进行修理或更换。</w:t>
            </w:r>
          </w:p>
        </w:tc>
      </w:tr>
      <w:tr>
        <w:tblPrEx>
          <w:tblW w:w="5000" w:type="pct"/>
          <w:tblInd w:w="108" w:type="dxa"/>
          <w:tblLayout w:type="fixed"/>
          <w:tblCellMar>
            <w:top w:w="0" w:type="dxa"/>
            <w:left w:w="108" w:type="dxa"/>
            <w:bottom w:w="0" w:type="dxa"/>
            <w:right w:w="108" w:type="dxa"/>
          </w:tblCellMar>
        </w:tblPrEx>
        <w:trPr>
          <w:trHeight w:val="523"/>
        </w:trPr>
        <w:tc>
          <w:tcPr>
            <w:tcW w:w="1260"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3</w:t>
            </w:r>
          </w:p>
        </w:tc>
        <w:tc>
          <w:tcPr>
            <w:tcW w:w="1620" w:type="dxa"/>
            <w:vAlign w:val="center"/>
          </w:tcPr>
          <w:p>
            <w:pPr>
              <w:rPr>
                <w:rFonts w:ascii="宋体" w:eastAsia="宋体" w:hAnsi="宋体" w:cs="宋体" w:hint="eastAsia"/>
                <w:b/>
                <w:sz w:val="21"/>
                <w:szCs w:val="21"/>
              </w:rPr>
            </w:pPr>
            <w:r>
              <w:rPr>
                <w:rFonts w:ascii="宋体" w:eastAsia="宋体" w:hAnsi="宋体" w:cs="宋体" w:hint="eastAsia"/>
                <w:sz w:val="21"/>
                <w:szCs w:val="21"/>
              </w:rPr>
              <w:t>其他</w:t>
            </w:r>
          </w:p>
        </w:tc>
        <w:tc>
          <w:tcPr>
            <w:tcW w:w="6323" w:type="dxa"/>
            <w:vAlign w:val="center"/>
          </w:tcPr>
          <w:p>
            <w:pPr>
              <w:rPr>
                <w:rFonts w:ascii="宋体" w:eastAsia="宋体" w:hAnsi="宋体" w:cs="宋体" w:hint="eastAsia"/>
                <w:b/>
                <w:sz w:val="21"/>
                <w:szCs w:val="21"/>
                <w:lang w:eastAsia="zh-CN"/>
              </w:rPr>
            </w:pPr>
            <w:r>
              <w:rPr>
                <w:rFonts w:ascii="宋体" w:eastAsia="宋体" w:hAnsi="宋体" w:cs="宋体" w:hint="eastAsia"/>
                <w:bCs/>
                <w:sz w:val="21"/>
                <w:szCs w:val="21"/>
                <w:lang w:eastAsia="zh-CN"/>
              </w:rPr>
              <w:t>投标人中标后，应按其投标文件中的承诺，进行其他售后服务工作。</w:t>
            </w:r>
          </w:p>
        </w:tc>
      </w:tr>
      <w:tr>
        <w:tblPrEx>
          <w:tblW w:w="5000" w:type="pct"/>
          <w:tblInd w:w="108" w:type="dxa"/>
          <w:tblLayout w:type="fixed"/>
          <w:tblCellMar>
            <w:top w:w="0" w:type="dxa"/>
            <w:left w:w="108" w:type="dxa"/>
            <w:bottom w:w="0" w:type="dxa"/>
            <w:right w:w="108" w:type="dxa"/>
          </w:tblCellMar>
        </w:tblPrEx>
        <w:trPr>
          <w:trHeight w:val="280"/>
        </w:trPr>
        <w:tc>
          <w:tcPr>
            <w:tcW w:w="9203" w:type="dxa"/>
            <w:gridSpan w:val="3"/>
          </w:tcPr>
          <w:p>
            <w:pPr>
              <w:rPr>
                <w:rFonts w:ascii="宋体" w:eastAsia="宋体" w:hAnsi="宋体" w:cs="宋体" w:hint="eastAsia"/>
                <w:b/>
                <w:sz w:val="21"/>
                <w:szCs w:val="21"/>
                <w:lang w:eastAsia="zh-CN"/>
              </w:rPr>
            </w:pPr>
            <w:r>
              <w:rPr>
                <w:rFonts w:ascii="宋体" w:eastAsia="宋体" w:hAnsi="宋体" w:cs="宋体" w:hint="eastAsia"/>
                <w:b/>
                <w:sz w:val="21"/>
                <w:szCs w:val="21"/>
                <w:lang w:eastAsia="zh-CN"/>
              </w:rPr>
              <w:t>（二）免费保修期外售后服务要求</w:t>
            </w:r>
          </w:p>
        </w:tc>
      </w:tr>
      <w:tr>
        <w:tblPrEx>
          <w:tblW w:w="5000" w:type="pct"/>
          <w:tblInd w:w="108" w:type="dxa"/>
          <w:tblLayout w:type="fixed"/>
          <w:tblCellMar>
            <w:top w:w="0" w:type="dxa"/>
            <w:left w:w="108" w:type="dxa"/>
            <w:bottom w:w="0" w:type="dxa"/>
            <w:right w:w="108" w:type="dxa"/>
          </w:tblCellMar>
        </w:tblPrEx>
        <w:trPr>
          <w:trHeight w:val="350"/>
        </w:trPr>
        <w:tc>
          <w:tcPr>
            <w:tcW w:w="1260" w:type="dxa"/>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620" w:type="dxa"/>
          </w:tcPr>
          <w:p>
            <w:pPr>
              <w:rPr>
                <w:rFonts w:ascii="宋体" w:eastAsia="宋体" w:hAnsi="宋体" w:cs="宋体" w:hint="eastAsia"/>
                <w:sz w:val="21"/>
                <w:szCs w:val="21"/>
                <w:lang w:eastAsia="zh-CN"/>
              </w:rPr>
            </w:pPr>
            <w:r>
              <w:rPr>
                <w:rFonts w:ascii="宋体" w:eastAsia="宋体" w:hAnsi="宋体" w:cs="宋体" w:hint="eastAsia"/>
                <w:sz w:val="21"/>
                <w:szCs w:val="21"/>
                <w:lang w:eastAsia="zh-CN"/>
              </w:rPr>
              <w:t>维修零配件、消耗品和延续保修合同的报价</w:t>
            </w:r>
          </w:p>
        </w:tc>
        <w:tc>
          <w:tcPr>
            <w:tcW w:w="6323" w:type="dxa"/>
          </w:tcPr>
          <w:p>
            <w:pPr>
              <w:rPr>
                <w:rFonts w:ascii="宋体" w:eastAsia="宋体" w:hAnsi="宋体" w:cs="宋体" w:hint="eastAsia"/>
                <w:b/>
                <w:sz w:val="21"/>
                <w:szCs w:val="21"/>
                <w:lang w:eastAsia="zh-CN"/>
              </w:rPr>
            </w:pPr>
            <w:r>
              <w:rPr>
                <w:rFonts w:ascii="宋体" w:eastAsia="宋体" w:hAnsi="宋体" w:cs="宋体" w:hint="eastAsia"/>
                <w:color w:val="000000"/>
                <w:sz w:val="21"/>
                <w:szCs w:val="21"/>
                <w:lang w:eastAsia="zh-CN"/>
              </w:rPr>
              <w:t>1.1由设备制造商提供售后服务，</w:t>
            </w:r>
            <w:r>
              <w:rPr>
                <w:rFonts w:ascii="宋体" w:eastAsia="宋体" w:hAnsi="宋体" w:cs="宋体" w:hint="eastAsia"/>
                <w:color w:val="000000"/>
                <w:sz w:val="21"/>
                <w:szCs w:val="21"/>
                <w:u w:val="single"/>
                <w:lang w:eastAsia="zh-CN"/>
              </w:rPr>
              <w:t xml:space="preserve"> 1 </w:t>
            </w:r>
            <w:r>
              <w:rPr>
                <w:rFonts w:ascii="宋体" w:eastAsia="宋体" w:hAnsi="宋体" w:cs="宋体" w:hint="eastAsia"/>
                <w:color w:val="000000"/>
                <w:sz w:val="21"/>
                <w:szCs w:val="21"/>
                <w:lang w:eastAsia="zh-CN"/>
              </w:rPr>
              <w:t>小时内响应，</w:t>
            </w:r>
            <w:r>
              <w:rPr>
                <w:rFonts w:ascii="宋体" w:eastAsia="宋体" w:hAnsi="宋体" w:cs="宋体" w:hint="eastAsia"/>
                <w:color w:val="000000"/>
                <w:sz w:val="21"/>
                <w:szCs w:val="21"/>
                <w:u w:val="single"/>
                <w:lang w:eastAsia="zh-CN"/>
              </w:rPr>
              <w:t> 24 </w:t>
            </w:r>
            <w:r>
              <w:rPr>
                <w:rFonts w:ascii="宋体" w:eastAsia="宋体" w:hAnsi="宋体" w:cs="宋体" w:hint="eastAsia"/>
                <w:color w:val="000000"/>
                <w:sz w:val="21"/>
                <w:szCs w:val="21"/>
                <w:lang w:eastAsia="zh-CN"/>
              </w:rPr>
              <w:t>小时维修到位，并在48小时内消除故障（不可抗力情况除外）。消耗品和零配件供应及时，特殊情况下可提供备用机。</w:t>
            </w:r>
          </w:p>
        </w:tc>
      </w:tr>
      <w:tr>
        <w:tblPrEx>
          <w:tblW w:w="5000" w:type="pct"/>
          <w:tblInd w:w="108" w:type="dxa"/>
          <w:tblLayout w:type="fixed"/>
          <w:tblCellMar>
            <w:top w:w="0" w:type="dxa"/>
            <w:left w:w="108" w:type="dxa"/>
            <w:bottom w:w="0" w:type="dxa"/>
            <w:right w:w="108" w:type="dxa"/>
          </w:tblCellMar>
        </w:tblPrEx>
        <w:trPr>
          <w:trHeight w:val="350"/>
        </w:trPr>
        <w:tc>
          <w:tcPr>
            <w:tcW w:w="9203" w:type="dxa"/>
            <w:gridSpan w:val="3"/>
          </w:tcPr>
          <w:p>
            <w:pPr>
              <w:rPr>
                <w:rFonts w:ascii="宋体" w:eastAsia="宋体" w:hAnsi="宋体" w:cs="宋体" w:hint="eastAsia"/>
                <w:b/>
                <w:sz w:val="21"/>
                <w:szCs w:val="21"/>
              </w:rPr>
            </w:pPr>
            <w:r>
              <w:rPr>
                <w:rFonts w:ascii="宋体" w:eastAsia="宋体" w:hAnsi="宋体" w:cs="宋体" w:hint="eastAsia"/>
                <w:b/>
                <w:sz w:val="21"/>
                <w:szCs w:val="21"/>
              </w:rPr>
              <w:t>（三）其他商务要求</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620" w:type="dxa"/>
            <w:vMerge w:val="restart"/>
            <w:vAlign w:val="center"/>
          </w:tcPr>
          <w:p>
            <w:pPr>
              <w:jc w:val="center"/>
              <w:rPr>
                <w:rFonts w:ascii="宋体" w:eastAsia="宋体" w:hAnsi="宋体" w:cs="宋体" w:hint="eastAsia"/>
                <w:sz w:val="21"/>
                <w:szCs w:val="21"/>
              </w:rPr>
            </w:pPr>
            <w:r>
              <w:rPr>
                <w:rFonts w:ascii="宋体" w:eastAsia="宋体" w:hAnsi="宋体" w:cs="宋体" w:hint="eastAsia"/>
                <w:sz w:val="21"/>
                <w:szCs w:val="21"/>
              </w:rPr>
              <w:t>关于交货</w:t>
            </w:r>
          </w:p>
        </w:tc>
        <w:tc>
          <w:tcPr>
            <w:tcW w:w="6323" w:type="dxa"/>
          </w:tcPr>
          <w:p>
            <w:pPr>
              <w:rPr>
                <w:rFonts w:ascii="宋体" w:eastAsia="宋体" w:hAnsi="宋体" w:cs="宋体" w:hint="eastAsia"/>
                <w:b/>
                <w:sz w:val="21"/>
                <w:szCs w:val="21"/>
                <w:lang w:eastAsia="zh-CN"/>
              </w:rPr>
            </w:pPr>
            <w:r>
              <w:rPr>
                <w:rFonts w:ascii="宋体" w:eastAsia="宋体" w:hAnsi="宋体" w:cs="宋体" w:hint="eastAsia"/>
                <w:bCs/>
                <w:sz w:val="21"/>
                <w:szCs w:val="21"/>
                <w:lang w:eastAsia="zh-CN"/>
              </w:rPr>
              <w:t>1.1</w:t>
            </w:r>
            <w:r>
              <w:rPr>
                <w:rFonts w:ascii="宋体" w:eastAsia="宋体" w:hAnsi="宋体" w:cs="宋体" w:hint="eastAsia"/>
                <w:sz w:val="21"/>
                <w:szCs w:val="21"/>
                <w:lang w:eastAsia="zh-CN"/>
              </w:rPr>
              <w:t>★</w:t>
            </w:r>
            <w:r>
              <w:rPr>
                <w:rFonts w:ascii="宋体" w:eastAsia="宋体" w:hAnsi="宋体" w:cs="宋体" w:hint="eastAsia"/>
                <w:bCs/>
                <w:sz w:val="21"/>
                <w:szCs w:val="21"/>
                <w:lang w:eastAsia="zh-CN"/>
              </w:rPr>
              <w:t>签订合同后_</w:t>
            </w:r>
            <w:r>
              <w:rPr>
                <w:rFonts w:ascii="宋体" w:eastAsia="宋体" w:hAnsi="宋体" w:cs="宋体" w:hint="eastAsia"/>
                <w:bCs/>
                <w:sz w:val="21"/>
                <w:szCs w:val="21"/>
                <w:u w:val="single"/>
                <w:lang w:eastAsia="zh-CN"/>
              </w:rPr>
              <w:t>15</w:t>
            </w:r>
            <w:r>
              <w:rPr>
                <w:rFonts w:ascii="宋体" w:eastAsia="宋体" w:hAnsi="宋体" w:cs="宋体" w:hint="eastAsia"/>
                <w:bCs/>
                <w:sz w:val="21"/>
                <w:szCs w:val="21"/>
                <w:lang w:eastAsia="zh-CN"/>
              </w:rPr>
              <w:t>_天（日历日）内。</w:t>
            </w:r>
          </w:p>
        </w:tc>
      </w:tr>
      <w:tr>
        <w:tblPrEx>
          <w:tblW w:w="5000" w:type="pct"/>
          <w:tblInd w:w="108" w:type="dxa"/>
          <w:tblLayout w:type="fixed"/>
          <w:tblCellMar>
            <w:top w:w="0" w:type="dxa"/>
            <w:left w:w="108" w:type="dxa"/>
            <w:bottom w:w="0" w:type="dxa"/>
            <w:right w:w="108" w:type="dxa"/>
          </w:tblCellMar>
        </w:tblPrEx>
        <w:trPr>
          <w:trHeight w:val="451"/>
        </w:trPr>
        <w:tc>
          <w:tcPr>
            <w:tcW w:w="1260" w:type="dxa"/>
            <w:vMerge/>
            <w:vAlign w:val="center"/>
          </w:tcPr>
          <w:p>
            <w:pPr>
              <w:jc w:val="center"/>
              <w:rPr>
                <w:rFonts w:ascii="宋体" w:eastAsia="宋体" w:hAnsi="宋体" w:cs="宋体" w:hint="eastAsia"/>
                <w:b/>
                <w:sz w:val="21"/>
                <w:szCs w:val="21"/>
                <w:lang w:eastAsia="zh-CN"/>
              </w:rPr>
            </w:pPr>
          </w:p>
        </w:tc>
        <w:tc>
          <w:tcPr>
            <w:tcW w:w="1620" w:type="dxa"/>
            <w:vMerge/>
            <w:vAlign w:val="center"/>
          </w:tcPr>
          <w:p>
            <w:pPr>
              <w:jc w:val="center"/>
              <w:rPr>
                <w:rFonts w:ascii="宋体" w:eastAsia="宋体" w:hAnsi="宋体" w:cs="宋体" w:hint="eastAsia"/>
                <w:sz w:val="21"/>
                <w:szCs w:val="21"/>
                <w:lang w:eastAsia="zh-CN"/>
              </w:rPr>
            </w:pPr>
          </w:p>
        </w:tc>
        <w:tc>
          <w:tcPr>
            <w:tcW w:w="6323" w:type="dxa"/>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1.2投标人中标后，必须承担设备运输、安装调试、验收检测和提供设备操作说明书、图纸等其他类似的义务。</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620" w:type="dxa"/>
            <w:vMerge w:val="restart"/>
            <w:vAlign w:val="center"/>
          </w:tcPr>
          <w:p>
            <w:pPr>
              <w:jc w:val="center"/>
              <w:rPr>
                <w:rFonts w:ascii="宋体" w:eastAsia="宋体" w:hAnsi="宋体" w:cs="宋体" w:hint="eastAsia"/>
                <w:sz w:val="21"/>
                <w:szCs w:val="21"/>
              </w:rPr>
            </w:pPr>
            <w:r>
              <w:rPr>
                <w:rFonts w:ascii="宋体" w:eastAsia="宋体" w:hAnsi="宋体" w:cs="宋体" w:hint="eastAsia"/>
                <w:sz w:val="21"/>
                <w:szCs w:val="21"/>
              </w:rPr>
              <w:t>关于验收</w:t>
            </w:r>
          </w:p>
        </w:tc>
        <w:tc>
          <w:tcPr>
            <w:tcW w:w="6323" w:type="dxa"/>
          </w:tcPr>
          <w:p>
            <w:pPr>
              <w:spacing w:line="340" w:lineRule="exact"/>
              <w:rPr>
                <w:rFonts w:ascii="宋体" w:eastAsia="宋体" w:hAnsi="宋体" w:cs="宋体" w:hint="eastAsia"/>
                <w:bCs/>
                <w:sz w:val="21"/>
                <w:szCs w:val="21"/>
                <w:lang w:eastAsia="zh-CN"/>
              </w:rPr>
            </w:pPr>
            <w:r>
              <w:rPr>
                <w:rFonts w:ascii="宋体" w:eastAsia="宋体" w:hAnsi="宋体" w:cs="宋体" w:hint="eastAsia"/>
                <w:bCs/>
                <w:sz w:val="21"/>
                <w:szCs w:val="21"/>
                <w:lang w:eastAsia="zh-CN"/>
              </w:rPr>
              <w:t>2.1投标人中标后，其货物经过双方检验认可后，签署验收报告，产品保修期自验收合格之日起算，由投标人提供产品保修文件。</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ign w:val="center"/>
          </w:tcPr>
          <w:p>
            <w:pPr>
              <w:jc w:val="center"/>
              <w:rPr>
                <w:rFonts w:ascii="宋体" w:eastAsia="宋体" w:hAnsi="宋体" w:cs="宋体" w:hint="eastAsia"/>
                <w:b/>
                <w:sz w:val="21"/>
                <w:szCs w:val="21"/>
                <w:lang w:eastAsia="zh-CN"/>
              </w:rPr>
            </w:pPr>
          </w:p>
        </w:tc>
        <w:tc>
          <w:tcPr>
            <w:tcW w:w="1620" w:type="dxa"/>
            <w:vMerge/>
          </w:tcPr>
          <w:p>
            <w:pPr>
              <w:rPr>
                <w:rFonts w:ascii="宋体" w:eastAsia="宋体" w:hAnsi="宋体" w:cs="宋体" w:hint="eastAsia"/>
                <w:b/>
                <w:sz w:val="21"/>
                <w:szCs w:val="21"/>
                <w:lang w:eastAsia="zh-CN"/>
              </w:rPr>
            </w:pPr>
          </w:p>
        </w:tc>
        <w:tc>
          <w:tcPr>
            <w:tcW w:w="6323" w:type="dxa"/>
          </w:tcPr>
          <w:p>
            <w:pPr>
              <w:spacing w:line="340" w:lineRule="exact"/>
              <w:rPr>
                <w:rFonts w:ascii="宋体" w:eastAsia="宋体" w:hAnsi="宋体" w:cs="宋体" w:hint="eastAsia"/>
                <w:bCs/>
                <w:sz w:val="21"/>
                <w:szCs w:val="21"/>
                <w:lang w:eastAsia="zh-CN"/>
              </w:rPr>
            </w:pPr>
            <w:r>
              <w:rPr>
                <w:rFonts w:ascii="宋体" w:eastAsia="宋体" w:hAnsi="宋体" w:cs="宋体" w:hint="eastAsia"/>
                <w:bCs/>
                <w:sz w:val="21"/>
                <w:szCs w:val="21"/>
                <w:lang w:eastAsia="zh-CN"/>
              </w:rPr>
              <w:t>2.2投标人中标后，当满足以下条件时，采购人才向投标人签发货物验收报告：</w:t>
            </w:r>
          </w:p>
          <w:p>
            <w:pPr>
              <w:tabs>
                <w:tab w:val="left" w:pos="1260"/>
              </w:tabs>
              <w:spacing w:line="340" w:lineRule="exact"/>
              <w:rPr>
                <w:rFonts w:ascii="宋体" w:eastAsia="宋体" w:hAnsi="宋体" w:cs="宋体" w:hint="eastAsia"/>
                <w:bCs/>
                <w:sz w:val="21"/>
                <w:szCs w:val="21"/>
                <w:lang w:eastAsia="zh-CN"/>
              </w:rPr>
            </w:pPr>
            <w:r>
              <w:rPr>
                <w:rFonts w:ascii="宋体" w:eastAsia="宋体" w:hAnsi="宋体" w:cs="宋体" w:hint="eastAsia"/>
                <w:bCs/>
                <w:sz w:val="21"/>
                <w:szCs w:val="21"/>
                <w:lang w:eastAsia="zh-CN"/>
              </w:rPr>
              <w:t>a、投标人已按照合同规定提供了全部产品及完整的技术资料。</w:t>
            </w:r>
          </w:p>
          <w:p>
            <w:pPr>
              <w:tabs>
                <w:tab w:val="left" w:pos="1260"/>
              </w:tabs>
              <w:spacing w:line="340" w:lineRule="exact"/>
              <w:rPr>
                <w:rFonts w:ascii="宋体" w:eastAsia="宋体" w:hAnsi="宋体" w:cs="宋体" w:hint="eastAsia"/>
                <w:bCs/>
                <w:sz w:val="21"/>
                <w:szCs w:val="21"/>
                <w:lang w:eastAsia="zh-CN"/>
              </w:rPr>
            </w:pPr>
            <w:r>
              <w:rPr>
                <w:rFonts w:ascii="宋体" w:eastAsia="宋体" w:hAnsi="宋体" w:cs="宋体" w:hint="eastAsia"/>
                <w:bCs/>
                <w:sz w:val="21"/>
                <w:szCs w:val="21"/>
                <w:lang w:eastAsia="zh-CN"/>
              </w:rPr>
              <w:t>b、货物符合采购文件技术规格书的要求，性能满足要求。</w:t>
            </w:r>
          </w:p>
          <w:p>
            <w:pPr>
              <w:tabs>
                <w:tab w:val="left" w:pos="1260"/>
              </w:tabs>
              <w:spacing w:line="340" w:lineRule="exact"/>
              <w:rPr>
                <w:rFonts w:ascii="宋体" w:eastAsia="宋体" w:hAnsi="宋体" w:cs="宋体" w:hint="eastAsia"/>
                <w:bCs/>
                <w:sz w:val="21"/>
                <w:szCs w:val="21"/>
                <w:lang w:eastAsia="zh-CN"/>
              </w:rPr>
            </w:pPr>
            <w:r>
              <w:rPr>
                <w:rFonts w:ascii="宋体" w:eastAsia="宋体" w:hAnsi="宋体" w:cs="宋体" w:hint="eastAsia"/>
                <w:bCs/>
                <w:sz w:val="21"/>
                <w:szCs w:val="21"/>
                <w:lang w:eastAsia="zh-CN"/>
              </w:rPr>
              <w:t>c、货物具备产品合格证。</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3</w:t>
            </w:r>
          </w:p>
        </w:tc>
        <w:tc>
          <w:tcPr>
            <w:tcW w:w="1620" w:type="dxa"/>
            <w:vMerge w:val="restart"/>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违约责任</w:t>
            </w:r>
          </w:p>
        </w:tc>
        <w:tc>
          <w:tcPr>
            <w:tcW w:w="6323" w:type="dxa"/>
          </w:tcPr>
          <w:p>
            <w:pPr>
              <w:spacing w:line="340" w:lineRule="exact"/>
              <w:rPr>
                <w:rFonts w:ascii="宋体" w:eastAsia="宋体" w:hAnsi="宋体" w:cs="宋体" w:hint="eastAsia"/>
                <w:bCs/>
                <w:sz w:val="21"/>
                <w:szCs w:val="21"/>
                <w:lang w:eastAsia="zh-CN"/>
              </w:rPr>
            </w:pPr>
            <w:r>
              <w:rPr>
                <w:rFonts w:ascii="宋体" w:eastAsia="宋体" w:hAnsi="宋体" w:cs="宋体" w:hint="eastAsia"/>
                <w:sz w:val="21"/>
                <w:szCs w:val="21"/>
                <w:lang w:eastAsia="zh-CN"/>
              </w:rPr>
              <w:t>3.1如</w:t>
            </w:r>
            <w:r>
              <w:rPr>
                <w:rFonts w:ascii="宋体" w:eastAsia="宋体" w:hAnsi="宋体" w:cs="宋体" w:hint="eastAsia"/>
                <w:bCs/>
                <w:sz w:val="21"/>
                <w:szCs w:val="21"/>
                <w:lang w:eastAsia="zh-CN"/>
              </w:rPr>
              <w:t>投标人中标后</w:t>
            </w:r>
            <w:r>
              <w:rPr>
                <w:rFonts w:ascii="宋体" w:eastAsia="宋体" w:hAnsi="宋体" w:cs="宋体" w:hint="eastAsia"/>
                <w:sz w:val="21"/>
                <w:szCs w:val="21"/>
                <w:lang w:eastAsia="zh-CN"/>
              </w:rPr>
              <w:t>未按照投标文件中承诺的时间交货或提供服务，</w:t>
            </w:r>
            <w:r>
              <w:rPr>
                <w:rFonts w:ascii="宋体" w:eastAsia="宋体" w:hAnsi="宋体" w:cs="宋体" w:hint="eastAsia"/>
                <w:bCs/>
                <w:sz w:val="21"/>
                <w:szCs w:val="21"/>
                <w:lang w:eastAsia="zh-CN"/>
              </w:rPr>
              <w:t>投标人</w:t>
            </w:r>
            <w:r>
              <w:rPr>
                <w:rFonts w:ascii="宋体" w:eastAsia="宋体" w:hAnsi="宋体" w:cs="宋体" w:hint="eastAsia"/>
                <w:sz w:val="21"/>
                <w:szCs w:val="21"/>
                <w:lang w:eastAsia="zh-CN"/>
              </w:rPr>
              <w:t>应承担延期交货和延期服务的违约责任，并赔偿采购人因此造成的实际经济损失，采购人有权终止合同。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ign w:val="center"/>
          </w:tcPr>
          <w:p>
            <w:pPr>
              <w:jc w:val="center"/>
              <w:rPr>
                <w:rFonts w:ascii="宋体" w:eastAsia="宋体" w:hAnsi="宋体" w:cs="宋体" w:hint="eastAsia"/>
                <w:bCs/>
                <w:sz w:val="21"/>
                <w:szCs w:val="21"/>
                <w:lang w:eastAsia="zh-CN"/>
              </w:rPr>
            </w:pPr>
          </w:p>
        </w:tc>
        <w:tc>
          <w:tcPr>
            <w:tcW w:w="1620" w:type="dxa"/>
            <w:vMerge/>
            <w:vAlign w:val="center"/>
          </w:tcPr>
          <w:p>
            <w:pPr>
              <w:jc w:val="center"/>
              <w:rPr>
                <w:rFonts w:ascii="宋体" w:eastAsia="宋体" w:hAnsi="宋体" w:cs="宋体" w:hint="eastAsia"/>
                <w:bCs/>
                <w:sz w:val="21"/>
                <w:szCs w:val="21"/>
                <w:lang w:eastAsia="zh-CN"/>
              </w:rPr>
            </w:pPr>
          </w:p>
        </w:tc>
        <w:tc>
          <w:tcPr>
            <w:tcW w:w="6323" w:type="dxa"/>
          </w:tcPr>
          <w:p>
            <w:pPr>
              <w:spacing w:line="340" w:lineRule="exact"/>
              <w:rPr>
                <w:rFonts w:ascii="宋体" w:eastAsia="宋体" w:hAnsi="宋体" w:cs="宋体" w:hint="eastAsia"/>
                <w:bCs/>
                <w:sz w:val="21"/>
                <w:szCs w:val="21"/>
                <w:lang w:eastAsia="zh-CN"/>
              </w:rPr>
            </w:pPr>
            <w:r>
              <w:rPr>
                <w:rFonts w:ascii="宋体" w:eastAsia="宋体" w:hAnsi="宋体" w:cs="宋体" w:hint="eastAsia"/>
                <w:bCs/>
                <w:sz w:val="21"/>
                <w:szCs w:val="21"/>
                <w:lang w:eastAsia="zh-CN"/>
              </w:rPr>
              <w:t xml:space="preserve">3.2投标人中标后所交设备的品种、型号、规格、质量、功能、技术参数等方面不能实质性满足采购文件要求的，采购人有权拒绝收货，投标人向采购人偿付项目采购金额【15】% （10%以上20%以下）的违约金并采取更换、补足等补救措施，致使逾期交付的，还应承担逾期交付的违约责任。 </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ign w:val="center"/>
          </w:tcPr>
          <w:p>
            <w:pPr>
              <w:jc w:val="center"/>
              <w:rPr>
                <w:rFonts w:ascii="宋体" w:eastAsia="宋体" w:hAnsi="宋体" w:cs="宋体" w:hint="eastAsia"/>
                <w:bCs/>
                <w:sz w:val="21"/>
                <w:szCs w:val="21"/>
                <w:lang w:eastAsia="zh-CN"/>
              </w:rPr>
            </w:pPr>
          </w:p>
        </w:tc>
        <w:tc>
          <w:tcPr>
            <w:tcW w:w="1620" w:type="dxa"/>
            <w:vMerge/>
            <w:vAlign w:val="center"/>
          </w:tcPr>
          <w:p>
            <w:pPr>
              <w:jc w:val="center"/>
              <w:rPr>
                <w:rFonts w:ascii="宋体" w:eastAsia="宋体" w:hAnsi="宋体" w:cs="宋体" w:hint="eastAsia"/>
                <w:bCs/>
                <w:sz w:val="21"/>
                <w:szCs w:val="21"/>
                <w:lang w:eastAsia="zh-CN"/>
              </w:rPr>
            </w:pPr>
          </w:p>
        </w:tc>
        <w:tc>
          <w:tcPr>
            <w:tcW w:w="6323" w:type="dxa"/>
          </w:tcPr>
          <w:p>
            <w:pPr>
              <w:spacing w:line="340" w:lineRule="exact"/>
              <w:rPr>
                <w:rFonts w:ascii="宋体" w:eastAsia="宋体" w:hAnsi="宋体" w:cs="宋体" w:hint="eastAsia"/>
                <w:bCs/>
                <w:sz w:val="21"/>
                <w:szCs w:val="21"/>
                <w:lang w:eastAsia="zh-CN"/>
              </w:rPr>
            </w:pPr>
            <w:r>
              <w:rPr>
                <w:rFonts w:ascii="宋体" w:eastAsia="宋体" w:hAnsi="宋体" w:cs="宋体" w:hint="eastAsia"/>
                <w:bCs/>
                <w:sz w:val="21"/>
                <w:szCs w:val="21"/>
                <w:lang w:eastAsia="zh-CN"/>
              </w:rPr>
              <w:t>3.3投标人中标后不能交付设备的，投标人向采购人偿付项目采购金额【15】%（10%以上20%以下）的违约金。</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ign w:val="center"/>
          </w:tcPr>
          <w:p>
            <w:pPr>
              <w:jc w:val="center"/>
              <w:rPr>
                <w:rFonts w:ascii="宋体" w:eastAsia="宋体" w:hAnsi="宋体" w:cs="宋体" w:hint="eastAsia"/>
                <w:bCs/>
                <w:sz w:val="21"/>
                <w:szCs w:val="21"/>
                <w:lang w:eastAsia="zh-CN"/>
              </w:rPr>
            </w:pPr>
          </w:p>
        </w:tc>
        <w:tc>
          <w:tcPr>
            <w:tcW w:w="1620" w:type="dxa"/>
            <w:vMerge/>
          </w:tcPr>
          <w:p>
            <w:pPr>
              <w:rPr>
                <w:rFonts w:ascii="宋体" w:eastAsia="宋体" w:hAnsi="宋体" w:cs="宋体" w:hint="eastAsia"/>
                <w:bCs/>
                <w:sz w:val="21"/>
                <w:szCs w:val="21"/>
                <w:lang w:eastAsia="zh-CN"/>
              </w:rPr>
            </w:pPr>
          </w:p>
        </w:tc>
        <w:tc>
          <w:tcPr>
            <w:tcW w:w="6323" w:type="dxa"/>
          </w:tcPr>
          <w:p>
            <w:pPr>
              <w:spacing w:line="340" w:lineRule="exact"/>
              <w:rPr>
                <w:rFonts w:ascii="宋体" w:eastAsia="宋体" w:hAnsi="宋体" w:cs="宋体" w:hint="eastAsia"/>
                <w:bCs/>
                <w:sz w:val="21"/>
                <w:szCs w:val="21"/>
                <w:lang w:eastAsia="zh-CN"/>
              </w:rPr>
            </w:pPr>
            <w:r>
              <w:rPr>
                <w:rFonts w:ascii="宋体" w:eastAsia="宋体" w:hAnsi="宋体" w:cs="宋体" w:hint="eastAsia"/>
                <w:bCs/>
                <w:sz w:val="21"/>
                <w:szCs w:val="21"/>
                <w:lang w:eastAsia="zh-CN"/>
              </w:rPr>
              <w:t>3.4投标人中标后逾期交付货物的，每逾期1天，投标人向采购人偿付项目采购金额的【5】‰（1‰以上5‰以下）的违约金。如投标人逾期交货达</w:t>
            </w:r>
            <w:r>
              <w:rPr>
                <w:rFonts w:ascii="宋体" w:eastAsia="宋体" w:hAnsi="宋体" w:cs="宋体" w:hint="eastAsia"/>
                <w:bCs/>
                <w:sz w:val="21"/>
                <w:szCs w:val="21"/>
                <w:u w:val="single"/>
                <w:lang w:eastAsia="zh-CN"/>
              </w:rPr>
              <w:t xml:space="preserve"> 30 </w:t>
            </w:r>
            <w:r>
              <w:rPr>
                <w:rFonts w:ascii="宋体" w:eastAsia="宋体" w:hAnsi="宋体" w:cs="宋体" w:hint="eastAsia"/>
                <w:bCs/>
                <w:sz w:val="21"/>
                <w:szCs w:val="21"/>
                <w:lang w:eastAsia="zh-CN"/>
              </w:rPr>
              <w:t>天，采购人有权解除合同。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ign w:val="center"/>
          </w:tcPr>
          <w:p>
            <w:pPr>
              <w:jc w:val="center"/>
              <w:rPr>
                <w:rFonts w:ascii="宋体" w:eastAsia="宋体" w:hAnsi="宋体" w:cs="宋体" w:hint="eastAsia"/>
                <w:bCs/>
                <w:sz w:val="21"/>
                <w:szCs w:val="21"/>
                <w:lang w:eastAsia="zh-CN"/>
              </w:rPr>
            </w:pPr>
          </w:p>
        </w:tc>
        <w:tc>
          <w:tcPr>
            <w:tcW w:w="1620" w:type="dxa"/>
            <w:vMerge/>
          </w:tcPr>
          <w:p>
            <w:pPr>
              <w:rPr>
                <w:rFonts w:ascii="宋体" w:eastAsia="宋体" w:hAnsi="宋体" w:cs="宋体" w:hint="eastAsia"/>
                <w:bCs/>
                <w:sz w:val="21"/>
                <w:szCs w:val="21"/>
                <w:lang w:eastAsia="zh-CN"/>
              </w:rPr>
            </w:pPr>
          </w:p>
        </w:tc>
        <w:tc>
          <w:tcPr>
            <w:tcW w:w="6323" w:type="dxa"/>
          </w:tcPr>
          <w:p>
            <w:pPr>
              <w:rPr>
                <w:rFonts w:ascii="宋体" w:eastAsia="宋体" w:hAnsi="宋体" w:cs="宋体" w:hint="eastAsia"/>
                <w:b/>
                <w:sz w:val="21"/>
                <w:szCs w:val="21"/>
                <w:lang w:eastAsia="zh-CN"/>
              </w:rPr>
            </w:pPr>
            <w:r>
              <w:rPr>
                <w:rFonts w:ascii="宋体" w:eastAsia="宋体" w:hAnsi="宋体" w:cs="宋体" w:hint="eastAsia"/>
                <w:bCs/>
                <w:sz w:val="21"/>
                <w:szCs w:val="21"/>
                <w:lang w:eastAsia="zh-CN"/>
              </w:rPr>
              <w:t>3.5投标人中标后，在其承诺的或国家规定的质量保证期内（取两者中最长的期限），如经投标人两次维修或更换，货物仍不能达到采购文件要求及投标文件承诺的质量标准，采购人有权退货，投标人应退回全部货款并赔偿采购人因此遭受的损失。</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ign w:val="center"/>
          </w:tcPr>
          <w:p>
            <w:pPr>
              <w:jc w:val="center"/>
              <w:rPr>
                <w:rFonts w:ascii="宋体" w:eastAsia="宋体" w:hAnsi="宋体" w:cs="宋体" w:hint="eastAsia"/>
                <w:bCs/>
                <w:sz w:val="21"/>
                <w:szCs w:val="21"/>
                <w:lang w:eastAsia="zh-CN"/>
              </w:rPr>
            </w:pPr>
          </w:p>
        </w:tc>
        <w:tc>
          <w:tcPr>
            <w:tcW w:w="1620" w:type="dxa"/>
            <w:vMerge/>
          </w:tcPr>
          <w:p>
            <w:pPr>
              <w:rPr>
                <w:rFonts w:ascii="宋体" w:eastAsia="宋体" w:hAnsi="宋体" w:cs="宋体" w:hint="eastAsia"/>
                <w:bCs/>
                <w:sz w:val="21"/>
                <w:szCs w:val="21"/>
                <w:lang w:eastAsia="zh-CN"/>
              </w:rPr>
            </w:pPr>
          </w:p>
        </w:tc>
        <w:tc>
          <w:tcPr>
            <w:tcW w:w="6323" w:type="dxa"/>
          </w:tcPr>
          <w:p>
            <w:pPr>
              <w:rPr>
                <w:rFonts w:ascii="宋体" w:eastAsia="宋体" w:hAnsi="宋体" w:cs="宋体" w:hint="eastAsia"/>
                <w:b/>
                <w:sz w:val="21"/>
                <w:szCs w:val="21"/>
                <w:lang w:eastAsia="zh-CN"/>
              </w:rPr>
            </w:pPr>
            <w:r>
              <w:rPr>
                <w:rFonts w:ascii="宋体" w:eastAsia="宋体" w:hAnsi="宋体" w:cs="宋体" w:hint="eastAsia"/>
                <w:bCs/>
                <w:sz w:val="21"/>
                <w:szCs w:val="21"/>
                <w:lang w:eastAsia="zh-CN"/>
              </w:rPr>
              <w:t>3.6投标人中标后在承担上述一项或多项违约责任后，仍应继续履行合同规定的义务（采购人解除合同的除外）。采购人未能及时追究投标人的任何一项违约责任并不表明采购人放弃追究投标人该项或其他违约责任。</w:t>
            </w:r>
          </w:p>
        </w:tc>
      </w:tr>
      <w:tr>
        <w:tblPrEx>
          <w:tblW w:w="5000" w:type="pct"/>
          <w:tblInd w:w="108" w:type="dxa"/>
          <w:tblLayout w:type="fixed"/>
          <w:tblCellMar>
            <w:top w:w="0" w:type="dxa"/>
            <w:left w:w="108" w:type="dxa"/>
            <w:bottom w:w="0" w:type="dxa"/>
            <w:right w:w="108" w:type="dxa"/>
          </w:tblCellMar>
        </w:tblPrEx>
        <w:trPr>
          <w:trHeight w:val="350"/>
        </w:trPr>
        <w:tc>
          <w:tcPr>
            <w:tcW w:w="1260" w:type="dxa"/>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4</w:t>
            </w:r>
          </w:p>
        </w:tc>
        <w:tc>
          <w:tcPr>
            <w:tcW w:w="1620" w:type="dxa"/>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其他</w:t>
            </w:r>
          </w:p>
        </w:tc>
        <w:tc>
          <w:tcPr>
            <w:tcW w:w="6323" w:type="dxa"/>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投标人中标后应按其投标文件中的承诺，进行其他售后服务工作。</w:t>
            </w:r>
          </w:p>
        </w:tc>
      </w:tr>
    </w:tbl>
    <w:p>
      <w:pPr>
        <w:widowControl w:val="0"/>
        <w:ind w:firstLine="420" w:firstLineChars="200"/>
        <w:jc w:val="both"/>
        <w:rPr>
          <w:rFonts w:ascii="Calibri" w:eastAsia="宋体" w:hAnsi="Calibri"/>
          <w:b/>
          <w:kern w:val="2"/>
          <w:sz w:val="21"/>
          <w:szCs w:val="21"/>
          <w:lang w:eastAsia="zh-CN"/>
        </w:rPr>
      </w:pPr>
    </w:p>
    <w:p>
      <w:pPr>
        <w:keepNext/>
        <w:keepLines/>
        <w:widowControl w:val="0"/>
        <w:tabs>
          <w:tab w:val="left" w:pos="1680"/>
        </w:tabs>
        <w:spacing w:before="260" w:after="60"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五、技术要求</w:t>
      </w:r>
    </w:p>
    <w:p>
      <w:pPr>
        <w:widowControl w:val="0"/>
        <w:jc w:val="both"/>
        <w:rPr>
          <w:rFonts w:ascii="Calibri" w:eastAsia="宋体" w:hAnsi="Calibri"/>
          <w:b/>
          <w:color w:val="000000"/>
          <w:kern w:val="2"/>
          <w:sz w:val="21"/>
          <w:szCs w:val="21"/>
          <w:lang w:eastAsia="zh-CN"/>
        </w:rPr>
      </w:pPr>
      <w:r>
        <w:rPr>
          <w:rFonts w:ascii="Calibri" w:eastAsia="宋体" w:hAnsi="Calibri" w:cstheme="minorBidi" w:hint="eastAsia"/>
          <w:b/>
          <w:color w:val="000000"/>
          <w:kern w:val="2"/>
          <w:sz w:val="21"/>
          <w:szCs w:val="21"/>
          <w:lang w:eastAsia="zh-CN"/>
        </w:rPr>
        <w:t>说明：</w:t>
      </w:r>
    </w:p>
    <w:p>
      <w:pPr>
        <w:widowControl w:val="0"/>
        <w:ind w:firstLine="420" w:firstLineChars="200"/>
        <w:jc w:val="both"/>
        <w:rPr>
          <w:rFonts w:ascii="Calibri" w:eastAsia="宋体" w:hAnsi="Calibri"/>
          <w:bCs/>
          <w:kern w:val="2"/>
          <w:sz w:val="21"/>
          <w:szCs w:val="21"/>
          <w:lang w:eastAsia="zh-CN"/>
        </w:rPr>
      </w:pPr>
      <w:r>
        <w:rPr>
          <w:rFonts w:ascii="Calibri" w:eastAsia="宋体" w:hAnsi="Calibri" w:cstheme="minorBidi" w:hint="eastAsia"/>
          <w:bCs/>
          <w:kern w:val="2"/>
          <w:sz w:val="21"/>
          <w:szCs w:val="21"/>
          <w:lang w:eastAsia="zh-CN"/>
        </w:rPr>
        <w:t>1、</w:t>
      </w:r>
      <w:r>
        <w:rPr>
          <w:rFonts w:ascii="Calibri" w:eastAsia="宋体" w:hAnsi="Calibri" w:cstheme="minorBidi" w:hint="eastAsia"/>
          <w:bCs/>
          <w:kern w:val="2"/>
          <w:sz w:val="21"/>
          <w:szCs w:val="22"/>
          <w:lang w:eastAsia="zh-CN"/>
        </w:rPr>
        <w:t>评分时，如对一项招标技术要求（以划分框为准）中的内容存在两处（或以上）负偏离的，在评分时只作一项负偏离扣分。</w:t>
      </w:r>
    </w:p>
    <w:p>
      <w:pPr>
        <w:widowControl w:val="0"/>
        <w:spacing w:line="360" w:lineRule="auto"/>
        <w:ind w:firstLine="420" w:firstLineChars="200"/>
        <w:jc w:val="both"/>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tbl>
      <w:tblPr>
        <w:tblStyle w:val="TableNormal"/>
        <w:tblW w:w="500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0"/>
        <w:gridCol w:w="1012"/>
        <w:gridCol w:w="7154"/>
      </w:tblGrid>
      <w:tr>
        <w:tblPrEx>
          <w:tblW w:w="5000"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trPr>
        <w:tc>
          <w:tcPr>
            <w:tcW w:w="710" w:type="dxa"/>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047" w:type="dxa"/>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货物名称</w:t>
            </w:r>
          </w:p>
        </w:tc>
        <w:tc>
          <w:tcPr>
            <w:tcW w:w="7464" w:type="dxa"/>
            <w:vAlign w:val="center"/>
          </w:tcPr>
          <w:p>
            <w:pPr>
              <w:jc w:val="center"/>
              <w:rPr>
                <w:rFonts w:ascii="宋体" w:eastAsia="宋体" w:hAnsi="宋体" w:cs="宋体" w:hint="eastAsia"/>
                <w:b/>
                <w:bCs/>
                <w:sz w:val="21"/>
                <w:szCs w:val="21"/>
              </w:rPr>
            </w:pPr>
            <w:r>
              <w:rPr>
                <w:rFonts w:ascii="宋体" w:eastAsia="宋体" w:hAnsi="宋体" w:cs="宋体" w:hint="eastAsia"/>
                <w:b/>
                <w:bCs/>
                <w:sz w:val="21"/>
                <w:szCs w:val="21"/>
              </w:rPr>
              <w:t>招标技术要求</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restart"/>
            <w:vAlign w:val="center"/>
          </w:tcPr>
          <w:p>
            <w:pPr>
              <w:jc w:val="center"/>
              <w:rPr>
                <w:rFonts w:ascii="宋体" w:eastAsia="宋体" w:hAnsi="宋体" w:cs="宋体" w:hint="eastAsia"/>
                <w:b/>
                <w:sz w:val="21"/>
                <w:szCs w:val="21"/>
              </w:rPr>
            </w:pPr>
            <w:r>
              <w:rPr>
                <w:rFonts w:ascii="宋体" w:eastAsia="宋体" w:hAnsi="宋体" w:cs="宋体" w:hint="eastAsia"/>
                <w:color w:val="000000"/>
                <w:sz w:val="21"/>
                <w:szCs w:val="21"/>
              </w:rPr>
              <w:t>1</w:t>
            </w:r>
          </w:p>
        </w:tc>
        <w:tc>
          <w:tcPr>
            <w:tcW w:w="1047" w:type="dxa"/>
            <w:vMerge w:val="restart"/>
            <w:vAlign w:val="center"/>
          </w:tcPr>
          <w:p>
            <w:pPr>
              <w:rPr>
                <w:rFonts w:ascii="宋体" w:eastAsia="宋体" w:hAnsi="宋体" w:cs="宋体" w:hint="eastAsia"/>
                <w:b/>
                <w:sz w:val="21"/>
                <w:szCs w:val="21"/>
              </w:rPr>
            </w:pPr>
            <w:r>
              <w:rPr>
                <w:rFonts w:ascii="宋体" w:eastAsia="宋体" w:hAnsi="宋体" w:cs="宋体" w:hint="eastAsia"/>
                <w:sz w:val="21"/>
                <w:szCs w:val="21"/>
              </w:rPr>
              <w:t>监控视频存储</w:t>
            </w: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color w:val="000000"/>
                <w:sz w:val="21"/>
                <w:szCs w:val="21"/>
                <w:lang w:eastAsia="zh-CN"/>
              </w:rPr>
              <w:t>1、配置：≥1颗64位多核处理器，≥4GB内存，内存支持扩展到≥64GB，可以扩展到≥2个SSD作为缓盘，可支持 ≥6个风扇，风扇支持热插拔并可冗余温控调速，采用可热插拔 1+1AC220V 电源</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
                <w:sz w:val="21"/>
                <w:szCs w:val="21"/>
                <w:lang w:eastAsia="zh-CN"/>
              </w:rPr>
            </w:pPr>
          </w:p>
        </w:tc>
        <w:tc>
          <w:tcPr>
            <w:tcW w:w="1047" w:type="dxa"/>
            <w:vMerge/>
            <w:vAlign w:val="center"/>
          </w:tcPr>
          <w:p>
            <w:pPr>
              <w:rPr>
                <w:rFonts w:ascii="宋体" w:eastAsia="宋体" w:hAnsi="宋体" w:cs="宋体" w:hint="eastAsia"/>
                <w:b/>
                <w:sz w:val="21"/>
                <w:szCs w:val="21"/>
                <w:lang w:eastAsia="zh-CN"/>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color w:val="000000"/>
                <w:sz w:val="21"/>
                <w:szCs w:val="21"/>
                <w:lang w:eastAsia="zh-CN"/>
              </w:rPr>
              <w:t>2、支持红灯/蓝灯报警，可根据故障紧急程度分级报警，不同级别闪烁不同颜色保养灯，保养灯闪烁时长、频率可设</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
                <w:sz w:val="21"/>
                <w:szCs w:val="21"/>
                <w:lang w:eastAsia="zh-CN"/>
              </w:rPr>
            </w:pPr>
          </w:p>
        </w:tc>
        <w:tc>
          <w:tcPr>
            <w:tcW w:w="1047" w:type="dxa"/>
            <w:vMerge/>
            <w:vAlign w:val="center"/>
          </w:tcPr>
          <w:p>
            <w:pPr>
              <w:rPr>
                <w:rFonts w:ascii="宋体" w:eastAsia="宋体" w:hAnsi="宋体" w:cs="宋体" w:hint="eastAsia"/>
                <w:b/>
                <w:sz w:val="21"/>
                <w:szCs w:val="21"/>
                <w:lang w:eastAsia="zh-CN"/>
              </w:rPr>
            </w:pPr>
          </w:p>
        </w:tc>
        <w:tc>
          <w:tcPr>
            <w:tcW w:w="7464" w:type="dxa"/>
            <w:vAlign w:val="center"/>
          </w:tcPr>
          <w:p>
            <w:pPr>
              <w:rPr>
                <w:rFonts w:ascii="宋体" w:eastAsia="宋体" w:hAnsi="宋体" w:cs="宋体" w:hint="eastAsia"/>
                <w:b/>
                <w:sz w:val="21"/>
                <w:szCs w:val="21"/>
              </w:rPr>
            </w:pPr>
            <w:r>
              <w:rPr>
                <w:rFonts w:ascii="宋体" w:eastAsia="宋体" w:hAnsi="宋体" w:cs="宋体" w:hint="eastAsia"/>
                <w:color w:val="000000"/>
                <w:sz w:val="21"/>
                <w:szCs w:val="21"/>
              </w:rPr>
              <w:t>3、标配≥2个千兆网口，支持 PCI-E3.0 插槽，可扩展 RS485 接口、eSATA 接口，可扩展至≥7个千兆网口或增配≥2个10Gb/25Gb光纤接口或增配≥4个8Gb/16Gb光纤接口或增配≥4个HDMI接口或增配≥3个Mini SAS HD接口，可支持 PCI-E X16和 PCI-E X8 ，可支持≥12GB SAS扩展口</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
                <w:sz w:val="21"/>
                <w:szCs w:val="21"/>
              </w:rPr>
            </w:pPr>
          </w:p>
        </w:tc>
        <w:tc>
          <w:tcPr>
            <w:tcW w:w="1047" w:type="dxa"/>
            <w:vMerge/>
            <w:vAlign w:val="center"/>
          </w:tcPr>
          <w:p>
            <w:pPr>
              <w:rPr>
                <w:rFonts w:ascii="宋体" w:eastAsia="宋体" w:hAnsi="宋体" w:cs="宋体" w:hint="eastAsia"/>
                <w:b/>
                <w:sz w:val="21"/>
                <w:szCs w:val="21"/>
              </w:rPr>
            </w:pPr>
          </w:p>
        </w:tc>
        <w:tc>
          <w:tcPr>
            <w:tcW w:w="7464" w:type="dxa"/>
            <w:vAlign w:val="center"/>
          </w:tcPr>
          <w:p>
            <w:pPr>
              <w:rPr>
                <w:rFonts w:ascii="宋体" w:eastAsia="宋体" w:hAnsi="宋体" w:cs="宋体" w:hint="eastAsia"/>
                <w:b/>
                <w:sz w:val="21"/>
                <w:szCs w:val="21"/>
              </w:rPr>
            </w:pPr>
            <w:r>
              <w:rPr>
                <w:rFonts w:ascii="宋体" w:eastAsia="宋体" w:hAnsi="宋体" w:cs="宋体" w:hint="eastAsia"/>
                <w:color w:val="000000"/>
                <w:sz w:val="21"/>
                <w:szCs w:val="21"/>
              </w:rPr>
              <w:t>4、可接入2T/3T/4T/6T/8T/10T/12T/14T/16T/18T/20T/25T/26T SATA/SAS硬盘；支持NL-SAS 硬盘、HDD硬盘、SSD硬盘、氦气硬盘、空气硬盘；支持 CMR或SMR硬盘；支持硬盘交错/分时启动，节省功耗。</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
                <w:sz w:val="21"/>
                <w:szCs w:val="21"/>
              </w:rPr>
            </w:pPr>
          </w:p>
        </w:tc>
        <w:tc>
          <w:tcPr>
            <w:tcW w:w="1047" w:type="dxa"/>
            <w:vMerge/>
            <w:vAlign w:val="center"/>
          </w:tcPr>
          <w:p>
            <w:pPr>
              <w:rPr>
                <w:rFonts w:ascii="宋体" w:eastAsia="宋体" w:hAnsi="宋体" w:cs="宋体" w:hint="eastAsia"/>
                <w:b/>
                <w:sz w:val="21"/>
                <w:szCs w:val="21"/>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sz w:val="21"/>
                <w:szCs w:val="21"/>
                <w:lang w:eastAsia="zh-CN"/>
              </w:rPr>
              <w:t>▲</w:t>
            </w:r>
            <w:r>
              <w:rPr>
                <w:rFonts w:ascii="宋体" w:eastAsia="宋体" w:hAnsi="宋体" w:cs="宋体" w:hint="eastAsia"/>
                <w:color w:val="000000"/>
                <w:sz w:val="21"/>
                <w:szCs w:val="21"/>
                <w:lang w:eastAsia="zh-CN"/>
              </w:rPr>
              <w:t>5、支持国际GB/T 28181和Onvif视频流直存模式；支持iSCSI直存功能，前端网络摄像机和设备之间可直接通过iSCSI协议进行块存储；</w:t>
            </w:r>
            <w:r>
              <w:rPr>
                <w:rFonts w:ascii="宋体" w:eastAsia="宋体" w:hAnsi="宋体" w:cs="宋体" w:hint="eastAsia"/>
                <w:b/>
                <w:bCs/>
                <w:color w:val="000000"/>
                <w:sz w:val="21"/>
                <w:szCs w:val="21"/>
                <w:lang w:eastAsia="zh-CN"/>
              </w:rPr>
              <w:t>（需提供拥有CMA认证标识的第三方检测机构出具检测报告扫描件，</w:t>
            </w:r>
            <w:r>
              <w:rPr>
                <w:rFonts w:ascii="宋体" w:eastAsia="宋体" w:hAnsi="宋体" w:cs="宋体" w:hint="eastAsia"/>
                <w:b/>
                <w:bCs/>
                <w:sz w:val="21"/>
                <w:szCs w:val="21"/>
                <w:lang w:eastAsia="zh-CN"/>
              </w:rPr>
              <w:t>要求内容能体现满足上述参数要求。检测报告需提供全国认证认可信息公共服务平台网站（http://cx.cnca.cn/CertECloud/qts/qts/qtsPage）查询截图作为证明材料）</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
                <w:sz w:val="21"/>
                <w:szCs w:val="21"/>
                <w:lang w:eastAsia="zh-CN"/>
              </w:rPr>
            </w:pPr>
          </w:p>
        </w:tc>
        <w:tc>
          <w:tcPr>
            <w:tcW w:w="1047" w:type="dxa"/>
            <w:vMerge/>
            <w:vAlign w:val="center"/>
          </w:tcPr>
          <w:p>
            <w:pPr>
              <w:rPr>
                <w:rFonts w:ascii="宋体" w:eastAsia="宋体" w:hAnsi="宋体" w:cs="宋体" w:hint="eastAsia"/>
                <w:b/>
                <w:sz w:val="21"/>
                <w:szCs w:val="21"/>
                <w:lang w:eastAsia="zh-CN"/>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sz w:val="21"/>
                <w:szCs w:val="21"/>
                <w:lang w:eastAsia="zh-CN"/>
              </w:rPr>
              <w:t>▲</w:t>
            </w:r>
            <w:r>
              <w:rPr>
                <w:rFonts w:ascii="宋体" w:eastAsia="宋体" w:hAnsi="宋体" w:cs="宋体" w:hint="eastAsia"/>
                <w:color w:val="000000"/>
                <w:sz w:val="21"/>
                <w:szCs w:val="21"/>
                <w:lang w:eastAsia="zh-CN"/>
              </w:rPr>
              <w:t>6、支持查看硬盘体检的历史记录、硬盘健康状态，并对硬盘健康状态进行分级分类，包括健康（良好、正常）、亚健康（警告、即将损坏）、故障（错误、损坏）等；支持硬盘体检报告打印输出；</w:t>
            </w:r>
            <w:r>
              <w:rPr>
                <w:rFonts w:ascii="宋体" w:eastAsia="宋体" w:hAnsi="宋体" w:cs="宋体" w:hint="eastAsia"/>
                <w:b/>
                <w:bCs/>
                <w:color w:val="000000"/>
                <w:sz w:val="21"/>
                <w:szCs w:val="21"/>
                <w:lang w:eastAsia="zh-CN"/>
              </w:rPr>
              <w:t>（需提供拥有CMA认证标识的第三方检测机构出具检测报告扫描件，</w:t>
            </w:r>
            <w:r>
              <w:rPr>
                <w:rFonts w:ascii="宋体" w:eastAsia="宋体" w:hAnsi="宋体" w:cs="宋体" w:hint="eastAsia"/>
                <w:b/>
                <w:bCs/>
                <w:sz w:val="21"/>
                <w:szCs w:val="21"/>
                <w:lang w:eastAsia="zh-CN"/>
              </w:rPr>
              <w:t>要求内容能体现满足上述参数要求。检测报告需提供全国认证认可信息公共服务平台网站（http://cx.cnca.cn/CertECloud/qts/qts/qtsPage）查询截图作为证明材料）</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
                <w:sz w:val="21"/>
                <w:szCs w:val="21"/>
                <w:lang w:eastAsia="zh-CN"/>
              </w:rPr>
            </w:pPr>
          </w:p>
        </w:tc>
        <w:tc>
          <w:tcPr>
            <w:tcW w:w="1047" w:type="dxa"/>
            <w:vMerge/>
            <w:vAlign w:val="center"/>
          </w:tcPr>
          <w:p>
            <w:pPr>
              <w:rPr>
                <w:rFonts w:ascii="宋体" w:eastAsia="宋体" w:hAnsi="宋体" w:cs="宋体" w:hint="eastAsia"/>
                <w:b/>
                <w:sz w:val="21"/>
                <w:szCs w:val="21"/>
                <w:lang w:eastAsia="zh-CN"/>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color w:val="000000"/>
                <w:sz w:val="21"/>
                <w:szCs w:val="21"/>
                <w:lang w:eastAsia="zh-CN"/>
              </w:rPr>
              <w:t>7、支持内存资源动态调节，根据业务需求进行自动分配，当业务压力增加时，内存自动分配</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
                <w:sz w:val="21"/>
                <w:szCs w:val="21"/>
                <w:lang w:eastAsia="zh-CN"/>
              </w:rPr>
            </w:pPr>
          </w:p>
        </w:tc>
        <w:tc>
          <w:tcPr>
            <w:tcW w:w="1047" w:type="dxa"/>
            <w:vMerge/>
            <w:vAlign w:val="center"/>
          </w:tcPr>
          <w:p>
            <w:pPr>
              <w:rPr>
                <w:rFonts w:ascii="宋体" w:eastAsia="宋体" w:hAnsi="宋体" w:cs="宋体" w:hint="eastAsia"/>
                <w:b/>
                <w:sz w:val="21"/>
                <w:szCs w:val="21"/>
                <w:lang w:eastAsia="zh-CN"/>
              </w:rPr>
            </w:pPr>
          </w:p>
        </w:tc>
        <w:tc>
          <w:tcPr>
            <w:tcW w:w="7464" w:type="dxa"/>
            <w:vAlign w:val="center"/>
          </w:tcPr>
          <w:p>
            <w:pPr>
              <w:rPr>
                <w:rFonts w:ascii="宋体" w:eastAsia="宋体" w:hAnsi="宋体" w:cs="宋体" w:hint="eastAsia"/>
                <w:bCs/>
                <w:sz w:val="21"/>
                <w:szCs w:val="21"/>
                <w:lang w:eastAsia="zh-CN"/>
              </w:rPr>
            </w:pPr>
            <w:r>
              <w:rPr>
                <w:rFonts w:ascii="宋体" w:eastAsia="宋体" w:hAnsi="宋体" w:cs="宋体" w:hint="eastAsia"/>
                <w:color w:val="000000"/>
                <w:sz w:val="21"/>
                <w:szCs w:val="21"/>
                <w:lang w:eastAsia="zh-CN"/>
              </w:rPr>
              <w:t>8、支持通过IE、火狐、Google、QQ、360、遨游、搜狗、百度、猎豹、欧朋浏览器对样机进行操作；对单个或多个设备或设备内的磁盘进行定位，并可设置时间，支持存储硬盘出现故障，对应硬盘槽位有报警灯光提示</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restart"/>
            <w:vAlign w:val="center"/>
          </w:tcPr>
          <w:p>
            <w:pPr>
              <w:jc w:val="center"/>
              <w:rPr>
                <w:rFonts w:ascii="宋体" w:eastAsia="宋体" w:hAnsi="宋体" w:cs="宋体" w:hint="eastAsia"/>
                <w:b/>
                <w:sz w:val="21"/>
                <w:szCs w:val="21"/>
              </w:rPr>
            </w:pPr>
            <w:r>
              <w:rPr>
                <w:rFonts w:ascii="宋体" w:eastAsia="宋体" w:hAnsi="宋体" w:cs="宋体" w:hint="eastAsia"/>
                <w:color w:val="000000"/>
                <w:sz w:val="21"/>
                <w:szCs w:val="21"/>
              </w:rPr>
              <w:t>2</w:t>
            </w:r>
          </w:p>
        </w:tc>
        <w:tc>
          <w:tcPr>
            <w:tcW w:w="1047" w:type="dxa"/>
            <w:vMerge w:val="restart"/>
            <w:vAlign w:val="center"/>
          </w:tcPr>
          <w:p>
            <w:pPr>
              <w:rPr>
                <w:rFonts w:ascii="宋体" w:eastAsia="宋体" w:hAnsi="宋体" w:cs="宋体" w:hint="eastAsia"/>
                <w:b/>
                <w:sz w:val="21"/>
                <w:szCs w:val="21"/>
              </w:rPr>
            </w:pPr>
            <w:r>
              <w:rPr>
                <w:rFonts w:ascii="宋体" w:eastAsia="宋体" w:hAnsi="宋体" w:cs="宋体" w:hint="eastAsia"/>
                <w:color w:val="000000"/>
                <w:sz w:val="21"/>
                <w:szCs w:val="21"/>
              </w:rPr>
              <w:t>黑光枪型摄像头</w:t>
            </w:r>
          </w:p>
        </w:tc>
        <w:tc>
          <w:tcPr>
            <w:tcW w:w="7464" w:type="dxa"/>
            <w:vAlign w:val="center"/>
          </w:tcPr>
          <w:p>
            <w:pPr>
              <w:rPr>
                <w:rFonts w:ascii="宋体" w:eastAsia="宋体" w:hAnsi="宋体" w:cs="宋体" w:hint="eastAsia"/>
                <w:b/>
                <w:sz w:val="21"/>
                <w:szCs w:val="21"/>
              </w:rPr>
            </w:pPr>
            <w:r>
              <w:rPr>
                <w:rFonts w:ascii="宋体" w:eastAsia="宋体" w:hAnsi="宋体" w:cs="宋体" w:hint="eastAsia"/>
                <w:color w:val="000000"/>
                <w:sz w:val="21"/>
                <w:szCs w:val="21"/>
              </w:rPr>
              <w:t>1、分辨率设置为≥2560×1440@25fps，分辨力不小于1400TVL；</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rPr>
            </w:pPr>
          </w:p>
        </w:tc>
        <w:tc>
          <w:tcPr>
            <w:tcW w:w="1047" w:type="dxa"/>
            <w:vMerge/>
            <w:vAlign w:val="center"/>
          </w:tcPr>
          <w:p>
            <w:pPr>
              <w:rPr>
                <w:rFonts w:ascii="宋体" w:eastAsia="宋体" w:hAnsi="宋体" w:cs="宋体" w:hint="eastAsia"/>
                <w:color w:val="000000"/>
                <w:sz w:val="21"/>
                <w:szCs w:val="21"/>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color w:val="000000"/>
                <w:sz w:val="21"/>
                <w:szCs w:val="21"/>
                <w:lang w:eastAsia="zh-CN"/>
              </w:rPr>
              <w:t>2、内置双镜头，靶面尺寸均不低于1/1.8英寸；</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color w:val="000000"/>
                <w:sz w:val="21"/>
                <w:szCs w:val="21"/>
                <w:lang w:eastAsia="zh-CN"/>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sz w:val="21"/>
                <w:szCs w:val="21"/>
                <w:lang w:eastAsia="zh-CN"/>
              </w:rPr>
              <w:t>▲</w:t>
            </w:r>
            <w:r>
              <w:rPr>
                <w:rFonts w:ascii="宋体" w:eastAsia="宋体" w:hAnsi="宋体" w:cs="宋体" w:hint="eastAsia"/>
                <w:color w:val="000000"/>
                <w:sz w:val="21"/>
                <w:szCs w:val="21"/>
                <w:lang w:eastAsia="zh-CN"/>
              </w:rPr>
              <w:t>3、内置两个图像传感器，分别输出黑白及彩色图像，可对视频图像进行融合输出；</w:t>
            </w:r>
            <w:r>
              <w:rPr>
                <w:rFonts w:ascii="宋体" w:eastAsia="宋体" w:hAnsi="宋体" w:cs="宋体" w:hint="eastAsia"/>
                <w:b/>
                <w:bCs/>
                <w:color w:val="000000"/>
                <w:sz w:val="21"/>
                <w:szCs w:val="21"/>
                <w:lang w:eastAsia="zh-CN"/>
              </w:rPr>
              <w:t>（需提供拥有CMA认证标识的第三方检测机构出具检测报告扫描件，</w:t>
            </w:r>
            <w:r>
              <w:rPr>
                <w:rFonts w:ascii="宋体" w:eastAsia="宋体" w:hAnsi="宋体" w:cs="宋体" w:hint="eastAsia"/>
                <w:b/>
                <w:bCs/>
                <w:sz w:val="21"/>
                <w:szCs w:val="21"/>
                <w:lang w:eastAsia="zh-CN"/>
              </w:rPr>
              <w:t>要求内容能体现满足上述参数要求。检测报告需提供全国认证认可信息公共服务平台网站（http://cx.cnca.cn/CertECloud/qts/qts/qtsPage）查询截图作为证明材料）</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color w:val="000000"/>
                <w:sz w:val="21"/>
                <w:szCs w:val="21"/>
                <w:lang w:eastAsia="zh-CN"/>
              </w:rPr>
            </w:pPr>
          </w:p>
        </w:tc>
        <w:tc>
          <w:tcPr>
            <w:tcW w:w="7464" w:type="dxa"/>
            <w:vAlign w:val="center"/>
          </w:tcPr>
          <w:p>
            <w:pPr>
              <w:rPr>
                <w:rFonts w:ascii="宋体" w:eastAsia="宋体" w:hAnsi="宋体" w:cs="宋体" w:hint="eastAsia"/>
                <w:b/>
                <w:sz w:val="21"/>
                <w:szCs w:val="21"/>
              </w:rPr>
            </w:pPr>
            <w:r>
              <w:rPr>
                <w:rFonts w:ascii="宋体" w:eastAsia="宋体" w:hAnsi="宋体" w:cs="宋体" w:hint="eastAsia"/>
                <w:color w:val="000000"/>
                <w:sz w:val="21"/>
                <w:szCs w:val="21"/>
              </w:rPr>
              <w:t>4、内置GPU芯片；</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rPr>
            </w:pPr>
          </w:p>
        </w:tc>
        <w:tc>
          <w:tcPr>
            <w:tcW w:w="1047" w:type="dxa"/>
            <w:vMerge/>
            <w:vAlign w:val="center"/>
          </w:tcPr>
          <w:p>
            <w:pPr>
              <w:rPr>
                <w:rFonts w:ascii="宋体" w:eastAsia="宋体" w:hAnsi="宋体" w:cs="宋体" w:hint="eastAsia"/>
                <w:color w:val="000000"/>
                <w:sz w:val="21"/>
                <w:szCs w:val="21"/>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color w:val="000000"/>
                <w:sz w:val="21"/>
                <w:szCs w:val="21"/>
                <w:lang w:eastAsia="zh-CN"/>
              </w:rPr>
              <w:t>5、最低照度彩色：0.0002 lx，黑白:0.0001 lx，最大亮度鉴别等级（灰度等级）不小于11级；</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color w:val="000000"/>
                <w:sz w:val="21"/>
                <w:szCs w:val="21"/>
                <w:lang w:eastAsia="zh-CN"/>
              </w:rPr>
              <w:t>6、内置混合补光灯，每颗补光灯由红外灯、白光灯组成，可自动或手动调节补光灯的亮度；</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color w:val="000000"/>
                <w:sz w:val="21"/>
                <w:szCs w:val="21"/>
                <w:lang w:eastAsia="zh-CN"/>
              </w:rPr>
              <w:t>7、人脸检出率不小于99%；</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sz w:val="21"/>
                <w:szCs w:val="21"/>
                <w:lang w:eastAsia="zh-CN"/>
              </w:rPr>
              <w:t>▲</w:t>
            </w:r>
            <w:r>
              <w:rPr>
                <w:rFonts w:ascii="宋体" w:eastAsia="宋体" w:hAnsi="宋体" w:cs="宋体" w:hint="eastAsia"/>
                <w:color w:val="000000"/>
                <w:sz w:val="21"/>
                <w:szCs w:val="21"/>
                <w:lang w:eastAsia="zh-CN"/>
              </w:rPr>
              <w:t>8、设备具有耀光抑制功能，耀光区域≤1%；</w:t>
            </w:r>
            <w:r>
              <w:rPr>
                <w:rFonts w:ascii="宋体" w:eastAsia="宋体" w:hAnsi="宋体" w:cs="宋体" w:hint="eastAsia"/>
                <w:b/>
                <w:bCs/>
                <w:color w:val="000000"/>
                <w:sz w:val="21"/>
                <w:szCs w:val="21"/>
                <w:lang w:eastAsia="zh-CN"/>
              </w:rPr>
              <w:t>（需提供拥有CMA标识的第三方检测机构出具检测报告扫描件，</w:t>
            </w:r>
            <w:r>
              <w:rPr>
                <w:rFonts w:ascii="宋体" w:eastAsia="宋体" w:hAnsi="宋体" w:cs="宋体" w:hint="eastAsia"/>
                <w:b/>
                <w:bCs/>
                <w:sz w:val="21"/>
                <w:szCs w:val="21"/>
                <w:lang w:eastAsia="zh-CN"/>
              </w:rPr>
              <w:t>要求内容能体现满足上述参数要求。检测报告需提供全国认证认可信息公共服务平台网站（http://cx.cnca.cn/CertECloud/qts/qts/qtsPage）查询截图作为证明材料）</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
                <w:sz w:val="21"/>
                <w:szCs w:val="21"/>
                <w:lang w:eastAsia="zh-CN"/>
              </w:rPr>
            </w:pPr>
          </w:p>
        </w:tc>
        <w:tc>
          <w:tcPr>
            <w:tcW w:w="1047" w:type="dxa"/>
            <w:vMerge/>
            <w:vAlign w:val="center"/>
          </w:tcPr>
          <w:p>
            <w:pPr>
              <w:rPr>
                <w:rFonts w:ascii="宋体" w:eastAsia="宋体" w:hAnsi="宋体" w:cs="宋体" w:hint="eastAsia"/>
                <w:b/>
                <w:sz w:val="21"/>
                <w:szCs w:val="21"/>
                <w:lang w:eastAsia="zh-CN"/>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color w:val="000000"/>
                <w:sz w:val="21"/>
                <w:szCs w:val="21"/>
                <w:lang w:eastAsia="zh-CN"/>
              </w:rPr>
              <w:t>9、不低于IP67防尘防水等级</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restart"/>
            <w:vAlign w:val="center"/>
          </w:tcPr>
          <w:p>
            <w:pPr>
              <w:jc w:val="center"/>
              <w:rPr>
                <w:rFonts w:ascii="宋体" w:eastAsia="宋体" w:hAnsi="宋体" w:cs="宋体" w:hint="eastAsia"/>
                <w:bCs/>
                <w:sz w:val="21"/>
                <w:szCs w:val="21"/>
              </w:rPr>
            </w:pPr>
            <w:r>
              <w:rPr>
                <w:rFonts w:ascii="宋体" w:eastAsia="宋体" w:hAnsi="宋体" w:cs="宋体" w:hint="eastAsia"/>
                <w:color w:val="000000"/>
                <w:sz w:val="21"/>
                <w:szCs w:val="21"/>
              </w:rPr>
              <w:t>3</w:t>
            </w:r>
          </w:p>
        </w:tc>
        <w:tc>
          <w:tcPr>
            <w:tcW w:w="1047" w:type="dxa"/>
            <w:vMerge w:val="restart"/>
            <w:vAlign w:val="center"/>
          </w:tcPr>
          <w:p>
            <w:pPr>
              <w:rPr>
                <w:rFonts w:ascii="宋体" w:eastAsia="宋体" w:hAnsi="宋体" w:cs="宋体" w:hint="eastAsia"/>
                <w:b/>
                <w:sz w:val="21"/>
                <w:szCs w:val="21"/>
              </w:rPr>
            </w:pPr>
            <w:r>
              <w:rPr>
                <w:rFonts w:ascii="宋体" w:eastAsia="宋体" w:hAnsi="宋体" w:cs="宋体" w:hint="eastAsia"/>
                <w:color w:val="000000"/>
                <w:sz w:val="21"/>
                <w:szCs w:val="21"/>
              </w:rPr>
              <w:t>8口光网络交换设备</w:t>
            </w:r>
          </w:p>
        </w:tc>
        <w:tc>
          <w:tcPr>
            <w:tcW w:w="7464" w:type="dxa"/>
            <w:vAlign w:val="center"/>
          </w:tcPr>
          <w:p>
            <w:pPr>
              <w:rPr>
                <w:rFonts w:ascii="宋体" w:eastAsia="宋体" w:hAnsi="宋体" w:cs="宋体" w:hint="eastAsia"/>
                <w:bCs/>
                <w:sz w:val="21"/>
                <w:szCs w:val="21"/>
              </w:rPr>
            </w:pPr>
            <w:r>
              <w:rPr>
                <w:rFonts w:ascii="宋体" w:eastAsia="宋体" w:hAnsi="宋体" w:cs="宋体" w:hint="eastAsia"/>
                <w:bCs/>
                <w:sz w:val="21"/>
                <w:szCs w:val="21"/>
              </w:rPr>
              <w:t>1、上行提供≥1个GPON接口、下行支持≥8*GE，其中 PoE1~PoE4 接口支持PoE/PoE+；</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Cs/>
                <w:sz w:val="21"/>
                <w:szCs w:val="21"/>
              </w:rPr>
            </w:pPr>
          </w:p>
        </w:tc>
        <w:tc>
          <w:tcPr>
            <w:tcW w:w="1047" w:type="dxa"/>
            <w:vMerge/>
            <w:vAlign w:val="center"/>
          </w:tcPr>
          <w:p>
            <w:pPr>
              <w:rPr>
                <w:rFonts w:ascii="宋体" w:eastAsia="宋体" w:hAnsi="宋体" w:cs="宋体" w:hint="eastAsia"/>
                <w:sz w:val="21"/>
                <w:szCs w:val="21"/>
              </w:rPr>
            </w:pPr>
          </w:p>
        </w:tc>
        <w:tc>
          <w:tcPr>
            <w:tcW w:w="7464" w:type="dxa"/>
            <w:vAlign w:val="center"/>
          </w:tcPr>
          <w:p>
            <w:pPr>
              <w:rPr>
                <w:rFonts w:ascii="宋体" w:eastAsia="宋体" w:hAnsi="宋体" w:cs="宋体" w:hint="eastAsia"/>
                <w:bCs/>
                <w:sz w:val="21"/>
                <w:szCs w:val="21"/>
              </w:rPr>
            </w:pPr>
            <w:r>
              <w:rPr>
                <w:rFonts w:ascii="宋体" w:eastAsia="宋体" w:hAnsi="宋体" w:cs="宋体" w:hint="eastAsia"/>
                <w:bCs/>
                <w:sz w:val="21"/>
                <w:szCs w:val="21"/>
              </w:rPr>
              <w:t>2、防雷性能：</w:t>
            </w:r>
            <w:r>
              <w:rPr>
                <w:rFonts w:ascii="宋体" w:eastAsia="宋体" w:hAnsi="宋体" w:cs="宋体" w:hint="eastAsia"/>
                <w:color w:val="000000"/>
                <w:sz w:val="21"/>
                <w:szCs w:val="21"/>
              </w:rPr>
              <w:t>≥</w:t>
            </w:r>
            <w:r>
              <w:rPr>
                <w:rFonts w:ascii="宋体" w:eastAsia="宋体" w:hAnsi="宋体" w:cs="宋体" w:hint="eastAsia"/>
                <w:bCs/>
                <w:sz w:val="21"/>
                <w:szCs w:val="21"/>
              </w:rPr>
              <w:t xml:space="preserve"> 6kV；</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Cs/>
                <w:sz w:val="21"/>
                <w:szCs w:val="21"/>
              </w:rPr>
            </w:pPr>
          </w:p>
        </w:tc>
        <w:tc>
          <w:tcPr>
            <w:tcW w:w="1047" w:type="dxa"/>
            <w:vMerge/>
            <w:vAlign w:val="center"/>
          </w:tcPr>
          <w:p>
            <w:pPr>
              <w:rPr>
                <w:rFonts w:ascii="宋体" w:eastAsia="宋体" w:hAnsi="宋体" w:cs="宋体" w:hint="eastAsia"/>
                <w:sz w:val="21"/>
                <w:szCs w:val="21"/>
              </w:rPr>
            </w:pPr>
          </w:p>
        </w:tc>
        <w:tc>
          <w:tcPr>
            <w:tcW w:w="7464" w:type="dxa"/>
            <w:vAlign w:val="center"/>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3、工作温度:-5°C ~ +45°C；</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Cs/>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4、环境湿度:5% RH ～ 95% RH，非凝结；</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Cs/>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5、统一网管：支持网管系统集中管理</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Cs/>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b/>
                <w:sz w:val="21"/>
                <w:szCs w:val="21"/>
                <w:lang w:eastAsia="zh-CN"/>
              </w:rPr>
              <w:t>6、支持802.1x，提供官网链接和截图或产品彩页</w:t>
            </w:r>
            <w:r>
              <w:rPr>
                <w:rFonts w:ascii="宋体" w:eastAsia="宋体" w:hAnsi="宋体" w:cs="宋体" w:hint="eastAsia"/>
                <w:b/>
                <w:bCs/>
                <w:color w:val="000000"/>
                <w:sz w:val="21"/>
                <w:szCs w:val="21"/>
                <w:lang w:eastAsia="zh-CN"/>
              </w:rPr>
              <w:t>扫描件</w:t>
            </w:r>
            <w:r>
              <w:rPr>
                <w:rFonts w:ascii="宋体" w:eastAsia="宋体" w:hAnsi="宋体" w:cs="宋体" w:hint="eastAsia"/>
                <w:b/>
                <w:sz w:val="21"/>
                <w:szCs w:val="21"/>
                <w:lang w:eastAsia="zh-CN"/>
              </w:rPr>
              <w:t>；</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Cs/>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bCs/>
                <w:sz w:val="21"/>
                <w:szCs w:val="21"/>
                <w:lang w:eastAsia="zh-CN"/>
              </w:rPr>
            </w:pPr>
            <w:r>
              <w:rPr>
                <w:rFonts w:ascii="宋体" w:eastAsia="宋体" w:hAnsi="宋体" w:cs="宋体" w:hint="eastAsia"/>
                <w:bCs/>
                <w:sz w:val="21"/>
                <w:szCs w:val="21"/>
                <w:lang w:eastAsia="zh-CN"/>
              </w:rPr>
              <w:t>7、支持静态 MAC 地址绑定；</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Cs/>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b/>
                <w:sz w:val="21"/>
                <w:szCs w:val="21"/>
                <w:lang w:eastAsia="zh-CN"/>
              </w:rPr>
              <w:t>8、支持Type B（单双归属）保护，提供官网链接和截图或产品彩页</w:t>
            </w:r>
            <w:r>
              <w:rPr>
                <w:rFonts w:ascii="宋体" w:eastAsia="宋体" w:hAnsi="宋体" w:cs="宋体" w:hint="eastAsia"/>
                <w:b/>
                <w:bCs/>
                <w:color w:val="000000"/>
                <w:sz w:val="21"/>
                <w:szCs w:val="21"/>
                <w:lang w:eastAsia="zh-CN"/>
              </w:rPr>
              <w:t>扫描件</w:t>
            </w:r>
            <w:r>
              <w:rPr>
                <w:rFonts w:ascii="宋体" w:eastAsia="宋体" w:hAnsi="宋体" w:cs="宋体" w:hint="eastAsia"/>
                <w:b/>
                <w:sz w:val="21"/>
                <w:szCs w:val="21"/>
                <w:lang w:eastAsia="zh-CN"/>
              </w:rPr>
              <w:t>；</w:t>
            </w:r>
          </w:p>
        </w:tc>
      </w:tr>
      <w:tr>
        <w:tblPrEx>
          <w:tblW w:w="5000" w:type="pct"/>
          <w:tblInd w:w="107" w:type="dxa"/>
          <w:tblLayout w:type="fixed"/>
          <w:tblCellMar>
            <w:top w:w="0" w:type="dxa"/>
            <w:left w:w="108" w:type="dxa"/>
            <w:bottom w:w="0" w:type="dxa"/>
            <w:right w:w="108" w:type="dxa"/>
          </w:tblCellMar>
        </w:tblPrEx>
        <w:trPr>
          <w:trHeight w:val="90"/>
        </w:trPr>
        <w:tc>
          <w:tcPr>
            <w:tcW w:w="710" w:type="dxa"/>
            <w:vMerge/>
            <w:vAlign w:val="center"/>
          </w:tcPr>
          <w:p>
            <w:pPr>
              <w:jc w:val="center"/>
              <w:rPr>
                <w:rFonts w:ascii="宋体" w:eastAsia="宋体" w:hAnsi="宋体" w:cs="宋体" w:hint="eastAsia"/>
                <w:bCs/>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bCs/>
                <w:sz w:val="21"/>
                <w:szCs w:val="21"/>
              </w:rPr>
            </w:pPr>
            <w:r>
              <w:rPr>
                <w:rFonts w:ascii="宋体" w:eastAsia="宋体" w:hAnsi="宋体" w:cs="宋体" w:hint="eastAsia"/>
                <w:bCs/>
                <w:sz w:val="21"/>
                <w:szCs w:val="21"/>
              </w:rPr>
              <w:t>9、支持IPv6；</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bCs/>
                <w:sz w:val="21"/>
                <w:szCs w:val="21"/>
              </w:rPr>
            </w:pPr>
          </w:p>
        </w:tc>
        <w:tc>
          <w:tcPr>
            <w:tcW w:w="1047" w:type="dxa"/>
            <w:vMerge/>
            <w:vAlign w:val="center"/>
          </w:tcPr>
          <w:p>
            <w:pPr>
              <w:rPr>
                <w:rFonts w:ascii="宋体" w:eastAsia="宋体" w:hAnsi="宋体" w:cs="宋体" w:hint="eastAsia"/>
                <w:sz w:val="21"/>
                <w:szCs w:val="21"/>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bCs/>
                <w:sz w:val="21"/>
                <w:szCs w:val="21"/>
                <w:lang w:eastAsia="zh-CN"/>
              </w:rPr>
              <w:t>10、为确保网络兼容性和稳定性，要求此设备和现有OLT设备同一品牌；</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restart"/>
            <w:vAlign w:val="center"/>
          </w:tcPr>
          <w:p>
            <w:pPr>
              <w:jc w:val="center"/>
              <w:rPr>
                <w:rFonts w:ascii="宋体" w:eastAsia="宋体" w:hAnsi="宋体" w:cs="宋体" w:hint="eastAsia"/>
                <w:b/>
                <w:sz w:val="21"/>
                <w:szCs w:val="21"/>
              </w:rPr>
            </w:pPr>
            <w:r>
              <w:rPr>
                <w:rFonts w:ascii="宋体" w:eastAsia="宋体" w:hAnsi="宋体" w:cs="宋体" w:hint="eastAsia"/>
                <w:color w:val="000000"/>
                <w:sz w:val="21"/>
                <w:szCs w:val="21"/>
              </w:rPr>
              <w:t>4</w:t>
            </w:r>
          </w:p>
        </w:tc>
        <w:tc>
          <w:tcPr>
            <w:tcW w:w="1047" w:type="dxa"/>
            <w:vMerge w:val="restart"/>
            <w:vAlign w:val="center"/>
          </w:tcPr>
          <w:p>
            <w:pPr>
              <w:rPr>
                <w:rFonts w:ascii="宋体" w:eastAsia="宋体" w:hAnsi="宋体" w:cs="宋体" w:hint="eastAsia"/>
                <w:b/>
                <w:sz w:val="21"/>
                <w:szCs w:val="21"/>
              </w:rPr>
            </w:pPr>
            <w:r>
              <w:rPr>
                <w:rFonts w:ascii="宋体" w:eastAsia="宋体" w:hAnsi="宋体" w:cs="宋体" w:hint="eastAsia"/>
                <w:color w:val="000000"/>
                <w:sz w:val="21"/>
                <w:szCs w:val="21"/>
              </w:rPr>
              <w:t>24口光网络交换设备</w:t>
            </w:r>
          </w:p>
        </w:tc>
        <w:tc>
          <w:tcPr>
            <w:tcW w:w="7464" w:type="dxa"/>
            <w:vAlign w:val="center"/>
          </w:tcPr>
          <w:p>
            <w:pPr>
              <w:rPr>
                <w:rFonts w:ascii="宋体" w:eastAsia="宋体" w:hAnsi="宋体" w:cs="宋体" w:hint="eastAsia"/>
                <w:b/>
                <w:bCs/>
                <w:sz w:val="21"/>
                <w:szCs w:val="21"/>
              </w:rPr>
            </w:pPr>
            <w:r>
              <w:rPr>
                <w:rFonts w:ascii="宋体" w:eastAsia="宋体" w:hAnsi="宋体" w:cs="宋体" w:hint="eastAsia"/>
                <w:b/>
                <w:bCs/>
                <w:sz w:val="21"/>
                <w:szCs w:val="21"/>
              </w:rPr>
              <w:t>1、上行最大提供≥2*GPON(1*BOB+1*SFP),下行支持≥2*10GE(光) + 2*10GE(电) + 24*GE, 10GE(电)和 GE 接口支持 PoE++，提供官网链接和截图或产品彩页</w:t>
            </w:r>
            <w:r>
              <w:rPr>
                <w:rFonts w:ascii="宋体" w:eastAsia="宋体" w:hAnsi="宋体" w:cs="宋体" w:hint="eastAsia"/>
                <w:b/>
                <w:bCs/>
                <w:color w:val="000000"/>
                <w:sz w:val="21"/>
                <w:szCs w:val="21"/>
              </w:rPr>
              <w:t>扫描件</w:t>
            </w:r>
            <w:r>
              <w:rPr>
                <w:rFonts w:ascii="宋体" w:eastAsia="宋体" w:hAnsi="宋体" w:cs="宋体" w:hint="eastAsia"/>
                <w:b/>
                <w:bCs/>
                <w:sz w:val="21"/>
                <w:szCs w:val="21"/>
              </w:rPr>
              <w:t>；</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rPr>
            </w:pPr>
          </w:p>
        </w:tc>
        <w:tc>
          <w:tcPr>
            <w:tcW w:w="1047" w:type="dxa"/>
            <w:vMerge/>
            <w:vAlign w:val="center"/>
          </w:tcPr>
          <w:p>
            <w:pPr>
              <w:rPr>
                <w:rFonts w:ascii="宋体" w:eastAsia="宋体" w:hAnsi="宋体" w:cs="宋体" w:hint="eastAsia"/>
                <w:color w:val="000000"/>
                <w:sz w:val="21"/>
                <w:szCs w:val="21"/>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color w:val="000000"/>
                <w:sz w:val="21"/>
                <w:szCs w:val="21"/>
                <w:lang w:eastAsia="zh-CN"/>
              </w:rPr>
              <w:t>2、防雷性能：AC 电源 6kV；</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color w:val="000000"/>
                <w:sz w:val="21"/>
                <w:szCs w:val="21"/>
                <w:lang w:eastAsia="zh-CN"/>
              </w:rPr>
            </w:pPr>
          </w:p>
        </w:tc>
        <w:tc>
          <w:tcPr>
            <w:tcW w:w="7464" w:type="dxa"/>
            <w:vAlign w:val="center"/>
          </w:tcPr>
          <w:p>
            <w:pPr>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3、工作温度:-40°C～65°C，提供官网链接和截图或产品彩页</w:t>
            </w:r>
            <w:r>
              <w:rPr>
                <w:rFonts w:ascii="宋体" w:eastAsia="宋体" w:hAnsi="宋体" w:cs="宋体" w:hint="eastAsia"/>
                <w:b/>
                <w:bCs/>
                <w:color w:val="000000"/>
                <w:sz w:val="21"/>
                <w:szCs w:val="21"/>
                <w:lang w:eastAsia="zh-CN"/>
              </w:rPr>
              <w:t>扫描件</w:t>
            </w:r>
            <w:r>
              <w:rPr>
                <w:rFonts w:ascii="宋体" w:eastAsia="宋体" w:hAnsi="宋体" w:cs="宋体" w:hint="eastAsia"/>
                <w:b/>
                <w:bCs/>
                <w:sz w:val="21"/>
                <w:szCs w:val="21"/>
                <w:lang w:eastAsia="zh-CN"/>
              </w:rPr>
              <w:t>；</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color w:val="000000"/>
                <w:sz w:val="21"/>
                <w:szCs w:val="21"/>
                <w:lang w:eastAsia="zh-CN"/>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color w:val="000000"/>
                <w:sz w:val="21"/>
                <w:szCs w:val="21"/>
                <w:lang w:eastAsia="zh-CN"/>
              </w:rPr>
              <w:t>4、环境湿度:5%～95%，非凝结；</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color w:val="000000"/>
                <w:sz w:val="21"/>
                <w:szCs w:val="21"/>
                <w:lang w:eastAsia="zh-CN"/>
              </w:rPr>
            </w:pPr>
          </w:p>
        </w:tc>
        <w:tc>
          <w:tcPr>
            <w:tcW w:w="7464" w:type="dxa"/>
            <w:vAlign w:val="center"/>
          </w:tcPr>
          <w:p>
            <w:pPr>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5、认证方式：支持802.1x，提供官网链接和截图或产品彩页</w:t>
            </w:r>
            <w:r>
              <w:rPr>
                <w:rFonts w:ascii="宋体" w:eastAsia="宋体" w:hAnsi="宋体" w:cs="宋体" w:hint="eastAsia"/>
                <w:b/>
                <w:bCs/>
                <w:color w:val="000000"/>
                <w:sz w:val="21"/>
                <w:szCs w:val="21"/>
                <w:lang w:eastAsia="zh-CN"/>
              </w:rPr>
              <w:t>扫描件</w:t>
            </w:r>
            <w:r>
              <w:rPr>
                <w:rFonts w:ascii="宋体" w:eastAsia="宋体" w:hAnsi="宋体" w:cs="宋体" w:hint="eastAsia"/>
                <w:b/>
                <w:bCs/>
                <w:sz w:val="21"/>
                <w:szCs w:val="21"/>
                <w:lang w:eastAsia="zh-CN"/>
              </w:rPr>
              <w:t>；</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color w:val="000000"/>
                <w:sz w:val="21"/>
                <w:szCs w:val="21"/>
                <w:lang w:eastAsia="zh-CN"/>
              </w:rPr>
            </w:pPr>
          </w:p>
        </w:tc>
        <w:tc>
          <w:tcPr>
            <w:tcW w:w="7464" w:type="dxa"/>
            <w:vAlign w:val="center"/>
          </w:tcPr>
          <w:p>
            <w:pPr>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6、支持 PoE++功能，提供官网链接和截图或产品彩页</w:t>
            </w:r>
            <w:r>
              <w:rPr>
                <w:rFonts w:ascii="宋体" w:eastAsia="宋体" w:hAnsi="宋体" w:cs="宋体" w:hint="eastAsia"/>
                <w:b/>
                <w:bCs/>
                <w:color w:val="000000"/>
                <w:sz w:val="21"/>
                <w:szCs w:val="21"/>
                <w:lang w:eastAsia="zh-CN"/>
              </w:rPr>
              <w:t>扫描件</w:t>
            </w:r>
            <w:r>
              <w:rPr>
                <w:rFonts w:ascii="宋体" w:eastAsia="宋体" w:hAnsi="宋体" w:cs="宋体" w:hint="eastAsia"/>
                <w:b/>
                <w:bCs/>
                <w:sz w:val="21"/>
                <w:szCs w:val="21"/>
                <w:lang w:eastAsia="zh-CN"/>
              </w:rPr>
              <w:t>；</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color w:val="000000"/>
                <w:sz w:val="21"/>
                <w:szCs w:val="21"/>
                <w:lang w:eastAsia="zh-CN"/>
              </w:rPr>
            </w:pPr>
          </w:p>
        </w:tc>
        <w:tc>
          <w:tcPr>
            <w:tcW w:w="7464" w:type="dxa"/>
            <w:vAlign w:val="center"/>
          </w:tcPr>
          <w:p>
            <w:pPr>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7、支持Type B、Type C保护，提供官网链接和截图或产品彩页</w:t>
            </w:r>
            <w:r>
              <w:rPr>
                <w:rFonts w:ascii="宋体" w:eastAsia="宋体" w:hAnsi="宋体" w:cs="宋体" w:hint="eastAsia"/>
                <w:b/>
                <w:bCs/>
                <w:color w:val="000000"/>
                <w:sz w:val="21"/>
                <w:szCs w:val="21"/>
                <w:lang w:eastAsia="zh-CN"/>
              </w:rPr>
              <w:t>扫描件</w:t>
            </w:r>
            <w:r>
              <w:rPr>
                <w:rFonts w:ascii="宋体" w:eastAsia="宋体" w:hAnsi="宋体" w:cs="宋体" w:hint="eastAsia"/>
                <w:b/>
                <w:bCs/>
                <w:sz w:val="21"/>
                <w:szCs w:val="21"/>
                <w:lang w:eastAsia="zh-CN"/>
              </w:rPr>
              <w:t>；</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color w:val="000000"/>
                <w:sz w:val="21"/>
                <w:szCs w:val="21"/>
                <w:lang w:eastAsia="zh-CN"/>
              </w:rPr>
            </w:pPr>
          </w:p>
        </w:tc>
        <w:tc>
          <w:tcPr>
            <w:tcW w:w="7464" w:type="dxa"/>
            <w:vAlign w:val="center"/>
          </w:tcPr>
          <w:p>
            <w:pPr>
              <w:rPr>
                <w:rFonts w:ascii="宋体" w:eastAsia="宋体" w:hAnsi="宋体" w:cs="宋体" w:hint="eastAsia"/>
                <w:b/>
                <w:sz w:val="21"/>
                <w:szCs w:val="21"/>
              </w:rPr>
            </w:pPr>
            <w:r>
              <w:rPr>
                <w:rFonts w:ascii="宋体" w:eastAsia="宋体" w:hAnsi="宋体" w:cs="宋体" w:hint="eastAsia"/>
                <w:color w:val="000000"/>
                <w:sz w:val="21"/>
                <w:szCs w:val="21"/>
              </w:rPr>
              <w:t>8、支持IPv6；</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rPr>
            </w:pPr>
          </w:p>
        </w:tc>
        <w:tc>
          <w:tcPr>
            <w:tcW w:w="1047" w:type="dxa"/>
            <w:vMerge/>
            <w:vAlign w:val="center"/>
          </w:tcPr>
          <w:p>
            <w:pPr>
              <w:rPr>
                <w:rFonts w:ascii="宋体" w:eastAsia="宋体" w:hAnsi="宋体" w:cs="宋体" w:hint="eastAsia"/>
                <w:sz w:val="21"/>
                <w:szCs w:val="21"/>
              </w:rPr>
            </w:pPr>
          </w:p>
        </w:tc>
        <w:tc>
          <w:tcPr>
            <w:tcW w:w="7464" w:type="dxa"/>
            <w:vAlign w:val="center"/>
          </w:tcPr>
          <w:p>
            <w:pPr>
              <w:rPr>
                <w:rFonts w:ascii="宋体" w:eastAsia="宋体" w:hAnsi="宋体" w:cs="宋体" w:hint="eastAsia"/>
                <w:sz w:val="21"/>
                <w:szCs w:val="21"/>
                <w:lang w:eastAsia="zh-CN"/>
              </w:rPr>
            </w:pPr>
            <w:r>
              <w:rPr>
                <w:rFonts w:ascii="宋体" w:eastAsia="宋体" w:hAnsi="宋体" w:cs="宋体" w:hint="eastAsia"/>
                <w:color w:val="000000"/>
                <w:sz w:val="21"/>
                <w:szCs w:val="21"/>
                <w:lang w:eastAsia="zh-CN"/>
              </w:rPr>
              <w:t>9、为确保网络兼容性和稳定性，要求此设备和现有OLT设备同一品牌；</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restart"/>
            <w:vAlign w:val="center"/>
          </w:tcPr>
          <w:p>
            <w:pPr>
              <w:jc w:val="center"/>
              <w:rPr>
                <w:rFonts w:ascii="宋体" w:eastAsia="宋体" w:hAnsi="宋体" w:cs="宋体" w:hint="eastAsia"/>
                <w:sz w:val="21"/>
                <w:szCs w:val="21"/>
              </w:rPr>
            </w:pPr>
            <w:r>
              <w:rPr>
                <w:rFonts w:ascii="宋体" w:eastAsia="宋体" w:hAnsi="宋体" w:cs="宋体" w:hint="eastAsia"/>
                <w:sz w:val="21"/>
                <w:szCs w:val="21"/>
              </w:rPr>
              <w:t>5</w:t>
            </w:r>
          </w:p>
        </w:tc>
        <w:tc>
          <w:tcPr>
            <w:tcW w:w="1047" w:type="dxa"/>
            <w:vMerge w:val="restart"/>
            <w:vAlign w:val="center"/>
          </w:tcPr>
          <w:p>
            <w:pPr>
              <w:jc w:val="center"/>
              <w:rPr>
                <w:rFonts w:ascii="宋体" w:eastAsia="宋体" w:hAnsi="宋体" w:cs="宋体" w:hint="eastAsia"/>
                <w:sz w:val="21"/>
                <w:szCs w:val="21"/>
              </w:rPr>
            </w:pPr>
            <w:r>
              <w:rPr>
                <w:rFonts w:ascii="宋体" w:eastAsia="宋体" w:hAnsi="宋体" w:cs="宋体" w:hint="eastAsia"/>
                <w:sz w:val="21"/>
                <w:szCs w:val="21"/>
              </w:rPr>
              <w:t>无线AP</w:t>
            </w:r>
          </w:p>
        </w:tc>
        <w:tc>
          <w:tcPr>
            <w:tcW w:w="7464" w:type="dxa"/>
            <w:vAlign w:val="center"/>
          </w:tcPr>
          <w:p>
            <w:pPr>
              <w:rPr>
                <w:rFonts w:ascii="宋体" w:eastAsia="宋体" w:hAnsi="宋体" w:cs="宋体" w:hint="eastAsia"/>
                <w:bCs/>
                <w:sz w:val="21"/>
                <w:szCs w:val="21"/>
              </w:rPr>
            </w:pPr>
            <w:r>
              <w:rPr>
                <w:rFonts w:ascii="宋体" w:eastAsia="宋体" w:hAnsi="宋体" w:cs="宋体" w:hint="eastAsia"/>
                <w:bCs/>
                <w:sz w:val="21"/>
                <w:szCs w:val="21"/>
              </w:rPr>
              <w:t>1、支持IEEE 802.11a/n/ac/ax、IEEE 802.11b/g/n/ax无线协议</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rPr>
            </w:pPr>
          </w:p>
        </w:tc>
        <w:tc>
          <w:tcPr>
            <w:tcW w:w="1047" w:type="dxa"/>
            <w:vMerge/>
            <w:vAlign w:val="center"/>
          </w:tcPr>
          <w:p>
            <w:pPr>
              <w:rPr>
                <w:rFonts w:ascii="宋体" w:eastAsia="宋体" w:hAnsi="宋体" w:cs="宋体" w:hint="eastAsia"/>
                <w:sz w:val="21"/>
                <w:szCs w:val="21"/>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bCs/>
                <w:sz w:val="21"/>
                <w:szCs w:val="21"/>
                <w:lang w:eastAsia="zh-CN"/>
              </w:rPr>
              <w:t>2、支持最高无线速:2.4GHz频段0.575Gbps，5GHz频段2.4Gbps</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b/>
                <w:sz w:val="21"/>
                <w:szCs w:val="21"/>
              </w:rPr>
            </w:pPr>
            <w:r>
              <w:rPr>
                <w:rFonts w:ascii="宋体" w:eastAsia="宋体" w:hAnsi="宋体" w:cs="宋体" w:hint="eastAsia"/>
                <w:bCs/>
                <w:sz w:val="21"/>
                <w:szCs w:val="21"/>
              </w:rPr>
              <w:t>3、SSID数量:2.4G:7;5G:7</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rPr>
            </w:pPr>
          </w:p>
        </w:tc>
        <w:tc>
          <w:tcPr>
            <w:tcW w:w="1047" w:type="dxa"/>
            <w:vMerge/>
            <w:vAlign w:val="center"/>
          </w:tcPr>
          <w:p>
            <w:pPr>
              <w:rPr>
                <w:rFonts w:ascii="宋体" w:eastAsia="宋体" w:hAnsi="宋体" w:cs="宋体" w:hint="eastAsia"/>
                <w:sz w:val="21"/>
                <w:szCs w:val="21"/>
              </w:rPr>
            </w:pPr>
          </w:p>
        </w:tc>
        <w:tc>
          <w:tcPr>
            <w:tcW w:w="7464" w:type="dxa"/>
            <w:vAlign w:val="center"/>
          </w:tcPr>
          <w:p>
            <w:pPr>
              <w:rPr>
                <w:rFonts w:ascii="宋体" w:eastAsia="宋体" w:hAnsi="宋体" w:cs="宋体" w:hint="eastAsia"/>
                <w:sz w:val="21"/>
                <w:szCs w:val="21"/>
                <w:lang w:eastAsia="zh-CN"/>
              </w:rPr>
            </w:pPr>
            <w:r>
              <w:rPr>
                <w:rFonts w:ascii="宋体" w:eastAsia="宋体" w:hAnsi="宋体" w:cs="宋体" w:hint="eastAsia"/>
                <w:bCs/>
                <w:sz w:val="21"/>
                <w:szCs w:val="21"/>
                <w:lang w:eastAsia="zh-CN"/>
              </w:rPr>
              <w:t>4、信道带宽设置：2.4G:20M/40MHz/自动;5G:20M/40M/80/160MHz/自动</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sz w:val="21"/>
                <w:szCs w:val="21"/>
              </w:rPr>
            </w:pPr>
            <w:r>
              <w:rPr>
                <w:rFonts w:ascii="宋体" w:eastAsia="宋体" w:hAnsi="宋体" w:cs="宋体" w:hint="eastAsia"/>
                <w:bCs/>
                <w:sz w:val="21"/>
                <w:szCs w:val="21"/>
              </w:rPr>
              <w:t>5、支持Wi-Fi多频合一</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rPr>
            </w:pPr>
          </w:p>
        </w:tc>
        <w:tc>
          <w:tcPr>
            <w:tcW w:w="1047" w:type="dxa"/>
            <w:vMerge/>
            <w:vAlign w:val="center"/>
          </w:tcPr>
          <w:p>
            <w:pPr>
              <w:rPr>
                <w:rFonts w:ascii="宋体" w:eastAsia="宋体" w:hAnsi="宋体" w:cs="宋体" w:hint="eastAsia"/>
                <w:sz w:val="21"/>
                <w:szCs w:val="21"/>
              </w:rPr>
            </w:pPr>
          </w:p>
        </w:tc>
        <w:tc>
          <w:tcPr>
            <w:tcW w:w="7464" w:type="dxa"/>
            <w:vAlign w:val="center"/>
          </w:tcPr>
          <w:p>
            <w:pPr>
              <w:rPr>
                <w:rFonts w:ascii="宋体" w:eastAsia="宋体" w:hAnsi="宋体" w:cs="宋体" w:hint="eastAsia"/>
                <w:sz w:val="21"/>
                <w:szCs w:val="21"/>
                <w:lang w:eastAsia="zh-CN"/>
              </w:rPr>
            </w:pPr>
            <w:r>
              <w:rPr>
                <w:rFonts w:ascii="宋体" w:eastAsia="宋体" w:hAnsi="宋体" w:cs="宋体" w:hint="eastAsia"/>
                <w:bCs/>
                <w:sz w:val="21"/>
                <w:szCs w:val="21"/>
                <w:lang w:eastAsia="zh-CN"/>
              </w:rPr>
              <w:t>6、接口：1个10/100/1000Mbps速率自适应以太网接口</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sz w:val="21"/>
                <w:szCs w:val="21"/>
              </w:rPr>
            </w:pPr>
            <w:r>
              <w:rPr>
                <w:rFonts w:ascii="宋体" w:eastAsia="宋体" w:hAnsi="宋体" w:cs="宋体" w:hint="eastAsia"/>
                <w:bCs/>
                <w:sz w:val="21"/>
                <w:szCs w:val="21"/>
              </w:rPr>
              <w:t>7、支持IEEE 802.3at标准PoE供电，支持12V直流供电</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restart"/>
            <w:vAlign w:val="center"/>
          </w:tcPr>
          <w:p>
            <w:pPr>
              <w:jc w:val="center"/>
              <w:rPr>
                <w:rFonts w:ascii="宋体" w:eastAsia="宋体" w:hAnsi="宋体" w:cs="宋体" w:hint="eastAsia"/>
                <w:sz w:val="21"/>
                <w:szCs w:val="21"/>
              </w:rPr>
            </w:pPr>
            <w:r>
              <w:rPr>
                <w:rFonts w:ascii="宋体" w:eastAsia="宋体" w:hAnsi="宋体" w:cs="宋体" w:hint="eastAsia"/>
                <w:sz w:val="21"/>
                <w:szCs w:val="21"/>
              </w:rPr>
              <w:t>6</w:t>
            </w:r>
          </w:p>
        </w:tc>
        <w:tc>
          <w:tcPr>
            <w:tcW w:w="1047" w:type="dxa"/>
            <w:vMerge w:val="restart"/>
            <w:vAlign w:val="center"/>
          </w:tcPr>
          <w:p>
            <w:pPr>
              <w:jc w:val="center"/>
              <w:rPr>
                <w:rFonts w:ascii="宋体" w:eastAsia="宋体" w:hAnsi="宋体" w:cs="宋体" w:hint="eastAsia"/>
                <w:sz w:val="21"/>
                <w:szCs w:val="21"/>
              </w:rPr>
            </w:pPr>
            <w:r>
              <w:rPr>
                <w:rFonts w:ascii="宋体" w:eastAsia="宋体" w:hAnsi="宋体" w:cs="宋体" w:hint="eastAsia"/>
                <w:sz w:val="21"/>
                <w:szCs w:val="21"/>
              </w:rPr>
              <w:t>AC控制器</w:t>
            </w:r>
          </w:p>
        </w:tc>
        <w:tc>
          <w:tcPr>
            <w:tcW w:w="7464" w:type="dxa"/>
            <w:vAlign w:val="center"/>
          </w:tcPr>
          <w:p>
            <w:pPr>
              <w:rPr>
                <w:rFonts w:ascii="宋体" w:eastAsia="宋体" w:hAnsi="宋体" w:cs="宋体" w:hint="eastAsia"/>
                <w:sz w:val="21"/>
                <w:szCs w:val="21"/>
                <w:lang w:eastAsia="zh-CN"/>
              </w:rPr>
            </w:pPr>
            <w:r>
              <w:rPr>
                <w:rFonts w:ascii="宋体" w:eastAsia="宋体" w:hAnsi="宋体" w:cs="宋体" w:hint="eastAsia"/>
                <w:sz w:val="21"/>
                <w:szCs w:val="21"/>
                <w:lang w:eastAsia="zh-CN"/>
              </w:rPr>
              <w:t>1、LAN输出口：三个及以上2.5G网口</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sz w:val="21"/>
                <w:szCs w:val="21"/>
                <w:lang w:eastAsia="zh-CN"/>
              </w:rPr>
            </w:pPr>
            <w:r>
              <w:rPr>
                <w:rFonts w:ascii="宋体" w:eastAsia="宋体" w:hAnsi="宋体" w:cs="宋体" w:hint="eastAsia"/>
                <w:sz w:val="21"/>
                <w:szCs w:val="21"/>
                <w:lang w:eastAsia="zh-CN"/>
              </w:rPr>
              <w:t>2、WAN接入口：三个及以上2.5G网口</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sz w:val="21"/>
                <w:szCs w:val="21"/>
              </w:rPr>
            </w:pPr>
            <w:r>
              <w:rPr>
                <w:rFonts w:ascii="宋体" w:eastAsia="宋体" w:hAnsi="宋体" w:cs="宋体" w:hint="eastAsia"/>
                <w:sz w:val="21"/>
                <w:szCs w:val="21"/>
              </w:rPr>
              <w:t>3、总带机量：81-100终端</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rPr>
            </w:pPr>
          </w:p>
        </w:tc>
        <w:tc>
          <w:tcPr>
            <w:tcW w:w="1047" w:type="dxa"/>
            <w:vMerge/>
            <w:vAlign w:val="center"/>
          </w:tcPr>
          <w:p>
            <w:pPr>
              <w:rPr>
                <w:rFonts w:ascii="宋体" w:eastAsia="宋体" w:hAnsi="宋体" w:cs="宋体" w:hint="eastAsia"/>
                <w:sz w:val="21"/>
                <w:szCs w:val="21"/>
              </w:rPr>
            </w:pPr>
          </w:p>
        </w:tc>
        <w:tc>
          <w:tcPr>
            <w:tcW w:w="7464" w:type="dxa"/>
            <w:vAlign w:val="center"/>
          </w:tcPr>
          <w:p>
            <w:pPr>
              <w:rPr>
                <w:rFonts w:ascii="宋体" w:eastAsia="宋体" w:hAnsi="宋体" w:cs="宋体" w:hint="eastAsia"/>
                <w:sz w:val="21"/>
                <w:szCs w:val="21"/>
              </w:rPr>
            </w:pPr>
            <w:r>
              <w:rPr>
                <w:rFonts w:ascii="宋体" w:eastAsia="宋体" w:hAnsi="宋体" w:cs="宋体" w:hint="eastAsia"/>
                <w:sz w:val="21"/>
                <w:szCs w:val="21"/>
              </w:rPr>
              <w:t>4、其他端口：USB口</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restart"/>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7</w:t>
            </w:r>
          </w:p>
        </w:tc>
        <w:tc>
          <w:tcPr>
            <w:tcW w:w="1047" w:type="dxa"/>
            <w:vMerge w:val="restart"/>
            <w:vAlign w:val="center"/>
          </w:tcPr>
          <w:p>
            <w:pPr>
              <w:rPr>
                <w:rFonts w:ascii="宋体" w:eastAsia="宋体" w:hAnsi="宋体" w:cs="宋体" w:hint="eastAsia"/>
                <w:sz w:val="21"/>
                <w:szCs w:val="21"/>
              </w:rPr>
            </w:pPr>
            <w:r>
              <w:rPr>
                <w:rFonts w:ascii="宋体" w:eastAsia="宋体" w:hAnsi="宋体" w:cs="宋体" w:hint="eastAsia"/>
                <w:color w:val="000000"/>
                <w:sz w:val="21"/>
                <w:szCs w:val="21"/>
              </w:rPr>
              <w:t>POE交换机</w:t>
            </w:r>
          </w:p>
        </w:tc>
        <w:tc>
          <w:tcPr>
            <w:tcW w:w="7464" w:type="dxa"/>
            <w:vAlign w:val="center"/>
          </w:tcPr>
          <w:p>
            <w:pPr>
              <w:rPr>
                <w:rFonts w:ascii="宋体" w:eastAsia="宋体" w:hAnsi="宋体" w:cs="宋体" w:hint="eastAsia"/>
                <w:sz w:val="21"/>
                <w:szCs w:val="21"/>
                <w:lang w:eastAsia="zh-CN"/>
              </w:rPr>
            </w:pPr>
            <w:r>
              <w:rPr>
                <w:rFonts w:ascii="宋体" w:eastAsia="宋体" w:hAnsi="宋体" w:cs="宋体" w:hint="eastAsia"/>
                <w:sz w:val="21"/>
                <w:szCs w:val="21"/>
                <w:lang w:eastAsia="zh-CN"/>
              </w:rPr>
              <w:t>1、端口数量：10口10/100/1000Mbps自适应以太网端口</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sz w:val="21"/>
                <w:szCs w:val="21"/>
                <w:lang w:eastAsia="zh-CN"/>
              </w:rPr>
            </w:pPr>
            <w:r>
              <w:rPr>
                <w:rFonts w:ascii="宋体" w:eastAsia="宋体" w:hAnsi="宋体" w:cs="宋体" w:hint="eastAsia"/>
                <w:sz w:val="21"/>
                <w:szCs w:val="21"/>
                <w:lang w:eastAsia="zh-CN"/>
              </w:rPr>
              <w:t>2、端口供电功能：POE供电</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restart"/>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8</w:t>
            </w:r>
          </w:p>
        </w:tc>
        <w:tc>
          <w:tcPr>
            <w:tcW w:w="1047" w:type="dxa"/>
            <w:vMerge w:val="restart"/>
            <w:vAlign w:val="center"/>
          </w:tcPr>
          <w:p>
            <w:pPr>
              <w:rPr>
                <w:rFonts w:ascii="宋体" w:eastAsia="宋体" w:hAnsi="宋体" w:cs="宋体" w:hint="eastAsia"/>
                <w:sz w:val="21"/>
                <w:szCs w:val="21"/>
              </w:rPr>
            </w:pPr>
            <w:r>
              <w:rPr>
                <w:rFonts w:ascii="宋体" w:eastAsia="宋体" w:hAnsi="宋体" w:cs="宋体" w:hint="eastAsia"/>
                <w:color w:val="000000"/>
                <w:sz w:val="21"/>
                <w:szCs w:val="21"/>
              </w:rPr>
              <w:t>网线</w:t>
            </w:r>
          </w:p>
        </w:tc>
        <w:tc>
          <w:tcPr>
            <w:tcW w:w="7464" w:type="dxa"/>
            <w:vAlign w:val="center"/>
          </w:tcPr>
          <w:p>
            <w:pPr>
              <w:rPr>
                <w:rFonts w:ascii="宋体" w:eastAsia="宋体" w:hAnsi="宋体" w:cs="宋体" w:hint="eastAsia"/>
                <w:b/>
                <w:sz w:val="21"/>
                <w:szCs w:val="21"/>
              </w:rPr>
            </w:pPr>
            <w:r>
              <w:rPr>
                <w:rFonts w:ascii="宋体" w:eastAsia="宋体" w:hAnsi="宋体" w:cs="宋体" w:hint="eastAsia"/>
                <w:sz w:val="21"/>
                <w:szCs w:val="21"/>
                <w:lang w:bidi="ar"/>
              </w:rPr>
              <w:t>1、符合标准：YD/T1019，ANSI∕TIA-568.2-D，ISO/IEC 11801；</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rPr>
            </w:pPr>
          </w:p>
        </w:tc>
        <w:tc>
          <w:tcPr>
            <w:tcW w:w="1047" w:type="dxa"/>
            <w:vMerge/>
            <w:vAlign w:val="center"/>
          </w:tcPr>
          <w:p>
            <w:pPr>
              <w:rPr>
                <w:rFonts w:ascii="宋体" w:eastAsia="宋体" w:hAnsi="宋体" w:cs="宋体" w:hint="eastAsia"/>
                <w:color w:val="000000"/>
                <w:sz w:val="21"/>
                <w:szCs w:val="21"/>
              </w:rPr>
            </w:pPr>
          </w:p>
        </w:tc>
        <w:tc>
          <w:tcPr>
            <w:tcW w:w="7464" w:type="dxa"/>
            <w:vAlign w:val="center"/>
          </w:tcPr>
          <w:p>
            <w:pPr>
              <w:rPr>
                <w:rFonts w:ascii="宋体" w:eastAsia="宋体" w:hAnsi="宋体" w:cs="宋体" w:hint="eastAsia"/>
                <w:b/>
                <w:sz w:val="21"/>
                <w:szCs w:val="21"/>
              </w:rPr>
            </w:pPr>
            <w:r>
              <w:rPr>
                <w:rFonts w:ascii="宋体" w:eastAsia="宋体" w:hAnsi="宋体" w:cs="宋体" w:hint="eastAsia"/>
                <w:sz w:val="21"/>
                <w:szCs w:val="21"/>
                <w:lang w:bidi="ar"/>
              </w:rPr>
              <w:t>2、线缆阻抗：100±15Ω；</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rPr>
            </w:pPr>
          </w:p>
        </w:tc>
        <w:tc>
          <w:tcPr>
            <w:tcW w:w="1047" w:type="dxa"/>
            <w:vMerge/>
            <w:vAlign w:val="center"/>
          </w:tcPr>
          <w:p>
            <w:pPr>
              <w:rPr>
                <w:rFonts w:ascii="宋体" w:eastAsia="宋体" w:hAnsi="宋体" w:cs="宋体" w:hint="eastAsia"/>
                <w:color w:val="000000"/>
                <w:sz w:val="21"/>
                <w:szCs w:val="21"/>
              </w:rPr>
            </w:pPr>
          </w:p>
        </w:tc>
        <w:tc>
          <w:tcPr>
            <w:tcW w:w="7464" w:type="dxa"/>
            <w:vAlign w:val="center"/>
          </w:tcPr>
          <w:p>
            <w:pPr>
              <w:rPr>
                <w:rFonts w:ascii="宋体" w:eastAsia="宋体" w:hAnsi="宋体" w:cs="宋体" w:hint="eastAsia"/>
                <w:b/>
                <w:sz w:val="21"/>
                <w:szCs w:val="21"/>
              </w:rPr>
            </w:pPr>
            <w:r>
              <w:rPr>
                <w:rFonts w:ascii="宋体" w:eastAsia="宋体" w:hAnsi="宋体" w:cs="宋体" w:hint="eastAsia"/>
                <w:sz w:val="21"/>
                <w:szCs w:val="21"/>
                <w:lang w:bidi="ar"/>
              </w:rPr>
              <w:t>3、工作温度：-20～+60℃；</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rPr>
            </w:pPr>
          </w:p>
        </w:tc>
        <w:tc>
          <w:tcPr>
            <w:tcW w:w="1047" w:type="dxa"/>
            <w:vMerge/>
            <w:vAlign w:val="center"/>
          </w:tcPr>
          <w:p>
            <w:pPr>
              <w:rPr>
                <w:rFonts w:ascii="宋体" w:eastAsia="宋体" w:hAnsi="宋体" w:cs="宋体" w:hint="eastAsia"/>
                <w:color w:val="000000"/>
                <w:sz w:val="21"/>
                <w:szCs w:val="21"/>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sz w:val="21"/>
                <w:szCs w:val="21"/>
                <w:lang w:eastAsia="zh-CN" w:bidi="ar"/>
              </w:rPr>
              <w:t>4、护套上印有电缆品牌LOGO和型号；</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color w:val="000000"/>
                <w:sz w:val="21"/>
                <w:szCs w:val="21"/>
                <w:lang w:eastAsia="zh-CN"/>
              </w:rPr>
            </w:pPr>
          </w:p>
        </w:tc>
        <w:tc>
          <w:tcPr>
            <w:tcW w:w="7464" w:type="dxa"/>
            <w:vAlign w:val="center"/>
          </w:tcPr>
          <w:p>
            <w:pPr>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5、采用CM等级PVC料；</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color w:val="000000"/>
                <w:sz w:val="21"/>
                <w:szCs w:val="21"/>
                <w:lang w:eastAsia="zh-CN"/>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sz w:val="21"/>
                <w:szCs w:val="21"/>
                <w:lang w:eastAsia="zh-CN" w:bidi="ar"/>
              </w:rPr>
              <w:t>6、绝缘层： HD-PE料；</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color w:val="000000"/>
                <w:sz w:val="21"/>
                <w:szCs w:val="21"/>
                <w:lang w:eastAsia="zh-CN"/>
              </w:rPr>
            </w:pPr>
          </w:p>
        </w:tc>
        <w:tc>
          <w:tcPr>
            <w:tcW w:w="7464" w:type="dxa"/>
            <w:vAlign w:val="center"/>
          </w:tcPr>
          <w:p>
            <w:pPr>
              <w:rPr>
                <w:rFonts w:ascii="宋体" w:eastAsia="宋体" w:hAnsi="宋体" w:cs="宋体" w:hint="eastAsia"/>
                <w:b/>
                <w:sz w:val="21"/>
                <w:szCs w:val="21"/>
                <w:lang w:eastAsia="zh-CN"/>
              </w:rPr>
            </w:pPr>
            <w:r>
              <w:rPr>
                <w:rFonts w:ascii="宋体" w:eastAsia="宋体" w:hAnsi="宋体" w:cs="宋体" w:hint="eastAsia"/>
                <w:sz w:val="21"/>
                <w:szCs w:val="21"/>
                <w:lang w:eastAsia="zh-CN" w:bidi="ar"/>
              </w:rPr>
              <w:t>7、通过标准最高传输频率250MHz测试，直流电阻不平衡：≤2.5%；</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color w:val="000000"/>
                <w:sz w:val="21"/>
                <w:szCs w:val="21"/>
                <w:lang w:eastAsia="zh-CN"/>
              </w:rPr>
            </w:pPr>
          </w:p>
        </w:tc>
        <w:tc>
          <w:tcPr>
            <w:tcW w:w="7464" w:type="dxa"/>
            <w:vAlign w:val="center"/>
          </w:tcPr>
          <w:p>
            <w:pPr>
              <w:rPr>
                <w:rFonts w:ascii="宋体" w:eastAsia="宋体" w:hAnsi="宋体" w:cs="宋体" w:hint="eastAsia"/>
                <w:b/>
                <w:bCs/>
                <w:sz w:val="21"/>
                <w:szCs w:val="21"/>
                <w:lang w:eastAsia="zh-CN"/>
              </w:rPr>
            </w:pPr>
            <w:r>
              <w:rPr>
                <w:rFonts w:ascii="宋体" w:eastAsia="宋体" w:hAnsi="宋体" w:cs="宋体" w:hint="eastAsia"/>
                <w:sz w:val="21"/>
                <w:szCs w:val="21"/>
                <w:lang w:eastAsia="zh-CN"/>
              </w:rPr>
              <w:t>▲</w:t>
            </w:r>
            <w:r>
              <w:rPr>
                <w:rFonts w:ascii="宋体" w:eastAsia="宋体" w:hAnsi="宋体" w:cs="宋体" w:hint="eastAsia"/>
                <w:b/>
                <w:bCs/>
                <w:sz w:val="21"/>
                <w:szCs w:val="21"/>
                <w:lang w:eastAsia="zh-CN" w:bidi="ar"/>
              </w:rPr>
              <w:t>8、线规：</w:t>
            </w:r>
            <w:r>
              <w:rPr>
                <w:rFonts w:ascii="宋体" w:eastAsia="宋体" w:hAnsi="宋体" w:cs="宋体" w:hint="eastAsia"/>
                <w:color w:val="000000"/>
                <w:sz w:val="21"/>
                <w:szCs w:val="21"/>
                <w:lang w:eastAsia="zh-CN"/>
              </w:rPr>
              <w:t>≥</w:t>
            </w:r>
            <w:r>
              <w:rPr>
                <w:rFonts w:ascii="宋体" w:eastAsia="宋体" w:hAnsi="宋体" w:cs="宋体" w:hint="eastAsia"/>
                <w:b/>
                <w:bCs/>
                <w:sz w:val="21"/>
                <w:szCs w:val="21"/>
                <w:lang w:eastAsia="zh-CN" w:bidi="ar"/>
              </w:rPr>
              <w:t>23AWG，材料为99.99%无氧铜，采用带十字支撑架结构，为确保线缆传输性能、线缆质量及线缆稳定性，需提供国家认可的CMA第三方实验室出具的Cu≥99.99%的铜芯铜纯度报告。（需提供拥有CMA认证标识的第三方检测机构出具检测报告扫描件，要求内容能体现满足上述参数要求。检测报告需提供全国认证认可信息公共服务平台网站（http://cx.cnca.cn/CertECloud/qts/qts/qtsPage）查询截</w:t>
            </w:r>
            <w:r>
              <w:rPr>
                <w:rFonts w:ascii="宋体" w:eastAsia="宋体" w:hAnsi="宋体" w:cs="宋体" w:hint="eastAsia"/>
                <w:b/>
                <w:bCs/>
                <w:sz w:val="21"/>
                <w:szCs w:val="21"/>
                <w:lang w:eastAsia="zh-CN"/>
              </w:rPr>
              <w:t>图</w:t>
            </w:r>
            <w:r>
              <w:rPr>
                <w:rFonts w:ascii="宋体" w:eastAsia="宋体" w:hAnsi="宋体" w:cs="宋体" w:hint="eastAsia"/>
                <w:b/>
                <w:bCs/>
                <w:sz w:val="21"/>
                <w:szCs w:val="21"/>
                <w:lang w:eastAsia="zh-CN" w:bidi="ar"/>
              </w:rPr>
              <w:t>作为证明材料）</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color w:val="000000"/>
                <w:sz w:val="21"/>
                <w:szCs w:val="21"/>
                <w:lang w:eastAsia="zh-CN"/>
              </w:rPr>
            </w:pPr>
          </w:p>
        </w:tc>
        <w:tc>
          <w:tcPr>
            <w:tcW w:w="7464" w:type="dxa"/>
            <w:vAlign w:val="center"/>
          </w:tcPr>
          <w:p>
            <w:pPr>
              <w:rPr>
                <w:rFonts w:ascii="宋体" w:eastAsia="宋体" w:hAnsi="宋体" w:cs="宋体" w:hint="eastAsia"/>
                <w:sz w:val="21"/>
                <w:szCs w:val="21"/>
                <w:lang w:eastAsia="zh-CN" w:bidi="ar"/>
              </w:rPr>
            </w:pPr>
            <w:r>
              <w:rPr>
                <w:rFonts w:ascii="宋体" w:eastAsia="宋体" w:hAnsi="宋体" w:cs="宋体" w:hint="eastAsia"/>
                <w:sz w:val="21"/>
                <w:szCs w:val="21"/>
                <w:lang w:eastAsia="zh-CN"/>
              </w:rPr>
              <w:t>9、为了提高链路性能，降低施工难度，增长使用寿命，线缆4对线的对绞方向和成缆的总绞方向相反；</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color w:val="000000"/>
                <w:sz w:val="21"/>
                <w:szCs w:val="21"/>
                <w:lang w:eastAsia="zh-CN"/>
              </w:rPr>
            </w:pPr>
          </w:p>
        </w:tc>
        <w:tc>
          <w:tcPr>
            <w:tcW w:w="7464" w:type="dxa"/>
            <w:vAlign w:val="center"/>
          </w:tcPr>
          <w:p>
            <w:pPr>
              <w:rPr>
                <w:rFonts w:ascii="宋体" w:eastAsia="宋体" w:hAnsi="宋体" w:cs="宋体" w:hint="eastAsia"/>
                <w:b/>
                <w:bCs/>
                <w:sz w:val="21"/>
                <w:szCs w:val="21"/>
                <w:lang w:eastAsia="zh-CN"/>
              </w:rPr>
            </w:pPr>
            <w:r>
              <w:rPr>
                <w:rFonts w:ascii="宋体" w:eastAsia="宋体" w:hAnsi="宋体" w:cs="宋体" w:hint="eastAsia"/>
                <w:sz w:val="21"/>
                <w:szCs w:val="21"/>
                <w:lang w:eastAsia="zh-CN"/>
              </w:rPr>
              <w:t>▲</w:t>
            </w:r>
            <w:r>
              <w:rPr>
                <w:rFonts w:ascii="宋体" w:eastAsia="宋体" w:hAnsi="宋体" w:cs="宋体" w:hint="eastAsia"/>
                <w:b/>
                <w:bCs/>
                <w:sz w:val="21"/>
                <w:szCs w:val="21"/>
                <w:lang w:eastAsia="zh-CN"/>
              </w:rPr>
              <w:t>10、产品满足标准《GB/T 2423.17-2008》盐雾试验要求，并且可提供CMA中国认可检测机构出具的盐雾试验检测报告；（需提供拥有</w:t>
            </w:r>
            <w:r>
              <w:rPr>
                <w:rFonts w:ascii="宋体" w:eastAsia="宋体" w:hAnsi="宋体" w:cs="宋体" w:hint="eastAsia"/>
                <w:b/>
                <w:bCs/>
                <w:sz w:val="21"/>
                <w:szCs w:val="21"/>
                <w:lang w:eastAsia="zh-CN" w:bidi="ar"/>
              </w:rPr>
              <w:t>CMA</w:t>
            </w:r>
            <w:r>
              <w:rPr>
                <w:rFonts w:ascii="宋体" w:eastAsia="宋体" w:hAnsi="宋体" w:cs="宋体" w:hint="eastAsia"/>
                <w:b/>
                <w:bCs/>
                <w:sz w:val="21"/>
                <w:szCs w:val="21"/>
                <w:lang w:eastAsia="zh-CN"/>
              </w:rPr>
              <w:t>认证标识的第三方检测机构出具检测报告扫描件，要求内容能体现满足上述参数要求。检测报告需提供全国认证认可信息公共服务平台网站（http://cx.cnca.cn/CertECloud/qts/qts/qtsPage）查询截图作为证明材料）</w:t>
            </w:r>
          </w:p>
        </w:tc>
      </w:tr>
      <w:tr>
        <w:tblPrEx>
          <w:tblW w:w="5000" w:type="pct"/>
          <w:tblInd w:w="107" w:type="dxa"/>
          <w:tblLayout w:type="fixed"/>
          <w:tblCellMar>
            <w:top w:w="0" w:type="dxa"/>
            <w:left w:w="108" w:type="dxa"/>
            <w:bottom w:w="0" w:type="dxa"/>
            <w:right w:w="108" w:type="dxa"/>
          </w:tblCellMar>
        </w:tblPrEx>
        <w:trPr>
          <w:trHeight w:val="20"/>
        </w:trPr>
        <w:tc>
          <w:tcPr>
            <w:tcW w:w="710" w:type="dxa"/>
            <w:vMerge/>
            <w:vAlign w:val="center"/>
          </w:tcPr>
          <w:p>
            <w:pPr>
              <w:jc w:val="center"/>
              <w:rPr>
                <w:rFonts w:ascii="宋体" w:eastAsia="宋体" w:hAnsi="宋体" w:cs="宋体" w:hint="eastAsia"/>
                <w:color w:val="000000"/>
                <w:sz w:val="21"/>
                <w:szCs w:val="21"/>
                <w:lang w:eastAsia="zh-CN"/>
              </w:rPr>
            </w:pPr>
          </w:p>
        </w:tc>
        <w:tc>
          <w:tcPr>
            <w:tcW w:w="1047" w:type="dxa"/>
            <w:vMerge/>
            <w:vAlign w:val="center"/>
          </w:tcPr>
          <w:p>
            <w:pPr>
              <w:rPr>
                <w:rFonts w:ascii="宋体" w:eastAsia="宋体" w:hAnsi="宋体" w:cs="宋体" w:hint="eastAsia"/>
                <w:sz w:val="21"/>
                <w:szCs w:val="21"/>
                <w:lang w:eastAsia="zh-CN"/>
              </w:rPr>
            </w:pPr>
          </w:p>
        </w:tc>
        <w:tc>
          <w:tcPr>
            <w:tcW w:w="7464" w:type="dxa"/>
            <w:vAlign w:val="center"/>
          </w:tcPr>
          <w:p>
            <w:pPr>
              <w:rPr>
                <w:rFonts w:ascii="宋体" w:eastAsia="宋体" w:hAnsi="宋体" w:cs="宋体" w:hint="eastAsia"/>
                <w:b/>
                <w:bCs/>
                <w:sz w:val="21"/>
                <w:szCs w:val="21"/>
                <w:lang w:eastAsia="zh-CN"/>
              </w:rPr>
            </w:pPr>
            <w:r>
              <w:rPr>
                <w:rFonts w:ascii="宋体" w:eastAsia="宋体" w:hAnsi="宋体" w:cs="宋体" w:hint="eastAsia"/>
                <w:sz w:val="21"/>
                <w:szCs w:val="21"/>
                <w:lang w:eastAsia="zh-CN"/>
              </w:rPr>
              <w:t>▲</w:t>
            </w:r>
            <w:r>
              <w:rPr>
                <w:rFonts w:ascii="宋体" w:eastAsia="宋体" w:hAnsi="宋体" w:cs="宋体" w:hint="eastAsia"/>
                <w:b/>
                <w:bCs/>
                <w:sz w:val="21"/>
                <w:szCs w:val="21"/>
                <w:lang w:eastAsia="zh-CN"/>
              </w:rPr>
              <w:t>11、线缆需提供国内第三方</w:t>
            </w:r>
            <w:r>
              <w:rPr>
                <w:rFonts w:ascii="宋体" w:eastAsia="宋体" w:hAnsi="宋体" w:cs="宋体" w:hint="eastAsia"/>
                <w:b/>
                <w:bCs/>
                <w:sz w:val="21"/>
                <w:szCs w:val="21"/>
                <w:lang w:eastAsia="zh-CN" w:bidi="ar"/>
              </w:rPr>
              <w:t>CMA</w:t>
            </w:r>
            <w:r>
              <w:rPr>
                <w:rFonts w:ascii="宋体" w:eastAsia="宋体" w:hAnsi="宋体" w:cs="宋体" w:hint="eastAsia"/>
                <w:b/>
                <w:bCs/>
                <w:sz w:val="21"/>
                <w:szCs w:val="21"/>
                <w:lang w:eastAsia="zh-CN"/>
              </w:rPr>
              <w:t>实验室出具的满足GB/T2951.11-2008 标准机械性能试验、以及GB/T 2951.12-2008 标准热老化试验并提供检测报告；（需提供拥有</w:t>
            </w:r>
            <w:r>
              <w:rPr>
                <w:rFonts w:ascii="宋体" w:eastAsia="宋体" w:hAnsi="宋体" w:cs="宋体" w:hint="eastAsia"/>
                <w:b/>
                <w:bCs/>
                <w:sz w:val="21"/>
                <w:szCs w:val="21"/>
                <w:lang w:eastAsia="zh-CN" w:bidi="ar"/>
              </w:rPr>
              <w:t>CMA</w:t>
            </w:r>
            <w:r>
              <w:rPr>
                <w:rFonts w:ascii="宋体" w:eastAsia="宋体" w:hAnsi="宋体" w:cs="宋体" w:hint="eastAsia"/>
                <w:b/>
                <w:bCs/>
                <w:sz w:val="21"/>
                <w:szCs w:val="21"/>
                <w:lang w:eastAsia="zh-CN"/>
              </w:rPr>
              <w:t>认证标识的第三方检测机构出具检测报告扫描件，要求内容能体现满足上述参数要求。检测报告需提供全国认证认可信息公共服务平台网站（http://cx.cnca.cn/CertECloud/qts/qts/qtsPage）查询截图作为证明材料）</w:t>
            </w:r>
          </w:p>
        </w:tc>
      </w:tr>
      <w:tr>
        <w:tblPrEx>
          <w:tblW w:w="5000" w:type="pct"/>
          <w:tblInd w:w="107" w:type="dxa"/>
          <w:tblLayout w:type="fixed"/>
          <w:tblCellMar>
            <w:top w:w="0" w:type="dxa"/>
            <w:left w:w="108" w:type="dxa"/>
            <w:bottom w:w="0" w:type="dxa"/>
            <w:right w:w="108" w:type="dxa"/>
          </w:tblCellMar>
        </w:tblPrEx>
        <w:trPr>
          <w:trHeight w:val="20"/>
        </w:trPr>
        <w:tc>
          <w:tcPr>
            <w:tcW w:w="710" w:type="dxa"/>
            <w:vAlign w:val="center"/>
          </w:tcPr>
          <w:p>
            <w:pPr>
              <w:jc w:val="center"/>
              <w:rPr>
                <w:rFonts w:ascii="宋体" w:eastAsia="宋体" w:hAnsi="宋体" w:cs="宋体" w:hint="eastAsia"/>
                <w:color w:val="000000"/>
                <w:sz w:val="21"/>
                <w:szCs w:val="21"/>
              </w:rPr>
            </w:pPr>
            <w:r>
              <w:rPr>
                <w:rFonts w:ascii="宋体" w:eastAsia="宋体" w:hAnsi="宋体" w:cs="宋体" w:hint="eastAsia"/>
                <w:color w:val="000000"/>
                <w:sz w:val="21"/>
                <w:szCs w:val="21"/>
              </w:rPr>
              <w:t>9</w:t>
            </w:r>
          </w:p>
        </w:tc>
        <w:tc>
          <w:tcPr>
            <w:tcW w:w="1047" w:type="dxa"/>
            <w:vAlign w:val="center"/>
          </w:tcPr>
          <w:p>
            <w:pPr>
              <w:rPr>
                <w:rFonts w:ascii="宋体" w:eastAsia="宋体" w:hAnsi="宋体" w:cs="宋体" w:hint="eastAsia"/>
                <w:sz w:val="21"/>
                <w:szCs w:val="21"/>
              </w:rPr>
            </w:pPr>
            <w:r>
              <w:rPr>
                <w:rFonts w:ascii="宋体" w:eastAsia="宋体" w:hAnsi="宋体" w:cs="宋体" w:hint="eastAsia"/>
                <w:color w:val="000000"/>
                <w:sz w:val="21"/>
                <w:szCs w:val="21"/>
              </w:rPr>
              <w:t>6U壁挂机柜</w:t>
            </w:r>
          </w:p>
        </w:tc>
        <w:tc>
          <w:tcPr>
            <w:tcW w:w="7464" w:type="dxa"/>
          </w:tcPr>
          <w:p>
            <w:pPr>
              <w:rPr>
                <w:rFonts w:ascii="宋体" w:eastAsia="宋体" w:hAnsi="宋体" w:cs="宋体" w:hint="eastAsia"/>
                <w:b/>
                <w:sz w:val="21"/>
                <w:szCs w:val="21"/>
                <w:lang w:eastAsia="zh-CN"/>
              </w:rPr>
            </w:pPr>
            <w:r>
              <w:rPr>
                <w:rFonts w:ascii="宋体" w:eastAsia="宋体" w:hAnsi="宋体" w:cs="宋体" w:hint="eastAsia"/>
                <w:color w:val="000000"/>
                <w:sz w:val="21"/>
                <w:szCs w:val="21"/>
                <w:lang w:eastAsia="zh-CN"/>
              </w:rPr>
              <w:t>6U壁挂机柜，尺寸≥300*550*400mm,材质冷轧钢板。</w:t>
            </w:r>
          </w:p>
        </w:tc>
      </w:tr>
    </w:tbl>
    <w:p>
      <w:pPr>
        <w:widowControl w:val="0"/>
        <w:jc w:val="both"/>
        <w:rPr>
          <w:rFonts w:ascii="Calibri" w:eastAsia="宋体" w:hAnsi="Calibri"/>
          <w:bCs/>
          <w:kern w:val="2"/>
          <w:sz w:val="21"/>
          <w:szCs w:val="21"/>
          <w:lang w:eastAsia="zh-CN"/>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highlight w:val="yellow"/>
          <w:lang w:eastAsia="zh-CN"/>
        </w:rPr>
      </w:pPr>
      <w:r>
        <w:rPr>
          <w:rFonts w:ascii="宋体" w:eastAsia="宋体" w:hAnsi="宋体" w:cstheme="minorBidi" w:hint="eastAsia"/>
          <w:b/>
          <w:bCs/>
          <w:kern w:val="2"/>
          <w:sz w:val="28"/>
          <w:szCs w:val="28"/>
          <w:lang w:eastAsia="zh-CN"/>
        </w:rPr>
        <w:t>六、付款方式</w:t>
      </w:r>
    </w:p>
    <w:p>
      <w:pPr>
        <w:spacing w:before="60" w:beforeLines="25" w:after="60" w:afterLines="25" w:line="360" w:lineRule="auto"/>
        <w:ind w:firstLine="393" w:firstLineChars="187"/>
        <w:rPr>
          <w:rFonts w:ascii="宋体" w:hAnsi="宋体" w:cs="宋体"/>
          <w:sz w:val="21"/>
          <w:szCs w:val="21"/>
          <w:lang w:eastAsia="zh-CN" w:bidi="ar"/>
        </w:rPr>
      </w:pPr>
      <w:r>
        <w:rPr>
          <w:rFonts w:ascii="宋体" w:hAnsi="宋体" w:cs="宋体" w:hint="eastAsia"/>
          <w:sz w:val="21"/>
          <w:szCs w:val="21"/>
          <w:lang w:eastAsia="zh-CN" w:bidi="ar"/>
        </w:rPr>
        <w:t>1、全部货物送到采购人指定地点、完成安装并验收合格后 30 个工作日内，采购人向中标供应商支付合同总价【100】%的款项；</w:t>
      </w:r>
    </w:p>
    <w:p>
      <w:pPr>
        <w:spacing w:before="60" w:beforeLines="25" w:after="60" w:afterLines="25" w:line="360" w:lineRule="auto"/>
        <w:ind w:firstLine="393" w:firstLineChars="187"/>
        <w:rPr>
          <w:rFonts w:ascii="宋体" w:hAnsi="宋体" w:cs="宋体"/>
          <w:sz w:val="21"/>
          <w:szCs w:val="21"/>
          <w:lang w:eastAsia="zh-CN" w:bidi="ar"/>
        </w:rPr>
      </w:pPr>
      <w:r>
        <w:rPr>
          <w:rFonts w:ascii="宋体" w:hAnsi="宋体" w:cs="宋体" w:hint="eastAsia"/>
          <w:sz w:val="21"/>
          <w:szCs w:val="21"/>
          <w:lang w:eastAsia="zh-CN" w:bidi="ar"/>
        </w:rPr>
        <w:t>2、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七、投标报价要求</w:t>
      </w:r>
    </w:p>
    <w:p>
      <w:pPr>
        <w:spacing w:line="360" w:lineRule="auto"/>
        <w:ind w:firstLine="393" w:firstLineChars="187"/>
        <w:rPr>
          <w:rFonts w:ascii="宋体" w:hAnsi="宋体"/>
          <w:sz w:val="21"/>
          <w:szCs w:val="21"/>
          <w:lang w:eastAsia="zh-CN"/>
        </w:rPr>
      </w:pPr>
      <w:r>
        <w:rPr>
          <w:rFonts w:ascii="宋体" w:hAnsi="宋体" w:hint="eastAsia"/>
          <w:sz w:val="21"/>
          <w:szCs w:val="21"/>
          <w:lang w:eastAsia="zh-CN"/>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pPr>
        <w:spacing w:line="360" w:lineRule="auto"/>
        <w:ind w:firstLine="393" w:firstLineChars="187"/>
        <w:rPr>
          <w:rFonts w:ascii="宋体" w:hAnsi="宋体"/>
          <w:sz w:val="21"/>
          <w:szCs w:val="21"/>
          <w:lang w:eastAsia="zh-CN"/>
        </w:rPr>
      </w:pPr>
      <w:r>
        <w:rPr>
          <w:rFonts w:ascii="宋体" w:hAnsi="宋体" w:hint="eastAsia"/>
          <w:sz w:val="21"/>
          <w:szCs w:val="21"/>
          <w:lang w:eastAsia="zh-CN"/>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pPr>
        <w:spacing w:line="360" w:lineRule="auto"/>
        <w:ind w:firstLine="393" w:firstLineChars="187"/>
        <w:rPr>
          <w:rFonts w:ascii="宋体" w:hAnsi="宋体"/>
          <w:sz w:val="21"/>
          <w:szCs w:val="21"/>
          <w:lang w:eastAsia="zh-CN"/>
        </w:rPr>
      </w:pPr>
      <w:r>
        <w:rPr>
          <w:rFonts w:ascii="宋体" w:hAnsi="宋体" w:hint="eastAsia"/>
          <w:sz w:val="21"/>
          <w:szCs w:val="21"/>
          <w:lang w:eastAsia="zh-CN"/>
        </w:rPr>
        <w:t>3、投标人的投标报价不得超过财政预算限额，如设投标最高限价的，报价不得超过最高限价；</w:t>
      </w:r>
    </w:p>
    <w:p>
      <w:pPr>
        <w:spacing w:line="360" w:lineRule="auto"/>
        <w:ind w:firstLine="393" w:firstLineChars="187"/>
        <w:rPr>
          <w:rFonts w:ascii="宋体" w:hAnsi="宋体"/>
          <w:sz w:val="21"/>
          <w:szCs w:val="21"/>
          <w:lang w:eastAsia="zh-CN"/>
        </w:rPr>
      </w:pPr>
      <w:r>
        <w:rPr>
          <w:rFonts w:ascii="宋体" w:hAnsi="宋体" w:hint="eastAsia"/>
          <w:sz w:val="21"/>
          <w:szCs w:val="21"/>
          <w:lang w:eastAsia="zh-CN"/>
        </w:rPr>
        <w:t>4、投标人的投标报价，应是本项目采购范围和采购文件及合同条款上所列的各项内容中所述的全部，不得以任何理由予以重复，并以投标人在中提出的综合单价或总价为依据；</w:t>
      </w:r>
    </w:p>
    <w:p>
      <w:pPr>
        <w:spacing w:line="360" w:lineRule="auto"/>
        <w:ind w:firstLine="393" w:firstLineChars="187"/>
        <w:rPr>
          <w:rFonts w:ascii="宋体" w:hAnsi="宋体"/>
          <w:sz w:val="21"/>
          <w:szCs w:val="21"/>
          <w:lang w:eastAsia="zh-CN"/>
        </w:rPr>
      </w:pPr>
      <w:r>
        <w:rPr>
          <w:rFonts w:ascii="宋体" w:hAnsi="宋体" w:hint="eastAsia"/>
          <w:sz w:val="21"/>
          <w:szCs w:val="21"/>
          <w:lang w:eastAsia="zh-CN"/>
        </w:rPr>
        <w:t>5、除非社会代理机构通过修改采购文件予以更正，否则，投标人应毫无例外地按采购文件所列的清单中项目和数量填报综合单价和合价。投标人未填综合单价或合价的项目，视作该项费用已包括在其它有价款的综合单价或合价内；</w:t>
      </w:r>
    </w:p>
    <w:p>
      <w:pPr>
        <w:spacing w:line="360" w:lineRule="auto"/>
        <w:ind w:firstLine="393" w:firstLineChars="187"/>
        <w:rPr>
          <w:rFonts w:ascii="宋体" w:hAnsi="宋体"/>
          <w:sz w:val="21"/>
          <w:szCs w:val="21"/>
          <w:lang w:eastAsia="zh-CN"/>
        </w:rPr>
      </w:pPr>
      <w:r>
        <w:rPr>
          <w:rFonts w:ascii="宋体" w:hAnsi="宋体" w:hint="eastAsia"/>
          <w:sz w:val="21"/>
          <w:szCs w:val="21"/>
          <w:lang w:eastAsia="zh-CN"/>
        </w:rPr>
        <w:t>6、投标人应先到项目地点踏勘以充分了解项目的位置、情况、道路及任何其它足以影响投标报价的情况，任何因忽视或误解项目情况而导致的索赔或服务期限延长申请将不获批准；</w:t>
      </w:r>
    </w:p>
    <w:p>
      <w:pPr>
        <w:spacing w:line="360" w:lineRule="auto"/>
        <w:ind w:firstLine="393" w:firstLineChars="187"/>
        <w:rPr>
          <w:rFonts w:ascii="宋体" w:hAnsi="宋体"/>
          <w:sz w:val="21"/>
          <w:szCs w:val="21"/>
          <w:lang w:eastAsia="zh-CN"/>
        </w:rPr>
      </w:pPr>
      <w:r>
        <w:rPr>
          <w:rFonts w:ascii="宋体" w:hAnsi="宋体" w:hint="eastAsia"/>
          <w:sz w:val="21"/>
          <w:szCs w:val="21"/>
          <w:lang w:eastAsia="zh-CN"/>
        </w:rPr>
        <w:t>7、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pPr>
        <w:spacing w:before="60" w:beforeLines="25" w:after="60" w:afterLines="25"/>
        <w:ind w:firstLine="393" w:firstLineChars="187"/>
        <w:rPr>
          <w:rFonts w:ascii="宋体" w:hAnsi="宋体" w:cs="宋体"/>
          <w:sz w:val="21"/>
          <w:szCs w:val="21"/>
          <w:lang w:eastAsia="zh-CN" w:bidi="ar"/>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八、注意事项</w:t>
      </w:r>
    </w:p>
    <w:p>
      <w:pPr>
        <w:spacing w:line="360" w:lineRule="auto"/>
        <w:ind w:firstLine="420" w:firstLineChars="200"/>
        <w:rPr>
          <w:sz w:val="21"/>
          <w:szCs w:val="21"/>
          <w:lang w:eastAsia="zh-CN"/>
        </w:rPr>
      </w:pPr>
      <w:r>
        <w:rPr>
          <w:rFonts w:hint="eastAsia"/>
          <w:sz w:val="21"/>
          <w:szCs w:val="21"/>
          <w:lang w:eastAsia="zh-CN"/>
        </w:rPr>
        <w:t>1、中标供应商不得将项目非法分包或转包给任何单位和个人。否则，采购单位有权即刻终止合同，并要求中标供应商赔偿相应损失。</w:t>
      </w:r>
    </w:p>
    <w:p>
      <w:pPr>
        <w:spacing w:line="360" w:lineRule="auto"/>
        <w:ind w:firstLine="420" w:firstLineChars="200"/>
        <w:rPr>
          <w:sz w:val="21"/>
          <w:szCs w:val="21"/>
          <w:lang w:eastAsia="zh-CN"/>
        </w:rPr>
      </w:pPr>
      <w:r>
        <w:rPr>
          <w:rFonts w:hint="eastAsia"/>
          <w:sz w:val="21"/>
          <w:szCs w:val="21"/>
          <w:lang w:eastAsia="zh-CN"/>
        </w:rPr>
        <w:t>2、投标人使用的标准必须是国际公认或国家、或地方政府颁布的同等或更高的标准，如投标人使用的标准低于上述标准,评审委员会将有权不予接受，投标人必须列表将明显的差异详细说明。</w:t>
      </w:r>
    </w:p>
    <w:p>
      <w:pPr>
        <w:spacing w:line="360" w:lineRule="auto"/>
        <w:ind w:firstLine="420" w:firstLineChars="200"/>
        <w:rPr>
          <w:sz w:val="21"/>
          <w:szCs w:val="21"/>
          <w:lang w:eastAsia="zh-CN"/>
        </w:rPr>
      </w:pPr>
      <w:r>
        <w:rPr>
          <w:rFonts w:hint="eastAsia"/>
          <w:sz w:val="21"/>
          <w:szCs w:val="21"/>
          <w:lang w:eastAsia="zh-CN"/>
        </w:rPr>
        <w:t>3、供应商须在质疑期内一次性提出针对同一采购程序环节的质疑。</w:t>
      </w:r>
    </w:p>
    <w:p>
      <w:pPr>
        <w:spacing w:line="360" w:lineRule="auto"/>
        <w:ind w:firstLine="420" w:firstLineChars="200"/>
        <w:rPr>
          <w:rFonts w:eastAsia="宋体"/>
          <w:sz w:val="21"/>
          <w:szCs w:val="21"/>
          <w:lang w:eastAsia="zh-CN"/>
        </w:rPr>
      </w:pPr>
      <w:r>
        <w:rPr>
          <w:rFonts w:hint="eastAsia"/>
          <w:sz w:val="21"/>
          <w:szCs w:val="21"/>
          <w:lang w:eastAsia="zh-CN"/>
        </w:rPr>
        <w:t>4、本项目按照深圳市龙华区教育局的相关采购规定执行，招标文件未明确的事项，参照政府采购有关法律法规执行</w:t>
      </w:r>
      <w:r>
        <w:rPr>
          <w:rFonts w:eastAsia="宋体" w:hint="eastAsia"/>
          <w:sz w:val="21"/>
          <w:szCs w:val="21"/>
          <w:lang w:eastAsia="zh-CN"/>
        </w:rPr>
        <w:t>。</w:t>
      </w:r>
    </w:p>
    <w:p>
      <w:pPr>
        <w:widowControl w:val="0"/>
        <w:ind w:firstLine="420" w:firstLineChars="200"/>
        <w:jc w:val="both"/>
        <w:rPr>
          <w:rFonts w:ascii="Calibri" w:eastAsia="宋体" w:hAnsi="Calibri"/>
          <w:bCs/>
          <w:kern w:val="2"/>
          <w:sz w:val="21"/>
          <w:szCs w:val="21"/>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spacing w:after="120"/>
        <w:ind w:left="480" w:firstLine="420" w:leftChars="200" w:firstLineChars="200"/>
        <w:jc w:val="both"/>
        <w:rPr>
          <w:rFonts w:ascii="Calibri" w:eastAsia="宋体" w:hAnsi="Calibri"/>
          <w:kern w:val="2"/>
          <w:sz w:val="21"/>
          <w:szCs w:val="22"/>
          <w:lang w:eastAsia="zh-CN"/>
        </w:rPr>
      </w:pPr>
    </w:p>
    <w:p>
      <w:pPr>
        <w:keepNext/>
        <w:keepLines/>
        <w:widowControl w:val="0"/>
        <w:adjustRightInd w:val="0"/>
        <w:spacing w:line="320" w:lineRule="atLeast"/>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4" w:name="_Hlk72257167"/>
    </w:p>
    <w:bookmarkEnd w:id="14"/>
    <w:p>
      <w:pPr>
        <w:spacing w:line="320" w:lineRule="atLeast"/>
        <w:outlineLvl w:val="2"/>
        <w:rPr>
          <w:rFonts w:ascii="宋体" w:eastAsia="黑体" w:hAnsi="宋体" w:hint="eastAsia"/>
          <w:bCs/>
          <w:kern w:val="44"/>
          <w:lang w:eastAsia="zh-CN"/>
        </w:rPr>
      </w:pPr>
      <w:r>
        <w:rPr>
          <w:rFonts w:ascii="宋体" w:eastAsia="黑体" w:hAnsi="宋体" w:hint="eastAsia"/>
          <w:bCs/>
          <w:kern w:val="44"/>
          <w:lang w:eastAsia="zh-CN"/>
        </w:rPr>
        <w:t>投标文件组成：</w:t>
      </w:r>
    </w:p>
    <w:p>
      <w:pPr>
        <w:ind w:firstLine="960" w:firstLineChars="400"/>
        <w:rPr>
          <w:lang w:eastAsia="zh-CN"/>
        </w:rPr>
      </w:pPr>
      <w:bookmarkStart w:id="15" w:name="_Hlk194503600"/>
      <w:bookmarkStart w:id="16" w:name="_Hlk72257771"/>
      <w:r>
        <w:rPr>
          <w:rFonts w:hint="eastAsia"/>
          <w:lang w:eastAsia="zh-CN"/>
        </w:rPr>
        <w:t>（</w:t>
      </w:r>
      <w:bookmarkStart w:id="17" w:name="_Hlk194504074"/>
      <w:r>
        <w:rPr>
          <w:rFonts w:hint="eastAsia"/>
          <w:lang w:eastAsia="zh-CN"/>
        </w:rPr>
        <w:t>1）投标函</w:t>
      </w:r>
    </w:p>
    <w:p>
      <w:pPr>
        <w:ind w:firstLine="960" w:firstLineChars="400"/>
        <w:rPr>
          <w:lang w:eastAsia="zh-CN"/>
        </w:rPr>
      </w:pPr>
      <w:r>
        <w:rPr>
          <w:rFonts w:hint="eastAsia"/>
          <w:lang w:eastAsia="zh-CN"/>
        </w:rPr>
        <w:t>（2）龙华区教育局自行采购投标及履约承诺函</w:t>
      </w:r>
    </w:p>
    <w:p>
      <w:pPr>
        <w:ind w:firstLine="960" w:firstLineChars="400"/>
        <w:rPr>
          <w:lang w:eastAsia="zh-CN"/>
        </w:rPr>
      </w:pPr>
      <w:r>
        <w:rPr>
          <w:rFonts w:hint="eastAsia"/>
          <w:lang w:eastAsia="zh-CN"/>
        </w:rPr>
        <w:t>（3）投标人情况及资格证明文件</w:t>
      </w:r>
    </w:p>
    <w:p>
      <w:pPr>
        <w:ind w:firstLine="960" w:firstLineChars="400"/>
        <w:rPr>
          <w:rFonts w:eastAsia="宋体"/>
          <w:lang w:eastAsia="zh-CN"/>
        </w:rPr>
      </w:pPr>
      <w:r>
        <w:rPr>
          <w:rFonts w:eastAsia="宋体" w:hint="eastAsia"/>
          <w:lang w:eastAsia="zh-CN"/>
        </w:rPr>
        <w:t>（4）供应商基本情况表</w:t>
      </w:r>
    </w:p>
    <w:p>
      <w:pPr>
        <w:ind w:firstLine="960" w:firstLineChars="400"/>
        <w:rPr>
          <w:lang w:eastAsia="zh-CN"/>
        </w:rPr>
      </w:pPr>
      <w:r>
        <w:rPr>
          <w:rFonts w:hint="eastAsia"/>
          <w:lang w:eastAsia="zh-CN"/>
        </w:rPr>
        <w:t>（</w:t>
      </w:r>
      <w:r>
        <w:rPr>
          <w:rFonts w:eastAsia="宋体" w:hint="eastAsia"/>
          <w:lang w:eastAsia="zh-CN"/>
        </w:rPr>
        <w:t>5</w:t>
      </w:r>
      <w:r>
        <w:rPr>
          <w:rFonts w:hint="eastAsia"/>
          <w:lang w:eastAsia="zh-CN"/>
        </w:rPr>
        <w:t>）分项报价清单</w:t>
      </w:r>
    </w:p>
    <w:p>
      <w:pPr>
        <w:ind w:firstLine="960" w:firstLineChars="400"/>
        <w:rPr>
          <w:lang w:eastAsia="zh-CN"/>
        </w:rPr>
      </w:pPr>
      <w:r>
        <w:rPr>
          <w:rFonts w:hint="eastAsia"/>
          <w:lang w:eastAsia="zh-CN"/>
        </w:rPr>
        <w:t>（</w:t>
      </w:r>
      <w:r>
        <w:rPr>
          <w:rFonts w:eastAsia="宋体" w:hint="eastAsia"/>
          <w:lang w:eastAsia="zh-CN"/>
        </w:rPr>
        <w:t>6</w:t>
      </w:r>
      <w:r>
        <w:rPr>
          <w:rFonts w:hint="eastAsia"/>
          <w:lang w:eastAsia="zh-CN"/>
        </w:rPr>
        <w:t>）股东构成审查表</w:t>
      </w:r>
    </w:p>
    <w:p>
      <w:pPr>
        <w:ind w:firstLine="960" w:firstLineChars="400"/>
        <w:rPr>
          <w:lang w:eastAsia="zh-CN"/>
        </w:rPr>
      </w:pPr>
      <w:r>
        <w:rPr>
          <w:rFonts w:hint="eastAsia"/>
          <w:lang w:eastAsia="zh-CN"/>
        </w:rPr>
        <w:t>（</w:t>
      </w:r>
      <w:r>
        <w:rPr>
          <w:rFonts w:eastAsia="宋体" w:hint="eastAsia"/>
          <w:lang w:eastAsia="zh-CN"/>
        </w:rPr>
        <w:t>7</w:t>
      </w:r>
      <w:r>
        <w:rPr>
          <w:rFonts w:hint="eastAsia"/>
          <w:lang w:eastAsia="zh-CN"/>
        </w:rPr>
        <w:t>）法定代表人（负责人）证明书</w:t>
      </w:r>
    </w:p>
    <w:p>
      <w:pPr>
        <w:ind w:firstLine="960" w:firstLineChars="400"/>
        <w:rPr>
          <w:lang w:eastAsia="zh-CN"/>
        </w:rPr>
      </w:pPr>
      <w:r>
        <w:rPr>
          <w:rFonts w:hint="eastAsia"/>
          <w:lang w:eastAsia="zh-CN"/>
        </w:rPr>
        <w:t>（</w:t>
      </w:r>
      <w:r>
        <w:rPr>
          <w:rFonts w:eastAsia="宋体" w:hint="eastAsia"/>
          <w:lang w:eastAsia="zh-CN"/>
        </w:rPr>
        <w:t>8</w:t>
      </w:r>
      <w:r>
        <w:rPr>
          <w:rFonts w:hint="eastAsia"/>
          <w:lang w:eastAsia="zh-CN"/>
        </w:rPr>
        <w:t>）投标文件签署授权委托书</w:t>
      </w:r>
    </w:p>
    <w:p>
      <w:pPr>
        <w:ind w:firstLine="960" w:firstLineChars="400"/>
        <w:rPr>
          <w:lang w:eastAsia="zh-CN"/>
        </w:rPr>
      </w:pPr>
      <w:r>
        <w:rPr>
          <w:rFonts w:hint="eastAsia"/>
          <w:lang w:eastAsia="zh-CN"/>
        </w:rPr>
        <w:t>（</w:t>
      </w:r>
      <w:r>
        <w:rPr>
          <w:rFonts w:eastAsia="宋体" w:hint="eastAsia"/>
          <w:lang w:eastAsia="zh-CN"/>
        </w:rPr>
        <w:t>9</w:t>
      </w:r>
      <w:r>
        <w:rPr>
          <w:rFonts w:hint="eastAsia"/>
          <w:lang w:eastAsia="zh-CN"/>
        </w:rPr>
        <w:t>）实质性条款响应情况表</w:t>
      </w:r>
    </w:p>
    <w:p>
      <w:pPr>
        <w:ind w:firstLine="960" w:firstLineChars="400"/>
        <w:rPr>
          <w:lang w:eastAsia="zh-CN"/>
        </w:rPr>
      </w:pPr>
      <w:r>
        <w:rPr>
          <w:rFonts w:hint="eastAsia"/>
          <w:lang w:eastAsia="zh-CN"/>
        </w:rPr>
        <w:t>（</w:t>
      </w:r>
      <w:r>
        <w:rPr>
          <w:rFonts w:eastAsia="宋体" w:hint="eastAsia"/>
          <w:lang w:eastAsia="zh-CN"/>
        </w:rPr>
        <w:t>10</w:t>
      </w:r>
      <w:r>
        <w:rPr>
          <w:rFonts w:hint="eastAsia"/>
          <w:lang w:eastAsia="zh-CN"/>
        </w:rPr>
        <w:t>）技术要求偏离表</w:t>
      </w:r>
    </w:p>
    <w:p>
      <w:pPr>
        <w:ind w:firstLine="960" w:firstLineChars="400"/>
        <w:rPr>
          <w:lang w:eastAsia="zh-CN"/>
        </w:rPr>
      </w:pPr>
      <w:r>
        <w:rPr>
          <w:rFonts w:hint="eastAsia"/>
          <w:lang w:eastAsia="zh-CN"/>
        </w:rPr>
        <w:t>（</w:t>
      </w:r>
      <w:r>
        <w:rPr>
          <w:rFonts w:eastAsia="宋体" w:hint="eastAsia"/>
          <w:lang w:eastAsia="zh-CN"/>
        </w:rPr>
        <w:t>11</w:t>
      </w:r>
      <w:r>
        <w:rPr>
          <w:rFonts w:hint="eastAsia"/>
          <w:lang w:eastAsia="zh-CN"/>
        </w:rPr>
        <w:t>）商务要求偏离表</w:t>
      </w:r>
    </w:p>
    <w:p>
      <w:pPr>
        <w:ind w:firstLine="960" w:firstLineChars="400"/>
        <w:rPr>
          <w:lang w:eastAsia="zh-CN"/>
        </w:rPr>
      </w:pPr>
      <w:r>
        <w:rPr>
          <w:rFonts w:hint="eastAsia"/>
          <w:lang w:eastAsia="zh-CN"/>
        </w:rPr>
        <w:t>（</w:t>
      </w:r>
      <w:r>
        <w:rPr>
          <w:rFonts w:eastAsia="宋体" w:hint="eastAsia"/>
          <w:lang w:eastAsia="zh-CN"/>
        </w:rPr>
        <w:t>12</w:t>
      </w:r>
      <w:r>
        <w:rPr>
          <w:rFonts w:hint="eastAsia"/>
          <w:lang w:eastAsia="zh-CN"/>
        </w:rPr>
        <w:t>）技术保障措施</w:t>
      </w:r>
    </w:p>
    <w:p>
      <w:pPr>
        <w:ind w:firstLine="960" w:firstLineChars="400"/>
        <w:rPr>
          <w:lang w:eastAsia="zh-CN"/>
        </w:rPr>
      </w:pPr>
      <w:r>
        <w:rPr>
          <w:rFonts w:hint="eastAsia"/>
          <w:lang w:eastAsia="zh-CN"/>
        </w:rPr>
        <w:t>（</w:t>
      </w:r>
      <w:r>
        <w:rPr>
          <w:rFonts w:eastAsia="宋体" w:hint="eastAsia"/>
          <w:lang w:eastAsia="zh-CN"/>
        </w:rPr>
        <w:t>13</w:t>
      </w:r>
      <w:r>
        <w:rPr>
          <w:rFonts w:hint="eastAsia"/>
          <w:lang w:eastAsia="zh-CN"/>
        </w:rPr>
        <w:t>）同类项目业绩</w:t>
      </w:r>
    </w:p>
    <w:p>
      <w:pPr>
        <w:ind w:firstLine="960" w:firstLineChars="400"/>
        <w:rPr>
          <w:lang w:eastAsia="zh-CN"/>
        </w:rPr>
      </w:pPr>
      <w:r>
        <w:rPr>
          <w:rFonts w:hint="eastAsia"/>
          <w:lang w:eastAsia="zh-CN"/>
        </w:rPr>
        <w:t>（</w:t>
      </w:r>
      <w:r>
        <w:rPr>
          <w:rFonts w:eastAsia="宋体" w:hint="eastAsia"/>
          <w:lang w:eastAsia="zh-CN"/>
        </w:rPr>
        <w:t>14</w:t>
      </w:r>
      <w:r>
        <w:rPr>
          <w:rFonts w:hint="eastAsia"/>
          <w:lang w:eastAsia="zh-CN"/>
        </w:rPr>
        <w:t>）投标人资质证书</w:t>
      </w:r>
    </w:p>
    <w:p>
      <w:pPr>
        <w:ind w:firstLine="960" w:firstLineChars="400"/>
        <w:rPr>
          <w:rFonts w:ascii="宋体" w:hAnsi="宋体" w:cs="宋体"/>
          <w:lang w:eastAsia="zh-CN"/>
        </w:rPr>
      </w:pPr>
      <w:r>
        <w:rPr>
          <w:rFonts w:hint="eastAsia"/>
          <w:lang w:eastAsia="zh-CN"/>
        </w:rPr>
        <w:t>（</w:t>
      </w:r>
      <w:r>
        <w:rPr>
          <w:rFonts w:eastAsia="宋体" w:hint="eastAsia"/>
          <w:lang w:eastAsia="zh-CN"/>
        </w:rPr>
        <w:t>15</w:t>
      </w:r>
      <w:r>
        <w:rPr>
          <w:rFonts w:hint="eastAsia"/>
          <w:lang w:eastAsia="zh-CN"/>
        </w:rPr>
        <w:t>）诚信承诺函</w:t>
      </w:r>
    </w:p>
    <w:p>
      <w:pPr>
        <w:ind w:firstLine="960" w:firstLineChars="400"/>
        <w:rPr>
          <w:lang w:eastAsia="zh-CN"/>
        </w:rPr>
      </w:pPr>
      <w:r>
        <w:rPr>
          <w:rFonts w:hint="eastAsia"/>
          <w:lang w:eastAsia="zh-CN"/>
        </w:rPr>
        <w:t>（</w:t>
      </w:r>
      <w:r>
        <w:rPr>
          <w:rFonts w:eastAsia="宋体" w:hint="eastAsia"/>
          <w:lang w:eastAsia="zh-CN"/>
        </w:rPr>
        <w:t>16</w:t>
      </w:r>
      <w:r>
        <w:rPr>
          <w:rFonts w:hint="eastAsia"/>
          <w:lang w:eastAsia="zh-CN"/>
        </w:rPr>
        <w:t>）投标人认为需要加以说明的其他内容</w:t>
      </w:r>
    </w:p>
    <w:bookmarkEnd w:id="15"/>
    <w:bookmarkEnd w:id="17"/>
    <w:p>
      <w:pPr>
        <w:widowControl w:val="0"/>
        <w:spacing w:line="320" w:lineRule="atLeast"/>
        <w:jc w:val="both"/>
        <w:rPr>
          <w:rFonts w:ascii="宋体" w:eastAsia="宋体" w:hAnsi="宋体" w:hint="eastAsia"/>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hint="eastAsia"/>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hint="eastAsia"/>
          <w:bCs/>
          <w:kern w:val="44"/>
          <w:sz w:val="32"/>
          <w:szCs w:val="32"/>
          <w:lang w:eastAsia="zh-CN"/>
        </w:rPr>
      </w:pPr>
      <w:bookmarkStart w:id="18" w:name="_Hlk72263559"/>
      <w:r>
        <w:rPr>
          <w:rFonts w:ascii="宋体" w:eastAsia="宋体" w:hAnsi="宋体" w:cstheme="minorBidi" w:hint="eastAsia"/>
          <w:b/>
          <w:kern w:val="2"/>
          <w:lang w:eastAsia="zh-CN"/>
        </w:rPr>
        <w:t>2.关于填写“开标一览表”的说明：“开标一览表”中除“投标总价”外，其他信息不作评审依据。</w:t>
      </w:r>
      <w:bookmarkEnd w:id="16"/>
      <w:bookmarkEnd w:id="18"/>
      <w:r>
        <w:rPr>
          <w:rFonts w:ascii="宋体" w:eastAsia="黑体" w:hAnsi="宋体"/>
          <w:bCs/>
          <w:kern w:val="44"/>
          <w:sz w:val="32"/>
          <w:szCs w:val="32"/>
          <w:lang w:eastAsia="zh-CN"/>
        </w:rPr>
        <w:br w:type="page"/>
      </w:r>
    </w:p>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hint="eastAsia"/>
          <w:kern w:val="2"/>
          <w:sz w:val="21"/>
          <w:szCs w:val="21"/>
          <w:lang w:eastAsia="zh-CN"/>
        </w:rPr>
      </w:pPr>
      <w:bookmarkStart w:id="19"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hint="eastAsia"/>
          <w:kern w:val="2"/>
          <w:sz w:val="21"/>
          <w:szCs w:val="21"/>
          <w:lang w:eastAsia="zh-CN"/>
        </w:rPr>
      </w:pPr>
      <w:bookmarkStart w:id="20" w:name="_Hlk73818812"/>
      <w:r>
        <w:rPr>
          <w:rFonts w:ascii="Calibri" w:eastAsia="宋体" w:hAnsi="Calibri" w:cstheme="minorBidi" w:hint="eastAsia"/>
          <w:kern w:val="2"/>
          <w:sz w:val="21"/>
          <w:szCs w:val="21"/>
          <w:lang w:eastAsia="zh-CN"/>
        </w:rPr>
        <w:t>1、根据已收到贵单位的项目编号为</w:t>
      </w:r>
      <w:bookmarkStart w:id="21" w:name="_GoBack"/>
      <w:r>
        <w:rPr>
          <w:rFonts w:ascii="Calibri" w:eastAsia="宋体" w:hAnsi="Calibri" w:cstheme="minorBidi" w:hint="eastAsia"/>
          <w:kern w:val="2"/>
          <w:sz w:val="21"/>
          <w:szCs w:val="21"/>
          <w:lang w:eastAsia="zh-CN"/>
        </w:rPr>
        <w:t>LHAZXDL-2025-00341</w:t>
      </w:r>
      <w:bookmarkEnd w:id="21"/>
      <w:r>
        <w:rPr>
          <w:rFonts w:ascii="Calibri" w:eastAsia="宋体" w:hAnsi="Calibri" w:cstheme="minorBidi" w:hint="eastAsia"/>
          <w:kern w:val="2"/>
          <w:sz w:val="21"/>
          <w:szCs w:val="21"/>
          <w:lang w:eastAsia="zh-CN"/>
        </w:rPr>
        <w:t>的</w:t>
      </w:r>
      <w:r>
        <w:rPr>
          <w:rFonts w:ascii="Calibri" w:eastAsia="宋体" w:hAnsi="Calibri" w:cstheme="minorBidi" w:hint="eastAsia"/>
          <w:kern w:val="2"/>
          <w:sz w:val="21"/>
          <w:szCs w:val="21"/>
          <w:u w:val="thick"/>
          <w:lang w:eastAsia="zh-CN"/>
        </w:rPr>
        <w:t>大浪校区监控视频存储及光网络交换设备</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2" w:name="_Hlk72263588"/>
      <w:r>
        <w:rPr>
          <w:rFonts w:ascii="Calibri" w:eastAsia="宋体" w:hAnsi="Calibri" w:cstheme="minorBidi" w:hint="eastAsia"/>
          <w:kern w:val="2"/>
          <w:sz w:val="21"/>
          <w:szCs w:val="21"/>
          <w:lang w:eastAsia="zh-CN"/>
        </w:rPr>
        <w:t>愿意按照招标文件要求承包上述项目并修补其任何缺陷。</w:t>
      </w:r>
      <w:bookmarkEnd w:id="22"/>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3"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3"/>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spacing w:line="360" w:lineRule="auto"/>
        <w:ind w:left="480" w:left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20"/>
    </w:p>
    <w:p>
      <w:pPr>
        <w:widowControl w:val="0"/>
        <w:spacing w:line="360" w:lineRule="auto"/>
        <w:ind w:left="480" w:left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bookmarkEnd w:id="19"/>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二、龙华区教育局自行采购投标及履约承诺函</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深圳市千里招标代理有限公司</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我单位承诺：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1.我单位本招标项目所提供的货物或服务未侵犯知识产权。</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2.我单位参与本项目投标前三年内，在经营活动中没有重大违法记录。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3.我单位参与本项目政府采购活动时不存在被有关部门禁止参与政府采购活动且在有效期内的情况。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4.我单位具备《中华人民共和国政府采购法》第二十二条第一款规定的六项条件。</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5.我单位未被列入失信被执行人、重大税收违法案件当事人名单（税收违法黑名单）、政府采购严重违法失信行为记录名单。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mac地址与其他投标人相同的情形。</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theme="minorBidi" w:hint="eastAsia"/>
          <w:kern w:val="2"/>
          <w:sz w:val="21"/>
          <w:szCs w:val="21"/>
          <w:lang w:eastAsia="zh-CN"/>
        </w:rPr>
        <w:t>我单位承诺参与本项目非联合体投标，不选用进口产品参与投标，中标后项目不转包，未经采购人同意不进行分包。</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我单位保证，若所投货物涉及《财政部生态环境部关于印发节能产品政府采购品目清单的通知》（财库〔2019〕19号）列明的政府采购强制产品，则所投该产品符合节能产品的认证要求，则所投该产品符合节能产品的认证要求。若所投产品包括数据中心相关设备的，应满足财政部《绿色数据中心政府采购需求标准（试行）》（财办库〔2023〕7号）要求。</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12.我单位承诺，为采购项目提供整体设计、规范编制或者项目管理、监理、检测等服务的供应商，不再参加该采购项目同一合同项下的其他采购活动。</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13.我单位承诺，符合《中华人民共和国政府采购法实施条例》第十八条第一款规定，不存在我单位与其他供应商的负责人为同一人或者存在直接控股、管理关系的情况。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14.所投标（响应）的货物、工程或服务，不存在侵犯知识产权的情况；已知悉并同意中标（成交）结果信息公示（公开）的内容。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15.本单位（公司）不存在《深圳市财政局政府采购供应商信用信息管理办法》（深财规</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2023〕3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16.我单位自愿遵照龙华区教育系统自行采购的有关管理制度和规定，并自愿接受龙华区教育局和财政部门的有关监督。</w:t>
      </w:r>
    </w:p>
    <w:p>
      <w:pPr>
        <w:widowControl w:val="0"/>
        <w:ind w:firstLine="645"/>
        <w:jc w:val="both"/>
        <w:rPr>
          <w:rFonts w:ascii="宋体" w:eastAsia="宋体" w:hAnsi="宋体" w:cs="宋体" w:hint="eastAsia"/>
          <w:kern w:val="2"/>
          <w:sz w:val="21"/>
          <w:szCs w:val="21"/>
          <w:lang w:eastAsia="zh-CN"/>
        </w:rPr>
      </w:pPr>
      <w:r>
        <w:rPr>
          <w:rFonts w:ascii="宋体" w:eastAsia="宋体" w:hAnsi="宋体" w:cstheme="minorBidi" w:hint="eastAsia"/>
          <w:color w:val="FF0000"/>
          <w:sz w:val="21"/>
          <w:szCs w:val="22"/>
          <w:lang w:eastAsia="zh-CN"/>
        </w:rPr>
        <w:t>17.如果我单位中标，将依照本项目招标文件要求，在接到深圳市千里招标代理有限公司通知（包括但不限于电话、短信通知）后3个工作日内，缴纳招标代理服务费。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pPr>
        <w:widowControl w:val="0"/>
        <w:spacing w:line="560" w:lineRule="exact"/>
        <w:jc w:val="both"/>
        <w:rPr>
          <w:rFonts w:ascii="宋体" w:eastAsia="宋体" w:hAnsi="宋体" w:cs="宋体" w:hint="eastAsia"/>
          <w:kern w:val="2"/>
          <w:sz w:val="18"/>
          <w:szCs w:val="18"/>
          <w:lang w:eastAsia="zh-CN"/>
        </w:rPr>
      </w:pPr>
    </w:p>
    <w:p>
      <w:pPr>
        <w:widowControl w:val="0"/>
        <w:spacing w:before="60" w:beforeLines="25" w:after="60" w:afterLines="25"/>
        <w:jc w:val="right"/>
        <w:rPr>
          <w:rFonts w:ascii="Calibri" w:eastAsia="宋体" w:hAnsi="Calibri"/>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hint="eastAsia"/>
          <w:b/>
          <w:bCs/>
          <w:color w:val="FF0000"/>
          <w:kern w:val="2"/>
          <w:sz w:val="21"/>
          <w:szCs w:val="21"/>
          <w:lang w:eastAsia="zh-CN"/>
        </w:rPr>
      </w:pPr>
    </w:p>
    <w:p>
      <w:pPr>
        <w:widowControl w:val="0"/>
        <w:jc w:val="right"/>
        <w:rPr>
          <w:rFonts w:ascii="宋体" w:eastAsia="宋体" w:hAnsi="宋体" w:hint="eastAsia"/>
          <w:color w:val="FF0000"/>
          <w:kern w:val="2"/>
          <w:sz w:val="21"/>
          <w:szCs w:val="21"/>
          <w:lang w:eastAsia="zh-CN"/>
        </w:rPr>
      </w:pPr>
      <w:r>
        <w:rPr>
          <w:rFonts w:ascii="宋体" w:eastAsia="宋体" w:hAnsi="宋体" w:cs="宋体" w:hint="eastAsia"/>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hint="eastAsia"/>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hint="eastAsia"/>
          <w:bCs/>
          <w:szCs w:val="32"/>
          <w:lang w:eastAsia="zh-CN"/>
        </w:rPr>
      </w:pPr>
      <w:bookmarkStart w:id="24"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hint="eastAsia"/>
          <w:bCs/>
          <w:szCs w:val="32"/>
          <w:lang w:eastAsia="zh-CN"/>
        </w:rPr>
      </w:pPr>
      <w:bookmarkStart w:id="25" w:name="_Hlk72257908"/>
      <w:r>
        <w:rPr>
          <w:rFonts w:ascii="黑体" w:eastAsia="黑体" w:hAnsi="宋体" w:cstheme="minorBidi" w:hint="eastAsia"/>
          <w:bCs/>
          <w:szCs w:val="32"/>
          <w:lang w:eastAsia="zh-CN"/>
        </w:rPr>
        <w:t>（二）中小企业声明函、残疾人福利性单位声明函及监狱企业声明函</w:t>
      </w:r>
    </w:p>
    <w:bookmarkEnd w:id="24"/>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1"/>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hint="eastAsia"/>
          <w:kern w:val="2"/>
          <w:sz w:val="21"/>
          <w:szCs w:val="21"/>
          <w:lang w:eastAsia="zh-CN"/>
        </w:rPr>
      </w:pPr>
      <w:bookmarkStart w:id="26"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6"/>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bookmarkStart w:id="27" w:name="_Hlk73562331"/>
      <w:bookmarkStart w:id="28"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7"/>
    </w:p>
    <w:bookmarkEnd w:id="28"/>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5"/>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jc w:val="both"/>
        <w:rPr>
          <w:rFonts w:ascii="宋体" w:eastAsia="宋体" w:hAnsi="宋体" w:hint="eastAsia"/>
          <w:kern w:val="2"/>
          <w:sz w:val="21"/>
          <w:szCs w:val="21"/>
          <w:lang w:eastAsia="zh-CN"/>
        </w:rPr>
      </w:pPr>
    </w:p>
    <w:p>
      <w:pPr>
        <w:keepNext/>
        <w:keepLines/>
        <w:spacing w:before="120" w:after="120"/>
        <w:jc w:val="center"/>
        <w:outlineLvl w:val="2"/>
        <w:rPr>
          <w:rFonts w:ascii="黑体" w:eastAsia="黑体" w:hAnsi="宋体" w:hint="eastAsia"/>
          <w:bCs/>
          <w:kern w:val="2"/>
          <w:szCs w:val="32"/>
        </w:rPr>
      </w:pPr>
      <w:r>
        <w:rPr>
          <w:rFonts w:ascii="黑体" w:eastAsia="黑体" w:hAnsi="宋体" w:hint="eastAsia"/>
          <w:bCs/>
          <w:kern w:val="2"/>
          <w:szCs w:val="32"/>
          <w:lang w:eastAsia="zh-CN"/>
        </w:rPr>
        <w:t>四</w:t>
      </w:r>
      <w:r>
        <w:rPr>
          <w:rFonts w:ascii="黑体" w:eastAsia="黑体" w:hAnsi="宋体" w:hint="eastAsia"/>
          <w:bCs/>
          <w:kern w:val="2"/>
          <w:szCs w:val="32"/>
        </w:rPr>
        <w:t>、供应商基本情况表</w:t>
      </w:r>
    </w:p>
    <w:tbl>
      <w:tblPr>
        <w:tblStyle w:val="TableNormal"/>
        <w:tblW w:w="5000" w:type="pct"/>
        <w:tblInd w:w="0" w:type="dxa"/>
        <w:tblLayout w:type="fixed"/>
        <w:tblCellMar>
          <w:top w:w="0" w:type="dxa"/>
          <w:left w:w="108" w:type="dxa"/>
          <w:bottom w:w="0" w:type="dxa"/>
          <w:right w:w="108" w:type="dxa"/>
        </w:tblCellMar>
      </w:tblPr>
      <w:tblGrid>
        <w:gridCol w:w="730"/>
        <w:gridCol w:w="669"/>
        <w:gridCol w:w="1590"/>
        <w:gridCol w:w="939"/>
        <w:gridCol w:w="783"/>
        <w:gridCol w:w="1188"/>
        <w:gridCol w:w="1486"/>
        <w:gridCol w:w="1471"/>
      </w:tblGrid>
      <w:tr>
        <w:tblPrEx>
          <w:tblW w:w="5000" w:type="pct"/>
          <w:tblInd w:w="0" w:type="dxa"/>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投标（响应）供应商</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项目名称及编号</w:t>
            </w:r>
          </w:p>
        </w:tc>
        <w:tc>
          <w:tcPr>
            <w:tcW w:w="2985"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职务</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姓名</w:t>
            </w: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身份证号码</w:t>
            </w: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劳动合同</w:t>
            </w:r>
          </w:p>
          <w:p>
            <w:pPr>
              <w:spacing w:line="360" w:lineRule="auto"/>
              <w:rPr>
                <w:b/>
                <w:bCs/>
                <w:kern w:val="2"/>
              </w:rPr>
            </w:pPr>
            <w:r>
              <w:rPr>
                <w:b/>
                <w:bCs/>
                <w:kern w:val="2"/>
              </w:rPr>
              <w:t>关系单位</w:t>
            </w: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缴纳社会</w:t>
            </w:r>
          </w:p>
          <w:p>
            <w:pPr>
              <w:spacing w:line="360" w:lineRule="auto"/>
              <w:rPr>
                <w:b/>
                <w:bCs/>
                <w:kern w:val="2"/>
              </w:rPr>
            </w:pPr>
            <w:r>
              <w:rPr>
                <w:b/>
                <w:bCs/>
                <w:kern w:val="2"/>
              </w:rPr>
              <w:t>保险单位</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法定代表人/单位负责人/主要经营负责人</w:t>
            </w:r>
          </w:p>
        </w:tc>
        <w:tc>
          <w:tcPr>
            <w:tcW w:w="947"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500"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485"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项目投标授权代表人</w:t>
            </w:r>
          </w:p>
        </w:tc>
        <w:tc>
          <w:tcPr>
            <w:tcW w:w="947"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3</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项目负责人</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4</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主要技术人员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5</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投标文件编制人员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39"/>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关联关系类型</w:t>
            </w:r>
          </w:p>
        </w:tc>
        <w:tc>
          <w:tcPr>
            <w:tcW w:w="1738"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关联主体名称</w:t>
            </w:r>
          </w:p>
        </w:tc>
        <w:tc>
          <w:tcPr>
            <w:tcW w:w="4185" w:type="dxa"/>
            <w:gridSpan w:val="3"/>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备注</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控股股东</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tblInd w:w="0" w:type="dxa"/>
          <w:tblLayout w:type="fixed"/>
          <w:tblCellMar>
            <w:top w:w="0" w:type="dxa"/>
            <w:left w:w="108" w:type="dxa"/>
            <w:bottom w:w="0" w:type="dxa"/>
            <w:right w:w="108" w:type="dxa"/>
          </w:tblCellMar>
        </w:tblPrEx>
        <w:trPr>
          <w:trHeight w:val="789"/>
        </w:trPr>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管理关系</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rPr>
          <w:trHeight w:val="455"/>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说明：同一关联关系类型有多个主体的，应分行填写。</w:t>
            </w:r>
          </w:p>
        </w:tc>
      </w:tr>
    </w:tbl>
    <w:p>
      <w:pPr>
        <w:widowControl w:val="0"/>
        <w:spacing w:line="360" w:lineRule="auto"/>
        <w:ind w:firstLine="420" w:firstLineChars="200"/>
        <w:jc w:val="both"/>
        <w:rPr>
          <w:rFonts w:ascii="宋体" w:eastAsia="宋体" w:hAnsi="宋体" w:hint="eastAsia"/>
          <w:kern w:val="2"/>
          <w:sz w:val="21"/>
          <w:szCs w:val="21"/>
          <w:lang w:eastAsia="zh-CN"/>
        </w:rPr>
      </w:pPr>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五、分项报价清单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4"/>
        <w:gridCol w:w="760"/>
        <w:gridCol w:w="760"/>
        <w:gridCol w:w="760"/>
        <w:gridCol w:w="760"/>
        <w:gridCol w:w="760"/>
        <w:gridCol w:w="760"/>
        <w:gridCol w:w="760"/>
        <w:gridCol w:w="836"/>
        <w:gridCol w:w="836"/>
        <w:gridCol w:w="99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5"/>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序号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货物名称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品牌</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规格/型号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制造商名称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原产地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数量</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单位</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单价(元)</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合价(元)</w:t>
            </w:r>
          </w:p>
        </w:tc>
        <w:tc>
          <w:tcPr>
            <w:tcW w:w="55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val="9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restart"/>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0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2639" w:type="pct"/>
            <w:gridSpan w:val="6"/>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投标总价（以上各项之和；币种：人民币；单位：元）</w:t>
            </w:r>
          </w:p>
        </w:tc>
        <w:tc>
          <w:tcPr>
            <w:tcW w:w="2361" w:type="pct"/>
            <w:gridSpan w:val="5"/>
            <w:vAlign w:val="center"/>
          </w:tcPr>
          <w:p>
            <w:pPr>
              <w:widowControl w:val="0"/>
              <w:jc w:val="both"/>
              <w:rPr>
                <w:rFonts w:ascii="Calibri" w:eastAsia="宋体" w:hAnsi="Calibri"/>
                <w:kern w:val="2"/>
                <w:sz w:val="21"/>
                <w:szCs w:val="21"/>
                <w:lang w:eastAsia="zh-CN"/>
              </w:rPr>
            </w:pPr>
          </w:p>
        </w:tc>
      </w:tr>
    </w:tbl>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填写说明：</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1.本表可根据实际需要增加相关内容，但原有的格式内容不得删减；</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4.“原产地”是指该货物的实际生产加工地，而非品牌所在地。</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6.以上分项报价表的投标总价应当与开标一览表的投标总价一致。</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ind w:left="480" w:firstLine="420" w:leftChars="200" w:firstLineChars="200"/>
        <w:jc w:val="both"/>
        <w:rPr>
          <w:rFonts w:eastAsia="宋体"/>
          <w:kern w:val="2"/>
          <w:sz w:val="21"/>
          <w:lang w:eastAsia="zh-CN"/>
        </w:rPr>
      </w:pPr>
    </w:p>
    <w:p>
      <w:pPr>
        <w:widowControl w:val="0"/>
        <w:spacing w:after="120"/>
        <w:jc w:val="both"/>
        <w:rPr>
          <w:rFonts w:eastAsia="宋体"/>
          <w:kern w:val="2"/>
          <w:sz w:val="21"/>
          <w:lang w:eastAsia="zh-CN"/>
        </w:rPr>
      </w:pPr>
    </w:p>
    <w:p>
      <w:pPr>
        <w:widowControl w:val="0"/>
        <w:spacing w:after="12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（二）核心产品品牌</w:t>
      </w: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ind w:firstLine="480" w:firstLineChars="200"/>
        <w:jc w:val="both"/>
        <w:rPr>
          <w:rFonts w:ascii="宋体" w:eastAsia="宋体" w:hAnsi="宋体" w:hint="eastAsia"/>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ordWrap w:val="0"/>
        <w:autoSpaceDE w:val="0"/>
        <w:autoSpaceDN w:val="0"/>
        <w:spacing w:line="400" w:lineRule="exact"/>
        <w:ind w:right="808" w:firstLine="420" w:firstLineChars="200"/>
        <w:jc w:val="both"/>
        <w:rPr>
          <w:rFonts w:ascii="Arial" w:eastAsia="宋体" w:hAnsi="Arial"/>
          <w:b/>
          <w:kern w:val="2"/>
          <w:sz w:val="21"/>
          <w:lang w:eastAsia="zh-CN"/>
        </w:rPr>
      </w:pPr>
      <w:r>
        <w:rPr>
          <w:rFonts w:eastAsia="宋体" w:hint="eastAsia"/>
          <w:kern w:val="2"/>
          <w:sz w:val="21"/>
          <w:lang w:eastAsia="zh-CN"/>
        </w:rPr>
        <w:t>备注：单一产品采购项目，核心产品即为该单一产品。</w:t>
      </w:r>
    </w:p>
    <w:p>
      <w:pPr>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（三）可选配件报价清单（非项目需求要求的必备配件，此部分不包括在总报价内）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（四）供应商认为需要涉及的其他内容报价清单</w:t>
      </w: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keepNext/>
        <w:keepLines/>
        <w:spacing w:before="260" w:after="260"/>
        <w:jc w:val="center"/>
        <w:outlineLvl w:val="2"/>
        <w:rPr>
          <w:rFonts w:ascii="黑体" w:eastAsia="黑体" w:hAnsi="宋体" w:hint="eastAsia"/>
          <w:b/>
          <w:kern w:val="2"/>
          <w:sz w:val="30"/>
          <w:szCs w:val="30"/>
          <w:lang w:eastAsia="zh-CN"/>
        </w:rPr>
      </w:pPr>
      <w:r>
        <w:rPr>
          <w:rFonts w:ascii="黑体" w:eastAsia="黑体" w:hAnsi="宋体" w:hint="eastAsia"/>
          <w:b/>
          <w:kern w:val="2"/>
          <w:sz w:val="30"/>
          <w:szCs w:val="30"/>
          <w:lang w:eastAsia="zh-CN"/>
        </w:rPr>
        <w:t>六、股东构成审查表</w:t>
      </w:r>
    </w:p>
    <w:p>
      <w:pPr>
        <w:keepNext/>
        <w:keepLines/>
        <w:widowControl w:val="0"/>
        <w:numPr>
          <w:ilvl w:val="0"/>
          <w:numId w:val="2"/>
        </w:numPr>
        <w:spacing w:line="360" w:lineRule="auto"/>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spacing w:line="360" w:lineRule="auto"/>
        <w:jc w:val="both"/>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4" w:history="1">
        <w:r>
          <w:rPr>
            <w:rFonts w:ascii="宋体" w:eastAsia="宋体" w:hAnsi="宋体" w:cs="宋体" w:hint="eastAsia"/>
            <w:color w:val="0000FF"/>
            <w:kern w:val="2"/>
            <w:sz w:val="21"/>
            <w:szCs w:val="22"/>
            <w:u w:val="single"/>
            <w:lang w:eastAsia="zh-CN"/>
          </w:rPr>
          <w:t>https://amr.sz.gov.cn/outer/entSelect/gs.html”。</w:t>
        </w:r>
      </w:hyperlink>
    </w:p>
    <w:p>
      <w:pPr>
        <w:spacing w:line="360" w:lineRule="auto"/>
        <w:ind w:firstLine="480" w:firstLineChars="200"/>
        <w:rPr>
          <w:rFonts w:ascii="宋体" w:eastAsia="宋体" w:hAnsi="宋体" w:hint="eastAsia"/>
          <w:bCs/>
          <w:kern w:val="2"/>
          <w:sz w:val="21"/>
          <w:szCs w:val="21"/>
          <w:lang w:eastAsia="zh-CN"/>
        </w:rPr>
      </w:pPr>
      <w:r>
        <w:rPr>
          <w:rFonts w:ascii="宋体" w:eastAsia="宋体" w:hAnsi="宋体"/>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rPr>
          <w:rFonts w:ascii="Calibri" w:eastAsia="宋体" w:hAnsi="Calibri"/>
          <w:kern w:val="2"/>
          <w:sz w:val="21"/>
          <w:szCs w:val="22"/>
          <w:lang w:eastAsia="zh-CN"/>
        </w:rPr>
      </w:pPr>
      <w:r>
        <w:rPr>
          <w:rFonts w:ascii="宋体" w:eastAsia="宋体" w:hAnsi="宋体"/>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rPr>
          <w:rFonts w:ascii="宋体" w:eastAsia="宋体" w:hAnsi="宋体" w:cs="宋体" w:hint="eastAsia"/>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spacing w:line="360" w:lineRule="auto"/>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jc w:val="both"/>
        <w:rPr>
          <w:rFonts w:ascii="宋体" w:eastAsia="宋体" w:hAnsi="宋体" w:cs="宋体" w:hint="eastAsia"/>
          <w:kern w:val="2"/>
          <w:sz w:val="21"/>
          <w:szCs w:val="22"/>
          <w:lang w:eastAsia="zh-CN"/>
        </w:rPr>
      </w:pPr>
    </w:p>
    <w:p>
      <w:pPr>
        <w:keepNext/>
        <w:keepLines/>
        <w:widowControl w:val="0"/>
        <w:spacing w:line="360" w:lineRule="auto"/>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autoSpaceDE w:val="0"/>
        <w:autoSpaceDN w:val="0"/>
        <w:adjustRightInd w:val="0"/>
        <w:snapToGrid w:val="0"/>
        <w:spacing w:line="360" w:lineRule="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autoSpaceDE w:val="0"/>
        <w:autoSpaceDN w:val="0"/>
        <w:adjustRightInd w:val="0"/>
        <w:snapToGrid w:val="0"/>
        <w:spacing w:line="360" w:lineRule="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spacing w:line="360" w:lineRule="auto"/>
        <w:rPr>
          <w:rFonts w:ascii="宋体" w:eastAsia="宋体" w:hAnsi="宋体" w:cs="宋体" w:hint="eastAsia"/>
          <w:b/>
          <w:color w:val="000000"/>
          <w:kern w:val="2"/>
          <w:sz w:val="21"/>
          <w:szCs w:val="21"/>
          <w:lang w:eastAsia="zh-CN"/>
        </w:rPr>
      </w:pPr>
    </w:p>
    <w:p>
      <w:pPr>
        <w:widowControl w:val="0"/>
        <w:spacing w:after="60" w:afterLines="25" w:line="300" w:lineRule="auto"/>
        <w:jc w:val="center"/>
        <w:rPr>
          <w:rFonts w:ascii="Arial" w:eastAsia="宋体" w:hAnsi="Arial"/>
          <w:b/>
          <w:kern w:val="2"/>
          <w:sz w:val="21"/>
          <w:szCs w:val="22"/>
          <w:lang w:eastAsia="zh-CN"/>
        </w:rPr>
      </w:pPr>
    </w:p>
    <w:p>
      <w:pPr>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七、</w:t>
      </w:r>
      <w:bookmarkStart w:id="29" w:name="_Hlk72092499"/>
      <w:r>
        <w:rPr>
          <w:rFonts w:ascii="黑体" w:eastAsia="黑体" w:hAnsi="宋体" w:cstheme="minorBidi" w:hint="eastAsia"/>
          <w:b/>
          <w:kern w:val="2"/>
          <w:sz w:val="30"/>
          <w:szCs w:val="30"/>
          <w:lang w:eastAsia="zh-CN"/>
        </w:rPr>
        <w:t>法定代表人（负责人）证明书</w:t>
      </w:r>
      <w:bookmarkEnd w:id="29"/>
    </w:p>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本项目投标授权代表为法定代表人（负责人）的，无需提供《投标文件签署授权委托书》。</w:t>
      </w:r>
    </w:p>
    <w:p>
      <w:pPr>
        <w:widowControl w:val="0"/>
        <w:numPr>
          <w:ilvl w:val="0"/>
          <w:numId w:val="3"/>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p>
      <w:pPr>
        <w:widowControl w:val="0"/>
        <w:spacing w:line="360" w:lineRule="auto"/>
        <w:jc w:val="both"/>
        <w:rPr>
          <w:rFonts w:ascii="Calibri" w:eastAsia="宋体" w:hAnsi="Calibri"/>
          <w:kern w:val="2"/>
          <w:sz w:val="21"/>
          <w:szCs w:val="21"/>
          <w:lang w:eastAsia="zh-CN"/>
        </w:rPr>
      </w:pPr>
      <w:r>
        <w:rPr>
          <w:rFonts w:hint="eastAsia"/>
          <w:b/>
          <w:color w:val="FF0000"/>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68"/>
        </w:trPr>
        <w:tc>
          <w:tcPr>
            <w:tcW w:w="4529"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53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jc w:val="both"/>
        <w:rPr>
          <w:rFonts w:ascii="Calibri" w:eastAsia="宋体" w:hAnsi="Calibri"/>
          <w:kern w:val="2"/>
          <w:szCs w:val="22"/>
          <w:lang w:eastAsia="zh-CN"/>
        </w:rPr>
      </w:pPr>
    </w:p>
    <w:p>
      <w:pPr>
        <w:widowControl w:val="0"/>
        <w:spacing w:after="120"/>
        <w:jc w:val="both"/>
        <w:rPr>
          <w:rFonts w:ascii="Calibri" w:eastAsia="宋体" w:hAnsi="Calibri"/>
          <w:kern w:val="2"/>
          <w:szCs w:val="22"/>
          <w:lang w:eastAsia="zh-CN"/>
        </w:rPr>
      </w:pPr>
    </w:p>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八、投标文件签署授权委托书</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kern w:val="2"/>
          <w:sz w:val="21"/>
          <w:szCs w:val="21"/>
          <w:lang w:eastAsia="zh-CN"/>
        </w:rPr>
      </w:pP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月</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附：1、请提供代理人身份证扫描件（正反两面）；港澳台居民可提供来往通行证扫描件；非中国国籍管辖范围人员，可提供公安部门认可的身份证明材料扫描件。</w:t>
      </w:r>
    </w:p>
    <w:p>
      <w:pPr>
        <w:ind w:firstLine="420" w:firstLineChars="200"/>
        <w:rPr>
          <w:rFonts w:ascii="宋体" w:eastAsia="宋体" w:hAnsi="宋体" w:cs="Arial" w:hint="eastAsia"/>
          <w:b/>
          <w:bCs/>
          <w:sz w:val="21"/>
          <w:szCs w:val="21"/>
          <w:lang w:eastAsia="zh-CN"/>
        </w:rPr>
      </w:pPr>
      <w:r>
        <w:rPr>
          <w:rFonts w:hint="eastAsia"/>
          <w:sz w:val="21"/>
          <w:szCs w:val="21"/>
          <w:lang w:eastAsia="zh-CN"/>
        </w:rPr>
        <w:t>2、</w:t>
      </w:r>
      <w:r>
        <w:rPr>
          <w:rFonts w:ascii="宋体" w:eastAsia="宋体" w:hAnsi="宋体" w:cs="Arial" w:hint="eastAsia"/>
          <w:b/>
          <w:bCs/>
          <w:sz w:val="21"/>
          <w:szCs w:val="21"/>
          <w:lang w:eastAsia="zh-CN"/>
        </w:rPr>
        <w:t>投标时提供项目投标授权代表人近三个月（含开标当月）中的任意一个月的社会保险证明。</w:t>
      </w:r>
    </w:p>
    <w:p>
      <w:pPr>
        <w:ind w:firstLine="420" w:firstLineChars="200"/>
        <w:rPr>
          <w:rFonts w:ascii="宋体" w:eastAsia="宋体" w:hAnsi="宋体" w:cs="Arial" w:hint="eastAsia"/>
          <w:bCs/>
          <w:sz w:val="21"/>
          <w:szCs w:val="21"/>
          <w:lang w:eastAsia="zh-CN"/>
        </w:rPr>
      </w:pPr>
      <w:r>
        <w:rPr>
          <w:rFonts w:ascii="宋体" w:eastAsia="宋体" w:hAnsi="宋体" w:cs="Arial" w:hint="eastAsia"/>
          <w:bCs/>
          <w:sz w:val="21"/>
          <w:szCs w:val="21"/>
          <w:lang w:eastAsia="zh-CN"/>
        </w:rPr>
        <w:t>注：</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（1）</w:t>
      </w:r>
      <w:r>
        <w:rPr>
          <w:rFonts w:ascii="宋体" w:eastAsia="宋体" w:hAnsi="宋体" w:cs="Arial" w:hint="eastAsia"/>
          <w:bCs/>
          <w:sz w:val="21"/>
          <w:szCs w:val="21"/>
          <w:lang w:eastAsia="zh-CN"/>
        </w:rPr>
        <w:t>投标人应如实提供上述人员的社会保险证明，如上述人员的社会保险未由投标人缴纳，亦须提供相应单位为其缴纳的社会保险证明。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（2）</w:t>
      </w:r>
      <w:r>
        <w:rPr>
          <w:rFonts w:ascii="宋体" w:eastAsia="宋体" w:hAnsi="宋体" w:cs="Arial" w:hint="eastAsia"/>
          <w:bCs/>
          <w:sz w:val="21"/>
          <w:szCs w:val="21"/>
          <w:lang w:eastAsia="zh-CN"/>
        </w:rPr>
        <w:t>投标人为新成立企业且成立时间不足一个月可提供加盖投标人公章的情况说明或者证明材料亦视为符合。</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（3）</w:t>
      </w:r>
      <w:r>
        <w:rPr>
          <w:rFonts w:ascii="宋体" w:eastAsia="宋体" w:hAnsi="宋体" w:cs="Arial" w:hint="eastAsia"/>
          <w:bCs/>
          <w:sz w:val="21"/>
          <w:szCs w:val="21"/>
          <w:lang w:eastAsia="zh-CN"/>
        </w:rPr>
        <w:t>若为退休人员，提供退休证明。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（4）</w:t>
      </w:r>
      <w:r>
        <w:rPr>
          <w:rFonts w:ascii="宋体" w:eastAsia="宋体" w:hAnsi="宋体" w:cs="Arial" w:hint="eastAsia"/>
          <w:bCs/>
          <w:sz w:val="21"/>
          <w:szCs w:val="21"/>
          <w:lang w:eastAsia="zh-CN"/>
        </w:rPr>
        <w:t>如依法不需要缴纳社会保险的，应提供相应文件证明。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（5）</w:t>
      </w:r>
      <w:r>
        <w:rPr>
          <w:rFonts w:ascii="宋体" w:eastAsia="宋体" w:hAnsi="宋体" w:cs="Arial" w:hint="eastAsia"/>
          <w:bCs/>
          <w:sz w:val="21"/>
          <w:szCs w:val="21"/>
          <w:lang w:eastAsia="zh-CN"/>
        </w:rPr>
        <w:t>若因为社保部门或税务部门原因无法提供的，需提供劳动合同及社保部门或税务部门官方通知证明（或官网公告截图）。</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（6）</w:t>
      </w:r>
      <w:r>
        <w:rPr>
          <w:rFonts w:ascii="宋体" w:eastAsia="宋体" w:hAnsi="宋体" w:cs="Arial" w:hint="eastAsia"/>
          <w:bCs/>
          <w:sz w:val="21"/>
          <w:szCs w:val="21"/>
          <w:lang w:eastAsia="zh-CN"/>
        </w:rPr>
        <w:t>如本项目未安排项目投标授权代表人的，无需提供投标授权代表人的社保。</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18"/>
        </w:trPr>
        <w:tc>
          <w:tcPr>
            <w:tcW w:w="4269"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70"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tabs>
          <w:tab w:val="left" w:pos="651"/>
        </w:tabs>
        <w:snapToGrid w:val="0"/>
        <w:jc w:val="center"/>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jc w:val="center"/>
        <w:rPr>
          <w:rFonts w:ascii="黑体" w:eastAsia="黑体" w:hAnsi="Calibri"/>
          <w:b/>
          <w:kern w:val="2"/>
          <w:sz w:val="30"/>
          <w:szCs w:val="22"/>
          <w:lang w:eastAsia="zh-CN"/>
        </w:rPr>
      </w:pPr>
      <w:r>
        <w:rPr>
          <w:rFonts w:ascii="黑体" w:eastAsia="黑体" w:hAnsi="Calibri" w:cstheme="minorBidi" w:hint="eastAsia"/>
          <w:b/>
          <w:kern w:val="2"/>
          <w:sz w:val="30"/>
          <w:szCs w:val="22"/>
          <w:lang w:eastAsia="zh-CN"/>
        </w:rPr>
        <w:t>九、</w:t>
      </w:r>
      <w:bookmarkStart w:id="30" w:name="_Hlk72092634"/>
      <w:r>
        <w:rPr>
          <w:rFonts w:ascii="黑体" w:eastAsia="黑体" w:hAnsi="Calibri" w:cstheme="minorBidi" w:hint="eastAsia"/>
          <w:b/>
          <w:kern w:val="2"/>
          <w:sz w:val="30"/>
          <w:szCs w:val="22"/>
          <w:lang w:eastAsia="zh-CN"/>
        </w:rPr>
        <w:t>实质性条款响应情况表</w:t>
      </w:r>
      <w:bookmarkEnd w:id="30"/>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hint="eastAsia"/>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hint="eastAsia"/>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hint="eastAsia"/>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hint="eastAsia"/>
                <w:b/>
                <w:color w:val="FF0000"/>
                <w:sz w:val="21"/>
                <w:szCs w:val="21"/>
                <w:lang w:eastAsia="zh-CN"/>
              </w:rPr>
            </w:pPr>
          </w:p>
        </w:tc>
      </w:tr>
    </w:tbl>
    <w:p>
      <w:pPr>
        <w:widowControl w:val="0"/>
        <w:snapToGrid w:val="0"/>
        <w:jc w:val="both"/>
        <w:rPr>
          <w:rFonts w:ascii="宋体" w:eastAsia="宋体" w:hAnsi="宋体" w:hint="eastAsia"/>
          <w:kern w:val="2"/>
          <w:lang w:eastAsia="zh-CN"/>
        </w:rPr>
      </w:pPr>
    </w:p>
    <w:p>
      <w:pPr>
        <w:widowControl w:val="0"/>
        <w:snapToGrid w:val="0"/>
        <w:jc w:val="both"/>
        <w:rPr>
          <w:rFonts w:ascii="宋体" w:eastAsia="宋体" w:hAnsi="宋体" w:hint="eastAsia"/>
          <w:b/>
          <w:kern w:val="2"/>
          <w:lang w:eastAsia="zh-CN"/>
        </w:rPr>
      </w:pPr>
      <w:r>
        <w:rPr>
          <w:rFonts w:ascii="宋体" w:eastAsia="宋体" w:hAnsi="宋体" w:hint="eastAsia"/>
          <w:b/>
          <w:kern w:val="2"/>
          <w:lang w:eastAsia="zh-CN"/>
        </w:rPr>
        <w:t>填写说明：</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1、上表所列各项均为不可负偏离条款。</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2、“投标文件响应”一栏应当详细填写投标人自身响应情况，而不能不合理照搬照抄招标文件实质性条款具体内容。</w:t>
      </w:r>
      <w:r>
        <w:rPr>
          <w:rFonts w:ascii="宋体" w:eastAsia="宋体" w:hAnsi="宋体" w:cs="宋体" w:hint="eastAsia"/>
          <w:b/>
          <w:bCs/>
          <w:kern w:val="2"/>
          <w:lang w:eastAsia="zh-CN"/>
        </w:rPr>
        <w:t>如完全满足实质性条款具体内容可填写“完全响应”，除招标文件另有注明外，不强制要求逐条列出响应。</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3、“偏离情况”一栏应填写</w:t>
      </w:r>
      <w:r>
        <w:rPr>
          <w:rFonts w:ascii="宋体" w:eastAsia="宋体" w:hAnsi="宋体" w:cs="宋体" w:hint="eastAsia"/>
          <w:kern w:val="2"/>
          <w:lang w:eastAsia="zh-CN"/>
        </w:rPr>
        <w:t>“</w:t>
      </w:r>
      <w:r>
        <w:rPr>
          <w:rFonts w:ascii="宋体" w:eastAsia="宋体" w:hAnsi="宋体" w:cs="宋体" w:hint="eastAsia"/>
          <w:b/>
          <w:bCs/>
          <w:kern w:val="2"/>
          <w:lang w:eastAsia="zh-CN"/>
        </w:rPr>
        <w:t>正偏离</w:t>
      </w:r>
      <w:r>
        <w:rPr>
          <w:rFonts w:ascii="宋体" w:eastAsia="宋体" w:hAnsi="宋体" w:cs="宋体" w:hint="eastAsia"/>
          <w:kern w:val="2"/>
          <w:lang w:eastAsia="zh-CN"/>
        </w:rPr>
        <w:t>”或“</w:t>
      </w:r>
      <w:r>
        <w:rPr>
          <w:rFonts w:ascii="宋体" w:eastAsia="宋体" w:hAnsi="宋体" w:cs="宋体" w:hint="eastAsia"/>
          <w:b/>
          <w:bCs/>
          <w:kern w:val="2"/>
          <w:lang w:eastAsia="zh-CN"/>
        </w:rPr>
        <w:t>负偏离</w:t>
      </w:r>
      <w:r>
        <w:rPr>
          <w:rFonts w:ascii="宋体" w:eastAsia="宋体" w:hAnsi="宋体" w:cs="宋体" w:hint="eastAsia"/>
          <w:kern w:val="2"/>
          <w:lang w:eastAsia="zh-CN"/>
        </w:rPr>
        <w:t>”或“</w:t>
      </w:r>
      <w:r>
        <w:rPr>
          <w:rFonts w:ascii="宋体" w:eastAsia="宋体" w:hAnsi="宋体" w:cs="宋体" w:hint="eastAsia"/>
          <w:b/>
          <w:bCs/>
          <w:kern w:val="2"/>
          <w:lang w:eastAsia="zh-CN"/>
        </w:rPr>
        <w:t>无偏离</w:t>
      </w:r>
      <w:r>
        <w:rPr>
          <w:rFonts w:ascii="宋体" w:eastAsia="宋体" w:hAnsi="宋体" w:cs="宋体" w:hint="eastAsia"/>
          <w:kern w:val="2"/>
          <w:lang w:eastAsia="zh-CN"/>
        </w:rPr>
        <w:t>”</w:t>
      </w:r>
      <w:r>
        <w:rPr>
          <w:rFonts w:ascii="宋体" w:eastAsia="宋体" w:hAnsi="宋体" w:cs="宋体" w:hint="eastAsia"/>
          <w:bCs/>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4、评审委员会有权对投标响应情况作出判断。</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5、实质性响应条款“投标响应情况”与投标文件其它内容冲突的，以实质性响应条款“投标响应情况”为准。</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十、技术要求偏离表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6"/>
          <w:jc w:val="center"/>
        </w:trPr>
        <w:tc>
          <w:tcPr>
            <w:tcW w:w="77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126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货物名称</w:t>
            </w:r>
          </w:p>
        </w:tc>
        <w:tc>
          <w:tcPr>
            <w:tcW w:w="3028"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招标技术要求</w:t>
            </w:r>
          </w:p>
        </w:tc>
        <w:tc>
          <w:tcPr>
            <w:tcW w:w="28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投标技术响应</w:t>
            </w:r>
          </w:p>
        </w:tc>
        <w:tc>
          <w:tcPr>
            <w:tcW w:w="1210"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偏离情况</w:t>
            </w:r>
          </w:p>
        </w:tc>
        <w:tc>
          <w:tcPr>
            <w:tcW w:w="87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ign w:val="center"/>
          </w:tcPr>
          <w:p>
            <w:pPr>
              <w:widowControl w:val="0"/>
              <w:jc w:val="both"/>
              <w:rPr>
                <w:rFonts w:ascii="Calibri" w:eastAsia="宋体" w:hAnsi="Calibri"/>
                <w:kern w:val="2"/>
                <w:sz w:val="21"/>
                <w:szCs w:val="22"/>
                <w:lang w:eastAsia="zh-CN"/>
              </w:rPr>
            </w:pPr>
          </w:p>
        </w:tc>
        <w:tc>
          <w:tcPr>
            <w:tcW w:w="1266" w:type="dxa"/>
            <w:vMerge/>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十一、商务要求偏离表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2"/>
        <w:gridCol w:w="1456"/>
        <w:gridCol w:w="2484"/>
        <w:gridCol w:w="2404"/>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9"/>
          <w:jc w:val="center"/>
        </w:trPr>
        <w:tc>
          <w:tcPr>
            <w:tcW w:w="681"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573"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700"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采购</w:t>
            </w:r>
            <w:r>
              <w:rPr>
                <w:rFonts w:ascii="Calibri" w:eastAsia="宋体" w:hAnsi="Calibri" w:cstheme="minorBidi" w:hint="eastAsia"/>
                <w:kern w:val="2"/>
                <w:sz w:val="21"/>
                <w:szCs w:val="22"/>
                <w:lang w:eastAsia="zh-CN"/>
              </w:rPr>
              <w:t>商务要求</w:t>
            </w:r>
          </w:p>
        </w:tc>
        <w:tc>
          <w:tcPr>
            <w:tcW w:w="261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26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74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（一）免费保修期内售后服务要求</w:t>
            </w: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700" w:type="dxa"/>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（二）其他商务要求</w:t>
            </w: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1、商务要求偏离表的序号、目录、招标商务要求等栏目对应“用户需求书”中的“商务要求”章节相关内容。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2、“投标商务响应”一栏必须一一对照“采购商务要求”，详细填写自身响应情况，而不能不合理照搬照抄招标文件的商务要求，以体现具体响应情况。</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“投标商务响应”对比“采购商务要求”存在响应不全（包括未响应整项招标商务要求或者未响应一项招标商务要求的部分内容），均视为“负偏离”。</w:t>
      </w:r>
    </w:p>
    <w:p>
      <w:pPr>
        <w:numPr>
          <w:ilvl w:val="0"/>
          <w:numId w:val="3"/>
        </w:num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带★号条款为不可偏离条款，如未响应或出现负偏离的，将作投标无效处理。</w:t>
      </w: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十二、技术保障措施</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十三、同类项目业绩</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十四、投标人资质证书</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十五、诚信承诺函</w:t>
      </w:r>
    </w:p>
    <w:p>
      <w:pPr>
        <w:spacing w:line="360" w:lineRule="auto"/>
        <w:rPr>
          <w:rFonts w:ascii="宋体" w:eastAsia="宋体" w:hAnsi="宋体" w:hint="eastAsia"/>
          <w:b/>
          <w:szCs w:val="21"/>
          <w:lang w:eastAsia="zh-CN"/>
        </w:rPr>
      </w:pPr>
      <w:r>
        <w:rPr>
          <w:rFonts w:ascii="宋体" w:eastAsia="宋体" w:hAnsi="宋体" w:hint="eastAsia"/>
          <w:b/>
          <w:szCs w:val="21"/>
          <w:lang w:eastAsia="zh-CN"/>
        </w:rPr>
        <w:t>致：深圳市千里招标代理有限公司</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我公司承诺近三年内在采购招标投标活动中，不存在以下情形：</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（一）被纪检监察部门立案调查，违法违规事实成立的；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（二）未按本条例规定签订、履行采购合同，造成严重后果的；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（三）隐瞒真实情况，提供虚假资料的；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（四）以非法手段排斥其他供应商参与竞争的；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（五）与其他采购参加人串通投标的；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（六）在采购活动中应当回避而未回避的；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（七）恶意投诉的；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（八）向采购项目相关人行贿或者提供其他不当利益的；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（九）阻碍、抗拒主管部门监督检查的；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（十）履约检查不合格或者评价为差的；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（十一）重大违法犯罪记录和被财政等政府主管部门处以禁止参与政府采购活动的情况；</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（十二）主管部门认定的其他情形。</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特此承诺。</w:t>
      </w:r>
    </w:p>
    <w:p>
      <w:pPr>
        <w:spacing w:line="360" w:lineRule="auto"/>
        <w:jc w:val="both"/>
        <w:rPr>
          <w:rFonts w:ascii="宋体" w:eastAsia="宋体" w:hAnsi="宋体" w:hint="eastAsia"/>
          <w:szCs w:val="21"/>
          <w:lang w:eastAsia="zh-CN"/>
        </w:rPr>
      </w:pPr>
    </w:p>
    <w:p>
      <w:pPr>
        <w:spacing w:line="360" w:lineRule="auto"/>
        <w:rPr>
          <w:rFonts w:ascii="宋体" w:eastAsia="宋体" w:hAnsi="宋体" w:hint="eastAsia"/>
          <w:szCs w:val="21"/>
          <w:lang w:eastAsia="zh-CN"/>
        </w:rPr>
      </w:pPr>
    </w:p>
    <w:p>
      <w:pPr>
        <w:spacing w:line="360" w:lineRule="auto"/>
        <w:ind w:firstLine="3600" w:firstLineChars="1500"/>
        <w:rPr>
          <w:rFonts w:ascii="宋体" w:eastAsia="宋体" w:hAnsi="宋体" w:hint="eastAsia"/>
          <w:szCs w:val="21"/>
          <w:lang w:eastAsia="zh-CN"/>
        </w:rPr>
      </w:pPr>
      <w:r>
        <w:rPr>
          <w:rFonts w:ascii="宋体" w:eastAsia="宋体" w:hAnsi="宋体" w:hint="eastAsia"/>
          <w:szCs w:val="21"/>
          <w:lang w:eastAsia="zh-CN"/>
        </w:rPr>
        <w:t>投标单位：</w:t>
      </w:r>
    </w:p>
    <w:p>
      <w:pPr>
        <w:spacing w:line="360" w:lineRule="auto"/>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r>
        <w:rPr>
          <w:rFonts w:ascii="宋体" w:eastAsia="宋体" w:hAnsi="宋体" w:hint="eastAsia"/>
          <w:szCs w:val="21"/>
          <w:lang w:eastAsia="zh-CN"/>
        </w:rPr>
        <w:t>日期：</w:t>
      </w:r>
      <w:r>
        <w:rPr>
          <w:rFonts w:ascii="宋体" w:eastAsia="宋体" w:hAnsi="宋体" w:hint="eastAsia"/>
          <w:szCs w:val="21"/>
          <w:u w:val="single"/>
          <w:lang w:eastAsia="zh-CN"/>
        </w:rPr>
        <w:t xml:space="preserve">     </w:t>
      </w:r>
      <w:r>
        <w:rPr>
          <w:rFonts w:ascii="宋体" w:eastAsia="宋体" w:hAnsi="宋体" w:hint="eastAsia"/>
          <w:szCs w:val="21"/>
          <w:lang w:eastAsia="zh-CN"/>
        </w:rPr>
        <w:t>年</w:t>
      </w:r>
      <w:r>
        <w:rPr>
          <w:rFonts w:ascii="宋体" w:eastAsia="宋体" w:hAnsi="宋体" w:hint="eastAsia"/>
          <w:szCs w:val="21"/>
          <w:u w:val="single"/>
          <w:lang w:eastAsia="zh-CN"/>
        </w:rPr>
        <w:t xml:space="preserve">     </w:t>
      </w:r>
      <w:r>
        <w:rPr>
          <w:rFonts w:ascii="宋体" w:eastAsia="宋体" w:hAnsi="宋体" w:hint="eastAsia"/>
          <w:szCs w:val="21"/>
          <w:lang w:eastAsia="zh-CN"/>
        </w:rPr>
        <w:t>月</w:t>
      </w:r>
      <w:r>
        <w:rPr>
          <w:rFonts w:ascii="宋体" w:eastAsia="宋体" w:hAnsi="宋体" w:hint="eastAsia"/>
          <w:szCs w:val="21"/>
          <w:u w:val="single"/>
          <w:lang w:eastAsia="zh-CN"/>
        </w:rPr>
        <w:t xml:space="preserve">     </w:t>
      </w:r>
      <w:r>
        <w:rPr>
          <w:rFonts w:ascii="宋体" w:eastAsia="宋体" w:hAnsi="宋体" w:hint="eastAsia"/>
          <w:szCs w:val="21"/>
          <w:lang w:eastAsia="zh-CN"/>
        </w:rPr>
        <w:t>日</w:t>
      </w: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rPr>
          <w:rFonts w:ascii="黑体" w:eastAsia="黑体" w:hAnsi="宋体" w:hint="eastAsia"/>
          <w:kern w:val="2"/>
          <w:szCs w:val="20"/>
          <w:highlight w:val="yellow"/>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十六、</w:t>
      </w:r>
      <w:bookmarkStart w:id="31" w:name="_Hlk72062872"/>
      <w:r>
        <w:rPr>
          <w:rFonts w:ascii="黑体" w:eastAsia="黑体" w:hAnsi="宋体" w:cstheme="minorBidi" w:hint="eastAsia"/>
          <w:b/>
          <w:bCs/>
          <w:kern w:val="2"/>
          <w:sz w:val="30"/>
          <w:szCs w:val="30"/>
          <w:lang w:eastAsia="zh-CN"/>
        </w:rPr>
        <w:t>投标人认为需要加以说明的其他内容</w:t>
      </w:r>
      <w:bookmarkEnd w:id="31"/>
    </w:p>
    <w:p>
      <w:pPr>
        <w:jc w:val="center"/>
        <w:rPr>
          <w:rFonts w:ascii="黑体" w:eastAsia="黑体" w:hAnsi="宋体" w:hint="eastAsia"/>
          <w:szCs w:val="20"/>
          <w:lang w:eastAsia="zh-CN"/>
        </w:rPr>
      </w:pPr>
      <w:r>
        <w:rPr>
          <w:rFonts w:ascii="黑体" w:eastAsia="黑体" w:hAnsi="宋体" w:cstheme="minorBidi" w:hint="eastAsia"/>
          <w:szCs w:val="20"/>
          <w:lang w:eastAsia="zh-CN"/>
        </w:rPr>
        <w:t>（一）政府采购违法行为风险知悉确认书</w:t>
      </w:r>
    </w:p>
    <w:p>
      <w:pPr>
        <w:jc w:val="center"/>
        <w:rPr>
          <w:rFonts w:ascii="黑体" w:eastAsia="黑体" w:hAnsi="宋体" w:hint="eastAsia"/>
          <w:szCs w:val="20"/>
          <w:lang w:eastAsia="zh-CN"/>
        </w:rPr>
      </w:pPr>
    </w:p>
    <w:p>
      <w:pPr>
        <w:spacing w:after="120" w:afterLines="50" w:line="360" w:lineRule="exact"/>
        <w:ind w:firstLine="480" w:firstLineChars="200"/>
        <w:rPr>
          <w:rFonts w:ascii="宋体" w:eastAsia="宋体" w:hAnsi="宋体" w:cs="宋体" w:hint="eastAsia"/>
          <w:b/>
          <w:bCs/>
          <w:lang w:eastAsia="zh-CN"/>
        </w:rPr>
      </w:pPr>
      <w:r>
        <w:rPr>
          <w:rFonts w:ascii="宋体" w:eastAsia="宋体" w:hAnsi="宋体" w:cs="宋体" w:hint="eastAsia"/>
          <w:b/>
          <w:bCs/>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81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Pr>
          <w:p>
            <w:pPr>
              <w:spacing w:line="400" w:lineRule="exact"/>
              <w:jc w:val="center"/>
              <w:rPr>
                <w:rFonts w:ascii="宋体" w:hAnsi="宋体" w:cs="宋体" w:hint="eastAsia"/>
              </w:rPr>
            </w:pPr>
            <w:r>
              <w:rPr>
                <w:rFonts w:ascii="宋体" w:hAnsi="宋体" w:cs="宋体" w:hint="eastAsia"/>
              </w:rPr>
              <w:t>序号</w:t>
            </w:r>
          </w:p>
        </w:tc>
        <w:tc>
          <w:tcPr>
            <w:tcW w:w="7811" w:type="dxa"/>
          </w:tcPr>
          <w:p>
            <w:pPr>
              <w:spacing w:line="400" w:lineRule="exact"/>
              <w:jc w:val="center"/>
              <w:rPr>
                <w:rFonts w:ascii="宋体" w:hAnsi="宋体" w:cs="宋体" w:hint="eastAsia"/>
                <w:lang w:eastAsia="zh-CN"/>
              </w:rPr>
            </w:pPr>
            <w:r>
              <w:rPr>
                <w:rFonts w:ascii="宋体" w:hAnsi="宋体" w:cs="宋体" w:hint="eastAsia"/>
                <w:b/>
                <w:bCs/>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1</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与其他投标供应商的法定代表人、主要经营负责人、投标授权代表人、项目负责人、主要技术人员为</w:t>
            </w:r>
            <w:r>
              <w:rPr>
                <w:rFonts w:ascii="宋体" w:hAnsi="宋体" w:cs="宋体" w:hint="eastAsia"/>
                <w:b/>
                <w:bCs/>
                <w:lang w:eastAsia="zh-CN"/>
              </w:rPr>
              <w:t>同一人、属同一单位或者在同一单位缴纳社会保险</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rPr>
            </w:pPr>
            <w:r>
              <w:rPr>
                <w:rFonts w:ascii="宋体" w:hAnsi="宋体" w:cs="宋体" w:hint="eastAsia"/>
              </w:rPr>
              <w:t>2</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参与本项目政府采购活动时，与其他投标供应商存在单位负责人为</w:t>
            </w:r>
            <w:r>
              <w:rPr>
                <w:rFonts w:ascii="宋体" w:hAnsi="宋体" w:cs="宋体" w:hint="eastAsia"/>
                <w:b/>
                <w:bCs/>
                <w:lang w:eastAsia="zh-CN"/>
              </w:rPr>
              <w:t>同一人或直接控股、管理关系</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3</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与其他投标供应商的投标文件或部分投标文件</w:t>
            </w:r>
            <w:r>
              <w:rPr>
                <w:rFonts w:ascii="宋体" w:hAnsi="宋体" w:cs="宋体" w:hint="eastAsia"/>
                <w:b/>
                <w:bCs/>
                <w:lang w:eastAsia="zh-CN"/>
              </w:rPr>
              <w:t>相互混装或存在非正常一致</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4</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与其他投标供应商的投标文件由</w:t>
            </w:r>
            <w:r>
              <w:rPr>
                <w:rFonts w:ascii="宋体" w:hAnsi="宋体" w:cs="宋体" w:hint="eastAsia"/>
                <w:b/>
                <w:bCs/>
                <w:lang w:eastAsia="zh-CN"/>
              </w:rPr>
              <w:t>同一单位或者同一人编制</w:t>
            </w:r>
            <w:r>
              <w:rPr>
                <w:rFonts w:ascii="宋体" w:hAnsi="宋体" w:cs="宋体" w:hint="eastAsia"/>
                <w:lang w:eastAsia="zh-CN"/>
              </w:rPr>
              <w:t>，或者使用</w:t>
            </w:r>
            <w:r>
              <w:rPr>
                <w:rFonts w:ascii="宋体" w:hAnsi="宋体" w:cs="宋体" w:hint="eastAsia"/>
                <w:b/>
                <w:bCs/>
                <w:lang w:eastAsia="zh-CN"/>
              </w:rPr>
              <w:t>同一设备编制</w:t>
            </w:r>
            <w:r>
              <w:rPr>
                <w:rFonts w:ascii="宋体" w:hAnsi="宋体" w:cs="宋体" w:hint="eastAsia"/>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rPr>
            </w:pPr>
            <w:r>
              <w:rPr>
                <w:rFonts w:ascii="宋体" w:hAnsi="宋体" w:cs="宋体" w:hint="eastAsia"/>
              </w:rPr>
              <w:t>5</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提供</w:t>
            </w:r>
            <w:r>
              <w:rPr>
                <w:rFonts w:ascii="宋体" w:hAnsi="宋体" w:cs="宋体" w:hint="eastAsia"/>
                <w:b/>
                <w:bCs/>
                <w:lang w:eastAsia="zh-CN"/>
              </w:rPr>
              <w:t>未经出具机构核实</w:t>
            </w:r>
            <w:r>
              <w:rPr>
                <w:rFonts w:ascii="宋体" w:hAnsi="宋体" w:cs="宋体" w:hint="eastAsia"/>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6</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擅自将投标密钥或电子营业执照出借他人使用或未妥善保管。</w:t>
            </w:r>
          </w:p>
        </w:tc>
      </w:tr>
    </w:tbl>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b/>
          <w:bCs/>
          <w:kern w:val="2"/>
          <w:lang w:eastAsia="zh-CN"/>
        </w:rPr>
        <w:t>一、本公司已充分知悉“隐瞒真实情况，提供虚假资料”的法定情形，相关情形包括但不限于</w:t>
      </w:r>
      <w:r>
        <w:rPr>
          <w:rFonts w:ascii="宋体" w:eastAsia="宋体" w:hAnsi="宋体" w:cs="仿宋_GB2312" w:hint="eastAsia"/>
          <w:kern w:val="2"/>
          <w:lang w:eastAsia="zh-CN"/>
        </w:rPr>
        <w:t>：</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（一）通过转让或者租借等方式从其他单位获取资格或者资质证书投标的。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（二）由其他单位或者其他单位负责人在投标供应商编制的投标文件上加盖印章或者签字的。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（三）项目负责人或者主要技术人员不是本单位人员的。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（四）投标保证金不是从投标供应商基本账户转出的。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（五）其他隐瞒真实情况、提供虚假资料的行为。</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b/>
          <w:bCs/>
          <w:kern w:val="2"/>
          <w:lang w:eastAsia="zh-CN"/>
        </w:rPr>
        <w:t>二、本公司已充分知悉“与其他采购参加人串通投标”的法定情形，相关情形包括但不限于：</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（一）投标供应商之间相互约定给予未中标的供应商利益补偿。</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（二）不同投标供应商的法定代表人、主要经营负责人、项目投标授权代表人、项目负责人、主要技术人员为同一人、属同一单位或者在同一单位缴纳社会保险。</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（三）不同投标供应商的投标文件由同一单位或者同一人编制，或者由同一人分阶段参与编制的。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（四）不同投标供应商的投标文件或部分投标文件相互混装。</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（五）不同投标供应商的投标文件内容存在非正常一致。</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（六）由同一单位工作人员为两家以上（含两家）供应商进行同一项投标活动的。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（七）不同投标人的投标报价呈规律性差异。</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（八）不同投标人的投标保证金从同一单位或者个人的账户转出。</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（九）主管部门依照法律、法规认定的其他情形。</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b/>
          <w:bCs/>
          <w:kern w:val="2"/>
          <w:lang w:eastAsia="zh-CN"/>
        </w:rPr>
        <w:t>三、本公司已充分知悉下列情形所对应的法律风险，并在投标前已对相关风险事项进行排查。</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kern w:val="2"/>
          <w:lang w:eastAsia="zh-CN"/>
        </w:rPr>
        <w:t>（一）对于</w:t>
      </w:r>
      <w:r>
        <w:rPr>
          <w:rFonts w:ascii="宋体" w:eastAsia="宋体" w:hAnsi="宋体" w:hint="eastAsia"/>
          <w:kern w:val="2"/>
          <w:lang w:eastAsia="zh-CN"/>
        </w:rPr>
        <w:t>从</w:t>
      </w:r>
      <w:r>
        <w:rPr>
          <w:rFonts w:ascii="宋体" w:eastAsia="宋体" w:hAnsi="宋体" w:cs="仿宋_GB2312" w:hint="eastAsia"/>
          <w:kern w:val="2"/>
          <w:lang w:eastAsia="zh-CN"/>
        </w:rPr>
        <w:t>其他主体</w:t>
      </w:r>
      <w:r>
        <w:rPr>
          <w:rFonts w:ascii="宋体" w:eastAsia="宋体" w:hAnsi="宋体" w:hint="eastAsia"/>
          <w:kern w:val="2"/>
          <w:lang w:eastAsia="zh-CN"/>
        </w:rPr>
        <w:t>获取</w:t>
      </w:r>
      <w:r>
        <w:rPr>
          <w:rFonts w:ascii="宋体" w:eastAsia="宋体" w:hAnsi="宋体" w:cs="仿宋_GB2312" w:hint="eastAsia"/>
          <w:kern w:val="2"/>
          <w:lang w:eastAsia="zh-CN"/>
        </w:rPr>
        <w:t>的投标资料，供应商应审慎核查，确保投标资料的真实性。</w:t>
      </w:r>
      <w:r>
        <w:rPr>
          <w:rFonts w:ascii="宋体" w:eastAsia="宋体" w:hAnsi="宋体" w:cs="仿宋_GB2312" w:hint="eastAsia"/>
          <w:b/>
          <w:bCs/>
          <w:kern w:val="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（三）对于涉及安全生产、特种作业、抢险救灾、防疫等政府采购项目，供应商实施提供虚假资料、串通投标等违法行为的，主管部门将依法从严处理。</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（四）供应商应严格规范项目授权代表、员工参与招标投标的行为，加强对投标文件的审核。项目授权代表、员工</w:t>
      </w:r>
      <w:r>
        <w:rPr>
          <w:rFonts w:ascii="宋体" w:eastAsia="宋体" w:hAnsi="宋体" w:hint="eastAsia"/>
          <w:kern w:val="2"/>
          <w:lang w:eastAsia="zh-CN"/>
        </w:rPr>
        <w:t>编制、上传</w:t>
      </w:r>
      <w:r>
        <w:rPr>
          <w:rFonts w:ascii="宋体" w:eastAsia="宋体" w:hAnsi="宋体" w:cs="仿宋_GB2312" w:hint="eastAsia"/>
          <w:kern w:val="2"/>
          <w:lang w:eastAsia="zh-CN"/>
        </w:rPr>
        <w:t>投标文件</w:t>
      </w:r>
      <w:r>
        <w:rPr>
          <w:rFonts w:ascii="宋体" w:eastAsia="宋体" w:hAnsi="宋体" w:hint="eastAsia"/>
          <w:kern w:val="2"/>
          <w:lang w:eastAsia="zh-CN"/>
        </w:rPr>
        <w:t>等行为</w:t>
      </w:r>
      <w:r>
        <w:rPr>
          <w:rFonts w:ascii="宋体" w:eastAsia="宋体" w:hAnsi="宋体" w:cs="仿宋_GB2312" w:hint="eastAsia"/>
          <w:kern w:val="2"/>
          <w:lang w:eastAsia="zh-CN"/>
        </w:rPr>
        <w:t>违反政府采购法律法规或招标文件要求的，投标供应商应当依法承担相应法律责任。</w:t>
      </w:r>
    </w:p>
    <w:p>
      <w:pPr>
        <w:widowControl w:val="0"/>
        <w:spacing w:line="579" w:lineRule="exact"/>
        <w:ind w:firstLine="480" w:firstLineChars="200"/>
        <w:rPr>
          <w:rFonts w:ascii="宋体" w:eastAsia="宋体" w:hAnsi="宋体" w:cs="仿宋_GB2312" w:hint="eastAsia"/>
          <w:kern w:val="2"/>
          <w:lang w:eastAsia="zh-CN"/>
        </w:rPr>
      </w:pPr>
      <w:r>
        <w:rPr>
          <w:rFonts w:ascii="宋体" w:eastAsia="宋体" w:hAnsi="宋体" w:cs="仿宋_GB2312" w:hint="eastAsia"/>
          <w:kern w:val="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（六）单位负责人为同一人或者存在直接控股、管理关系的不同供应商，不得参加同一合同项下的政府采购活动。相关情形</w:t>
      </w:r>
      <w:r>
        <w:rPr>
          <w:rFonts w:ascii="宋体" w:eastAsia="宋体" w:hAnsi="宋体" w:hint="eastAsia"/>
          <w:kern w:val="2"/>
          <w:lang w:eastAsia="zh-CN"/>
        </w:rPr>
        <w:t>如</w:t>
      </w:r>
      <w:r>
        <w:rPr>
          <w:rFonts w:ascii="宋体" w:eastAsia="宋体" w:hAnsi="宋体" w:cs="仿宋_GB2312" w:hint="eastAsia"/>
          <w:kern w:val="2"/>
          <w:lang w:eastAsia="zh-CN"/>
        </w:rPr>
        <w:t>查实，依法作投标无效处理；涉嫌串通投标等违法行为的，主管部门将依法调查处理。</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b/>
          <w:bCs/>
          <w:kern w:val="2"/>
          <w:lang w:eastAsia="zh-CN"/>
        </w:rPr>
        <w:t>四、本公司已充分知悉政府采购违法、违规行为的法律后果。</w:t>
      </w:r>
      <w:r>
        <w:rPr>
          <w:rFonts w:ascii="宋体" w:eastAsia="宋体" w:hAnsi="宋体" w:cs="仿宋_GB2312" w:hint="eastAsia"/>
          <w:kern w:val="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579" w:lineRule="exact"/>
        <w:ind w:firstLine="480" w:firstLineChars="200"/>
        <w:jc w:val="both"/>
        <w:rPr>
          <w:rFonts w:ascii="宋体" w:eastAsia="宋体" w:hAnsi="宋体" w:cs="仿宋_GB2312" w:hint="eastAsia"/>
          <w:color w:val="FF0000"/>
          <w:kern w:val="2"/>
          <w:lang w:eastAsia="zh-CN"/>
        </w:rPr>
      </w:pPr>
      <w:r>
        <w:rPr>
          <w:rFonts w:ascii="宋体" w:eastAsia="宋体" w:hAnsi="宋体" w:cs="仿宋_GB2312" w:hint="eastAsia"/>
          <w:color w:val="FF0000"/>
          <w:kern w:val="2"/>
          <w:lang w:eastAsia="zh-CN"/>
        </w:rPr>
        <w:t>我司已阅读并确认：“本公司已仔细阅读《政府采购违法行为风险知悉确认书》，充分知悉违法行为的法律后果，并承诺将严谨、诚信、依法依规参与政府采购活动”。</w:t>
      </w:r>
    </w:p>
    <w:p>
      <w:pPr>
        <w:widowControl w:val="0"/>
        <w:spacing w:line="579" w:lineRule="exact"/>
        <w:jc w:val="both"/>
        <w:rPr>
          <w:rFonts w:ascii="宋体" w:eastAsia="宋体" w:hAnsi="宋体" w:cs="仿宋_GB2312" w:hint="eastAsia"/>
          <w:kern w:val="2"/>
          <w:u w:val="single"/>
          <w:lang w:eastAsia="zh-CN"/>
        </w:rPr>
      </w:pPr>
    </w:p>
    <w:p>
      <w:pPr>
        <w:widowControl w:val="0"/>
        <w:spacing w:line="560" w:lineRule="exact"/>
        <w:jc w:val="both"/>
        <w:rPr>
          <w:rFonts w:ascii="宋体" w:eastAsia="宋体" w:hAnsi="宋体" w:cs="宋体" w:hint="eastAsia"/>
          <w:kern w:val="2"/>
          <w:sz w:val="18"/>
          <w:szCs w:val="18"/>
          <w:lang w:eastAsia="zh-CN"/>
        </w:rPr>
      </w:pPr>
    </w:p>
    <w:p>
      <w:pPr>
        <w:widowControl w:val="0"/>
        <w:spacing w:before="60" w:beforeLines="25" w:after="60" w:afterLines="25"/>
        <w:jc w:val="right"/>
        <w:rPr>
          <w:rFonts w:ascii="Calibri" w:eastAsia="宋体" w:hAnsi="Calibri"/>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360" w:lineRule="auto"/>
        <w:ind w:firstLine="494" w:firstLineChars="206"/>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r>
        <w:rPr>
          <w:rFonts w:ascii="宋体" w:eastAsia="宋体" w:hAnsi="宋体" w:cs="仿宋_GB2312" w:hint="eastAsia"/>
          <w:kern w:val="2"/>
          <w:lang w:eastAsia="zh-CN"/>
        </w:rPr>
        <w:t>注：根据《深圳市财政局关于采购文件增加风险告知有关事项的通知》（深财购〔2022〕22号），该风险知悉确认书用于对供应商违法行为的警示，不作为供应商资格性审查及符合性审查条件。</w:t>
      </w: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jc w:val="center"/>
        <w:rPr>
          <w:rFonts w:ascii="黑体" w:eastAsia="黑体" w:hAnsi="宋体" w:hint="eastAsia"/>
          <w:szCs w:val="20"/>
          <w:lang w:eastAsia="zh-CN"/>
        </w:rPr>
      </w:pPr>
      <w:r>
        <w:rPr>
          <w:rFonts w:ascii="黑体" w:eastAsia="黑体" w:hAnsi="宋体" w:cstheme="minorBidi" w:hint="eastAsia"/>
          <w:szCs w:val="20"/>
          <w:lang w:eastAsia="zh-CN"/>
        </w:rPr>
        <w:t>（二）投标人认为需要加以说明的其他内容（格式自定）</w:t>
      </w: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第五章  合同条款及格式</w:t>
      </w:r>
    </w:p>
    <w:p>
      <w:pPr>
        <w:widowControl w:val="0"/>
        <w:jc w:val="center"/>
        <w:rPr>
          <w:rFonts w:ascii="宋体" w:eastAsia="宋体" w:hAnsi="宋体" w:hint="eastAsia"/>
          <w:b/>
          <w:kern w:val="2"/>
          <w:sz w:val="21"/>
          <w:szCs w:val="21"/>
          <w:lang w:eastAsia="zh-CN"/>
        </w:rPr>
      </w:pPr>
      <w:r>
        <w:rPr>
          <w:rFonts w:ascii="宋体" w:eastAsia="宋体" w:hAnsi="宋体" w:hint="eastAsia"/>
          <w:b/>
          <w:kern w:val="2"/>
          <w:sz w:val="21"/>
          <w:szCs w:val="21"/>
          <w:lang w:eastAsia="zh-CN"/>
        </w:rPr>
        <w:t>有专业类别的格式合同范本请选择相应的合同</w:t>
      </w:r>
    </w:p>
    <w:p>
      <w:pPr>
        <w:widowControl w:val="0"/>
        <w:jc w:val="center"/>
        <w:rPr>
          <w:rFonts w:ascii="宋体" w:eastAsia="宋体" w:hAnsi="宋体" w:hint="eastAsia"/>
          <w:b/>
          <w:kern w:val="2"/>
          <w:sz w:val="21"/>
          <w:szCs w:val="21"/>
          <w:lang w:eastAsia="zh-CN"/>
        </w:rPr>
      </w:pPr>
      <w:r>
        <w:rPr>
          <w:rFonts w:ascii="宋体" w:eastAsia="宋体" w:hAnsi="宋体" w:hint="eastAsia"/>
          <w:b/>
          <w:kern w:val="2"/>
          <w:sz w:val="21"/>
          <w:szCs w:val="21"/>
          <w:lang w:eastAsia="zh-CN"/>
        </w:rPr>
        <w:t>（仅供参考，采购单位需填写项目关键信息和违约责任条款）</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采购人：</w:t>
      </w:r>
      <w:r>
        <w:rPr>
          <w:rFonts w:ascii="宋体" w:eastAsia="宋体" w:hAnsi="宋体" w:cs="宋体" w:hint="eastAsia"/>
          <w:sz w:val="21"/>
          <w:szCs w:val="21"/>
          <w:u w:val="single"/>
          <w:lang w:eastAsia="zh-CN"/>
        </w:rPr>
        <w:t xml:space="preserve">           </w:t>
      </w:r>
    </w:p>
    <w:p>
      <w:pPr>
        <w:rPr>
          <w:rFonts w:ascii="宋体" w:eastAsia="宋体" w:hAnsi="宋体" w:cs="宋体" w:hint="eastAsia"/>
          <w:sz w:val="21"/>
          <w:szCs w:val="21"/>
          <w:lang w:eastAsia="zh-CN"/>
        </w:rPr>
      </w:pPr>
      <w:r>
        <w:rPr>
          <w:rFonts w:ascii="宋体" w:eastAsia="宋体" w:hAnsi="宋体" w:cs="宋体" w:hint="eastAsia"/>
          <w:sz w:val="21"/>
          <w:szCs w:val="21"/>
          <w:lang w:eastAsia="zh-CN"/>
        </w:rPr>
        <w:t>供应商：</w:t>
      </w:r>
      <w:r>
        <w:rPr>
          <w:rFonts w:ascii="宋体" w:eastAsia="宋体" w:hAnsi="宋体" w:cs="宋体" w:hint="eastAsia"/>
          <w:sz w:val="21"/>
          <w:szCs w:val="21"/>
          <w:u w:val="single"/>
          <w:lang w:eastAsia="zh-CN"/>
        </w:rPr>
        <w:t xml:space="preserve">           </w:t>
      </w:r>
    </w:p>
    <w:p>
      <w:pPr>
        <w:rPr>
          <w:rFonts w:ascii="宋体" w:eastAsia="宋体" w:hAnsi="宋体" w:cs="宋体" w:hint="eastAsia"/>
          <w:sz w:val="21"/>
          <w:szCs w:val="21"/>
          <w:lang w:eastAsia="zh-CN"/>
        </w:rPr>
      </w:pP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根据深圳市****</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号采购项目的投标结果，由</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单位为中标方。按照有关规定，经深圳市</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（以下简称甲方）和</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单位（以下简称乙方）协商，达成以下合同条款：</w:t>
      </w:r>
    </w:p>
    <w:p>
      <w:pPr>
        <w:spacing w:line="360" w:lineRule="auto"/>
        <w:ind w:firstLine="560"/>
        <w:rPr>
          <w:rFonts w:ascii="宋体" w:eastAsia="宋体" w:hAnsi="宋体" w:cs="宋体" w:hint="eastAsia"/>
          <w:b/>
          <w:sz w:val="21"/>
          <w:szCs w:val="21"/>
          <w:lang w:eastAsia="zh-CN"/>
        </w:rPr>
      </w:pPr>
      <w:r>
        <w:rPr>
          <w:rFonts w:ascii="宋体" w:eastAsia="宋体" w:hAnsi="宋体" w:cs="宋体" w:hint="eastAsia"/>
          <w:b/>
          <w:sz w:val="21"/>
          <w:szCs w:val="21"/>
          <w:lang w:eastAsia="zh-CN"/>
        </w:rPr>
        <w:t>第一条  合同标的</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乙方根据甲方需求提供下列货物：</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货物名称、规格及数量详见</w:t>
      </w:r>
      <w:r>
        <w:rPr>
          <w:rFonts w:ascii="宋体" w:eastAsia="宋体" w:hAnsi="宋体" w:cs="宋体" w:hint="eastAsia"/>
          <w:b/>
          <w:sz w:val="21"/>
          <w:szCs w:val="21"/>
          <w:u w:val="single"/>
          <w:lang w:eastAsia="zh-CN"/>
        </w:rPr>
        <w:t xml:space="preserve">                  </w:t>
      </w:r>
      <w:r>
        <w:rPr>
          <w:rFonts w:ascii="宋体" w:eastAsia="宋体" w:hAnsi="宋体" w:cs="宋体" w:hint="eastAsia"/>
          <w:sz w:val="21"/>
          <w:szCs w:val="21"/>
          <w:lang w:eastAsia="zh-CN"/>
        </w:rPr>
        <w:t>。</w:t>
      </w:r>
    </w:p>
    <w:p>
      <w:pPr>
        <w:spacing w:line="360" w:lineRule="auto"/>
        <w:ind w:firstLine="560"/>
        <w:rPr>
          <w:rFonts w:ascii="宋体" w:eastAsia="宋体" w:hAnsi="宋体" w:cs="宋体" w:hint="eastAsia"/>
          <w:b/>
          <w:sz w:val="21"/>
          <w:szCs w:val="21"/>
          <w:lang w:eastAsia="zh-CN"/>
        </w:rPr>
      </w:pPr>
      <w:r>
        <w:rPr>
          <w:rFonts w:ascii="宋体" w:eastAsia="宋体" w:hAnsi="宋体" w:cs="宋体" w:hint="eastAsia"/>
          <w:b/>
          <w:sz w:val="21"/>
          <w:szCs w:val="21"/>
          <w:lang w:eastAsia="zh-CN"/>
        </w:rPr>
        <w:t>第二条  合同价款</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本合同项下总价款为</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（大写）人民币，分项价款详见</w:t>
      </w:r>
      <w:r>
        <w:rPr>
          <w:rFonts w:ascii="宋体" w:eastAsia="宋体" w:hAnsi="宋体" w:cs="宋体" w:hint="eastAsia"/>
          <w:b/>
          <w:sz w:val="21"/>
          <w:szCs w:val="21"/>
          <w:u w:val="single"/>
          <w:lang w:eastAsia="zh-CN"/>
        </w:rPr>
        <w:t xml:space="preserve">          </w:t>
      </w:r>
      <w:r>
        <w:rPr>
          <w:rFonts w:ascii="宋体" w:eastAsia="宋体" w:hAnsi="宋体" w:cs="宋体" w:hint="eastAsia"/>
          <w:sz w:val="21"/>
          <w:szCs w:val="21"/>
          <w:lang w:eastAsia="zh-CN"/>
        </w:rPr>
        <w:t>。本合同总价款已包括乙方为履行本合同义务所发生的一切费用，系固定不变价格，且不随通货膨胀的影响而波动。</w:t>
      </w:r>
    </w:p>
    <w:p>
      <w:pPr>
        <w:spacing w:line="360" w:lineRule="auto"/>
        <w:ind w:firstLine="560"/>
        <w:rPr>
          <w:rFonts w:ascii="宋体" w:eastAsia="宋体" w:hAnsi="宋体" w:cs="宋体" w:hint="eastAsia"/>
          <w:b/>
          <w:sz w:val="21"/>
          <w:szCs w:val="21"/>
          <w:lang w:eastAsia="zh-CN"/>
        </w:rPr>
      </w:pPr>
      <w:r>
        <w:rPr>
          <w:rFonts w:ascii="宋体" w:eastAsia="宋体" w:hAnsi="宋体" w:cs="宋体" w:hint="eastAsia"/>
          <w:b/>
          <w:sz w:val="21"/>
          <w:szCs w:val="21"/>
          <w:lang w:eastAsia="zh-CN"/>
        </w:rPr>
        <w:t>第三条  权利保证</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rPr>
          <w:rFonts w:ascii="宋体" w:eastAsia="宋体" w:hAnsi="宋体" w:cs="宋体" w:hint="eastAsia"/>
          <w:b/>
          <w:sz w:val="21"/>
          <w:szCs w:val="21"/>
          <w:lang w:eastAsia="zh-CN"/>
        </w:rPr>
      </w:pPr>
      <w:r>
        <w:rPr>
          <w:rFonts w:ascii="宋体" w:eastAsia="宋体" w:hAnsi="宋体" w:cs="宋体" w:hint="eastAsia"/>
          <w:b/>
          <w:sz w:val="21"/>
          <w:szCs w:val="21"/>
          <w:lang w:eastAsia="zh-CN"/>
        </w:rPr>
        <w:t>第四条  质量保证</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1、乙方所提供的货物的技术规格符合采购文件规定的技术规格，货物符合中华人民共和国的设计和制造生产标准或行业标准。</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3、乙方保证交货时一并提供货物的质量合格凭证或文件。</w:t>
      </w:r>
    </w:p>
    <w:p>
      <w:pPr>
        <w:spacing w:line="360" w:lineRule="auto"/>
        <w:rPr>
          <w:rFonts w:ascii="宋体" w:eastAsia="宋体" w:hAnsi="宋体" w:cs="宋体" w:hint="eastAsia"/>
          <w:sz w:val="21"/>
          <w:szCs w:val="21"/>
          <w:lang w:eastAsia="zh-CN"/>
        </w:rPr>
      </w:pPr>
    </w:p>
    <w:p>
      <w:pPr>
        <w:spacing w:line="360" w:lineRule="auto"/>
        <w:ind w:firstLine="560"/>
        <w:rPr>
          <w:rFonts w:ascii="宋体" w:eastAsia="宋体" w:hAnsi="宋体" w:cs="宋体" w:hint="eastAsia"/>
          <w:b/>
          <w:sz w:val="21"/>
          <w:szCs w:val="21"/>
          <w:lang w:eastAsia="zh-CN"/>
        </w:rPr>
      </w:pPr>
      <w:r>
        <w:rPr>
          <w:rFonts w:ascii="宋体" w:eastAsia="宋体" w:hAnsi="宋体" w:cs="宋体" w:hint="eastAsia"/>
          <w:b/>
          <w:sz w:val="21"/>
          <w:szCs w:val="21"/>
          <w:lang w:eastAsia="zh-CN"/>
        </w:rPr>
        <w:t>第五条  交货和验收</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1、乙方应按照本合同或招投标文件规定的时间和方式向甲方交付货物，交货地点由甲方指定。因交货产生的费用由乙方自行承担。</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4、甲方应当在到货后的</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个工作日内对货物进行验收；需要乙方对货物或系统进行安装调试的，甲方应在货物安装调试完毕后的</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个工作日内进行质量验收。</w:t>
      </w:r>
    </w:p>
    <w:p>
      <w:pPr>
        <w:spacing w:line="360" w:lineRule="auto"/>
        <w:ind w:firstLine="560"/>
        <w:rPr>
          <w:rFonts w:ascii="宋体" w:eastAsia="宋体" w:hAnsi="宋体" w:cs="宋体" w:hint="eastAsia"/>
          <w:b/>
          <w:sz w:val="21"/>
          <w:szCs w:val="21"/>
          <w:lang w:eastAsia="zh-CN"/>
        </w:rPr>
      </w:pPr>
      <w:r>
        <w:rPr>
          <w:rFonts w:ascii="宋体" w:eastAsia="宋体" w:hAnsi="宋体" w:cs="宋体" w:hint="eastAsia"/>
          <w:b/>
          <w:sz w:val="21"/>
          <w:szCs w:val="21"/>
          <w:lang w:eastAsia="zh-CN"/>
        </w:rPr>
        <w:t>第六条  保修及其他服务</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1、乙方应按照国家有关法律法规规章和“三包”规定和采购文件的要求及乙方在投标文件的相关承诺提供保修及其他服务。</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rPr>
          <w:rFonts w:ascii="宋体" w:eastAsia="宋体" w:hAnsi="宋体" w:cs="宋体" w:hint="eastAsia"/>
          <w:b/>
          <w:sz w:val="21"/>
          <w:szCs w:val="21"/>
          <w:lang w:eastAsia="zh-CN"/>
        </w:rPr>
      </w:pPr>
      <w:r>
        <w:rPr>
          <w:rFonts w:ascii="宋体" w:eastAsia="宋体" w:hAnsi="宋体" w:cs="宋体" w:hint="eastAsia"/>
          <w:b/>
          <w:sz w:val="21"/>
          <w:szCs w:val="21"/>
          <w:lang w:eastAsia="zh-CN"/>
        </w:rPr>
        <w:t>第七条  履约保证金</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1、乙方应在签订本合同之日，向甲方或甲方指定的机构提交履约保证金_________元。</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2、如乙方未能履行合同规定的义务，甲方有权从履约保证金中取得补偿。</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3、甲方在乙方履行完毕本合同项下全部义务后______天内无息退还乙方。</w:t>
      </w:r>
    </w:p>
    <w:p>
      <w:pPr>
        <w:spacing w:line="360" w:lineRule="auto"/>
        <w:ind w:firstLine="560"/>
        <w:rPr>
          <w:rFonts w:ascii="宋体" w:eastAsia="宋体" w:hAnsi="宋体" w:cs="宋体" w:hint="eastAsia"/>
          <w:sz w:val="21"/>
          <w:szCs w:val="21"/>
          <w:lang w:eastAsia="zh-CN"/>
        </w:rPr>
      </w:pPr>
    </w:p>
    <w:p>
      <w:pPr>
        <w:spacing w:line="360" w:lineRule="auto"/>
        <w:ind w:firstLine="560"/>
        <w:rPr>
          <w:rFonts w:ascii="宋体" w:eastAsia="宋体" w:hAnsi="宋体" w:cs="宋体" w:hint="eastAsia"/>
          <w:b/>
          <w:sz w:val="21"/>
          <w:szCs w:val="21"/>
          <w:lang w:eastAsia="zh-CN"/>
        </w:rPr>
      </w:pPr>
      <w:r>
        <w:rPr>
          <w:rFonts w:ascii="宋体" w:eastAsia="宋体" w:hAnsi="宋体" w:cs="宋体" w:hint="eastAsia"/>
          <w:b/>
          <w:sz w:val="21"/>
          <w:szCs w:val="21"/>
          <w:lang w:eastAsia="zh-CN"/>
        </w:rPr>
        <w:t>第八条   付款方式</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按照招标文件规定的付款方式进行支付。</w:t>
      </w:r>
    </w:p>
    <w:p>
      <w:pPr>
        <w:spacing w:line="360" w:lineRule="auto"/>
        <w:ind w:firstLine="560"/>
        <w:rPr>
          <w:rFonts w:ascii="宋体" w:eastAsia="宋体" w:hAnsi="宋体" w:cs="宋体" w:hint="eastAsia"/>
          <w:b/>
          <w:sz w:val="21"/>
          <w:szCs w:val="21"/>
          <w:lang w:eastAsia="zh-CN"/>
        </w:rPr>
      </w:pPr>
      <w:r>
        <w:rPr>
          <w:rFonts w:ascii="宋体" w:eastAsia="宋体" w:hAnsi="宋体" w:cs="宋体" w:hint="eastAsia"/>
          <w:b/>
          <w:sz w:val="21"/>
          <w:szCs w:val="21"/>
          <w:lang w:eastAsia="zh-CN"/>
        </w:rPr>
        <w:t>第九条    违约责任</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１、甲方无正当理由拒收货物、拒付货物款的，由甲方向乙方偿付合同总价的【】%违约金。</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２、甲方未按合同规定的期限向乙方支付货款的，每逾期1天甲方向乙方偿付欠款总额的【】‰滞纳金，但累计滞纳金总额不超过欠款总额的【】% 。</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３、乙方逾期交付货物的，每逾期1天，乙方向甲方偿付逾期交货部分货款总额的【】‰的滞纳金。如乙方逾期交货达</w:t>
      </w:r>
      <w:r>
        <w:rPr>
          <w:rFonts w:ascii="宋体" w:eastAsia="宋体" w:hAnsi="宋体" w:cs="宋体" w:hint="eastAsia"/>
          <w:sz w:val="21"/>
          <w:szCs w:val="21"/>
          <w:u w:val="single"/>
          <w:lang w:eastAsia="zh-CN"/>
        </w:rPr>
        <w:t xml:space="preserve">    </w:t>
      </w:r>
      <w:r>
        <w:rPr>
          <w:rFonts w:ascii="宋体" w:eastAsia="宋体" w:hAnsi="宋体" w:cs="宋体" w:hint="eastAsia"/>
          <w:sz w:val="21"/>
          <w:szCs w:val="21"/>
          <w:lang w:eastAsia="zh-CN"/>
        </w:rPr>
        <w:t>天，甲方有权解除合同，履约保证金不予退回，同时乙方应向甲方支付合同总价【】％的违约金。</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4、乙方所交付的货物品种、型号、规格不符合合同规定的，甲方有权拒收。甲方拒收的，乙方应向甲方支付货款总额【】%的违约金。</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6、乙方未履行本合同项下的其他义务或违反其在投标文件中的相关承诺的，应按合同总价款的【】%向甲方承担违约责任。</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rPr>
          <w:rFonts w:ascii="宋体" w:eastAsia="宋体" w:hAnsi="宋体" w:cs="宋体" w:hint="eastAsia"/>
          <w:b/>
          <w:sz w:val="21"/>
          <w:szCs w:val="21"/>
          <w:lang w:eastAsia="zh-CN"/>
        </w:rPr>
      </w:pPr>
      <w:r>
        <w:rPr>
          <w:rFonts w:ascii="宋体" w:eastAsia="宋体" w:hAnsi="宋体" w:cs="宋体" w:hint="eastAsia"/>
          <w:b/>
          <w:sz w:val="21"/>
          <w:szCs w:val="21"/>
          <w:lang w:eastAsia="zh-CN"/>
        </w:rPr>
        <w:t>第十条    合同的变更和终止</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除《中华人民共和国政府采购法》第４９条、第５０条第二款规定的情形外，本合同一经签订，甲乙双方不得擅自变更、中止或终止合同。</w:t>
      </w:r>
    </w:p>
    <w:p>
      <w:pPr>
        <w:spacing w:line="360" w:lineRule="auto"/>
        <w:ind w:firstLine="560"/>
        <w:rPr>
          <w:rFonts w:ascii="宋体" w:eastAsia="宋体" w:hAnsi="宋体" w:cs="宋体" w:hint="eastAsia"/>
          <w:b/>
          <w:sz w:val="21"/>
          <w:szCs w:val="21"/>
          <w:lang w:eastAsia="zh-CN"/>
        </w:rPr>
      </w:pPr>
      <w:r>
        <w:rPr>
          <w:rFonts w:ascii="宋体" w:eastAsia="宋体" w:hAnsi="宋体" w:cs="宋体" w:hint="eastAsia"/>
          <w:b/>
          <w:sz w:val="21"/>
          <w:szCs w:val="21"/>
          <w:lang w:eastAsia="zh-CN"/>
        </w:rPr>
        <w:t>第十一条   争议的解决</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2、因履行本合同引起的或与本合同有关的争议，甲、乙双方应首先通过友好协商解决，如果协商不能解决争议，则向甲方所在地有管辖权的人民法院提起诉讼；</w:t>
      </w:r>
    </w:p>
    <w:p>
      <w:pPr>
        <w:spacing w:line="360" w:lineRule="auto"/>
        <w:ind w:firstLine="560"/>
        <w:rPr>
          <w:rFonts w:ascii="宋体" w:eastAsia="宋体" w:hAnsi="宋体" w:cs="宋体" w:hint="eastAsia"/>
          <w:b/>
          <w:sz w:val="21"/>
          <w:szCs w:val="21"/>
          <w:lang w:eastAsia="zh-CN"/>
        </w:rPr>
      </w:pPr>
      <w:r>
        <w:rPr>
          <w:rFonts w:ascii="宋体" w:eastAsia="宋体" w:hAnsi="宋体" w:cs="宋体" w:hint="eastAsia"/>
          <w:b/>
          <w:sz w:val="21"/>
          <w:szCs w:val="21"/>
          <w:lang w:eastAsia="zh-CN"/>
        </w:rPr>
        <w:t>第十二条   合同生效及其他</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1、下列文件均为本合同的重要组成部分：</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（1）本项目的采购文件、答疑及补充通知；</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（2）本项目中标的投标文件；</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（3）本合同执行中共同签署的补充与修正文件。</w:t>
      </w:r>
    </w:p>
    <w:p>
      <w:pPr>
        <w:spacing w:line="360" w:lineRule="auto"/>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 xml:space="preserve">   </w:t>
      </w:r>
      <w:r>
        <w:rPr>
          <w:rFonts w:ascii="宋体" w:eastAsia="宋体" w:hAnsi="宋体" w:cs="宋体" w:hint="eastAsia"/>
          <w:bCs/>
          <w:kern w:val="2"/>
          <w:sz w:val="21"/>
          <w:szCs w:val="21"/>
          <w:lang w:eastAsia="zh-CN"/>
        </w:rPr>
        <w:t xml:space="preserve"> 以上文件互为补充，如果出现内容冲突的情况，为准的优先顺序为（2）、（1）、（3）。</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2、本合同一式___份，甲、乙方双方各执份，具有同等法律效力。本合同自双方法人代表签字（盖章）认可之日起生效。</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3、本合同未尽事宜，双方友好协商，达成解决方案，经双方签字后，可作为本合同的有效附件。</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本合同未尽事宜，双方友好协商，达成解决方案，经双方签字后，可作为本合同的有效附件。</w:t>
      </w:r>
    </w:p>
    <w:p>
      <w:pPr>
        <w:spacing w:line="360" w:lineRule="auto"/>
        <w:ind w:firstLine="560"/>
        <w:rPr>
          <w:rFonts w:ascii="宋体" w:eastAsia="宋体" w:hAnsi="宋体" w:cs="宋体" w:hint="eastAsia"/>
          <w:sz w:val="21"/>
          <w:szCs w:val="21"/>
          <w:lang w:eastAsia="zh-CN"/>
        </w:rPr>
      </w:pPr>
      <w:r>
        <w:rPr>
          <w:rFonts w:ascii="宋体" w:eastAsia="宋体" w:hAnsi="宋体" w:cs="宋体" w:hint="eastAsia"/>
          <w:sz w:val="21"/>
          <w:szCs w:val="21"/>
          <w:lang w:eastAsia="zh-CN"/>
        </w:rPr>
        <w:t>甲方（采购人）：   （盖章）       乙方（供应商）：    （盖章）</w:t>
      </w:r>
    </w:p>
    <w:p>
      <w:pPr>
        <w:spacing w:line="360" w:lineRule="auto"/>
        <w:ind w:firstLine="560"/>
        <w:rPr>
          <w:rFonts w:ascii="宋体" w:eastAsia="宋体" w:hAnsi="宋体" w:cs="宋体" w:hint="eastAsia"/>
          <w:sz w:val="21"/>
          <w:szCs w:val="21"/>
        </w:rPr>
      </w:pPr>
      <w:r>
        <w:rPr>
          <w:rFonts w:ascii="宋体" w:eastAsia="宋体" w:hAnsi="宋体" w:cs="宋体" w:hint="eastAsia"/>
          <w:sz w:val="21"/>
          <w:szCs w:val="21"/>
        </w:rPr>
        <w:t xml:space="preserve">法定代表人：                     法定代表人： </w:t>
      </w:r>
    </w:p>
    <w:p>
      <w:pPr>
        <w:spacing w:line="360" w:lineRule="auto"/>
        <w:ind w:firstLine="560"/>
        <w:rPr>
          <w:rFonts w:ascii="宋体" w:eastAsia="宋体" w:hAnsi="宋体" w:cs="宋体" w:hint="eastAsia"/>
          <w:sz w:val="21"/>
          <w:szCs w:val="21"/>
        </w:rPr>
      </w:pPr>
      <w:r>
        <w:rPr>
          <w:rFonts w:ascii="宋体" w:eastAsia="宋体" w:hAnsi="宋体" w:cs="宋体" w:hint="eastAsia"/>
          <w:sz w:val="21"/>
          <w:szCs w:val="21"/>
        </w:rPr>
        <w:t>委托代理人：                     委托代理人：</w:t>
      </w:r>
    </w:p>
    <w:p>
      <w:pPr>
        <w:widowControl w:val="0"/>
        <w:spacing w:line="360" w:lineRule="auto"/>
        <w:ind w:firstLine="630" w:firstLineChars="300"/>
        <w:jc w:val="both"/>
        <w:rPr>
          <w:rFonts w:ascii="宋体" w:eastAsia="宋体" w:hAnsi="宋体" w:cs="宋体" w:hint="eastAsia"/>
          <w:kern w:val="2"/>
          <w:sz w:val="21"/>
          <w:szCs w:val="21"/>
          <w:lang w:eastAsia="zh-CN"/>
        </w:rPr>
      </w:pPr>
      <w:r>
        <w:rPr>
          <w:rFonts w:ascii="宋体" w:eastAsia="宋体" w:hAnsi="宋体" w:cs="宋体" w:hint="eastAsia"/>
          <w:sz w:val="21"/>
          <w:szCs w:val="21"/>
        </w:rPr>
        <w:t>日期：   年     月    日         日期：   年     月    日</w:t>
      </w:r>
    </w:p>
    <w:p>
      <w:pPr>
        <w:jc w:val="center"/>
        <w:rPr>
          <w:rFonts w:ascii="宋体" w:eastAsia="宋体" w:hAnsi="宋体" w:hint="eastAsia"/>
          <w:b/>
          <w:kern w:val="2"/>
          <w:sz w:val="21"/>
          <w:szCs w:val="21"/>
          <w:lang w:eastAsia="zh-CN"/>
        </w:rPr>
      </w:pPr>
      <w:r>
        <w:rPr>
          <w:rFonts w:ascii="宋体" w:eastAsia="宋体" w:hAnsi="宋体" w:hint="eastAsia"/>
          <w:b/>
          <w:kern w:val="2"/>
          <w:sz w:val="21"/>
          <w:szCs w:val="21"/>
          <w:lang w:eastAsia="zh-CN"/>
        </w:rPr>
        <w:t>注：本合同样本仅供参考，具体条款内容由采购单位和中标单位协商确定。</w:t>
      </w: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2" w:name="_Toc1312"/>
      <w:r>
        <w:rPr>
          <w:rFonts w:ascii="Arial" w:eastAsia="宋体" w:hAnsi="Arial" w:hint="eastAsia"/>
          <w:b/>
          <w:kern w:val="2"/>
          <w:sz w:val="32"/>
          <w:lang w:eastAsia="zh-CN"/>
        </w:rPr>
        <w:t>第一章  总则</w:t>
      </w:r>
      <w:bookmarkEnd w:id="32"/>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5．投标人参加政府采购的条件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6．政策导向</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7.本项目若涉及采购货物，则合格的货物及相应服务应满足以下要求：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8．投标费用</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9．踏勘现场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10．标前会议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3" w:name="_Toc696"/>
      <w:r>
        <w:rPr>
          <w:rFonts w:ascii="Arial" w:eastAsia="宋体" w:hAnsi="Arial" w:hint="eastAsia"/>
          <w:b/>
          <w:kern w:val="2"/>
          <w:sz w:val="32"/>
          <w:lang w:eastAsia="zh-CN"/>
        </w:rPr>
        <w:t>第二章</w:t>
      </w:r>
      <w:bookmarkStart w:id="34" w:name="_Toc16272"/>
      <w:bookmarkStart w:id="35" w:name="_Toc4237"/>
      <w:bookmarkStart w:id="36" w:name="_Toc25500"/>
      <w:r>
        <w:rPr>
          <w:rFonts w:ascii="Arial" w:eastAsia="宋体" w:hAnsi="Arial" w:hint="eastAsia"/>
          <w:b/>
          <w:kern w:val="2"/>
          <w:sz w:val="32"/>
          <w:lang w:eastAsia="zh-CN"/>
        </w:rPr>
        <w:t xml:space="preserve">  招标文件</w:t>
      </w:r>
      <w:bookmarkEnd w:id="33"/>
      <w:bookmarkEnd w:id="34"/>
      <w:bookmarkEnd w:id="35"/>
      <w:bookmarkEnd w:id="36"/>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7" w:name="_Hlk72399819"/>
      <w:r>
        <w:rPr>
          <w:rFonts w:eastAsia="宋体" w:hint="eastAsia"/>
          <w:kern w:val="2"/>
          <w:sz w:val="21"/>
          <w:lang w:eastAsia="zh-CN"/>
        </w:rPr>
        <w:t>招标文件的编制与组成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第十一章  质疑处理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7"/>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8" w:name="_Toc13741"/>
      <w:bookmarkStart w:id="39" w:name="_Toc31413"/>
      <w:bookmarkStart w:id="40" w:name="_Toc18814"/>
      <w:bookmarkStart w:id="41" w:name="_Toc17279"/>
      <w:r>
        <w:rPr>
          <w:rFonts w:ascii="Arial" w:eastAsia="宋体" w:hAnsi="Arial" w:hint="eastAsia"/>
          <w:b/>
          <w:kern w:val="2"/>
          <w:sz w:val="32"/>
          <w:lang w:eastAsia="zh-CN"/>
        </w:rPr>
        <w:t>第三章  投标文件的编制</w:t>
      </w:r>
      <w:bookmarkEnd w:id="38"/>
      <w:bookmarkEnd w:id="39"/>
      <w:bookmarkEnd w:id="40"/>
      <w:bookmarkEnd w:id="41"/>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42" w:name="_Hlk72400236"/>
      <w:r>
        <w:rPr>
          <w:rFonts w:eastAsia="宋体" w:hint="eastAsia"/>
          <w:kern w:val="2"/>
          <w:sz w:val="21"/>
          <w:lang w:eastAsia="zh-CN"/>
        </w:rPr>
        <w:t>投标文件的语言及度量单位</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42"/>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3" w:name="_Hlk72401567"/>
      <w:r>
        <w:rPr>
          <w:rFonts w:eastAsia="宋体" w:hint="eastAsia"/>
          <w:kern w:val="2"/>
          <w:sz w:val="21"/>
          <w:lang w:eastAsia="zh-CN"/>
        </w:rPr>
        <w:t>投标文件的组成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3"/>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4" w:name="_Hlk72401735"/>
      <w:r>
        <w:rPr>
          <w:rFonts w:eastAsia="宋体" w:hint="eastAsia"/>
          <w:kern w:val="2"/>
          <w:sz w:val="21"/>
          <w:lang w:eastAsia="zh-CN"/>
        </w:rPr>
        <w:t>证明投标文件投标技术方案的合格性和符合招标文件规定的文件要求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4"/>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5" w:name="_Hlk72402034"/>
      <w:r>
        <w:rPr>
          <w:rFonts w:eastAsia="宋体" w:hint="eastAsia"/>
          <w:kern w:val="2"/>
          <w:sz w:val="21"/>
          <w:lang w:eastAsia="zh-CN"/>
        </w:rPr>
        <w:t>投标文件其他证明文件的要求</w:t>
      </w:r>
    </w:p>
    <w:p>
      <w:pPr>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6"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6"/>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5"/>
    <w:p>
      <w:pPr>
        <w:wordWrap w:val="0"/>
        <w:autoSpaceDE w:val="0"/>
        <w:autoSpaceDN w:val="0"/>
        <w:spacing w:line="400" w:lineRule="exact"/>
        <w:ind w:right="808" w:firstLine="420" w:firstLineChars="200"/>
        <w:jc w:val="both"/>
        <w:rPr>
          <w:rFonts w:eastAsia="宋体"/>
          <w:kern w:val="2"/>
          <w:sz w:val="21"/>
          <w:lang w:eastAsia="zh-CN"/>
        </w:rPr>
      </w:pPr>
      <w:bookmarkStart w:id="47"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47"/>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21．</w:t>
      </w:r>
      <w:bookmarkStart w:id="48" w:name="_Hlk72402325"/>
      <w:r>
        <w:rPr>
          <w:rFonts w:eastAsia="宋体" w:hint="eastAsia"/>
          <w:kern w:val="2"/>
          <w:sz w:val="21"/>
          <w:lang w:eastAsia="zh-CN"/>
        </w:rPr>
        <w:t>关于投标保证金</w:t>
      </w:r>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8"/>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9"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49"/>
    </w:p>
    <w:p>
      <w:pPr>
        <w:wordWrap w:val="0"/>
        <w:autoSpaceDE w:val="0"/>
        <w:autoSpaceDN w:val="0"/>
        <w:spacing w:line="360" w:lineRule="auto"/>
        <w:ind w:right="808" w:firstLine="480" w:firstLineChars="200"/>
        <w:jc w:val="both"/>
        <w:rPr>
          <w:rFonts w:eastAsia="宋体"/>
          <w:b/>
          <w:kern w:val="2"/>
          <w:lang w:eastAsia="zh-CN"/>
        </w:rPr>
      </w:pPr>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0" w:name="_Toc18062"/>
      <w:bookmarkStart w:id="51" w:name="_Toc21427"/>
      <w:bookmarkStart w:id="52" w:name="_Toc28552"/>
      <w:bookmarkStart w:id="53" w:name="_Toc26761"/>
      <w:r>
        <w:rPr>
          <w:rFonts w:ascii="Arial" w:eastAsia="宋体" w:hAnsi="Arial" w:hint="eastAsia"/>
          <w:b/>
          <w:kern w:val="2"/>
          <w:sz w:val="32"/>
          <w:lang w:eastAsia="zh-CN"/>
        </w:rPr>
        <w:t>第四章</w:t>
      </w:r>
      <w:bookmarkStart w:id="54" w:name="_Toc30105"/>
      <w:r>
        <w:rPr>
          <w:rFonts w:ascii="Arial" w:eastAsia="宋体" w:hAnsi="Arial" w:hint="eastAsia"/>
          <w:b/>
          <w:kern w:val="2"/>
          <w:sz w:val="32"/>
          <w:lang w:eastAsia="zh-CN"/>
        </w:rPr>
        <w:t xml:space="preserve">  投标文件的</w:t>
      </w:r>
      <w:bookmarkEnd w:id="50"/>
      <w:r>
        <w:rPr>
          <w:rFonts w:ascii="Arial" w:eastAsia="宋体" w:hAnsi="Arial" w:hint="eastAsia"/>
          <w:b/>
          <w:kern w:val="2"/>
          <w:sz w:val="32"/>
          <w:lang w:eastAsia="zh-CN"/>
        </w:rPr>
        <w:t>递交</w:t>
      </w:r>
      <w:bookmarkEnd w:id="51"/>
      <w:bookmarkEnd w:id="52"/>
      <w:bookmarkEnd w:id="53"/>
      <w:bookmarkEnd w:id="54"/>
    </w:p>
    <w:p>
      <w:pPr>
        <w:wordWrap w:val="0"/>
        <w:autoSpaceDE w:val="0"/>
        <w:autoSpaceDN w:val="0"/>
        <w:spacing w:line="400" w:lineRule="exact"/>
        <w:ind w:right="808" w:firstLine="420" w:firstLineChars="200"/>
        <w:jc w:val="both"/>
        <w:rPr>
          <w:rFonts w:eastAsia="宋体"/>
          <w:kern w:val="2"/>
          <w:sz w:val="21"/>
          <w:lang w:eastAsia="zh-CN"/>
        </w:rPr>
      </w:pPr>
      <w:bookmarkStart w:id="55" w:name="_Hlk72405459"/>
      <w:r>
        <w:rPr>
          <w:rFonts w:eastAsia="宋体" w:hint="eastAsia"/>
          <w:kern w:val="2"/>
          <w:sz w:val="21"/>
          <w:lang w:eastAsia="zh-CN"/>
        </w:rPr>
        <w:t>24．投标文件的保密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5"/>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ordWrap w:val="0"/>
        <w:autoSpaceDE w:val="0"/>
        <w:autoSpaceDN w:val="0"/>
        <w:spacing w:line="400" w:lineRule="exact"/>
        <w:ind w:right="808" w:firstLine="420" w:firstLineChars="200"/>
        <w:jc w:val="both"/>
        <w:rPr>
          <w:rFonts w:eastAsia="宋体"/>
          <w:kern w:val="2"/>
          <w:sz w:val="21"/>
          <w:lang w:eastAsia="zh-CN"/>
        </w:rPr>
      </w:pPr>
      <w:bookmarkStart w:id="56"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6"/>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7" w:name="第五章1"/>
      <w:bookmarkEnd w:id="57"/>
      <w:bookmarkStart w:id="58" w:name="_Toc100052391"/>
      <w:bookmarkStart w:id="59" w:name="_Toc1658"/>
      <w:bookmarkStart w:id="60" w:name="_Toc14713"/>
      <w:bookmarkStart w:id="61" w:name="_Toc2041"/>
      <w:bookmarkStart w:id="62" w:name="_Toc73518144"/>
      <w:bookmarkStart w:id="63" w:name="_Toc101074881"/>
      <w:bookmarkStart w:id="64" w:name="_Toc13806"/>
      <w:bookmarkStart w:id="65" w:name="_Toc73517666"/>
      <w:r>
        <w:rPr>
          <w:rFonts w:ascii="Arial" w:eastAsia="宋体" w:hAnsi="Arial" w:hint="eastAsia"/>
          <w:b/>
          <w:kern w:val="2"/>
          <w:sz w:val="32"/>
          <w:lang w:eastAsia="zh-CN"/>
        </w:rPr>
        <w:t>第五章</w:t>
      </w:r>
      <w:bookmarkStart w:id="66" w:name="_Toc4434"/>
      <w:r>
        <w:rPr>
          <w:rFonts w:ascii="Arial" w:eastAsia="宋体" w:hAnsi="Arial" w:hint="eastAsia"/>
          <w:b/>
          <w:kern w:val="2"/>
          <w:sz w:val="32"/>
          <w:lang w:eastAsia="zh-CN"/>
        </w:rPr>
        <w:t xml:space="preserve">  开标</w:t>
      </w:r>
      <w:bookmarkEnd w:id="58"/>
      <w:bookmarkEnd w:id="59"/>
      <w:bookmarkEnd w:id="60"/>
      <w:bookmarkEnd w:id="61"/>
      <w:bookmarkEnd w:id="62"/>
      <w:bookmarkEnd w:id="63"/>
      <w:bookmarkEnd w:id="64"/>
      <w:bookmarkEnd w:id="65"/>
      <w:bookmarkEnd w:id="66"/>
    </w:p>
    <w:p>
      <w:pPr>
        <w:wordWrap w:val="0"/>
        <w:autoSpaceDE w:val="0"/>
        <w:autoSpaceDN w:val="0"/>
        <w:spacing w:line="400" w:lineRule="exact"/>
        <w:ind w:right="808" w:firstLine="420" w:firstLineChars="200"/>
        <w:jc w:val="both"/>
        <w:rPr>
          <w:rFonts w:eastAsia="宋体"/>
          <w:kern w:val="2"/>
          <w:sz w:val="21"/>
          <w:lang w:eastAsia="zh-CN"/>
        </w:rPr>
      </w:pPr>
      <w:bookmarkStart w:id="67" w:name="_Toc73518146"/>
      <w:bookmarkStart w:id="68" w:name="_Toc73517668"/>
      <w:bookmarkStart w:id="69" w:name="_Toc100052393"/>
      <w:bookmarkStart w:id="70" w:name="_Toc101074882"/>
      <w:r>
        <w:rPr>
          <w:rFonts w:eastAsia="宋体" w:hint="eastAsia"/>
          <w:kern w:val="2"/>
          <w:sz w:val="21"/>
          <w:lang w:eastAsia="zh-CN"/>
        </w:rPr>
        <w:t>28．开标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ordWrap w:val="0"/>
        <w:autoSpaceDE w:val="0"/>
        <w:autoSpaceDN w:val="0"/>
        <w:spacing w:line="360" w:lineRule="auto"/>
        <w:ind w:right="808" w:firstLine="480" w:firstLineChars="200"/>
        <w:jc w:val="both"/>
        <w:rPr>
          <w:rFonts w:eastAsia="宋体"/>
          <w:b/>
          <w:kern w:val="2"/>
          <w:lang w:eastAsia="zh-CN"/>
        </w:rPr>
      </w:pPr>
    </w:p>
    <w:bookmarkEnd w:id="67"/>
    <w:bookmarkEnd w:id="68"/>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1" w:name="第六章1"/>
      <w:bookmarkEnd w:id="71"/>
      <w:bookmarkStart w:id="72" w:name="_Toc20179"/>
      <w:bookmarkStart w:id="73" w:name="_Toc7319"/>
      <w:bookmarkStart w:id="74" w:name="_Toc29197"/>
      <w:bookmarkStart w:id="75" w:name="_Toc27869"/>
      <w:r>
        <w:rPr>
          <w:rFonts w:ascii="Arial" w:eastAsia="宋体" w:hAnsi="Arial" w:hint="eastAsia"/>
          <w:b/>
          <w:kern w:val="2"/>
          <w:sz w:val="32"/>
          <w:lang w:eastAsia="zh-CN"/>
        </w:rPr>
        <w:t>第六章</w:t>
      </w:r>
      <w:bookmarkStart w:id="76" w:name="_Toc29225"/>
      <w:r>
        <w:rPr>
          <w:rFonts w:ascii="Arial" w:eastAsia="宋体" w:hAnsi="Arial" w:hint="eastAsia"/>
          <w:b/>
          <w:kern w:val="2"/>
          <w:sz w:val="32"/>
          <w:lang w:eastAsia="zh-CN"/>
        </w:rPr>
        <w:t xml:space="preserve">  评审要求</w:t>
      </w:r>
      <w:bookmarkEnd w:id="69"/>
      <w:bookmarkEnd w:id="70"/>
      <w:bookmarkEnd w:id="72"/>
      <w:bookmarkEnd w:id="73"/>
      <w:bookmarkEnd w:id="74"/>
      <w:bookmarkEnd w:id="75"/>
      <w:bookmarkEnd w:id="76"/>
    </w:p>
    <w:p>
      <w:pPr>
        <w:wordWrap w:val="0"/>
        <w:autoSpaceDE w:val="0"/>
        <w:autoSpaceDN w:val="0"/>
        <w:spacing w:line="400" w:lineRule="exact"/>
        <w:ind w:right="808" w:firstLine="420" w:firstLineChars="200"/>
        <w:jc w:val="both"/>
        <w:rPr>
          <w:rFonts w:eastAsia="宋体"/>
          <w:kern w:val="2"/>
          <w:sz w:val="21"/>
          <w:lang w:eastAsia="zh-CN"/>
        </w:rPr>
      </w:pPr>
      <w:bookmarkStart w:id="77" w:name="第七章1"/>
      <w:bookmarkEnd w:id="77"/>
      <w:bookmarkStart w:id="78" w:name="_Toc19125"/>
      <w:bookmarkStart w:id="79" w:name="_Toc1296"/>
      <w:bookmarkStart w:id="80" w:name="_Toc100052397"/>
      <w:bookmarkStart w:id="81" w:name="_Toc101074883"/>
      <w:bookmarkStart w:id="82" w:name="_Toc20125"/>
      <w:r>
        <w:rPr>
          <w:rFonts w:eastAsia="宋体" w:hint="eastAsia"/>
          <w:kern w:val="2"/>
          <w:sz w:val="21"/>
          <w:lang w:eastAsia="zh-CN"/>
        </w:rPr>
        <w:t>29．评审委员会组成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ordWrap w:val="0"/>
        <w:autoSpaceDE w:val="0"/>
        <w:autoSpaceDN w:val="0"/>
        <w:spacing w:line="400" w:lineRule="exact"/>
        <w:ind w:right="808" w:firstLine="420" w:firstLineChars="200"/>
        <w:jc w:val="both"/>
        <w:rPr>
          <w:rFonts w:eastAsia="宋体"/>
          <w:kern w:val="2"/>
          <w:sz w:val="21"/>
          <w:lang w:eastAsia="zh-CN"/>
        </w:rPr>
      </w:pPr>
      <w:bookmarkStart w:id="83"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3"/>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4" w:name="_Toc18761"/>
      <w:r>
        <w:rPr>
          <w:rFonts w:ascii="Arial" w:eastAsia="宋体" w:hAnsi="Arial" w:hint="eastAsia"/>
          <w:b/>
          <w:kern w:val="2"/>
          <w:sz w:val="32"/>
          <w:lang w:eastAsia="zh-CN"/>
        </w:rPr>
        <w:t>第七章</w:t>
      </w:r>
      <w:bookmarkStart w:id="85" w:name="_Toc26636"/>
      <w:r>
        <w:rPr>
          <w:rFonts w:ascii="Arial" w:eastAsia="宋体" w:hAnsi="Arial" w:hint="eastAsia"/>
          <w:b/>
          <w:kern w:val="2"/>
          <w:sz w:val="32"/>
          <w:lang w:eastAsia="zh-CN"/>
        </w:rPr>
        <w:t xml:space="preserve">  评审程序</w:t>
      </w:r>
      <w:bookmarkStart w:id="86" w:name="_Toc73517671"/>
      <w:bookmarkStart w:id="87" w:name="_Toc73518149"/>
      <w:r>
        <w:rPr>
          <w:rFonts w:ascii="Arial" w:eastAsia="宋体" w:hAnsi="Arial" w:hint="eastAsia"/>
          <w:b/>
          <w:kern w:val="2"/>
          <w:sz w:val="32"/>
          <w:lang w:eastAsia="zh-CN"/>
        </w:rPr>
        <w:t>及评审方法</w:t>
      </w:r>
      <w:bookmarkEnd w:id="78"/>
      <w:bookmarkEnd w:id="79"/>
      <w:bookmarkEnd w:id="80"/>
      <w:bookmarkEnd w:id="81"/>
      <w:bookmarkEnd w:id="82"/>
      <w:bookmarkEnd w:id="84"/>
      <w:bookmarkEnd w:id="85"/>
    </w:p>
    <w:bookmarkEnd w:id="86"/>
    <w:bookmarkEnd w:id="87"/>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ordWrap w:val="0"/>
        <w:autoSpaceDE w:val="0"/>
        <w:autoSpaceDN w:val="0"/>
        <w:spacing w:line="400" w:lineRule="exact"/>
        <w:ind w:right="808" w:firstLine="420" w:firstLineChars="200"/>
        <w:jc w:val="both"/>
        <w:rPr>
          <w:rFonts w:eastAsia="宋体"/>
          <w:kern w:val="2"/>
          <w:sz w:val="21"/>
          <w:lang w:eastAsia="zh-CN"/>
        </w:rPr>
      </w:pPr>
      <w:bookmarkStart w:id="88"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8"/>
    </w:p>
    <w:p>
      <w:pPr>
        <w:wordWrap w:val="0"/>
        <w:autoSpaceDE w:val="0"/>
        <w:autoSpaceDN w:val="0"/>
        <w:spacing w:line="400" w:lineRule="exact"/>
        <w:ind w:right="808"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ordWrap w:val="0"/>
        <w:autoSpaceDE w:val="0"/>
        <w:autoSpaceDN w:val="0"/>
        <w:spacing w:line="400" w:lineRule="exact"/>
        <w:ind w:right="808" w:firstLine="420" w:firstLineChars="200"/>
        <w:jc w:val="both"/>
        <w:rPr>
          <w:rFonts w:eastAsia="宋体"/>
          <w:kern w:val="2"/>
          <w:sz w:val="21"/>
          <w:lang w:eastAsia="zh-CN"/>
        </w:rPr>
      </w:pPr>
      <w:bookmarkStart w:id="89" w:name="_Toc73521669"/>
      <w:bookmarkStart w:id="90" w:name="_Toc100052400"/>
      <w:bookmarkStart w:id="91" w:name="_Toc73518151"/>
      <w:bookmarkStart w:id="92" w:name="_Toc73521581"/>
      <w:bookmarkStart w:id="93" w:name="_Toc73517673"/>
      <w:r>
        <w:rPr>
          <w:rFonts w:eastAsia="宋体" w:hint="eastAsia"/>
          <w:kern w:val="2"/>
          <w:sz w:val="21"/>
          <w:lang w:eastAsia="zh-CN"/>
        </w:rPr>
        <w:t>34．错误的修正</w:t>
      </w:r>
      <w:bookmarkEnd w:id="89"/>
      <w:bookmarkEnd w:id="90"/>
      <w:bookmarkEnd w:id="91"/>
      <w:bookmarkEnd w:id="92"/>
      <w:bookmarkEnd w:id="93"/>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ordWrap w:val="0"/>
        <w:autoSpaceDE w:val="0"/>
        <w:autoSpaceDN w:val="0"/>
        <w:spacing w:line="400" w:lineRule="exact"/>
        <w:ind w:right="808" w:firstLine="420" w:firstLineChars="200"/>
        <w:jc w:val="both"/>
        <w:rPr>
          <w:rFonts w:eastAsia="宋体"/>
          <w:kern w:val="2"/>
          <w:sz w:val="21"/>
          <w:lang w:eastAsia="zh-CN"/>
        </w:rPr>
      </w:pPr>
      <w:bookmarkStart w:id="94" w:name="_Hlk72438142"/>
      <w:r>
        <w:rPr>
          <w:rFonts w:eastAsia="宋体" w:hint="eastAsia"/>
          <w:kern w:val="2"/>
          <w:sz w:val="21"/>
          <w:lang w:eastAsia="zh-CN"/>
        </w:rPr>
        <w:t>37.1.1最低价法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4"/>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5" w:name="第八章1"/>
      <w:bookmarkEnd w:id="95"/>
      <w:bookmarkStart w:id="96" w:name="_Toc26094"/>
      <w:bookmarkStart w:id="97" w:name="_Toc1513"/>
      <w:bookmarkStart w:id="98" w:name="_Toc30568"/>
      <w:bookmarkStart w:id="99" w:name="_Toc13341"/>
      <w:r>
        <w:rPr>
          <w:rFonts w:ascii="Arial" w:eastAsia="宋体" w:hAnsi="Arial" w:hint="eastAsia"/>
          <w:b/>
          <w:kern w:val="2"/>
          <w:sz w:val="32"/>
          <w:lang w:eastAsia="zh-CN"/>
        </w:rPr>
        <w:t>第八章</w:t>
      </w:r>
      <w:bookmarkStart w:id="100" w:name="_Toc24537"/>
      <w:r>
        <w:rPr>
          <w:rFonts w:ascii="Arial" w:eastAsia="宋体" w:hAnsi="Arial" w:hint="eastAsia"/>
          <w:b/>
          <w:kern w:val="2"/>
          <w:sz w:val="32"/>
          <w:lang w:eastAsia="zh-CN"/>
        </w:rPr>
        <w:t xml:space="preserve">  定标及公示</w:t>
      </w:r>
      <w:bookmarkEnd w:id="96"/>
      <w:bookmarkEnd w:id="97"/>
      <w:bookmarkEnd w:id="98"/>
      <w:bookmarkEnd w:id="99"/>
      <w:bookmarkEnd w:id="100"/>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ordWrap w:val="0"/>
        <w:autoSpaceDE w:val="0"/>
        <w:autoSpaceDN w:val="0"/>
        <w:spacing w:line="400" w:lineRule="exact"/>
        <w:ind w:right="808" w:firstLine="420" w:firstLineChars="200"/>
        <w:jc w:val="both"/>
        <w:rPr>
          <w:rFonts w:eastAsia="宋体"/>
          <w:kern w:val="2"/>
          <w:sz w:val="21"/>
          <w:lang w:eastAsia="zh-CN"/>
        </w:rPr>
      </w:pPr>
      <w:bookmarkStart w:id="101" w:name="_Hlk73782795"/>
      <w:r>
        <w:rPr>
          <w:rFonts w:eastAsia="宋体" w:hint="eastAsia"/>
          <w:kern w:val="2"/>
          <w:sz w:val="21"/>
          <w:lang w:eastAsia="zh-CN"/>
        </w:rPr>
        <w:t>38.1非评定分离项目定标方法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102"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3"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102"/>
      <w:bookmarkEnd w:id="103"/>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101"/>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4"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4"/>
      <w:bookmarkStart w:id="105"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05"/>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6"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6"/>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ordWrap w:val="0"/>
        <w:autoSpaceDE w:val="0"/>
        <w:autoSpaceDN w:val="0"/>
        <w:spacing w:line="400" w:lineRule="exact"/>
        <w:ind w:right="808" w:firstLine="420" w:firstLineChars="200"/>
        <w:jc w:val="both"/>
        <w:rPr>
          <w:rFonts w:eastAsia="宋体"/>
          <w:kern w:val="2"/>
          <w:sz w:val="21"/>
          <w:lang w:eastAsia="zh-CN"/>
        </w:rPr>
      </w:pPr>
      <w:bookmarkStart w:id="107" w:name="_Hlk71407340"/>
      <w:r>
        <w:rPr>
          <w:rFonts w:eastAsia="宋体" w:hint="eastAsia"/>
          <w:kern w:val="2"/>
          <w:sz w:val="21"/>
          <w:lang w:eastAsia="zh-CN"/>
        </w:rPr>
        <w:t>41.3因质疑投诉或其它原因导致项目结果变更或采购终止的，采购代理机构有权吊销中标通知书。</w:t>
      </w:r>
    </w:p>
    <w:bookmarkEnd w:id="107"/>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8" w:name="第九章1"/>
      <w:bookmarkEnd w:id="108"/>
      <w:bookmarkStart w:id="109" w:name="_Toc20277"/>
      <w:bookmarkStart w:id="110" w:name="_Toc17412"/>
      <w:bookmarkStart w:id="111" w:name="_Toc25733"/>
      <w:bookmarkStart w:id="112" w:name="_Toc24474"/>
      <w:bookmarkStart w:id="113" w:name="_Toc11736"/>
      <w:bookmarkStart w:id="114" w:name="_Toc73517678"/>
      <w:bookmarkStart w:id="115" w:name="_Toc100052407"/>
      <w:bookmarkStart w:id="116" w:name="_Toc101074884"/>
      <w:r>
        <w:rPr>
          <w:rFonts w:ascii="Arial" w:eastAsia="宋体" w:hAnsi="Arial" w:hint="eastAsia"/>
          <w:b/>
          <w:kern w:val="2"/>
          <w:sz w:val="32"/>
          <w:lang w:eastAsia="zh-CN"/>
        </w:rPr>
        <w:t>第九章  公开采购失败的后续处理</w:t>
      </w:r>
      <w:bookmarkEnd w:id="109"/>
      <w:bookmarkEnd w:id="110"/>
      <w:bookmarkEnd w:id="111"/>
      <w:bookmarkEnd w:id="112"/>
      <w:bookmarkEnd w:id="113"/>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ordWrap w:val="0"/>
        <w:autoSpaceDE w:val="0"/>
        <w:autoSpaceDN w:val="0"/>
        <w:spacing w:line="360" w:lineRule="auto"/>
        <w:ind w:right="808" w:firstLine="480" w:firstLineChars="200"/>
        <w:jc w:val="both"/>
        <w:rPr>
          <w:rFonts w:eastAsia="宋体"/>
          <w:b/>
          <w:kern w:val="2"/>
          <w:lang w:eastAsia="zh-CN"/>
        </w:rPr>
      </w:pPr>
    </w:p>
    <w:bookmarkEnd w:id="114"/>
    <w:bookmarkEnd w:id="115"/>
    <w:bookmarkEnd w:id="116"/>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7" w:name="第十章1"/>
      <w:bookmarkEnd w:id="117"/>
      <w:bookmarkStart w:id="118" w:name="_Toc27904"/>
      <w:bookmarkStart w:id="119" w:name="_Toc26814"/>
      <w:bookmarkStart w:id="120" w:name="_Toc13677"/>
      <w:bookmarkStart w:id="121" w:name="_Toc9122"/>
      <w:bookmarkStart w:id="122" w:name="_Toc26432"/>
      <w:r>
        <w:rPr>
          <w:rFonts w:ascii="Arial" w:eastAsia="宋体" w:hAnsi="Arial" w:hint="eastAsia"/>
          <w:b/>
          <w:kern w:val="2"/>
          <w:sz w:val="32"/>
          <w:lang w:eastAsia="zh-CN"/>
        </w:rPr>
        <w:t>第十章  合同的授予与备案</w:t>
      </w:r>
      <w:bookmarkEnd w:id="118"/>
      <w:bookmarkEnd w:id="119"/>
      <w:bookmarkEnd w:id="120"/>
      <w:bookmarkEnd w:id="121"/>
      <w:bookmarkEnd w:id="122"/>
    </w:p>
    <w:p>
      <w:pPr>
        <w:wordWrap w:val="0"/>
        <w:autoSpaceDE w:val="0"/>
        <w:autoSpaceDN w:val="0"/>
        <w:spacing w:line="400" w:lineRule="exact"/>
        <w:ind w:right="808" w:firstLine="420" w:firstLineChars="200"/>
        <w:jc w:val="both"/>
        <w:rPr>
          <w:rFonts w:eastAsia="宋体"/>
          <w:kern w:val="2"/>
          <w:sz w:val="21"/>
          <w:lang w:eastAsia="zh-CN"/>
        </w:rPr>
      </w:pPr>
      <w:bookmarkStart w:id="123" w:name="_33._合同授予标准"/>
      <w:bookmarkEnd w:id="123"/>
      <w:bookmarkStart w:id="124" w:name="_Toc73521586"/>
      <w:bookmarkStart w:id="125" w:name="_Toc73518157"/>
      <w:bookmarkStart w:id="126" w:name="_Toc73517679"/>
      <w:bookmarkStart w:id="127" w:name="_Toc100052408"/>
      <w:bookmarkStart w:id="128" w:name="_Toc73521674"/>
      <w:bookmarkStart w:id="129" w:name="_Hlk72439088"/>
      <w:r>
        <w:rPr>
          <w:rFonts w:eastAsia="宋体" w:hint="eastAsia"/>
          <w:kern w:val="2"/>
          <w:sz w:val="21"/>
          <w:lang w:eastAsia="zh-CN"/>
        </w:rPr>
        <w:t>43．合同授予标准</w:t>
      </w:r>
      <w:bookmarkEnd w:id="124"/>
      <w:bookmarkEnd w:id="125"/>
      <w:bookmarkEnd w:id="126"/>
      <w:bookmarkEnd w:id="127"/>
      <w:bookmarkEnd w:id="128"/>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ordWrap w:val="0"/>
        <w:autoSpaceDE w:val="0"/>
        <w:autoSpaceDN w:val="0"/>
        <w:spacing w:line="400" w:lineRule="exact"/>
        <w:ind w:right="808" w:firstLine="420" w:firstLineChars="200"/>
        <w:jc w:val="both"/>
        <w:rPr>
          <w:rFonts w:eastAsia="宋体"/>
          <w:kern w:val="2"/>
          <w:sz w:val="21"/>
          <w:lang w:eastAsia="zh-CN"/>
        </w:rPr>
      </w:pPr>
      <w:bookmarkStart w:id="130" w:name="_Toc73521587"/>
      <w:bookmarkStart w:id="131" w:name="_Toc73521675"/>
      <w:bookmarkStart w:id="132" w:name="_Toc73517680"/>
      <w:bookmarkStart w:id="133" w:name="_Toc100052409"/>
      <w:bookmarkStart w:id="134" w:name="_Toc73518158"/>
      <w:r>
        <w:rPr>
          <w:rFonts w:eastAsia="宋体" w:hint="eastAsia"/>
          <w:kern w:val="2"/>
          <w:sz w:val="21"/>
          <w:lang w:eastAsia="zh-CN"/>
        </w:rPr>
        <w:t>44．</w:t>
      </w:r>
      <w:bookmarkEnd w:id="130"/>
      <w:bookmarkEnd w:id="131"/>
      <w:bookmarkEnd w:id="132"/>
      <w:bookmarkEnd w:id="133"/>
      <w:bookmarkEnd w:id="134"/>
      <w:r>
        <w:rPr>
          <w:rFonts w:eastAsia="宋体" w:hint="eastAsia"/>
          <w:kern w:val="2"/>
          <w:sz w:val="21"/>
          <w:lang w:eastAsia="zh-CN"/>
        </w:rPr>
        <w:t>接受和拒绝任何或所有投标的权力</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ordWrap w:val="0"/>
        <w:autoSpaceDE w:val="0"/>
        <w:autoSpaceDN w:val="0"/>
        <w:spacing w:line="400" w:lineRule="exact"/>
        <w:ind w:right="808" w:firstLine="420" w:firstLineChars="200"/>
        <w:jc w:val="both"/>
        <w:rPr>
          <w:rFonts w:eastAsia="宋体"/>
          <w:kern w:val="2"/>
          <w:sz w:val="21"/>
          <w:lang w:eastAsia="zh-CN"/>
        </w:rPr>
      </w:pPr>
      <w:bookmarkStart w:id="135" w:name="_Toc73521677"/>
      <w:bookmarkStart w:id="136" w:name="_Toc73521589"/>
      <w:bookmarkStart w:id="137" w:name="_Toc73517682"/>
      <w:bookmarkStart w:id="138" w:name="_Toc100052410"/>
      <w:bookmarkStart w:id="139" w:name="_Toc73518160"/>
      <w:r>
        <w:rPr>
          <w:rFonts w:eastAsia="宋体" w:hint="eastAsia"/>
          <w:kern w:val="2"/>
          <w:sz w:val="21"/>
          <w:lang w:eastAsia="zh-CN"/>
        </w:rPr>
        <w:t>45．合同的签订</w:t>
      </w:r>
      <w:bookmarkEnd w:id="135"/>
      <w:bookmarkEnd w:id="136"/>
      <w:bookmarkEnd w:id="137"/>
      <w:bookmarkEnd w:id="138"/>
      <w:bookmarkEnd w:id="139"/>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ordWrap w:val="0"/>
        <w:autoSpaceDE w:val="0"/>
        <w:autoSpaceDN w:val="0"/>
        <w:spacing w:line="400" w:lineRule="exact"/>
        <w:ind w:right="808" w:firstLine="420" w:firstLineChars="200"/>
        <w:jc w:val="both"/>
        <w:rPr>
          <w:rFonts w:eastAsia="宋体"/>
          <w:kern w:val="2"/>
          <w:sz w:val="21"/>
          <w:lang w:eastAsia="zh-CN"/>
        </w:rPr>
      </w:pPr>
      <w:bookmarkStart w:id="140" w:name="_Toc73518161"/>
      <w:bookmarkStart w:id="141" w:name="_Toc73517683"/>
      <w:bookmarkStart w:id="142" w:name="_Toc100052411"/>
      <w:bookmarkStart w:id="143" w:name="_Toc73521678"/>
      <w:bookmarkStart w:id="144" w:name="_Toc73521590"/>
      <w:r>
        <w:rPr>
          <w:rFonts w:eastAsia="宋体" w:hint="eastAsia"/>
          <w:kern w:val="2"/>
          <w:sz w:val="21"/>
          <w:lang w:eastAsia="zh-CN"/>
        </w:rPr>
        <w:t>46．履约担保</w:t>
      </w:r>
      <w:bookmarkEnd w:id="140"/>
      <w:bookmarkEnd w:id="141"/>
      <w:bookmarkEnd w:id="142"/>
      <w:bookmarkEnd w:id="143"/>
      <w:bookmarkEnd w:id="144"/>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5" w:name="_Hlk72440769"/>
      <w:r>
        <w:rPr>
          <w:rFonts w:eastAsia="宋体" w:hint="eastAsia"/>
          <w:kern w:val="2"/>
          <w:sz w:val="21"/>
          <w:lang w:eastAsia="zh-CN"/>
        </w:rPr>
        <w:t>采购代理机构或采购人不予退还其交纳的谈判保证金，情节严重的，并由主管部门</w:t>
      </w:r>
      <w:bookmarkEnd w:id="145"/>
      <w:r>
        <w:rPr>
          <w:rFonts w:eastAsia="宋体" w:hint="eastAsia"/>
          <w:kern w:val="2"/>
          <w:sz w:val="21"/>
          <w:lang w:eastAsia="zh-CN"/>
        </w:rPr>
        <w:t>记入供应商诚信档案，予以通报：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9"/>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6" w:name="_Toc19433"/>
      <w:r>
        <w:rPr>
          <w:rFonts w:ascii="Arial" w:eastAsia="宋体" w:hAnsi="Arial" w:hint="eastAsia"/>
          <w:b/>
          <w:kern w:val="2"/>
          <w:sz w:val="32"/>
          <w:lang w:eastAsia="zh-CN"/>
        </w:rPr>
        <w:t>第十一章  质疑处理</w:t>
      </w:r>
      <w:bookmarkEnd w:id="146"/>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47" w:name="_Hlk75374941"/>
      <w:r>
        <w:rPr>
          <w:rFonts w:eastAsia="宋体" w:hint="eastAsia"/>
          <w:kern w:val="2"/>
          <w:sz w:val="21"/>
          <w:lang w:eastAsia="zh-CN"/>
        </w:rPr>
        <w:t>以联合体形式参与的，质疑应当由组成联合体的所有成员共同提出</w:t>
      </w:r>
      <w:bookmarkEnd w:id="147"/>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地址：深圳市千里招标代理有限公司（地址：深圳市龙华区民治街道民强社区梅龙路和民旺路相交处民治商贸广场B2102）。</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ordWrap w:val="0"/>
        <w:autoSpaceDE w:val="0"/>
        <w:autoSpaceDN w:val="0"/>
        <w:spacing w:line="400" w:lineRule="exact"/>
        <w:ind w:right="808" w:firstLine="420" w:firstLineChars="200"/>
        <w:jc w:val="both"/>
        <w:rPr>
          <w:rFonts w:ascii="仿宋" w:eastAsia="仿宋" w:hAnsi="仿宋" w:hint="eastAsia"/>
          <w:kern w:val="2"/>
          <w:sz w:val="28"/>
          <w:szCs w:val="28"/>
          <w:lang w:eastAsia="zh-CN"/>
        </w:rPr>
      </w:pPr>
      <w:r>
        <w:rPr>
          <w:rFonts w:eastAsia="宋体" w:hint="eastAsia"/>
          <w:kern w:val="2"/>
          <w:sz w:val="21"/>
          <w:lang w:eastAsia="zh-CN"/>
        </w:rPr>
        <w:t>52.6.2供应商提交的质疑材料不符合质疑条件的，视情况处理：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ordWrap w:val="0"/>
        <w:autoSpaceDE w:val="0"/>
        <w:autoSpaceDN w:val="0"/>
        <w:spacing w:line="400" w:lineRule="exact"/>
        <w:ind w:right="808" w:firstLine="420" w:firstLineChars="200"/>
        <w:jc w:val="both"/>
        <w:rPr>
          <w:rFonts w:ascii="微软雅黑" w:eastAsia="微软雅黑" w:hAnsi="微软雅黑" w:cs="微软雅黑" w:hint="eastAsia"/>
          <w:color w:val="333333"/>
          <w:lang w:val="en" w:eastAsia="zh-CN"/>
        </w:rPr>
        <w:sectPr>
          <w:headerReference w:type="default" r:id="rId9"/>
          <w:footerReference w:type="default" r:id="rId10"/>
          <w:pgSz w:w="12240" w:h="1584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left w:val="single" w:sz="6" w:space="0" w:color="DDDDDD"/>
          <w:right w:val="single" w:sz="6" w:space="0" w:color="DDDDDD"/>
        </w:pBdr>
        <w:spacing w:line="648" w:lineRule="atLeast"/>
        <w:ind w:left="15" w:right="15"/>
        <w:jc w:val="center"/>
        <w:outlineLvl w:val="0"/>
        <w:rPr>
          <w:rFonts w:ascii="仿宋" w:eastAsia="仿宋" w:hAnsi="仿宋" w:cs="仿宋" w:hint="eastAsia"/>
          <w:b/>
          <w:bCs/>
          <w:color w:val="000000"/>
          <w:sz w:val="48"/>
          <w:szCs w:val="48"/>
          <w:lang w:val="en" w:eastAsia="zh-CN"/>
        </w:rPr>
      </w:pPr>
      <w:r>
        <w:rPr>
          <w:rFonts w:ascii="仿宋" w:eastAsia="仿宋" w:hAnsi="仿宋" w:cs="仿宋"/>
          <w:b/>
          <w:bCs/>
          <w:color w:val="000000"/>
          <w:sz w:val="48"/>
          <w:szCs w:val="48"/>
          <w:lang w:val="en" w:eastAsia="zh-CN"/>
        </w:rPr>
        <w:t>投标文件格式</w:t>
      </w:r>
    </w:p>
    <w:p>
      <w:pPr>
        <w:spacing w:line="504" w:lineRule="atLeast"/>
        <w:ind w:left="15" w:right="15"/>
        <w:jc w:val="center"/>
        <w:rPr>
          <w:rFonts w:ascii="仿宋" w:eastAsia="仿宋" w:hAnsi="仿宋" w:cs="仿宋" w:hint="eastAsia"/>
          <w:b/>
          <w:bCs/>
          <w:color w:val="333333"/>
          <w:sz w:val="28"/>
          <w:szCs w:val="28"/>
          <w:lang w:val="en" w:eastAsia="zh-CN"/>
        </w:rPr>
      </w:pPr>
      <w:r>
        <w:rPr>
          <w:rFonts w:ascii="仿宋" w:eastAsia="仿宋" w:hAnsi="仿宋" w:cs="仿宋" w:hint="eastAsia"/>
          <w:b/>
          <w:bCs/>
          <w:color w:val="333333"/>
          <w:sz w:val="28"/>
          <w:szCs w:val="28"/>
          <w:lang w:val="en" w:eastAsia="zh-CN"/>
        </w:rPr>
        <w:t>大浪校区监控视频存储及光网络交换设备</w:t>
      </w:r>
      <w:r>
        <w:rPr>
          <w:rFonts w:ascii="仿宋" w:eastAsia="仿宋" w:hAnsi="仿宋" w:cs="仿宋"/>
          <w:b/>
          <w:bCs/>
          <w:color w:val="333333"/>
          <w:sz w:val="28"/>
          <w:szCs w:val="28"/>
          <w:lang w:val="en" w:eastAsia="zh-CN"/>
        </w:rPr>
        <w:t>-A</w:t>
      </w:r>
    </w:p>
    <w:tbl>
      <w:tblPr>
        <w:tblStyle w:val="typotable"/>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Layout w:type="fixed"/>
          <w:tblCellMar>
            <w:top w:w="0" w:type="dxa"/>
            <w:left w:w="0" w:type="dxa"/>
            <w:bottom w:w="0" w:type="dxa"/>
            <w:right w:w="0" w:type="dxa"/>
          </w:tblCellMar>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微软雅黑" w:eastAsia="微软雅黑" w:hAnsi="微软雅黑" w:cs="微软雅黑" w:hint="eastAsia"/>
                <w:color w:val="666666"/>
                <w:lang w:val="en" w:eastAsia="en"/>
              </w:rPr>
            </w:pPr>
            <w:r>
              <w:rPr>
                <w:rFonts w:ascii="仿宋" w:eastAsia="仿宋" w:hAnsi="仿宋" w:cs="仿宋"/>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tcPr>
          <w:p>
            <w:pPr>
              <w:spacing w:line="432" w:lineRule="atLeast"/>
              <w:jc w:val="center"/>
              <w:rPr>
                <w:rFonts w:ascii="微软雅黑" w:eastAsia="微软雅黑" w:hAnsi="微软雅黑" w:cs="微软雅黑" w:hint="eastAsia"/>
                <w:color w:val="666666"/>
                <w:lang w:val="en" w:eastAsia="en"/>
              </w:rPr>
            </w:pPr>
            <w:r>
              <w:rPr>
                <w:rFonts w:ascii="仿宋" w:eastAsia="仿宋" w:hAnsi="仿宋" w:cs="仿宋"/>
                <w:color w:val="666666"/>
                <w:lang w:val="en" w:eastAsia="en"/>
              </w:rPr>
              <w:t>文件夹/文件名称</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1</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en"/>
              </w:rPr>
            </w:pPr>
            <w:r>
              <w:rPr>
                <w:rFonts w:ascii="仿宋" w:eastAsia="仿宋" w:hAnsi="仿宋" w:cs="仿宋"/>
                <w:color w:val="666666"/>
                <w:lang w:val="en" w:eastAsia="en"/>
              </w:rPr>
              <w:t>投标函</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2</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color w:val="666666"/>
                <w:lang w:val="en" w:eastAsia="zh-CN"/>
              </w:rPr>
              <w:t>龙华区教育局自行采购投标及履约承诺函</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3</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color w:val="666666"/>
                <w:lang w:val="en" w:eastAsia="zh-CN"/>
              </w:rPr>
              <w:t>投标人情况及资格证明文件</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4</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en"/>
              </w:rPr>
            </w:pPr>
            <w:r>
              <w:rPr>
                <w:rFonts w:ascii="仿宋" w:eastAsia="仿宋" w:hAnsi="仿宋" w:cs="仿宋" w:hint="eastAsia"/>
                <w:color w:val="666666"/>
                <w:lang w:val="en" w:eastAsia="en"/>
              </w:rPr>
              <w:t>供应商基本情况表</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5</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en"/>
              </w:rPr>
            </w:pPr>
            <w:r>
              <w:rPr>
                <w:rFonts w:ascii="仿宋" w:eastAsia="仿宋" w:hAnsi="仿宋" w:cs="仿宋" w:hint="eastAsia"/>
                <w:color w:val="666666"/>
                <w:lang w:val="en" w:eastAsia="en"/>
              </w:rPr>
              <w:t>分项报价清单</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6</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color w:val="666666"/>
                <w:lang w:val="en" w:eastAsia="en"/>
              </w:rPr>
              <w:t>股东构成审查表</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7</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color w:val="666666"/>
                <w:lang w:val="en" w:eastAsia="zh-CN"/>
              </w:rPr>
              <w:t>法定代表人（负责人）证明书</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8</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color w:val="666666"/>
                <w:lang w:val="en" w:eastAsia="zh-CN"/>
              </w:rPr>
              <w:t>投标文件签署授权委托书</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9</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color w:val="666666"/>
                <w:lang w:val="en" w:eastAsia="zh-CN"/>
              </w:rPr>
              <w:t>实质性条款响应情况表</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10</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en"/>
              </w:rPr>
            </w:pPr>
            <w:r>
              <w:rPr>
                <w:rFonts w:ascii="仿宋" w:eastAsia="仿宋" w:hAnsi="仿宋" w:cs="仿宋"/>
                <w:color w:val="666666"/>
                <w:lang w:val="en" w:eastAsia="en"/>
              </w:rPr>
              <w:t>技术要求偏离表</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11</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en"/>
              </w:rPr>
            </w:pPr>
            <w:r>
              <w:rPr>
                <w:rFonts w:ascii="仿宋" w:eastAsia="仿宋" w:hAnsi="仿宋" w:cs="仿宋"/>
                <w:color w:val="666666"/>
                <w:lang w:val="en" w:eastAsia="en"/>
              </w:rPr>
              <w:t>商务要求偏离表</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12</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en"/>
              </w:rPr>
            </w:pPr>
            <w:r>
              <w:rPr>
                <w:rFonts w:ascii="仿宋" w:eastAsia="仿宋" w:hAnsi="仿宋" w:cs="仿宋"/>
                <w:color w:val="666666"/>
                <w:lang w:val="en" w:eastAsia="en"/>
              </w:rPr>
              <w:t>技术保障措施</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13</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hint="eastAsia"/>
                <w:color w:val="666666"/>
                <w:lang w:val="en" w:eastAsia="en"/>
              </w:rPr>
              <w:t>同类项目业绩</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en"/>
              </w:rPr>
            </w:pPr>
            <w:r>
              <w:rPr>
                <w:rFonts w:ascii="仿宋" w:eastAsia="仿宋" w:hAnsi="仿宋" w:cs="仿宋"/>
                <w:color w:val="666666"/>
                <w:lang w:val="en" w:eastAsia="en"/>
              </w:rPr>
              <w:t>14</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hint="eastAsia"/>
                <w:color w:val="666666"/>
                <w:lang w:val="en" w:eastAsia="zh-CN"/>
              </w:rPr>
              <w:t>投标人资质证书</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zh-CN"/>
              </w:rPr>
            </w:pPr>
            <w:r>
              <w:rPr>
                <w:rFonts w:ascii="仿宋" w:eastAsia="仿宋" w:hAnsi="仿宋" w:cs="仿宋" w:hint="eastAsia"/>
                <w:color w:val="666666"/>
                <w:lang w:val="en" w:eastAsia="zh-CN"/>
              </w:rPr>
              <w:t>15</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hint="eastAsia"/>
                <w:color w:val="666666"/>
                <w:lang w:val="en" w:eastAsia="zh-CN"/>
              </w:rPr>
              <w:t>诚信承诺函</w:t>
            </w:r>
          </w:p>
        </w:tc>
      </w:tr>
      <w:tr>
        <w:tblPrEx>
          <w:tblW w:w="5000" w:type="pct"/>
          <w:tblInd w:w="15" w:type="dxa"/>
          <w:tblLayout w:type="fixed"/>
          <w:tblCellMar>
            <w:top w:w="0" w:type="dxa"/>
            <w:left w:w="0" w:type="dxa"/>
            <w:bottom w:w="0" w:type="dxa"/>
            <w:right w:w="0" w:type="dxa"/>
          </w:tblCellMar>
        </w:tblPrEx>
        <w:tc>
          <w:tcPr>
            <w:tcW w:w="9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jc w:val="center"/>
              <w:rPr>
                <w:rFonts w:ascii="仿宋" w:eastAsia="仿宋" w:hAnsi="仿宋" w:cs="仿宋" w:hint="eastAsia"/>
                <w:color w:val="666666"/>
                <w:lang w:val="en" w:eastAsia="zh-CN"/>
              </w:rPr>
            </w:pPr>
            <w:r>
              <w:rPr>
                <w:rFonts w:ascii="仿宋" w:eastAsia="仿宋" w:hAnsi="仿宋" w:cs="仿宋"/>
                <w:color w:val="666666"/>
                <w:lang w:val="en" w:eastAsia="en"/>
              </w:rPr>
              <w:t>1</w:t>
            </w:r>
            <w:r>
              <w:rPr>
                <w:rFonts w:ascii="仿宋" w:eastAsia="仿宋" w:hAnsi="仿宋" w:cs="仿宋" w:hint="eastAsia"/>
                <w:color w:val="666666"/>
                <w:lang w:val="en" w:eastAsia="zh-CN"/>
              </w:rPr>
              <w:t>6</w:t>
            </w:r>
          </w:p>
        </w:tc>
        <w:tc>
          <w:tcPr>
            <w:tcW w:w="41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tcPr>
          <w:p>
            <w:pPr>
              <w:spacing w:line="240" w:lineRule="atLeast"/>
              <w:rPr>
                <w:rFonts w:ascii="仿宋" w:eastAsia="仿宋" w:hAnsi="仿宋" w:cs="仿宋" w:hint="eastAsia"/>
                <w:color w:val="666666"/>
                <w:lang w:val="en" w:eastAsia="zh-CN"/>
              </w:rPr>
            </w:pPr>
            <w:r>
              <w:rPr>
                <w:rFonts w:ascii="仿宋" w:eastAsia="仿宋" w:hAnsi="仿宋" w:cs="仿宋" w:hint="eastAsia"/>
                <w:color w:val="666666"/>
                <w:lang w:val="en" w:eastAsia="zh-CN"/>
              </w:rPr>
              <w:t>投标人认为需要加以说明的其他内容</w:t>
            </w:r>
          </w:p>
        </w:tc>
      </w:tr>
    </w:tbl>
    <w:p>
      <w:pPr>
        <w:spacing w:line="432" w:lineRule="atLeast"/>
        <w:rPr>
          <w:rFonts w:ascii="仿宋" w:eastAsia="仿宋" w:hAnsi="仿宋" w:cs="仿宋" w:hint="eastAsia"/>
          <w:b/>
          <w:bCs/>
          <w:color w:val="333333"/>
          <w:lang w:val="en" w:eastAsia="zh-CN"/>
        </w:rPr>
        <w:sectPr>
          <w:pgSz w:w="12240" w:h="15840"/>
          <w:pgMar w:top="1440" w:right="1800" w:bottom="1440" w:left="1800" w:header="708" w:footer="708" w:gutter="0"/>
          <w:cols w:num="1"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大浪校区监控视频存储及光网络交换设备-A</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投标人资质证书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LHAZXDL-2025-00341-001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大浪校区监控视频存储及光网络交换设备-A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10、本项目不接受联合体投标，不接受进口产品参与投标，不允许转包、分包。（由供应商在《龙华区教育局自行采购投标及履约承诺函》中作出承诺）。：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10、本项目不接受联合体投标，不接受进口产品参与投标，不允许转包、分包。（由供应商在《龙华区教育局自行采购投标及履约承诺函》中作出承诺）。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按分项手工汇总</w:t>
      </w:r>
      <w:r>
        <w:rPr>
          <w:rFonts w:ascii="Microsoft YaHei" w:eastAsia="Microsoft YaHei" w:hAnsi="Microsoft YaHei" w:cs="Microsoft YaHei"/>
          <w:color w:val="333333"/>
          <w:lang w:val="en" w:eastAsia="en"/>
        </w:rPr>
        <w:t xml:space="preserve"> </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1"/>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技术保障措施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1.评审内容： 在投标文件中详细说明技术保障措施包括： （1）技术团队情况 （2）技术保障方案 （3）工期保证 （4）项目履约进度计划 2.评分标准 1）以上内容，每提供任意1项得5分，本项最高得20分。 2）在此基础上，根据施工方案详细程度、具体程度、与项目要求的符合性进行评分，本项最高加2分。 （1）投标文件响应内容详细； （2）投标文件响应内容具体； （3）投标文件响应内容符合项目要求； 满足以上三项要求的评价为优，加80分。 满足以上二项要求的评价为良，加50分。 满足以上一项要求的评价为中，加20分。 其它情况的评价为差，不加分。 本项累计最高得100分，未按要求提供或提供不清晰导致评审无法判别的不得分。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一般技术规格偏离情况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评审小组根据《技术规格偏离表》（以下简称“偏离表”）响应情况进行打分，全部满足的得100分，一般参数负偏离一项扣1.89分，扣完为止。 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重要技术规格偏离情况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评审小组根据《技术规格偏离表》（以下简称“偏离表”）响应情况进行打分，全部满足的得100分，重点技术参数▲项负偏离一项扣14.5分，扣完为止。 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投标人应如实填写《商务条款偏离情况》，评审小组根据响应情况进行打分，除带“★”号实质性条款外，全部满足要求的得100分，每负偏离一项扣7.7分，扣完为止。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2022年1月1日至本项目投标截止之日（以合同签订日期为准），具有政府单位或事业单位监控类或网络类或信息化类项目经验,每提供1个得50分，最高得100分。 （提供合同关键页（含签订合同双方的单位名称、合同项目名称、含签订合同双方的落款盖章、签订日期）及验收报告扫描件，原件备查。未提供或提供的不符合或提供不清晰导致无法判断的均不得分）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投标人资质证书</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1、投标人具有质量管理体系认证证书、环境管理体系认证证书、职业健康安全管理体系认证证书，且以上证书认证范围均需包含计算机系统集成和电教设备的维护的，得30分； 2、投标人具有售后服务认证证书，且证书认证范围均需包含计算机系统集成、电教设备的维护所涉及的售后服务的，得20分； 3、投标人具有履约能力评价服务认证证书，且证书认证范围均需包含计算机系统集成和电教设备的维护的，得20分； 4、投标人具有信息系统服务交付能力等级证书（四级）或以上，且证书认证范围均需包含信息系统集成实施和运行维护服务的，得30分。 以上1-4项累计得分，最高得100分。 （二）评分依据： 提供有效期内的认证证书扫描件（如证书标明需年度审核的，需有已年审标志）及在全国认证认可信息公共服务平台（认e云）（网址：httpcx.cnca.cnCertECloudindexindexpage）网站查询有效的截图并加盖投标人公章，原件备查。 上述证书如因投标人为新成立企业且成立时间不足三个月而未能获得的，提供相关情况说明（格式自拟），可获得对应证书得分。评分中出现无证明资料或专家无法凭所提供资料判断是否得分的情况，一律作不得分处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投标人承诺在参与自行采购活动中未出现诚信或安全相关问题且不在相关主管部门处理措施实施期限内的本项得100分，否则不得分。 评分依据： 投标人须提供的《诚信承诺函》，按采购文件格式要求提供，不提供或提供的不符合要求或提供不清晰导致专家无法判断的均不得分。如被认定提供的陈述与事实不符受到行政处罚的，依法追究其责任。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失信供应商价格上浮比例：%。</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721CBBE0"/>
    <w:multiLevelType w:val="singleLevel"/>
    <w:tmpl w:val="721CBBE0"/>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
    <w:name w:val="页眉 字符"/>
    <w:basedOn w:val="DefaultParagraphFont"/>
    <w:link w:val="Header"/>
    <w:uiPriority w:val="99"/>
    <w:qFormat/>
    <w:rPr>
      <w:rFonts w:eastAsia="宋体"/>
      <w:sz w:val="18"/>
      <w:szCs w:val="18"/>
    </w:rPr>
  </w:style>
  <w:style w:type="paragraph" w:styleId="Footer">
    <w:name w:val="footer"/>
    <w:basedOn w:val="Normal"/>
    <w:link w:val="a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0">
    <w:name w:val="页脚 字符"/>
    <w:basedOn w:val="DefaultParagraphFont"/>
    <w:link w:val="Footer"/>
    <w:uiPriority w:val="99"/>
    <w:qFormat/>
    <w:rPr>
      <w:rFonts w:eastAsia="宋体"/>
      <w:sz w:val="18"/>
      <w:szCs w:val="18"/>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qFormat/>
    <w:rPr>
      <w:rFonts w:eastAsia="宋体"/>
    </w:rPr>
    <w:tblPr>
      <w:tblInd w:w="0" w:type="dxa"/>
    </w:tblPr>
  </w:style>
  <w:style w:type="table" w:customStyle="1" w:styleId="typotable0">
    <w:name w:val="typo_table_0"/>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1">
    <w:name w:val="typo_table_1"/>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