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widowControl w:val="0"/>
        <w:tabs>
          <w:tab w:val="left" w:pos="2790"/>
        </w:tabs>
        <w:snapToGrid w:val="0"/>
        <w:jc w:val="center"/>
        <w:outlineLvl w:val="9"/>
        <w:rPr>
          <w:rFonts w:ascii="黑体" w:eastAsia="黑体" w:hAnsi="黑体" w:hint="eastAsia"/>
          <w:kern w:val="2"/>
          <w:sz w:val="40"/>
          <w:szCs w:val="40"/>
          <w:lang w:eastAsia="zh-CN"/>
        </w:rPr>
      </w:pP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LHAZXDL-2024-00260</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安检设备及防撞柱采购</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spacing w:line="360" w:lineRule="auto"/>
        <w:jc w:val="both"/>
        <w:rPr>
          <w:rFonts w:ascii="Calibri" w:eastAsia="宋体" w:hAnsi="Calibri" w:hint="eastAsia"/>
          <w:b/>
          <w:bCs/>
          <w:kern w:val="2"/>
          <w:szCs w:val="22"/>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hint="eastAsia"/>
          <w:kern w:val="2"/>
          <w:lang w:eastAsia="zh-CN"/>
        </w:rPr>
      </w:pPr>
    </w:p>
    <w:p>
      <w:pPr>
        <w:widowControl w:val="0"/>
        <w:spacing w:line="360" w:lineRule="auto"/>
        <w:jc w:val="both"/>
        <w:rPr>
          <w:rFonts w:ascii="Calibri" w:eastAsia="宋体" w:hAnsi="Calibri" w:hint="eastAsia"/>
          <w:b/>
          <w:bCs/>
          <w:kern w:val="2"/>
          <w:lang w:eastAsia="zh-CN"/>
        </w:rPr>
      </w:pPr>
    </w:p>
    <w:p>
      <w:pPr>
        <w:widowControl w:val="0"/>
        <w:spacing w:line="360" w:lineRule="auto"/>
        <w:jc w:val="both"/>
        <w:rPr>
          <w:rFonts w:ascii="Calibri" w:eastAsia="宋体" w:hAnsi="Calibri" w:hint="eastAsia"/>
          <w:b/>
          <w:bCs/>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730"/>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采用低价优先法计算，即满足招标文件要求且投标价格最低的投标报价为评标基准价，其价格分为满分。其他投标人的价格分统一按照下列公式计算：</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投标报价得分=(评标基准价／投标报价)×100</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评标总得分＝F1×A1＋F2×A2＋……＋Fn×An</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F1、F2……Fn分别为各项评审因素的得分；</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A1、A2、……An分别为各项评审因素所占的权重(A1＋A2＋……＋An＝1)。</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p>
      <w:pPr>
        <w:widowControl w:val="0"/>
        <w:jc w:val="both"/>
        <w:rPr>
          <w:rFonts w:ascii="Calibri" w:eastAsia="宋体" w:hAnsi="Calibri"/>
          <w:kern w:val="2"/>
          <w:sz w:val="21"/>
          <w:szCs w:val="22"/>
          <w:lang w:eastAsia="zh-CN"/>
        </w:rPr>
      </w:pPr>
    </w:p>
    <w:tbl>
      <w:tblPr>
        <w:tblStyle w:val="TableNormal"/>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1"/>
        <w:gridCol w:w="745"/>
        <w:gridCol w:w="1193"/>
        <w:gridCol w:w="209"/>
        <w:gridCol w:w="1334"/>
        <w:gridCol w:w="496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jc w:val="center"/>
        </w:trPr>
        <w:tc>
          <w:tcPr>
            <w:tcW w:w="40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3437" w:type="dxa"/>
            <w:gridSpan w:val="4"/>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4902"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sz w:val="21"/>
                <w:szCs w:val="21"/>
                <w:lang w:eastAsia="zh-CN"/>
              </w:rPr>
            </w:pPr>
            <w:r>
              <w:rPr>
                <w:rFonts w:ascii="宋体" w:eastAsia="宋体" w:hAnsi="宋体" w:cs="宋体" w:hint="eastAsia"/>
                <w:b/>
                <w:bCs/>
                <w:sz w:val="21"/>
                <w:szCs w:val="21"/>
              </w:rPr>
              <w:t>权重</w:t>
            </w:r>
            <w:r>
              <w:rPr>
                <w:rFonts w:ascii="宋体" w:eastAsia="宋体" w:hAnsi="宋体" w:cs="宋体" w:hint="eastAsia"/>
                <w:b/>
                <w:bCs/>
                <w:sz w:val="21"/>
                <w:szCs w:val="21"/>
                <w:lang w:eastAsia="zh-CN"/>
              </w:rPr>
              <w:t>（％）</w:t>
            </w:r>
          </w:p>
        </w:tc>
      </w:tr>
      <w:tr>
        <w:tblPrEx>
          <w:tblW w:w="5000" w:type="pct"/>
          <w:jc w:val="center"/>
          <w:tblLayout w:type="fixed"/>
          <w:tblCellMar>
            <w:top w:w="0" w:type="dxa"/>
            <w:left w:w="108" w:type="dxa"/>
            <w:bottom w:w="0" w:type="dxa"/>
            <w:right w:w="108" w:type="dxa"/>
          </w:tblCellMar>
        </w:tblPrEx>
        <w:trPr>
          <w:trHeight w:val="326"/>
          <w:jc w:val="center"/>
        </w:trPr>
        <w:tc>
          <w:tcPr>
            <w:tcW w:w="40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w:t>
            </w:r>
          </w:p>
        </w:tc>
        <w:tc>
          <w:tcPr>
            <w:tcW w:w="3437" w:type="dxa"/>
            <w:gridSpan w:val="4"/>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价格</w:t>
            </w:r>
          </w:p>
        </w:tc>
        <w:tc>
          <w:tcPr>
            <w:tcW w:w="4902"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eastAsia="zh-CN"/>
              </w:rPr>
              <w:t>30</w:t>
            </w:r>
          </w:p>
        </w:tc>
      </w:tr>
      <w:tr>
        <w:tblPrEx>
          <w:tblW w:w="5000" w:type="pct"/>
          <w:jc w:val="center"/>
          <w:tblLayout w:type="fixed"/>
          <w:tblCellMar>
            <w:top w:w="0" w:type="dxa"/>
            <w:left w:w="108" w:type="dxa"/>
            <w:bottom w:w="0" w:type="dxa"/>
            <w:right w:w="108" w:type="dxa"/>
          </w:tblCellMar>
        </w:tblPrEx>
        <w:trPr>
          <w:trHeight w:val="366"/>
          <w:jc w:val="center"/>
        </w:trPr>
        <w:tc>
          <w:tcPr>
            <w:tcW w:w="40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2</w:t>
            </w:r>
          </w:p>
        </w:tc>
        <w:tc>
          <w:tcPr>
            <w:tcW w:w="3437" w:type="dxa"/>
            <w:gridSpan w:val="4"/>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技术部分</w:t>
            </w:r>
          </w:p>
        </w:tc>
        <w:tc>
          <w:tcPr>
            <w:tcW w:w="4902"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eastAsia="zh-CN"/>
              </w:rPr>
              <w:t>55</w:t>
            </w:r>
          </w:p>
        </w:tc>
      </w:tr>
      <w:tr>
        <w:tblPrEx>
          <w:tblW w:w="5000" w:type="pct"/>
          <w:jc w:val="center"/>
          <w:tblLayout w:type="fixed"/>
          <w:tblCellMar>
            <w:top w:w="0" w:type="dxa"/>
            <w:left w:w="108" w:type="dxa"/>
            <w:bottom w:w="0" w:type="dxa"/>
            <w:right w:w="108" w:type="dxa"/>
          </w:tblCellMar>
        </w:tblPrEx>
        <w:trPr>
          <w:trHeight w:val="339"/>
          <w:jc w:val="center"/>
        </w:trPr>
        <w:tc>
          <w:tcPr>
            <w:tcW w:w="406" w:type="dxa"/>
            <w:vMerge w:val="restart"/>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p>
        </w:tc>
        <w:tc>
          <w:tcPr>
            <w:tcW w:w="73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384" w:type="dxa"/>
            <w:gridSpan w:val="2"/>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317"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902"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2926"/>
          <w:jc w:val="center"/>
        </w:trPr>
        <w:tc>
          <w:tcPr>
            <w:tcW w:w="406" w:type="dxa"/>
            <w:vMerge/>
            <w:noWrap w:val="0"/>
            <w:vAlign w:val="center"/>
          </w:tcPr>
          <w:p>
            <w:pPr>
              <w:keepNext/>
              <w:keepLines/>
              <w:pageBreakBefore w:val="0"/>
              <w:kinsoku/>
              <w:overflowPunct/>
              <w:topLinePunct w:val="0"/>
              <w:autoSpaceDE/>
              <w:autoSpaceDN/>
              <w:bidi w:val="0"/>
              <w:adjustRightInd/>
              <w:spacing w:before="340" w:after="330" w:line="300" w:lineRule="auto"/>
              <w:jc w:val="center"/>
              <w:outlineLvl w:val="0"/>
              <w:rPr>
                <w:rFonts w:ascii="宋体" w:eastAsia="宋体" w:hAnsi="宋体" w:cs="宋体" w:hint="eastAsia"/>
                <w:sz w:val="21"/>
                <w:szCs w:val="21"/>
              </w:rPr>
            </w:pPr>
          </w:p>
        </w:tc>
        <w:tc>
          <w:tcPr>
            <w:tcW w:w="73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r>
              <w:rPr>
                <w:rFonts w:ascii="宋体" w:eastAsia="宋体" w:hAnsi="宋体" w:cs="宋体" w:hint="eastAsia"/>
                <w:sz w:val="21"/>
                <w:szCs w:val="21"/>
              </w:rPr>
              <w:t>1</w:t>
            </w:r>
          </w:p>
        </w:tc>
        <w:tc>
          <w:tcPr>
            <w:tcW w:w="1384" w:type="dxa"/>
            <w:gridSpan w:val="2"/>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r>
              <w:rPr>
                <w:rFonts w:ascii="宋体" w:eastAsia="宋体" w:hAnsi="宋体" w:cs="宋体" w:hint="eastAsia"/>
                <w:sz w:val="21"/>
                <w:szCs w:val="21"/>
              </w:rPr>
              <w:t>技术规格偏离情况</w:t>
            </w:r>
          </w:p>
        </w:tc>
        <w:tc>
          <w:tcPr>
            <w:tcW w:w="1317"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r>
              <w:rPr>
                <w:rFonts w:ascii="宋体" w:eastAsia="宋体" w:hAnsi="宋体" w:cs="宋体" w:hint="eastAsia"/>
                <w:sz w:val="21"/>
                <w:szCs w:val="21"/>
                <w:lang w:eastAsia="zh-CN"/>
              </w:rPr>
              <w:t>27</w:t>
            </w:r>
          </w:p>
        </w:tc>
        <w:tc>
          <w:tcPr>
            <w:tcW w:w="4902" w:type="dxa"/>
            <w:noWrap w:val="0"/>
            <w:vAlign w:val="center"/>
          </w:tcPr>
          <w:p>
            <w:pPr>
              <w:pageBreakBefore w:val="0"/>
              <w:kinsoku/>
              <w:overflowPunct/>
              <w:topLinePunct w:val="0"/>
              <w:autoSpaceDE/>
              <w:autoSpaceDN/>
              <w:bidi w:val="0"/>
              <w:adjustRightInd/>
              <w:spacing w:line="300" w:lineRule="auto"/>
              <w:jc w:val="both"/>
              <w:rPr>
                <w:rFonts w:ascii="宋体" w:eastAsia="宋体" w:hAnsi="宋体" w:cs="宋体" w:hint="eastAsia"/>
                <w:b/>
                <w:sz w:val="21"/>
                <w:szCs w:val="21"/>
              </w:rPr>
            </w:pPr>
            <w:r>
              <w:rPr>
                <w:rFonts w:ascii="宋体" w:eastAsia="宋体" w:hAnsi="宋体" w:cs="宋体" w:hint="eastAsia"/>
                <w:b/>
                <w:sz w:val="21"/>
                <w:szCs w:val="21"/>
                <w:lang w:eastAsia="zh-CN"/>
              </w:rPr>
              <w:t>（</w:t>
            </w:r>
            <w:r>
              <w:rPr>
                <w:rFonts w:ascii="宋体" w:eastAsia="宋体" w:hAnsi="宋体" w:cs="宋体" w:hint="eastAsia"/>
                <w:b/>
                <w:sz w:val="21"/>
                <w:szCs w:val="21"/>
                <w:lang w:eastAsia="zh-CN"/>
              </w:rPr>
              <w:t>一</w:t>
            </w:r>
            <w:r>
              <w:rPr>
                <w:rFonts w:ascii="宋体" w:eastAsia="宋体" w:hAnsi="宋体" w:cs="宋体" w:hint="eastAsia"/>
                <w:b/>
                <w:sz w:val="21"/>
                <w:szCs w:val="21"/>
                <w:lang w:eastAsia="zh-CN"/>
              </w:rPr>
              <w:t>）</w:t>
            </w:r>
            <w:r>
              <w:rPr>
                <w:rFonts w:ascii="宋体" w:eastAsia="宋体" w:hAnsi="宋体" w:cs="宋体" w:hint="eastAsia"/>
                <w:b/>
                <w:sz w:val="21"/>
                <w:szCs w:val="21"/>
              </w:rPr>
              <w:t>评分内容：</w:t>
            </w:r>
          </w:p>
          <w:p>
            <w:pPr>
              <w:pageBreakBefore w:val="0"/>
              <w:kinsoku/>
              <w:wordWrap w:val="0"/>
              <w:overflowPunct/>
              <w:topLinePunct w:val="0"/>
              <w:autoSpaceDE/>
              <w:autoSpaceDN/>
              <w:bidi w:val="0"/>
              <w:adjustRightInd/>
              <w:spacing w:line="300" w:lineRule="auto"/>
              <w:jc w:val="both"/>
              <w:rPr>
                <w:rFonts w:ascii="宋体" w:eastAsia="宋体" w:hAnsi="宋体" w:cs="宋体" w:hint="eastAsia"/>
                <w:sz w:val="21"/>
                <w:szCs w:val="21"/>
                <w:shd w:val="clear" w:color="auto" w:fill="FFFFFF"/>
              </w:rPr>
            </w:pPr>
            <w:r>
              <w:rPr>
                <w:rFonts w:ascii="宋体" w:eastAsia="宋体" w:hAnsi="宋体" w:cs="宋体" w:hint="eastAsia"/>
                <w:sz w:val="21"/>
                <w:szCs w:val="21"/>
              </w:rPr>
              <w:t>评审小组根据《技术规格偏离表》响应情况进行打分，完全满足招标文件要求得</w:t>
            </w:r>
            <w:r>
              <w:rPr>
                <w:rFonts w:ascii="宋体" w:eastAsia="宋体" w:hAnsi="宋体" w:cs="宋体" w:hint="eastAsia"/>
                <w:sz w:val="21"/>
                <w:szCs w:val="21"/>
                <w:lang w:eastAsia="zh-CN"/>
              </w:rPr>
              <w:t>100</w:t>
            </w:r>
            <w:r>
              <w:rPr>
                <w:rFonts w:ascii="宋体" w:eastAsia="宋体" w:hAnsi="宋体" w:cs="宋体" w:hint="eastAsia"/>
                <w:sz w:val="21"/>
                <w:szCs w:val="21"/>
              </w:rPr>
              <w:t>分，注有▲的重要技术要求每负偏离1项，扣</w:t>
            </w:r>
            <w:r>
              <w:rPr>
                <w:rFonts w:ascii="宋体" w:eastAsia="宋体" w:hAnsi="宋体" w:cs="宋体" w:hint="eastAsia"/>
                <w:sz w:val="21"/>
                <w:szCs w:val="21"/>
                <w:lang w:eastAsia="zh-CN"/>
              </w:rPr>
              <w:t>4</w:t>
            </w:r>
            <w:r>
              <w:rPr>
                <w:rFonts w:ascii="宋体" w:eastAsia="宋体" w:hAnsi="宋体" w:cs="宋体" w:hint="eastAsia"/>
                <w:sz w:val="21"/>
                <w:szCs w:val="21"/>
              </w:rPr>
              <w:t>分；其他一般技术要求每负偏离1项，</w:t>
            </w:r>
            <w:r>
              <w:rPr>
                <w:rFonts w:ascii="宋体" w:eastAsia="宋体" w:hAnsi="宋体" w:cs="宋体" w:hint="eastAsia"/>
                <w:sz w:val="21"/>
                <w:szCs w:val="21"/>
                <w:shd w:val="clear" w:color="auto" w:fill="FFFFFF"/>
              </w:rPr>
              <w:t>扣</w:t>
            </w:r>
            <w:r>
              <w:rPr>
                <w:rFonts w:ascii="宋体" w:eastAsia="宋体" w:hAnsi="宋体" w:cs="宋体" w:hint="eastAsia"/>
                <w:sz w:val="21"/>
                <w:szCs w:val="21"/>
                <w:shd w:val="clear" w:color="auto" w:fill="FFFFFF"/>
                <w:lang w:eastAsia="zh-CN"/>
              </w:rPr>
              <w:t>1.1</w:t>
            </w:r>
            <w:r>
              <w:rPr>
                <w:rFonts w:ascii="宋体" w:eastAsia="宋体" w:hAnsi="宋体" w:cs="宋体" w:hint="eastAsia"/>
                <w:sz w:val="21"/>
                <w:szCs w:val="21"/>
                <w:shd w:val="clear" w:color="auto" w:fill="FFFFFF"/>
              </w:rPr>
              <w:t>分，扣完为止。</w:t>
            </w:r>
          </w:p>
          <w:p>
            <w:pPr>
              <w:pageBreakBefore w:val="0"/>
              <w:numPr>
                <w:ilvl w:val="0"/>
                <w:numId w:val="0"/>
              </w:numPr>
              <w:kinsoku/>
              <w:overflowPunct/>
              <w:topLinePunct w:val="0"/>
              <w:autoSpaceDE/>
              <w:autoSpaceDN/>
              <w:bidi w:val="0"/>
              <w:adjustRightInd/>
              <w:spacing w:line="300" w:lineRule="auto"/>
              <w:ind w:left="0" w:firstLine="0"/>
              <w:jc w:val="both"/>
              <w:rPr>
                <w:rFonts w:ascii="宋体" w:eastAsia="宋体" w:hAnsi="宋体" w:cs="宋体" w:hint="eastAsia"/>
                <w:b/>
                <w:bCs/>
                <w:sz w:val="21"/>
                <w:szCs w:val="21"/>
              </w:rPr>
            </w:pPr>
            <w:r>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二</w:t>
            </w:r>
            <w:r>
              <w:rPr>
                <w:rFonts w:ascii="宋体" w:eastAsia="宋体" w:hAnsi="宋体" w:cs="宋体" w:hint="eastAsia"/>
                <w:b/>
                <w:bCs/>
                <w:sz w:val="21"/>
                <w:szCs w:val="21"/>
                <w:lang w:eastAsia="zh-CN"/>
              </w:rPr>
              <w:t>）</w:t>
            </w:r>
            <w:r>
              <w:rPr>
                <w:rFonts w:ascii="宋体" w:eastAsia="宋体" w:hAnsi="宋体" w:cs="宋体" w:hint="eastAsia"/>
                <w:b/>
                <w:bCs/>
                <w:sz w:val="21"/>
                <w:szCs w:val="21"/>
              </w:rPr>
              <w:t>评审依据：</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rPr>
            </w:pPr>
            <w:r>
              <w:rPr>
                <w:rFonts w:ascii="宋体" w:eastAsia="宋体" w:hAnsi="宋体" w:cs="宋体" w:hint="eastAsia"/>
                <w:sz w:val="21"/>
                <w:szCs w:val="21"/>
              </w:rPr>
              <w:t>投标人应如实填写《技术规格偏离表》，如需提供满足技术参数的第三方证明材料的，投标人需提供证明材料扫描件，原件备查，未提供的或提供不符合的对应项不得分。</w:t>
            </w:r>
          </w:p>
        </w:tc>
      </w:tr>
      <w:tr>
        <w:tblPrEx>
          <w:tblW w:w="5000" w:type="pct"/>
          <w:jc w:val="center"/>
          <w:tblLayout w:type="fixed"/>
          <w:tblCellMar>
            <w:top w:w="0" w:type="dxa"/>
            <w:left w:w="108" w:type="dxa"/>
            <w:bottom w:w="0" w:type="dxa"/>
            <w:right w:w="108" w:type="dxa"/>
          </w:tblCellMar>
        </w:tblPrEx>
        <w:trPr>
          <w:trHeight w:val="20"/>
          <w:jc w:val="center"/>
        </w:trPr>
        <w:tc>
          <w:tcPr>
            <w:tcW w:w="406" w:type="dxa"/>
            <w:vMerge/>
            <w:noWrap w:val="0"/>
            <w:vAlign w:val="center"/>
          </w:tcPr>
          <w:p>
            <w:pPr>
              <w:keepNext/>
              <w:keepLines/>
              <w:pageBreakBefore w:val="0"/>
              <w:kinsoku/>
              <w:overflowPunct/>
              <w:topLinePunct w:val="0"/>
              <w:autoSpaceDE/>
              <w:autoSpaceDN/>
              <w:bidi w:val="0"/>
              <w:adjustRightInd/>
              <w:spacing w:before="260" w:after="260" w:line="300" w:lineRule="auto"/>
              <w:jc w:val="center"/>
              <w:outlineLvl w:val="2"/>
              <w:rPr>
                <w:rFonts w:ascii="宋体" w:eastAsia="宋体" w:hAnsi="宋体" w:cs="宋体" w:hint="eastAsia"/>
                <w:sz w:val="21"/>
                <w:szCs w:val="21"/>
              </w:rPr>
            </w:pPr>
          </w:p>
        </w:tc>
        <w:tc>
          <w:tcPr>
            <w:tcW w:w="73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84" w:type="dxa"/>
            <w:gridSpan w:val="2"/>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r>
              <w:rPr>
                <w:rFonts w:ascii="宋体" w:eastAsia="宋体" w:hAnsi="宋体" w:cs="宋体" w:hint="eastAsia"/>
                <w:sz w:val="21"/>
                <w:szCs w:val="21"/>
              </w:rPr>
              <w:t>技术保障措施</w:t>
            </w:r>
          </w:p>
        </w:tc>
        <w:tc>
          <w:tcPr>
            <w:tcW w:w="1317"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20</w:t>
            </w:r>
          </w:p>
        </w:tc>
        <w:tc>
          <w:tcPr>
            <w:tcW w:w="4902" w:type="dxa"/>
            <w:noWrap w:val="0"/>
            <w:vAlign w:val="center"/>
          </w:tcPr>
          <w:p>
            <w:pPr>
              <w:pageBreakBefore w:val="0"/>
              <w:kinsoku/>
              <w:overflowPunct/>
              <w:topLinePunct w:val="0"/>
              <w:autoSpaceDE/>
              <w:autoSpaceDN/>
              <w:bidi w:val="0"/>
              <w:adjustRightInd/>
              <w:spacing w:line="300" w:lineRule="auto"/>
              <w:jc w:val="both"/>
              <w:rPr>
                <w:rFonts w:ascii="宋体" w:eastAsia="宋体" w:hAnsi="宋体" w:cs="宋体" w:hint="eastAsia"/>
                <w:b/>
                <w:sz w:val="21"/>
                <w:szCs w:val="21"/>
              </w:rPr>
            </w:pPr>
            <w:r>
              <w:rPr>
                <w:rFonts w:ascii="宋体" w:eastAsia="宋体" w:hAnsi="宋体" w:cs="宋体" w:hint="eastAsia"/>
                <w:b/>
                <w:sz w:val="21"/>
                <w:szCs w:val="21"/>
                <w:lang w:eastAsia="zh-CN"/>
              </w:rPr>
              <w:t>（</w:t>
            </w:r>
            <w:r>
              <w:rPr>
                <w:rFonts w:ascii="宋体" w:eastAsia="宋体" w:hAnsi="宋体" w:cs="宋体" w:hint="eastAsia"/>
                <w:b/>
                <w:sz w:val="21"/>
                <w:szCs w:val="21"/>
                <w:lang w:eastAsia="zh-CN"/>
              </w:rPr>
              <w:t>一</w:t>
            </w:r>
            <w:r>
              <w:rPr>
                <w:rFonts w:ascii="宋体" w:eastAsia="宋体" w:hAnsi="宋体" w:cs="宋体" w:hint="eastAsia"/>
                <w:b/>
                <w:sz w:val="21"/>
                <w:szCs w:val="21"/>
                <w:lang w:eastAsia="zh-CN"/>
              </w:rPr>
              <w:t>）</w:t>
            </w:r>
            <w:r>
              <w:rPr>
                <w:rFonts w:ascii="宋体" w:eastAsia="宋体" w:hAnsi="宋体" w:cs="宋体" w:hint="eastAsia"/>
                <w:b/>
                <w:sz w:val="21"/>
                <w:szCs w:val="21"/>
              </w:rPr>
              <w:t>评分内容：</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rPr>
            </w:pPr>
            <w:r>
              <w:rPr>
                <w:rFonts w:ascii="宋体" w:eastAsia="宋体" w:hAnsi="宋体" w:cs="宋体" w:hint="eastAsia"/>
                <w:sz w:val="21"/>
                <w:szCs w:val="21"/>
              </w:rPr>
              <w:t>投标人提供的</w:t>
            </w:r>
            <w:r>
              <w:rPr>
                <w:rFonts w:ascii="宋体" w:eastAsia="宋体" w:hAnsi="宋体" w:cs="宋体" w:hint="eastAsia"/>
                <w:sz w:val="21"/>
                <w:szCs w:val="21"/>
              </w:rPr>
              <w:t>项目实施方案</w:t>
            </w:r>
            <w:r>
              <w:rPr>
                <w:rFonts w:ascii="宋体" w:eastAsia="宋体" w:hAnsi="宋体" w:cs="宋体" w:hint="eastAsia"/>
                <w:sz w:val="21"/>
                <w:szCs w:val="21"/>
              </w:rPr>
              <w:t>包括以下内容：</w:t>
            </w:r>
          </w:p>
          <w:p>
            <w:pPr>
              <w:pageBreakBefore w:val="0"/>
              <w:numPr>
                <w:ilvl w:val="0"/>
                <w:numId w:val="0"/>
              </w:numPr>
              <w:kinsoku/>
              <w:overflowPunct/>
              <w:topLinePunct w:val="0"/>
              <w:autoSpaceDE/>
              <w:autoSpaceDN/>
              <w:bidi w:val="0"/>
              <w:adjustRightInd/>
              <w:spacing w:line="300" w:lineRule="auto"/>
              <w:ind w:left="0" w:firstLine="0"/>
              <w:jc w:val="both"/>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项目进度计划；</w:t>
            </w:r>
          </w:p>
          <w:p>
            <w:pPr>
              <w:pageBreakBefore w:val="0"/>
              <w:numPr>
                <w:ilvl w:val="0"/>
                <w:numId w:val="0"/>
              </w:numPr>
              <w:kinsoku/>
              <w:overflowPunct/>
              <w:topLinePunct w:val="0"/>
              <w:autoSpaceDE/>
              <w:autoSpaceDN/>
              <w:bidi w:val="0"/>
              <w:adjustRightInd/>
              <w:spacing w:line="300" w:lineRule="auto"/>
              <w:ind w:left="0" w:firstLine="0"/>
              <w:jc w:val="both"/>
              <w:rPr>
                <w:rFonts w:ascii="宋体" w:eastAsia="宋体" w:hAnsi="宋体" w:cs="宋体" w:hint="eastAsia"/>
                <w:sz w:val="21"/>
                <w:szCs w:val="21"/>
              </w:rPr>
            </w:pPr>
            <w:r>
              <w:rPr>
                <w:rFonts w:ascii="宋体" w:eastAsia="宋体" w:hAnsi="宋体" w:cs="宋体" w:hint="eastAsia"/>
                <w:sz w:val="21"/>
                <w:szCs w:val="21"/>
                <w:lang w:eastAsia="zh-CN"/>
              </w:rPr>
              <w:t>2.</w:t>
            </w:r>
            <w:r>
              <w:rPr>
                <w:rFonts w:ascii="宋体" w:eastAsia="宋体" w:hAnsi="宋体" w:cs="宋体" w:hint="eastAsia"/>
                <w:sz w:val="21"/>
                <w:szCs w:val="21"/>
              </w:rPr>
              <w:t>施工组织计划；</w:t>
            </w:r>
          </w:p>
          <w:p>
            <w:pPr>
              <w:pageBreakBefore w:val="0"/>
              <w:numPr>
                <w:ilvl w:val="0"/>
                <w:numId w:val="0"/>
              </w:numPr>
              <w:kinsoku/>
              <w:overflowPunct/>
              <w:topLinePunct w:val="0"/>
              <w:autoSpaceDE/>
              <w:autoSpaceDN/>
              <w:bidi w:val="0"/>
              <w:adjustRightInd/>
              <w:spacing w:line="300" w:lineRule="auto"/>
              <w:ind w:left="0" w:firstLine="0"/>
              <w:jc w:val="both"/>
              <w:rPr>
                <w:rFonts w:ascii="宋体" w:eastAsia="宋体" w:hAnsi="宋体" w:cs="宋体" w:hint="eastAsia"/>
                <w:sz w:val="21"/>
                <w:szCs w:val="21"/>
              </w:rPr>
            </w:pPr>
            <w:r>
              <w:rPr>
                <w:rFonts w:ascii="宋体" w:eastAsia="宋体" w:hAnsi="宋体" w:cs="宋体" w:hint="eastAsia"/>
                <w:sz w:val="21"/>
                <w:szCs w:val="21"/>
                <w:lang w:eastAsia="zh-CN"/>
              </w:rPr>
              <w:t>3.安全保障措施；</w:t>
            </w:r>
          </w:p>
          <w:p>
            <w:pPr>
              <w:pageBreakBefore w:val="0"/>
              <w:numPr>
                <w:ilvl w:val="0"/>
                <w:numId w:val="0"/>
              </w:numPr>
              <w:kinsoku/>
              <w:overflowPunct/>
              <w:topLinePunct w:val="0"/>
              <w:autoSpaceDE/>
              <w:autoSpaceDN/>
              <w:bidi w:val="0"/>
              <w:adjustRightInd/>
              <w:spacing w:line="300" w:lineRule="auto"/>
              <w:ind w:left="0" w:firstLine="0"/>
              <w:jc w:val="both"/>
              <w:rPr>
                <w:rFonts w:ascii="宋体" w:eastAsia="宋体" w:hAnsi="宋体" w:cs="宋体" w:hint="eastAsia"/>
                <w:b/>
                <w:bCs/>
                <w:sz w:val="21"/>
                <w:szCs w:val="21"/>
              </w:rPr>
            </w:pPr>
            <w:r>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二</w:t>
            </w:r>
            <w:r>
              <w:rPr>
                <w:rFonts w:ascii="宋体" w:eastAsia="宋体" w:hAnsi="宋体" w:cs="宋体" w:hint="eastAsia"/>
                <w:b/>
                <w:bCs/>
                <w:sz w:val="21"/>
                <w:szCs w:val="21"/>
                <w:lang w:eastAsia="zh-CN"/>
              </w:rPr>
              <w:t>）</w:t>
            </w:r>
            <w:r>
              <w:rPr>
                <w:rFonts w:ascii="宋体" w:eastAsia="宋体" w:hAnsi="宋体" w:cs="宋体" w:hint="eastAsia"/>
                <w:b/>
                <w:bCs/>
                <w:sz w:val="21"/>
                <w:szCs w:val="21"/>
              </w:rPr>
              <w:t>评审依据：</w:t>
            </w:r>
          </w:p>
          <w:p>
            <w:pPr>
              <w:pageBreakBefore w:val="0"/>
              <w:widowControl/>
              <w:kinsoku/>
              <w:wordWrap w:val="0"/>
              <w:overflowPunct/>
              <w:topLinePunct w:val="0"/>
              <w:autoSpaceDE/>
              <w:autoSpaceDN/>
              <w:bidi w:val="0"/>
              <w:adjustRightInd/>
              <w:spacing w:line="300" w:lineRule="auto"/>
              <w:ind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1、满足上述三点得30分；满足任意两点得20分，满足任意一点得10分，未满足不得分；</w:t>
            </w:r>
          </w:p>
          <w:p>
            <w:pPr>
              <w:pageBreakBefore w:val="0"/>
              <w:widowControl/>
              <w:kinsoku/>
              <w:wordWrap w:val="0"/>
              <w:overflowPunct/>
              <w:topLinePunct w:val="0"/>
              <w:autoSpaceDE/>
              <w:autoSpaceDN/>
              <w:bidi w:val="0"/>
              <w:adjustRightInd/>
              <w:spacing w:line="300" w:lineRule="auto"/>
              <w:ind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2、在此基础上，专家根据各供应商的具体响应内容进一步评审：</w:t>
            </w:r>
          </w:p>
          <w:p>
            <w:pPr>
              <w:pageBreakBefore w:val="0"/>
              <w:widowControl/>
              <w:kinsoku/>
              <w:wordWrap w:val="0"/>
              <w:overflowPunct/>
              <w:topLinePunct w:val="0"/>
              <w:autoSpaceDE/>
              <w:autoSpaceDN/>
              <w:bidi w:val="0"/>
              <w:adjustRightInd/>
              <w:spacing w:line="300" w:lineRule="auto"/>
              <w:ind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1）技术保障措施契合项目需求、内容具体详细、可操作性强评价为优，得70分。</w:t>
            </w:r>
          </w:p>
          <w:p>
            <w:pPr>
              <w:pageBreakBefore w:val="0"/>
              <w:widowControl/>
              <w:kinsoku/>
              <w:wordWrap w:val="0"/>
              <w:overflowPunct/>
              <w:topLinePunct w:val="0"/>
              <w:autoSpaceDE/>
              <w:autoSpaceDN/>
              <w:bidi w:val="0"/>
              <w:adjustRightInd/>
              <w:spacing w:line="300" w:lineRule="auto"/>
              <w:ind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2）技术保障措施较契合项目需求、内容较具体详细、可操作性较强评价为良，得40分。</w:t>
            </w:r>
          </w:p>
          <w:p>
            <w:pPr>
              <w:pageBreakBefore w:val="0"/>
              <w:widowControl/>
              <w:kinsoku/>
              <w:wordWrap w:val="0"/>
              <w:overflowPunct/>
              <w:topLinePunct w:val="0"/>
              <w:autoSpaceDE/>
              <w:autoSpaceDN/>
              <w:bidi w:val="0"/>
              <w:adjustRightInd/>
              <w:spacing w:line="300" w:lineRule="auto"/>
              <w:ind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3）技术保障措施基本满足项目需求、内容不全面、可操作性一般评价为中，得10分。</w:t>
            </w:r>
          </w:p>
          <w:p>
            <w:pPr>
              <w:pageBreakBefore w:val="0"/>
              <w:widowControl/>
              <w:kinsoku/>
              <w:wordWrap w:val="0"/>
              <w:overflowPunct/>
              <w:topLinePunct w:val="0"/>
              <w:autoSpaceDE/>
              <w:autoSpaceDN/>
              <w:bidi w:val="0"/>
              <w:adjustRightInd/>
              <w:spacing w:line="300" w:lineRule="auto"/>
              <w:ind w:firstLine="0" w:firstLineChars="0"/>
              <w:jc w:val="both"/>
              <w:rPr>
                <w:rFonts w:ascii="宋体" w:eastAsia="宋体" w:hAnsi="宋体" w:cs="宋体" w:hint="eastAsia"/>
                <w:sz w:val="21"/>
                <w:szCs w:val="21"/>
                <w:lang w:val="zh-CN"/>
              </w:rPr>
            </w:pPr>
            <w:r>
              <w:rPr>
                <w:rFonts w:ascii="宋体" w:eastAsia="宋体" w:hAnsi="宋体" w:cs="宋体" w:hint="eastAsia"/>
                <w:sz w:val="21"/>
                <w:szCs w:val="21"/>
                <w:lang w:eastAsia="zh-CN"/>
              </w:rPr>
              <w:t>4）技术保障措施偏离项目需求、无相应售后服务保障举措、内容不全面、没有可操作性得评价为差，不得分。</w:t>
            </w:r>
          </w:p>
        </w:tc>
      </w:tr>
      <w:tr>
        <w:tblPrEx>
          <w:tblW w:w="5000" w:type="pct"/>
          <w:jc w:val="center"/>
          <w:tblLayout w:type="fixed"/>
          <w:tblCellMar>
            <w:top w:w="0" w:type="dxa"/>
            <w:left w:w="108" w:type="dxa"/>
            <w:bottom w:w="0" w:type="dxa"/>
            <w:right w:w="108" w:type="dxa"/>
          </w:tblCellMar>
        </w:tblPrEx>
        <w:trPr>
          <w:trHeight w:val="1377"/>
          <w:jc w:val="center"/>
        </w:trPr>
        <w:tc>
          <w:tcPr>
            <w:tcW w:w="406" w:type="dxa"/>
            <w:vMerge/>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p>
        </w:tc>
        <w:tc>
          <w:tcPr>
            <w:tcW w:w="73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1384" w:type="dxa"/>
            <w:gridSpan w:val="2"/>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售后服务方案</w:t>
            </w:r>
          </w:p>
        </w:tc>
        <w:tc>
          <w:tcPr>
            <w:tcW w:w="1317"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12</w:t>
            </w:r>
          </w:p>
        </w:tc>
        <w:tc>
          <w:tcPr>
            <w:tcW w:w="4902" w:type="dxa"/>
            <w:noWrap w:val="0"/>
            <w:vAlign w:val="center"/>
          </w:tcPr>
          <w:p>
            <w:pPr>
              <w:pageBreakBefore w:val="0"/>
              <w:kinsoku/>
              <w:overflowPunct/>
              <w:topLinePunct w:val="0"/>
              <w:autoSpaceDE/>
              <w:autoSpaceDN/>
              <w:bidi w:val="0"/>
              <w:adjustRightInd/>
              <w:spacing w:line="300" w:lineRule="auto"/>
              <w:jc w:val="both"/>
              <w:rPr>
                <w:rFonts w:ascii="宋体" w:eastAsia="宋体" w:hAnsi="宋体" w:cs="宋体" w:hint="eastAsia"/>
                <w:b/>
                <w:bCs/>
                <w:sz w:val="21"/>
                <w:szCs w:val="21"/>
              </w:rPr>
            </w:pPr>
            <w:r>
              <w:rPr>
                <w:rFonts w:ascii="宋体" w:eastAsia="宋体" w:hAnsi="宋体" w:cs="宋体" w:hint="eastAsia"/>
                <w:b/>
                <w:bCs/>
                <w:sz w:val="21"/>
                <w:szCs w:val="21"/>
              </w:rPr>
              <w:t>（一）评分内容：</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rPr>
            </w:pPr>
            <w:r>
              <w:rPr>
                <w:rFonts w:ascii="宋体" w:eastAsia="宋体" w:hAnsi="宋体" w:cs="宋体" w:hint="eastAsia"/>
                <w:sz w:val="21"/>
                <w:szCs w:val="21"/>
              </w:rPr>
              <w:t>投标人提供的售后服务方案须包含以下内容：</w:t>
            </w:r>
          </w:p>
          <w:p>
            <w:pPr>
              <w:pageBreakBefore w:val="0"/>
              <w:widowControl/>
              <w:kinsoku/>
              <w:wordWrap w:val="0"/>
              <w:overflowPunct/>
              <w:topLinePunct w:val="0"/>
              <w:autoSpaceDE/>
              <w:autoSpaceDN/>
              <w:bidi w:val="0"/>
              <w:adjustRightInd/>
              <w:spacing w:line="300" w:lineRule="auto"/>
              <w:ind w:firstLine="0" w:firstLineChars="0"/>
              <w:jc w:val="both"/>
              <w:rPr>
                <w:rFonts w:ascii="宋体" w:eastAsia="宋体" w:hAnsi="宋体" w:cs="宋体" w:hint="eastAsia"/>
                <w:sz w:val="21"/>
                <w:szCs w:val="21"/>
                <w:lang w:val="zh-CN"/>
              </w:rPr>
            </w:pPr>
            <w:r>
              <w:rPr>
                <w:rFonts w:ascii="宋体" w:eastAsia="宋体" w:hAnsi="宋体" w:cs="宋体" w:hint="eastAsia"/>
                <w:sz w:val="21"/>
                <w:szCs w:val="21"/>
                <w:lang w:val="zh-CN"/>
              </w:rPr>
              <w:t>1.故障或技术支持响应时间。</w:t>
            </w:r>
          </w:p>
          <w:p>
            <w:pPr>
              <w:pageBreakBefore w:val="0"/>
              <w:widowControl/>
              <w:kinsoku/>
              <w:wordWrap w:val="0"/>
              <w:overflowPunct/>
              <w:topLinePunct w:val="0"/>
              <w:autoSpaceDE/>
              <w:autoSpaceDN/>
              <w:bidi w:val="0"/>
              <w:adjustRightInd/>
              <w:spacing w:line="300" w:lineRule="auto"/>
              <w:ind w:firstLine="0" w:firstLineChars="0"/>
              <w:jc w:val="both"/>
              <w:rPr>
                <w:rFonts w:ascii="宋体" w:eastAsia="宋体" w:hAnsi="宋体" w:cs="宋体" w:hint="eastAsia"/>
                <w:sz w:val="21"/>
                <w:szCs w:val="21"/>
                <w:lang w:val="zh-CN"/>
              </w:rPr>
            </w:pPr>
            <w:r>
              <w:rPr>
                <w:rFonts w:ascii="宋体" w:eastAsia="宋体" w:hAnsi="宋体" w:cs="宋体" w:hint="eastAsia"/>
                <w:sz w:val="21"/>
                <w:szCs w:val="21"/>
                <w:lang w:val="zh-CN"/>
              </w:rPr>
              <w:t>2.维修维护方案。</w:t>
            </w:r>
          </w:p>
          <w:p>
            <w:pPr>
              <w:pageBreakBefore w:val="0"/>
              <w:widowControl/>
              <w:kinsoku/>
              <w:wordWrap w:val="0"/>
              <w:overflowPunct/>
              <w:topLinePunct w:val="0"/>
              <w:autoSpaceDE/>
              <w:autoSpaceDN/>
              <w:bidi w:val="0"/>
              <w:adjustRightInd/>
              <w:spacing w:line="300" w:lineRule="auto"/>
              <w:jc w:val="both"/>
              <w:rPr>
                <w:rFonts w:ascii="宋体" w:eastAsia="宋体" w:hAnsi="宋体" w:cs="宋体" w:hint="eastAsia"/>
                <w:sz w:val="21"/>
                <w:szCs w:val="21"/>
              </w:rPr>
            </w:pPr>
            <w:r>
              <w:rPr>
                <w:rFonts w:ascii="宋体" w:eastAsia="宋体" w:hAnsi="宋体" w:cs="宋体" w:hint="eastAsia"/>
                <w:sz w:val="21"/>
                <w:szCs w:val="21"/>
              </w:rPr>
              <w:t>3.质量保证措施及培训。</w:t>
            </w:r>
          </w:p>
          <w:p>
            <w:pPr>
              <w:pageBreakBefore w:val="0"/>
              <w:kinsoku/>
              <w:overflowPunct/>
              <w:topLinePunct w:val="0"/>
              <w:autoSpaceDE/>
              <w:autoSpaceDN/>
              <w:bidi w:val="0"/>
              <w:adjustRightInd/>
              <w:spacing w:line="300" w:lineRule="auto"/>
              <w:ind w:right="-84" w:rightChars="-35"/>
              <w:jc w:val="both"/>
              <w:rPr>
                <w:rFonts w:ascii="宋体" w:eastAsia="宋体" w:hAnsi="宋体" w:cs="宋体" w:hint="eastAsia"/>
                <w:b/>
                <w:bCs/>
                <w:sz w:val="21"/>
                <w:szCs w:val="21"/>
              </w:rPr>
            </w:pPr>
            <w:r>
              <w:rPr>
                <w:rFonts w:ascii="宋体" w:eastAsia="宋体" w:hAnsi="宋体" w:cs="宋体" w:hint="eastAsia"/>
                <w:b/>
                <w:bCs/>
                <w:sz w:val="21"/>
                <w:szCs w:val="21"/>
              </w:rPr>
              <w:t>（二）评分标准：</w:t>
            </w:r>
          </w:p>
          <w:p>
            <w:pPr>
              <w:pageBreakBefore w:val="0"/>
              <w:widowControl/>
              <w:kinsoku/>
              <w:wordWrap w:val="0"/>
              <w:overflowPunct/>
              <w:topLinePunct w:val="0"/>
              <w:autoSpaceDE/>
              <w:autoSpaceDN/>
              <w:bidi w:val="0"/>
              <w:adjustRightInd/>
              <w:spacing w:line="300" w:lineRule="auto"/>
              <w:ind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1、满足上述三点得30分；满足任意两点得20分，满足任意一点得10分，未满足不得分；</w:t>
            </w:r>
          </w:p>
          <w:p>
            <w:pPr>
              <w:pageBreakBefore w:val="0"/>
              <w:widowControl/>
              <w:kinsoku/>
              <w:wordWrap w:val="0"/>
              <w:overflowPunct/>
              <w:topLinePunct w:val="0"/>
              <w:autoSpaceDE/>
              <w:autoSpaceDN/>
              <w:bidi w:val="0"/>
              <w:adjustRightInd/>
              <w:spacing w:line="300" w:lineRule="auto"/>
              <w:ind w:firstLine="0" w:firstLine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2、在此基础上，专家根据各供应商的具体响应内容进一步评审：</w:t>
            </w:r>
          </w:p>
          <w:p>
            <w:pPr>
              <w:pageBreakBefore w:val="0"/>
              <w:numPr>
                <w:ilvl w:val="0"/>
                <w:numId w:val="0"/>
              </w:numPr>
              <w:kinsoku/>
              <w:overflowPunct/>
              <w:topLinePunct w:val="0"/>
              <w:autoSpaceDE/>
              <w:autoSpaceDN/>
              <w:bidi w:val="0"/>
              <w:adjustRightInd/>
              <w:spacing w:line="300" w:lineRule="auto"/>
              <w:ind w:left="0" w:firstLine="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1）售后服务方案契合项目需求、内容具体详细、可操作性强评价为优，得70分。</w:t>
            </w:r>
          </w:p>
          <w:p>
            <w:pPr>
              <w:pageBreakBefore w:val="0"/>
              <w:numPr>
                <w:ilvl w:val="0"/>
                <w:numId w:val="0"/>
              </w:numPr>
              <w:kinsoku/>
              <w:overflowPunct/>
              <w:topLinePunct w:val="0"/>
              <w:autoSpaceDE/>
              <w:autoSpaceDN/>
              <w:bidi w:val="0"/>
              <w:adjustRightInd/>
              <w:spacing w:line="300" w:lineRule="auto"/>
              <w:ind w:left="0" w:firstLine="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2）售后服务方案较契合项目需求、内容较具体详细、可操作性较强评价为良，得40分。</w:t>
            </w:r>
          </w:p>
          <w:p>
            <w:pPr>
              <w:pageBreakBefore w:val="0"/>
              <w:numPr>
                <w:ilvl w:val="0"/>
                <w:numId w:val="0"/>
              </w:numPr>
              <w:kinsoku/>
              <w:overflowPunct/>
              <w:topLinePunct w:val="0"/>
              <w:autoSpaceDE/>
              <w:autoSpaceDN/>
              <w:bidi w:val="0"/>
              <w:adjustRightInd/>
              <w:spacing w:line="300" w:lineRule="auto"/>
              <w:ind w:left="0" w:firstLine="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3）售后服务方案基本满足项目需求、内容不全面、可操作性一般评价为中，得10分。</w:t>
            </w:r>
          </w:p>
          <w:p>
            <w:pPr>
              <w:pageBreakBefore w:val="0"/>
              <w:kinsoku/>
              <w:overflowPunct/>
              <w:topLinePunct w:val="0"/>
              <w:autoSpaceDE/>
              <w:autoSpaceDN/>
              <w:bidi w:val="0"/>
              <w:adjustRightInd/>
              <w:spacing w:line="300" w:lineRule="auto"/>
              <w:jc w:val="both"/>
              <w:rPr>
                <w:rFonts w:ascii="宋体" w:eastAsia="宋体" w:hAnsi="宋体" w:cs="宋体" w:hint="eastAsia"/>
                <w:spacing w:val="-1"/>
                <w:sz w:val="21"/>
                <w:szCs w:val="21"/>
                <w:lang w:eastAsia="zh-CN"/>
              </w:rPr>
            </w:pPr>
            <w:r>
              <w:rPr>
                <w:rFonts w:ascii="宋体" w:eastAsia="宋体" w:hAnsi="宋体" w:cs="宋体" w:hint="eastAsia"/>
                <w:sz w:val="21"/>
                <w:szCs w:val="21"/>
                <w:lang w:eastAsia="zh-CN"/>
              </w:rPr>
              <w:t>4）售后服务方案偏离项目需求、无相应售后服务保障举措、内容不全面、没有可操作性得评价为差，不得分。</w:t>
            </w:r>
          </w:p>
        </w:tc>
      </w:tr>
      <w:tr>
        <w:tblPrEx>
          <w:tblW w:w="5000" w:type="pct"/>
          <w:jc w:val="center"/>
          <w:tblLayout w:type="fixed"/>
          <w:tblCellMar>
            <w:top w:w="0" w:type="dxa"/>
            <w:left w:w="108" w:type="dxa"/>
            <w:bottom w:w="0" w:type="dxa"/>
            <w:right w:w="108" w:type="dxa"/>
          </w:tblCellMar>
        </w:tblPrEx>
        <w:trPr>
          <w:trHeight w:val="20"/>
          <w:jc w:val="center"/>
        </w:trPr>
        <w:tc>
          <w:tcPr>
            <w:tcW w:w="40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w:t>
            </w:r>
          </w:p>
        </w:tc>
        <w:tc>
          <w:tcPr>
            <w:tcW w:w="3437" w:type="dxa"/>
            <w:gridSpan w:val="4"/>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商务部分</w:t>
            </w:r>
          </w:p>
        </w:tc>
        <w:tc>
          <w:tcPr>
            <w:tcW w:w="4902"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color w:val="0000FF"/>
                <w:sz w:val="21"/>
                <w:szCs w:val="21"/>
                <w:lang w:eastAsia="zh-CN"/>
              </w:rPr>
            </w:pPr>
            <w:r>
              <w:rPr>
                <w:rFonts w:ascii="宋体" w:eastAsia="宋体" w:hAnsi="宋体" w:cs="宋体" w:hint="eastAsia"/>
                <w:b/>
                <w:bCs/>
                <w:color w:val="0000FF"/>
                <w:sz w:val="21"/>
                <w:szCs w:val="21"/>
                <w:lang w:eastAsia="zh-CN"/>
              </w:rPr>
              <w:t>15</w:t>
            </w:r>
          </w:p>
        </w:tc>
      </w:tr>
      <w:tr>
        <w:tblPrEx>
          <w:tblW w:w="5000" w:type="pct"/>
          <w:jc w:val="center"/>
          <w:tblLayout w:type="fixed"/>
          <w:tblCellMar>
            <w:top w:w="0" w:type="dxa"/>
            <w:left w:w="108" w:type="dxa"/>
            <w:bottom w:w="0" w:type="dxa"/>
            <w:right w:w="108" w:type="dxa"/>
          </w:tblCellMar>
        </w:tblPrEx>
        <w:trPr>
          <w:trHeight w:val="367"/>
          <w:jc w:val="center"/>
        </w:trPr>
        <w:tc>
          <w:tcPr>
            <w:tcW w:w="406" w:type="dxa"/>
            <w:vMerge w:val="restart"/>
            <w:noWrap w:val="0"/>
            <w:vAlign w:val="center"/>
          </w:tcPr>
          <w:p>
            <w:pPr>
              <w:keepNext/>
              <w:keepLines/>
              <w:pageBreakBefore w:val="0"/>
              <w:kinsoku/>
              <w:overflowPunct/>
              <w:topLinePunct w:val="0"/>
              <w:autoSpaceDE/>
              <w:autoSpaceDN/>
              <w:bidi w:val="0"/>
              <w:adjustRightInd/>
              <w:spacing w:before="340" w:after="330" w:line="300" w:lineRule="auto"/>
              <w:jc w:val="center"/>
              <w:outlineLvl w:val="0"/>
              <w:rPr>
                <w:rFonts w:ascii="宋体" w:eastAsia="宋体" w:hAnsi="宋体" w:cs="宋体" w:hint="eastAsia"/>
                <w:sz w:val="21"/>
                <w:szCs w:val="21"/>
              </w:rPr>
            </w:pPr>
          </w:p>
        </w:tc>
        <w:tc>
          <w:tcPr>
            <w:tcW w:w="73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178"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523" w:type="dxa"/>
            <w:gridSpan w:val="2"/>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902"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20"/>
          <w:jc w:val="center"/>
        </w:trPr>
        <w:tc>
          <w:tcPr>
            <w:tcW w:w="406" w:type="dxa"/>
            <w:vMerge/>
            <w:noWrap w:val="0"/>
            <w:vAlign w:val="center"/>
          </w:tcPr>
          <w:p>
            <w:pPr>
              <w:keepNext/>
              <w:keepLines/>
              <w:pageBreakBefore w:val="0"/>
              <w:kinsoku/>
              <w:overflowPunct/>
              <w:topLinePunct w:val="0"/>
              <w:autoSpaceDE/>
              <w:autoSpaceDN/>
              <w:bidi w:val="0"/>
              <w:adjustRightInd/>
              <w:spacing w:before="340" w:after="330" w:line="300" w:lineRule="auto"/>
              <w:jc w:val="center"/>
              <w:outlineLvl w:val="0"/>
              <w:rPr>
                <w:rFonts w:ascii="宋体" w:eastAsia="宋体" w:hAnsi="宋体" w:cs="宋体" w:hint="eastAsia"/>
                <w:sz w:val="21"/>
                <w:szCs w:val="21"/>
              </w:rPr>
            </w:pPr>
          </w:p>
        </w:tc>
        <w:tc>
          <w:tcPr>
            <w:tcW w:w="73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1</w:t>
            </w:r>
          </w:p>
        </w:tc>
        <w:tc>
          <w:tcPr>
            <w:tcW w:w="1178"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商务条款偏离情况</w:t>
            </w:r>
          </w:p>
        </w:tc>
        <w:tc>
          <w:tcPr>
            <w:tcW w:w="1523" w:type="dxa"/>
            <w:gridSpan w:val="2"/>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3</w:t>
            </w:r>
          </w:p>
        </w:tc>
        <w:tc>
          <w:tcPr>
            <w:tcW w:w="4902" w:type="dxa"/>
            <w:noWrap w:val="0"/>
            <w:vAlign w:val="center"/>
          </w:tcPr>
          <w:p>
            <w:pPr>
              <w:pageBreakBefore w:val="0"/>
              <w:kinsoku/>
              <w:overflowPunct/>
              <w:topLinePunct w:val="0"/>
              <w:autoSpaceDE/>
              <w:autoSpaceDN/>
              <w:bidi w:val="0"/>
              <w:adjustRightInd/>
              <w:spacing w:line="300" w:lineRule="auto"/>
              <w:jc w:val="both"/>
              <w:rPr>
                <w:rFonts w:ascii="宋体" w:eastAsia="宋体" w:hAnsi="宋体" w:cs="宋体" w:hint="eastAsia"/>
                <w:b/>
                <w:sz w:val="21"/>
                <w:szCs w:val="21"/>
              </w:rPr>
            </w:pPr>
            <w:r>
              <w:rPr>
                <w:rFonts w:ascii="宋体" w:eastAsia="宋体" w:hAnsi="宋体" w:cs="宋体" w:hint="eastAsia"/>
                <w:b/>
                <w:sz w:val="21"/>
                <w:szCs w:val="21"/>
                <w:lang w:eastAsia="zh-CN"/>
              </w:rPr>
              <w:t>（</w:t>
            </w:r>
            <w:r>
              <w:rPr>
                <w:rFonts w:ascii="宋体" w:eastAsia="宋体" w:hAnsi="宋体" w:cs="宋体" w:hint="eastAsia"/>
                <w:b/>
                <w:sz w:val="21"/>
                <w:szCs w:val="21"/>
                <w:lang w:eastAsia="zh-CN"/>
              </w:rPr>
              <w:t>一</w:t>
            </w:r>
            <w:r>
              <w:rPr>
                <w:rFonts w:ascii="宋体" w:eastAsia="宋体" w:hAnsi="宋体" w:cs="宋体" w:hint="eastAsia"/>
                <w:b/>
                <w:sz w:val="21"/>
                <w:szCs w:val="21"/>
                <w:lang w:eastAsia="zh-CN"/>
              </w:rPr>
              <w:t>）</w:t>
            </w:r>
            <w:r>
              <w:rPr>
                <w:rFonts w:ascii="宋体" w:eastAsia="宋体" w:hAnsi="宋体" w:cs="宋体" w:hint="eastAsia"/>
                <w:b/>
                <w:sz w:val="21"/>
                <w:szCs w:val="21"/>
              </w:rPr>
              <w:t>评分内容：</w:t>
            </w:r>
          </w:p>
          <w:p>
            <w:pPr>
              <w:pageBreakBefore w:val="0"/>
              <w:widowControl/>
              <w:kinsoku/>
              <w:wordWrap w:val="0"/>
              <w:overflowPunct/>
              <w:topLinePunct w:val="0"/>
              <w:autoSpaceDE/>
              <w:autoSpaceDN/>
              <w:bidi w:val="0"/>
              <w:adjustRightInd/>
              <w:spacing w:line="300" w:lineRule="auto"/>
              <w:jc w:val="both"/>
              <w:textAlignment w:val="top"/>
              <w:rPr>
                <w:rFonts w:ascii="宋体" w:eastAsia="宋体" w:hAnsi="宋体" w:cs="宋体" w:hint="eastAsia"/>
                <w:bCs/>
                <w:sz w:val="21"/>
                <w:szCs w:val="21"/>
              </w:rPr>
            </w:pPr>
            <w:r>
              <w:rPr>
                <w:rFonts w:ascii="宋体" w:eastAsia="宋体" w:hAnsi="宋体" w:cs="宋体" w:hint="eastAsia"/>
                <w:bCs/>
                <w:sz w:val="21"/>
                <w:szCs w:val="21"/>
              </w:rPr>
              <w:t>投标人应如实填写《商务要求偏离表》中商务要求部分，评标委员会根据响应情况进行打分。</w:t>
            </w:r>
          </w:p>
          <w:p>
            <w:pPr>
              <w:pageBreakBefore w:val="0"/>
              <w:numPr>
                <w:ilvl w:val="0"/>
                <w:numId w:val="0"/>
              </w:numPr>
              <w:kinsoku/>
              <w:overflowPunct/>
              <w:topLinePunct w:val="0"/>
              <w:autoSpaceDE/>
              <w:autoSpaceDN/>
              <w:bidi w:val="0"/>
              <w:adjustRightInd/>
              <w:spacing w:line="300" w:lineRule="auto"/>
              <w:ind w:left="0" w:firstLine="0"/>
              <w:jc w:val="both"/>
              <w:rPr>
                <w:rFonts w:ascii="宋体" w:eastAsia="宋体" w:hAnsi="宋体" w:cs="宋体" w:hint="eastAsia"/>
                <w:b/>
                <w:bCs/>
                <w:sz w:val="21"/>
                <w:szCs w:val="21"/>
              </w:rPr>
            </w:pPr>
            <w:r>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二</w:t>
            </w:r>
            <w:r>
              <w:rPr>
                <w:rFonts w:ascii="宋体" w:eastAsia="宋体" w:hAnsi="宋体" w:cs="宋体" w:hint="eastAsia"/>
                <w:b/>
                <w:bCs/>
                <w:sz w:val="21"/>
                <w:szCs w:val="21"/>
                <w:lang w:eastAsia="zh-CN"/>
              </w:rPr>
              <w:t>）</w:t>
            </w:r>
            <w:r>
              <w:rPr>
                <w:rFonts w:ascii="宋体" w:eastAsia="宋体" w:hAnsi="宋体" w:cs="宋体" w:hint="eastAsia"/>
                <w:b/>
                <w:bCs/>
                <w:sz w:val="21"/>
                <w:szCs w:val="21"/>
              </w:rPr>
              <w:t>评审依据：</w:t>
            </w:r>
          </w:p>
          <w:p>
            <w:pPr>
              <w:pageBreakBefore w:val="0"/>
              <w:kinsoku/>
              <w:overflowPunct/>
              <w:topLinePunct w:val="0"/>
              <w:autoSpaceDE/>
              <w:autoSpaceDN/>
              <w:bidi w:val="0"/>
              <w:adjustRightInd/>
              <w:spacing w:line="300" w:lineRule="auto"/>
              <w:jc w:val="both"/>
              <w:rPr>
                <w:rFonts w:ascii="宋体" w:eastAsia="宋体" w:hAnsi="宋体" w:cs="宋体" w:hint="eastAsia"/>
                <w:kern w:val="2"/>
                <w:sz w:val="21"/>
                <w:szCs w:val="21"/>
                <w:lang w:eastAsia="zh-CN"/>
              </w:rPr>
            </w:pPr>
            <w:r>
              <w:rPr>
                <w:rFonts w:ascii="宋体" w:eastAsia="宋体" w:hAnsi="宋体" w:cs="宋体" w:hint="eastAsia"/>
                <w:bCs/>
                <w:sz w:val="21"/>
                <w:szCs w:val="21"/>
              </w:rPr>
              <w:t>各项商务条款及要求全部满足的得</w:t>
            </w:r>
            <w:r>
              <w:rPr>
                <w:rFonts w:ascii="宋体" w:eastAsia="宋体" w:hAnsi="宋体" w:cs="宋体" w:hint="eastAsia"/>
                <w:bCs/>
                <w:sz w:val="21"/>
                <w:szCs w:val="21"/>
                <w:lang w:eastAsia="zh-CN"/>
              </w:rPr>
              <w:t>100</w:t>
            </w:r>
            <w:r>
              <w:rPr>
                <w:rFonts w:ascii="宋体" w:eastAsia="宋体" w:hAnsi="宋体" w:cs="宋体" w:hint="eastAsia"/>
                <w:bCs/>
                <w:sz w:val="21"/>
                <w:szCs w:val="21"/>
              </w:rPr>
              <w:t>分，每负偏离一项扣</w:t>
            </w:r>
            <w:r>
              <w:rPr>
                <w:rFonts w:ascii="宋体" w:eastAsia="宋体" w:hAnsi="宋体" w:cs="宋体" w:hint="eastAsia"/>
                <w:bCs/>
                <w:sz w:val="21"/>
                <w:szCs w:val="21"/>
                <w:lang w:eastAsia="zh-CN"/>
              </w:rPr>
              <w:t>7</w:t>
            </w:r>
            <w:r>
              <w:rPr>
                <w:rFonts w:ascii="宋体" w:eastAsia="宋体" w:hAnsi="宋体" w:cs="宋体" w:hint="eastAsia"/>
                <w:bCs/>
                <w:sz w:val="21"/>
                <w:szCs w:val="21"/>
              </w:rPr>
              <w:t>分，扣完为止。</w:t>
            </w:r>
          </w:p>
        </w:tc>
      </w:tr>
      <w:tr>
        <w:tblPrEx>
          <w:tblW w:w="5000" w:type="pct"/>
          <w:jc w:val="center"/>
          <w:tblLayout w:type="fixed"/>
          <w:tblCellMar>
            <w:top w:w="0" w:type="dxa"/>
            <w:left w:w="108" w:type="dxa"/>
            <w:bottom w:w="0" w:type="dxa"/>
            <w:right w:w="108" w:type="dxa"/>
          </w:tblCellMar>
        </w:tblPrEx>
        <w:trPr>
          <w:trHeight w:val="20"/>
          <w:jc w:val="center"/>
        </w:trPr>
        <w:tc>
          <w:tcPr>
            <w:tcW w:w="406" w:type="dxa"/>
            <w:vMerge/>
            <w:noWrap w:val="0"/>
            <w:vAlign w:val="center"/>
          </w:tcPr>
          <w:p>
            <w:pPr>
              <w:keepNext/>
              <w:keepLines/>
              <w:pageBreakBefore w:val="0"/>
              <w:kinsoku/>
              <w:overflowPunct/>
              <w:topLinePunct w:val="0"/>
              <w:autoSpaceDE/>
              <w:autoSpaceDN/>
              <w:bidi w:val="0"/>
              <w:adjustRightInd/>
              <w:spacing w:before="260" w:after="260" w:line="300" w:lineRule="auto"/>
              <w:jc w:val="center"/>
              <w:outlineLvl w:val="2"/>
              <w:rPr>
                <w:rFonts w:ascii="宋体" w:eastAsia="宋体" w:hAnsi="宋体" w:cs="宋体" w:hint="eastAsia"/>
                <w:sz w:val="21"/>
                <w:szCs w:val="21"/>
              </w:rPr>
            </w:pPr>
          </w:p>
        </w:tc>
        <w:tc>
          <w:tcPr>
            <w:tcW w:w="73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r>
              <w:rPr>
                <w:rFonts w:ascii="宋体" w:eastAsia="宋体" w:hAnsi="宋体" w:cs="宋体" w:hint="eastAsia"/>
                <w:sz w:val="21"/>
                <w:szCs w:val="21"/>
                <w:lang w:eastAsia="zh-CN"/>
              </w:rPr>
              <w:t>2</w:t>
            </w:r>
          </w:p>
        </w:tc>
        <w:tc>
          <w:tcPr>
            <w:tcW w:w="1178"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r>
              <w:rPr>
                <w:rFonts w:ascii="宋体" w:eastAsia="宋体" w:hAnsi="宋体" w:cs="宋体" w:hint="eastAsia"/>
                <w:sz w:val="21"/>
                <w:szCs w:val="21"/>
                <w:lang w:eastAsia="zh-CN"/>
              </w:rPr>
              <w:t>供应商认证情况</w:t>
            </w:r>
          </w:p>
        </w:tc>
        <w:tc>
          <w:tcPr>
            <w:tcW w:w="1523" w:type="dxa"/>
            <w:gridSpan w:val="2"/>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r>
              <w:rPr>
                <w:rFonts w:ascii="宋体" w:eastAsia="宋体" w:hAnsi="宋体" w:cs="宋体" w:hint="eastAsia"/>
                <w:kern w:val="2"/>
                <w:sz w:val="21"/>
                <w:szCs w:val="21"/>
                <w:lang w:eastAsia="zh-CN"/>
              </w:rPr>
              <w:t>3</w:t>
            </w:r>
          </w:p>
        </w:tc>
        <w:tc>
          <w:tcPr>
            <w:tcW w:w="4902" w:type="dxa"/>
            <w:noWrap w:val="0"/>
            <w:vAlign w:val="center"/>
          </w:tcPr>
          <w:p>
            <w:pPr>
              <w:pageBreakBefore w:val="0"/>
              <w:kinsoku/>
              <w:overflowPunct/>
              <w:topLinePunct w:val="0"/>
              <w:autoSpaceDE/>
              <w:autoSpaceDN/>
              <w:bidi w:val="0"/>
              <w:adjustRightInd/>
              <w:spacing w:line="300" w:lineRule="auto"/>
              <w:jc w:val="both"/>
              <w:rPr>
                <w:rFonts w:ascii="宋体" w:eastAsia="宋体" w:hAnsi="宋体" w:cs="宋体" w:hint="eastAsia"/>
                <w:b/>
                <w:sz w:val="21"/>
                <w:szCs w:val="21"/>
              </w:rPr>
            </w:pPr>
            <w:r>
              <w:rPr>
                <w:rFonts w:ascii="宋体" w:eastAsia="宋体" w:hAnsi="宋体" w:cs="宋体" w:hint="eastAsia"/>
                <w:b/>
                <w:sz w:val="21"/>
                <w:szCs w:val="21"/>
                <w:lang w:eastAsia="zh-CN"/>
              </w:rPr>
              <w:t>（</w:t>
            </w:r>
            <w:r>
              <w:rPr>
                <w:rFonts w:ascii="宋体" w:eastAsia="宋体" w:hAnsi="宋体" w:cs="宋体" w:hint="eastAsia"/>
                <w:b/>
                <w:sz w:val="21"/>
                <w:szCs w:val="21"/>
                <w:lang w:eastAsia="zh-CN"/>
              </w:rPr>
              <w:t>一</w:t>
            </w:r>
            <w:r>
              <w:rPr>
                <w:rFonts w:ascii="宋体" w:eastAsia="宋体" w:hAnsi="宋体" w:cs="宋体" w:hint="eastAsia"/>
                <w:b/>
                <w:sz w:val="21"/>
                <w:szCs w:val="21"/>
                <w:lang w:eastAsia="zh-CN"/>
              </w:rPr>
              <w:t>）</w:t>
            </w:r>
            <w:r>
              <w:rPr>
                <w:rFonts w:ascii="宋体" w:eastAsia="宋体" w:hAnsi="宋体" w:cs="宋体" w:hint="eastAsia"/>
                <w:b/>
                <w:sz w:val="21"/>
                <w:szCs w:val="21"/>
              </w:rPr>
              <w:t>评分内容：</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投标人提供以下证书：</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1.质量管理体系认证证书；</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2.环境管理关系认证证书；</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3.职业健康安全管理认证证书；</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证书为“有效”状态。每提供以上1项认证证书，得34分。满分100分。</w:t>
            </w:r>
          </w:p>
          <w:p>
            <w:pPr>
              <w:pageBreakBefore w:val="0"/>
              <w:numPr>
                <w:ilvl w:val="0"/>
                <w:numId w:val="0"/>
              </w:numPr>
              <w:kinsoku/>
              <w:overflowPunct/>
              <w:topLinePunct w:val="0"/>
              <w:autoSpaceDE/>
              <w:autoSpaceDN/>
              <w:bidi w:val="0"/>
              <w:adjustRightInd/>
              <w:spacing w:line="300" w:lineRule="auto"/>
              <w:ind w:left="0" w:firstLine="0"/>
              <w:jc w:val="both"/>
              <w:rPr>
                <w:rFonts w:ascii="宋体" w:eastAsia="宋体" w:hAnsi="宋体" w:cs="宋体" w:hint="eastAsia"/>
                <w:b/>
                <w:bCs/>
                <w:sz w:val="21"/>
                <w:szCs w:val="21"/>
              </w:rPr>
            </w:pPr>
            <w:r>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二</w:t>
            </w:r>
            <w:r>
              <w:rPr>
                <w:rFonts w:ascii="宋体" w:eastAsia="宋体" w:hAnsi="宋体" w:cs="宋体" w:hint="eastAsia"/>
                <w:b/>
                <w:bCs/>
                <w:sz w:val="21"/>
                <w:szCs w:val="21"/>
                <w:lang w:eastAsia="zh-CN"/>
              </w:rPr>
              <w:t>）</w:t>
            </w:r>
            <w:r>
              <w:rPr>
                <w:rFonts w:ascii="宋体" w:eastAsia="宋体" w:hAnsi="宋体" w:cs="宋体" w:hint="eastAsia"/>
                <w:b/>
                <w:bCs/>
                <w:sz w:val="21"/>
                <w:szCs w:val="21"/>
              </w:rPr>
              <w:t>评审依据：</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投标人同时提供以下证明材料：</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1、有效的认证证书，如无法证明证书在有效期内的，不得分；</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2、全国认证认可信息公共服务平台（http://cx.cnca.cn）认证信息查询截图（截图需显示证书状态为有效）；</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rPr>
            </w:pPr>
            <w:r>
              <w:rPr>
                <w:rFonts w:ascii="宋体" w:eastAsia="宋体" w:hAnsi="宋体" w:cs="宋体" w:hint="eastAsia"/>
                <w:sz w:val="21"/>
                <w:szCs w:val="21"/>
                <w:lang w:eastAsia="zh-CN"/>
              </w:rPr>
              <w:t>3、以上证明材料不提供或提供不清晰导致专家无法判断的不得分。</w:t>
            </w:r>
          </w:p>
        </w:tc>
      </w:tr>
      <w:tr>
        <w:tblPrEx>
          <w:tblW w:w="5000" w:type="pct"/>
          <w:jc w:val="center"/>
          <w:tblLayout w:type="fixed"/>
          <w:tblCellMar>
            <w:top w:w="0" w:type="dxa"/>
            <w:left w:w="108" w:type="dxa"/>
            <w:bottom w:w="0" w:type="dxa"/>
            <w:right w:w="108" w:type="dxa"/>
          </w:tblCellMar>
        </w:tblPrEx>
        <w:trPr>
          <w:trHeight w:val="20"/>
          <w:jc w:val="center"/>
        </w:trPr>
        <w:tc>
          <w:tcPr>
            <w:tcW w:w="406" w:type="dxa"/>
            <w:vMerge/>
            <w:noWrap w:val="0"/>
            <w:vAlign w:val="center"/>
          </w:tcPr>
          <w:p>
            <w:pPr>
              <w:keepNext/>
              <w:keepLines/>
              <w:pageBreakBefore w:val="0"/>
              <w:kinsoku/>
              <w:overflowPunct/>
              <w:topLinePunct w:val="0"/>
              <w:autoSpaceDE/>
              <w:autoSpaceDN/>
              <w:bidi w:val="0"/>
              <w:adjustRightInd/>
              <w:spacing w:before="260" w:after="260" w:line="300" w:lineRule="auto"/>
              <w:jc w:val="center"/>
              <w:outlineLvl w:val="2"/>
              <w:rPr>
                <w:rFonts w:ascii="宋体" w:eastAsia="宋体" w:hAnsi="宋体" w:cs="宋体" w:hint="eastAsia"/>
                <w:sz w:val="21"/>
                <w:szCs w:val="21"/>
              </w:rPr>
            </w:pPr>
          </w:p>
        </w:tc>
        <w:tc>
          <w:tcPr>
            <w:tcW w:w="736"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r>
              <w:rPr>
                <w:rFonts w:ascii="宋体" w:eastAsia="宋体" w:hAnsi="宋体" w:cs="宋体" w:hint="eastAsia"/>
                <w:sz w:val="21"/>
                <w:szCs w:val="21"/>
                <w:lang w:eastAsia="zh-CN"/>
              </w:rPr>
              <w:t>3</w:t>
            </w:r>
          </w:p>
        </w:tc>
        <w:tc>
          <w:tcPr>
            <w:tcW w:w="1178" w:type="dxa"/>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lang w:eastAsia="zh-CN"/>
              </w:rPr>
            </w:pPr>
            <w:r>
              <w:rPr>
                <w:rFonts w:ascii="宋体" w:eastAsia="宋体" w:hAnsi="宋体" w:cs="宋体" w:hint="eastAsia"/>
                <w:sz w:val="21"/>
                <w:szCs w:val="21"/>
                <w:lang w:bidi="ar"/>
              </w:rPr>
              <w:t>诚信</w:t>
            </w:r>
            <w:r>
              <w:rPr>
                <w:rFonts w:ascii="宋体" w:eastAsia="宋体" w:hAnsi="宋体" w:cs="宋体" w:hint="eastAsia"/>
                <w:sz w:val="21"/>
                <w:szCs w:val="21"/>
                <w:lang w:eastAsia="zh-CN" w:bidi="ar"/>
              </w:rPr>
              <w:t>情况</w:t>
            </w:r>
          </w:p>
        </w:tc>
        <w:tc>
          <w:tcPr>
            <w:tcW w:w="1523" w:type="dxa"/>
            <w:gridSpan w:val="2"/>
            <w:noWrap w:val="0"/>
            <w:vAlign w:val="center"/>
          </w:tcPr>
          <w:p>
            <w:pPr>
              <w:pageBreakBefore w:val="0"/>
              <w:kinsoku/>
              <w:overflowPunct/>
              <w:topLinePunct w:val="0"/>
              <w:autoSpaceDE/>
              <w:autoSpaceDN/>
              <w:bidi w:val="0"/>
              <w:adjustRightInd/>
              <w:spacing w:line="300" w:lineRule="auto"/>
              <w:jc w:val="center"/>
              <w:rPr>
                <w:rFonts w:ascii="宋体" w:eastAsia="宋体" w:hAnsi="宋体" w:cs="宋体" w:hint="eastAsia"/>
                <w:sz w:val="21"/>
                <w:szCs w:val="21"/>
              </w:rPr>
            </w:pPr>
            <w:r>
              <w:rPr>
                <w:rFonts w:ascii="宋体" w:eastAsia="宋体" w:hAnsi="宋体" w:cs="宋体" w:hint="eastAsia"/>
                <w:sz w:val="21"/>
                <w:szCs w:val="21"/>
              </w:rPr>
              <w:t>5</w:t>
            </w:r>
          </w:p>
        </w:tc>
        <w:tc>
          <w:tcPr>
            <w:tcW w:w="4902" w:type="dxa"/>
            <w:noWrap w:val="0"/>
            <w:vAlign w:val="center"/>
          </w:tcPr>
          <w:p>
            <w:pPr>
              <w:pageBreakBefore w:val="0"/>
              <w:kinsoku/>
              <w:overflowPunct/>
              <w:topLinePunct w:val="0"/>
              <w:autoSpaceDE/>
              <w:autoSpaceDN/>
              <w:bidi w:val="0"/>
              <w:adjustRightInd/>
              <w:spacing w:line="30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投标人存在 《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pageBreakBefore w:val="0"/>
              <w:kinsoku/>
              <w:overflowPunct/>
              <w:topLinePunct w:val="0"/>
              <w:autoSpaceDE/>
              <w:autoSpaceDN/>
              <w:bidi w:val="0"/>
              <w:adjustRightInd/>
              <w:spacing w:line="300" w:lineRule="auto"/>
              <w:jc w:val="both"/>
              <w:rPr>
                <w:rFonts w:ascii="宋体" w:eastAsia="宋体" w:hAnsi="宋体" w:cs="宋体" w:hint="eastAsia"/>
                <w:sz w:val="21"/>
                <w:szCs w:val="21"/>
              </w:rPr>
            </w:pPr>
            <w:r>
              <w:rPr>
                <w:rFonts w:ascii="宋体" w:eastAsia="宋体" w:hAnsi="宋体" w:cs="宋体" w:hint="eastAsia"/>
                <w:sz w:val="21"/>
                <w:szCs w:val="21"/>
                <w:lang w:eastAsia="zh-CN"/>
              </w:rPr>
              <w:t>查询渠道：通过“信用中国”（www.creditchina.gov.cn，下载信用信息报告）、“中国政府采购网”（www.ccgp.gov.cn）以及“深圳市政府采购监管网”（http://zfcg.sz.gov.cn）查询供应商信用信息，信用信息以开标当日的查询结果为准。</w:t>
            </w:r>
          </w:p>
        </w:tc>
      </w:tr>
    </w:tbl>
    <w:p>
      <w:pPr>
        <w:widowControl w:val="0"/>
        <w:jc w:val="center"/>
        <w:rPr>
          <w:rFonts w:ascii="Calibri" w:eastAsia="宋体" w:hAnsi="Calibri" w:hint="eastAsia"/>
          <w:b/>
          <w:kern w:val="2"/>
          <w:sz w:val="120"/>
          <w:szCs w:val="120"/>
          <w:lang w:eastAsia="zh-CN"/>
        </w:rPr>
      </w:pPr>
    </w:p>
    <w:p>
      <w:pPr>
        <w:spacing w:line="360" w:lineRule="auto"/>
        <w:rPr>
          <w:rFonts w:ascii="Calibri" w:eastAsia="宋体" w:hAnsi="Calibri" w:hint="eastAsia"/>
          <w:b/>
          <w:bCs/>
          <w:kern w:val="2"/>
          <w:sz w:val="120"/>
          <w:szCs w:val="120"/>
          <w:lang w:eastAsia="zh-CN"/>
        </w:rPr>
      </w:pPr>
    </w:p>
    <w:p>
      <w:pPr>
        <w:widowControl w:val="0"/>
        <w:jc w:val="both"/>
        <w:rPr>
          <w:rFonts w:ascii="Calibri" w:eastAsia="宋体" w:hAnsi="Calibri" w:cs="Calibri" w:hint="eastAsia"/>
          <w:i/>
          <w:iCs/>
          <w:color w:val="000000"/>
          <w:kern w:val="2"/>
          <w:sz w:val="22"/>
          <w:szCs w:val="22"/>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24</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1"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1"/>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第一章招标公告</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第一章总则</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第二章招标文件</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第五章开标</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第六章评审要求</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spacing w:line="360" w:lineRule="auto"/>
        <w:ind w:firstLine="1050" w:firstLineChars="5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line="36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lang w:eastAsia="zh-CN"/>
        </w:rPr>
      </w:pPr>
      <w:r>
        <w:rPr>
          <w:rFonts w:ascii="宋体" w:eastAsia="宋体" w:hAnsi="宋体" w:cs="宋体" w:hint="eastAsia"/>
          <w:sz w:val="21"/>
          <w:szCs w:val="21"/>
        </w:rPr>
        <w:t>1、具有独立法人资格或具有独立承担民事责任的能力的其它组织（提供营业执照或事业单位法人证等法人证明扫描件，原件备查）</w:t>
      </w:r>
      <w:r>
        <w:rPr>
          <w:rFonts w:ascii="宋体" w:eastAsia="宋体" w:hAnsi="宋体" w:cs="宋体" w:hint="eastAsia"/>
          <w:sz w:val="21"/>
          <w:szCs w:val="21"/>
          <w:lang w:eastAsia="zh-CN"/>
        </w:rPr>
        <w:t>。</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2、参与本项目投标前三年内，在经营活动中没有重大违法记录（由供应商在《龙华区教育局自行采购投标及履约承诺函》中作出声明）。</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3、参与本项目政府采购活动时不存在被有关部门禁止参与政府采购活动且在有效期内的情况（由供应商在《龙华区教育局自行采购投标及履约承诺函》中作出声明）。</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4、具备《中华人民共和国政府采购法》第二十二条第一款的条件（由供应商在《龙华区教育局自行采购投标及履约承诺函》中作出声明）。</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5、参与本项目政府采购活动时未被列入失信被执行人、重大税收违法失信主体、政府采购严重违法失信行为记录名单（由供应商在《龙华区教育局自行采购投标及履约承诺函》中作出承诺）。</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rPr>
      </w:pPr>
      <w:r>
        <w:rPr>
          <w:rFonts w:ascii="宋体" w:eastAsia="宋体" w:hAnsi="宋体" w:cs="宋体" w:hint="eastAsia"/>
          <w:sz w:val="21"/>
          <w:szCs w:val="21"/>
          <w:lang w:eastAsia="zh-CN"/>
        </w:rPr>
        <w:t>6、投标人不存在《深圳市财政局政府采购供应商信用信息管理办法》（深财规〔2023〕3 号）列明的严重违法失信行为（由供应商在</w:t>
      </w:r>
      <w:r>
        <w:rPr>
          <w:rFonts w:ascii="宋体" w:eastAsia="宋体" w:hAnsi="宋体" w:cs="宋体" w:hint="eastAsia"/>
          <w:bCs/>
          <w:sz w:val="21"/>
          <w:szCs w:val="21"/>
        </w:rPr>
        <w:t>《龙华区教育局自行采购投标及履约承诺函》</w:t>
      </w:r>
      <w:r>
        <w:rPr>
          <w:rFonts w:ascii="宋体" w:eastAsia="宋体" w:hAnsi="宋体" w:cs="宋体" w:hint="eastAsia"/>
          <w:sz w:val="21"/>
          <w:szCs w:val="21"/>
          <w:lang w:eastAsia="zh-CN"/>
        </w:rPr>
        <w:t>中作出声明）。</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7</w:t>
      </w:r>
      <w:r>
        <w:rPr>
          <w:rFonts w:ascii="宋体" w:eastAsia="宋体" w:hAnsi="宋体" w:cs="宋体" w:hint="eastAsia"/>
          <w:sz w:val="21"/>
          <w:szCs w:val="21"/>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宋体" w:eastAsia="宋体" w:hAnsi="宋体" w:cs="宋体" w:hint="eastAsia"/>
          <w:sz w:val="21"/>
          <w:szCs w:val="21"/>
          <w:lang w:eastAsia="zh-CN"/>
        </w:rPr>
        <w:t>。</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8</w:t>
      </w:r>
      <w:r>
        <w:rPr>
          <w:rFonts w:ascii="宋体" w:eastAsia="宋体" w:hAnsi="宋体" w:cs="宋体" w:hint="eastAsia"/>
          <w:sz w:val="21"/>
          <w:szCs w:val="21"/>
        </w:rPr>
        <w:t>、单位负责人为同一人或者存在直接控股、管理关系的不同供应商，不得参加同一合同项下的政府采购活动。（由供应商在《龙华区教育局自行采购投标及履约承诺函》中作出承诺）</w:t>
      </w:r>
      <w:r>
        <w:rPr>
          <w:rFonts w:ascii="宋体" w:eastAsia="宋体" w:hAnsi="宋体" w:cs="宋体" w:hint="eastAsia"/>
          <w:sz w:val="21"/>
          <w:szCs w:val="21"/>
          <w:lang w:eastAsia="zh-CN"/>
        </w:rPr>
        <w:t>。</w:t>
      </w:r>
    </w:p>
    <w:p>
      <w:pPr>
        <w:keepNext w:val="0"/>
        <w:keepLines w:val="0"/>
        <w:pageBreakBefore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9</w:t>
      </w:r>
      <w:r>
        <w:rPr>
          <w:rFonts w:ascii="宋体" w:eastAsia="宋体" w:hAnsi="宋体" w:cs="宋体" w:hint="eastAsia"/>
          <w:color w:val="FF0000"/>
          <w:sz w:val="21"/>
          <w:szCs w:val="21"/>
        </w:rPr>
        <w:t>、</w:t>
      </w:r>
      <w:r>
        <w:rPr>
          <w:rFonts w:ascii="宋体" w:eastAsia="宋体" w:hAnsi="宋体" w:cs="宋体" w:hint="eastAsia"/>
          <w:color w:val="FF0000"/>
          <w:sz w:val="21"/>
          <w:szCs w:val="21"/>
          <w:lang w:eastAsia="zh-CN"/>
        </w:rPr>
        <w:t>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p>
    <w:p>
      <w:pPr>
        <w:keepNext w:val="0"/>
        <w:keepLines w:val="0"/>
        <w:pageBreakBefore w:val="0"/>
        <w:widowControl w:val="0"/>
        <w:kinsoku/>
        <w:wordWrap/>
        <w:overflowPunct/>
        <w:topLinePunct w:val="0"/>
        <w:autoSpaceDE/>
        <w:autoSpaceDN/>
        <w:bidi w:val="0"/>
        <w:adjustRightInd/>
        <w:snapToGrid/>
        <w:spacing w:after="60" w:afterLines="25" w:line="300" w:lineRule="auto"/>
        <w:jc w:val="left"/>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10</w:t>
      </w:r>
      <w:r>
        <w:rPr>
          <w:rFonts w:ascii="宋体" w:eastAsia="宋体" w:hAnsi="宋体" w:cs="宋体" w:hint="eastAsia"/>
          <w:sz w:val="21"/>
          <w:szCs w:val="21"/>
        </w:rPr>
        <w:t>、本项目不接受联合体投标，不接受进口产品参与投标，不允许转包、分包。（由供应商在《龙华区教育局自行采购投标及履约承诺函》中作出承诺）</w:t>
      </w:r>
      <w:r>
        <w:rPr>
          <w:rFonts w:ascii="宋体" w:eastAsia="宋体" w:hAnsi="宋体" w:cs="宋体" w:hint="eastAsia"/>
          <w:sz w:val="21"/>
          <w:szCs w:val="21"/>
          <w:lang w:eastAsia="zh-CN"/>
        </w:rPr>
        <w:t>。</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第二章</w:t>
      </w:r>
      <w:bookmarkStart w:id="2" w:name="_Hlk71926094"/>
      <w:r>
        <w:rPr>
          <w:rFonts w:ascii="宋体" w:eastAsia="宋体" w:hAnsi="宋体" w:hint="eastAsia"/>
          <w:b/>
          <w:bCs/>
          <w:sz w:val="28"/>
          <w:szCs w:val="28"/>
          <w:lang w:eastAsia="zh-CN"/>
        </w:rPr>
        <w:t xml:space="preserve">  对通用条款的补充内容及其他关键信息</w:t>
      </w:r>
      <w:bookmarkEnd w:id="2"/>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3" w:name="_Toc73521635"/>
      <w:bookmarkStart w:id="4" w:name="_Toc73517639"/>
      <w:bookmarkStart w:id="5" w:name="_Toc100052364"/>
      <w:bookmarkStart w:id="6" w:name="_Toc60631620"/>
      <w:bookmarkStart w:id="7" w:name="_Toc101074876"/>
      <w:bookmarkStart w:id="8" w:name="_Toc73518117"/>
      <w:bookmarkStart w:id="9" w:name="_Toc60560625"/>
      <w:bookmarkStart w:id="10" w:name="_Toc73521547"/>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hint="eastAsia"/>
                <w:kern w:val="2"/>
                <w:sz w:val="21"/>
                <w:szCs w:val="21"/>
                <w:lang w:eastAsia="zh-CN"/>
              </w:rPr>
              <w:t>深圳市龙华职业技术学校</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1" w:name="_Hlk71664860"/>
            <w:r>
              <w:rPr>
                <w:rFonts w:ascii="宋体" w:eastAsia="宋体" w:hAnsi="宋体" w:cstheme="minorBidi" w:hint="eastAsia"/>
                <w:kern w:val="2"/>
                <w:sz w:val="21"/>
                <w:szCs w:val="21"/>
                <w:lang w:eastAsia="zh-CN"/>
              </w:rPr>
              <w:t>样品、现场演示、方案讲解</w:t>
            </w:r>
            <w:bookmarkEnd w:id="11"/>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3"/>
      <w:bookmarkEnd w:id="4"/>
      <w:bookmarkEnd w:id="5"/>
      <w:bookmarkEnd w:id="6"/>
      <w:bookmarkEnd w:id="7"/>
      <w:bookmarkEnd w:id="8"/>
      <w:bookmarkEnd w:id="9"/>
      <w:bookmarkEnd w:id="10"/>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line="360" w:lineRule="auto"/>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spacing w:line="360" w:lineRule="auto"/>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spacing w:line="360" w:lineRule="auto"/>
        <w:jc w:val="both"/>
        <w:rPr>
          <w:rFonts w:ascii="黑体" w:eastAsia="黑体" w:hAnsi="宋体"/>
          <w:bCs/>
          <w:kern w:val="2"/>
          <w:szCs w:val="22"/>
          <w:lang w:eastAsia="zh-CN"/>
        </w:rPr>
      </w:pPr>
      <w:r>
        <w:rPr>
          <w:rFonts w:ascii="黑体" w:eastAsia="黑体" w:hAnsi="宋体" w:cstheme="minorBidi" w:hint="eastAsia"/>
          <w:bCs/>
          <w:kern w:val="2"/>
          <w:szCs w:val="22"/>
          <w:lang w:eastAsia="zh-CN"/>
        </w:rPr>
        <w:t>1、评标定标信息</w:t>
      </w:r>
    </w:p>
    <w:p>
      <w:pPr>
        <w:widowControl w:val="0"/>
        <w:spacing w:line="360" w:lineRule="auto"/>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vAlign w:val="center"/>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vAlign w:val="center"/>
          </w:tcPr>
          <w:p>
            <w:pPr>
              <w:spacing w:line="360" w:lineRule="auto"/>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vAlign w:val="center"/>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vAlign w:val="center"/>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vAlign w:val="center"/>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vAlign w:val="center"/>
          </w:tcPr>
          <w:p>
            <w:pPr>
              <w:spacing w:line="360" w:lineRule="auto"/>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360" w:lineRule="auto"/>
        <w:jc w:val="both"/>
        <w:rPr>
          <w:rFonts w:ascii="黑体" w:eastAsia="黑体" w:hAnsi="宋体" w:hint="eastAsia"/>
          <w:bCs/>
          <w:kern w:val="2"/>
          <w:szCs w:val="22"/>
          <w:lang w:eastAsia="zh-CN"/>
        </w:rPr>
      </w:pPr>
    </w:p>
    <w:p>
      <w:pPr>
        <w:widowControl w:val="0"/>
        <w:tabs>
          <w:tab w:val="left" w:pos="720"/>
        </w:tabs>
        <w:spacing w:line="360" w:lineRule="auto"/>
        <w:jc w:val="both"/>
        <w:rPr>
          <w:rFonts w:ascii="黑体" w:eastAsia="黑体" w:hAnsi="宋体" w:hint="eastAsia"/>
          <w:bCs/>
          <w:kern w:val="2"/>
          <w:szCs w:val="22"/>
          <w:lang w:eastAsia="zh-CN"/>
        </w:rPr>
      </w:pPr>
      <w:r>
        <w:rPr>
          <w:rFonts w:ascii="黑体" w:eastAsia="黑体" w:hAnsi="宋体" w:cstheme="minorBidi" w:hint="eastAsia"/>
          <w:bCs/>
          <w:kern w:val="2"/>
          <w:szCs w:val="22"/>
          <w:lang w:eastAsia="zh-CN"/>
        </w:rPr>
        <w:t>（二）其他事项</w:t>
      </w:r>
    </w:p>
    <w:p>
      <w:pPr>
        <w:widowControl w:val="0"/>
        <w:tabs>
          <w:tab w:val="left" w:pos="720"/>
        </w:tabs>
        <w:spacing w:line="360" w:lineRule="auto"/>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1、关于享受优惠政策的主体、价格扣除比例及采购标的所属行业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1、关于享受优惠政策的主体及价格扣除比例</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专门面向中小企业采购的项目，不再执行价格扣除比例。</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（2）非专门面向中小微企业采购的项目，应执行价格扣除比例：</w:t>
      </w:r>
      <w:r>
        <w:rPr>
          <w:rFonts w:ascii="宋体" w:eastAsia="宋体" w:hAnsi="宋体" w:cs="宋体" w:hint="eastAsia"/>
          <w:sz w:val="21"/>
          <w:szCs w:val="21"/>
        </w:rPr>
        <w:t>投标人提供的货物（以招标文件用户需求书“货物清单明细”的“货物名称”一栏为准）全部均由优惠主体制造，则对其投标总价给予</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10</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w:t>
      </w:r>
      <w:r>
        <w:rPr>
          <w:rFonts w:ascii="宋体" w:eastAsia="宋体" w:hAnsi="宋体" w:cs="宋体" w:hint="eastAsia"/>
          <w:b/>
          <w:bCs/>
          <w:color w:val="FF0000"/>
          <w:sz w:val="21"/>
          <w:szCs w:val="21"/>
        </w:rPr>
        <w:t>%</w:t>
      </w:r>
      <w:r>
        <w:rPr>
          <w:rFonts w:ascii="宋体" w:eastAsia="宋体" w:hAnsi="宋体" w:cs="宋体" w:hint="eastAsia"/>
          <w:color w:val="000000"/>
          <w:sz w:val="21"/>
          <w:szCs w:val="21"/>
          <w:lang w:eastAsia="zh-CN"/>
        </w:rPr>
        <w:t>（10%~20%）</w:t>
      </w:r>
      <w:r>
        <w:rPr>
          <w:rFonts w:ascii="宋体" w:eastAsia="宋体" w:hAnsi="宋体" w:cs="宋体" w:hint="eastAsia"/>
          <w:sz w:val="21"/>
          <w:szCs w:val="21"/>
        </w:rPr>
        <w:t>的扣除，用扣除后的价格参与评审。满足多项优惠政策的</w:t>
      </w:r>
      <w:r>
        <w:rPr>
          <w:rFonts w:ascii="宋体" w:eastAsia="宋体" w:hAnsi="宋体" w:cs="宋体" w:hint="eastAsia"/>
          <w:sz w:val="21"/>
          <w:szCs w:val="21"/>
          <w:lang w:eastAsia="zh-CN"/>
        </w:rPr>
        <w:t>供应商</w:t>
      </w:r>
      <w:r>
        <w:rPr>
          <w:rFonts w:ascii="宋体" w:eastAsia="宋体" w:hAnsi="宋体" w:cs="宋体" w:hint="eastAsia"/>
          <w:sz w:val="21"/>
          <w:szCs w:val="21"/>
        </w:rPr>
        <w:t>，不重复享受多项价格扣除政策。</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制造是指货物由优惠主体生产且使用该优惠主体商号或者注册商标；投标人提供的货物既有优惠主体制造货物，又有非优惠主体制造货物的，不给予价格扣除。</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3</w:t>
      </w:r>
      <w:r>
        <w:rPr>
          <w:rFonts w:ascii="宋体" w:eastAsia="宋体" w:hAnsi="宋体" w:cs="宋体" w:hint="eastAsia"/>
          <w:sz w:val="21"/>
          <w:szCs w:val="21"/>
        </w:rPr>
        <w:t>）</w:t>
      </w:r>
      <w:bookmarkStart w:id="12" w:name="_Hlk71970739"/>
      <w:r>
        <w:rPr>
          <w:rFonts w:ascii="宋体" w:eastAsia="宋体" w:hAnsi="宋体" w:cs="宋体" w:hint="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本项目采购标的（货物）对应的中小企业划分标准所属行业为</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工  </w:t>
      </w:r>
      <w:r>
        <w:rPr>
          <w:rFonts w:ascii="宋体" w:eastAsia="宋体" w:hAnsi="宋体" w:cs="宋体" w:hint="eastAsia"/>
          <w:b/>
          <w:bCs/>
          <w:color w:val="FF0000"/>
          <w:sz w:val="21"/>
          <w:szCs w:val="21"/>
          <w:u w:val="single"/>
        </w:rPr>
        <w:t xml:space="preserve"> </w:t>
      </w:r>
      <w:r>
        <w:rPr>
          <w:rFonts w:ascii="宋体" w:eastAsia="宋体" w:hAnsi="宋体" w:cs="宋体" w:hint="eastAsia"/>
          <w:b/>
          <w:bCs/>
          <w:sz w:val="21"/>
          <w:szCs w:val="21"/>
        </w:rPr>
        <w:t>业</w:t>
      </w:r>
      <w:r>
        <w:rPr>
          <w:rFonts w:ascii="宋体" w:eastAsia="宋体" w:hAnsi="宋体" w:cs="宋体" w:hint="eastAsia"/>
          <w:sz w:val="21"/>
          <w:szCs w:val="21"/>
        </w:rPr>
        <w:t>。</w:t>
      </w:r>
      <w:bookmarkEnd w:id="12"/>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4</w:t>
      </w: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w:t>
      </w:r>
      <w:r>
        <w:rPr>
          <w:rFonts w:ascii="宋体" w:eastAsia="宋体" w:hAnsi="宋体" w:cs="宋体" w:hint="eastAsia"/>
          <w:sz w:val="21"/>
          <w:szCs w:val="21"/>
          <w:lang w:eastAsia="zh-CN"/>
        </w:rPr>
        <w:t>四</w:t>
      </w:r>
      <w:r>
        <w:rPr>
          <w:rFonts w:ascii="宋体" w:eastAsia="宋体" w:hAnsi="宋体" w:cs="宋体" w:hint="eastAsia"/>
          <w:sz w:val="21"/>
          <w:szCs w:val="21"/>
        </w:rPr>
        <w:t>章“投标文件格式、附件”中“</w:t>
      </w:r>
      <w:r>
        <w:rPr>
          <w:rFonts w:ascii="宋体" w:eastAsia="宋体" w:hAnsi="宋体" w:cs="宋体" w:hint="eastAsia"/>
          <w:sz w:val="21"/>
          <w:szCs w:val="21"/>
          <w:lang w:eastAsia="zh-CN"/>
        </w:rPr>
        <w:t>三、</w:t>
      </w:r>
      <w:r>
        <w:rPr>
          <w:rFonts w:ascii="宋体" w:eastAsia="宋体" w:hAnsi="宋体" w:cs="宋体" w:hint="eastAsia"/>
          <w:sz w:val="21"/>
          <w:szCs w:val="21"/>
        </w:rPr>
        <w:t>投标人情况及资格证明文件”章节提供的格式）。</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5</w:t>
      </w:r>
      <w:r>
        <w:rPr>
          <w:rFonts w:ascii="宋体" w:eastAsia="宋体" w:hAnsi="宋体" w:cs="宋体" w:hint="eastAsia"/>
          <w:sz w:val="21"/>
          <w:szCs w:val="21"/>
        </w:rPr>
        <w:t>）享受价格扣除获得政府采购合同的，小微企业不得将合同分包给大中型企业。</w:t>
      </w: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widowControl w:val="0"/>
        <w:spacing w:line="360" w:lineRule="auto"/>
        <w:ind w:firstLine="420" w:firstLineChars="200"/>
        <w:jc w:val="both"/>
        <w:rPr>
          <w:rFonts w:ascii="黑体" w:eastAsia="黑体" w:hAnsi="宋体"/>
          <w:kern w:val="2"/>
          <w:szCs w:val="22"/>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spacing w:line="360" w:lineRule="auto"/>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服费务类率型</w:t>
            </w:r>
          </w:p>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spacing w:line="360" w:lineRule="auto"/>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万元（含）-500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1.1%</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0.8%</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500 万元（含）-1000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0.8%</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0.45%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1000 万元（含）-5000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5000 万元（含）-1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0.1%</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 亿元（含）-5 亿</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color w:val="333333"/>
                <w:kern w:val="2"/>
                <w:sz w:val="21"/>
                <w:szCs w:val="21"/>
                <w:lang w:eastAsia="zh-CN"/>
              </w:rPr>
              <w:t>5 亿元（含）-10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 亿元（含）-50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 亿元（含）-100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亿元（含）以上</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r>
    </w:tbl>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（2）招标代理服务收费按差额定率累进法计算。</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100万元×1.5%=1.5万元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（500-100）万元×0.8%=3.2万元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（600-500）万元×0.45%=0.45万元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合计收费=1.5+3.2+0.45=5.15万元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备注：最低收费不低于人民币6000元。代理服务费用超过6000元，则按国家计费规定收取代理服务费。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收款单位：深圳市千里招标代理有限公司</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开户银行：中国平安银行深圳创业路支行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中标人须在中标公告公示期结束后，领取《中标通知书》前，向招标（采购）代理机构缴纳招标代理服务费。</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招标代理服务费以转账、银行汇票形式交付。</w:t>
      </w:r>
    </w:p>
    <w:p>
      <w:pPr>
        <w:widowControl/>
        <w:jc w:val="left"/>
        <w:rPr>
          <w:rFonts w:ascii="宋体" w:eastAsia="黑体" w:hAnsi="宋体"/>
          <w:bCs/>
          <w:kern w:val="44"/>
          <w:sz w:val="28"/>
          <w:szCs w:val="44"/>
          <w:highlight w:val="yellow"/>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690"/>
        <w:gridCol w:w="2369"/>
        <w:gridCol w:w="2556"/>
        <w:gridCol w:w="3055"/>
      </w:tblGrid>
      <w:tr>
        <w:tblPrEx>
          <w:tblW w:w="5000" w:type="pct"/>
          <w:jc w:val="center"/>
          <w:tblLayout w:type="fixed"/>
          <w:tblCellMar>
            <w:top w:w="15" w:type="dxa"/>
            <w:left w:w="15" w:type="dxa"/>
            <w:bottom w:w="15" w:type="dxa"/>
            <w:right w:w="15" w:type="dxa"/>
          </w:tblCellMar>
        </w:tblPrEx>
        <w:trPr>
          <w:trHeight w:val="552"/>
          <w:jc w:val="center"/>
        </w:trPr>
        <w:tc>
          <w:tcPr>
            <w:tcW w:w="752"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594"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2799"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334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财政预算限额（元）</w:t>
            </w:r>
          </w:p>
        </w:tc>
      </w:tr>
      <w:tr>
        <w:tblPrEx>
          <w:tblW w:w="5000" w:type="pct"/>
          <w:jc w:val="center"/>
          <w:tblLayout w:type="fixed"/>
          <w:tblCellMar>
            <w:top w:w="15" w:type="dxa"/>
            <w:left w:w="15" w:type="dxa"/>
            <w:bottom w:w="15" w:type="dxa"/>
            <w:right w:w="15" w:type="dxa"/>
          </w:tblCellMar>
        </w:tblPrEx>
        <w:trPr>
          <w:trHeight w:val="485"/>
          <w:jc w:val="center"/>
        </w:trPr>
        <w:tc>
          <w:tcPr>
            <w:tcW w:w="752"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p>
        </w:tc>
        <w:tc>
          <w:tcPr>
            <w:tcW w:w="2594"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LHAZXDL-2024-00260</w:t>
            </w:r>
          </w:p>
        </w:tc>
        <w:tc>
          <w:tcPr>
            <w:tcW w:w="2799"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安检设备及防撞柱采购</w:t>
            </w:r>
          </w:p>
        </w:tc>
        <w:tc>
          <w:tcPr>
            <w:tcW w:w="3346"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kern w:val="2"/>
                <w:sz w:val="21"/>
                <w:szCs w:val="21"/>
                <w:lang w:eastAsia="zh-CN"/>
              </w:rPr>
            </w:pPr>
            <w:r>
              <w:rPr>
                <w:rFonts w:ascii="宋体" w:eastAsia="宋体" w:hAnsi="宋体" w:hint="eastAsia"/>
                <w:kern w:val="2"/>
                <w:sz w:val="21"/>
                <w:szCs w:val="21"/>
                <w:lang w:eastAsia="zh-CN"/>
              </w:rPr>
              <w:t>258,092.00</w:t>
            </w:r>
          </w:p>
        </w:tc>
      </w:tr>
    </w:tbl>
    <w:p>
      <w:pPr>
        <w:keepNext/>
        <w:keepLines/>
        <w:widowControl w:val="0"/>
        <w:numPr>
          <w:ilvl w:val="0"/>
          <w:numId w:val="1"/>
        </w:numPr>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货物需求明细</w:t>
      </w:r>
      <w:bookmarkStart w:id="13" w:name="_Toc128884461"/>
    </w:p>
    <w:tbl>
      <w:tblPr>
        <w:tblStyle w:val="TableNormal"/>
        <w:tblpPr w:leftFromText="180" w:rightFromText="180" w:vertAnchor="text" w:horzAnchor="page" w:tblpX="1896" w:tblpY="432"/>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28"/>
        <w:gridCol w:w="2782"/>
        <w:gridCol w:w="826"/>
        <w:gridCol w:w="1379"/>
        <w:gridCol w:w="1086"/>
        <w:gridCol w:w="205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73"/>
        </w:trPr>
        <w:tc>
          <w:tcPr>
            <w:tcW w:w="717"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2741" w:type="dxa"/>
            <w:vMerge w:val="restart"/>
            <w:noWrap w:val="0"/>
            <w:vAlign w:val="center"/>
          </w:tcPr>
          <w:p>
            <w:pPr>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货物名称</w:t>
            </w:r>
          </w:p>
        </w:tc>
        <w:tc>
          <w:tcPr>
            <w:tcW w:w="81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数量</w:t>
            </w:r>
          </w:p>
        </w:tc>
        <w:tc>
          <w:tcPr>
            <w:tcW w:w="1358"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单位</w:t>
            </w:r>
          </w:p>
        </w:tc>
        <w:tc>
          <w:tcPr>
            <w:tcW w:w="107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备注</w:t>
            </w:r>
          </w:p>
        </w:tc>
        <w:tc>
          <w:tcPr>
            <w:tcW w:w="202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财政预算限额（元）</w:t>
            </w:r>
          </w:p>
        </w:tc>
      </w:tr>
      <w:tr>
        <w:tblPrEx>
          <w:tblW w:w="5000" w:type="pct"/>
          <w:tblInd w:w="0" w:type="dxa"/>
          <w:tblLayout w:type="fixed"/>
          <w:tblCellMar>
            <w:top w:w="0" w:type="dxa"/>
            <w:left w:w="108" w:type="dxa"/>
            <w:bottom w:w="0" w:type="dxa"/>
            <w:right w:w="108" w:type="dxa"/>
          </w:tblCellMar>
        </w:tblPrEx>
        <w:trPr>
          <w:trHeight w:val="573"/>
        </w:trPr>
        <w:tc>
          <w:tcPr>
            <w:tcW w:w="717" w:type="dxa"/>
            <w:vMerge/>
            <w:noWrap w:val="0"/>
            <w:vAlign w:val="center"/>
          </w:tcPr>
          <w:p>
            <w:pPr>
              <w:jc w:val="center"/>
              <w:rPr>
                <w:rFonts w:ascii="宋体" w:eastAsia="宋体" w:hAnsi="宋体" w:cs="宋体" w:hint="eastAsia"/>
                <w:bCs/>
                <w:sz w:val="21"/>
                <w:szCs w:val="21"/>
              </w:rPr>
            </w:pPr>
          </w:p>
        </w:tc>
        <w:tc>
          <w:tcPr>
            <w:tcW w:w="2741" w:type="dxa"/>
            <w:vMerge/>
            <w:noWrap w:val="0"/>
            <w:vAlign w:val="center"/>
          </w:tcPr>
          <w:p>
            <w:pPr>
              <w:jc w:val="center"/>
              <w:rPr>
                <w:rFonts w:ascii="宋体" w:eastAsia="宋体" w:hAnsi="宋体" w:cs="宋体" w:hint="eastAsia"/>
                <w:bCs/>
                <w:sz w:val="21"/>
                <w:szCs w:val="21"/>
              </w:rPr>
            </w:pPr>
          </w:p>
        </w:tc>
        <w:tc>
          <w:tcPr>
            <w:tcW w:w="814" w:type="dxa"/>
            <w:vMerge/>
            <w:noWrap w:val="0"/>
            <w:vAlign w:val="center"/>
          </w:tcPr>
          <w:p>
            <w:pPr>
              <w:jc w:val="center"/>
              <w:rPr>
                <w:rFonts w:ascii="宋体" w:eastAsia="宋体" w:hAnsi="宋体" w:cs="宋体" w:hint="eastAsia"/>
                <w:bCs/>
                <w:sz w:val="21"/>
                <w:szCs w:val="21"/>
              </w:rPr>
            </w:pPr>
          </w:p>
        </w:tc>
        <w:tc>
          <w:tcPr>
            <w:tcW w:w="1358" w:type="dxa"/>
            <w:vMerge/>
            <w:noWrap w:val="0"/>
            <w:vAlign w:val="center"/>
          </w:tcPr>
          <w:p>
            <w:pPr>
              <w:jc w:val="center"/>
              <w:rPr>
                <w:rFonts w:ascii="宋体" w:eastAsia="宋体" w:hAnsi="宋体" w:cs="宋体" w:hint="eastAsia"/>
                <w:bCs/>
                <w:sz w:val="21"/>
                <w:szCs w:val="21"/>
              </w:rPr>
            </w:pPr>
          </w:p>
        </w:tc>
        <w:tc>
          <w:tcPr>
            <w:tcW w:w="1070" w:type="dxa"/>
            <w:vMerge/>
            <w:noWrap w:val="0"/>
            <w:vAlign w:val="center"/>
          </w:tcPr>
          <w:p>
            <w:pPr>
              <w:jc w:val="center"/>
              <w:rPr>
                <w:rFonts w:ascii="宋体" w:eastAsia="宋体" w:hAnsi="宋体" w:cs="宋体" w:hint="eastAsia"/>
                <w:bCs/>
                <w:sz w:val="21"/>
                <w:szCs w:val="21"/>
              </w:rPr>
            </w:pPr>
          </w:p>
        </w:tc>
        <w:tc>
          <w:tcPr>
            <w:tcW w:w="2024" w:type="dxa"/>
            <w:vMerge/>
            <w:noWrap w:val="0"/>
            <w:vAlign w:val="center"/>
          </w:tcPr>
          <w:p>
            <w:pPr>
              <w:jc w:val="center"/>
              <w:rPr>
                <w:rFonts w:ascii="宋体" w:eastAsia="宋体" w:hAnsi="宋体" w:cs="宋体" w:hint="eastAsia"/>
                <w:bCs/>
                <w:sz w:val="21"/>
                <w:szCs w:val="21"/>
              </w:rPr>
            </w:pPr>
          </w:p>
        </w:tc>
      </w:tr>
      <w:tr>
        <w:tblPrEx>
          <w:tblW w:w="5000" w:type="pct"/>
          <w:tblInd w:w="0" w:type="dxa"/>
          <w:tblLayout w:type="fixed"/>
          <w:tblCellMar>
            <w:top w:w="0" w:type="dxa"/>
            <w:left w:w="108" w:type="dxa"/>
            <w:bottom w:w="0" w:type="dxa"/>
            <w:right w:w="108" w:type="dxa"/>
          </w:tblCellMar>
        </w:tblPrEx>
        <w:trPr>
          <w:trHeight w:val="341"/>
        </w:trPr>
        <w:tc>
          <w:tcPr>
            <w:tcW w:w="717"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2741" w:type="dxa"/>
            <w:noWrap w:val="0"/>
            <w:vAlign w:val="center"/>
          </w:tcPr>
          <w:p>
            <w:pPr>
              <w:keepNext w:val="0"/>
              <w:keepLines w:val="0"/>
              <w:widowControl/>
              <w:suppressLineNumbers w:val="0"/>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eastAsia="zh-CN" w:bidi="ar"/>
              </w:rPr>
              <w:t>X射线安全检测设备</w:t>
            </w:r>
          </w:p>
        </w:tc>
        <w:tc>
          <w:tcPr>
            <w:tcW w:w="814" w:type="dxa"/>
            <w:noWrap w:val="0"/>
            <w:vAlign w:val="center"/>
          </w:tcPr>
          <w:p>
            <w:pPr>
              <w:keepNext w:val="0"/>
              <w:keepLines w:val="0"/>
              <w:widowControl/>
              <w:suppressLineNumbers w:val="0"/>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eastAsia="zh-CN"/>
              </w:rPr>
              <w:t>1</w:t>
            </w:r>
          </w:p>
        </w:tc>
        <w:tc>
          <w:tcPr>
            <w:tcW w:w="1358" w:type="dxa"/>
            <w:noWrap w:val="0"/>
            <w:vAlign w:val="center"/>
          </w:tcPr>
          <w:p>
            <w:pPr>
              <w:keepNext w:val="0"/>
              <w:keepLines w:val="0"/>
              <w:widowControl/>
              <w:suppressLineNumbers w:val="0"/>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eastAsia="zh-CN" w:bidi="ar"/>
              </w:rPr>
              <w:t>套</w:t>
            </w:r>
          </w:p>
        </w:tc>
        <w:tc>
          <w:tcPr>
            <w:tcW w:w="107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
                <w:sz w:val="21"/>
                <w:szCs w:val="21"/>
              </w:rPr>
              <w:t>拒绝进口</w:t>
            </w:r>
          </w:p>
        </w:tc>
        <w:tc>
          <w:tcPr>
            <w:tcW w:w="2024" w:type="dxa"/>
            <w:vMerge w:val="restart"/>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258,092.00</w:t>
            </w:r>
          </w:p>
        </w:tc>
      </w:tr>
      <w:tr>
        <w:tblPrEx>
          <w:tblW w:w="5000" w:type="pct"/>
          <w:tblInd w:w="0" w:type="dxa"/>
          <w:tblLayout w:type="fixed"/>
          <w:tblCellMar>
            <w:top w:w="0" w:type="dxa"/>
            <w:left w:w="108" w:type="dxa"/>
            <w:bottom w:w="0" w:type="dxa"/>
            <w:right w:w="108" w:type="dxa"/>
          </w:tblCellMar>
        </w:tblPrEx>
        <w:trPr>
          <w:trHeight w:val="297"/>
        </w:trPr>
        <w:tc>
          <w:tcPr>
            <w:tcW w:w="717"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2</w:t>
            </w:r>
          </w:p>
        </w:tc>
        <w:tc>
          <w:tcPr>
            <w:tcW w:w="2741" w:type="dxa"/>
            <w:noWrap w:val="0"/>
            <w:vAlign w:val="center"/>
          </w:tcPr>
          <w:p>
            <w:pPr>
              <w:keepNext w:val="0"/>
              <w:keepLines w:val="0"/>
              <w:widowControl/>
              <w:suppressLineNumbers w:val="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sz w:val="21"/>
                <w:szCs w:val="21"/>
                <w:lang w:eastAsia="zh-CN" w:bidi="ar"/>
              </w:rPr>
              <w:t>手持金属探测器</w:t>
            </w:r>
          </w:p>
        </w:tc>
        <w:tc>
          <w:tcPr>
            <w:tcW w:w="814" w:type="dxa"/>
            <w:noWrap w:val="0"/>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rPr>
              <w:t>4</w:t>
            </w:r>
          </w:p>
        </w:tc>
        <w:tc>
          <w:tcPr>
            <w:tcW w:w="1358" w:type="dxa"/>
            <w:noWrap w:val="0"/>
            <w:vAlign w:val="center"/>
          </w:tcPr>
          <w:p>
            <w:pPr>
              <w:keepNext w:val="0"/>
              <w:keepLines w:val="0"/>
              <w:widowControl/>
              <w:suppressLineNumbers w:val="0"/>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eastAsia="zh-CN" w:bidi="ar"/>
              </w:rPr>
              <w:t>套</w:t>
            </w:r>
          </w:p>
        </w:tc>
        <w:tc>
          <w:tcPr>
            <w:tcW w:w="1070" w:type="dxa"/>
            <w:vMerge/>
            <w:noWrap w:val="0"/>
            <w:vAlign w:val="center"/>
          </w:tcPr>
          <w:p>
            <w:pPr>
              <w:jc w:val="center"/>
              <w:rPr>
                <w:rFonts w:ascii="宋体" w:eastAsia="宋体" w:hAnsi="宋体" w:cs="宋体" w:hint="eastAsia"/>
                <w:bCs/>
                <w:sz w:val="21"/>
                <w:szCs w:val="21"/>
              </w:rPr>
            </w:pPr>
          </w:p>
        </w:tc>
        <w:tc>
          <w:tcPr>
            <w:tcW w:w="2024" w:type="dxa"/>
            <w:vMerge/>
            <w:noWrap w:val="0"/>
            <w:vAlign w:val="top"/>
          </w:tcPr>
          <w:p>
            <w:pPr>
              <w:jc w:val="center"/>
              <w:rPr>
                <w:rFonts w:ascii="宋体" w:eastAsia="宋体" w:hAnsi="宋体" w:cs="宋体" w:hint="eastAsia"/>
                <w:bCs/>
                <w:sz w:val="21"/>
                <w:szCs w:val="21"/>
              </w:rPr>
            </w:pPr>
          </w:p>
        </w:tc>
      </w:tr>
      <w:tr>
        <w:tblPrEx>
          <w:tblW w:w="5000" w:type="pct"/>
          <w:tblInd w:w="0" w:type="dxa"/>
          <w:tblLayout w:type="fixed"/>
          <w:tblCellMar>
            <w:top w:w="0" w:type="dxa"/>
            <w:left w:w="108" w:type="dxa"/>
            <w:bottom w:w="0" w:type="dxa"/>
            <w:right w:w="108" w:type="dxa"/>
          </w:tblCellMar>
        </w:tblPrEx>
        <w:trPr>
          <w:trHeight w:val="297"/>
        </w:trPr>
        <w:tc>
          <w:tcPr>
            <w:tcW w:w="717"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3</w:t>
            </w:r>
          </w:p>
        </w:tc>
        <w:tc>
          <w:tcPr>
            <w:tcW w:w="2741" w:type="dxa"/>
            <w:noWrap w:val="0"/>
            <w:vAlign w:val="center"/>
          </w:tcPr>
          <w:p>
            <w:pPr>
              <w:keepNext w:val="0"/>
              <w:keepLines w:val="0"/>
              <w:widowControl/>
              <w:suppressLineNumbers w:val="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sz w:val="21"/>
                <w:szCs w:val="21"/>
                <w:lang w:eastAsia="zh-CN" w:bidi="ar"/>
              </w:rPr>
              <w:t>一体式升降柱(圆形）</w:t>
            </w:r>
          </w:p>
        </w:tc>
        <w:tc>
          <w:tcPr>
            <w:tcW w:w="814" w:type="dxa"/>
            <w:noWrap w:val="0"/>
            <w:vAlign w:val="center"/>
          </w:tcPr>
          <w:p>
            <w:pPr>
              <w:keepNext w:val="0"/>
              <w:keepLines w:val="0"/>
              <w:widowControl/>
              <w:suppressLineNumbers w:val="0"/>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eastAsia="zh-CN"/>
              </w:rPr>
              <w:t>6</w:t>
            </w:r>
          </w:p>
        </w:tc>
        <w:tc>
          <w:tcPr>
            <w:tcW w:w="1358" w:type="dxa"/>
            <w:noWrap w:val="0"/>
            <w:vAlign w:val="center"/>
          </w:tcPr>
          <w:p>
            <w:pPr>
              <w:keepNext w:val="0"/>
              <w:keepLines w:val="0"/>
              <w:widowControl/>
              <w:suppressLineNumbers w:val="0"/>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eastAsia="zh-CN" w:bidi="ar"/>
              </w:rPr>
              <w:t>根</w:t>
            </w:r>
          </w:p>
        </w:tc>
        <w:tc>
          <w:tcPr>
            <w:tcW w:w="1070" w:type="dxa"/>
            <w:vMerge/>
            <w:noWrap w:val="0"/>
            <w:vAlign w:val="center"/>
          </w:tcPr>
          <w:p>
            <w:pPr>
              <w:jc w:val="center"/>
              <w:rPr>
                <w:rFonts w:ascii="宋体" w:eastAsia="宋体" w:hAnsi="宋体" w:cs="宋体"/>
                <w:bCs/>
                <w:sz w:val="21"/>
                <w:szCs w:val="21"/>
                <w:lang w:eastAsia="zh-CN"/>
              </w:rPr>
            </w:pPr>
          </w:p>
        </w:tc>
        <w:tc>
          <w:tcPr>
            <w:tcW w:w="2024" w:type="dxa"/>
            <w:vMerge/>
            <w:noWrap w:val="0"/>
            <w:vAlign w:val="top"/>
          </w:tcPr>
          <w:p>
            <w:pPr>
              <w:jc w:val="center"/>
              <w:rPr>
                <w:rFonts w:ascii="宋体" w:eastAsia="宋体" w:hAnsi="宋体" w:cs="宋体" w:hint="eastAsia"/>
                <w:bCs/>
                <w:sz w:val="21"/>
                <w:szCs w:val="21"/>
              </w:rPr>
            </w:pPr>
          </w:p>
        </w:tc>
      </w:tr>
      <w:tr>
        <w:tblPrEx>
          <w:tblW w:w="5000" w:type="pct"/>
          <w:tblInd w:w="0" w:type="dxa"/>
          <w:tblLayout w:type="fixed"/>
          <w:tblCellMar>
            <w:top w:w="0" w:type="dxa"/>
            <w:left w:w="108" w:type="dxa"/>
            <w:bottom w:w="0" w:type="dxa"/>
            <w:right w:w="108" w:type="dxa"/>
          </w:tblCellMar>
        </w:tblPrEx>
        <w:trPr>
          <w:trHeight w:val="282"/>
        </w:trPr>
        <w:tc>
          <w:tcPr>
            <w:tcW w:w="717"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4</w:t>
            </w:r>
          </w:p>
        </w:tc>
        <w:tc>
          <w:tcPr>
            <w:tcW w:w="2741" w:type="dxa"/>
            <w:noWrap w:val="0"/>
            <w:vAlign w:val="center"/>
          </w:tcPr>
          <w:p>
            <w:pPr>
              <w:keepNext w:val="0"/>
              <w:keepLines w:val="0"/>
              <w:widowControl/>
              <w:suppressLineNumbers w:val="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sz w:val="21"/>
                <w:szCs w:val="21"/>
                <w:lang w:eastAsia="zh-CN" w:bidi="ar"/>
              </w:rPr>
              <w:t>升降柱控制器(一控十)</w:t>
            </w:r>
          </w:p>
        </w:tc>
        <w:tc>
          <w:tcPr>
            <w:tcW w:w="814" w:type="dxa"/>
            <w:noWrap w:val="0"/>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rPr>
              <w:t>1</w:t>
            </w:r>
          </w:p>
        </w:tc>
        <w:tc>
          <w:tcPr>
            <w:tcW w:w="1358" w:type="dxa"/>
            <w:noWrap w:val="0"/>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bidi="ar"/>
              </w:rPr>
              <w:t>台</w:t>
            </w:r>
          </w:p>
        </w:tc>
        <w:tc>
          <w:tcPr>
            <w:tcW w:w="1070" w:type="dxa"/>
            <w:vMerge/>
            <w:noWrap w:val="0"/>
            <w:vAlign w:val="center"/>
          </w:tcPr>
          <w:p>
            <w:pPr>
              <w:jc w:val="center"/>
              <w:rPr>
                <w:rFonts w:ascii="宋体" w:eastAsia="宋体" w:hAnsi="宋体" w:cs="宋体" w:hint="eastAsia"/>
                <w:bCs/>
                <w:sz w:val="21"/>
                <w:szCs w:val="21"/>
              </w:rPr>
            </w:pPr>
          </w:p>
        </w:tc>
        <w:tc>
          <w:tcPr>
            <w:tcW w:w="2024" w:type="dxa"/>
            <w:vMerge/>
            <w:noWrap w:val="0"/>
            <w:vAlign w:val="top"/>
          </w:tcPr>
          <w:p>
            <w:pPr>
              <w:jc w:val="center"/>
              <w:rPr>
                <w:rFonts w:ascii="宋体" w:eastAsia="宋体" w:hAnsi="宋体" w:cs="宋体" w:hint="eastAsia"/>
                <w:bCs/>
                <w:sz w:val="21"/>
                <w:szCs w:val="21"/>
              </w:rPr>
            </w:pPr>
          </w:p>
        </w:tc>
      </w:tr>
      <w:tr>
        <w:tblPrEx>
          <w:tblW w:w="5000" w:type="pct"/>
          <w:tblInd w:w="0" w:type="dxa"/>
          <w:tblLayout w:type="fixed"/>
          <w:tblCellMar>
            <w:top w:w="0" w:type="dxa"/>
            <w:left w:w="108" w:type="dxa"/>
            <w:bottom w:w="0" w:type="dxa"/>
            <w:right w:w="108" w:type="dxa"/>
          </w:tblCellMar>
        </w:tblPrEx>
        <w:trPr>
          <w:trHeight w:val="307"/>
        </w:trPr>
        <w:tc>
          <w:tcPr>
            <w:tcW w:w="717"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5</w:t>
            </w:r>
          </w:p>
        </w:tc>
        <w:tc>
          <w:tcPr>
            <w:tcW w:w="2741" w:type="dxa"/>
            <w:noWrap w:val="0"/>
            <w:vAlign w:val="center"/>
          </w:tcPr>
          <w:p>
            <w:pPr>
              <w:keepNext w:val="0"/>
              <w:keepLines w:val="0"/>
              <w:widowControl/>
              <w:suppressLineNumbers w:val="0"/>
              <w:jc w:val="center"/>
              <w:textAlignment w:val="center"/>
              <w:rPr>
                <w:rFonts w:ascii="宋体" w:eastAsia="宋体" w:hAnsi="宋体" w:cs="宋体" w:hint="eastAsia"/>
                <w:bCs/>
                <w:color w:val="000000"/>
                <w:sz w:val="21"/>
                <w:szCs w:val="21"/>
              </w:rPr>
            </w:pPr>
            <w:r>
              <w:rPr>
                <w:rFonts w:ascii="宋体" w:eastAsia="宋体" w:hAnsi="宋体" w:cs="宋体" w:hint="eastAsia"/>
                <w:color w:val="000000"/>
                <w:sz w:val="21"/>
                <w:szCs w:val="21"/>
                <w:lang w:eastAsia="zh-CN" w:bidi="ar"/>
              </w:rPr>
              <w:t>LED固定柱(圆形）</w:t>
            </w:r>
          </w:p>
        </w:tc>
        <w:tc>
          <w:tcPr>
            <w:tcW w:w="814" w:type="dxa"/>
            <w:noWrap w:val="0"/>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rPr>
              <w:t>2</w:t>
            </w:r>
          </w:p>
        </w:tc>
        <w:tc>
          <w:tcPr>
            <w:tcW w:w="1358" w:type="dxa"/>
            <w:noWrap w:val="0"/>
            <w:vAlign w:val="center"/>
          </w:tcPr>
          <w:p>
            <w:pPr>
              <w:keepNext w:val="0"/>
              <w:keepLines w:val="0"/>
              <w:widowControl/>
              <w:suppressLineNumbers w:val="0"/>
              <w:jc w:val="center"/>
              <w:textAlignment w:val="center"/>
              <w:rPr>
                <w:rFonts w:ascii="宋体" w:eastAsia="宋体" w:hAnsi="宋体" w:cs="宋体" w:hint="eastAsia"/>
                <w:bCs/>
                <w:sz w:val="21"/>
                <w:szCs w:val="21"/>
              </w:rPr>
            </w:pPr>
            <w:r>
              <w:rPr>
                <w:rFonts w:ascii="宋体" w:eastAsia="宋体" w:hAnsi="宋体" w:cs="宋体" w:hint="eastAsia"/>
                <w:color w:val="000000"/>
                <w:sz w:val="21"/>
                <w:szCs w:val="21"/>
                <w:lang w:eastAsia="zh-CN" w:bidi="ar"/>
              </w:rPr>
              <w:t>根</w:t>
            </w:r>
          </w:p>
        </w:tc>
        <w:tc>
          <w:tcPr>
            <w:tcW w:w="1070" w:type="dxa"/>
            <w:vMerge/>
            <w:noWrap w:val="0"/>
            <w:vAlign w:val="center"/>
          </w:tcPr>
          <w:p>
            <w:pPr>
              <w:jc w:val="center"/>
              <w:rPr>
                <w:rFonts w:ascii="宋体" w:eastAsia="宋体" w:hAnsi="宋体" w:cs="宋体" w:hint="eastAsia"/>
                <w:bCs/>
                <w:sz w:val="21"/>
                <w:szCs w:val="21"/>
              </w:rPr>
            </w:pPr>
          </w:p>
        </w:tc>
        <w:tc>
          <w:tcPr>
            <w:tcW w:w="2024" w:type="dxa"/>
            <w:vMerge/>
            <w:noWrap w:val="0"/>
            <w:vAlign w:val="top"/>
          </w:tcPr>
          <w:p>
            <w:pPr>
              <w:jc w:val="center"/>
              <w:rPr>
                <w:rFonts w:ascii="宋体" w:eastAsia="宋体" w:hAnsi="宋体" w:cs="宋体" w:hint="eastAsia"/>
                <w:bCs/>
                <w:sz w:val="21"/>
                <w:szCs w:val="21"/>
              </w:rPr>
            </w:pPr>
          </w:p>
        </w:tc>
      </w:tr>
    </w:tbl>
    <w:p>
      <w:pPr>
        <w:numPr>
          <w:ilvl w:val="0"/>
          <w:numId w:val="0"/>
        </w:numPr>
        <w:spacing w:line="360" w:lineRule="auto"/>
        <w:ind w:left="0" w:firstLine="0"/>
        <w:rPr>
          <w:rFonts w:hint="eastAsia"/>
          <w:b/>
          <w:bCs/>
          <w:lang w:eastAsia="zh-CN"/>
        </w:rPr>
      </w:pPr>
    </w:p>
    <w:p>
      <w:pPr>
        <w:widowControl w:val="0"/>
        <w:numPr>
          <w:ilvl w:val="0"/>
          <w:numId w:val="2"/>
        </w:numPr>
        <w:spacing w:after="120" w:line="360" w:lineRule="auto"/>
        <w:ind w:firstLine="420" w:firstLineChars="200"/>
        <w:jc w:val="both"/>
        <w:rPr>
          <w:rFonts w:ascii="宋体" w:eastAsia="宋体" w:hAnsi="宋体" w:hint="eastAsia"/>
          <w:b/>
          <w:color w:val="000000"/>
          <w:sz w:val="21"/>
          <w:szCs w:val="21"/>
          <w:lang w:eastAsia="zh-CN"/>
        </w:rPr>
      </w:pPr>
      <w:r>
        <w:rPr>
          <w:rFonts w:ascii="宋体" w:eastAsia="宋体" w:hAnsi="宋体" w:hint="eastAsia"/>
          <w:b/>
          <w:color w:val="000000"/>
          <w:sz w:val="21"/>
          <w:szCs w:val="21"/>
          <w:lang w:eastAsia="zh-CN"/>
        </w:rPr>
        <w:t>本项目总预算为258,092.00元。投标总价不得超过项目总预算限额。</w:t>
      </w:r>
    </w:p>
    <w:p>
      <w:pPr>
        <w:widowControl w:val="0"/>
        <w:numPr>
          <w:ilvl w:val="0"/>
          <w:numId w:val="2"/>
        </w:numPr>
        <w:spacing w:after="120" w:line="360" w:lineRule="auto"/>
        <w:ind w:left="0" w:firstLine="420" w:leftChars="0" w:firstLineChars="200"/>
        <w:jc w:val="both"/>
        <w:rPr>
          <w:rFonts w:ascii="宋体" w:eastAsia="宋体" w:hAnsi="宋体" w:hint="eastAsia"/>
          <w:b/>
          <w:color w:val="000000"/>
          <w:sz w:val="21"/>
          <w:szCs w:val="21"/>
          <w:lang w:eastAsia="zh-CN"/>
        </w:rPr>
      </w:pPr>
      <w:r>
        <w:rPr>
          <w:rFonts w:ascii="宋体" w:eastAsia="宋体" w:hAnsi="宋体" w:hint="eastAsia"/>
          <w:b/>
          <w:color w:val="000000"/>
          <w:sz w:val="21"/>
          <w:szCs w:val="21"/>
          <w:lang w:eastAsia="zh-CN"/>
        </w:rPr>
        <w:t>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widowControl w:val="0"/>
        <w:numPr>
          <w:ilvl w:val="0"/>
          <w:numId w:val="0"/>
        </w:numPr>
        <w:spacing w:after="120" w:line="360" w:lineRule="auto"/>
        <w:ind w:left="480" w:firstLine="0" w:leftChars="200"/>
        <w:jc w:val="both"/>
        <w:rPr>
          <w:rFonts w:ascii="宋体" w:eastAsia="宋体" w:hAnsi="宋体" w:hint="eastAsia"/>
          <w:b/>
          <w:color w:val="000000"/>
          <w:sz w:val="21"/>
          <w:szCs w:val="21"/>
          <w:u w:val="single"/>
          <w:lang w:eastAsia="zh-CN"/>
        </w:rPr>
      </w:pPr>
      <w:r>
        <w:rPr>
          <w:rFonts w:ascii="宋体" w:eastAsia="宋体" w:hAnsi="宋体" w:hint="eastAsia"/>
          <w:b/>
          <w:color w:val="000000"/>
          <w:sz w:val="21"/>
          <w:szCs w:val="21"/>
          <w:lang w:eastAsia="zh-CN"/>
        </w:rPr>
        <w:t>3、核心产品：</w:t>
      </w:r>
      <w:r>
        <w:rPr>
          <w:rFonts w:ascii="宋体" w:eastAsia="宋体" w:hAnsi="宋体" w:hint="eastAsia"/>
          <w:b/>
          <w:color w:val="000000"/>
          <w:sz w:val="21"/>
          <w:szCs w:val="21"/>
          <w:u w:val="single"/>
          <w:lang w:eastAsia="zh-CN"/>
        </w:rPr>
        <w:t>X射线安全检测设备</w:t>
      </w: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52"/>
        <w:gridCol w:w="790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jc w:val="center"/>
        </w:trPr>
        <w:tc>
          <w:tcPr>
            <w:tcW w:w="961"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序号</w:t>
            </w:r>
          </w:p>
        </w:tc>
        <w:tc>
          <w:tcPr>
            <w:tcW w:w="8000"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jc w:val="center"/>
        </w:trPr>
        <w:tc>
          <w:tcPr>
            <w:tcW w:w="961" w:type="dxa"/>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p>
        </w:tc>
        <w:tc>
          <w:tcPr>
            <w:tcW w:w="8000" w:type="dxa"/>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3"/>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jc w:val="both"/>
        <w:rPr>
          <w:rFonts w:ascii="Calibri" w:eastAsia="宋体" w:hAnsi="Calibri"/>
          <w:b/>
          <w:color w:val="FF0000"/>
          <w:kern w:val="2"/>
          <w:sz w:val="21"/>
          <w:szCs w:val="22"/>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四、商务条款要求</w:t>
      </w:r>
    </w:p>
    <w:p>
      <w:pPr>
        <w:widowControl w:val="0"/>
        <w:ind w:firstLine="420" w:firstLineChars="200"/>
        <w:jc w:val="both"/>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65"/>
        <w:gridCol w:w="1627"/>
        <w:gridCol w:w="5964"/>
      </w:tblGrid>
      <w:tr>
        <w:tblPrEx>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162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目录</w:t>
            </w:r>
          </w:p>
        </w:tc>
        <w:tc>
          <w:tcPr>
            <w:tcW w:w="594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采购商务需求</w:t>
            </w:r>
          </w:p>
        </w:tc>
      </w:tr>
      <w:tr>
        <w:tblPrEx>
          <w:tblW w:w="5000" w:type="pct"/>
          <w:tblInd w:w="108" w:type="dxa"/>
          <w:tblLayout w:type="fixed"/>
          <w:tblCellMar>
            <w:top w:w="0" w:type="dxa"/>
            <w:left w:w="108" w:type="dxa"/>
            <w:bottom w:w="0" w:type="dxa"/>
            <w:right w:w="108" w:type="dxa"/>
          </w:tblCellMar>
        </w:tblPrEx>
        <w:trPr>
          <w:trHeight w:val="280"/>
        </w:trPr>
        <w:tc>
          <w:tcPr>
            <w:tcW w:w="8820"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（一）免费保修期内售后服务要求</w:t>
            </w:r>
          </w:p>
        </w:tc>
      </w:tr>
      <w:tr>
        <w:tblPrEx>
          <w:tblW w:w="5000" w:type="pct"/>
          <w:tblInd w:w="108" w:type="dxa"/>
          <w:tblLayout w:type="fixed"/>
          <w:tblCellMar>
            <w:top w:w="0" w:type="dxa"/>
            <w:left w:w="108" w:type="dxa"/>
            <w:bottom w:w="0" w:type="dxa"/>
            <w:right w:w="108" w:type="dxa"/>
          </w:tblCellMar>
        </w:tblPrEx>
        <w:trPr>
          <w:trHeight w:val="1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noWrap w:val="0"/>
            <w:vAlign w:val="center"/>
          </w:tcPr>
          <w:p>
            <w:pPr>
              <w:rPr>
                <w:rFonts w:ascii="宋体" w:eastAsia="宋体" w:hAnsi="宋体" w:cs="宋体" w:hint="eastAsia"/>
                <w:sz w:val="21"/>
                <w:szCs w:val="21"/>
              </w:rPr>
            </w:pPr>
            <w:r>
              <w:rPr>
                <w:rFonts w:ascii="宋体" w:eastAsia="宋体" w:hAnsi="宋体" w:cs="宋体" w:hint="eastAsia"/>
                <w:sz w:val="21"/>
                <w:szCs w:val="21"/>
              </w:rPr>
              <w:t>免费保修期</w:t>
            </w:r>
          </w:p>
        </w:tc>
        <w:tc>
          <w:tcPr>
            <w:tcW w:w="5940"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w:t>
            </w:r>
            <w:r>
              <w:rPr>
                <w:rFonts w:ascii="宋体" w:eastAsia="宋体" w:hAnsi="宋体" w:cs="宋体" w:hint="eastAsia"/>
                <w:bCs/>
                <w:sz w:val="21"/>
                <w:szCs w:val="21"/>
              </w:rPr>
              <w:t>货物免费保修期至少__</w:t>
            </w:r>
            <w:r>
              <w:rPr>
                <w:rFonts w:ascii="宋体" w:eastAsia="宋体" w:hAnsi="宋体" w:cs="宋体" w:hint="eastAsia"/>
                <w:bCs/>
                <w:sz w:val="21"/>
                <w:szCs w:val="21"/>
                <w:lang w:eastAsia="zh-CN"/>
              </w:rPr>
              <w:t>3</w:t>
            </w:r>
            <w:r>
              <w:rPr>
                <w:rFonts w:ascii="宋体" w:eastAsia="宋体" w:hAnsi="宋体" w:cs="宋体" w:hint="eastAsia"/>
                <w:bCs/>
                <w:sz w:val="21"/>
                <w:szCs w:val="21"/>
              </w:rPr>
              <w:t>__年，时间自最终验收合格并交付使用之日起计算。</w:t>
            </w:r>
          </w:p>
        </w:tc>
      </w:tr>
      <w:tr>
        <w:tblPrEx>
          <w:tblW w:w="5000" w:type="pct"/>
          <w:tblInd w:w="108" w:type="dxa"/>
          <w:tblLayout w:type="fixed"/>
          <w:tblCellMar>
            <w:top w:w="0" w:type="dxa"/>
            <w:left w:w="108" w:type="dxa"/>
            <w:bottom w:w="0" w:type="dxa"/>
            <w:right w:w="108" w:type="dxa"/>
          </w:tblCellMar>
        </w:tblPrEx>
        <w:trPr>
          <w:trHeight w:val="32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noWrap w:val="0"/>
            <w:vAlign w:val="top"/>
          </w:tcPr>
          <w:p>
            <w:pPr>
              <w:rPr>
                <w:rFonts w:ascii="宋体" w:eastAsia="宋体" w:hAnsi="宋体" w:cs="宋体" w:hint="eastAsia"/>
                <w:sz w:val="21"/>
                <w:szCs w:val="21"/>
              </w:rPr>
            </w:pPr>
            <w:r>
              <w:rPr>
                <w:rFonts w:ascii="宋体" w:eastAsia="宋体" w:hAnsi="宋体" w:cs="宋体" w:hint="eastAsia"/>
                <w:sz w:val="21"/>
                <w:szCs w:val="21"/>
              </w:rPr>
              <w:t>维修响应及故障解决时间</w:t>
            </w:r>
          </w:p>
        </w:tc>
        <w:tc>
          <w:tcPr>
            <w:tcW w:w="5940"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lang w:eastAsia="zh-CN"/>
              </w:rPr>
              <w:t>投标人承诺中标后，</w:t>
            </w:r>
            <w:r>
              <w:rPr>
                <w:rFonts w:ascii="宋体" w:eastAsia="宋体" w:hAnsi="宋体" w:cs="宋体" w:hint="eastAsia"/>
                <w:bCs/>
                <w:sz w:val="21"/>
                <w:szCs w:val="21"/>
              </w:rPr>
              <w:t>在保修期内，一旦发生质量问题，</w:t>
            </w:r>
            <w:r>
              <w:rPr>
                <w:rFonts w:ascii="宋体" w:eastAsia="宋体" w:hAnsi="宋体" w:cs="宋体" w:hint="eastAsia"/>
                <w:bCs/>
                <w:sz w:val="21"/>
                <w:szCs w:val="21"/>
                <w:lang w:eastAsia="zh-CN"/>
              </w:rPr>
              <w:t>投标人</w:t>
            </w:r>
            <w:r>
              <w:rPr>
                <w:rFonts w:ascii="宋体" w:eastAsia="宋体" w:hAnsi="宋体" w:cs="宋体" w:hint="eastAsia"/>
                <w:bCs/>
                <w:sz w:val="21"/>
                <w:szCs w:val="21"/>
              </w:rPr>
              <w:t>保证在接到通知24小时内赶到现场进行修理或更换。</w:t>
            </w:r>
          </w:p>
        </w:tc>
      </w:tr>
      <w:tr>
        <w:tblPrEx>
          <w:tblW w:w="5000" w:type="pct"/>
          <w:tblInd w:w="108" w:type="dxa"/>
          <w:tblLayout w:type="fixed"/>
          <w:tblCellMar>
            <w:top w:w="0" w:type="dxa"/>
            <w:left w:w="108" w:type="dxa"/>
            <w:bottom w:w="0" w:type="dxa"/>
            <w:right w:w="108" w:type="dxa"/>
          </w:tblCellMar>
        </w:tblPrEx>
        <w:trPr>
          <w:trHeight w:val="523"/>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lang w:eastAsia="zh-CN"/>
              </w:rPr>
              <w:t>3</w:t>
            </w:r>
          </w:p>
        </w:tc>
        <w:tc>
          <w:tcPr>
            <w:tcW w:w="1620" w:type="dxa"/>
            <w:noWrap w:val="0"/>
            <w:vAlign w:val="center"/>
          </w:tcPr>
          <w:p>
            <w:pPr>
              <w:rPr>
                <w:rFonts w:ascii="宋体" w:eastAsia="宋体" w:hAnsi="宋体" w:cs="宋体" w:hint="eastAsia"/>
                <w:b/>
                <w:sz w:val="21"/>
                <w:szCs w:val="21"/>
              </w:rPr>
            </w:pPr>
            <w:r>
              <w:rPr>
                <w:rFonts w:ascii="宋体" w:eastAsia="宋体" w:hAnsi="宋体" w:cs="宋体" w:hint="eastAsia"/>
                <w:sz w:val="21"/>
                <w:szCs w:val="21"/>
              </w:rPr>
              <w:t>其他</w:t>
            </w:r>
          </w:p>
        </w:tc>
        <w:tc>
          <w:tcPr>
            <w:tcW w:w="5940" w:type="dxa"/>
            <w:noWrap w:val="0"/>
            <w:vAlign w:val="center"/>
          </w:tcPr>
          <w:p>
            <w:pPr>
              <w:rPr>
                <w:rFonts w:ascii="宋体" w:eastAsia="宋体" w:hAnsi="宋体" w:cs="宋体" w:hint="eastAsia"/>
                <w:b/>
                <w:sz w:val="21"/>
                <w:szCs w:val="21"/>
              </w:rPr>
            </w:pP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应按其投标文件中的承诺，进行其他售后服务工作。</w:t>
            </w:r>
          </w:p>
        </w:tc>
      </w:tr>
      <w:tr>
        <w:tblPrEx>
          <w:tblW w:w="5000" w:type="pct"/>
          <w:tblInd w:w="108" w:type="dxa"/>
          <w:tblLayout w:type="fixed"/>
          <w:tblCellMar>
            <w:top w:w="0" w:type="dxa"/>
            <w:left w:w="108" w:type="dxa"/>
            <w:bottom w:w="0" w:type="dxa"/>
            <w:right w:w="108" w:type="dxa"/>
          </w:tblCellMar>
        </w:tblPrEx>
        <w:trPr>
          <w:trHeight w:val="280"/>
        </w:trPr>
        <w:tc>
          <w:tcPr>
            <w:tcW w:w="8820"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（二）免费保修期外售后服务要求</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维修响应及故障解决时间</w:t>
            </w:r>
          </w:p>
        </w:tc>
        <w:tc>
          <w:tcPr>
            <w:tcW w:w="5940"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在质保期后，</w:t>
            </w:r>
            <w:r>
              <w:rPr>
                <w:rFonts w:ascii="宋体" w:eastAsia="宋体" w:hAnsi="宋体" w:cs="宋体" w:hint="eastAsia"/>
                <w:bCs/>
                <w:sz w:val="21"/>
                <w:szCs w:val="21"/>
              </w:rPr>
              <w:t>一旦发生质量问题，投标人保证在接到通知24小时内赶到现场进行修理或更换。</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保修期后服务收费</w:t>
            </w:r>
          </w:p>
        </w:tc>
        <w:tc>
          <w:tcPr>
            <w:tcW w:w="5940"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保修期后继续支持维修，并按成本价标准收取维修及零件费用。</w:t>
            </w:r>
          </w:p>
        </w:tc>
      </w:tr>
      <w:tr>
        <w:tblPrEx>
          <w:tblW w:w="5000" w:type="pct"/>
          <w:tblInd w:w="108" w:type="dxa"/>
          <w:tblLayout w:type="fixed"/>
          <w:tblCellMar>
            <w:top w:w="0" w:type="dxa"/>
            <w:left w:w="108" w:type="dxa"/>
            <w:bottom w:w="0" w:type="dxa"/>
            <w:right w:w="108" w:type="dxa"/>
          </w:tblCellMar>
        </w:tblPrEx>
        <w:trPr>
          <w:trHeight w:val="350"/>
        </w:trPr>
        <w:tc>
          <w:tcPr>
            <w:tcW w:w="8820"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（三）其他商务要求</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vMerge w:val="restart"/>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关于交货</w:t>
            </w:r>
          </w:p>
        </w:tc>
        <w:tc>
          <w:tcPr>
            <w:tcW w:w="5940"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1.1</w:t>
            </w:r>
            <w:r>
              <w:rPr>
                <w:rFonts w:ascii="宋体" w:eastAsia="宋体" w:hAnsi="宋体" w:cs="宋体" w:hint="eastAsia"/>
                <w:sz w:val="21"/>
                <w:szCs w:val="21"/>
              </w:rPr>
              <w:t>★</w:t>
            </w:r>
            <w:r>
              <w:rPr>
                <w:rFonts w:ascii="宋体" w:eastAsia="宋体" w:hAnsi="宋体" w:cs="宋体" w:hint="eastAsia"/>
                <w:bCs/>
                <w:sz w:val="21"/>
                <w:szCs w:val="21"/>
              </w:rPr>
              <w:t>签订合同后____</w:t>
            </w:r>
            <w:r>
              <w:rPr>
                <w:rFonts w:ascii="宋体" w:eastAsia="宋体" w:hAnsi="宋体" w:cs="宋体" w:hint="eastAsia"/>
                <w:bCs/>
                <w:sz w:val="21"/>
                <w:szCs w:val="21"/>
                <w:u w:val="single"/>
                <w:lang w:eastAsia="zh-CN"/>
              </w:rPr>
              <w:t>20</w:t>
            </w:r>
            <w:r>
              <w:rPr>
                <w:rFonts w:ascii="宋体" w:eastAsia="宋体" w:hAnsi="宋体" w:cs="宋体" w:hint="eastAsia"/>
                <w:bCs/>
                <w:sz w:val="21"/>
                <w:szCs w:val="21"/>
              </w:rPr>
              <w:t>___天（日历日）内。</w:t>
            </w:r>
          </w:p>
        </w:tc>
      </w:tr>
      <w:tr>
        <w:tblPrEx>
          <w:tblW w:w="5000" w:type="pct"/>
          <w:tblInd w:w="108" w:type="dxa"/>
          <w:tblLayout w:type="fixed"/>
          <w:tblCellMar>
            <w:top w:w="0" w:type="dxa"/>
            <w:left w:w="108" w:type="dxa"/>
            <w:bottom w:w="0" w:type="dxa"/>
            <w:right w:w="108" w:type="dxa"/>
          </w:tblCellMar>
        </w:tblPrEx>
        <w:trPr>
          <w:trHeight w:val="451"/>
        </w:trPr>
        <w:tc>
          <w:tcPr>
            <w:tcW w:w="1260" w:type="dxa"/>
            <w:vMerge/>
            <w:noWrap w:val="0"/>
            <w:vAlign w:val="center"/>
          </w:tcPr>
          <w:p>
            <w:pPr>
              <w:jc w:val="center"/>
              <w:rPr>
                <w:rFonts w:ascii="宋体" w:eastAsia="宋体" w:hAnsi="宋体" w:cs="宋体" w:hint="eastAsia"/>
                <w:b/>
                <w:sz w:val="21"/>
                <w:szCs w:val="21"/>
              </w:rPr>
            </w:pPr>
          </w:p>
        </w:tc>
        <w:tc>
          <w:tcPr>
            <w:tcW w:w="1620" w:type="dxa"/>
            <w:vMerge/>
            <w:noWrap w:val="0"/>
            <w:vAlign w:val="center"/>
          </w:tcPr>
          <w:p>
            <w:pPr>
              <w:jc w:val="center"/>
              <w:rPr>
                <w:rFonts w:ascii="宋体" w:eastAsia="宋体" w:hAnsi="宋体" w:cs="宋体" w:hint="eastAsia"/>
                <w:sz w:val="21"/>
                <w:szCs w:val="21"/>
              </w:rPr>
            </w:pPr>
          </w:p>
        </w:tc>
        <w:tc>
          <w:tcPr>
            <w:tcW w:w="5940"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1.2</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必须承担设备运输、安装调试、验收检测和提供设备操作说明书、图纸等其他类似的义务。</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vMerge w:val="restart"/>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关于验收</w:t>
            </w:r>
          </w:p>
        </w:tc>
        <w:tc>
          <w:tcPr>
            <w:tcW w:w="594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2.1</w:t>
            </w:r>
            <w:r>
              <w:rPr>
                <w:rFonts w:ascii="宋体" w:eastAsia="宋体" w:hAnsi="宋体" w:cs="宋体" w:hint="eastAsia"/>
                <w:bCs/>
                <w:sz w:val="21"/>
                <w:szCs w:val="21"/>
                <w:lang w:eastAsia="zh-CN"/>
              </w:rPr>
              <w:t>投标人中标后，其</w:t>
            </w:r>
            <w:r>
              <w:rPr>
                <w:rFonts w:ascii="宋体" w:eastAsia="宋体" w:hAnsi="宋体" w:cs="宋体" w:hint="eastAsia"/>
                <w:bCs/>
                <w:sz w:val="21"/>
                <w:szCs w:val="21"/>
              </w:rPr>
              <w:t>货物经过双方检验认可后，签署验收报告，产品保修期自验收合格之日起算，由</w:t>
            </w:r>
            <w:r>
              <w:rPr>
                <w:rFonts w:ascii="宋体" w:eastAsia="宋体" w:hAnsi="宋体" w:cs="宋体" w:hint="eastAsia"/>
                <w:bCs/>
                <w:sz w:val="21"/>
                <w:szCs w:val="21"/>
                <w:lang w:eastAsia="zh-CN"/>
              </w:rPr>
              <w:t>投标人</w:t>
            </w:r>
            <w:r>
              <w:rPr>
                <w:rFonts w:ascii="宋体" w:eastAsia="宋体" w:hAnsi="宋体" w:cs="宋体" w:hint="eastAsia"/>
                <w:bCs/>
                <w:sz w:val="21"/>
                <w:szCs w:val="21"/>
              </w:rPr>
              <w:t>提供产品保修文件。</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
                <w:sz w:val="21"/>
                <w:szCs w:val="21"/>
              </w:rPr>
            </w:pPr>
          </w:p>
        </w:tc>
        <w:tc>
          <w:tcPr>
            <w:tcW w:w="1620" w:type="dxa"/>
            <w:vMerge/>
            <w:noWrap w:val="0"/>
            <w:vAlign w:val="top"/>
          </w:tcPr>
          <w:p>
            <w:pPr>
              <w:rPr>
                <w:rFonts w:ascii="宋体" w:eastAsia="宋体" w:hAnsi="宋体" w:cs="宋体" w:hint="eastAsia"/>
                <w:b/>
                <w:sz w:val="21"/>
                <w:szCs w:val="21"/>
              </w:rPr>
            </w:pPr>
          </w:p>
        </w:tc>
        <w:tc>
          <w:tcPr>
            <w:tcW w:w="594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2.2</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当满足以下条件时，采购人才向</w:t>
            </w:r>
            <w:r>
              <w:rPr>
                <w:rFonts w:ascii="宋体" w:eastAsia="宋体" w:hAnsi="宋体" w:cs="宋体" w:hint="eastAsia"/>
                <w:bCs/>
                <w:sz w:val="21"/>
                <w:szCs w:val="21"/>
                <w:lang w:eastAsia="zh-CN"/>
              </w:rPr>
              <w:t>投标人</w:t>
            </w:r>
            <w:r>
              <w:rPr>
                <w:rFonts w:ascii="宋体" w:eastAsia="宋体" w:hAnsi="宋体" w:cs="宋体" w:hint="eastAsia"/>
                <w:bCs/>
                <w:sz w:val="21"/>
                <w:szCs w:val="21"/>
              </w:rPr>
              <w:t>签发货物验收报告：</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a、</w:t>
            </w:r>
            <w:r>
              <w:rPr>
                <w:rFonts w:ascii="宋体" w:eastAsia="宋体" w:hAnsi="宋体" w:cs="宋体" w:hint="eastAsia"/>
                <w:bCs/>
                <w:sz w:val="21"/>
                <w:szCs w:val="21"/>
                <w:lang w:eastAsia="zh-CN"/>
              </w:rPr>
              <w:t>投标人</w:t>
            </w:r>
            <w:r>
              <w:rPr>
                <w:rFonts w:ascii="宋体" w:eastAsia="宋体" w:hAnsi="宋体" w:cs="宋体" w:hint="eastAsia"/>
                <w:bCs/>
                <w:sz w:val="21"/>
                <w:szCs w:val="21"/>
              </w:rPr>
              <w:t>已按照合同规定提供了全部产品及完整的技术资料。</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b、货物符合采购文件技术规格书的要求，性能满足要求。</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c、货物具备产品合格证。</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3</w:t>
            </w:r>
          </w:p>
        </w:tc>
        <w:tc>
          <w:tcPr>
            <w:tcW w:w="162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违约责任</w:t>
            </w:r>
          </w:p>
        </w:tc>
        <w:tc>
          <w:tcPr>
            <w:tcW w:w="594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sz w:val="21"/>
                <w:szCs w:val="21"/>
              </w:rPr>
              <w:t>3.1如</w:t>
            </w:r>
            <w:r>
              <w:rPr>
                <w:rFonts w:ascii="宋体" w:eastAsia="宋体" w:hAnsi="宋体" w:cs="宋体" w:hint="eastAsia"/>
                <w:bCs/>
                <w:sz w:val="21"/>
                <w:szCs w:val="21"/>
                <w:lang w:eastAsia="zh-CN"/>
              </w:rPr>
              <w:t>投标人中标后</w:t>
            </w:r>
            <w:r>
              <w:rPr>
                <w:rFonts w:ascii="宋体" w:eastAsia="宋体" w:hAnsi="宋体" w:cs="宋体" w:hint="eastAsia"/>
                <w:sz w:val="21"/>
                <w:szCs w:val="21"/>
              </w:rPr>
              <w:t>未按照投标文件中承诺的时间交货或提供服务，</w:t>
            </w:r>
            <w:r>
              <w:rPr>
                <w:rFonts w:ascii="宋体" w:eastAsia="宋体" w:hAnsi="宋体" w:cs="宋体" w:hint="eastAsia"/>
                <w:bCs/>
                <w:sz w:val="21"/>
                <w:szCs w:val="21"/>
                <w:lang w:eastAsia="zh-CN"/>
              </w:rPr>
              <w:t>投标人</w:t>
            </w:r>
            <w:r>
              <w:rPr>
                <w:rFonts w:ascii="宋体" w:eastAsia="宋体" w:hAnsi="宋体" w:cs="宋体" w:hint="eastAsia"/>
                <w:sz w:val="21"/>
                <w:szCs w:val="21"/>
              </w:rPr>
              <w:t>应承担延期交货和延期服务的违约责任，并赔偿采购人因此造成的实际经济损失，采购人有权终止合同。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594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3.2</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所交设备的品种、型号、规格、质量、功能、技术参数等方面不能实质性满足采购文件要求的，采购人有权拒绝收货，</w:t>
            </w:r>
            <w:r>
              <w:rPr>
                <w:rFonts w:ascii="宋体" w:eastAsia="宋体" w:hAnsi="宋体" w:cs="宋体" w:hint="eastAsia"/>
                <w:bCs/>
                <w:sz w:val="21"/>
                <w:szCs w:val="21"/>
                <w:lang w:eastAsia="zh-CN"/>
              </w:rPr>
              <w:t>投标人</w:t>
            </w:r>
            <w:r>
              <w:rPr>
                <w:rFonts w:ascii="宋体" w:eastAsia="宋体" w:hAnsi="宋体" w:cs="宋体" w:hint="eastAsia"/>
                <w:bCs/>
                <w:sz w:val="21"/>
                <w:szCs w:val="21"/>
              </w:rPr>
              <w:t>向采购人偿付项目采购金额【</w:t>
            </w:r>
            <w:r>
              <w:rPr>
                <w:rFonts w:ascii="宋体" w:eastAsia="宋体" w:hAnsi="宋体" w:cs="宋体" w:hint="eastAsia"/>
                <w:bCs/>
                <w:sz w:val="21"/>
                <w:szCs w:val="21"/>
                <w:lang w:eastAsia="zh-CN"/>
              </w:rPr>
              <w:t>10</w:t>
            </w:r>
            <w:r>
              <w:rPr>
                <w:rFonts w:ascii="宋体" w:eastAsia="宋体" w:hAnsi="宋体" w:cs="宋体" w:hint="eastAsia"/>
                <w:bCs/>
                <w:sz w:val="21"/>
                <w:szCs w:val="21"/>
              </w:rPr>
              <w:t>】% （10%以上20%以下）的违约金</w:t>
            </w:r>
            <w:r>
              <w:rPr>
                <w:rFonts w:ascii="宋体" w:eastAsia="宋体" w:hAnsi="宋体" w:cs="宋体" w:hint="eastAsia"/>
                <w:bCs/>
                <w:sz w:val="21"/>
                <w:szCs w:val="21"/>
                <w:lang w:eastAsia="zh-CN"/>
              </w:rPr>
              <w:t>并采取更换、补足等补救措施，致使逾期交付的，还应承担逾期交付的违约责任</w:t>
            </w:r>
            <w:r>
              <w:rPr>
                <w:rFonts w:ascii="宋体" w:eastAsia="宋体" w:hAnsi="宋体" w:cs="宋体" w:hint="eastAsia"/>
                <w:bCs/>
                <w:sz w:val="21"/>
                <w:szCs w:val="21"/>
              </w:rPr>
              <w:t xml:space="preserve">。 </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594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3.3</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不能交付设备的，</w:t>
            </w:r>
            <w:r>
              <w:rPr>
                <w:rFonts w:ascii="宋体" w:eastAsia="宋体" w:hAnsi="宋体" w:cs="宋体" w:hint="eastAsia"/>
                <w:bCs/>
                <w:sz w:val="21"/>
                <w:szCs w:val="21"/>
                <w:lang w:eastAsia="zh-CN"/>
              </w:rPr>
              <w:t>投标人</w:t>
            </w:r>
            <w:r>
              <w:rPr>
                <w:rFonts w:ascii="宋体" w:eastAsia="宋体" w:hAnsi="宋体" w:cs="宋体" w:hint="eastAsia"/>
                <w:bCs/>
                <w:sz w:val="21"/>
                <w:szCs w:val="21"/>
              </w:rPr>
              <w:t>向采购人偿付项目采购金额【</w:t>
            </w:r>
            <w:r>
              <w:rPr>
                <w:rFonts w:ascii="宋体" w:eastAsia="宋体" w:hAnsi="宋体" w:cs="宋体" w:hint="eastAsia"/>
                <w:bCs/>
                <w:sz w:val="21"/>
                <w:szCs w:val="21"/>
                <w:lang w:eastAsia="zh-CN"/>
              </w:rPr>
              <w:t>10</w:t>
            </w:r>
            <w:r>
              <w:rPr>
                <w:rFonts w:ascii="宋体" w:eastAsia="宋体" w:hAnsi="宋体" w:cs="宋体" w:hint="eastAsia"/>
                <w:bCs/>
                <w:sz w:val="21"/>
                <w:szCs w:val="21"/>
              </w:rPr>
              <w:t>】%（10%以上20%以下）的违约金。</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940"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3.4</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逾期交付货物的，每逾期1天，</w:t>
            </w:r>
            <w:r>
              <w:rPr>
                <w:rFonts w:ascii="宋体" w:eastAsia="宋体" w:hAnsi="宋体" w:cs="宋体" w:hint="eastAsia"/>
                <w:bCs/>
                <w:sz w:val="21"/>
                <w:szCs w:val="21"/>
                <w:lang w:eastAsia="zh-CN"/>
              </w:rPr>
              <w:t>投标人</w:t>
            </w:r>
            <w:r>
              <w:rPr>
                <w:rFonts w:ascii="宋体" w:eastAsia="宋体" w:hAnsi="宋体" w:cs="宋体" w:hint="eastAsia"/>
                <w:bCs/>
                <w:sz w:val="21"/>
                <w:szCs w:val="21"/>
              </w:rPr>
              <w:t>向采购人偿付</w:t>
            </w:r>
            <w:r>
              <w:rPr>
                <w:rFonts w:ascii="宋体" w:eastAsia="宋体" w:hAnsi="宋体" w:cs="宋体" w:hint="eastAsia"/>
                <w:bCs/>
                <w:sz w:val="21"/>
                <w:szCs w:val="21"/>
                <w:lang w:eastAsia="zh-CN"/>
              </w:rPr>
              <w:t>项目采购金</w:t>
            </w:r>
            <w:r>
              <w:rPr>
                <w:rFonts w:ascii="宋体" w:eastAsia="宋体" w:hAnsi="宋体" w:cs="宋体" w:hint="eastAsia"/>
                <w:bCs/>
                <w:sz w:val="21"/>
                <w:szCs w:val="21"/>
              </w:rPr>
              <w:t>额的【</w:t>
            </w:r>
            <w:r>
              <w:rPr>
                <w:rFonts w:ascii="宋体" w:eastAsia="宋体" w:hAnsi="宋体" w:cs="宋体" w:hint="eastAsia"/>
                <w:bCs/>
                <w:sz w:val="21"/>
                <w:szCs w:val="21"/>
                <w:lang w:eastAsia="zh-CN"/>
              </w:rPr>
              <w:t>5</w:t>
            </w:r>
            <w:r>
              <w:rPr>
                <w:rFonts w:ascii="宋体" w:eastAsia="宋体" w:hAnsi="宋体" w:cs="宋体" w:hint="eastAsia"/>
                <w:bCs/>
                <w:sz w:val="21"/>
                <w:szCs w:val="21"/>
              </w:rPr>
              <w:t>】‰（1‰以上5‰以下）的</w:t>
            </w:r>
            <w:r>
              <w:rPr>
                <w:rFonts w:ascii="宋体" w:eastAsia="宋体" w:hAnsi="宋体" w:cs="宋体" w:hint="eastAsia"/>
                <w:bCs/>
                <w:sz w:val="21"/>
                <w:szCs w:val="21"/>
                <w:lang w:eastAsia="zh-CN"/>
              </w:rPr>
              <w:t>违约</w:t>
            </w:r>
            <w:r>
              <w:rPr>
                <w:rFonts w:ascii="宋体" w:eastAsia="宋体" w:hAnsi="宋体" w:cs="宋体" w:hint="eastAsia"/>
                <w:bCs/>
                <w:sz w:val="21"/>
                <w:szCs w:val="21"/>
              </w:rPr>
              <w:t>金。如</w:t>
            </w:r>
            <w:r>
              <w:rPr>
                <w:rFonts w:ascii="宋体" w:eastAsia="宋体" w:hAnsi="宋体" w:cs="宋体" w:hint="eastAsia"/>
                <w:bCs/>
                <w:sz w:val="21"/>
                <w:szCs w:val="21"/>
                <w:lang w:eastAsia="zh-CN"/>
              </w:rPr>
              <w:t>投标人</w:t>
            </w:r>
            <w:r>
              <w:rPr>
                <w:rFonts w:ascii="宋体" w:eastAsia="宋体" w:hAnsi="宋体" w:cs="宋体" w:hint="eastAsia"/>
                <w:bCs/>
                <w:sz w:val="21"/>
                <w:szCs w:val="21"/>
              </w:rPr>
              <w:t>逾期交货达</w:t>
            </w:r>
            <w:r>
              <w:rPr>
                <w:rFonts w:ascii="宋体" w:eastAsia="宋体" w:hAnsi="宋体" w:cs="宋体" w:hint="eastAsia"/>
                <w:bCs/>
                <w:sz w:val="21"/>
                <w:szCs w:val="21"/>
                <w:u w:val="single"/>
              </w:rPr>
              <w:t xml:space="preserve">  </w:t>
            </w:r>
            <w:r>
              <w:rPr>
                <w:rFonts w:ascii="宋体" w:eastAsia="宋体" w:hAnsi="宋体" w:cs="宋体" w:hint="eastAsia"/>
                <w:bCs/>
                <w:sz w:val="21"/>
                <w:szCs w:val="21"/>
                <w:u w:val="single"/>
                <w:lang w:eastAsia="zh-CN"/>
              </w:rPr>
              <w:t>90</w:t>
            </w:r>
            <w:r>
              <w:rPr>
                <w:rFonts w:ascii="宋体" w:eastAsia="宋体" w:hAnsi="宋体" w:cs="宋体" w:hint="eastAsia"/>
                <w:bCs/>
                <w:sz w:val="21"/>
                <w:szCs w:val="21"/>
                <w:u w:val="single"/>
              </w:rPr>
              <w:t xml:space="preserve">  </w:t>
            </w:r>
            <w:r>
              <w:rPr>
                <w:rFonts w:ascii="宋体" w:eastAsia="宋体" w:hAnsi="宋体" w:cs="宋体" w:hint="eastAsia"/>
                <w:bCs/>
                <w:sz w:val="21"/>
                <w:szCs w:val="21"/>
              </w:rPr>
              <w:t>天，采购人有权解除合同。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940"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3.5</w:t>
            </w:r>
            <w:r>
              <w:rPr>
                <w:rFonts w:ascii="宋体" w:eastAsia="宋体" w:hAnsi="宋体" w:cs="宋体" w:hint="eastAsia"/>
                <w:bCs/>
                <w:sz w:val="21"/>
                <w:szCs w:val="21"/>
                <w:lang w:eastAsia="zh-CN"/>
              </w:rPr>
              <w:t>投标人中标后，在其</w:t>
            </w:r>
            <w:r>
              <w:rPr>
                <w:rFonts w:ascii="宋体" w:eastAsia="宋体" w:hAnsi="宋体" w:cs="宋体" w:hint="eastAsia"/>
                <w:bCs/>
                <w:sz w:val="21"/>
                <w:szCs w:val="21"/>
              </w:rPr>
              <w:t>承诺的或国家规定的质量保证期内（取两者中最长的期限），如经</w:t>
            </w:r>
            <w:r>
              <w:rPr>
                <w:rFonts w:ascii="宋体" w:eastAsia="宋体" w:hAnsi="宋体" w:cs="宋体" w:hint="eastAsia"/>
                <w:bCs/>
                <w:sz w:val="21"/>
                <w:szCs w:val="21"/>
                <w:lang w:eastAsia="zh-CN"/>
              </w:rPr>
              <w:t>投标人</w:t>
            </w:r>
            <w:r>
              <w:rPr>
                <w:rFonts w:ascii="宋体" w:eastAsia="宋体" w:hAnsi="宋体" w:cs="宋体" w:hint="eastAsia"/>
                <w:bCs/>
                <w:sz w:val="21"/>
                <w:szCs w:val="21"/>
              </w:rPr>
              <w:t>两次维修或更换，货物仍不能达到采购文件要求及投标文件承诺的质量标准，采购人有权退货，</w:t>
            </w:r>
            <w:r>
              <w:rPr>
                <w:rFonts w:ascii="宋体" w:eastAsia="宋体" w:hAnsi="宋体" w:cs="宋体" w:hint="eastAsia"/>
                <w:bCs/>
                <w:sz w:val="21"/>
                <w:szCs w:val="21"/>
                <w:lang w:eastAsia="zh-CN"/>
              </w:rPr>
              <w:t>投标人</w:t>
            </w:r>
            <w:r>
              <w:rPr>
                <w:rFonts w:ascii="宋体" w:eastAsia="宋体" w:hAnsi="宋体" w:cs="宋体" w:hint="eastAsia"/>
                <w:bCs/>
                <w:sz w:val="21"/>
                <w:szCs w:val="21"/>
              </w:rPr>
              <w:t>应退回全部货款并赔偿采购人因此遭受的损失。</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940"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3.6</w:t>
            </w: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在承担上述一项或多项违约责任后，仍应继续履行合同规定的义务（采购人解除合同的除外）。采购人未能及时追究</w:t>
            </w:r>
            <w:r>
              <w:rPr>
                <w:rFonts w:ascii="宋体" w:eastAsia="宋体" w:hAnsi="宋体" w:cs="宋体" w:hint="eastAsia"/>
                <w:bCs/>
                <w:sz w:val="21"/>
                <w:szCs w:val="21"/>
                <w:lang w:eastAsia="zh-CN"/>
              </w:rPr>
              <w:t>投标人</w:t>
            </w:r>
            <w:r>
              <w:rPr>
                <w:rFonts w:ascii="宋体" w:eastAsia="宋体" w:hAnsi="宋体" w:cs="宋体" w:hint="eastAsia"/>
                <w:bCs/>
                <w:sz w:val="21"/>
                <w:szCs w:val="21"/>
              </w:rPr>
              <w:t>的任何一项违约责任并不表明采购人放弃追究</w:t>
            </w:r>
            <w:r>
              <w:rPr>
                <w:rFonts w:ascii="宋体" w:eastAsia="宋体" w:hAnsi="宋体" w:cs="宋体" w:hint="eastAsia"/>
                <w:bCs/>
                <w:sz w:val="21"/>
                <w:szCs w:val="21"/>
                <w:lang w:eastAsia="zh-CN"/>
              </w:rPr>
              <w:t>投标人</w:t>
            </w:r>
            <w:r>
              <w:rPr>
                <w:rFonts w:ascii="宋体" w:eastAsia="宋体" w:hAnsi="宋体" w:cs="宋体" w:hint="eastAsia"/>
                <w:bCs/>
                <w:sz w:val="21"/>
                <w:szCs w:val="21"/>
              </w:rPr>
              <w:t>该项或其他违约责任。</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w:t>
            </w:r>
          </w:p>
        </w:tc>
        <w:tc>
          <w:tcPr>
            <w:tcW w:w="1620"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其他</w:t>
            </w:r>
          </w:p>
        </w:tc>
        <w:tc>
          <w:tcPr>
            <w:tcW w:w="5940"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lang w:eastAsia="zh-CN"/>
              </w:rPr>
              <w:t>投标人中标后</w:t>
            </w:r>
            <w:r>
              <w:rPr>
                <w:rFonts w:ascii="宋体" w:eastAsia="宋体" w:hAnsi="宋体" w:cs="宋体" w:hint="eastAsia"/>
                <w:bCs/>
                <w:sz w:val="21"/>
                <w:szCs w:val="21"/>
              </w:rPr>
              <w:t>应按其投标文件中的承诺，进行其他售后服务工作。</w:t>
            </w:r>
          </w:p>
        </w:tc>
      </w:tr>
    </w:tbl>
    <w:p>
      <w:pPr>
        <w:spacing w:line="360" w:lineRule="auto"/>
        <w:rPr>
          <w:rFonts w:ascii="Calibri" w:eastAsia="宋体" w:hAnsi="Calibri" w:hint="eastAsia"/>
          <w:b/>
          <w:bCs/>
          <w:kern w:val="2"/>
          <w:sz w:val="21"/>
          <w:szCs w:val="21"/>
          <w:lang w:eastAsia="zh-CN"/>
        </w:rPr>
      </w:pPr>
    </w:p>
    <w:p>
      <w:pPr>
        <w:widowControl w:val="0"/>
        <w:jc w:val="both"/>
        <w:rPr>
          <w:rFonts w:ascii="Calibri" w:eastAsia="宋体" w:hAnsi="Calibri" w:cs="Calibri" w:hint="eastAsia"/>
          <w:i/>
          <w:iCs/>
          <w:color w:val="000000"/>
          <w:kern w:val="2"/>
          <w:sz w:val="22"/>
          <w:szCs w:val="22"/>
          <w:lang w:eastAsia="zh-CN"/>
        </w:rPr>
      </w:pPr>
    </w:p>
    <w:p>
      <w:pPr>
        <w:widowControl w:val="0"/>
        <w:ind w:firstLine="420" w:firstLineChars="200"/>
        <w:jc w:val="both"/>
        <w:rPr>
          <w:rFonts w:ascii="Calibri" w:eastAsia="宋体" w:hAnsi="Calibri" w:hint="eastAsia"/>
          <w:b/>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五、技术要求</w:t>
      </w:r>
    </w:p>
    <w:p>
      <w:pPr>
        <w:widowControl w:val="0"/>
        <w:jc w:val="both"/>
        <w:rPr>
          <w:rFonts w:ascii="Calibri" w:eastAsia="宋体" w:hAnsi="Calibri" w:hint="eastAsia"/>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w:t>
      </w:r>
      <w:r>
        <w:rPr>
          <w:rFonts w:ascii="宋体" w:eastAsia="宋体" w:hAnsi="宋体" w:cs="宋体" w:hint="eastAsia"/>
          <w:bCs/>
          <w:kern w:val="2"/>
          <w:sz w:val="21"/>
          <w:szCs w:val="22"/>
          <w:lang w:eastAsia="zh-CN"/>
        </w:rPr>
        <w:t>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tbl>
      <w:tblPr>
        <w:tblStyle w:val="TableNormal"/>
        <w:tblW w:w="5000"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1"/>
        <w:gridCol w:w="2328"/>
        <w:gridCol w:w="5657"/>
      </w:tblGrid>
      <w:tr>
        <w:tblPrEx>
          <w:tblW w:w="5000"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82"/>
        </w:trPr>
        <w:tc>
          <w:tcPr>
            <w:tcW w:w="871"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2328" w:type="dxa"/>
            <w:noWrap w:val="0"/>
            <w:vAlign w:val="center"/>
          </w:tcPr>
          <w:p>
            <w:pPr>
              <w:widowControl/>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货物名称</w:t>
            </w:r>
          </w:p>
        </w:tc>
        <w:tc>
          <w:tcPr>
            <w:tcW w:w="5657"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招标技术要求</w:t>
            </w:r>
          </w:p>
        </w:tc>
      </w:tr>
      <w:tr>
        <w:tblPrEx>
          <w:tblW w:w="5000" w:type="pct"/>
          <w:tblInd w:w="107" w:type="dxa"/>
          <w:tblLayout w:type="fixed"/>
          <w:tblCellMar>
            <w:top w:w="0" w:type="dxa"/>
            <w:left w:w="108" w:type="dxa"/>
            <w:bottom w:w="0" w:type="dxa"/>
            <w:right w:w="108" w:type="dxa"/>
          </w:tblCellMar>
        </w:tblPrEx>
        <w:trPr>
          <w:trHeight w:val="665"/>
        </w:trPr>
        <w:tc>
          <w:tcPr>
            <w:tcW w:w="871" w:type="dxa"/>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1</w:t>
            </w:r>
          </w:p>
        </w:tc>
        <w:tc>
          <w:tcPr>
            <w:tcW w:w="2328" w:type="dxa"/>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X射线安全检测设备</w:t>
            </w: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1、通道尺寸：1000（宽）×800（高）mm（尺寸允许±5mm偏差）</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sz w:val="20"/>
                <w:szCs w:val="20"/>
                <w:lang w:eastAsia="zh-CN" w:bidi="ar"/>
              </w:rPr>
            </w:pPr>
            <w:r>
              <w:rPr>
                <w:rFonts w:ascii="宋体" w:eastAsia="宋体" w:hAnsi="宋体" w:cs="宋体" w:hint="eastAsia"/>
                <w:color w:val="000000"/>
                <w:sz w:val="20"/>
                <w:szCs w:val="20"/>
                <w:lang w:eastAsia="zh-CN" w:bidi="ar"/>
              </w:rPr>
              <w:t>2、传送带速度：0.22 m/s</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sz w:val="20"/>
                <w:szCs w:val="20"/>
                <w:lang w:eastAsia="zh-CN" w:bidi="ar"/>
              </w:rPr>
            </w:pPr>
            <w:r>
              <w:rPr>
                <w:rFonts w:ascii="宋体" w:eastAsia="宋体" w:hAnsi="宋体" w:cs="宋体" w:hint="eastAsia"/>
                <w:color w:val="000000"/>
                <w:sz w:val="20"/>
                <w:szCs w:val="20"/>
                <w:lang w:eastAsia="zh-CN" w:bidi="ar"/>
              </w:rPr>
              <w:t>3、传送带额定负荷：200 kg</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sz w:val="20"/>
                <w:szCs w:val="20"/>
                <w:lang w:eastAsia="zh-CN" w:bidi="ar"/>
              </w:rPr>
            </w:pPr>
            <w:r>
              <w:rPr>
                <w:rFonts w:ascii="宋体" w:eastAsia="宋体" w:hAnsi="宋体" w:cs="宋体" w:hint="eastAsia"/>
                <w:color w:val="000000"/>
                <w:sz w:val="20"/>
                <w:szCs w:val="20"/>
                <w:lang w:eastAsia="zh-CN" w:bidi="ar"/>
              </w:rPr>
              <w:t>4、线分辨力：Φ0.0787 mm</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sz w:val="20"/>
                <w:szCs w:val="20"/>
                <w:lang w:eastAsia="zh-CN" w:bidi="ar"/>
              </w:rPr>
            </w:pPr>
            <w:r>
              <w:rPr>
                <w:rFonts w:ascii="宋体" w:eastAsia="宋体" w:hAnsi="宋体" w:cs="宋体" w:hint="eastAsia"/>
                <w:color w:val="000000"/>
                <w:sz w:val="20"/>
                <w:szCs w:val="20"/>
                <w:lang w:eastAsia="zh-CN" w:bidi="ar"/>
              </w:rPr>
              <w:t>5、空间分辨力：Φ0.8 mm</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6、穿透分辨力：Φ0.127 mm</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7、穿透力：不低于46mm钢板</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8、胶卷安全性：对ISO1600胶卷安全</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 xml:space="preserve">9、周围剂量当量率：0.01μSv/h    </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10、功率损耗：≦1KW</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11、工作电压：220VAC(±10%)  50±3Hz</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 xml:space="preserve">12、工作温度／湿度：0℃～45℃／20%～95% (不冷凝) </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13、多能量彩色：有机物显示为橙色，无机物显示为蓝色，混合物显示为绿色。</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numPr>
                <w:ilvl w:val="0"/>
                <w:numId w:val="0"/>
              </w:numPr>
              <w:suppressLineNumbers w:val="0"/>
              <w:spacing w:line="360" w:lineRule="auto"/>
              <w:ind w:left="0" w:firstLine="0"/>
              <w:jc w:val="left"/>
              <w:textAlignment w:val="center"/>
              <w:rPr>
                <w:rFonts w:ascii="宋体" w:eastAsia="宋体" w:hAnsi="宋体" w:cs="宋体" w:hint="eastAsia"/>
                <w:color w:val="000000"/>
                <w:sz w:val="20"/>
                <w:szCs w:val="20"/>
                <w:lang w:eastAsia="zh-CN" w:bidi="ar"/>
              </w:rPr>
            </w:pPr>
            <w:r>
              <w:rPr>
                <w:rFonts w:ascii="宋体" w:eastAsia="宋体" w:hAnsi="宋体" w:cs="宋体" w:hint="eastAsia"/>
                <w:color w:val="FF0000"/>
                <w:sz w:val="20"/>
                <w:szCs w:val="20"/>
              </w:rPr>
              <w:t>▲</w:t>
            </w:r>
            <w:r>
              <w:rPr>
                <w:rFonts w:ascii="宋体" w:eastAsia="宋体" w:hAnsi="宋体" w:cs="宋体" w:hint="eastAsia"/>
                <w:color w:val="000000"/>
                <w:sz w:val="20"/>
                <w:szCs w:val="20"/>
                <w:lang w:eastAsia="zh-CN" w:bidi="ar"/>
              </w:rPr>
              <w:t>14、参照《GB15208.1-2018微剂量X射线安全检查设备 第1部份：通用技术要求》和《GB15208.2-2018微剂量X射线安全检查设备 第2部份：透射式行包安全检查设备》 检测标准，线分辨力试验设备应能分辨直径不大于Φ0.08mm单根实芯铜线；穿透分辨力试验设备应能分辨直径不大于Φ0.13mm单根实芯铜线；空间分辨力试验设备应能分辨直径不大于Φ0.8mm线对。</w:t>
            </w:r>
          </w:p>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FF0000"/>
                <w:sz w:val="20"/>
                <w:szCs w:val="20"/>
              </w:rPr>
              <w:t>投标人须提供由第三方检测机构出具的符合上述“</w:t>
            </w:r>
            <w:r>
              <w:rPr>
                <w:rFonts w:ascii="宋体" w:eastAsia="宋体" w:hAnsi="宋体" w:cs="宋体" w:hint="eastAsia"/>
                <w:color w:val="FF0000"/>
                <w:sz w:val="20"/>
                <w:szCs w:val="20"/>
                <w:lang w:eastAsia="zh-CN" w:bidi="ar"/>
              </w:rPr>
              <w:t>14、线分辨力试验、穿透分辨力试验、空间分辨力试验</w:t>
            </w:r>
            <w:r>
              <w:rPr>
                <w:rFonts w:ascii="宋体" w:eastAsia="宋体" w:hAnsi="宋体" w:cs="宋体" w:hint="eastAsia"/>
                <w:color w:val="FF0000"/>
                <w:sz w:val="20"/>
                <w:szCs w:val="20"/>
              </w:rPr>
              <w:t>”的检测报告</w:t>
            </w:r>
            <w:r>
              <w:rPr>
                <w:rFonts w:ascii="宋体" w:eastAsia="宋体" w:hAnsi="宋体" w:cs="宋体" w:hint="eastAsia"/>
                <w:color w:val="FF0000"/>
                <w:sz w:val="20"/>
                <w:szCs w:val="20"/>
                <w:lang w:eastAsia="zh-CN" w:bidi="ar"/>
              </w:rPr>
              <w:t>（报告封面须带有CMA或CNAS认证标识）加盖生产厂家或投标人公章扫描件及中国公安部第三研究所或者公安部检测中心官网（http://www.mstl.org.cn/或https://www.tcspbj.cn/）报告编号查询截图，原件备查。</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numPr>
                <w:ilvl w:val="0"/>
                <w:numId w:val="0"/>
              </w:numPr>
              <w:suppressLineNumbers w:val="0"/>
              <w:spacing w:line="360" w:lineRule="auto"/>
              <w:ind w:left="0" w:firstLine="0"/>
              <w:jc w:val="left"/>
              <w:textAlignment w:val="center"/>
              <w:rPr>
                <w:rFonts w:ascii="宋体" w:eastAsia="宋体" w:hAnsi="宋体" w:cs="宋体" w:hint="eastAsia"/>
                <w:color w:val="000000"/>
                <w:sz w:val="20"/>
                <w:szCs w:val="20"/>
              </w:rPr>
            </w:pPr>
            <w:r>
              <w:rPr>
                <w:rFonts w:ascii="宋体" w:eastAsia="宋体" w:hAnsi="宋体" w:cs="宋体" w:hint="eastAsia"/>
                <w:color w:val="FF0000"/>
                <w:sz w:val="20"/>
                <w:szCs w:val="20"/>
              </w:rPr>
              <w:t>▲</w:t>
            </w:r>
            <w:r>
              <w:rPr>
                <w:rFonts w:ascii="宋体" w:eastAsia="宋体" w:hAnsi="宋体" w:cs="宋体" w:hint="eastAsia"/>
                <w:color w:val="000000"/>
                <w:sz w:val="20"/>
                <w:szCs w:val="20"/>
                <w:lang w:eastAsia="zh-CN"/>
              </w:rPr>
              <w:t>15、</w:t>
            </w:r>
            <w:r>
              <w:rPr>
                <w:rFonts w:ascii="宋体" w:eastAsia="宋体" w:hAnsi="宋体" w:cs="宋体" w:hint="eastAsia"/>
                <w:color w:val="000000"/>
                <w:sz w:val="20"/>
                <w:szCs w:val="20"/>
              </w:rPr>
              <w:t>参照《GB15208.1-2018微剂量X射线安全检查设备 第1部份：通用技术要求》和《GB15208.2-2018微剂量X射线安全检查设备 第2部份：透射式行包安全检查设备》 检测标准，穿透力试验设备应能穿透不小于</w:t>
            </w:r>
            <w:r>
              <w:rPr>
                <w:rFonts w:ascii="宋体" w:eastAsia="宋体" w:hAnsi="宋体" w:cs="宋体" w:hint="eastAsia"/>
                <w:color w:val="000000"/>
                <w:sz w:val="20"/>
                <w:szCs w:val="20"/>
                <w:lang w:eastAsia="zh-CN"/>
              </w:rPr>
              <w:t>46</w:t>
            </w:r>
            <w:r>
              <w:rPr>
                <w:rFonts w:ascii="宋体" w:eastAsia="宋体" w:hAnsi="宋体" w:cs="宋体" w:hint="eastAsia"/>
                <w:color w:val="000000"/>
                <w:sz w:val="20"/>
                <w:szCs w:val="20"/>
              </w:rPr>
              <w:t>mm厚度钢；</w:t>
            </w:r>
          </w:p>
          <w:p>
            <w:pPr>
              <w:keepNext w:val="0"/>
              <w:keepLines w:val="0"/>
              <w:widowControl/>
              <w:numPr>
                <w:ilvl w:val="0"/>
                <w:numId w:val="0"/>
              </w:numPr>
              <w:suppressLineNumbers w:val="0"/>
              <w:spacing w:line="360" w:lineRule="auto"/>
              <w:ind w:left="0" w:firstLine="0"/>
              <w:jc w:val="left"/>
              <w:textAlignment w:val="center"/>
              <w:rPr>
                <w:rFonts w:ascii="宋体" w:eastAsia="宋体" w:hAnsi="宋体" w:cs="宋体" w:hint="eastAsia"/>
                <w:color w:val="FF0000"/>
                <w:sz w:val="20"/>
                <w:szCs w:val="20"/>
                <w:lang w:eastAsia="zh-CN"/>
              </w:rPr>
            </w:pPr>
            <w:r>
              <w:rPr>
                <w:rFonts w:ascii="宋体" w:eastAsia="宋体" w:hAnsi="宋体" w:cs="宋体" w:hint="eastAsia"/>
                <w:color w:val="000000"/>
                <w:sz w:val="20"/>
                <w:szCs w:val="20"/>
              </w:rPr>
              <w:t>周围剂量当量率试验：设备正常工作时，封闭式设备在距设备的任何可达表面0.1m处（包括设备的入口、出口处）周围剂量当量率在0.2m/s下，应不大于0.01μSv/h；工作人员位置的周围剂量当量率在0.2m/s下：应不大于0.01μSv/h”；单次检查剂量试验：单个X射线产生装置在0.2m/s下，单次检查剂量应不大于1.30µGy</w:t>
            </w:r>
            <w:r>
              <w:rPr>
                <w:rFonts w:ascii="宋体" w:eastAsia="宋体" w:hAnsi="宋体" w:cs="宋体" w:hint="eastAsia"/>
                <w:color w:val="000000"/>
                <w:sz w:val="20"/>
                <w:szCs w:val="20"/>
                <w:lang w:eastAsia="zh-CN"/>
              </w:rPr>
              <w:t>。</w:t>
            </w:r>
          </w:p>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FF0000"/>
                <w:sz w:val="20"/>
                <w:szCs w:val="20"/>
              </w:rPr>
              <w:t>投标人须提供由第三方检测机构出具的符合上述“</w:t>
            </w:r>
            <w:r>
              <w:rPr>
                <w:rFonts w:ascii="宋体" w:eastAsia="宋体" w:hAnsi="宋体" w:cs="宋体" w:hint="eastAsia"/>
                <w:color w:val="FF0000"/>
                <w:sz w:val="20"/>
                <w:szCs w:val="20"/>
                <w:lang w:eastAsia="zh-CN" w:bidi="ar"/>
              </w:rPr>
              <w:t>15、穿透力试验、</w:t>
            </w:r>
            <w:r>
              <w:rPr>
                <w:rFonts w:ascii="宋体" w:eastAsia="宋体" w:hAnsi="宋体" w:cs="宋体" w:hint="eastAsia"/>
                <w:color w:val="FF0000"/>
                <w:sz w:val="20"/>
                <w:szCs w:val="20"/>
              </w:rPr>
              <w:t>周围剂量当量率试验</w:t>
            </w:r>
            <w:r>
              <w:rPr>
                <w:rFonts w:ascii="宋体" w:eastAsia="宋体" w:hAnsi="宋体" w:cs="宋体" w:hint="eastAsia"/>
                <w:color w:val="FF0000"/>
                <w:sz w:val="20"/>
                <w:szCs w:val="20"/>
                <w:lang w:eastAsia="zh-CN"/>
              </w:rPr>
              <w:t>、</w:t>
            </w:r>
            <w:r>
              <w:rPr>
                <w:rFonts w:ascii="宋体" w:eastAsia="宋体" w:hAnsi="宋体" w:cs="宋体" w:hint="eastAsia"/>
                <w:color w:val="FF0000"/>
                <w:sz w:val="20"/>
                <w:szCs w:val="20"/>
              </w:rPr>
              <w:t>单次检查剂量试验”的检测报告</w:t>
            </w:r>
            <w:r>
              <w:rPr>
                <w:rFonts w:ascii="宋体" w:eastAsia="宋体" w:hAnsi="宋体" w:cs="宋体" w:hint="eastAsia"/>
                <w:color w:val="FF0000"/>
                <w:sz w:val="20"/>
                <w:szCs w:val="20"/>
                <w:lang w:eastAsia="zh-CN" w:bidi="ar"/>
              </w:rPr>
              <w:t>（报告封面须带有CMA或CNAS认证标识）加盖生产厂家或投标人公章扫描件及中国公安部第三研究所或者公安部检测中心官网（http://www.mstl.org.cn/或https://www.tcspbj.cn/）报告编号查询截图，原件备查。</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numPr>
                <w:ilvl w:val="0"/>
                <w:numId w:val="0"/>
              </w:numPr>
              <w:suppressLineNumbers w:val="0"/>
              <w:spacing w:line="360" w:lineRule="auto"/>
              <w:ind w:left="0" w:firstLine="0"/>
              <w:jc w:val="left"/>
              <w:textAlignment w:val="center"/>
              <w:rPr>
                <w:rFonts w:ascii="宋体" w:eastAsia="宋体" w:hAnsi="宋体" w:cs="宋体" w:hint="eastAsia"/>
                <w:sz w:val="20"/>
                <w:szCs w:val="20"/>
                <w:lang w:eastAsia="zh-CN"/>
              </w:rPr>
            </w:pPr>
            <w:r>
              <w:rPr>
                <w:rFonts w:ascii="宋体" w:eastAsia="宋体" w:hAnsi="宋体" w:cs="宋体" w:hint="eastAsia"/>
                <w:color w:val="FF0000"/>
                <w:sz w:val="20"/>
                <w:szCs w:val="20"/>
              </w:rPr>
              <w:t>▲</w:t>
            </w:r>
            <w:r>
              <w:rPr>
                <w:rFonts w:ascii="宋体" w:eastAsia="宋体" w:hAnsi="宋体" w:cs="宋体" w:hint="eastAsia"/>
                <w:sz w:val="20"/>
                <w:szCs w:val="20"/>
                <w:lang w:eastAsia="zh-CN"/>
              </w:rPr>
              <w:t>16、</w:t>
            </w:r>
            <w:r>
              <w:rPr>
                <w:rFonts w:ascii="宋体" w:eastAsia="宋体" w:hAnsi="宋体" w:cs="宋体" w:hint="eastAsia"/>
                <w:sz w:val="20"/>
                <w:szCs w:val="20"/>
              </w:rPr>
              <w:t>参照《GB15208.1-2018微剂量X射线安全检查设备 第1部份：通用技术要求》和《GB15208.2-2018微剂量X射线安全检查设备 第2部份：透射式行包安全检查设备》 检测标准，设备工作噪声试验：设备正常工作时，距设备表面1m的任意位置噪声应不大于52.5dB(A)；皮带速度可调功能试验：皮带转速应具有0.2m/s、0.3m/s、0.45m/s可调功能，应可根据安检人流量进行切换调节，过包量分别达到720个/h、1080个/h、1620个/h”；超薄物检测功能试验：当被检测物过薄而无法遮挡光障时，按下相应的功能键后应可对0.1mm厚的刀片进行出图检测；安检机防夹包功能试验：安检机出口端应安装毛刷滚筒，应能防止背包带及行李卷入安检机传送系统</w:t>
            </w:r>
            <w:r>
              <w:rPr>
                <w:rFonts w:ascii="宋体" w:eastAsia="宋体" w:hAnsi="宋体" w:cs="宋体" w:hint="eastAsia"/>
                <w:sz w:val="20"/>
                <w:szCs w:val="20"/>
                <w:lang w:eastAsia="zh-CN"/>
              </w:rPr>
              <w:t>。</w:t>
            </w:r>
          </w:p>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FF0000"/>
                <w:sz w:val="20"/>
                <w:szCs w:val="20"/>
              </w:rPr>
              <w:t>投标人须提供由第三方检测机构出具的符合上述“</w:t>
            </w:r>
            <w:r>
              <w:rPr>
                <w:rFonts w:ascii="宋体" w:eastAsia="宋体" w:hAnsi="宋体" w:cs="宋体" w:hint="eastAsia"/>
                <w:color w:val="FF0000"/>
                <w:sz w:val="20"/>
                <w:szCs w:val="20"/>
                <w:lang w:eastAsia="zh-CN"/>
              </w:rPr>
              <w:t>16、</w:t>
            </w:r>
            <w:r>
              <w:rPr>
                <w:rFonts w:ascii="宋体" w:eastAsia="宋体" w:hAnsi="宋体" w:cs="宋体" w:hint="eastAsia"/>
                <w:color w:val="FF0000"/>
                <w:sz w:val="20"/>
                <w:szCs w:val="20"/>
              </w:rPr>
              <w:t>设备工作噪声试验</w:t>
            </w:r>
            <w:r>
              <w:rPr>
                <w:rFonts w:ascii="宋体" w:eastAsia="宋体" w:hAnsi="宋体" w:cs="宋体" w:hint="eastAsia"/>
                <w:color w:val="FF0000"/>
                <w:sz w:val="20"/>
                <w:szCs w:val="20"/>
                <w:lang w:eastAsia="zh-CN"/>
              </w:rPr>
              <w:t>、</w:t>
            </w:r>
            <w:r>
              <w:rPr>
                <w:rFonts w:ascii="宋体" w:eastAsia="宋体" w:hAnsi="宋体" w:cs="宋体" w:hint="eastAsia"/>
                <w:color w:val="FF0000"/>
                <w:sz w:val="20"/>
                <w:szCs w:val="20"/>
              </w:rPr>
              <w:t>皮带速度可调功能试验</w:t>
            </w:r>
            <w:r>
              <w:rPr>
                <w:rFonts w:ascii="宋体" w:eastAsia="宋体" w:hAnsi="宋体" w:cs="宋体" w:hint="eastAsia"/>
                <w:color w:val="FF0000"/>
                <w:sz w:val="20"/>
                <w:szCs w:val="20"/>
                <w:lang w:eastAsia="zh-CN"/>
              </w:rPr>
              <w:t>、</w:t>
            </w:r>
            <w:r>
              <w:rPr>
                <w:rFonts w:ascii="宋体" w:eastAsia="宋体" w:hAnsi="宋体" w:cs="宋体" w:hint="eastAsia"/>
                <w:color w:val="FF0000"/>
                <w:sz w:val="20"/>
                <w:szCs w:val="20"/>
              </w:rPr>
              <w:t>超薄物检测功能试验</w:t>
            </w:r>
            <w:r>
              <w:rPr>
                <w:rFonts w:ascii="宋体" w:eastAsia="宋体" w:hAnsi="宋体" w:cs="宋体" w:hint="eastAsia"/>
                <w:color w:val="FF0000"/>
                <w:sz w:val="20"/>
                <w:szCs w:val="20"/>
                <w:lang w:eastAsia="zh-CN"/>
              </w:rPr>
              <w:t>、</w:t>
            </w:r>
            <w:r>
              <w:rPr>
                <w:rFonts w:ascii="宋体" w:eastAsia="宋体" w:hAnsi="宋体" w:cs="宋体" w:hint="eastAsia"/>
                <w:color w:val="FF0000"/>
                <w:sz w:val="20"/>
                <w:szCs w:val="20"/>
              </w:rPr>
              <w:t>安检机防夹包功能试验”的检测报告</w:t>
            </w:r>
            <w:r>
              <w:rPr>
                <w:rFonts w:ascii="宋体" w:eastAsia="宋体" w:hAnsi="宋体" w:cs="宋体" w:hint="eastAsia"/>
                <w:color w:val="FF0000"/>
                <w:sz w:val="20"/>
                <w:szCs w:val="20"/>
                <w:lang w:eastAsia="zh-CN" w:bidi="ar"/>
              </w:rPr>
              <w:t>（报告封面须带有CMA或CNAS认证标识）加盖生产厂家或投标人公章扫描件及中国公安部第三研究所或者公安部检测中心官网（http://www.mstl.org.cn/或https://www.tcspbj.cn/）报告编号查询截图，原件备查。</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numPr>
                <w:ilvl w:val="0"/>
                <w:numId w:val="0"/>
              </w:numPr>
              <w:suppressLineNumbers w:val="0"/>
              <w:spacing w:line="360" w:lineRule="auto"/>
              <w:ind w:left="0" w:firstLine="0" w:leftChars="0"/>
              <w:jc w:val="left"/>
              <w:textAlignment w:val="center"/>
              <w:rPr>
                <w:rFonts w:ascii="宋体" w:eastAsia="宋体" w:hAnsi="宋体" w:cs="宋体" w:hint="eastAsia"/>
                <w:color w:val="000000"/>
                <w:sz w:val="20"/>
                <w:szCs w:val="20"/>
                <w:lang w:eastAsia="zh-CN"/>
              </w:rPr>
            </w:pPr>
            <w:r>
              <w:rPr>
                <w:rFonts w:ascii="宋体" w:eastAsia="宋体" w:hAnsi="宋体" w:cs="宋体" w:hint="eastAsia"/>
                <w:color w:val="FF0000"/>
                <w:sz w:val="20"/>
                <w:szCs w:val="20"/>
              </w:rPr>
              <w:t>▲</w:t>
            </w:r>
            <w:r>
              <w:rPr>
                <w:rFonts w:ascii="宋体" w:eastAsia="宋体" w:hAnsi="宋体" w:cs="宋体" w:hint="eastAsia"/>
                <w:color w:val="000000"/>
                <w:sz w:val="20"/>
                <w:szCs w:val="20"/>
                <w:lang w:eastAsia="zh-CN"/>
              </w:rPr>
              <w:t>17、</w:t>
            </w:r>
            <w:r>
              <w:rPr>
                <w:rFonts w:ascii="宋体" w:eastAsia="宋体" w:hAnsi="宋体" w:cs="宋体" w:hint="eastAsia"/>
                <w:color w:val="000000"/>
                <w:sz w:val="20"/>
                <w:szCs w:val="20"/>
              </w:rPr>
              <w:t>参照《GB15208.1-2018微剂量X射线安全检查设备 第1部份：通用技术要求》和《GB15208.2-2018微剂量X射线安全检查设备 第2部份：透射式行包安全检查设备》 检测标准，一键开关机功能试验：设备应一键开机，一键完全切断设备电源</w:t>
            </w:r>
            <w:r>
              <w:rPr>
                <w:rFonts w:ascii="宋体" w:eastAsia="宋体" w:hAnsi="宋体" w:cs="宋体" w:hint="eastAsia"/>
                <w:color w:val="000000"/>
                <w:sz w:val="20"/>
                <w:szCs w:val="20"/>
                <w:lang w:eastAsia="zh-CN"/>
              </w:rPr>
              <w:t>；</w:t>
            </w:r>
            <w:r>
              <w:rPr>
                <w:rFonts w:ascii="宋体" w:eastAsia="宋体" w:hAnsi="宋体" w:cs="宋体" w:hint="eastAsia"/>
                <w:color w:val="000000"/>
                <w:sz w:val="20"/>
                <w:szCs w:val="20"/>
              </w:rPr>
              <w:t>低温试验：整机：-20℃±3℃，</w:t>
            </w:r>
            <w:r>
              <w:rPr>
                <w:rFonts w:ascii="宋体" w:eastAsia="宋体" w:hAnsi="宋体" w:cs="宋体" w:hint="eastAsia"/>
                <w:color w:val="FF0000"/>
                <w:sz w:val="20"/>
                <w:szCs w:val="20"/>
                <w:lang w:eastAsia="zh-CN"/>
              </w:rPr>
              <w:t>≥</w:t>
            </w:r>
            <w:r>
              <w:rPr>
                <w:rFonts w:ascii="宋体" w:eastAsia="宋体" w:hAnsi="宋体" w:cs="宋体" w:hint="eastAsia"/>
                <w:color w:val="000000"/>
                <w:sz w:val="20"/>
                <w:szCs w:val="20"/>
              </w:rPr>
              <w:t>8h；或具有独立功能的电器部件：-20℃±3℃，4h。试验后设备应能正常工作，且不应出现锈蚀和机械损伤现象；高温试验：整机：60℃±2℃，</w:t>
            </w:r>
            <w:r>
              <w:rPr>
                <w:rFonts w:ascii="宋体" w:eastAsia="宋体" w:hAnsi="宋体" w:cs="宋体" w:hint="eastAsia"/>
                <w:color w:val="000000"/>
                <w:sz w:val="20"/>
                <w:szCs w:val="20"/>
                <w:lang w:eastAsia="zh-CN"/>
              </w:rPr>
              <w:t>≥</w:t>
            </w:r>
            <w:r>
              <w:rPr>
                <w:rFonts w:ascii="宋体" w:eastAsia="宋体" w:hAnsi="宋体" w:cs="宋体" w:hint="eastAsia"/>
                <w:color w:val="000000"/>
                <w:sz w:val="20"/>
                <w:szCs w:val="20"/>
              </w:rPr>
              <w:t>8h;或具有独立功能的电器部件：60℃±2℃，4h。试验后设备应能正常工作，且不应出现锈蚀和机械损伤现象</w:t>
            </w:r>
            <w:r>
              <w:rPr>
                <w:rFonts w:ascii="宋体" w:eastAsia="宋体" w:hAnsi="宋体" w:cs="宋体" w:hint="eastAsia"/>
                <w:color w:val="000000"/>
                <w:sz w:val="20"/>
                <w:szCs w:val="20"/>
                <w:lang w:eastAsia="zh-CN"/>
              </w:rPr>
              <w:t>。</w:t>
            </w:r>
          </w:p>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FF0000"/>
                <w:sz w:val="20"/>
                <w:szCs w:val="20"/>
              </w:rPr>
              <w:t>投标人须提供第三方检测机构出具的关于上述“</w:t>
            </w:r>
            <w:r>
              <w:rPr>
                <w:rFonts w:ascii="宋体" w:eastAsia="宋体" w:hAnsi="宋体" w:cs="宋体" w:hint="eastAsia"/>
                <w:color w:val="FF0000"/>
                <w:sz w:val="20"/>
                <w:szCs w:val="20"/>
                <w:lang w:eastAsia="zh-CN"/>
              </w:rPr>
              <w:t>17、</w:t>
            </w:r>
            <w:r>
              <w:rPr>
                <w:rFonts w:ascii="宋体" w:eastAsia="宋体" w:hAnsi="宋体" w:cs="宋体" w:hint="eastAsia"/>
                <w:color w:val="FF0000"/>
                <w:sz w:val="20"/>
                <w:szCs w:val="20"/>
              </w:rPr>
              <w:t>一键开关机功能试验、低温试验以及高温试验”技术参数的检测报告</w:t>
            </w:r>
            <w:r>
              <w:rPr>
                <w:rFonts w:ascii="宋体" w:eastAsia="宋体" w:hAnsi="宋体" w:cs="宋体" w:hint="eastAsia"/>
                <w:color w:val="FF0000"/>
                <w:sz w:val="20"/>
                <w:szCs w:val="20"/>
                <w:lang w:eastAsia="zh-CN" w:bidi="ar"/>
              </w:rPr>
              <w:t>（报告封面须带有CMA或CNAS认证标识）加盖生产厂家或投标人公章扫描件及中国公安部第三研究所或者公安部检测中心官网（http://www.mstl.org.cn/或https://www.tcspbj.cn/）报告编号查询截图，原件备查。</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numPr>
                <w:ilvl w:val="0"/>
                <w:numId w:val="0"/>
              </w:numPr>
              <w:suppressLineNumbers w:val="0"/>
              <w:spacing w:line="360" w:lineRule="auto"/>
              <w:ind w:left="0" w:firstLine="0"/>
              <w:jc w:val="left"/>
              <w:textAlignment w:val="center"/>
              <w:rPr>
                <w:rFonts w:ascii="宋体" w:eastAsia="宋体" w:hAnsi="宋体" w:cs="宋体" w:hint="eastAsia"/>
                <w:color w:val="000000"/>
                <w:sz w:val="20"/>
                <w:szCs w:val="20"/>
                <w:lang w:eastAsia="zh-CN"/>
              </w:rPr>
            </w:pPr>
            <w:r>
              <w:rPr>
                <w:rFonts w:ascii="宋体" w:eastAsia="宋体" w:hAnsi="宋体" w:cs="宋体" w:hint="eastAsia"/>
                <w:color w:val="FF0000"/>
                <w:sz w:val="20"/>
                <w:szCs w:val="20"/>
                <w:lang w:eastAsia="zh-CN"/>
              </w:rPr>
              <w:t>▲</w:t>
            </w:r>
            <w:r>
              <w:rPr>
                <w:rFonts w:ascii="宋体" w:eastAsia="宋体" w:hAnsi="宋体" w:cs="宋体" w:hint="eastAsia"/>
                <w:color w:val="000000"/>
                <w:sz w:val="20"/>
                <w:szCs w:val="20"/>
                <w:lang w:eastAsia="zh-CN"/>
              </w:rPr>
              <w:t>18、万向显示器功能和移动平台功能：设备应具有万向显示器功能，显示器可呈多角度展现；设备应具有移动平台功能，可移动到不同地点。</w:t>
            </w:r>
          </w:p>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FF0000"/>
                <w:sz w:val="20"/>
                <w:szCs w:val="20"/>
                <w:lang w:eastAsia="zh-CN"/>
              </w:rPr>
              <w:t>投标人须提供不低于省部级国家权威机构出具具有“18、万向显示器功能”和“移动平台功能”的证明文件，加盖投标人或生产厂家公章复印件及提供出具证明文件机构官网查询报告截图，原件备查。</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numPr>
                <w:ilvl w:val="0"/>
                <w:numId w:val="0"/>
              </w:numPr>
              <w:suppressLineNumbers w:val="0"/>
              <w:spacing w:line="360" w:lineRule="auto"/>
              <w:ind w:left="0" w:firstLine="0"/>
              <w:jc w:val="left"/>
              <w:textAlignment w:val="center"/>
              <w:rPr>
                <w:rFonts w:ascii="宋体" w:eastAsia="宋体" w:hAnsi="宋体" w:cs="宋体" w:hint="eastAsia"/>
                <w:color w:val="000000"/>
                <w:sz w:val="20"/>
                <w:szCs w:val="20"/>
                <w:lang w:eastAsia="zh-CN"/>
              </w:rPr>
            </w:pPr>
            <w:r>
              <w:rPr>
                <w:rFonts w:ascii="宋体" w:eastAsia="宋体" w:hAnsi="宋体" w:cs="宋体" w:hint="eastAsia"/>
                <w:color w:val="FF0000"/>
                <w:sz w:val="20"/>
                <w:szCs w:val="20"/>
                <w:lang w:eastAsia="zh-CN"/>
              </w:rPr>
              <w:t>▲</w:t>
            </w:r>
            <w:r>
              <w:rPr>
                <w:rFonts w:ascii="宋体" w:eastAsia="宋体" w:hAnsi="宋体" w:cs="宋体" w:hint="eastAsia"/>
                <w:color w:val="000000"/>
                <w:sz w:val="20"/>
                <w:szCs w:val="20"/>
                <w:lang w:eastAsia="zh-CN"/>
              </w:rPr>
              <w:t>19、密度报警功能和探测驱动功能：设备应具有密度报警功能，当过检物超过密度报警设定值时报警；设备应具有探测驱动功能，当输送装置上无过检物，输送装置停，当输送装置上有过检物，输送装置运转。</w:t>
            </w:r>
          </w:p>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FF0000"/>
                <w:sz w:val="20"/>
                <w:szCs w:val="20"/>
                <w:lang w:eastAsia="zh-CN"/>
              </w:rPr>
              <w:t>投标人须提供不低于省部级国家权威机构出具具有“19、密度报警功能”和“探测驱动功能”的证明文件，加盖投标人或生产厂家公章复印件及提供出具证明文件机构官网查询报告截图，原件备查。</w:t>
            </w:r>
          </w:p>
        </w:tc>
      </w:tr>
      <w:tr>
        <w:tblPrEx>
          <w:tblW w:w="5000" w:type="pct"/>
          <w:tblInd w:w="107" w:type="dxa"/>
          <w:tblLayout w:type="fixed"/>
          <w:tblCellMar>
            <w:top w:w="0" w:type="dxa"/>
            <w:left w:w="108" w:type="dxa"/>
            <w:bottom w:w="0" w:type="dxa"/>
            <w:right w:w="108" w:type="dxa"/>
          </w:tblCellMar>
        </w:tblPrEx>
        <w:trPr>
          <w:trHeight w:val="309"/>
        </w:trPr>
        <w:tc>
          <w:tcPr>
            <w:tcW w:w="871" w:type="dxa"/>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2</w:t>
            </w:r>
          </w:p>
        </w:tc>
        <w:tc>
          <w:tcPr>
            <w:tcW w:w="2328" w:type="dxa"/>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手持金属探测器</w:t>
            </w: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1、报警方式：声、光、振动三种报警方式。</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2、欠电压提示功能：当电压不足时，指示灯不亮或一直报警。</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3、具备充电功能 (充电器、充电电池另购)。</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4、低灵敏度开关：通过切换低灵敏度开关，可实现排除小件金属物品（即小件金属物品不报警），探测到大件金属物品。</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5、工作电源：9V电池（一次性电池或充电电池）</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 xml:space="preserve">6、外形尺寸长：410×85×45 mm（±10%）  </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7、重量：450g（±10%）</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kern w:val="2"/>
                <w:sz w:val="21"/>
                <w:szCs w:val="21"/>
                <w:lang w:eastAsia="zh-CN"/>
              </w:rPr>
            </w:pPr>
            <w:r>
              <w:rPr>
                <w:rFonts w:ascii="宋体" w:eastAsia="宋体" w:hAnsi="宋体" w:cs="宋体" w:hint="eastAsia"/>
                <w:color w:val="000000"/>
                <w:sz w:val="20"/>
                <w:szCs w:val="20"/>
                <w:lang w:eastAsia="zh-CN" w:bidi="ar"/>
              </w:rPr>
              <w:t>8、灵敏度可调功能：可自行调节灵敏度。</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3</w:t>
            </w:r>
          </w:p>
        </w:tc>
        <w:tc>
          <w:tcPr>
            <w:tcW w:w="2328" w:type="dxa"/>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一体式升降柱(圆形）</w:t>
            </w: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1.采用液压驱动方式；</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2.采取综合控制，系统运行性能稳定可靠，方便集成到用户系统中；</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3.具有开闸、关闸以及停闸的功能，且具有开优先的特点；</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4.应急释放，防止断电情况下柱体不能下降；</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5.驱动方式：液压驱动；</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6.应急方式：后备电源控制电磁阀释放；</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7.柱体壁厚：≥6mm；</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8.升降高度：≥600mm；</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9.升/降时间：3S±0.2；</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10.警示方式：LED指示灯/3M反光带；</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11.额定功率：350W（施工布线按1200W进行）；</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12.湿度：5%~95% ；</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13.柱体材质：304不锈钢；</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14.地基盒材质：Q235（电泳：黑色）；</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15.控制方式：控制盒/遥控器；</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16.动力电压：AC220V；</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17.防护等级：≥IP68；</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18.柱体直径：219±0.5mm；</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19.温度：-30℃~+55℃；</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20.外形尺寸：299*1120mm（±10%）。</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numPr>
                <w:ilvl w:val="0"/>
                <w:numId w:val="0"/>
              </w:numPr>
              <w:suppressLineNumbers w:val="0"/>
              <w:spacing w:line="360" w:lineRule="auto"/>
              <w:ind w:left="0" w:firstLine="0"/>
              <w:jc w:val="left"/>
              <w:textAlignment w:val="center"/>
              <w:rPr>
                <w:rFonts w:ascii="宋体" w:eastAsia="宋体" w:hAnsi="宋体" w:cs="宋体" w:hint="eastAsia"/>
                <w:color w:val="000000"/>
                <w:sz w:val="20"/>
                <w:szCs w:val="20"/>
                <w:lang w:eastAsia="zh-CN" w:bidi="ar"/>
              </w:rPr>
            </w:pPr>
            <w:r>
              <w:rPr>
                <w:rFonts w:ascii="宋体" w:eastAsia="宋体" w:hAnsi="宋体" w:cs="宋体" w:hint="eastAsia"/>
                <w:color w:val="FF0000"/>
                <w:sz w:val="20"/>
                <w:szCs w:val="20"/>
              </w:rPr>
              <w:t>▲</w:t>
            </w:r>
            <w:r>
              <w:rPr>
                <w:rFonts w:ascii="宋体" w:eastAsia="宋体" w:hAnsi="宋体" w:cs="宋体" w:hint="eastAsia"/>
                <w:color w:val="000000"/>
                <w:sz w:val="20"/>
                <w:szCs w:val="20"/>
                <w:lang w:eastAsia="zh-CN" w:bidi="ar"/>
              </w:rPr>
              <w:t>21.阻挡性能检验：参照《GA/T 1343-2016 防暴升降式阻车路障》检测依据，将中型火车配重至大于6800kg，以大于78km/h碰撞速度撞击路障阻挡主体，阻挡试验性能试验后，车辆丧失继续行驶能力，车体侵入距离小于25m,路障保持阻挡状态，应达到A3级要求。</w:t>
            </w:r>
          </w:p>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FF0000"/>
                <w:sz w:val="20"/>
                <w:szCs w:val="20"/>
              </w:rPr>
              <w:t>投标人须提供第三方检测机构出具的关于上述“</w:t>
            </w:r>
            <w:r>
              <w:rPr>
                <w:rFonts w:ascii="宋体" w:eastAsia="宋体" w:hAnsi="宋体" w:cs="宋体" w:hint="eastAsia"/>
                <w:color w:val="FF0000"/>
                <w:sz w:val="20"/>
                <w:szCs w:val="20"/>
                <w:lang w:eastAsia="zh-CN"/>
              </w:rPr>
              <w:t>21.阻挡性能检验</w:t>
            </w:r>
            <w:r>
              <w:rPr>
                <w:rFonts w:ascii="宋体" w:eastAsia="宋体" w:hAnsi="宋体" w:cs="宋体" w:hint="eastAsia"/>
                <w:color w:val="FF0000"/>
                <w:sz w:val="20"/>
                <w:szCs w:val="20"/>
              </w:rPr>
              <w:t>”技术参数的检测报告</w:t>
            </w:r>
            <w:r>
              <w:rPr>
                <w:rFonts w:ascii="宋体" w:eastAsia="宋体" w:hAnsi="宋体" w:cs="宋体" w:hint="eastAsia"/>
                <w:color w:val="FF0000"/>
                <w:sz w:val="20"/>
                <w:szCs w:val="20"/>
                <w:lang w:eastAsia="zh-CN" w:bidi="ar"/>
              </w:rPr>
              <w:t>（报告封面须带有CMA或CNAS认证标识）加盖生产厂家或投标人公章扫描件及中国公安部第三研究所或者公安部检测中心官网（http://www.mstl.org.cn/或https://www.tcspbj.cn/）报告编号查询截图，原件备查。</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numPr>
                <w:ilvl w:val="0"/>
                <w:numId w:val="0"/>
              </w:numPr>
              <w:spacing w:line="360" w:lineRule="auto"/>
              <w:ind w:left="0" w:firstLine="0"/>
              <w:rPr>
                <w:rFonts w:ascii="宋体" w:eastAsia="宋体" w:hAnsi="宋体" w:cs="宋体" w:hint="eastAsia"/>
                <w:bCs/>
                <w:color w:val="FF0000"/>
                <w:sz w:val="20"/>
                <w:szCs w:val="20"/>
                <w:lang w:eastAsia="zh-CN"/>
              </w:rPr>
            </w:pPr>
            <w:r>
              <w:rPr>
                <w:rFonts w:ascii="宋体" w:eastAsia="宋体" w:hAnsi="宋体" w:cs="宋体" w:hint="eastAsia"/>
                <w:bCs/>
                <w:color w:val="FF0000"/>
                <w:sz w:val="20"/>
                <w:szCs w:val="20"/>
              </w:rPr>
              <w:t>▲</w:t>
            </w:r>
            <w:r>
              <w:rPr>
                <w:rFonts w:ascii="宋体" w:eastAsia="宋体" w:hAnsi="宋体" w:cs="宋体" w:hint="eastAsia"/>
                <w:bCs/>
                <w:color w:val="000000"/>
                <w:sz w:val="20"/>
                <w:szCs w:val="20"/>
                <w:lang w:eastAsia="zh-CN"/>
              </w:rPr>
              <w:t>22.</w:t>
            </w:r>
            <w:r>
              <w:rPr>
                <w:rFonts w:ascii="宋体" w:eastAsia="宋体" w:hAnsi="宋体" w:cs="宋体" w:hint="eastAsia"/>
                <w:bCs/>
                <w:color w:val="000000"/>
                <w:sz w:val="20"/>
                <w:szCs w:val="20"/>
              </w:rPr>
              <w:t>升降性能检验</w:t>
            </w:r>
            <w:r>
              <w:rPr>
                <w:rFonts w:ascii="宋体" w:eastAsia="宋体" w:hAnsi="宋体" w:cs="宋体" w:hint="eastAsia"/>
                <w:bCs/>
                <w:color w:val="000000"/>
                <w:sz w:val="20"/>
                <w:szCs w:val="20"/>
                <w:lang w:eastAsia="zh-CN"/>
              </w:rPr>
              <w:t>和警示标识检验</w:t>
            </w:r>
            <w:r>
              <w:rPr>
                <w:rFonts w:ascii="宋体" w:eastAsia="宋体" w:hAnsi="宋体" w:cs="宋体" w:hint="eastAsia"/>
                <w:bCs/>
                <w:color w:val="000000"/>
                <w:sz w:val="20"/>
                <w:szCs w:val="20"/>
              </w:rPr>
              <w:t>：参照《GA/T 1343-2016 防暴升降式阻车路障》检测依据，路障阻挡主体应能正常升降、无卡滞、到位可靠，升起速度</w:t>
            </w:r>
            <w:r>
              <w:rPr>
                <w:rFonts w:ascii="宋体" w:eastAsia="宋体" w:hAnsi="宋体" w:cs="宋体" w:hint="eastAsia"/>
                <w:bCs/>
                <w:color w:val="000000"/>
                <w:sz w:val="20"/>
                <w:szCs w:val="20"/>
                <w:lang w:eastAsia="zh-CN"/>
              </w:rPr>
              <w:t>≥</w:t>
            </w:r>
            <w:r>
              <w:rPr>
                <w:rFonts w:ascii="宋体" w:eastAsia="宋体" w:hAnsi="宋体" w:cs="宋体" w:hint="eastAsia"/>
                <w:bCs/>
                <w:color w:val="000000"/>
                <w:sz w:val="20"/>
                <w:szCs w:val="20"/>
              </w:rPr>
              <w:t>150m/s；在外部供电停止状态下，应自备电源或具有手动升降功能</w:t>
            </w:r>
            <w:r>
              <w:rPr>
                <w:rFonts w:ascii="宋体" w:eastAsia="宋体" w:hAnsi="宋体" w:cs="宋体" w:hint="eastAsia"/>
                <w:bCs/>
                <w:color w:val="000000"/>
                <w:sz w:val="20"/>
                <w:szCs w:val="20"/>
                <w:lang w:eastAsia="zh-CN"/>
              </w:rPr>
              <w:t>；</w:t>
            </w:r>
            <w:r>
              <w:rPr>
                <w:rFonts w:ascii="宋体" w:eastAsia="宋体" w:hAnsi="宋体" w:cs="宋体" w:hint="eastAsia"/>
                <w:bCs/>
                <w:color w:val="000000"/>
                <w:sz w:val="20"/>
                <w:szCs w:val="20"/>
              </w:rPr>
              <w:t>路障阻挡主体上应具有明显的警示标识，且具有夜间警示功能。</w:t>
            </w:r>
          </w:p>
          <w:p>
            <w:pPr>
              <w:numPr>
                <w:ilvl w:val="0"/>
                <w:numId w:val="0"/>
              </w:numPr>
              <w:spacing w:line="360" w:lineRule="auto"/>
              <w:ind w:left="0" w:firstLine="0"/>
              <w:rPr>
                <w:rFonts w:ascii="宋体" w:eastAsia="宋体" w:hAnsi="宋体" w:cs="宋体" w:hint="eastAsia"/>
                <w:color w:val="000000"/>
                <w:kern w:val="2"/>
                <w:sz w:val="21"/>
                <w:szCs w:val="21"/>
                <w:lang w:eastAsia="zh-CN"/>
              </w:rPr>
            </w:pPr>
            <w:r>
              <w:rPr>
                <w:rFonts w:ascii="宋体" w:eastAsia="宋体" w:hAnsi="宋体" w:cs="宋体" w:hint="eastAsia"/>
                <w:color w:val="FF0000"/>
                <w:sz w:val="20"/>
                <w:szCs w:val="20"/>
              </w:rPr>
              <w:t>投标人须提供第三方检测机构出具的关于上述“</w:t>
            </w:r>
            <w:r>
              <w:rPr>
                <w:rFonts w:ascii="宋体" w:eastAsia="宋体" w:hAnsi="宋体" w:cs="宋体" w:hint="eastAsia"/>
                <w:color w:val="FF0000"/>
                <w:sz w:val="20"/>
                <w:szCs w:val="20"/>
                <w:lang w:eastAsia="zh-CN"/>
              </w:rPr>
              <w:t>22.</w:t>
            </w:r>
            <w:r>
              <w:rPr>
                <w:rFonts w:ascii="宋体" w:eastAsia="宋体" w:hAnsi="宋体" w:cs="宋体" w:hint="eastAsia"/>
                <w:color w:val="FF0000"/>
                <w:sz w:val="20"/>
                <w:szCs w:val="20"/>
              </w:rPr>
              <w:t>升降性能检验</w:t>
            </w:r>
            <w:r>
              <w:rPr>
                <w:rFonts w:ascii="宋体" w:eastAsia="宋体" w:hAnsi="宋体" w:cs="宋体" w:hint="eastAsia"/>
                <w:color w:val="FF0000"/>
                <w:sz w:val="20"/>
                <w:szCs w:val="20"/>
                <w:lang w:eastAsia="zh-CN"/>
              </w:rPr>
              <w:t>和警示标识检验</w:t>
            </w:r>
            <w:r>
              <w:rPr>
                <w:rFonts w:ascii="宋体" w:eastAsia="宋体" w:hAnsi="宋体" w:cs="宋体" w:hint="eastAsia"/>
                <w:color w:val="FF0000"/>
                <w:sz w:val="20"/>
                <w:szCs w:val="20"/>
              </w:rPr>
              <w:t>”技术参数的检测报告</w:t>
            </w:r>
            <w:r>
              <w:rPr>
                <w:rFonts w:ascii="宋体" w:eastAsia="宋体" w:hAnsi="宋体" w:cs="宋体" w:hint="eastAsia"/>
                <w:color w:val="FF0000"/>
                <w:sz w:val="20"/>
                <w:szCs w:val="20"/>
                <w:lang w:eastAsia="zh-CN" w:bidi="ar"/>
              </w:rPr>
              <w:t>（报告封面须带有CMA或CNAS认证标识）加盖生产厂家或投标人公章扫描件及中国公安部第三研究所或者公安部检测中心官网（http://www.mstl.org.cn/或https://www.tcspbj.cn/）报告编号查询截图，原件备查。</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4</w:t>
            </w:r>
          </w:p>
        </w:tc>
        <w:tc>
          <w:tcPr>
            <w:tcW w:w="2328" w:type="dxa"/>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升降柱控制器(一控十)</w:t>
            </w: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1.电磁阀应急释放，防止断电情况下柱体不能下降；</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2.控制箱支持日志查询，方便问题定位；</w:t>
            </w:r>
          </w:p>
        </w:tc>
      </w:tr>
      <w:tr>
        <w:tblPrEx>
          <w:tblW w:w="5000" w:type="pct"/>
          <w:tblInd w:w="107" w:type="dxa"/>
          <w:tblLayout w:type="fixed"/>
          <w:tblCellMar>
            <w:top w:w="0" w:type="dxa"/>
            <w:left w:w="108" w:type="dxa"/>
            <w:bottom w:w="0" w:type="dxa"/>
            <w:right w:w="108" w:type="dxa"/>
          </w:tblCellMar>
        </w:tblPrEx>
        <w:trPr>
          <w:trHeight w:val="347"/>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3.控制箱具有液晶屏状态显示、故障指示；</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4.支持多种控制方式，可通过遥控器、按键盒或其它系统进行控制；</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5.具有报警功能，支持蜂鸣器报警、故障报警；</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numPr>
                <w:ilvl w:val="0"/>
                <w:numId w:val="0"/>
              </w:numPr>
              <w:suppressLineNumbers w:val="0"/>
              <w:spacing w:line="360" w:lineRule="auto"/>
              <w:ind w:left="0" w:firstLine="0"/>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6.机柜式设计，系统高度集成于箱体内；</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7.应急方式：后备电源控制电磁阀释放；</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8.遥控距离：≥30米；</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9.防护等级：≥IP54；</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10.温度：-20°C~+50°C；</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11.负载功率：1.2-7.2 kw；</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12.柱体材质：优质冷轧钢板；</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13.控制方式：手动/遥控；</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14.动力电压：控制箱输入电压AC220V；</w:t>
            </w:r>
          </w:p>
        </w:tc>
      </w:tr>
      <w:tr>
        <w:tblPrEx>
          <w:tblW w:w="5000" w:type="pct"/>
          <w:tblInd w:w="107" w:type="dxa"/>
          <w:tblLayout w:type="fixed"/>
          <w:tblCellMar>
            <w:top w:w="0" w:type="dxa"/>
            <w:left w:w="108" w:type="dxa"/>
            <w:bottom w:w="0" w:type="dxa"/>
            <w:right w:w="108" w:type="dxa"/>
          </w:tblCellMar>
        </w:tblPrEx>
        <w:trPr>
          <w:trHeight w:val="5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15.外形尺寸：500mm*400mm*200mm（±10%）。</w:t>
            </w:r>
          </w:p>
        </w:tc>
      </w:tr>
      <w:tr>
        <w:tblPrEx>
          <w:tblW w:w="5000" w:type="pct"/>
          <w:tblInd w:w="107" w:type="dxa"/>
          <w:tblLayout w:type="fixed"/>
          <w:tblCellMar>
            <w:top w:w="0" w:type="dxa"/>
            <w:left w:w="108" w:type="dxa"/>
            <w:bottom w:w="0" w:type="dxa"/>
            <w:right w:w="108" w:type="dxa"/>
          </w:tblCellMar>
        </w:tblPrEx>
        <w:trPr>
          <w:trHeight w:val="312"/>
        </w:trPr>
        <w:tc>
          <w:tcPr>
            <w:tcW w:w="871" w:type="dxa"/>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5</w:t>
            </w:r>
          </w:p>
        </w:tc>
        <w:tc>
          <w:tcPr>
            <w:tcW w:w="2328" w:type="dxa"/>
            <w:vMerge w:val="restart"/>
            <w:noWrap w:val="0"/>
            <w:vAlign w:val="center"/>
          </w:tcPr>
          <w:p>
            <w:pPr>
              <w:keepNext w:val="0"/>
              <w:keepLines w:val="0"/>
              <w:widowControl/>
              <w:suppressLineNumbers w:val="0"/>
              <w:spacing w:line="360" w:lineRule="auto"/>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LED固定柱(圆形）</w:t>
            </w: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1.手提式固定柱，不可升降；</w:t>
            </w:r>
          </w:p>
        </w:tc>
      </w:tr>
      <w:tr>
        <w:tblPrEx>
          <w:tblW w:w="5000" w:type="pct"/>
          <w:tblInd w:w="107" w:type="dxa"/>
          <w:tblLayout w:type="fixed"/>
          <w:tblCellMar>
            <w:top w:w="0" w:type="dxa"/>
            <w:left w:w="108" w:type="dxa"/>
            <w:bottom w:w="0" w:type="dxa"/>
            <w:right w:w="108" w:type="dxa"/>
          </w:tblCellMar>
        </w:tblPrEx>
        <w:trPr>
          <w:trHeight w:val="37"/>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sz w:val="21"/>
                <w:szCs w:val="21"/>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2.柱体材质：304不锈钢</w:t>
            </w:r>
          </w:p>
        </w:tc>
      </w:tr>
      <w:tr>
        <w:tblPrEx>
          <w:tblW w:w="5000" w:type="pct"/>
          <w:tblInd w:w="107" w:type="dxa"/>
          <w:tblLayout w:type="fixed"/>
          <w:tblCellMar>
            <w:top w:w="0" w:type="dxa"/>
            <w:left w:w="108" w:type="dxa"/>
            <w:bottom w:w="0" w:type="dxa"/>
            <w:right w:w="108" w:type="dxa"/>
          </w:tblCellMar>
        </w:tblPrEx>
        <w:trPr>
          <w:trHeight w:val="37"/>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3.柱体壁厚：≥6mm</w:t>
            </w:r>
          </w:p>
        </w:tc>
      </w:tr>
      <w:tr>
        <w:tblPrEx>
          <w:tblW w:w="5000" w:type="pct"/>
          <w:tblInd w:w="107" w:type="dxa"/>
          <w:tblLayout w:type="fixed"/>
          <w:tblCellMar>
            <w:top w:w="0" w:type="dxa"/>
            <w:left w:w="108" w:type="dxa"/>
            <w:bottom w:w="0" w:type="dxa"/>
            <w:right w:w="108" w:type="dxa"/>
          </w:tblCellMar>
        </w:tblPrEx>
        <w:trPr>
          <w:trHeight w:val="37"/>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4.柱体直径：</w:t>
            </w:r>
            <w:r>
              <w:rPr>
                <w:rFonts w:ascii="宋体" w:eastAsia="宋体" w:hAnsi="宋体" w:cs="宋体" w:hint="eastAsia"/>
                <w:color w:val="000000"/>
                <w:sz w:val="20"/>
                <w:szCs w:val="20"/>
                <w:lang w:eastAsia="zh-CN" w:bidi="ar"/>
              </w:rPr>
              <w:t>≥217mm</w:t>
            </w:r>
          </w:p>
        </w:tc>
      </w:tr>
      <w:tr>
        <w:tblPrEx>
          <w:tblW w:w="5000" w:type="pct"/>
          <w:tblInd w:w="107" w:type="dxa"/>
          <w:tblLayout w:type="fixed"/>
          <w:tblCellMar>
            <w:top w:w="0" w:type="dxa"/>
            <w:left w:w="108" w:type="dxa"/>
            <w:bottom w:w="0" w:type="dxa"/>
            <w:right w:w="108" w:type="dxa"/>
          </w:tblCellMar>
        </w:tblPrEx>
        <w:trPr>
          <w:trHeight w:val="37"/>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5.柱体高度：≥600mm</w:t>
            </w:r>
          </w:p>
        </w:tc>
      </w:tr>
      <w:tr>
        <w:tblPrEx>
          <w:tblW w:w="5000" w:type="pct"/>
          <w:tblInd w:w="107" w:type="dxa"/>
          <w:tblLayout w:type="fixed"/>
          <w:tblCellMar>
            <w:top w:w="0" w:type="dxa"/>
            <w:left w:w="108" w:type="dxa"/>
            <w:bottom w:w="0" w:type="dxa"/>
            <w:right w:w="108" w:type="dxa"/>
          </w:tblCellMar>
        </w:tblPrEx>
        <w:trPr>
          <w:trHeight w:val="37"/>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6.防护等级：≥IP68</w:t>
            </w:r>
          </w:p>
        </w:tc>
      </w:tr>
      <w:tr>
        <w:tblPrEx>
          <w:tblW w:w="5000" w:type="pct"/>
          <w:tblInd w:w="107" w:type="dxa"/>
          <w:tblLayout w:type="fixed"/>
          <w:tblCellMar>
            <w:top w:w="0" w:type="dxa"/>
            <w:left w:w="108" w:type="dxa"/>
            <w:bottom w:w="0" w:type="dxa"/>
            <w:right w:w="108" w:type="dxa"/>
          </w:tblCellMar>
        </w:tblPrEx>
        <w:trPr>
          <w:trHeight w:val="37"/>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7.警示方式：3M反光带</w:t>
            </w:r>
          </w:p>
        </w:tc>
      </w:tr>
      <w:tr>
        <w:tblPrEx>
          <w:tblW w:w="5000" w:type="pct"/>
          <w:tblInd w:w="107" w:type="dxa"/>
          <w:tblLayout w:type="fixed"/>
          <w:tblCellMar>
            <w:top w:w="0" w:type="dxa"/>
            <w:left w:w="108" w:type="dxa"/>
            <w:bottom w:w="0" w:type="dxa"/>
            <w:right w:w="108" w:type="dxa"/>
          </w:tblCellMar>
        </w:tblPrEx>
        <w:trPr>
          <w:trHeight w:val="9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numPr>
                <w:ilvl w:val="0"/>
                <w:numId w:val="0"/>
              </w:numPr>
              <w:spacing w:line="360" w:lineRule="auto"/>
              <w:ind w:left="0" w:firstLine="0"/>
              <w:rPr>
                <w:rFonts w:ascii="宋体" w:eastAsia="宋体" w:hAnsi="宋体" w:cs="宋体" w:hint="eastAsia"/>
                <w:b/>
                <w:color w:val="000000"/>
                <w:sz w:val="21"/>
                <w:szCs w:val="21"/>
              </w:rPr>
            </w:pPr>
            <w:r>
              <w:rPr>
                <w:rFonts w:ascii="宋体" w:eastAsia="宋体" w:hAnsi="宋体" w:cs="宋体" w:hint="eastAsia"/>
                <w:color w:val="000000"/>
                <w:sz w:val="20"/>
                <w:szCs w:val="20"/>
                <w:lang w:eastAsia="zh-CN" w:bidi="ar"/>
              </w:rPr>
              <w:t>8.控制方式：专用螺钉固定</w:t>
            </w:r>
          </w:p>
        </w:tc>
      </w:tr>
      <w:tr>
        <w:tblPrEx>
          <w:tblW w:w="5000" w:type="pct"/>
          <w:tblInd w:w="107" w:type="dxa"/>
          <w:tblLayout w:type="fixed"/>
          <w:tblCellMar>
            <w:top w:w="0" w:type="dxa"/>
            <w:left w:w="108" w:type="dxa"/>
            <w:bottom w:w="0" w:type="dxa"/>
            <w:right w:w="108" w:type="dxa"/>
          </w:tblCellMar>
        </w:tblPrEx>
        <w:trPr>
          <w:trHeight w:val="90"/>
        </w:trPr>
        <w:tc>
          <w:tcPr>
            <w:tcW w:w="871"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2328" w:type="dxa"/>
            <w:vMerge/>
            <w:noWrap w:val="0"/>
            <w:vAlign w:val="center"/>
          </w:tcPr>
          <w:p>
            <w:pPr>
              <w:keepNext w:val="0"/>
              <w:keepLines w:val="0"/>
              <w:widowControl/>
              <w:suppressLineNumbers w:val="0"/>
              <w:spacing w:line="360" w:lineRule="auto"/>
              <w:jc w:val="left"/>
              <w:textAlignment w:val="center"/>
              <w:rPr>
                <w:rFonts w:ascii="宋体" w:eastAsia="宋体" w:hAnsi="宋体" w:cs="宋体" w:hint="eastAsia"/>
                <w:color w:val="000000"/>
                <w:kern w:val="2"/>
                <w:sz w:val="21"/>
                <w:szCs w:val="21"/>
                <w:lang w:eastAsia="zh-CN"/>
              </w:rPr>
            </w:pPr>
          </w:p>
        </w:tc>
        <w:tc>
          <w:tcPr>
            <w:tcW w:w="5657" w:type="dxa"/>
            <w:noWrap w:val="0"/>
            <w:vAlign w:val="center"/>
          </w:tcPr>
          <w:p>
            <w:pPr>
              <w:numPr>
                <w:ilvl w:val="0"/>
                <w:numId w:val="0"/>
              </w:numPr>
              <w:spacing w:line="360" w:lineRule="auto"/>
              <w:ind w:left="0" w:firstLine="0"/>
              <w:rPr>
                <w:rFonts w:ascii="宋体" w:eastAsia="宋体" w:hAnsi="宋体" w:cs="宋体" w:hint="eastAsia"/>
                <w:color w:val="000000"/>
                <w:kern w:val="2"/>
                <w:sz w:val="21"/>
                <w:szCs w:val="21"/>
                <w:lang w:eastAsia="zh-CN"/>
              </w:rPr>
            </w:pPr>
            <w:r>
              <w:rPr>
                <w:rFonts w:ascii="宋体" w:eastAsia="宋体" w:hAnsi="宋体" w:cs="宋体" w:hint="eastAsia"/>
                <w:color w:val="000000"/>
                <w:sz w:val="20"/>
                <w:szCs w:val="20"/>
                <w:lang w:eastAsia="zh-CN" w:bidi="ar"/>
              </w:rPr>
              <w:t>9.工作温度：-40℃~+70℃</w:t>
            </w:r>
          </w:p>
        </w:tc>
      </w:tr>
    </w:tbl>
    <w:p>
      <w:pPr>
        <w:widowControl w:val="0"/>
        <w:jc w:val="both"/>
        <w:rPr>
          <w:rFonts w:ascii="Calibri" w:eastAsia="宋体" w:hAnsi="Calibri"/>
          <w:bCs/>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highlight w:val="yellow"/>
          <w:lang w:eastAsia="zh-CN"/>
        </w:rPr>
      </w:pPr>
      <w:r>
        <w:rPr>
          <w:rFonts w:ascii="宋体" w:eastAsia="宋体" w:hAnsi="宋体" w:cstheme="minorBidi" w:hint="eastAsia"/>
          <w:b/>
          <w:bCs/>
          <w:kern w:val="2"/>
          <w:sz w:val="28"/>
          <w:szCs w:val="28"/>
          <w:lang w:eastAsia="zh-CN"/>
        </w:rPr>
        <w:t>六、付款方式</w:t>
      </w:r>
    </w:p>
    <w:p>
      <w:pPr>
        <w:spacing w:before="60" w:beforeLines="25" w:after="60" w:afterLines="25" w:line="360" w:lineRule="auto"/>
        <w:ind w:firstLine="393" w:firstLineChars="187"/>
        <w:rPr>
          <w:rFonts w:ascii="宋体" w:hAnsi="宋体" w:cs="宋体" w:hint="eastAsia"/>
          <w:sz w:val="21"/>
          <w:szCs w:val="21"/>
          <w:lang w:bidi="ar"/>
        </w:rPr>
      </w:pPr>
      <w:r>
        <w:rPr>
          <w:rFonts w:ascii="宋体" w:hAnsi="宋体" w:cs="宋体" w:hint="eastAsia"/>
          <w:sz w:val="21"/>
          <w:szCs w:val="21"/>
          <w:lang w:bidi="ar"/>
        </w:rPr>
        <w:t>1、合同签订后5个工作日内，采购人向中标供应商支付合同总价【70】%的款项；</w:t>
      </w:r>
    </w:p>
    <w:p>
      <w:pPr>
        <w:spacing w:before="60" w:beforeLines="25" w:after="60" w:afterLines="25" w:line="360" w:lineRule="auto"/>
        <w:ind w:firstLine="393" w:firstLineChars="187"/>
        <w:rPr>
          <w:rFonts w:ascii="宋体" w:hAnsi="宋体" w:cs="宋体" w:hint="eastAsia"/>
          <w:sz w:val="21"/>
          <w:szCs w:val="21"/>
          <w:lang w:bidi="ar"/>
        </w:rPr>
      </w:pPr>
      <w:r>
        <w:rPr>
          <w:rFonts w:ascii="宋体" w:hAnsi="宋体" w:cs="宋体" w:hint="eastAsia"/>
          <w:sz w:val="21"/>
          <w:szCs w:val="21"/>
          <w:lang w:bidi="ar"/>
        </w:rPr>
        <w:t>2、全部货物送到采购人指定地点、完成安装并验收合格后10个工作日内，采购人向中标供应商支付合同【30】%的款项；</w:t>
      </w:r>
    </w:p>
    <w:p>
      <w:pPr>
        <w:spacing w:before="60" w:beforeLines="25" w:after="60" w:afterLines="25" w:line="360" w:lineRule="auto"/>
        <w:ind w:firstLine="393" w:firstLineChars="187"/>
        <w:rPr>
          <w:rFonts w:ascii="宋体" w:hAnsi="宋体" w:cs="宋体" w:hint="eastAsia"/>
          <w:sz w:val="21"/>
          <w:szCs w:val="21"/>
          <w:lang w:bidi="ar"/>
        </w:rPr>
      </w:pPr>
      <w:r>
        <w:rPr>
          <w:rFonts w:ascii="宋体" w:hAnsi="宋体" w:cs="宋体" w:hint="eastAsia"/>
          <w:sz w:val="21"/>
          <w:szCs w:val="21"/>
          <w:lang w:bidi="ar"/>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keepNext/>
        <w:keepLines/>
        <w:widowControl w:val="0"/>
        <w:numPr>
          <w:ilvl w:val="0"/>
          <w:numId w:val="0"/>
        </w:numPr>
        <w:spacing w:before="120" w:beforeLines="50" w:after="120" w:afterLines="50" w:line="416" w:lineRule="auto"/>
        <w:ind w:left="0" w:firstLine="0"/>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七、投标报价要求</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3、投标人的投标报价不得超过财政预算限额，如设投标最高限价的，报价不得超过最高限价；</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4、投标人的投标报价，应是本项目采购范围和采购文件及合同条款上所列的各项内容中所述的全部，不得以任何理由予以重复，并以投标人在中提出的综合单价或总价为依据；</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5、除非社会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6、投标人应先到项目地点踏勘以充分了解项目的位置、情况、道路及任何其它足以影响投标报价的情况，任何因忽视或误解项目情况而导致的索赔或服务期限延长申请将不获批准；</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7、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八、注意事项</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1、中标供应商不得将项目非法分包或转包给任何单位和个人。否则，采购单位有权即刻终止合同，并要求中标供应商赔偿相应损失。</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2、投标人使用的标准必须是国际公认或国家、或地方政府颁布的同等或更高的标准，如投标人使用的标准低于上述标准,评审委员会将有权不予接受，投标人必须列表将明显的差异详细说明。</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3、供应商须在质疑期内一次性提出针对同一采购程序环节的质疑。</w:t>
      </w:r>
    </w:p>
    <w:p>
      <w:pPr>
        <w:widowControl w:val="0"/>
        <w:ind w:firstLine="420" w:firstLineChars="200"/>
        <w:jc w:val="both"/>
        <w:rPr>
          <w:rFonts w:ascii="Calibri" w:eastAsia="宋体" w:hAnsi="Calibri"/>
          <w:bCs/>
          <w:kern w:val="2"/>
          <w:sz w:val="21"/>
          <w:szCs w:val="21"/>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spacing w:line="360" w:lineRule="auto"/>
        <w:rPr>
          <w:rFonts w:ascii="Calibri" w:eastAsia="宋体" w:hAnsi="Calibri"/>
          <w:b/>
          <w:bCs/>
          <w:kern w:val="2"/>
          <w:sz w:val="21"/>
          <w:szCs w:val="22"/>
          <w:lang w:eastAsia="zh-CN"/>
        </w:rPr>
      </w:pPr>
    </w:p>
    <w:p>
      <w:pPr>
        <w:widowControl w:val="0"/>
        <w:jc w:val="both"/>
        <w:rPr>
          <w:rFonts w:ascii="Calibri" w:eastAsia="宋体" w:hAnsi="Calibri" w:cs="Calibri"/>
          <w:i/>
          <w:iCs/>
          <w:color w:val="000000"/>
          <w:kern w:val="2"/>
          <w:sz w:val="21"/>
          <w:szCs w:val="22"/>
          <w:lang w:eastAsia="zh-CN"/>
        </w:rPr>
      </w:pPr>
    </w:p>
    <w:p>
      <w:pPr>
        <w:rPr>
          <w:rFonts w:ascii="Calibri" w:eastAsia="宋体" w:hAnsi="Calibri"/>
          <w:kern w:val="2"/>
          <w:sz w:val="21"/>
          <w:szCs w:val="22"/>
          <w:lang w:eastAsia="zh-CN"/>
        </w:rPr>
      </w:pPr>
    </w:p>
    <w:p>
      <w:pPr>
        <w:spacing w:line="360" w:lineRule="auto"/>
        <w:rPr>
          <w:b/>
          <w:bCs/>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4" w:name="_Hlk72257167"/>
    </w:p>
    <w:bookmarkEnd w:id="14"/>
    <w:p>
      <w:pPr>
        <w:widowControl/>
        <w:spacing w:line="320" w:lineRule="atLeast"/>
        <w:jc w:val="left"/>
        <w:outlineLvl w:val="2"/>
        <w:rPr>
          <w:rFonts w:ascii="宋体" w:eastAsia="黑体" w:hAnsi="宋体"/>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bookmarkStart w:id="15" w:name="_Hlk72257771"/>
      <w:r>
        <w:rPr>
          <w:rFonts w:hint="eastAsia"/>
        </w:rPr>
        <w:t>（1）投标函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（2）龙华区教育局自行采购投标及履约承诺函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（9）技术要求偏离表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（10）商务要求偏离表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（11）技术保障措施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（12）售后服务方案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（13）供应商认证情况</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rPr>
      </w:pPr>
      <w:r>
        <w:rPr>
          <w:rFonts w:hint="eastAsia"/>
        </w:rPr>
        <w:t>（14）诚信承诺函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rPr>
      </w:pPr>
      <w:r>
        <w:rPr>
          <w:rFonts w:hint="eastAsia"/>
        </w:rPr>
        <w:t>（</w:t>
      </w:r>
      <w:r>
        <w:rPr>
          <w:rFonts w:eastAsia="宋体" w:hint="eastAsia"/>
          <w:lang w:eastAsia="zh-CN"/>
        </w:rPr>
        <w:t>15</w:t>
      </w:r>
      <w:r>
        <w:rPr>
          <w:rFonts w:hint="eastAsia"/>
        </w:rPr>
        <w:t>）投标人认为需要加以说明的其他内容</w:t>
      </w:r>
    </w:p>
    <w:p>
      <w:pPr>
        <w:widowControl w:val="0"/>
        <w:spacing w:line="320" w:lineRule="atLeast"/>
        <w:jc w:val="both"/>
        <w:rPr>
          <w:rFonts w:ascii="宋体" w:eastAsia="宋体" w:hAnsi="宋体"/>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6" w:name="_Hlk72263559"/>
      <w:r>
        <w:rPr>
          <w:rFonts w:ascii="宋体" w:eastAsia="宋体" w:hAnsi="宋体" w:cstheme="minorBidi" w:hint="eastAsia"/>
          <w:b/>
          <w:kern w:val="2"/>
          <w:lang w:eastAsia="zh-CN"/>
        </w:rPr>
        <w:t>2.关于填写“开标一览表”的说明：“开标一览表”中除“投标总价”外，其他信息不作评审依据。</w:t>
      </w:r>
      <w:bookmarkEnd w:id="15"/>
      <w:bookmarkEnd w:id="16"/>
      <w:r>
        <w:rPr>
          <w:rFonts w:ascii="宋体" w:eastAsia="黑体" w:hAnsi="宋体"/>
          <w:bCs/>
          <w:kern w:val="44"/>
          <w:sz w:val="32"/>
          <w:szCs w:val="32"/>
          <w:lang w:eastAsia="zh-CN"/>
        </w:rPr>
        <w:br w:type="page"/>
      </w: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kern w:val="2"/>
          <w:sz w:val="21"/>
          <w:szCs w:val="21"/>
          <w:lang w:eastAsia="zh-CN"/>
        </w:rPr>
      </w:pPr>
      <w:bookmarkStart w:id="17"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kern w:val="2"/>
          <w:sz w:val="21"/>
          <w:szCs w:val="21"/>
          <w:lang w:eastAsia="zh-CN"/>
        </w:rPr>
      </w:pPr>
      <w:bookmarkStart w:id="18" w:name="_Hlk73818812"/>
      <w:r>
        <w:rPr>
          <w:rFonts w:ascii="Calibri" w:eastAsia="宋体" w:hAnsi="Calibri" w:cstheme="minorBidi" w:hint="eastAsia"/>
          <w:kern w:val="2"/>
          <w:sz w:val="21"/>
          <w:szCs w:val="21"/>
          <w:lang w:eastAsia="zh-CN"/>
        </w:rPr>
        <w:t>1、根据已收到贵单位的项目编号为</w:t>
      </w:r>
      <w:r>
        <w:rPr>
          <w:rFonts w:ascii="Calibri" w:eastAsia="宋体" w:hAnsi="Calibri" w:cstheme="minorBidi" w:hint="eastAsia"/>
          <w:kern w:val="2"/>
          <w:sz w:val="21"/>
          <w:szCs w:val="21"/>
          <w:u w:val="single"/>
          <w:lang w:eastAsia="zh-CN"/>
        </w:rPr>
        <w:t>LHAZXDL-2024-00260</w:t>
      </w:r>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安检设备及防撞柱采购</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19" w:name="_Hlk72263588"/>
      <w:r>
        <w:rPr>
          <w:rFonts w:ascii="Calibri" w:eastAsia="宋体" w:hAnsi="Calibri" w:cstheme="minorBidi" w:hint="eastAsia"/>
          <w:kern w:val="2"/>
          <w:sz w:val="21"/>
          <w:szCs w:val="21"/>
          <w:lang w:eastAsia="zh-CN"/>
        </w:rPr>
        <w:t>愿意按照招标文件要求承包上述项目并修补其任何缺陷。</w:t>
      </w:r>
      <w:bookmarkEnd w:id="19"/>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0"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0"/>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18"/>
    </w:p>
    <w:p>
      <w:pPr>
        <w:widowControl w:val="0"/>
        <w:spacing w:line="360" w:lineRule="auto"/>
        <w:ind w:left="480" w:left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7"/>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二、龙华区教育局自行采购投标及履约承诺函</w:t>
      </w:r>
    </w:p>
    <w:p>
      <w:pPr>
        <w:widowControl w:val="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1.我单位本招标项目所提供的货物或服务未侵犯知识产权。</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2.我单位参与本项目投标前三年内，在经营活动中没有重大违法记录。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3.我单位参与本项目政府采购活动时不存在被有关部门禁止参与政府采购活动且在有效期内的情况。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4.我单位具备《中华人民共和国政府采购法》第二十二条第一款规定的六项条件。</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5.我单位未被列入失信被执行人、重大税收违法案件当事人名单（税收违法黑名单）、政府采购严重违法失信行为记录名单。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我单位承诺参与本项目非联合体投标，不选用进口产品参与投标，中标后项目不转包，未经采购人同意不进行分包。</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14.所投标（响应）的货物、工程或服务，不存在侵犯知识产权的情况；已知悉并同意中标（成交）结果信息公示（公开）的内容。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15.本单位（公司）不存在《深圳市财政局政府采购供应商信用信息管理办法》（深财规</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ind w:firstLine="645"/>
        <w:jc w:val="both"/>
        <w:rPr>
          <w:rFonts w:ascii="宋体" w:eastAsia="宋体" w:hAnsi="宋体" w:cs="宋体"/>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560" w:lineRule="exact"/>
        <w:jc w:val="both"/>
        <w:rPr>
          <w:rFonts w:ascii="宋体" w:eastAsia="宋体" w:hAnsi="宋体" w:cs="宋体"/>
          <w:kern w:val="2"/>
          <w:sz w:val="18"/>
          <w:szCs w:val="18"/>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b/>
          <w:bCs/>
          <w:color w:val="FF0000"/>
          <w:kern w:val="2"/>
          <w:sz w:val="21"/>
          <w:szCs w:val="21"/>
          <w:lang w:eastAsia="zh-CN"/>
        </w:rPr>
      </w:pPr>
    </w:p>
    <w:p>
      <w:pPr>
        <w:widowControl w:val="0"/>
        <w:jc w:val="right"/>
        <w:rPr>
          <w:rFonts w:ascii="宋体" w:eastAsia="宋体" w:hAnsi="宋体"/>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bCs/>
          <w:szCs w:val="32"/>
          <w:lang w:eastAsia="zh-CN"/>
        </w:rPr>
      </w:pPr>
      <w:bookmarkStart w:id="21"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bCs/>
          <w:szCs w:val="32"/>
          <w:lang w:eastAsia="zh-CN"/>
        </w:rPr>
      </w:pPr>
      <w:bookmarkStart w:id="22" w:name="_Hlk72257908"/>
      <w:r>
        <w:rPr>
          <w:rFonts w:ascii="黑体" w:eastAsia="黑体" w:hAnsi="宋体" w:cstheme="minorBidi" w:hint="eastAsia"/>
          <w:bCs/>
          <w:szCs w:val="32"/>
          <w:lang w:eastAsia="zh-CN"/>
        </w:rPr>
        <w:t>（二）中小企业声明函、残疾人福利性单位声明函及监狱企业声明函</w:t>
      </w:r>
    </w:p>
    <w:bookmarkEnd w:id="21"/>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3"/>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kern w:val="2"/>
          <w:sz w:val="21"/>
          <w:szCs w:val="21"/>
          <w:lang w:eastAsia="zh-CN"/>
        </w:rPr>
      </w:pPr>
      <w:bookmarkStart w:id="23"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3"/>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bookmarkStart w:id="24" w:name="_Hlk73562331"/>
      <w:bookmarkStart w:id="25"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4"/>
    </w:p>
    <w:bookmarkEnd w:id="25"/>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hint="eastAsia"/>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Calibri" w:eastAsia="宋体" w:hAnsi="Calibri"/>
          <w:b/>
          <w:bCs/>
          <w:color w:val="FF0000"/>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2"/>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单价(元)</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合价(元)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val="9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0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1" w:type="pct"/>
            <w:gridSpan w:val="5"/>
            <w:vAlign w:val="center"/>
          </w:tcPr>
          <w:p>
            <w:pPr>
              <w:widowControl w:val="0"/>
              <w:jc w:val="both"/>
              <w:rPr>
                <w:rFonts w:ascii="Calibri" w:eastAsia="宋体" w:hAnsi="Calibri"/>
                <w:kern w:val="2"/>
                <w:sz w:val="21"/>
                <w:szCs w:val="21"/>
                <w:lang w:eastAsia="zh-CN"/>
              </w:rPr>
            </w:pPr>
          </w:p>
        </w:tc>
      </w:tr>
    </w:tbl>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填写说明：</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1.本表可根据实际需要增加相关内容，但原有的格式内容不得删减；</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4.“原产地”是指该货物的实际生产加工地，而非品牌所在地。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6.以上分项报价表的投标总价应当与开标一览表的投标总价一致。</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line="240" w:lineRule="auto"/>
        <w:ind w:left="480" w:firstLine="420" w:leftChars="200" w:firstLineChars="20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（二）核心产品品牌</w:t>
      </w: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ind w:firstLine="480" w:firstLineChars="200"/>
        <w:jc w:val="both"/>
        <w:rPr>
          <w:rFonts w:ascii="宋体" w:eastAsia="宋体" w:hAnsi="宋体"/>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wordWrap w:val="0"/>
        <w:autoSpaceDE w:val="0"/>
        <w:autoSpaceDN w:val="0"/>
        <w:spacing w:line="400" w:lineRule="exact"/>
        <w:ind w:right="808" w:firstLine="420" w:firstLineChars="200"/>
        <w:jc w:val="both"/>
        <w:rPr>
          <w:rFonts w:ascii="Arial" w:eastAsia="宋体" w:hAnsi="Arial"/>
          <w:b/>
          <w:kern w:val="2"/>
          <w:sz w:val="21"/>
          <w:lang w:eastAsia="zh-CN"/>
        </w:rPr>
      </w:pPr>
      <w:r>
        <w:rPr>
          <w:rFonts w:eastAsia="宋体" w:hint="eastAsia"/>
          <w:kern w:val="2"/>
          <w:sz w:val="21"/>
          <w:lang w:eastAsia="zh-CN"/>
        </w:rPr>
        <w:t>备注：单一产品采购项目，核心产品即为该单一产品。</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（三）可选配件报价清单（非项目需求要求的必备配件，此部分不包括在总报价内）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（四）供应商认为需要涉及的其他内容报价清单</w:t>
      </w: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keepNext/>
        <w:keepLines/>
        <w:widowControl/>
        <w:spacing w:before="260" w:after="260"/>
        <w:jc w:val="center"/>
        <w:outlineLvl w:val="2"/>
        <w:rPr>
          <w:rFonts w:ascii="黑体" w:eastAsia="黑体" w:hAnsi="宋体"/>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4"/>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9"/>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ascii="Calibri" w:eastAsia="宋体" w:hAnsi="Calibri"/>
          <w:kern w:val="2"/>
          <w:sz w:val="21"/>
          <w:szCs w:val="22"/>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w:t>
      </w:r>
      <w:r>
        <w:rPr>
          <w:rFonts w:ascii="宋体" w:eastAsia="宋体" w:hAnsi="宋体" w:cs="宋体" w:hint="eastAsia"/>
          <w:b/>
          <w:bCs/>
          <w:color w:val="FF0000"/>
          <w:kern w:val="2"/>
          <w:sz w:val="21"/>
          <w:szCs w:val="21"/>
          <w:lang w:eastAsia="zh-CN"/>
        </w:rPr>
        <w:t>（须体现股东及出资信息）</w:t>
      </w:r>
      <w:r>
        <w:rPr>
          <w:rFonts w:ascii="宋体" w:eastAsia="宋体" w:hAnsi="宋体" w:cs="宋体" w:hint="eastAsia"/>
          <w:kern w:val="2"/>
          <w:sz w:val="21"/>
          <w:szCs w:val="21"/>
          <w:lang w:eastAsia="zh-CN"/>
        </w:rPr>
        <w:t>。网址：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widowControl/>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六、</w:t>
      </w:r>
      <w:bookmarkStart w:id="26" w:name="_Hlk72092499"/>
      <w:r>
        <w:rPr>
          <w:rFonts w:ascii="黑体" w:eastAsia="黑体" w:hAnsi="宋体" w:cstheme="minorBidi" w:hint="eastAsia"/>
          <w:b/>
          <w:kern w:val="2"/>
          <w:sz w:val="30"/>
          <w:szCs w:val="30"/>
          <w:lang w:eastAsia="zh-CN"/>
        </w:rPr>
        <w:t>法定代表人（负责人）证明书</w:t>
      </w:r>
      <w:bookmarkEnd w:id="26"/>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5"/>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5"/>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5"/>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0" w:firstLine="0" w:leftChars="0" w:firstLineChars="0"/>
        <w:jc w:val="both"/>
        <w:rPr>
          <w:rFonts w:ascii="Calibri" w:eastAsia="宋体" w:hAnsi="Calibri"/>
          <w:kern w:val="2"/>
          <w:szCs w:val="22"/>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七、投标文件签署授权委托书</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hint="eastAsia"/>
          <w:kern w:val="2"/>
          <w:sz w:val="21"/>
          <w:szCs w:val="21"/>
          <w:lang w:eastAsia="zh-CN"/>
        </w:rPr>
      </w:pP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八、</w:t>
      </w:r>
      <w:bookmarkStart w:id="27" w:name="_Hlk72092634"/>
      <w:r>
        <w:rPr>
          <w:rFonts w:ascii="黑体" w:eastAsia="黑体" w:hAnsi="Calibri" w:cstheme="minorBidi" w:hint="eastAsia"/>
          <w:b/>
          <w:kern w:val="2"/>
          <w:sz w:val="30"/>
          <w:szCs w:val="22"/>
          <w:lang w:eastAsia="zh-CN"/>
        </w:rPr>
        <w:t>实质性条款响应情况表</w:t>
      </w:r>
      <w:bookmarkEnd w:id="27"/>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b/>
                <w:color w:val="FF0000"/>
                <w:sz w:val="21"/>
                <w:szCs w:val="21"/>
                <w:lang w:eastAsia="zh-CN"/>
              </w:rPr>
            </w:pPr>
          </w:p>
        </w:tc>
      </w:tr>
    </w:tbl>
    <w:p>
      <w:pPr>
        <w:widowControl w:val="0"/>
        <w:snapToGrid w:val="0"/>
        <w:jc w:val="both"/>
        <w:rPr>
          <w:rFonts w:ascii="宋体" w:eastAsia="宋体" w:hAnsi="宋体"/>
          <w:kern w:val="2"/>
          <w:lang w:eastAsia="zh-CN"/>
        </w:rPr>
      </w:pPr>
    </w:p>
    <w:p>
      <w:pPr>
        <w:widowControl w:val="0"/>
        <w:snapToGrid w:val="0"/>
        <w:jc w:val="both"/>
        <w:rPr>
          <w:rFonts w:ascii="宋体" w:eastAsia="宋体" w:hAnsi="宋体"/>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九、技术要求偏离表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126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货物名称</w:t>
            </w:r>
          </w:p>
        </w:tc>
        <w:tc>
          <w:tcPr>
            <w:tcW w:w="3028"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招标技术要求</w:t>
            </w:r>
          </w:p>
        </w:tc>
        <w:tc>
          <w:tcPr>
            <w:tcW w:w="28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投标技术响应</w:t>
            </w:r>
          </w:p>
        </w:tc>
        <w:tc>
          <w:tcPr>
            <w:tcW w:w="1210"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偏离情况</w:t>
            </w:r>
          </w:p>
        </w:tc>
        <w:tc>
          <w:tcPr>
            <w:tcW w:w="87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ign w:val="center"/>
          </w:tcPr>
          <w:p>
            <w:pPr>
              <w:widowControl w:val="0"/>
              <w:jc w:val="both"/>
              <w:rPr>
                <w:rFonts w:ascii="Calibri" w:eastAsia="宋体" w:hAnsi="Calibri"/>
                <w:kern w:val="2"/>
                <w:sz w:val="21"/>
                <w:szCs w:val="22"/>
                <w:lang w:eastAsia="zh-CN"/>
              </w:rPr>
            </w:pPr>
          </w:p>
        </w:tc>
        <w:tc>
          <w:tcPr>
            <w:tcW w:w="1266" w:type="dxa"/>
            <w:vMerge/>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jc w:val="center"/>
        </w:trPr>
        <w:tc>
          <w:tcPr>
            <w:tcW w:w="681"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573"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700"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采购</w:t>
            </w:r>
            <w:r>
              <w:rPr>
                <w:rFonts w:ascii="Calibri" w:eastAsia="宋体" w:hAnsi="Calibri" w:cstheme="minorBidi" w:hint="eastAsia"/>
                <w:kern w:val="2"/>
                <w:sz w:val="21"/>
                <w:szCs w:val="22"/>
                <w:lang w:eastAsia="zh-CN"/>
              </w:rPr>
              <w:t>商务要求</w:t>
            </w:r>
          </w:p>
        </w:tc>
        <w:tc>
          <w:tcPr>
            <w:tcW w:w="261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26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74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700" w:type="dxa"/>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（二）其他商务要求</w:t>
            </w: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1、商务要求偏离表的序号、目录、招标商务要求等栏目对应“用户需求书”中的“商务要求”章节相关内容。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2、“投标商务响应”一栏必须一一对照“采购商务要求”，详细填写自身响应情况，而不能不合理照搬照抄招标文件的商务要求，以体现具体响应情况。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“投标商务响应”对比“采购商务要求”存在响应不全（包括未响应整项招标商务要求或者未响应一项招标商务要求的部分内容），均视为“负偏离”。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4、带★号条款为不可偏离条款，如未响应或出现负偏离的，将作投标无效处理。</w:t>
      </w: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十一、技术保障措施</w:t>
      </w:r>
    </w:p>
    <w:p>
      <w:pPr>
        <w:spacing w:line="360" w:lineRule="auto"/>
        <w:jc w:val="center"/>
        <w:rPr>
          <w:rFonts w:ascii="黑体" w:eastAsia="黑体" w:hAnsi="黑体" w:cs="黑体" w:hint="eastAsia"/>
          <w:b/>
          <w:bCs/>
          <w:sz w:val="30"/>
          <w:szCs w:val="30"/>
          <w:lang w:eastAsia="zh-CN"/>
        </w:rPr>
      </w:pPr>
      <w:r>
        <w:rPr>
          <w:rFonts w:ascii="黑体" w:eastAsia="黑体" w:hAnsi="黑体" w:cs="黑体" w:hint="eastAsia"/>
          <w:b/>
          <w:bCs/>
          <w:sz w:val="30"/>
          <w:szCs w:val="30"/>
          <w:lang w:eastAsia="zh-CN"/>
        </w:rPr>
        <w:t>（格式自拟）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十二、售后服务方案</w:t>
      </w:r>
    </w:p>
    <w:p>
      <w:pPr>
        <w:spacing w:line="360" w:lineRule="auto"/>
        <w:jc w:val="center"/>
        <w:rPr>
          <w:rFonts w:ascii="黑体" w:eastAsia="黑体" w:hAnsi="黑体" w:cs="黑体" w:hint="eastAsia"/>
          <w:b/>
          <w:bCs/>
          <w:sz w:val="30"/>
          <w:szCs w:val="30"/>
          <w:lang w:eastAsia="zh-CN"/>
        </w:rPr>
      </w:pPr>
      <w:r>
        <w:rPr>
          <w:rFonts w:ascii="黑体" w:eastAsia="黑体" w:hAnsi="黑体" w:cs="黑体" w:hint="eastAsia"/>
          <w:b/>
          <w:bCs/>
          <w:sz w:val="30"/>
          <w:szCs w:val="30"/>
          <w:lang w:eastAsia="zh-CN"/>
        </w:rPr>
        <w:t>（格式自拟）</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十三、供应商认证情况</w:t>
      </w:r>
    </w:p>
    <w:p>
      <w:pPr>
        <w:spacing w:line="360" w:lineRule="auto"/>
        <w:jc w:val="center"/>
        <w:rPr>
          <w:rFonts w:ascii="黑体" w:eastAsia="黑体" w:hAnsi="黑体" w:cs="黑体" w:hint="eastAsia"/>
          <w:b/>
          <w:bCs/>
          <w:sz w:val="30"/>
          <w:szCs w:val="30"/>
          <w:lang w:eastAsia="zh-CN"/>
        </w:rPr>
      </w:pPr>
      <w:r>
        <w:rPr>
          <w:rFonts w:ascii="黑体" w:eastAsia="黑体" w:hAnsi="黑体" w:cs="黑体" w:hint="eastAsia"/>
          <w:b/>
          <w:bCs/>
          <w:sz w:val="30"/>
          <w:szCs w:val="30"/>
          <w:lang w:eastAsia="zh-CN"/>
        </w:rPr>
        <w:t>（格式自拟）</w:t>
      </w:r>
    </w:p>
    <w:p>
      <w:pPr>
        <w:spacing w:line="360" w:lineRule="auto"/>
        <w:rPr>
          <w:rFonts w:hint="eastAsia"/>
          <w:b/>
          <w:bCs/>
          <w:lang w:eastAsia="zh-CN"/>
        </w:rPr>
      </w:pP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十四、诚信承诺函</w:t>
      </w:r>
    </w:p>
    <w:p>
      <w:pPr>
        <w:spacing w:before="120" w:after="120"/>
        <w:jc w:val="both"/>
        <w:outlineLvl w:val="9"/>
        <w:rPr>
          <w:rFonts w:ascii="宋体" w:eastAsia="宋体" w:hAnsi="宋体"/>
          <w:b/>
          <w:bCs/>
          <w:sz w:val="21"/>
          <w:szCs w:val="21"/>
        </w:rPr>
      </w:pPr>
    </w:p>
    <w:p>
      <w:pPr>
        <w:spacing w:line="360" w:lineRule="auto"/>
        <w:jc w:val="left"/>
        <w:rPr>
          <w:rFonts w:ascii="宋体" w:eastAsia="宋体" w:hAnsi="宋体"/>
          <w:b/>
          <w:szCs w:val="21"/>
        </w:rPr>
      </w:pPr>
      <w:r>
        <w:rPr>
          <w:rFonts w:ascii="宋体" w:eastAsia="宋体" w:hAnsi="宋体" w:hint="eastAsia"/>
          <w:b/>
          <w:szCs w:val="21"/>
        </w:rPr>
        <w:t>致：深圳市千里招标代理有限公司</w:t>
      </w:r>
    </w:p>
    <w:p>
      <w:pPr>
        <w:spacing w:line="360" w:lineRule="auto"/>
        <w:ind w:firstLine="480" w:firstLineChars="200"/>
        <w:jc w:val="left"/>
        <w:rPr>
          <w:rFonts w:ascii="宋体" w:eastAsia="宋体" w:hAnsi="宋体"/>
          <w:szCs w:val="21"/>
        </w:rPr>
      </w:pPr>
      <w:r>
        <w:rPr>
          <w:rFonts w:ascii="宋体" w:eastAsia="宋体" w:hAnsi="宋体" w:hint="eastAsia"/>
          <w:szCs w:val="21"/>
        </w:rPr>
        <w:t>我公司承诺近三年内在采购招标投标活动中，不存在以下情形：</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（一）被纪检监察部门立案调查，违法违规事实成立的；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（二）未按本条例规定签订、履行采购合同，造成严重后果的；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（三）隐瞒真实情况，提供虚假资料的；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（四）以非法手段排斥其他供应商参与竞争的；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（五）与其他采购参加人串通投标的；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（六）在采购活动中应当回避而未回避的；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（七）恶意投诉的；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（八）向采购项目相关人行贿或者提供其他不当利益的；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（九）阻碍、抗拒主管部门监督检查的；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（十）履约检查不合格或者评价为差的；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（十一）重大违法犯罪记录和被财政等政府主管部门处以禁止参与政府采购活动的情况；</w:t>
      </w:r>
    </w:p>
    <w:p>
      <w:pPr>
        <w:spacing w:line="360" w:lineRule="auto"/>
        <w:ind w:firstLine="480" w:firstLineChars="200"/>
        <w:jc w:val="left"/>
        <w:rPr>
          <w:rFonts w:ascii="宋体" w:eastAsia="宋体" w:hAnsi="宋体"/>
          <w:szCs w:val="21"/>
        </w:rPr>
      </w:pPr>
      <w:r>
        <w:rPr>
          <w:rFonts w:ascii="宋体" w:eastAsia="宋体" w:hAnsi="宋体" w:hint="eastAsia"/>
          <w:szCs w:val="21"/>
        </w:rPr>
        <w:t>（十二）主管部门认定的其他情形。</w:t>
      </w:r>
    </w:p>
    <w:p>
      <w:pPr>
        <w:spacing w:line="360" w:lineRule="auto"/>
        <w:ind w:firstLine="480" w:firstLineChars="200"/>
        <w:jc w:val="left"/>
        <w:rPr>
          <w:rFonts w:ascii="宋体" w:eastAsia="宋体" w:hAnsi="宋体"/>
          <w:szCs w:val="21"/>
        </w:rPr>
      </w:pPr>
      <w:r>
        <w:rPr>
          <w:rFonts w:ascii="宋体" w:eastAsia="宋体" w:hAnsi="宋体" w:hint="eastAsia"/>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360" w:lineRule="auto"/>
        <w:ind w:firstLine="480" w:firstLineChars="200"/>
        <w:jc w:val="left"/>
        <w:rPr>
          <w:rFonts w:ascii="宋体" w:eastAsia="宋体" w:hAnsi="宋体"/>
          <w:szCs w:val="21"/>
        </w:rPr>
      </w:pPr>
      <w:r>
        <w:rPr>
          <w:rFonts w:ascii="宋体" w:eastAsia="宋体" w:hAnsi="宋体" w:hint="eastAsia"/>
          <w:szCs w:val="21"/>
        </w:rPr>
        <w:t>特此承诺。</w:t>
      </w:r>
    </w:p>
    <w:p>
      <w:pPr>
        <w:spacing w:line="360" w:lineRule="auto"/>
        <w:jc w:val="left"/>
        <w:rPr>
          <w:rFonts w:ascii="宋体" w:eastAsia="宋体" w:hAnsi="宋体"/>
          <w:szCs w:val="21"/>
        </w:rPr>
      </w:pPr>
    </w:p>
    <w:p>
      <w:pPr>
        <w:spacing w:line="360" w:lineRule="auto"/>
        <w:ind w:firstLine="3600" w:firstLineChars="1500"/>
        <w:jc w:val="left"/>
        <w:rPr>
          <w:rFonts w:ascii="宋体" w:eastAsia="宋体" w:hAnsi="宋体"/>
          <w:szCs w:val="21"/>
        </w:rPr>
      </w:pPr>
      <w:r>
        <w:rPr>
          <w:rFonts w:ascii="宋体" w:eastAsia="宋体" w:hAnsi="宋体" w:hint="eastAsia"/>
          <w:szCs w:val="21"/>
        </w:rPr>
        <w:t>投标单位：</w:t>
      </w:r>
    </w:p>
    <w:p>
      <w:pPr>
        <w:spacing w:line="360" w:lineRule="auto"/>
        <w:jc w:val="left"/>
        <w:rPr>
          <w:rFonts w:ascii="宋体" w:eastAsia="宋体" w:hAnsi="宋体"/>
          <w:szCs w:val="21"/>
        </w:rPr>
      </w:pPr>
    </w:p>
    <w:p>
      <w:pPr>
        <w:spacing w:line="360" w:lineRule="auto"/>
        <w:jc w:val="right"/>
        <w:rPr>
          <w:rFonts w:ascii="宋体" w:eastAsia="宋体" w:hAnsi="宋体"/>
          <w:szCs w:val="21"/>
        </w:rPr>
      </w:pPr>
      <w:r>
        <w:rPr>
          <w:rFonts w:ascii="宋体" w:eastAsia="宋体" w:hAnsi="宋体" w:hint="eastAsia"/>
          <w:szCs w:val="21"/>
        </w:rPr>
        <w:t>日期：</w:t>
      </w:r>
      <w:r>
        <w:rPr>
          <w:rFonts w:ascii="宋体" w:eastAsia="宋体" w:hAnsi="宋体" w:hint="eastAsia"/>
          <w:szCs w:val="21"/>
          <w:u w:val="single"/>
          <w:lang w:eastAsia="zh-CN"/>
        </w:rPr>
        <w:t xml:space="preserve">     </w:t>
      </w:r>
      <w:r>
        <w:rPr>
          <w:rFonts w:ascii="宋体" w:eastAsia="宋体" w:hAnsi="宋体" w:hint="eastAsia"/>
          <w:szCs w:val="21"/>
        </w:rPr>
        <w:t>年</w:t>
      </w:r>
      <w:r>
        <w:rPr>
          <w:rFonts w:ascii="宋体" w:eastAsia="宋体" w:hAnsi="宋体" w:hint="eastAsia"/>
          <w:szCs w:val="21"/>
          <w:u w:val="single"/>
          <w:lang w:eastAsia="zh-CN"/>
        </w:rPr>
        <w:t xml:space="preserve">     </w:t>
      </w:r>
      <w:r>
        <w:rPr>
          <w:rFonts w:ascii="宋体" w:eastAsia="宋体" w:hAnsi="宋体" w:hint="eastAsia"/>
          <w:szCs w:val="21"/>
        </w:rPr>
        <w:t>月</w:t>
      </w:r>
      <w:r>
        <w:rPr>
          <w:rFonts w:ascii="宋体" w:eastAsia="宋体" w:hAnsi="宋体" w:hint="eastAsia"/>
          <w:szCs w:val="21"/>
          <w:u w:val="single"/>
          <w:lang w:eastAsia="zh-CN"/>
        </w:rPr>
        <w:t xml:space="preserve">     </w:t>
      </w:r>
      <w:r>
        <w:rPr>
          <w:rFonts w:ascii="宋体" w:eastAsia="宋体" w:hAnsi="宋体" w:hint="eastAsia"/>
          <w:szCs w:val="21"/>
        </w:rPr>
        <w:t>日</w:t>
      </w: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十五、</w:t>
      </w:r>
      <w:bookmarkStart w:id="28" w:name="_Hlk72062872"/>
      <w:r>
        <w:rPr>
          <w:rFonts w:ascii="黑体" w:eastAsia="黑体" w:hAnsi="宋体" w:cstheme="minorBidi" w:hint="eastAsia"/>
          <w:b/>
          <w:bCs/>
          <w:kern w:val="2"/>
          <w:sz w:val="30"/>
          <w:szCs w:val="30"/>
          <w:lang w:eastAsia="zh-CN"/>
        </w:rPr>
        <w:t>投标人认为需要加以说明的其他内容</w:t>
      </w:r>
      <w:bookmarkEnd w:id="28"/>
    </w:p>
    <w:p>
      <w:pPr>
        <w:widowControl/>
        <w:jc w:val="center"/>
        <w:rPr>
          <w:rFonts w:ascii="黑体" w:eastAsia="黑体" w:hAnsi="宋体"/>
          <w:szCs w:val="20"/>
          <w:lang w:eastAsia="zh-CN"/>
        </w:rPr>
      </w:pPr>
      <w:r>
        <w:rPr>
          <w:rFonts w:ascii="黑体" w:eastAsia="黑体" w:hAnsi="宋体" w:cstheme="minorBidi" w:hint="eastAsia"/>
          <w:szCs w:val="20"/>
          <w:lang w:eastAsia="zh-CN"/>
        </w:rPr>
        <w:t>（一）政府采购违法行为风险知悉确认书</w:t>
      </w:r>
    </w:p>
    <w:p>
      <w:pPr>
        <w:widowControl/>
        <w:jc w:val="center"/>
        <w:rPr>
          <w:rFonts w:ascii="黑体" w:eastAsia="黑体" w:hAnsi="宋体"/>
          <w:szCs w:val="20"/>
          <w:lang w:eastAsia="zh-CN"/>
        </w:rPr>
      </w:pPr>
    </w:p>
    <w:p>
      <w:pPr>
        <w:widowControl w:val="0"/>
        <w:spacing w:line="579" w:lineRule="exact"/>
        <w:ind w:firstLine="480" w:firstLineChars="200"/>
        <w:jc w:val="both"/>
        <w:rPr>
          <w:rFonts w:ascii="宋体" w:eastAsia="宋体" w:hAnsi="宋体" w:cs="仿宋_GB2312"/>
          <w:lang w:eastAsia="zh-CN"/>
        </w:rPr>
      </w:pPr>
      <w:r>
        <w:rPr>
          <w:rFonts w:ascii="宋体" w:eastAsia="宋体" w:hAnsi="宋体" w:cs="仿宋_GB2312" w:hint="eastAsia"/>
          <w:kern w:val="2"/>
          <w:lang w:eastAsia="zh-CN"/>
        </w:rPr>
        <w:t>本公司在投标前已充分知悉以下情形为参与政府采购活动时的重大风险事项，并承诺已对下述风险提示事项重点排查，做到严谨、诚信、依法依规参与政府采购活动。</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jc w:val="left"/>
        <w:rPr>
          <w:rFonts w:ascii="宋体" w:eastAsia="宋体" w:hAnsi="宋体" w:cs="仿宋_GB2312"/>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kern w:val="2"/>
          <w:u w:val="single"/>
          <w:lang w:eastAsia="zh-CN"/>
        </w:rPr>
      </w:pPr>
    </w:p>
    <w:p>
      <w:pPr>
        <w:widowControl w:val="0"/>
        <w:spacing w:line="560" w:lineRule="exact"/>
        <w:jc w:val="both"/>
        <w:rPr>
          <w:rFonts w:ascii="宋体" w:eastAsia="宋体" w:hAnsi="宋体" w:cs="宋体"/>
          <w:kern w:val="2"/>
          <w:sz w:val="18"/>
          <w:szCs w:val="18"/>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jc w:val="left"/>
        <w:rPr>
          <w:rFonts w:ascii="宋体" w:eastAsia="宋体" w:hAnsi="宋体" w:cs="仿宋_GB2312"/>
          <w:kern w:val="2"/>
          <w:lang w:eastAsia="zh-CN"/>
        </w:rPr>
      </w:pPr>
    </w:p>
    <w:p>
      <w:pPr>
        <w:widowControl/>
        <w:autoSpaceDE w:val="0"/>
        <w:autoSpaceDN w:val="0"/>
        <w:spacing w:line="400" w:lineRule="exact"/>
        <w:ind w:firstLine="480" w:firstLineChars="200"/>
        <w:jc w:val="left"/>
        <w:rPr>
          <w:rFonts w:ascii="宋体" w:eastAsia="宋体" w:hAnsi="宋体"/>
          <w:color w:val="FF0000"/>
          <w:spacing w:val="-4"/>
          <w:sz w:val="21"/>
          <w:szCs w:val="21"/>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widowControl/>
        <w:numPr>
          <w:ilvl w:val="0"/>
          <w:numId w:val="6"/>
        </w:numPr>
        <w:jc w:val="center"/>
        <w:rPr>
          <w:rFonts w:ascii="黑体" w:eastAsia="黑体" w:hAnsi="宋体" w:hint="eastAsia"/>
          <w:szCs w:val="20"/>
          <w:lang w:eastAsia="zh-CN"/>
        </w:rPr>
      </w:pPr>
      <w:r>
        <w:rPr>
          <w:rFonts w:ascii="黑体" w:eastAsia="黑体" w:hAnsi="宋体" w:cstheme="minorBidi" w:hint="eastAsia"/>
          <w:szCs w:val="20"/>
          <w:lang w:eastAsia="zh-CN"/>
        </w:rPr>
        <w:t>投标人认为需要加以说明的其他内容（格式自定）</w:t>
      </w:r>
    </w:p>
    <w:p>
      <w:pPr>
        <w:widowControl/>
        <w:numPr>
          <w:ilvl w:val="0"/>
          <w:numId w:val="0"/>
        </w:numPr>
        <w:ind w:left="0" w:firstLine="0"/>
        <w:jc w:val="center"/>
        <w:rPr>
          <w:rFonts w:ascii="黑体" w:eastAsia="黑体" w:hAnsi="宋体" w:hint="eastAsia"/>
          <w:szCs w:val="20"/>
          <w:lang w:eastAsia="zh-CN"/>
        </w:rPr>
      </w:pPr>
    </w:p>
    <w:p>
      <w:pPr>
        <w:widowControl/>
        <w:numPr>
          <w:ilvl w:val="0"/>
          <w:numId w:val="0"/>
        </w:numPr>
        <w:ind w:left="0" w:firstLine="0"/>
        <w:jc w:val="center"/>
        <w:rPr>
          <w:rFonts w:ascii="黑体" w:eastAsia="黑体" w:hAnsi="宋体" w:hint="eastAsia"/>
          <w:szCs w:val="20"/>
          <w:lang w:eastAsia="zh-CN"/>
        </w:rPr>
      </w:pPr>
    </w:p>
    <w:p>
      <w:pPr>
        <w:widowControl/>
        <w:numPr>
          <w:ilvl w:val="0"/>
          <w:numId w:val="0"/>
        </w:numPr>
        <w:ind w:left="0" w:firstLine="0"/>
        <w:jc w:val="center"/>
        <w:rPr>
          <w:rFonts w:ascii="黑体" w:eastAsia="黑体" w:hAnsi="宋体" w:hint="eastAsia"/>
          <w:szCs w:val="20"/>
          <w:lang w:eastAsia="zh-CN"/>
        </w:rPr>
      </w:pP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有专业类别的格式合同范本请选择相应的合同</w:t>
      </w:r>
    </w:p>
    <w:p>
      <w:pPr>
        <w:widowControl w:val="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（仅供参考，采购单位需填写项目关键信息和违约责任条款）</w:t>
      </w:r>
    </w:p>
    <w:p>
      <w:pPr>
        <w:jc w:val="left"/>
        <w:rPr>
          <w:rFonts w:ascii="宋体" w:eastAsia="宋体" w:hAnsi="宋体" w:cs="宋体" w:hint="eastAsia"/>
          <w:sz w:val="21"/>
          <w:szCs w:val="21"/>
        </w:rPr>
      </w:pPr>
      <w:r>
        <w:rPr>
          <w:rFonts w:ascii="宋体" w:eastAsia="宋体" w:hAnsi="宋体" w:cs="宋体" w:hint="eastAsia"/>
          <w:sz w:val="21"/>
          <w:szCs w:val="21"/>
        </w:rPr>
        <w:t>采购人：</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r>
        <w:rPr>
          <w:rFonts w:ascii="宋体" w:eastAsia="宋体" w:hAnsi="宋体" w:cs="宋体" w:hint="eastAsia"/>
          <w:sz w:val="21"/>
          <w:szCs w:val="21"/>
        </w:rPr>
        <w:t>供应商：</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根据</w:t>
      </w:r>
      <w:r>
        <w:rPr>
          <w:rFonts w:ascii="宋体" w:eastAsia="宋体" w:hAnsi="宋体" w:cs="宋体" w:hint="eastAsia"/>
          <w:sz w:val="21"/>
          <w:szCs w:val="21"/>
          <w:lang w:eastAsia="zh-CN"/>
        </w:rPr>
        <w:t>深圳市龙华职业技术学校</w:t>
      </w:r>
      <w:r>
        <w:rPr>
          <w:rFonts w:ascii="宋体" w:eastAsia="宋体" w:hAnsi="宋体" w:cs="宋体" w:hint="eastAsia"/>
          <w:sz w:val="21"/>
          <w:szCs w:val="21"/>
          <w:u w:val="single"/>
        </w:rPr>
        <w:t xml:space="preserve">        </w:t>
      </w:r>
      <w:r>
        <w:rPr>
          <w:rFonts w:ascii="宋体" w:eastAsia="宋体" w:hAnsi="宋体" w:cs="宋体" w:hint="eastAsia"/>
          <w:sz w:val="21"/>
          <w:szCs w:val="21"/>
        </w:rPr>
        <w:t>号采购项目的投标结果，由</w:t>
      </w:r>
      <w:r>
        <w:rPr>
          <w:rFonts w:ascii="宋体" w:eastAsia="宋体" w:hAnsi="宋体" w:cs="宋体" w:hint="eastAsia"/>
          <w:sz w:val="21"/>
          <w:szCs w:val="21"/>
          <w:u w:val="single"/>
        </w:rPr>
        <w:t xml:space="preserve">       </w:t>
      </w:r>
      <w:r>
        <w:rPr>
          <w:rFonts w:ascii="宋体" w:eastAsia="宋体" w:hAnsi="宋体" w:cs="宋体" w:hint="eastAsia"/>
          <w:sz w:val="21"/>
          <w:szCs w:val="21"/>
        </w:rPr>
        <w:t>单位为中标方。按照有关规定，经</w:t>
      </w:r>
      <w:r>
        <w:rPr>
          <w:rFonts w:ascii="宋体" w:eastAsia="宋体" w:hAnsi="宋体" w:cs="宋体" w:hint="eastAsia"/>
          <w:sz w:val="21"/>
          <w:szCs w:val="21"/>
          <w:lang w:eastAsia="zh-CN"/>
        </w:rPr>
        <w:t>深圳市龙华职业技术学校</w:t>
      </w:r>
      <w:r>
        <w:rPr>
          <w:rFonts w:ascii="宋体" w:eastAsia="宋体" w:hAnsi="宋体" w:cs="宋体" w:hint="eastAsia"/>
          <w:sz w:val="21"/>
          <w:szCs w:val="21"/>
        </w:rPr>
        <w:t>（以下简称甲方）和</w:t>
      </w:r>
      <w:r>
        <w:rPr>
          <w:rFonts w:ascii="宋体" w:eastAsia="宋体" w:hAnsi="宋体" w:cs="宋体" w:hint="eastAsia"/>
          <w:sz w:val="21"/>
          <w:szCs w:val="21"/>
          <w:u w:val="single"/>
        </w:rPr>
        <w:t xml:space="preserve">           </w:t>
      </w:r>
      <w:r>
        <w:rPr>
          <w:rFonts w:ascii="宋体" w:eastAsia="宋体" w:hAnsi="宋体" w:cs="宋体" w:hint="eastAsia"/>
          <w:sz w:val="21"/>
          <w:szCs w:val="21"/>
        </w:rPr>
        <w:t>单位（以下简称乙方）协商，达成以下合同条款：</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第一条  合同标的</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乙方根据甲方需求提供下列货物：</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货物名称、规格及数量详见</w:t>
      </w:r>
      <w:r>
        <w:rPr>
          <w:rFonts w:ascii="宋体" w:eastAsia="宋体" w:hAnsi="宋体" w:cs="宋体" w:hint="eastAsia"/>
          <w:b/>
          <w:sz w:val="21"/>
          <w:szCs w:val="21"/>
          <w:u w:val="single"/>
        </w:rPr>
        <w:t xml:space="preserve">  </w:t>
      </w:r>
      <w:r>
        <w:rPr>
          <w:rFonts w:ascii="宋体" w:eastAsia="宋体" w:hAnsi="宋体" w:cs="宋体" w:hint="eastAsia"/>
          <w:b/>
          <w:sz w:val="21"/>
          <w:szCs w:val="21"/>
          <w:u w:val="single"/>
          <w:lang w:eastAsia="zh-CN"/>
        </w:rPr>
        <w:t>（采购清单）</w:t>
      </w:r>
      <w:r>
        <w:rPr>
          <w:rFonts w:ascii="宋体" w:eastAsia="宋体" w:hAnsi="宋体" w:cs="宋体" w:hint="eastAsia"/>
          <w:b/>
          <w:sz w:val="21"/>
          <w:szCs w:val="21"/>
          <w:u w:val="single"/>
        </w:rPr>
        <w:t xml:space="preserve">  </w:t>
      </w:r>
      <w:r>
        <w:rPr>
          <w:rFonts w:ascii="宋体" w:eastAsia="宋体" w:hAnsi="宋体" w:cs="宋体" w:hint="eastAsia"/>
          <w:sz w:val="21"/>
          <w:szCs w:val="21"/>
        </w:rPr>
        <w:t>。</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第二条  合同价款</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本合同项下总价款为</w:t>
      </w:r>
      <w:r>
        <w:rPr>
          <w:rFonts w:ascii="宋体" w:eastAsia="宋体" w:hAnsi="宋体" w:cs="宋体" w:hint="eastAsia"/>
          <w:sz w:val="21"/>
          <w:szCs w:val="21"/>
          <w:u w:val="single"/>
        </w:rPr>
        <w:t xml:space="preserve">              </w:t>
      </w:r>
      <w:r>
        <w:rPr>
          <w:rFonts w:ascii="宋体" w:eastAsia="宋体" w:hAnsi="宋体" w:cs="宋体" w:hint="eastAsia"/>
          <w:sz w:val="21"/>
          <w:szCs w:val="21"/>
        </w:rPr>
        <w:t>（大写）人民币，分项价款详见</w:t>
      </w:r>
      <w:r>
        <w:rPr>
          <w:rFonts w:ascii="宋体" w:eastAsia="宋体" w:hAnsi="宋体" w:cs="宋体" w:hint="eastAsia"/>
          <w:b/>
          <w:sz w:val="21"/>
          <w:szCs w:val="21"/>
          <w:u w:val="single"/>
        </w:rPr>
        <w:t xml:space="preserve">          </w:t>
      </w:r>
      <w:r>
        <w:rPr>
          <w:rFonts w:ascii="宋体" w:eastAsia="宋体" w:hAnsi="宋体" w:cs="宋体" w:hint="eastAsia"/>
          <w:sz w:val="21"/>
          <w:szCs w:val="21"/>
        </w:rPr>
        <w:t>。本合同总价款已包括乙方为履行本合同义务所发生的一切费用，系固定不变价格，且不随通货膨胀的影响而波动。</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第三条  权利保证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第四条  质量保证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1、乙方所提供的货物的技术规格符合采购文件规定的技术规格，货物符合中华人民共和国的设计和制造生产标准或行业标准。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2、乙方应保证货物是全新、未使用过的原装合格正品（包括零部件），并完全符合甲方要求的质量、规格和性能的要求。如货物安装或配置了软件的，乙方保证相关软件均为正版软件。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3、乙方保证交货时一并提供货物的质量合格凭证或文件。</w:t>
      </w:r>
    </w:p>
    <w:p>
      <w:pPr>
        <w:spacing w:line="360" w:lineRule="auto"/>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第五条  交货和验收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1、乙方应按照本合同或招投标文件规定的时间和方式向甲方交付货物，交货地点由甲方指定。因交货产生的费用由乙方自行承担。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2、乙方交付的货物应当完全符合招投标文件所规定的货物、数量、质量和规格要求。乙方提供的货物不符合招投标文件和合同规定的，甲方有权拒收货物，由此引起的风险，由乙方承担。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4、甲方应当在到货后的</w:t>
      </w:r>
      <w:r>
        <w:rPr>
          <w:rFonts w:ascii="宋体" w:eastAsia="宋体" w:hAnsi="宋体" w:cs="宋体" w:hint="eastAsia"/>
          <w:sz w:val="21"/>
          <w:szCs w:val="21"/>
          <w:u w:val="single"/>
        </w:rPr>
        <w:t xml:space="preserve">  </w:t>
      </w:r>
      <w:r>
        <w:rPr>
          <w:rFonts w:ascii="宋体" w:eastAsia="宋体" w:hAnsi="宋体" w:cs="宋体" w:hint="eastAsia"/>
          <w:sz w:val="21"/>
          <w:szCs w:val="21"/>
          <w:u w:val="single"/>
          <w:lang w:eastAsia="zh-CN"/>
        </w:rPr>
        <w:t xml:space="preserve">10 </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个工作日内对货物进行验收；需要乙方对货物或系统进行安装调试的，甲方应在货物安装调试完毕后的</w:t>
      </w:r>
      <w:r>
        <w:rPr>
          <w:rFonts w:ascii="宋体" w:eastAsia="宋体" w:hAnsi="宋体" w:cs="宋体" w:hint="eastAsia"/>
          <w:sz w:val="21"/>
          <w:szCs w:val="21"/>
          <w:u w:val="single"/>
        </w:rPr>
        <w:t xml:space="preserve">  </w:t>
      </w:r>
      <w:r>
        <w:rPr>
          <w:rFonts w:ascii="宋体" w:eastAsia="宋体" w:hAnsi="宋体" w:cs="宋体" w:hint="eastAsia"/>
          <w:sz w:val="21"/>
          <w:szCs w:val="21"/>
          <w:u w:val="single"/>
          <w:lang w:eastAsia="zh-CN"/>
        </w:rPr>
        <w:t>20</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个工作日内进行质量验收。</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第六条  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1、乙方应按照国家有关法律法规规章和“三包”规定和采购文件的要求及乙方在投标文件的相关承诺提供保修及其他服务。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第七条  履约保证金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1、乙方应在签订本合同之日，向甲方或甲方指定的机构提交履约保证金_________元。</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2、如乙方未能履行合同规定的义务，甲方有权从履约保证金中取得补偿。</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3、甲方在乙方履行完毕本合同项下全部义务后______天内无息退还乙方。</w:t>
      </w:r>
    </w:p>
    <w:p>
      <w:pPr>
        <w:spacing w:line="360" w:lineRule="auto"/>
        <w:ind w:firstLine="560"/>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第八条   付款方式</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按照招标文件规定的付款方式进行支付。</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第九条    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１、甲方无正当理由拒收货物、拒付货物款的，由甲方向乙方偿付合同总价的【】%违约金。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２、甲方未按合同规定的期限向乙方支付货款的，每逾期1天甲方向乙方偿付欠款总额的【】‰滞纳金，但累计滞纳金总额不超过欠款总额的【】%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３、乙方逾期交付货物的，每逾期1天，乙方向甲方偿付逾期交货部分货款总额的【】‰的滞纳金。如乙方逾期交货达</w:t>
      </w:r>
      <w:r>
        <w:rPr>
          <w:rFonts w:ascii="宋体" w:eastAsia="宋体" w:hAnsi="宋体" w:cs="宋体" w:hint="eastAsia"/>
          <w:sz w:val="21"/>
          <w:szCs w:val="21"/>
          <w:u w:val="single"/>
        </w:rPr>
        <w:t xml:space="preserve">    </w:t>
      </w:r>
      <w:r>
        <w:rPr>
          <w:rFonts w:ascii="宋体" w:eastAsia="宋体" w:hAnsi="宋体" w:cs="宋体" w:hint="eastAsia"/>
          <w:sz w:val="21"/>
          <w:szCs w:val="21"/>
        </w:rPr>
        <w:t>天，甲方有权解除合同，履约保证金不予退回，同时乙方应向甲方支付合同总价【】％的违约金。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4、乙方所交付的货物品种、型号、规格不符合合同规定的，甲方有权拒收。甲方拒收的，乙方应向甲方支付货款总额【】%的违约金。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5、在乙方承诺的或国家规定的质量保证期内（取两者中最长的期限），如经乙方两次维修或更换，货物仍不能达到合同约定的质量标准，甲方有权退货，乙方应退回全部货款并赔偿甲方因此遭受的损失。</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6、乙方未履行本合同项下的其他义务或违反其在投标文件中的相关承诺的，应按合同总价款的【】%向甲方承担违约责任。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第十条    合同的变更和终止</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除《中华人民共和国政府采购法》第４９条、第５０条第二款规定的情形外，本合同一经签订，甲乙双方不得擅自变更、中止或终止合同。</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第十一条   争议的解决</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1、因货物的质量问题发生争议的，应当邀请国家认可的质量检测机构对货物质量进行鉴定。货物符合标准的，鉴定费由甲方承担；货物不符合质量标准的，鉴定费由乙方承担。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2、因履行本合同引起的或与本合同有关的争议，甲、乙双方应首先通过友好协商解决，如果协商不能解决争议，则向甲方所在地有管辖权的人民法院提起诉讼；</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第十二条   合同生效及其他</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1、下列文件均为本合同的重要组成部分：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（1）本项目的采购文件、答疑及补充通知；</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（2）本项目中标的投标文件；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（3）本合同执行中共同签署的补充与修正文件。</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 xml:space="preserve">   </w:t>
      </w:r>
      <w:r>
        <w:rPr>
          <w:rFonts w:ascii="宋体" w:eastAsia="宋体" w:hAnsi="宋体" w:cs="宋体" w:hint="eastAsia"/>
          <w:bCs/>
          <w:sz w:val="21"/>
          <w:szCs w:val="21"/>
        </w:rPr>
        <w:t xml:space="preserve"> 以上文件互为补充，如果出现内容冲突的情况，为准的优先顺序为（2）、（1）、（3）。</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2、本合同一式___份，甲、乙方双方各执份，具有同等法律效力。本合同自双方法人代表签字（盖章）认可之日起生效。</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甲方（采购人）：   （盖章）       乙方（供应商）：    （盖章）</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 xml:space="preserve">法定代表人：                     法定代表人：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委托代理人：                     委托代理人：</w:t>
      </w:r>
    </w:p>
    <w:p>
      <w:pPr>
        <w:ind w:firstLine="525" w:firstLineChars="250"/>
        <w:rPr>
          <w:rFonts w:ascii="宋体" w:eastAsia="宋体" w:hAnsi="宋体" w:cs="宋体" w:hint="eastAsia"/>
          <w:sz w:val="21"/>
          <w:szCs w:val="21"/>
        </w:rPr>
      </w:pPr>
      <w:r>
        <w:rPr>
          <w:rFonts w:ascii="宋体" w:eastAsia="宋体" w:hAnsi="宋体" w:cs="宋体" w:hint="eastAsia"/>
          <w:sz w:val="21"/>
          <w:szCs w:val="21"/>
        </w:rPr>
        <w:t>日期：   年     月    日         日期：   年     月    日</w:t>
      </w:r>
    </w:p>
    <w:p>
      <w:pPr>
        <w:widowControl w:val="0"/>
        <w:spacing w:line="360" w:lineRule="auto"/>
        <w:ind w:firstLine="560"/>
        <w:jc w:val="left"/>
        <w:rPr>
          <w:rFonts w:ascii="宋体" w:eastAsia="宋体" w:hAnsi="宋体" w:cs="宋体"/>
          <w:kern w:val="2"/>
          <w:sz w:val="21"/>
          <w:szCs w:val="21"/>
          <w:lang w:eastAsia="zh-CN"/>
        </w:rPr>
      </w:pPr>
    </w:p>
    <w:p>
      <w:pPr>
        <w:widowControl w:val="0"/>
        <w:spacing w:line="360" w:lineRule="auto"/>
        <w:jc w:val="both"/>
        <w:rPr>
          <w:rFonts w:ascii="宋体" w:eastAsia="宋体" w:hAnsi="宋体"/>
          <w:kern w:val="2"/>
          <w:sz w:val="21"/>
          <w:szCs w:val="21"/>
          <w:lang w:eastAsia="zh-CN"/>
        </w:rPr>
      </w:pPr>
    </w:p>
    <w:p>
      <w:pPr>
        <w:widowControl/>
        <w:jc w:val="center"/>
        <w:rPr>
          <w:rFonts w:ascii="宋体" w:eastAsia="宋体" w:hAnsi="宋体" w:hint="eastAsia"/>
          <w:b/>
          <w:kern w:val="2"/>
          <w:sz w:val="21"/>
          <w:szCs w:val="21"/>
          <w:lang w:eastAsia="zh-CN"/>
        </w:rPr>
      </w:pPr>
      <w:r>
        <w:rPr>
          <w:rFonts w:ascii="宋体" w:eastAsia="宋体" w:hAnsi="宋体" w:hint="eastAsia"/>
          <w:b/>
          <w:kern w:val="2"/>
          <w:sz w:val="21"/>
          <w:szCs w:val="21"/>
          <w:lang w:eastAsia="zh-CN"/>
        </w:rPr>
        <w:t>注：本合同样本仅供参考，具体条款内容由采购单位和中标单位协商确定。</w:t>
      </w: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both"/>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9" w:name="_Toc1312"/>
      <w:r>
        <w:rPr>
          <w:rFonts w:ascii="Arial" w:eastAsia="宋体" w:hAnsi="Arial" w:hint="eastAsia"/>
          <w:b/>
          <w:kern w:val="2"/>
          <w:sz w:val="32"/>
          <w:lang w:eastAsia="zh-CN"/>
        </w:rPr>
        <w:t>第一章  总则</w:t>
      </w:r>
      <w:bookmarkEnd w:id="29"/>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5．投标人参加政府采购的条件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6．政策导向</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7.本项目若涉及采购货物，则合格的货物及相应服务应满足以下要求：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8．投标费用</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9．踏勘现场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10．标前会议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0" w:name="_Toc696"/>
      <w:r>
        <w:rPr>
          <w:rFonts w:ascii="Arial" w:eastAsia="宋体" w:hAnsi="Arial" w:hint="eastAsia"/>
          <w:b/>
          <w:kern w:val="2"/>
          <w:sz w:val="32"/>
          <w:lang w:eastAsia="zh-CN"/>
        </w:rPr>
        <w:t>第二章</w:t>
      </w:r>
      <w:bookmarkStart w:id="31" w:name="_Toc25500"/>
      <w:bookmarkStart w:id="32" w:name="_Toc4237"/>
      <w:bookmarkStart w:id="33" w:name="_Toc16272"/>
      <w:r>
        <w:rPr>
          <w:rFonts w:ascii="Arial" w:eastAsia="宋体" w:hAnsi="Arial" w:hint="eastAsia"/>
          <w:b/>
          <w:kern w:val="2"/>
          <w:sz w:val="32"/>
          <w:lang w:eastAsia="zh-CN"/>
        </w:rPr>
        <w:t xml:space="preserve">  招标文件</w:t>
      </w:r>
      <w:bookmarkEnd w:id="30"/>
      <w:bookmarkEnd w:id="31"/>
      <w:bookmarkEnd w:id="32"/>
      <w:bookmarkEnd w:id="3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4"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4"/>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5" w:name="_Toc17279"/>
      <w:bookmarkStart w:id="36" w:name="_Toc13741"/>
      <w:bookmarkStart w:id="37" w:name="_Toc31413"/>
      <w:bookmarkStart w:id="38" w:name="_Toc18814"/>
      <w:r>
        <w:rPr>
          <w:rFonts w:ascii="Arial" w:eastAsia="宋体" w:hAnsi="Arial" w:hint="eastAsia"/>
          <w:b/>
          <w:kern w:val="2"/>
          <w:sz w:val="32"/>
          <w:lang w:eastAsia="zh-CN"/>
        </w:rPr>
        <w:t>第三章  投标文件的编制</w:t>
      </w:r>
      <w:bookmarkEnd w:id="35"/>
      <w:bookmarkEnd w:id="36"/>
      <w:bookmarkEnd w:id="37"/>
      <w:bookmarkEnd w:id="3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39"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3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0"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1"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2"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3"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2"/>
    <w:p>
      <w:pPr>
        <w:widowControl/>
        <w:wordWrap w:val="0"/>
        <w:autoSpaceDE w:val="0"/>
        <w:autoSpaceDN w:val="0"/>
        <w:spacing w:line="400" w:lineRule="exact"/>
        <w:ind w:right="808" w:firstLine="420" w:firstLineChars="200"/>
        <w:jc w:val="both"/>
        <w:rPr>
          <w:rFonts w:eastAsia="宋体"/>
          <w:kern w:val="2"/>
          <w:sz w:val="21"/>
          <w:lang w:eastAsia="zh-CN"/>
        </w:rPr>
      </w:pPr>
      <w:bookmarkStart w:id="44"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4"/>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21．</w:t>
      </w:r>
      <w:bookmarkStart w:id="45" w:name="_Hlk72402325"/>
      <w:r>
        <w:rPr>
          <w:rFonts w:eastAsia="宋体" w:hint="eastAsia"/>
          <w:kern w:val="2"/>
          <w:sz w:val="21"/>
          <w:lang w:eastAsia="zh-CN"/>
        </w:rPr>
        <w:t>关于投标保证金</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6"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46"/>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7" w:name="_Toc18062"/>
      <w:bookmarkStart w:id="48" w:name="_Toc28552"/>
      <w:bookmarkStart w:id="49" w:name="_Toc26761"/>
      <w:bookmarkStart w:id="50" w:name="_Toc21427"/>
      <w:r>
        <w:rPr>
          <w:rFonts w:ascii="Arial" w:eastAsia="宋体" w:hAnsi="Arial" w:hint="eastAsia"/>
          <w:b/>
          <w:kern w:val="2"/>
          <w:sz w:val="32"/>
          <w:lang w:eastAsia="zh-CN"/>
        </w:rPr>
        <w:t>第四章</w:t>
      </w:r>
      <w:bookmarkStart w:id="51" w:name="_Toc30105"/>
      <w:r>
        <w:rPr>
          <w:rFonts w:ascii="Arial" w:eastAsia="宋体" w:hAnsi="Arial" w:hint="eastAsia"/>
          <w:b/>
          <w:kern w:val="2"/>
          <w:sz w:val="32"/>
          <w:lang w:eastAsia="zh-CN"/>
        </w:rPr>
        <w:t xml:space="preserve">  投标文件的</w:t>
      </w:r>
      <w:bookmarkEnd w:id="47"/>
      <w:r>
        <w:rPr>
          <w:rFonts w:ascii="Arial" w:eastAsia="宋体" w:hAnsi="Arial" w:hint="eastAsia"/>
          <w:b/>
          <w:kern w:val="2"/>
          <w:sz w:val="32"/>
          <w:lang w:eastAsia="zh-CN"/>
        </w:rPr>
        <w:t>递交</w:t>
      </w:r>
      <w:bookmarkEnd w:id="48"/>
      <w:bookmarkEnd w:id="49"/>
      <w:bookmarkEnd w:id="50"/>
      <w:bookmarkEnd w:id="51"/>
    </w:p>
    <w:p>
      <w:pPr>
        <w:widowControl/>
        <w:wordWrap w:val="0"/>
        <w:autoSpaceDE w:val="0"/>
        <w:autoSpaceDN w:val="0"/>
        <w:spacing w:line="400" w:lineRule="exact"/>
        <w:ind w:right="808" w:firstLine="420" w:firstLineChars="200"/>
        <w:jc w:val="both"/>
        <w:rPr>
          <w:rFonts w:eastAsia="宋体"/>
          <w:kern w:val="2"/>
          <w:sz w:val="21"/>
          <w:lang w:eastAsia="zh-CN"/>
        </w:rPr>
      </w:pPr>
      <w:bookmarkStart w:id="52"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3"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3"/>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4" w:name="第五章1"/>
      <w:bookmarkEnd w:id="54"/>
      <w:bookmarkStart w:id="55" w:name="_Toc14713"/>
      <w:bookmarkStart w:id="56" w:name="_Toc101074881"/>
      <w:bookmarkStart w:id="57" w:name="_Toc2041"/>
      <w:bookmarkStart w:id="58" w:name="_Toc100052391"/>
      <w:bookmarkStart w:id="59" w:name="_Toc1658"/>
      <w:bookmarkStart w:id="60" w:name="_Toc13806"/>
      <w:bookmarkStart w:id="61" w:name="_Toc73518144"/>
      <w:bookmarkStart w:id="62" w:name="_Toc73517666"/>
      <w:r>
        <w:rPr>
          <w:rFonts w:ascii="Arial" w:eastAsia="宋体" w:hAnsi="Arial" w:hint="eastAsia"/>
          <w:b/>
          <w:kern w:val="2"/>
          <w:sz w:val="32"/>
          <w:lang w:eastAsia="zh-CN"/>
        </w:rPr>
        <w:t>第五章</w:t>
      </w:r>
      <w:bookmarkStart w:id="63" w:name="_Toc4434"/>
      <w:r>
        <w:rPr>
          <w:rFonts w:ascii="Arial" w:eastAsia="宋体" w:hAnsi="Arial" w:hint="eastAsia"/>
          <w:b/>
          <w:kern w:val="2"/>
          <w:sz w:val="32"/>
          <w:lang w:eastAsia="zh-CN"/>
        </w:rPr>
        <w:t xml:space="preserve">  开标</w:t>
      </w:r>
      <w:bookmarkEnd w:id="55"/>
      <w:bookmarkEnd w:id="56"/>
      <w:bookmarkEnd w:id="57"/>
      <w:bookmarkEnd w:id="58"/>
      <w:bookmarkEnd w:id="59"/>
      <w:bookmarkEnd w:id="60"/>
      <w:bookmarkEnd w:id="61"/>
      <w:bookmarkEnd w:id="62"/>
      <w:bookmarkEnd w:id="63"/>
    </w:p>
    <w:p>
      <w:pPr>
        <w:widowControl/>
        <w:wordWrap w:val="0"/>
        <w:autoSpaceDE w:val="0"/>
        <w:autoSpaceDN w:val="0"/>
        <w:spacing w:line="400" w:lineRule="exact"/>
        <w:ind w:right="808" w:firstLine="420" w:firstLineChars="200"/>
        <w:jc w:val="both"/>
        <w:rPr>
          <w:rFonts w:eastAsia="宋体"/>
          <w:kern w:val="2"/>
          <w:sz w:val="21"/>
          <w:lang w:eastAsia="zh-CN"/>
        </w:rPr>
      </w:pPr>
      <w:bookmarkStart w:id="64" w:name="_Toc73518146"/>
      <w:bookmarkStart w:id="65" w:name="_Toc73517668"/>
      <w:bookmarkStart w:id="66" w:name="_Toc101074882"/>
      <w:bookmarkStart w:id="67"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4"/>
    <w:bookmarkEnd w:id="65"/>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68" w:name="第六章1"/>
      <w:bookmarkEnd w:id="68"/>
      <w:bookmarkStart w:id="69" w:name="_Toc20179"/>
      <w:bookmarkStart w:id="70" w:name="_Toc7319"/>
      <w:bookmarkStart w:id="71" w:name="_Toc29197"/>
      <w:bookmarkStart w:id="72" w:name="_Toc27869"/>
      <w:r>
        <w:rPr>
          <w:rFonts w:ascii="Arial" w:eastAsia="宋体" w:hAnsi="Arial" w:hint="eastAsia"/>
          <w:b/>
          <w:kern w:val="2"/>
          <w:sz w:val="32"/>
          <w:lang w:eastAsia="zh-CN"/>
        </w:rPr>
        <w:t>第六章</w:t>
      </w:r>
      <w:bookmarkStart w:id="73" w:name="_Toc29225"/>
      <w:r>
        <w:rPr>
          <w:rFonts w:ascii="Arial" w:eastAsia="宋体" w:hAnsi="Arial" w:hint="eastAsia"/>
          <w:b/>
          <w:kern w:val="2"/>
          <w:sz w:val="32"/>
          <w:lang w:eastAsia="zh-CN"/>
        </w:rPr>
        <w:t xml:space="preserve">  评审要求</w:t>
      </w:r>
      <w:bookmarkEnd w:id="66"/>
      <w:bookmarkEnd w:id="67"/>
      <w:bookmarkEnd w:id="69"/>
      <w:bookmarkEnd w:id="70"/>
      <w:bookmarkEnd w:id="71"/>
      <w:bookmarkEnd w:id="72"/>
      <w:bookmarkEnd w:id="73"/>
    </w:p>
    <w:p>
      <w:pPr>
        <w:widowControl/>
        <w:wordWrap w:val="0"/>
        <w:autoSpaceDE w:val="0"/>
        <w:autoSpaceDN w:val="0"/>
        <w:spacing w:line="400" w:lineRule="exact"/>
        <w:ind w:right="808" w:firstLine="420" w:firstLineChars="200"/>
        <w:jc w:val="both"/>
        <w:rPr>
          <w:rFonts w:eastAsia="宋体"/>
          <w:kern w:val="2"/>
          <w:sz w:val="21"/>
          <w:lang w:eastAsia="zh-CN"/>
        </w:rPr>
      </w:pPr>
      <w:bookmarkStart w:id="74" w:name="第七章1"/>
      <w:bookmarkEnd w:id="74"/>
      <w:bookmarkStart w:id="75" w:name="_Toc1296"/>
      <w:bookmarkStart w:id="76" w:name="_Toc101074883"/>
      <w:bookmarkStart w:id="77" w:name="_Toc20125"/>
      <w:bookmarkStart w:id="78" w:name="_Toc100052397"/>
      <w:bookmarkStart w:id="79" w:name="_Toc19125"/>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0"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0"/>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1" w:name="_Toc18761"/>
      <w:r>
        <w:rPr>
          <w:rFonts w:ascii="Arial" w:eastAsia="宋体" w:hAnsi="Arial" w:hint="eastAsia"/>
          <w:b/>
          <w:kern w:val="2"/>
          <w:sz w:val="32"/>
          <w:lang w:eastAsia="zh-CN"/>
        </w:rPr>
        <w:t>第七章</w:t>
      </w:r>
      <w:bookmarkStart w:id="82" w:name="_Toc26636"/>
      <w:r>
        <w:rPr>
          <w:rFonts w:ascii="Arial" w:eastAsia="宋体" w:hAnsi="Arial" w:hint="eastAsia"/>
          <w:b/>
          <w:kern w:val="2"/>
          <w:sz w:val="32"/>
          <w:lang w:eastAsia="zh-CN"/>
        </w:rPr>
        <w:t xml:space="preserve">  评审程序</w:t>
      </w:r>
      <w:bookmarkStart w:id="83" w:name="_Toc73518149"/>
      <w:bookmarkStart w:id="84" w:name="_Toc73517671"/>
      <w:r>
        <w:rPr>
          <w:rFonts w:ascii="Arial" w:eastAsia="宋体" w:hAnsi="Arial" w:hint="eastAsia"/>
          <w:b/>
          <w:kern w:val="2"/>
          <w:sz w:val="32"/>
          <w:lang w:eastAsia="zh-CN"/>
        </w:rPr>
        <w:t>及评审方法</w:t>
      </w:r>
      <w:bookmarkEnd w:id="75"/>
      <w:bookmarkEnd w:id="76"/>
      <w:bookmarkEnd w:id="77"/>
      <w:bookmarkEnd w:id="78"/>
      <w:bookmarkEnd w:id="79"/>
      <w:bookmarkEnd w:id="81"/>
      <w:bookmarkEnd w:id="82"/>
    </w:p>
    <w:bookmarkEnd w:id="83"/>
    <w:bookmarkEnd w:id="8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5"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5"/>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6" w:name="_Toc73518151"/>
      <w:bookmarkStart w:id="87" w:name="_Toc100052400"/>
      <w:bookmarkStart w:id="88" w:name="_Toc73521669"/>
      <w:bookmarkStart w:id="89" w:name="_Toc73521581"/>
      <w:bookmarkStart w:id="90" w:name="_Toc73517673"/>
      <w:r>
        <w:rPr>
          <w:rFonts w:eastAsia="宋体" w:hint="eastAsia"/>
          <w:kern w:val="2"/>
          <w:sz w:val="21"/>
          <w:lang w:eastAsia="zh-CN"/>
        </w:rPr>
        <w:t>34．错误的修正</w:t>
      </w:r>
      <w:bookmarkEnd w:id="86"/>
      <w:bookmarkEnd w:id="87"/>
      <w:bookmarkEnd w:id="88"/>
      <w:bookmarkEnd w:id="89"/>
      <w:bookmarkEnd w:id="9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1"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2" w:name="第八章1"/>
      <w:bookmarkEnd w:id="92"/>
      <w:bookmarkStart w:id="93" w:name="_Toc13341"/>
      <w:bookmarkStart w:id="94" w:name="_Toc1513"/>
      <w:bookmarkStart w:id="95" w:name="_Toc30568"/>
      <w:bookmarkStart w:id="96" w:name="_Toc26094"/>
      <w:r>
        <w:rPr>
          <w:rFonts w:ascii="Arial" w:eastAsia="宋体" w:hAnsi="Arial" w:hint="eastAsia"/>
          <w:b/>
          <w:kern w:val="2"/>
          <w:sz w:val="32"/>
          <w:lang w:eastAsia="zh-CN"/>
        </w:rPr>
        <w:t>第八章</w:t>
      </w:r>
      <w:bookmarkStart w:id="97" w:name="_Toc24537"/>
      <w:r>
        <w:rPr>
          <w:rFonts w:ascii="Arial" w:eastAsia="宋体" w:hAnsi="Arial" w:hint="eastAsia"/>
          <w:b/>
          <w:kern w:val="2"/>
          <w:sz w:val="32"/>
          <w:lang w:eastAsia="zh-CN"/>
        </w:rPr>
        <w:t xml:space="preserve">  定标及公示</w:t>
      </w:r>
      <w:bookmarkEnd w:id="93"/>
      <w:bookmarkEnd w:id="94"/>
      <w:bookmarkEnd w:id="95"/>
      <w:bookmarkEnd w:id="96"/>
      <w:bookmarkEnd w:id="9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8"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99"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0"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99"/>
      <w:bookmarkEnd w:id="100"/>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9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1"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1"/>
      <w:bookmarkStart w:id="102"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3"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4" w:name="_Hlk71407340"/>
      <w:r>
        <w:rPr>
          <w:rFonts w:eastAsia="宋体" w:hint="eastAsia"/>
          <w:kern w:val="2"/>
          <w:sz w:val="21"/>
          <w:lang w:eastAsia="zh-CN"/>
        </w:rPr>
        <w:t>41.3因质疑投诉或其它原因导致项目结果变更或采购终止的，采购代理机构有权吊销中标通知书。</w:t>
      </w:r>
    </w:p>
    <w:bookmarkEnd w:id="104"/>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5" w:name="第九章1"/>
      <w:bookmarkEnd w:id="105"/>
      <w:bookmarkStart w:id="106" w:name="_Toc25733"/>
      <w:bookmarkStart w:id="107" w:name="_Toc20277"/>
      <w:bookmarkStart w:id="108" w:name="_Toc11736"/>
      <w:bookmarkStart w:id="109" w:name="_Toc17412"/>
      <w:bookmarkStart w:id="110" w:name="_Toc24474"/>
      <w:bookmarkStart w:id="111" w:name="_Toc73517678"/>
      <w:bookmarkStart w:id="112" w:name="_Toc101074884"/>
      <w:bookmarkStart w:id="113" w:name="_Toc100052407"/>
      <w:r>
        <w:rPr>
          <w:rFonts w:ascii="Arial" w:eastAsia="宋体" w:hAnsi="Arial" w:hint="eastAsia"/>
          <w:b/>
          <w:kern w:val="2"/>
          <w:sz w:val="32"/>
          <w:lang w:eastAsia="zh-CN"/>
        </w:rPr>
        <w:t>第九章  公开采购失败的后续处理</w:t>
      </w:r>
      <w:bookmarkEnd w:id="106"/>
      <w:bookmarkEnd w:id="107"/>
      <w:bookmarkEnd w:id="108"/>
      <w:bookmarkEnd w:id="109"/>
      <w:bookmarkEnd w:id="11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1"/>
    <w:bookmarkEnd w:id="112"/>
    <w:bookmarkEnd w:id="113"/>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4" w:name="第十章1"/>
      <w:bookmarkEnd w:id="114"/>
      <w:bookmarkStart w:id="115" w:name="_Toc26814"/>
      <w:bookmarkStart w:id="116" w:name="_Toc9122"/>
      <w:bookmarkStart w:id="117" w:name="_Toc27904"/>
      <w:bookmarkStart w:id="118" w:name="_Toc26432"/>
      <w:bookmarkStart w:id="119" w:name="_Toc13677"/>
      <w:r>
        <w:rPr>
          <w:rFonts w:ascii="Arial" w:eastAsia="宋体" w:hAnsi="Arial" w:hint="eastAsia"/>
          <w:b/>
          <w:kern w:val="2"/>
          <w:sz w:val="32"/>
          <w:lang w:eastAsia="zh-CN"/>
        </w:rPr>
        <w:t>第十章  合同的授予与备案</w:t>
      </w:r>
      <w:bookmarkEnd w:id="115"/>
      <w:bookmarkEnd w:id="116"/>
      <w:bookmarkEnd w:id="117"/>
      <w:bookmarkEnd w:id="118"/>
      <w:bookmarkEnd w:id="119"/>
    </w:p>
    <w:p>
      <w:pPr>
        <w:widowControl/>
        <w:wordWrap w:val="0"/>
        <w:autoSpaceDE w:val="0"/>
        <w:autoSpaceDN w:val="0"/>
        <w:spacing w:line="400" w:lineRule="exact"/>
        <w:ind w:right="808" w:firstLine="420" w:firstLineChars="200"/>
        <w:jc w:val="both"/>
        <w:rPr>
          <w:rFonts w:eastAsia="宋体"/>
          <w:kern w:val="2"/>
          <w:sz w:val="21"/>
          <w:lang w:eastAsia="zh-CN"/>
        </w:rPr>
      </w:pPr>
      <w:bookmarkStart w:id="120" w:name="_33._合同授予标准"/>
      <w:bookmarkEnd w:id="120"/>
      <w:bookmarkStart w:id="121" w:name="_Toc73521586"/>
      <w:bookmarkStart w:id="122" w:name="_Toc73518157"/>
      <w:bookmarkStart w:id="123" w:name="_Toc100052408"/>
      <w:bookmarkStart w:id="124" w:name="_Toc73517679"/>
      <w:bookmarkStart w:id="125" w:name="_Toc73521674"/>
      <w:bookmarkStart w:id="126" w:name="_Hlk72439088"/>
      <w:r>
        <w:rPr>
          <w:rFonts w:eastAsia="宋体" w:hint="eastAsia"/>
          <w:kern w:val="2"/>
          <w:sz w:val="21"/>
          <w:lang w:eastAsia="zh-CN"/>
        </w:rPr>
        <w:t>43．合同授予标准</w:t>
      </w:r>
      <w:bookmarkEnd w:id="121"/>
      <w:bookmarkEnd w:id="122"/>
      <w:bookmarkEnd w:id="123"/>
      <w:bookmarkEnd w:id="124"/>
      <w:bookmarkEnd w:id="12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27" w:name="_Toc73518158"/>
      <w:bookmarkStart w:id="128" w:name="_Toc73517680"/>
      <w:bookmarkStart w:id="129" w:name="_Toc73521675"/>
      <w:bookmarkStart w:id="130" w:name="_Toc100052409"/>
      <w:bookmarkStart w:id="131" w:name="_Toc73521587"/>
      <w:r>
        <w:rPr>
          <w:rFonts w:eastAsia="宋体" w:hint="eastAsia"/>
          <w:kern w:val="2"/>
          <w:sz w:val="21"/>
          <w:lang w:eastAsia="zh-CN"/>
        </w:rPr>
        <w:t>44．</w:t>
      </w:r>
      <w:bookmarkEnd w:id="127"/>
      <w:bookmarkEnd w:id="128"/>
      <w:bookmarkEnd w:id="129"/>
      <w:bookmarkEnd w:id="130"/>
      <w:bookmarkEnd w:id="131"/>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2" w:name="_Toc73517682"/>
      <w:bookmarkStart w:id="133" w:name="_Toc73521677"/>
      <w:bookmarkStart w:id="134" w:name="_Toc73518160"/>
      <w:bookmarkStart w:id="135" w:name="_Toc73521589"/>
      <w:bookmarkStart w:id="136" w:name="_Toc100052410"/>
      <w:r>
        <w:rPr>
          <w:rFonts w:eastAsia="宋体" w:hint="eastAsia"/>
          <w:kern w:val="2"/>
          <w:sz w:val="21"/>
          <w:lang w:eastAsia="zh-CN"/>
        </w:rPr>
        <w:t>45．合同的签订</w:t>
      </w:r>
      <w:bookmarkEnd w:id="132"/>
      <w:bookmarkEnd w:id="133"/>
      <w:bookmarkEnd w:id="134"/>
      <w:bookmarkEnd w:id="135"/>
      <w:bookmarkEnd w:id="13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7" w:name="_Toc100052411"/>
      <w:bookmarkStart w:id="138" w:name="_Toc73518161"/>
      <w:bookmarkStart w:id="139" w:name="_Toc73521590"/>
      <w:bookmarkStart w:id="140" w:name="_Toc73517683"/>
      <w:bookmarkStart w:id="141" w:name="_Toc73521678"/>
      <w:r>
        <w:rPr>
          <w:rFonts w:eastAsia="宋体" w:hint="eastAsia"/>
          <w:kern w:val="2"/>
          <w:sz w:val="21"/>
          <w:lang w:eastAsia="zh-CN"/>
        </w:rPr>
        <w:t>46．履约担保</w:t>
      </w:r>
      <w:bookmarkEnd w:id="137"/>
      <w:bookmarkEnd w:id="138"/>
      <w:bookmarkEnd w:id="139"/>
      <w:bookmarkEnd w:id="140"/>
      <w:bookmarkEnd w:id="14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2" w:name="_Hlk72440769"/>
      <w:r>
        <w:rPr>
          <w:rFonts w:eastAsia="宋体" w:hint="eastAsia"/>
          <w:kern w:val="2"/>
          <w:sz w:val="21"/>
          <w:lang w:eastAsia="zh-CN"/>
        </w:rPr>
        <w:t>采购代理机构或采购人不予退还其交纳的谈判保证金，情节严重的，并由主管部门</w:t>
      </w:r>
      <w:bookmarkEnd w:id="142"/>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6"/>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3" w:name="_Toc19433"/>
      <w:r>
        <w:rPr>
          <w:rFonts w:ascii="Arial" w:eastAsia="宋体" w:hAnsi="Arial" w:hint="eastAsia"/>
          <w:b/>
          <w:kern w:val="2"/>
          <w:sz w:val="32"/>
          <w:lang w:eastAsia="zh-CN"/>
        </w:rPr>
        <w:t>第十一章  质疑处理</w:t>
      </w:r>
      <w:bookmarkEnd w:id="14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4" w:name="_Hlk75374941"/>
      <w:r>
        <w:rPr>
          <w:rFonts w:eastAsia="宋体" w:hint="eastAsia"/>
          <w:kern w:val="2"/>
          <w:sz w:val="21"/>
          <w:lang w:eastAsia="zh-CN"/>
        </w:rPr>
        <w:t>以联合体形式参与的，质疑应当由组成联合体的所有成员共同提出</w:t>
      </w:r>
      <w:bookmarkEnd w:id="144"/>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宋体" w:hAnsi="微软雅黑" w:cs="微软雅黑" w:hint="eastAsia"/>
          <w:color w:val="333333"/>
          <w:lang w:eastAsia="zh-CN"/>
        </w:rPr>
        <w:sectPr>
          <w:headerReference w:type="default" r:id="rId9"/>
          <w:footerReference w:type="default" r:id="rId1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bookmarkStart w:id="145" w:name="_GoBack"/>
      <w:bookmarkEnd w:id="145"/>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安检设备及防撞柱采购-A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供应商认证情况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LHAZXDL-2024-00260-001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安检设备及防撞柱采购-A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评审小组根据《技术规格偏离表》响应情况进行打分，完全满足招标文件要求得100分，注有▲的重要技术要求每负偏离1项，扣4分；其他一般技术要求每负偏离1项，扣1.1分，扣完为止。 （二）评审依据： 投标人应如实填写《技术规格偏离表》，如需提供满足技术参数的第三方证明材料的，投标人需提供证明材料扫描件，原件备查，未提供的或提供不符合的对应项不得分。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27</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投标人提供的项目实施方案包括以下内容： 1.项目进度计划； 2.施工组织计划； 3.安全保障措施； （二）评审依据： 1、满足上述三点得30分；满足任意两点得20分，满足任意一点得10分，未满足不得分； 2、在此基础上，专家根据各供应商的具体响应内容进一步评审： 1）技术保障措施契合项目需求、内容具体详细、可操作性强评价为优，得70分。 2）技术保障措施较契合项目需求、内容较具体详细、可操作性较强评价为良，得40分。 3）技术保障措施基本满足项目需求、内容不全面、可操作性一般评价为中，得10分。 4）技术保障措施偏离项目需求、无相应售后服务保障举措、内容不全面、没有可操作性得评价为差，不得分。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投标人提供的售后服务方案须包含以下内容： 1.故障或技术支持响应时间。 2.维修维护方案。 3.质量保证措施及培训。 （二）评分标准： 1、满足上述三点得30分；满足任意两点得20分，满足任意一点得10分，未满足不得分； 2、在此基础上，专家根据各供应商的具体响应内容进一步评审： 1）售后服务方案契合项目需求、内容具体详细、可操作性强评价为优，得70分。 2）售后服务方案较契合项目需求、内容较具体详细、可操作性较强评价为良，得40分。 3）售后服务方案基本满足项目需求、内容不全面、可操作性一般评价为中，得10分。 4）售后服务方案偏离项目需求、无相应售后服务保障举措、内容不全面、没有可操作性得评价为差，不得分。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投标人应如实填写《商务要求偏离表》中商务要求部分，评标委员会根据响应情况进行打分。 （二）评审依据： 各项商务条款及要求全部满足的得100分，每负偏离一项扣7分，扣完为止。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投标人提供以下证书： 1.质量管理体系认证证书； 2.环境管理关系认证证书； 3.职业健康安全管理认证证书； 证书为“有效”状态。每提供以上1项认证证书，得34分。满分100分。 （二）评审依据： 投标人同时提供以下证明材料： 1、有效的认证证书，如无法证明证书在有效期内的，不得分； 2、全国认证认可信息公共服务平台（httpcx.cnca.cn）认证信息查询截图（截图需显示证书状态为有效）； 3、以上证明材料不提供或提供不清晰导致专家无法判断的不得分。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 《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 查询渠道：通过“信用中国”（www.creditchina.gov.cn，下载信用信息报告）、“中国政府采购网”（www.ccgp.gov.cn）以及“深圳市政府采购监管网”（httpzfcg.sz.gov.cn）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F31A29CA"/>
    <w:multiLevelType w:val="singleLevel"/>
    <w:tmpl w:val="F31A29CA"/>
    <w:lvl w:ilvl="0">
      <w:start w:val="2"/>
      <w:numFmt w:val="chineseCounting"/>
      <w:suff w:val="nothing"/>
      <w:lvlText w:val="（%1）"/>
      <w:lvlJc w:val="left"/>
      <w:rPr>
        <w:rFonts w:hint="eastAsia"/>
      </w:rPr>
    </w:lvl>
  </w:abstractNum>
  <w:abstractNum w:abstractNumId="3">
    <w:nsid w:val="2D258D39"/>
    <w:multiLevelType w:val="singleLevel"/>
    <w:tmpl w:val="2D258D39"/>
    <w:lvl w:ilvl="0">
      <w:start w:val="2"/>
      <w:numFmt w:val="chineseCounting"/>
      <w:suff w:val="nothing"/>
      <w:lvlText w:val="%1、"/>
      <w:lvlJc w:val="left"/>
      <w:rPr>
        <w:rFonts w:hint="eastAsia"/>
      </w:rPr>
    </w:lvl>
  </w:abstractNum>
  <w:abstractNum w:abstractNumId="4">
    <w:nsid w:val="453942D1"/>
    <w:multiLevelType w:val="singleLevel"/>
    <w:tmpl w:val="453942D1"/>
    <w:lvl w:ilvl="0">
      <w:start w:val="1"/>
      <w:numFmt w:val="decimal"/>
      <w:suff w:val="nothing"/>
      <w:lvlText w:val="%1、"/>
      <w:lvlJc w:val="left"/>
    </w:lvl>
  </w:abstractNum>
  <w:abstractNum w:abstractNumId="5">
    <w:nsid w:val="721CBBE0"/>
    <w:multiLevelType w:val="singleLevel"/>
    <w:tmpl w:val="721CBBE0"/>
    <w:lvl w:ilvl="0">
      <w:start w:val="1"/>
      <w:numFmt w:val="decimal"/>
      <w:suff w:val="nothing"/>
      <w:lvlText w:val="%1、"/>
      <w:lvlJc w:val="left"/>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paragraph" w:styleId="ListParagraph">
    <w:name w:val="List Paragraph"/>
    <w:basedOn w:val="Normal"/>
    <w:uiPriority w:val="99"/>
    <w:qFormat/>
    <w:pPr>
      <w:ind w:firstLine="420" w:firstLineChars="200"/>
    </w:pPr>
    <w:rPr>
      <w:rFonts w:ascii="Calibri" w:hAnsi="Calibri"/>
      <w:lang w:val="zh-CN"/>
    </w:rPr>
  </w:style>
  <w:style w:type="paragraph" w:styleId="BodyText">
    <w:name w:val="Body Text"/>
    <w:basedOn w:val="Normal"/>
    <w:next w:val="Quote"/>
    <w:qFormat/>
    <w:pPr>
      <w:spacing w:line="360" w:lineRule="auto"/>
    </w:pPr>
    <w:rPr>
      <w:b/>
      <w:bCs/>
    </w:rPr>
  </w:style>
  <w:style w:type="paragraph" w:styleId="Quote">
    <w:name w:val="Quote"/>
    <w:next w:val="Normal"/>
    <w:uiPriority w:val="29"/>
    <w:qFormat/>
    <w:pPr>
      <w:widowControl w:val="0"/>
      <w:jc w:val="both"/>
    </w:pPr>
    <w:rPr>
      <w:rFonts w:ascii="Calibri" w:eastAsia="宋体" w:hAnsi="Calibri" w:cs="Calibri"/>
      <w:i/>
      <w:iCs/>
      <w:color w:val="000000"/>
      <w:kern w:val="2"/>
      <w:sz w:val="22"/>
      <w:szCs w:val="22"/>
      <w:lang w:eastAsia="zh-CN"/>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