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8EB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0"/>
        <w:rPr>
          <w:rFonts w:hint="eastAsia" w:ascii="宋体" w:hAnsi="宋体" w:eastAsia="宋体" w:cs="宋体"/>
          <w:b w:val="0"/>
          <w:bCs w:val="0"/>
          <w:kern w:val="0"/>
          <w:sz w:val="40"/>
          <w:szCs w:val="40"/>
        </w:rPr>
      </w:pPr>
      <w:r>
        <w:rPr>
          <w:rFonts w:hint="eastAsia" w:ascii="宋体" w:hAnsi="宋体" w:eastAsia="宋体" w:cs="宋体"/>
          <w:b w:val="0"/>
          <w:bCs w:val="0"/>
          <w:kern w:val="0"/>
          <w:sz w:val="40"/>
          <w:szCs w:val="40"/>
        </w:rPr>
        <w:t>宝民及天骄幼儿园照明设备采购项目</w:t>
      </w:r>
    </w:p>
    <w:p w14:paraId="018A84F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0"/>
        <w:rPr>
          <w:rFonts w:hint="eastAsia" w:ascii="宋体" w:hAnsi="宋体" w:eastAsia="宋体" w:cs="宋体"/>
          <w:kern w:val="0"/>
          <w:sz w:val="40"/>
          <w:szCs w:val="40"/>
        </w:rPr>
      </w:pPr>
      <w:r>
        <w:rPr>
          <w:rFonts w:hint="eastAsia" w:ascii="宋体" w:hAnsi="宋体" w:eastAsia="宋体" w:cs="宋体"/>
          <w:kern w:val="0"/>
          <w:sz w:val="40"/>
          <w:szCs w:val="40"/>
        </w:rPr>
        <w:t>招标文件信息</w:t>
      </w:r>
    </w:p>
    <w:tbl>
      <w:tblPr>
        <w:tblStyle w:val="16"/>
        <w:tblW w:w="7938" w:type="dxa"/>
        <w:jc w:val="center"/>
        <w:tblCellSpacing w:w="0" w:type="dxa"/>
        <w:tblLayout w:type="autofit"/>
        <w:tblCellMar>
          <w:top w:w="36" w:type="dxa"/>
          <w:left w:w="36" w:type="dxa"/>
          <w:bottom w:w="36" w:type="dxa"/>
          <w:right w:w="36" w:type="dxa"/>
        </w:tblCellMar>
      </w:tblPr>
      <w:tblGrid>
        <w:gridCol w:w="2722"/>
        <w:gridCol w:w="5216"/>
      </w:tblGrid>
      <w:tr w14:paraId="31F6BC26">
        <w:tblPrEx>
          <w:tblCellMar>
            <w:top w:w="36" w:type="dxa"/>
            <w:left w:w="36" w:type="dxa"/>
            <w:bottom w:w="36" w:type="dxa"/>
            <w:right w:w="36" w:type="dxa"/>
          </w:tblCellMar>
        </w:tblPrEx>
        <w:trPr>
          <w:trHeight w:val="737" w:hRule="atLeast"/>
          <w:tblCellSpacing w:w="0" w:type="dxa"/>
          <w:jc w:val="center"/>
        </w:trPr>
        <w:tc>
          <w:tcPr>
            <w:tcW w:w="2722" w:type="dxa"/>
            <w:vAlign w:val="center"/>
          </w:tcPr>
          <w:p w14:paraId="78AC52E9">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 w:val="30"/>
                <w:szCs w:val="30"/>
              </w:rPr>
            </w:pPr>
            <w:r>
              <w:rPr>
                <w:rFonts w:hint="eastAsia" w:ascii="宋体" w:hAnsi="宋体" w:eastAsia="宋体" w:cs="宋体"/>
                <w:sz w:val="30"/>
                <w:szCs w:val="30"/>
              </w:rPr>
              <w:t>项目编号：</w:t>
            </w:r>
          </w:p>
        </w:tc>
        <w:tc>
          <w:tcPr>
            <w:tcW w:w="0" w:type="auto"/>
            <w:vAlign w:val="center"/>
          </w:tcPr>
          <w:p w14:paraId="62EE369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0"/>
                <w:szCs w:val="30"/>
                <w:lang w:val="en-US" w:eastAsia="zh-CN"/>
              </w:rPr>
            </w:pPr>
            <w:r>
              <w:rPr>
                <w:rFonts w:hint="eastAsia" w:ascii="宋体" w:hAnsi="宋体" w:eastAsia="宋体" w:cs="宋体"/>
                <w:sz w:val="30"/>
                <w:szCs w:val="30"/>
              </w:rPr>
              <w:t>BAZXCG-2024-0034</w:t>
            </w:r>
            <w:r>
              <w:rPr>
                <w:rFonts w:hint="eastAsia" w:ascii="宋体" w:hAnsi="宋体" w:eastAsia="宋体" w:cs="宋体"/>
                <w:sz w:val="30"/>
                <w:szCs w:val="30"/>
                <w:lang w:val="en-US" w:eastAsia="zh-CN"/>
              </w:rPr>
              <w:t>9</w:t>
            </w:r>
          </w:p>
        </w:tc>
      </w:tr>
      <w:tr w14:paraId="11633327">
        <w:tblPrEx>
          <w:tblCellMar>
            <w:top w:w="36" w:type="dxa"/>
            <w:left w:w="36" w:type="dxa"/>
            <w:bottom w:w="36" w:type="dxa"/>
            <w:right w:w="36" w:type="dxa"/>
          </w:tblCellMar>
        </w:tblPrEx>
        <w:trPr>
          <w:trHeight w:val="737" w:hRule="atLeast"/>
          <w:tblCellSpacing w:w="0" w:type="dxa"/>
          <w:jc w:val="center"/>
        </w:trPr>
        <w:tc>
          <w:tcPr>
            <w:tcW w:w="0" w:type="auto"/>
            <w:vAlign w:val="center"/>
          </w:tcPr>
          <w:p w14:paraId="222DF021">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 w:val="30"/>
                <w:szCs w:val="30"/>
              </w:rPr>
            </w:pPr>
            <w:r>
              <w:rPr>
                <w:rFonts w:hint="eastAsia" w:ascii="宋体" w:hAnsi="宋体" w:eastAsia="宋体" w:cs="宋体"/>
                <w:sz w:val="30"/>
                <w:szCs w:val="30"/>
              </w:rPr>
              <w:t>项目名称：</w:t>
            </w:r>
          </w:p>
        </w:tc>
        <w:tc>
          <w:tcPr>
            <w:tcW w:w="0" w:type="auto"/>
            <w:vAlign w:val="center"/>
          </w:tcPr>
          <w:p w14:paraId="0857520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0"/>
                <w:szCs w:val="30"/>
              </w:rPr>
            </w:pPr>
            <w:r>
              <w:rPr>
                <w:rFonts w:hint="eastAsia" w:ascii="宋体" w:hAnsi="宋体" w:eastAsia="宋体" w:cs="宋体"/>
                <w:sz w:val="30"/>
                <w:szCs w:val="30"/>
              </w:rPr>
              <w:t>宝民及天骄幼儿园照明设备采购项目</w:t>
            </w:r>
          </w:p>
        </w:tc>
      </w:tr>
      <w:tr w14:paraId="28083BB1">
        <w:tblPrEx>
          <w:tblCellMar>
            <w:top w:w="36" w:type="dxa"/>
            <w:left w:w="36" w:type="dxa"/>
            <w:bottom w:w="36" w:type="dxa"/>
            <w:right w:w="36" w:type="dxa"/>
          </w:tblCellMar>
        </w:tblPrEx>
        <w:trPr>
          <w:trHeight w:val="737" w:hRule="atLeast"/>
          <w:tblCellSpacing w:w="0" w:type="dxa"/>
          <w:jc w:val="center"/>
        </w:trPr>
        <w:tc>
          <w:tcPr>
            <w:tcW w:w="0" w:type="auto"/>
            <w:vAlign w:val="center"/>
          </w:tcPr>
          <w:p w14:paraId="033D0DA9">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 w:val="30"/>
                <w:szCs w:val="30"/>
              </w:rPr>
            </w:pPr>
            <w:r>
              <w:rPr>
                <w:rFonts w:hint="eastAsia" w:ascii="宋体" w:hAnsi="宋体" w:eastAsia="宋体" w:cs="宋体"/>
                <w:sz w:val="30"/>
                <w:szCs w:val="30"/>
              </w:rPr>
              <w:t>包</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号：</w:t>
            </w:r>
          </w:p>
        </w:tc>
        <w:tc>
          <w:tcPr>
            <w:tcW w:w="0" w:type="auto"/>
            <w:vAlign w:val="center"/>
          </w:tcPr>
          <w:p w14:paraId="42D9C948">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0"/>
                <w:szCs w:val="30"/>
              </w:rPr>
            </w:pPr>
            <w:r>
              <w:rPr>
                <w:rFonts w:hint="eastAsia" w:ascii="宋体" w:hAnsi="宋体" w:eastAsia="宋体" w:cs="宋体"/>
                <w:sz w:val="30"/>
                <w:szCs w:val="30"/>
              </w:rPr>
              <w:t>A</w:t>
            </w:r>
          </w:p>
        </w:tc>
      </w:tr>
      <w:tr w14:paraId="43EDB674">
        <w:tblPrEx>
          <w:tblCellMar>
            <w:top w:w="36" w:type="dxa"/>
            <w:left w:w="36" w:type="dxa"/>
            <w:bottom w:w="36" w:type="dxa"/>
            <w:right w:w="36" w:type="dxa"/>
          </w:tblCellMar>
        </w:tblPrEx>
        <w:trPr>
          <w:trHeight w:val="737" w:hRule="atLeast"/>
          <w:tblCellSpacing w:w="0" w:type="dxa"/>
          <w:jc w:val="center"/>
        </w:trPr>
        <w:tc>
          <w:tcPr>
            <w:tcW w:w="0" w:type="auto"/>
            <w:vAlign w:val="center"/>
          </w:tcPr>
          <w:p w14:paraId="09C9CDE9">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 w:val="30"/>
                <w:szCs w:val="30"/>
              </w:rPr>
            </w:pPr>
            <w:r>
              <w:rPr>
                <w:rFonts w:hint="eastAsia" w:ascii="宋体" w:hAnsi="宋体" w:eastAsia="宋体" w:cs="宋体"/>
                <w:sz w:val="30"/>
                <w:szCs w:val="30"/>
              </w:rPr>
              <w:t>项目类型：</w:t>
            </w:r>
          </w:p>
        </w:tc>
        <w:tc>
          <w:tcPr>
            <w:tcW w:w="0" w:type="auto"/>
            <w:vAlign w:val="center"/>
          </w:tcPr>
          <w:p w14:paraId="1F9E4ED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0"/>
                <w:szCs w:val="30"/>
              </w:rPr>
            </w:pPr>
            <w:r>
              <w:rPr>
                <w:rFonts w:hint="eastAsia" w:ascii="宋体" w:hAnsi="宋体" w:eastAsia="宋体" w:cs="宋体"/>
                <w:sz w:val="30"/>
                <w:szCs w:val="30"/>
                <w:lang w:val="en-US" w:eastAsia="zh-CN"/>
              </w:rPr>
              <w:t>货物</w:t>
            </w:r>
            <w:r>
              <w:rPr>
                <w:rFonts w:hint="eastAsia" w:ascii="宋体" w:hAnsi="宋体" w:eastAsia="宋体" w:cs="宋体"/>
                <w:sz w:val="30"/>
                <w:szCs w:val="30"/>
              </w:rPr>
              <w:t>类</w:t>
            </w:r>
          </w:p>
        </w:tc>
      </w:tr>
      <w:tr w14:paraId="01993A1E">
        <w:tblPrEx>
          <w:tblCellMar>
            <w:top w:w="36" w:type="dxa"/>
            <w:left w:w="36" w:type="dxa"/>
            <w:bottom w:w="36" w:type="dxa"/>
            <w:right w:w="36" w:type="dxa"/>
          </w:tblCellMar>
        </w:tblPrEx>
        <w:trPr>
          <w:trHeight w:val="737" w:hRule="atLeast"/>
          <w:tblCellSpacing w:w="0" w:type="dxa"/>
          <w:jc w:val="center"/>
        </w:trPr>
        <w:tc>
          <w:tcPr>
            <w:tcW w:w="0" w:type="auto"/>
            <w:vAlign w:val="center"/>
          </w:tcPr>
          <w:p w14:paraId="75B5E397">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 w:val="30"/>
                <w:szCs w:val="30"/>
              </w:rPr>
            </w:pPr>
            <w:r>
              <w:rPr>
                <w:rFonts w:hint="eastAsia" w:ascii="宋体" w:hAnsi="宋体" w:eastAsia="宋体" w:cs="宋体"/>
                <w:sz w:val="30"/>
                <w:szCs w:val="30"/>
              </w:rPr>
              <w:t>采购方式：</w:t>
            </w:r>
          </w:p>
        </w:tc>
        <w:tc>
          <w:tcPr>
            <w:tcW w:w="0" w:type="auto"/>
            <w:vAlign w:val="center"/>
          </w:tcPr>
          <w:p w14:paraId="3576249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0"/>
                <w:szCs w:val="30"/>
              </w:rPr>
            </w:pPr>
            <w:r>
              <w:rPr>
                <w:rFonts w:hint="eastAsia" w:ascii="宋体" w:hAnsi="宋体" w:eastAsia="宋体" w:cs="宋体"/>
                <w:sz w:val="30"/>
                <w:szCs w:val="30"/>
              </w:rPr>
              <w:t>公开招标</w:t>
            </w:r>
          </w:p>
        </w:tc>
      </w:tr>
      <w:tr w14:paraId="1FDDEBE4">
        <w:tblPrEx>
          <w:tblCellMar>
            <w:top w:w="36" w:type="dxa"/>
            <w:left w:w="36" w:type="dxa"/>
            <w:bottom w:w="36" w:type="dxa"/>
            <w:right w:w="36" w:type="dxa"/>
          </w:tblCellMar>
        </w:tblPrEx>
        <w:trPr>
          <w:trHeight w:val="737" w:hRule="atLeast"/>
          <w:tblCellSpacing w:w="0" w:type="dxa"/>
          <w:jc w:val="center"/>
        </w:trPr>
        <w:tc>
          <w:tcPr>
            <w:tcW w:w="0" w:type="auto"/>
            <w:vAlign w:val="center"/>
          </w:tcPr>
          <w:p w14:paraId="234E84D2">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 w:val="30"/>
                <w:szCs w:val="30"/>
              </w:rPr>
            </w:pPr>
            <w:r>
              <w:rPr>
                <w:rFonts w:hint="eastAsia" w:ascii="宋体" w:hAnsi="宋体" w:eastAsia="宋体" w:cs="宋体"/>
                <w:sz w:val="30"/>
                <w:szCs w:val="30"/>
              </w:rPr>
              <w:t>货币类型：</w:t>
            </w:r>
          </w:p>
        </w:tc>
        <w:tc>
          <w:tcPr>
            <w:tcW w:w="0" w:type="auto"/>
            <w:vAlign w:val="center"/>
          </w:tcPr>
          <w:p w14:paraId="73A4B3C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0"/>
                <w:szCs w:val="30"/>
              </w:rPr>
            </w:pPr>
            <w:r>
              <w:rPr>
                <w:rFonts w:hint="eastAsia" w:ascii="宋体" w:hAnsi="宋体" w:eastAsia="宋体" w:cs="宋体"/>
                <w:sz w:val="30"/>
                <w:szCs w:val="30"/>
              </w:rPr>
              <w:t>人民币</w:t>
            </w:r>
          </w:p>
        </w:tc>
      </w:tr>
      <w:tr w14:paraId="1611D192">
        <w:tblPrEx>
          <w:tblCellMar>
            <w:top w:w="36" w:type="dxa"/>
            <w:left w:w="36" w:type="dxa"/>
            <w:bottom w:w="36" w:type="dxa"/>
            <w:right w:w="36" w:type="dxa"/>
          </w:tblCellMar>
        </w:tblPrEx>
        <w:trPr>
          <w:trHeight w:val="737" w:hRule="atLeast"/>
          <w:tblCellSpacing w:w="0" w:type="dxa"/>
          <w:jc w:val="center"/>
        </w:trPr>
        <w:tc>
          <w:tcPr>
            <w:tcW w:w="0" w:type="auto"/>
            <w:vAlign w:val="center"/>
          </w:tcPr>
          <w:p w14:paraId="54ADBDBC">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 w:val="30"/>
                <w:szCs w:val="30"/>
              </w:rPr>
            </w:pPr>
            <w:r>
              <w:rPr>
                <w:rFonts w:hint="eastAsia" w:ascii="宋体" w:hAnsi="宋体" w:eastAsia="宋体" w:cs="宋体"/>
                <w:sz w:val="30"/>
                <w:szCs w:val="30"/>
              </w:rPr>
              <w:t>评标方法：</w:t>
            </w:r>
          </w:p>
        </w:tc>
        <w:tc>
          <w:tcPr>
            <w:tcW w:w="0" w:type="auto"/>
            <w:vAlign w:val="center"/>
          </w:tcPr>
          <w:p w14:paraId="2AB1CA30">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0"/>
                <w:szCs w:val="30"/>
              </w:rPr>
            </w:pPr>
            <w:r>
              <w:rPr>
                <w:rFonts w:hint="eastAsia" w:ascii="宋体" w:hAnsi="宋体" w:eastAsia="宋体" w:cs="宋体"/>
                <w:kern w:val="0"/>
                <w:sz w:val="30"/>
                <w:szCs w:val="30"/>
                <w:lang w:bidi="ar"/>
              </w:rPr>
              <w:t>综合评分法</w:t>
            </w:r>
          </w:p>
        </w:tc>
      </w:tr>
    </w:tbl>
    <w:p w14:paraId="38C917EE">
      <w:pPr>
        <w:keepNext w:val="0"/>
        <w:keepLines w:val="0"/>
        <w:pageBreakBefore w:val="0"/>
        <w:widowControl w:val="0"/>
        <w:tabs>
          <w:tab w:val="left" w:pos="2790"/>
        </w:tabs>
        <w:kinsoku/>
        <w:wordWrap/>
        <w:overflowPunct/>
        <w:topLinePunct w:val="0"/>
        <w:autoSpaceDE/>
        <w:autoSpaceDN/>
        <w:bidi w:val="0"/>
        <w:adjustRightInd/>
        <w:snapToGrid w:val="0"/>
        <w:spacing w:beforeAutospacing="0" w:afterAutospacing="0" w:line="360" w:lineRule="auto"/>
        <w:ind w:left="0" w:leftChars="0" w:right="0" w:firstLine="0" w:firstLineChars="0"/>
        <w:jc w:val="center"/>
        <w:textAlignment w:val="auto"/>
        <w:outlineLvl w:val="0"/>
        <w:rPr>
          <w:rFonts w:hint="eastAsia" w:ascii="宋体" w:hAnsi="宋体" w:eastAsia="宋体" w:cs="宋体"/>
          <w:sz w:val="40"/>
          <w:szCs w:val="40"/>
        </w:rPr>
      </w:pPr>
      <w:r>
        <w:rPr>
          <w:rFonts w:hint="eastAsia" w:ascii="宋体" w:hAnsi="宋体" w:eastAsia="宋体" w:cs="宋体"/>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061AD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B0E63F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7AF3E4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内容</w:t>
            </w:r>
          </w:p>
        </w:tc>
      </w:tr>
      <w:tr w14:paraId="62151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82F35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5959346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kern w:val="0"/>
                <w:szCs w:val="21"/>
              </w:rPr>
              <w:t>投标人不符合资格要求，或未提交相应的资格证明资料（详见招标公告</w:t>
            </w:r>
            <w:r>
              <w:rPr>
                <w:rFonts w:hint="eastAsia" w:ascii="宋体" w:hAnsi="宋体" w:eastAsia="宋体" w:cs="宋体"/>
                <w:szCs w:val="21"/>
              </w:rPr>
              <w:t>投标人资格要求，即申请人的资格要求</w:t>
            </w:r>
            <w:r>
              <w:rPr>
                <w:rFonts w:hint="eastAsia" w:ascii="宋体" w:hAnsi="宋体" w:eastAsia="宋体" w:cs="宋体"/>
                <w:kern w:val="0"/>
                <w:szCs w:val="21"/>
              </w:rPr>
              <w:t>）。</w:t>
            </w:r>
          </w:p>
        </w:tc>
      </w:tr>
    </w:tbl>
    <w:p w14:paraId="02ED5AAE">
      <w:pPr>
        <w:keepNext w:val="0"/>
        <w:keepLines w:val="0"/>
        <w:pageBreakBefore w:val="0"/>
        <w:widowControl w:val="0"/>
        <w:tabs>
          <w:tab w:val="left" w:pos="2790"/>
        </w:tabs>
        <w:kinsoku/>
        <w:wordWrap/>
        <w:overflowPunct/>
        <w:topLinePunct w:val="0"/>
        <w:autoSpaceDE/>
        <w:autoSpaceDN/>
        <w:bidi w:val="0"/>
        <w:adjustRightInd/>
        <w:snapToGrid w:val="0"/>
        <w:spacing w:beforeAutospacing="0" w:afterAutospacing="0" w:line="360" w:lineRule="auto"/>
        <w:ind w:left="0" w:leftChars="0" w:right="0" w:firstLine="0" w:firstLineChars="0"/>
        <w:jc w:val="center"/>
        <w:textAlignment w:val="auto"/>
        <w:outlineLvl w:val="0"/>
        <w:rPr>
          <w:rFonts w:hint="eastAsia" w:ascii="宋体" w:hAnsi="宋体" w:eastAsia="宋体" w:cs="宋体"/>
          <w:sz w:val="40"/>
          <w:szCs w:val="40"/>
        </w:rPr>
      </w:pPr>
      <w:r>
        <w:rPr>
          <w:rFonts w:hint="eastAsia" w:ascii="宋体" w:hAnsi="宋体" w:eastAsia="宋体" w:cs="宋体"/>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14:paraId="4419E4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130D62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05E007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内容</w:t>
            </w:r>
          </w:p>
        </w:tc>
      </w:tr>
      <w:tr w14:paraId="0DE34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F098D1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1</w:t>
            </w:r>
          </w:p>
        </w:tc>
        <w:tc>
          <w:tcPr>
            <w:tcW w:w="8704" w:type="dxa"/>
            <w:tcBorders>
              <w:top w:val="single" w:color="000000" w:sz="8" w:space="0"/>
              <w:left w:val="single" w:color="000000" w:sz="8" w:space="0"/>
              <w:bottom w:val="single" w:color="000000" w:sz="8" w:space="0"/>
              <w:right w:val="single" w:color="000000" w:sz="8" w:space="0"/>
            </w:tcBorders>
          </w:tcPr>
          <w:p w14:paraId="28ABA623">
            <w:pPr>
              <w:kinsoku/>
              <w:overflowPunct/>
              <w:topLinePunct w:val="0"/>
              <w:bidi w:val="0"/>
              <w:spacing w:beforeAutospacing="0" w:afterAutospacing="0" w:line="360" w:lineRule="auto"/>
              <w:ind w:left="0" w:leftChars="0" w:right="0" w:firstLine="0" w:firstLineChars="0"/>
              <w:rPr>
                <w:rFonts w:hint="eastAsia" w:ascii="宋体" w:hAnsi="宋体" w:eastAsia="宋体" w:cs="宋体"/>
                <w:b/>
                <w:highlight w:val="yellow"/>
              </w:rPr>
            </w:pPr>
            <w:r>
              <w:rPr>
                <w:rFonts w:hint="eastAsia" w:ascii="宋体" w:hAnsi="宋体" w:eastAsia="宋体" w:cs="宋体"/>
              </w:rPr>
              <w:t>不得将一个包的内容拆开投标；</w:t>
            </w:r>
          </w:p>
        </w:tc>
      </w:tr>
      <w:tr w14:paraId="11EA6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6D7630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2</w:t>
            </w:r>
          </w:p>
        </w:tc>
        <w:tc>
          <w:tcPr>
            <w:tcW w:w="8704" w:type="dxa"/>
            <w:tcBorders>
              <w:top w:val="single" w:color="000000" w:sz="8" w:space="0"/>
              <w:left w:val="single" w:color="000000" w:sz="8" w:space="0"/>
              <w:bottom w:val="single" w:color="000000" w:sz="8" w:space="0"/>
              <w:right w:val="single" w:color="000000" w:sz="8" w:space="0"/>
            </w:tcBorders>
          </w:tcPr>
          <w:p w14:paraId="4E5A765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对同一项目投标时，不得提供两套以上的投标方案（招标文件另有规定的除外）；</w:t>
            </w:r>
          </w:p>
        </w:tc>
      </w:tr>
      <w:tr w14:paraId="5A0C7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CA4DCF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3</w:t>
            </w:r>
          </w:p>
        </w:tc>
        <w:tc>
          <w:tcPr>
            <w:tcW w:w="8704" w:type="dxa"/>
            <w:tcBorders>
              <w:top w:val="single" w:color="000000" w:sz="8" w:space="0"/>
              <w:left w:val="single" w:color="000000" w:sz="8" w:space="0"/>
              <w:bottom w:val="single" w:color="000000" w:sz="8" w:space="0"/>
              <w:right w:val="single" w:color="000000" w:sz="8" w:space="0"/>
            </w:tcBorders>
          </w:tcPr>
          <w:p w14:paraId="1961DE0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分项报价或投标总价不得高于</w:t>
            </w:r>
            <w:bookmarkStart w:id="0" w:name="_Hlk71832186"/>
            <w:r>
              <w:rPr>
                <w:rFonts w:hint="eastAsia" w:ascii="宋体" w:hAnsi="宋体" w:eastAsia="宋体" w:cs="宋体"/>
              </w:rPr>
              <w:t>相应预算金额（或设定的预算金额下的最高限价）</w:t>
            </w:r>
            <w:bookmarkEnd w:id="0"/>
            <w:r>
              <w:rPr>
                <w:rFonts w:hint="eastAsia" w:ascii="宋体" w:hAnsi="宋体" w:eastAsia="宋体" w:cs="宋体"/>
              </w:rPr>
              <w:t>；</w:t>
            </w:r>
          </w:p>
        </w:tc>
      </w:tr>
      <w:tr w14:paraId="26D371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99A06A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4</w:t>
            </w:r>
          </w:p>
        </w:tc>
        <w:tc>
          <w:tcPr>
            <w:tcW w:w="8704" w:type="dxa"/>
            <w:tcBorders>
              <w:top w:val="single" w:color="000000" w:sz="8" w:space="0"/>
              <w:left w:val="single" w:color="000000" w:sz="8" w:space="0"/>
              <w:bottom w:val="single" w:color="000000" w:sz="8" w:space="0"/>
              <w:right w:val="single" w:color="000000" w:sz="8" w:space="0"/>
            </w:tcBorders>
          </w:tcPr>
          <w:p w14:paraId="677966F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B4B2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2FFF54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5</w:t>
            </w:r>
          </w:p>
        </w:tc>
        <w:tc>
          <w:tcPr>
            <w:tcW w:w="8704" w:type="dxa"/>
            <w:tcBorders>
              <w:top w:val="single" w:color="000000" w:sz="8" w:space="0"/>
              <w:left w:val="single" w:color="000000" w:sz="8" w:space="0"/>
              <w:bottom w:val="single" w:color="000000" w:sz="8" w:space="0"/>
              <w:right w:val="single" w:color="000000" w:sz="8" w:space="0"/>
            </w:tcBorders>
          </w:tcPr>
          <w:p w14:paraId="62A1B9F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所投货物、服务在技术、商务等方面没有实质性满足招标文件要求的（是否实质性满足招标文件要求，由评审委员会根据实质性条款响应情况做出评判</w:t>
            </w:r>
            <w:r>
              <w:rPr>
                <w:rFonts w:hint="eastAsia" w:ascii="宋体" w:hAnsi="宋体" w:eastAsia="宋体" w:cs="宋体"/>
                <w:lang w:eastAsia="zh-CN"/>
              </w:rPr>
              <w:t>；</w:t>
            </w:r>
            <w:r>
              <w:rPr>
                <w:rFonts w:hint="eastAsia" w:ascii="宋体" w:hAnsi="宋体" w:eastAsia="宋体" w:cs="宋体"/>
                <w:lang w:val="en-US" w:eastAsia="zh-CN"/>
              </w:rPr>
              <w:t>若招标文件未设置实质性条款，不得据此做投标无效处理</w:t>
            </w:r>
            <w:r>
              <w:rPr>
                <w:rFonts w:hint="eastAsia" w:ascii="宋体" w:hAnsi="宋体" w:eastAsia="宋体" w:cs="宋体"/>
              </w:rPr>
              <w:t>）；</w:t>
            </w:r>
          </w:p>
        </w:tc>
      </w:tr>
      <w:tr w14:paraId="2AAF9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D87C01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6</w:t>
            </w:r>
          </w:p>
        </w:tc>
        <w:tc>
          <w:tcPr>
            <w:tcW w:w="8704" w:type="dxa"/>
            <w:tcBorders>
              <w:top w:val="single" w:color="000000" w:sz="8" w:space="0"/>
              <w:left w:val="single" w:color="000000" w:sz="8" w:space="0"/>
              <w:bottom w:val="single" w:color="000000" w:sz="8" w:space="0"/>
              <w:right w:val="single" w:color="000000" w:sz="8" w:space="0"/>
            </w:tcBorders>
          </w:tcPr>
          <w:p w14:paraId="6B53422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未按招标文件所提供的样式填写《投标函》；未按招标文件所提供的《政府采购投标及履约承诺函》进行承诺；未按招标文件对投标文件组成的要求提供投标文件； </w:t>
            </w:r>
          </w:p>
        </w:tc>
      </w:tr>
      <w:tr w14:paraId="19702C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6353E4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7</w:t>
            </w:r>
          </w:p>
        </w:tc>
        <w:tc>
          <w:tcPr>
            <w:tcW w:w="8704" w:type="dxa"/>
            <w:tcBorders>
              <w:top w:val="single" w:color="000000" w:sz="8" w:space="0"/>
              <w:left w:val="single" w:color="000000" w:sz="8" w:space="0"/>
              <w:bottom w:val="single" w:color="000000" w:sz="8" w:space="0"/>
              <w:right w:val="single" w:color="000000" w:sz="8" w:space="0"/>
            </w:tcBorders>
          </w:tcPr>
          <w:p w14:paraId="20B5E03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lang w:val="en-US" w:eastAsia="zh-CN"/>
              </w:rPr>
              <w:t>采购标的/所投产品/货物清单/报价等任意一类有缺漏项或响应不全，</w:t>
            </w:r>
            <w:r>
              <w:rPr>
                <w:rFonts w:hint="eastAsia" w:ascii="宋体" w:hAnsi="宋体" w:eastAsia="宋体" w:cs="宋体"/>
              </w:rPr>
              <w:t>或者对招标文件规定的项目需求内容或者需求数量进行修改，评审委员会判定投标响应不满足采购需求；</w:t>
            </w:r>
          </w:p>
        </w:tc>
      </w:tr>
      <w:tr w14:paraId="3A8BE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C1F204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8</w:t>
            </w:r>
          </w:p>
        </w:tc>
        <w:tc>
          <w:tcPr>
            <w:tcW w:w="8704" w:type="dxa"/>
            <w:tcBorders>
              <w:top w:val="single" w:color="000000" w:sz="8" w:space="0"/>
              <w:left w:val="single" w:color="000000" w:sz="8" w:space="0"/>
              <w:bottom w:val="single" w:color="000000" w:sz="8" w:space="0"/>
              <w:right w:val="single" w:color="000000" w:sz="8" w:space="0"/>
            </w:tcBorders>
          </w:tcPr>
          <w:p w14:paraId="7AD308BA">
            <w:pPr>
              <w:widowControl/>
              <w:kinsoku/>
              <w:overflowPunct/>
              <w:topLinePunct w:val="0"/>
              <w:bidi w:val="0"/>
              <w:spacing w:beforeAutospacing="0" w:afterAutospacing="0" w:line="360" w:lineRule="auto"/>
              <w:ind w:left="0" w:leftChars="0" w:right="0" w:firstLine="0" w:firstLineChars="0"/>
              <w:jc w:val="left"/>
              <w:textAlignment w:val="top"/>
              <w:rPr>
                <w:rFonts w:hint="eastAsia" w:ascii="宋体" w:hAnsi="宋体" w:eastAsia="宋体" w:cs="宋体"/>
                <w:szCs w:val="21"/>
              </w:rPr>
            </w:pPr>
            <w:r>
              <w:rPr>
                <w:rFonts w:hint="eastAsia" w:ascii="宋体" w:hAnsi="宋体" w:eastAsia="宋体" w:cs="宋体"/>
              </w:rPr>
              <w:t>投标文件存在列放位置错误，导致属于信息公开情形的没有被公开；</w:t>
            </w:r>
          </w:p>
        </w:tc>
      </w:tr>
      <w:tr w14:paraId="5ABCA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204570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9</w:t>
            </w:r>
          </w:p>
        </w:tc>
        <w:tc>
          <w:tcPr>
            <w:tcW w:w="8704" w:type="dxa"/>
            <w:tcBorders>
              <w:top w:val="single" w:color="000000" w:sz="8" w:space="0"/>
              <w:left w:val="single" w:color="000000" w:sz="8" w:space="0"/>
              <w:bottom w:val="single" w:color="000000" w:sz="8" w:space="0"/>
              <w:right w:val="single" w:color="000000" w:sz="8" w:space="0"/>
            </w:tcBorders>
          </w:tcPr>
          <w:p w14:paraId="2A532470">
            <w:pPr>
              <w:widowControl/>
              <w:kinsoku/>
              <w:overflowPunct/>
              <w:topLinePunct w:val="0"/>
              <w:bidi w:val="0"/>
              <w:spacing w:beforeAutospacing="0" w:afterAutospacing="0" w:line="360" w:lineRule="auto"/>
              <w:ind w:left="0" w:leftChars="0" w:right="0" w:firstLine="0" w:firstLineChars="0"/>
              <w:jc w:val="left"/>
              <w:textAlignment w:val="top"/>
              <w:rPr>
                <w:rFonts w:hint="eastAsia" w:ascii="宋体" w:hAnsi="宋体" w:eastAsia="宋体" w:cs="宋体"/>
                <w:szCs w:val="21"/>
              </w:rPr>
            </w:pPr>
            <w:r>
              <w:rPr>
                <w:rFonts w:hint="eastAsia" w:ascii="宋体" w:hAnsi="宋体" w:eastAsia="宋体" w:cs="宋体"/>
              </w:rPr>
              <w:t>投标文件电子文档</w:t>
            </w:r>
            <w:r>
              <w:rPr>
                <w:rFonts w:hint="eastAsia" w:ascii="宋体" w:hAnsi="宋体" w:eastAsia="宋体" w:cs="宋体"/>
                <w:lang w:val="en-US" w:eastAsia="zh-CN"/>
              </w:rPr>
              <w:t>不得</w:t>
            </w:r>
            <w:r>
              <w:rPr>
                <w:rFonts w:hint="eastAsia" w:ascii="宋体" w:hAnsi="宋体" w:eastAsia="宋体" w:cs="宋体"/>
              </w:rPr>
              <w:t>带病毒；</w:t>
            </w:r>
          </w:p>
        </w:tc>
      </w:tr>
      <w:tr w14:paraId="314CA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87F60C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10</w:t>
            </w:r>
          </w:p>
        </w:tc>
        <w:tc>
          <w:tcPr>
            <w:tcW w:w="8704" w:type="dxa"/>
            <w:tcBorders>
              <w:top w:val="single" w:color="000000" w:sz="8" w:space="0"/>
              <w:left w:val="single" w:color="000000" w:sz="8" w:space="0"/>
              <w:bottom w:val="single" w:color="000000" w:sz="8" w:space="0"/>
              <w:right w:val="single" w:color="000000" w:sz="8" w:space="0"/>
            </w:tcBorders>
          </w:tcPr>
          <w:p w14:paraId="7DE20636">
            <w:pPr>
              <w:widowControl/>
              <w:kinsoku/>
              <w:overflowPunct/>
              <w:topLinePunct w:val="0"/>
              <w:bidi w:val="0"/>
              <w:spacing w:beforeAutospacing="0" w:afterAutospacing="0" w:line="360" w:lineRule="auto"/>
              <w:ind w:left="0" w:leftChars="0" w:right="0" w:firstLine="0" w:firstLineChars="0"/>
              <w:jc w:val="left"/>
              <w:textAlignment w:val="top"/>
              <w:rPr>
                <w:rFonts w:hint="eastAsia" w:ascii="宋体" w:hAnsi="宋体" w:eastAsia="宋体" w:cs="宋体"/>
                <w:szCs w:val="21"/>
              </w:rPr>
            </w:pPr>
            <w:r>
              <w:rPr>
                <w:rFonts w:hint="eastAsia" w:ascii="宋体" w:hAnsi="宋体" w:eastAsia="宋体" w:cs="宋体"/>
              </w:rPr>
              <w:t>投标文件用不属于本公司的电子密钥或电子营业执照进行加密的；</w:t>
            </w:r>
          </w:p>
        </w:tc>
      </w:tr>
      <w:tr w14:paraId="2899F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C1480E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14:paraId="53F6EF17">
            <w:pPr>
              <w:widowControl/>
              <w:kinsoku/>
              <w:overflowPunct/>
              <w:topLinePunct w:val="0"/>
              <w:bidi w:val="0"/>
              <w:spacing w:beforeAutospacing="0" w:afterAutospacing="0" w:line="360" w:lineRule="auto"/>
              <w:ind w:left="0" w:leftChars="0" w:right="0" w:firstLine="0" w:firstLineChars="0"/>
              <w:jc w:val="left"/>
              <w:textAlignment w:val="top"/>
              <w:rPr>
                <w:rFonts w:hint="eastAsia" w:ascii="宋体" w:hAnsi="宋体" w:eastAsia="宋体" w:cs="宋体"/>
              </w:rPr>
            </w:pPr>
            <w:r>
              <w:rPr>
                <w:rFonts w:hint="eastAsia" w:ascii="宋体" w:hAnsi="宋体" w:eastAsia="宋体" w:cs="宋体"/>
              </w:rPr>
              <w:t>经核实，不同投标供应商的投标文件由同一电子设备编制、加密或者上传的；</w:t>
            </w:r>
          </w:p>
        </w:tc>
      </w:tr>
      <w:tr w14:paraId="4A07C4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1ED33F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14:paraId="065D82B2">
            <w:pPr>
              <w:widowControl/>
              <w:kinsoku/>
              <w:overflowPunct/>
              <w:topLinePunct w:val="0"/>
              <w:bidi w:val="0"/>
              <w:spacing w:beforeAutospacing="0" w:afterAutospacing="0" w:line="360" w:lineRule="auto"/>
              <w:ind w:left="0" w:leftChars="0" w:right="0" w:firstLine="0" w:firstLineChars="0"/>
              <w:jc w:val="left"/>
              <w:textAlignment w:val="top"/>
              <w:rPr>
                <w:rFonts w:hint="eastAsia" w:ascii="宋体" w:hAnsi="宋体" w:eastAsia="宋体" w:cs="宋体"/>
                <w:szCs w:val="21"/>
              </w:rPr>
            </w:pPr>
            <w:r>
              <w:rPr>
                <w:rFonts w:hint="eastAsia" w:ascii="宋体" w:hAnsi="宋体" w:eastAsia="宋体" w:cs="宋体"/>
              </w:rPr>
              <w:t>法律、法规、规章、规范性文件规定的其他情形。</w:t>
            </w:r>
          </w:p>
        </w:tc>
      </w:tr>
    </w:tbl>
    <w:p w14:paraId="68B1E9C4">
      <w:pPr>
        <w:pStyle w:val="14"/>
        <w:keepNext w:val="0"/>
        <w:keepLines w:val="0"/>
        <w:pageBreakBefore w:val="0"/>
        <w:widowControl/>
        <w:kinsoku/>
        <w:wordWrap/>
        <w:overflowPunct/>
        <w:topLinePunct w:val="0"/>
        <w:autoSpaceDE/>
        <w:autoSpaceDN/>
        <w:bidi w:val="0"/>
        <w:adjustRightInd/>
        <w:snapToGrid/>
        <w:spacing w:before="0" w:beforeAutospacing="0" w:afterAutospacing="0" w:line="360" w:lineRule="auto"/>
        <w:ind w:left="0" w:leftChars="0" w:right="0" w:firstLine="0" w:firstLineChars="0"/>
        <w:jc w:val="center"/>
        <w:textAlignment w:val="auto"/>
        <w:outlineLvl w:val="0"/>
        <w:rPr>
          <w:rFonts w:hint="eastAsia" w:ascii="宋体" w:hAnsi="宋体" w:eastAsia="宋体" w:cs="宋体"/>
          <w:sz w:val="40"/>
          <w:szCs w:val="40"/>
        </w:rPr>
      </w:pPr>
      <w:r>
        <w:rPr>
          <w:rFonts w:hint="eastAsia" w:ascii="宋体" w:hAnsi="宋体" w:eastAsia="宋体" w:cs="宋体"/>
          <w:sz w:val="40"/>
          <w:szCs w:val="40"/>
        </w:rPr>
        <w:t>评标信息</w:t>
      </w:r>
    </w:p>
    <w:p w14:paraId="63551FF3">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val="en-US" w:eastAsia="zh-CN"/>
        </w:rPr>
      </w:pPr>
      <w:r>
        <w:rPr>
          <w:rFonts w:hint="eastAsia" w:ascii="宋体" w:hAnsi="宋体" w:eastAsia="宋体" w:cs="宋体"/>
          <w:b/>
          <w:bCs/>
        </w:rPr>
        <w:t>评标方法：综合评分法</w:t>
      </w:r>
    </w:p>
    <w:p w14:paraId="0BDDABE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szCs w:val="21"/>
          <w:lang w:eastAsia="zh-CN"/>
        </w:rPr>
      </w:pPr>
      <w:r>
        <w:rPr>
          <w:rFonts w:hint="eastAsia" w:ascii="宋体" w:hAnsi="宋体" w:eastAsia="宋体" w:cs="宋体"/>
          <w:szCs w:val="21"/>
        </w:rPr>
        <w:t>综合评分法，是指投标文件满足招标文件全部实质性要求，且按照评审因素的量化指标评审得分最高的投标人为中标候选人的评标方法。</w:t>
      </w:r>
    </w:p>
    <w:p w14:paraId="74F1F55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价格分计算方法：</w:t>
      </w:r>
    </w:p>
    <w:p w14:paraId="771B8515">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rPr>
        <w:t xml:space="preserve">采用低价优先法计算，即满足招标文件要求且投标价格最低的投标报价为评标基准价，其价格分为满分。其他投标人的价格分统一按照下列公式计算： </w:t>
      </w:r>
    </w:p>
    <w:p w14:paraId="07F181C0">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rPr>
        <w:t xml:space="preserve">投标报价得分=(评标基准价／投标报价)×100 </w:t>
      </w:r>
    </w:p>
    <w:p w14:paraId="66983986">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rPr>
        <w:t xml:space="preserve">评标总得分＝F1×A1＋F2×A2＋……＋Fn×An </w:t>
      </w:r>
    </w:p>
    <w:p w14:paraId="2D8A176C">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rPr>
        <w:t xml:space="preserve">F1、F2……Fn分别为各项评审因素的得分； </w:t>
      </w:r>
    </w:p>
    <w:p w14:paraId="0B08DBBF">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rPr>
        <w:t xml:space="preserve">A1、A2、……An 分别为各项评审因素所占的权重(A1＋A2＋……＋An＝1)。 </w:t>
      </w:r>
    </w:p>
    <w:p w14:paraId="6258D64A">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rPr>
        <w:t xml:space="preserve">评标过程中，不得去掉报价中的最高报价和最低报价。 </w:t>
      </w:r>
    </w:p>
    <w:p w14:paraId="10BCFF67">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因落实政府采购政策进行价格调整的，以调整后的价格计算评标基准价和投标报价。</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20" w:type="dxa"/>
          <w:left w:w="108" w:type="dxa"/>
          <w:bottom w:w="20" w:type="dxa"/>
          <w:right w:w="108" w:type="dxa"/>
        </w:tblCellMar>
      </w:tblPr>
      <w:tblGrid>
        <w:gridCol w:w="700"/>
        <w:gridCol w:w="660"/>
        <w:gridCol w:w="1793"/>
        <w:gridCol w:w="1100"/>
        <w:gridCol w:w="4819"/>
      </w:tblGrid>
      <w:tr w14:paraId="2EA0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shd w:val="clear" w:color="auto" w:fill="auto"/>
            <w:vAlign w:val="center"/>
          </w:tcPr>
          <w:p w14:paraId="7F2C4F37">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553" w:type="dxa"/>
            <w:gridSpan w:val="3"/>
            <w:shd w:val="clear" w:color="auto" w:fill="auto"/>
            <w:vAlign w:val="center"/>
          </w:tcPr>
          <w:p w14:paraId="2A2912E6">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819" w:type="dxa"/>
            <w:shd w:val="clear" w:color="auto" w:fill="auto"/>
            <w:vAlign w:val="center"/>
          </w:tcPr>
          <w:p w14:paraId="6EC18883">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14:paraId="66F1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shd w:val="clear" w:color="auto" w:fill="auto"/>
          </w:tcPr>
          <w:p w14:paraId="20A09C18">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553" w:type="dxa"/>
            <w:gridSpan w:val="3"/>
            <w:shd w:val="clear" w:color="auto" w:fill="auto"/>
          </w:tcPr>
          <w:p w14:paraId="57772763">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4819" w:type="dxa"/>
            <w:shd w:val="clear" w:color="auto" w:fill="auto"/>
          </w:tcPr>
          <w:p w14:paraId="2EE4EE4F">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30</w:t>
            </w:r>
          </w:p>
        </w:tc>
      </w:tr>
      <w:tr w14:paraId="140A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restart"/>
            <w:shd w:val="clear" w:color="auto" w:fill="auto"/>
          </w:tcPr>
          <w:p w14:paraId="021B1DB9">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3553" w:type="dxa"/>
            <w:gridSpan w:val="3"/>
            <w:shd w:val="clear" w:color="auto" w:fill="auto"/>
          </w:tcPr>
          <w:p w14:paraId="52586796">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4819" w:type="dxa"/>
            <w:shd w:val="clear" w:color="auto" w:fill="auto"/>
          </w:tcPr>
          <w:p w14:paraId="7D0C6847">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59</w:t>
            </w:r>
          </w:p>
        </w:tc>
      </w:tr>
      <w:tr w14:paraId="5EC9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352FF60C">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2047037E">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shd w:val="clear" w:color="auto" w:fill="auto"/>
            <w:vAlign w:val="center"/>
          </w:tcPr>
          <w:p w14:paraId="7E6D167B">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shd w:val="clear" w:color="auto" w:fill="auto"/>
            <w:vAlign w:val="center"/>
          </w:tcPr>
          <w:p w14:paraId="34D62E1D">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shd w:val="clear" w:color="auto" w:fill="auto"/>
            <w:vAlign w:val="center"/>
          </w:tcPr>
          <w:p w14:paraId="65D53101">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3F52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59EEBC8C">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4B2212A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793" w:type="dxa"/>
            <w:shd w:val="clear" w:color="auto" w:fill="auto"/>
            <w:vAlign w:val="center"/>
          </w:tcPr>
          <w:p w14:paraId="79E03B61">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项目组织实施方案的评价</w:t>
            </w:r>
          </w:p>
        </w:tc>
        <w:tc>
          <w:tcPr>
            <w:tcW w:w="1100" w:type="dxa"/>
            <w:shd w:val="clear" w:color="auto" w:fill="auto"/>
            <w:vAlign w:val="center"/>
          </w:tcPr>
          <w:p w14:paraId="7B13817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4819" w:type="dxa"/>
            <w:shd w:val="clear" w:color="auto" w:fill="auto"/>
            <w:vAlign w:val="center"/>
          </w:tcPr>
          <w:p w14:paraId="051F967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（一）评审内容：</w:t>
            </w:r>
          </w:p>
          <w:p w14:paraId="4B1B23B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投标人提供本项目的组织实施方案，方案中应包含 1、项目进度计划安排</w:t>
            </w:r>
            <w:r>
              <w:rPr>
                <w:rFonts w:hint="eastAsia" w:ascii="宋体" w:hAnsi="宋体" w:eastAsia="宋体" w:cs="宋体"/>
                <w:b w:val="0"/>
                <w:bCs w:val="0"/>
                <w:sz w:val="21"/>
                <w:szCs w:val="21"/>
                <w:lang w:eastAsia="zh-CN"/>
              </w:rPr>
              <w:t>；</w:t>
            </w:r>
          </w:p>
          <w:p w14:paraId="1E5024D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2、施工组织计划</w:t>
            </w:r>
            <w:r>
              <w:rPr>
                <w:rFonts w:hint="eastAsia" w:ascii="宋体" w:hAnsi="宋体" w:eastAsia="宋体" w:cs="宋体"/>
                <w:b w:val="0"/>
                <w:bCs w:val="0"/>
                <w:sz w:val="21"/>
                <w:szCs w:val="21"/>
                <w:lang w:eastAsia="zh-CN"/>
              </w:rPr>
              <w:t>；</w:t>
            </w:r>
          </w:p>
          <w:p w14:paraId="6CED10A6">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3、验收组织计划</w:t>
            </w:r>
            <w:r>
              <w:rPr>
                <w:rFonts w:hint="eastAsia" w:ascii="宋体" w:hAnsi="宋体" w:eastAsia="宋体" w:cs="宋体"/>
                <w:b w:val="0"/>
                <w:bCs w:val="0"/>
                <w:sz w:val="21"/>
                <w:szCs w:val="21"/>
                <w:lang w:eastAsia="zh-CN"/>
              </w:rPr>
              <w:t>；</w:t>
            </w:r>
          </w:p>
          <w:p w14:paraId="28B3D042">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4、产品培训方案</w:t>
            </w:r>
            <w:r>
              <w:rPr>
                <w:rFonts w:hint="eastAsia" w:ascii="宋体" w:hAnsi="宋体" w:eastAsia="宋体" w:cs="宋体"/>
                <w:b w:val="0"/>
                <w:bCs w:val="0"/>
                <w:sz w:val="21"/>
                <w:szCs w:val="21"/>
                <w:lang w:eastAsia="zh-CN"/>
              </w:rPr>
              <w:t>。</w:t>
            </w:r>
          </w:p>
          <w:p w14:paraId="6B76E91E">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（二）评审标准：</w:t>
            </w:r>
          </w:p>
          <w:p w14:paraId="797ECC9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方案中满足上述一个内容得15分，最高60分。在此基础上，对方案的合理性、可行性进行打分。 </w:t>
            </w:r>
          </w:p>
          <w:p w14:paraId="0D32E12E">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1、方案清晰周密、合理可行、表述完整、方法得当、技术先进、符合相关规范要求得40分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 </w:t>
            </w:r>
          </w:p>
          <w:p w14:paraId="6DE2EB35">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2、方案基本清晰、可行表述基本完整、可操行较强得20分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 </w:t>
            </w:r>
          </w:p>
          <w:p w14:paraId="2CD99486">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3、方案一般清晰、可行性一般、较为符合相关规范要求得10分</w:t>
            </w:r>
            <w:r>
              <w:rPr>
                <w:rFonts w:hint="eastAsia" w:ascii="宋体" w:hAnsi="宋体" w:eastAsia="宋体" w:cs="宋体"/>
                <w:b w:val="0"/>
                <w:bCs w:val="0"/>
                <w:sz w:val="21"/>
                <w:szCs w:val="21"/>
                <w:lang w:eastAsia="zh-CN"/>
              </w:rPr>
              <w:t>；</w:t>
            </w:r>
          </w:p>
          <w:p w14:paraId="6287ABA5">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4、未提供或方案计划不切合本项目的实际情况、合理完善性差、可行性差的</w:t>
            </w:r>
            <w:r>
              <w:rPr>
                <w:rFonts w:hint="eastAsia" w:ascii="宋体" w:hAnsi="宋体" w:eastAsia="宋体" w:cs="宋体"/>
                <w:b w:val="0"/>
                <w:bCs w:val="0"/>
                <w:sz w:val="21"/>
                <w:szCs w:val="21"/>
                <w:lang w:eastAsia="zh-CN"/>
              </w:rPr>
              <w:t>不加</w:t>
            </w:r>
            <w:r>
              <w:rPr>
                <w:rFonts w:hint="eastAsia" w:ascii="宋体" w:hAnsi="宋体" w:eastAsia="宋体" w:cs="宋体"/>
                <w:b w:val="0"/>
                <w:bCs w:val="0"/>
                <w:sz w:val="21"/>
                <w:szCs w:val="21"/>
              </w:rPr>
              <w:t>分。</w:t>
            </w:r>
          </w:p>
        </w:tc>
      </w:tr>
      <w:tr w14:paraId="1B3B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51FD63E2">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439678A6">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1793" w:type="dxa"/>
            <w:shd w:val="clear" w:color="auto" w:fill="auto"/>
            <w:vAlign w:val="center"/>
          </w:tcPr>
          <w:p w14:paraId="5F2D3089">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售后服务评价</w:t>
            </w:r>
          </w:p>
        </w:tc>
        <w:tc>
          <w:tcPr>
            <w:tcW w:w="1100" w:type="dxa"/>
            <w:shd w:val="clear" w:color="auto" w:fill="auto"/>
            <w:vAlign w:val="center"/>
          </w:tcPr>
          <w:p w14:paraId="68ADDEF1">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4819" w:type="dxa"/>
            <w:shd w:val="clear" w:color="auto" w:fill="auto"/>
            <w:vAlign w:val="center"/>
          </w:tcPr>
          <w:p w14:paraId="30D8B52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（一）评审内容：</w:t>
            </w:r>
          </w:p>
          <w:p w14:paraId="1EE4ABB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投标人提供本项目的售后服务方案，方案中应包含</w:t>
            </w:r>
            <w:r>
              <w:rPr>
                <w:rFonts w:hint="eastAsia" w:ascii="宋体" w:hAnsi="宋体" w:eastAsia="宋体" w:cs="宋体"/>
                <w:b w:val="0"/>
                <w:bCs w:val="0"/>
                <w:sz w:val="21"/>
                <w:szCs w:val="21"/>
                <w:lang w:eastAsia="zh-CN"/>
              </w:rPr>
              <w:t>：</w:t>
            </w:r>
          </w:p>
          <w:p w14:paraId="4FC29FC2">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1、服务内容</w:t>
            </w:r>
            <w:r>
              <w:rPr>
                <w:rFonts w:hint="eastAsia" w:ascii="宋体" w:hAnsi="宋体" w:eastAsia="宋体" w:cs="宋体"/>
                <w:b w:val="0"/>
                <w:bCs w:val="0"/>
                <w:sz w:val="21"/>
                <w:szCs w:val="21"/>
                <w:lang w:eastAsia="zh-CN"/>
              </w:rPr>
              <w:t>；</w:t>
            </w:r>
          </w:p>
          <w:p w14:paraId="2CB70A33">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2、维修应急方案</w:t>
            </w:r>
            <w:r>
              <w:rPr>
                <w:rFonts w:hint="eastAsia" w:ascii="宋体" w:hAnsi="宋体" w:eastAsia="宋体" w:cs="宋体"/>
                <w:b w:val="0"/>
                <w:bCs w:val="0"/>
                <w:sz w:val="21"/>
                <w:szCs w:val="21"/>
                <w:lang w:eastAsia="zh-CN"/>
              </w:rPr>
              <w:t>；</w:t>
            </w:r>
          </w:p>
          <w:p w14:paraId="0EC7AC00">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3、培训计划</w:t>
            </w:r>
            <w:r>
              <w:rPr>
                <w:rFonts w:hint="eastAsia" w:ascii="宋体" w:hAnsi="宋体" w:eastAsia="宋体" w:cs="宋体"/>
                <w:b w:val="0"/>
                <w:bCs w:val="0"/>
                <w:sz w:val="21"/>
                <w:szCs w:val="21"/>
                <w:lang w:eastAsia="zh-CN"/>
              </w:rPr>
              <w:t>；</w:t>
            </w:r>
          </w:p>
          <w:p w14:paraId="2C7E7C2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4、其他特色服务等</w:t>
            </w:r>
            <w:r>
              <w:rPr>
                <w:rFonts w:hint="eastAsia" w:ascii="宋体" w:hAnsi="宋体" w:eastAsia="宋体" w:cs="宋体"/>
                <w:b w:val="0"/>
                <w:bCs w:val="0"/>
                <w:sz w:val="21"/>
                <w:szCs w:val="21"/>
                <w:lang w:eastAsia="zh-CN"/>
              </w:rPr>
              <w:t>。</w:t>
            </w:r>
          </w:p>
          <w:p w14:paraId="539ACA8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（二）评审标准：</w:t>
            </w:r>
          </w:p>
          <w:p w14:paraId="7971E6F7">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方案中含有上述一个内容得15分，累计最高得60分。在此基础上，对方案的合理性、可行性进行打分。 </w:t>
            </w:r>
          </w:p>
          <w:p w14:paraId="5CE77F4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售后服务方案非常详细，保障措施完善可行，得40分；</w:t>
            </w:r>
          </w:p>
          <w:p w14:paraId="0484EE6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售后服务方案比较具体，保障措施比较完善可行，能够满足招标文件要求的得20分；</w:t>
            </w:r>
          </w:p>
          <w:p w14:paraId="4D72CEF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未提供售后服务方案和措施或方案不详细、可行性较差，无法满足招标文件要求的不</w:t>
            </w:r>
            <w:r>
              <w:rPr>
                <w:rFonts w:hint="eastAsia" w:ascii="宋体" w:hAnsi="宋体" w:eastAsia="宋体" w:cs="宋体"/>
                <w:b w:val="0"/>
                <w:bCs w:val="0"/>
                <w:sz w:val="21"/>
                <w:szCs w:val="21"/>
                <w:lang w:eastAsia="zh-CN"/>
              </w:rPr>
              <w:t>加</w:t>
            </w:r>
            <w:r>
              <w:rPr>
                <w:rFonts w:hint="eastAsia" w:ascii="宋体" w:hAnsi="宋体" w:eastAsia="宋体" w:cs="宋体"/>
                <w:b w:val="0"/>
                <w:bCs w:val="0"/>
                <w:sz w:val="21"/>
                <w:szCs w:val="21"/>
              </w:rPr>
              <w:t>分。</w:t>
            </w:r>
          </w:p>
        </w:tc>
      </w:tr>
      <w:tr w14:paraId="5C79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79FB48BB">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7D391590">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1793" w:type="dxa"/>
            <w:shd w:val="clear" w:color="auto" w:fill="auto"/>
            <w:vAlign w:val="center"/>
          </w:tcPr>
          <w:p w14:paraId="4B281247">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设计图评价</w:t>
            </w:r>
          </w:p>
        </w:tc>
        <w:tc>
          <w:tcPr>
            <w:tcW w:w="1100" w:type="dxa"/>
            <w:shd w:val="clear" w:color="auto" w:fill="auto"/>
            <w:vAlign w:val="center"/>
          </w:tcPr>
          <w:p w14:paraId="72683C4A">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rPr>
              <w:t>3</w:t>
            </w:r>
          </w:p>
        </w:tc>
        <w:tc>
          <w:tcPr>
            <w:tcW w:w="4819" w:type="dxa"/>
            <w:shd w:val="clear" w:color="auto" w:fill="auto"/>
            <w:vAlign w:val="center"/>
          </w:tcPr>
          <w:p w14:paraId="7509C03D">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（一）评审内容：</w:t>
            </w:r>
          </w:p>
          <w:p w14:paraId="0D261441">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投标人根据现场踏勘或采购公告附件中提供的图纸</w:t>
            </w:r>
            <w:r>
              <w:rPr>
                <w:rFonts w:hint="eastAsia" w:ascii="宋体" w:hAnsi="宋体" w:eastAsia="宋体" w:cs="宋体"/>
                <w:b w:val="0"/>
                <w:bCs w:val="0"/>
                <w:sz w:val="21"/>
                <w:szCs w:val="21"/>
              </w:rPr>
              <w:t>针对本项目提供项目设计图图纸，图纸中包含：</w:t>
            </w:r>
          </w:p>
          <w:p w14:paraId="2E714768">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1、灯位平面布置图（各类型教室不少于一张）</w:t>
            </w:r>
            <w:r>
              <w:rPr>
                <w:rFonts w:hint="eastAsia" w:ascii="宋体" w:hAnsi="宋体" w:eastAsia="宋体" w:cs="宋体"/>
                <w:b w:val="0"/>
                <w:bCs w:val="0"/>
                <w:sz w:val="21"/>
                <w:szCs w:val="21"/>
                <w:lang w:eastAsia="zh-CN"/>
              </w:rPr>
              <w:t>；</w:t>
            </w:r>
          </w:p>
          <w:p w14:paraId="3658B544">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2、线路布置图（各类型教室不少于一张）</w:t>
            </w:r>
            <w:r>
              <w:rPr>
                <w:rFonts w:hint="eastAsia" w:ascii="宋体" w:hAnsi="宋体" w:eastAsia="宋体" w:cs="宋体"/>
                <w:b w:val="0"/>
                <w:bCs w:val="0"/>
                <w:sz w:val="21"/>
                <w:szCs w:val="21"/>
                <w:lang w:eastAsia="zh-CN"/>
              </w:rPr>
              <w:t>。</w:t>
            </w:r>
          </w:p>
          <w:p w14:paraId="6D3DD4D3">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（二）评审标准：</w:t>
            </w:r>
          </w:p>
          <w:p w14:paraId="5D085B4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图纸中含有上述一个内容得30分</w:t>
            </w:r>
            <w:r>
              <w:rPr>
                <w:rFonts w:hint="eastAsia" w:ascii="宋体" w:hAnsi="宋体" w:eastAsia="宋体" w:cs="宋体"/>
                <w:b w:val="0"/>
                <w:bCs w:val="0"/>
                <w:sz w:val="21"/>
                <w:szCs w:val="21"/>
                <w:lang w:eastAsia="zh-CN"/>
              </w:rPr>
              <w:t>，累计最高得</w:t>
            </w:r>
            <w:r>
              <w:rPr>
                <w:rFonts w:hint="eastAsia" w:ascii="宋体" w:hAnsi="宋体" w:eastAsia="宋体" w:cs="宋体"/>
                <w:b w:val="0"/>
                <w:bCs w:val="0"/>
                <w:sz w:val="21"/>
                <w:szCs w:val="21"/>
                <w:lang w:val="en-US" w:eastAsia="zh-CN"/>
              </w:rPr>
              <w:t>60分</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在此基础上</w:t>
            </w:r>
            <w:r>
              <w:rPr>
                <w:rFonts w:hint="eastAsia" w:ascii="宋体" w:hAnsi="宋体" w:eastAsia="宋体" w:cs="宋体"/>
                <w:b w:val="0"/>
                <w:bCs w:val="0"/>
                <w:sz w:val="21"/>
                <w:szCs w:val="21"/>
              </w:rPr>
              <w:t>针对设计图的合理性和可行性，将根据设计图的清晰度、周密性、合理性、完整性、所采用方法和技术的适用性、所采用技术的先进性以及是否符合相关规范要求进行评分。</w:t>
            </w:r>
          </w:p>
          <w:p w14:paraId="34D8FD06">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如果设计图满足上述要求</w:t>
            </w:r>
            <w:r>
              <w:rPr>
                <w:rFonts w:hint="eastAsia" w:ascii="宋体" w:hAnsi="宋体" w:eastAsia="宋体" w:cs="宋体"/>
                <w:b w:val="0"/>
                <w:bCs w:val="0"/>
                <w:sz w:val="21"/>
                <w:szCs w:val="21"/>
                <w:lang w:eastAsia="zh-CN"/>
              </w:rPr>
              <w:t>的加</w:t>
            </w:r>
            <w:r>
              <w:rPr>
                <w:rFonts w:hint="eastAsia" w:ascii="宋体" w:hAnsi="宋体" w:eastAsia="宋体" w:cs="宋体"/>
                <w:b w:val="0"/>
                <w:bCs w:val="0"/>
                <w:sz w:val="21"/>
                <w:szCs w:val="21"/>
              </w:rPr>
              <w:t>40分</w:t>
            </w:r>
            <w:r>
              <w:rPr>
                <w:rFonts w:hint="eastAsia" w:ascii="宋体" w:hAnsi="宋体" w:eastAsia="宋体" w:cs="宋体"/>
                <w:b w:val="0"/>
                <w:bCs w:val="0"/>
                <w:sz w:val="21"/>
                <w:szCs w:val="21"/>
                <w:lang w:eastAsia="zh-CN"/>
              </w:rPr>
              <w:t>；</w:t>
            </w:r>
          </w:p>
          <w:p w14:paraId="63A56EA9">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如果设计图基本可行且表达基本完整</w:t>
            </w:r>
            <w:r>
              <w:rPr>
                <w:rFonts w:hint="eastAsia" w:ascii="宋体" w:hAnsi="宋体" w:eastAsia="宋体" w:cs="宋体"/>
                <w:b w:val="0"/>
                <w:bCs w:val="0"/>
                <w:sz w:val="21"/>
                <w:szCs w:val="21"/>
                <w:lang w:eastAsia="zh-CN"/>
              </w:rPr>
              <w:t>加</w:t>
            </w:r>
            <w:r>
              <w:rPr>
                <w:rFonts w:hint="eastAsia" w:ascii="宋体" w:hAnsi="宋体" w:eastAsia="宋体" w:cs="宋体"/>
                <w:b w:val="0"/>
                <w:bCs w:val="0"/>
                <w:sz w:val="21"/>
                <w:szCs w:val="21"/>
              </w:rPr>
              <w:t>20分。</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如果未提供设计图或设计图不符合要求，则</w:t>
            </w:r>
            <w:r>
              <w:rPr>
                <w:rFonts w:hint="eastAsia" w:ascii="宋体" w:hAnsi="宋体" w:eastAsia="宋体" w:cs="宋体"/>
                <w:b w:val="0"/>
                <w:bCs w:val="0"/>
                <w:sz w:val="21"/>
                <w:szCs w:val="21"/>
                <w:lang w:eastAsia="zh-CN"/>
              </w:rPr>
              <w:t>不加分。</w:t>
            </w:r>
          </w:p>
        </w:tc>
      </w:tr>
      <w:tr w14:paraId="6C52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4340D625">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3E6D9CB2">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1793" w:type="dxa"/>
            <w:shd w:val="clear" w:color="auto" w:fill="auto"/>
            <w:vAlign w:val="center"/>
          </w:tcPr>
          <w:p w14:paraId="415555A9">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非“▲”号技术参数响应程度评价</w:t>
            </w:r>
          </w:p>
        </w:tc>
        <w:tc>
          <w:tcPr>
            <w:tcW w:w="1100" w:type="dxa"/>
            <w:shd w:val="clear" w:color="auto" w:fill="auto"/>
            <w:vAlign w:val="center"/>
          </w:tcPr>
          <w:p w14:paraId="2266ABEB">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10</w:t>
            </w:r>
          </w:p>
        </w:tc>
        <w:tc>
          <w:tcPr>
            <w:tcW w:w="4819" w:type="dxa"/>
            <w:shd w:val="clear" w:color="auto" w:fill="auto"/>
            <w:vAlign w:val="center"/>
          </w:tcPr>
          <w:p w14:paraId="087450B4">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以投标文件《技术规格偏离表》为评价依据，完全符合招标要求的，得100分，非“▲”号技术参数条款共68条，有1项非“▲”技术参数不符合要求的扣1.48分，最低0分。</w:t>
            </w:r>
          </w:p>
        </w:tc>
      </w:tr>
      <w:tr w14:paraId="687F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7EFDD653">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0ACF44B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793" w:type="dxa"/>
            <w:shd w:val="clear" w:color="auto" w:fill="auto"/>
            <w:vAlign w:val="center"/>
          </w:tcPr>
          <w:p w14:paraId="797F3EE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“▲”号技术参数响应程度评价</w:t>
            </w:r>
          </w:p>
        </w:tc>
        <w:tc>
          <w:tcPr>
            <w:tcW w:w="1100" w:type="dxa"/>
            <w:shd w:val="clear" w:color="auto" w:fill="auto"/>
            <w:vAlign w:val="center"/>
          </w:tcPr>
          <w:p w14:paraId="748ED06D">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32</w:t>
            </w:r>
          </w:p>
        </w:tc>
        <w:tc>
          <w:tcPr>
            <w:tcW w:w="4819" w:type="dxa"/>
            <w:shd w:val="clear" w:color="auto" w:fill="auto"/>
            <w:vAlign w:val="center"/>
          </w:tcPr>
          <w:p w14:paraId="76E8B564">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以投标文件《技术规格偏离表》为评价依据，完全符合招标要求的，得100分，“▲”号技术参数条款共10条，有1项“▲”技术参数不符合要求的扣10分，最低0分。</w:t>
            </w:r>
          </w:p>
        </w:tc>
      </w:tr>
      <w:tr w14:paraId="483D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37ECE4CF">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6FB2442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1793" w:type="dxa"/>
            <w:shd w:val="clear" w:color="auto" w:fill="auto"/>
            <w:vAlign w:val="center"/>
          </w:tcPr>
          <w:p w14:paraId="6DFD0C41">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政府采购节能环保产品</w:t>
            </w:r>
          </w:p>
        </w:tc>
        <w:tc>
          <w:tcPr>
            <w:tcW w:w="1100" w:type="dxa"/>
            <w:shd w:val="clear" w:color="auto" w:fill="auto"/>
            <w:vAlign w:val="center"/>
          </w:tcPr>
          <w:p w14:paraId="187189B6">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1</w:t>
            </w:r>
          </w:p>
        </w:tc>
        <w:tc>
          <w:tcPr>
            <w:tcW w:w="4819" w:type="dxa"/>
            <w:shd w:val="clear" w:color="auto" w:fill="auto"/>
            <w:vAlign w:val="center"/>
          </w:tcPr>
          <w:p w14:paraId="288359D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（一）评审内容：</w:t>
            </w:r>
          </w:p>
          <w:p w14:paraId="46532D81">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根据《关于印发节能产品政府采购品目清单的通知》（财库〔2019〕19号）以及《关于印发环境标志产品政府采购品目清单的通知》（财库〔2019〕18号）的要求，投标人所投任一产品（以招标文件第三章 用户需求书 二、货物需求明细中“货物名称”为准）被列入节能产品政府采购品目清单（已标注“★”号属政府强制采购产品需具有节能产品认证证书的除外）或环境标志产品政府采购品目清单，且具有有效期内的节能产品或环境标志产品认证证书的，每提供1项得100分，最高得100分。</w:t>
            </w:r>
          </w:p>
          <w:p w14:paraId="6F30B315">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（二）评审标准：</w:t>
            </w:r>
          </w:p>
          <w:p w14:paraId="2C107420">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1、提供《市场监管总局关于发布参与实施政府采购节能产品、环境标志产品认证机构名录的公告》（2019年第16号）确定的认证机构出具的且处于有效期内的节能产品或环境标志产品认证证书扫描件；</w:t>
            </w:r>
          </w:p>
          <w:p w14:paraId="1C79DDF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2、未按要求提供证明材料（或证明材料无法判断是否符合评分要求）的不得分，原件备查。</w:t>
            </w:r>
          </w:p>
        </w:tc>
      </w:tr>
      <w:tr w14:paraId="65BB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2A131212">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7C2B49E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1793" w:type="dxa"/>
            <w:shd w:val="clear" w:color="auto" w:fill="auto"/>
            <w:vAlign w:val="center"/>
          </w:tcPr>
          <w:p w14:paraId="1646B94C">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绿色采购情况</w:t>
            </w:r>
          </w:p>
        </w:tc>
        <w:tc>
          <w:tcPr>
            <w:tcW w:w="1100" w:type="dxa"/>
            <w:shd w:val="clear" w:color="auto" w:fill="auto"/>
            <w:vAlign w:val="center"/>
          </w:tcPr>
          <w:p w14:paraId="23274042">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1</w:t>
            </w:r>
          </w:p>
        </w:tc>
        <w:tc>
          <w:tcPr>
            <w:tcW w:w="4819" w:type="dxa"/>
            <w:shd w:val="clear" w:color="auto" w:fill="auto"/>
            <w:vAlign w:val="center"/>
          </w:tcPr>
          <w:p w14:paraId="674094FF">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（一）评审内容：</w:t>
            </w:r>
          </w:p>
          <w:p w14:paraId="4CC5873E">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本项目采购内容中需要对相关产品进行商品包装和快递包装，投标人承诺以下内容的得100分：</w:t>
            </w:r>
          </w:p>
          <w:p w14:paraId="75E52A9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所进行的商品包装和快递包装满足财政部《商品包装政府采购需求标准（试行）》《快递包装政府采购需求标准（试行）》（财办库〔2020〕123号）的要求，采用环保材料进行包装。</w:t>
            </w:r>
          </w:p>
          <w:p w14:paraId="38D10864">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证明文件</w:t>
            </w:r>
            <w:r>
              <w:rPr>
                <w:rFonts w:hint="eastAsia" w:ascii="宋体" w:hAnsi="宋体" w:eastAsia="宋体" w:cs="宋体"/>
                <w:b/>
                <w:bCs/>
                <w:sz w:val="21"/>
                <w:szCs w:val="21"/>
              </w:rPr>
              <w:t>：</w:t>
            </w:r>
          </w:p>
          <w:p w14:paraId="43BB489F">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提供相关承诺函（格式自定），未按要求提供证明材料（或证明材料无法判断是否符合评分要求）的不得分，原件备查。</w:t>
            </w:r>
          </w:p>
        </w:tc>
      </w:tr>
      <w:tr w14:paraId="5F21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restart"/>
            <w:shd w:val="clear" w:color="auto" w:fill="auto"/>
          </w:tcPr>
          <w:p w14:paraId="1860666D">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3553" w:type="dxa"/>
            <w:gridSpan w:val="3"/>
            <w:shd w:val="clear" w:color="auto" w:fill="auto"/>
          </w:tcPr>
          <w:p w14:paraId="73D3BF8F">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Cs w:val="21"/>
                <w:lang w:val="en-US" w:eastAsia="zh-CN"/>
              </w:rPr>
              <w:t>商务</w:t>
            </w:r>
            <w:r>
              <w:rPr>
                <w:rFonts w:hint="eastAsia" w:ascii="宋体" w:hAnsi="宋体" w:eastAsia="宋体" w:cs="宋体"/>
                <w:b/>
                <w:bCs/>
                <w:sz w:val="21"/>
                <w:szCs w:val="21"/>
              </w:rPr>
              <w:t>部分</w:t>
            </w:r>
          </w:p>
        </w:tc>
        <w:tc>
          <w:tcPr>
            <w:tcW w:w="4819" w:type="dxa"/>
            <w:shd w:val="clear" w:color="auto" w:fill="auto"/>
          </w:tcPr>
          <w:p w14:paraId="6D816532">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r>
      <w:tr w14:paraId="26F1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1ADDF4ED">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6CD2D6FC">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shd w:val="clear" w:color="auto" w:fill="auto"/>
            <w:vAlign w:val="center"/>
          </w:tcPr>
          <w:p w14:paraId="78FA2260">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shd w:val="clear" w:color="auto" w:fill="auto"/>
            <w:vAlign w:val="center"/>
          </w:tcPr>
          <w:p w14:paraId="6D36220B">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shd w:val="clear" w:color="auto" w:fill="auto"/>
            <w:vAlign w:val="center"/>
          </w:tcPr>
          <w:p w14:paraId="7C15BFF0">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6395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0DD700F0">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290261FF">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shd w:val="clear" w:color="auto" w:fill="auto"/>
            <w:vAlign w:val="center"/>
          </w:tcPr>
          <w:p w14:paraId="4D63F742">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经验评价</w:t>
            </w:r>
          </w:p>
        </w:tc>
        <w:tc>
          <w:tcPr>
            <w:tcW w:w="1100" w:type="dxa"/>
            <w:shd w:val="clear" w:color="auto" w:fill="auto"/>
            <w:vAlign w:val="center"/>
          </w:tcPr>
          <w:p w14:paraId="03E37A41">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4819" w:type="dxa"/>
            <w:shd w:val="clear" w:color="auto" w:fill="auto"/>
            <w:vAlign w:val="center"/>
          </w:tcPr>
          <w:p w14:paraId="55AEF2F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（一）评审内容：</w:t>
            </w:r>
          </w:p>
          <w:p w14:paraId="338CA780">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2021年至本项目投标截止之日（以合同签订时间为准），投标人具有与照明设备类项目经验，且履约评价为优或满意（或同等最高评价），每提供一个得25分，最高得100分。</w:t>
            </w:r>
          </w:p>
          <w:p w14:paraId="08C3D47D">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证明文件</w:t>
            </w:r>
            <w:r>
              <w:rPr>
                <w:rFonts w:hint="eastAsia" w:ascii="宋体" w:hAnsi="宋体" w:eastAsia="宋体" w:cs="宋体"/>
                <w:b/>
                <w:bCs/>
                <w:sz w:val="21"/>
                <w:szCs w:val="21"/>
              </w:rPr>
              <w:t>：</w:t>
            </w:r>
          </w:p>
          <w:p w14:paraId="1A741FA2">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同时提供以下：</w:t>
            </w:r>
          </w:p>
          <w:p w14:paraId="0C644E45">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（1）合同关键页扫描件；</w:t>
            </w:r>
          </w:p>
          <w:p w14:paraId="00357972">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（2）设备配置清单扫描件；</w:t>
            </w:r>
          </w:p>
          <w:p w14:paraId="10C4E0E0">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（3）验收报告[加盖合同甲方公章（或甲方业务章）]；</w:t>
            </w:r>
          </w:p>
          <w:p w14:paraId="40562B5C">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（4）履约评价证明[加盖合同甲方公章（或甲方业务章）]。</w:t>
            </w:r>
          </w:p>
        </w:tc>
      </w:tr>
      <w:tr w14:paraId="5A2A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restart"/>
            <w:shd w:val="clear" w:color="auto" w:fill="auto"/>
          </w:tcPr>
          <w:p w14:paraId="346375F8">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3553" w:type="dxa"/>
            <w:gridSpan w:val="3"/>
            <w:shd w:val="clear" w:color="auto" w:fill="auto"/>
          </w:tcPr>
          <w:p w14:paraId="159F632C">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其他部分</w:t>
            </w:r>
          </w:p>
        </w:tc>
        <w:tc>
          <w:tcPr>
            <w:tcW w:w="4819" w:type="dxa"/>
            <w:shd w:val="clear" w:color="auto" w:fill="auto"/>
          </w:tcPr>
          <w:p w14:paraId="2B94FB83">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5</w:t>
            </w:r>
          </w:p>
        </w:tc>
      </w:tr>
      <w:tr w14:paraId="555B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48061F72">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202C11A0">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shd w:val="clear" w:color="auto" w:fill="auto"/>
            <w:vAlign w:val="center"/>
          </w:tcPr>
          <w:p w14:paraId="08CA552B">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shd w:val="clear" w:color="auto" w:fill="auto"/>
            <w:vAlign w:val="center"/>
          </w:tcPr>
          <w:p w14:paraId="12BB0E8B">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shd w:val="clear" w:color="auto" w:fill="auto"/>
            <w:vAlign w:val="center"/>
          </w:tcPr>
          <w:p w14:paraId="33893446">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149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20" w:type="dxa"/>
            <w:left w:w="108" w:type="dxa"/>
            <w:bottom w:w="20" w:type="dxa"/>
            <w:right w:w="108" w:type="dxa"/>
          </w:tblCellMar>
        </w:tblPrEx>
        <w:trPr>
          <w:jc w:val="center"/>
        </w:trPr>
        <w:tc>
          <w:tcPr>
            <w:tcW w:w="700" w:type="dxa"/>
            <w:vMerge w:val="continue"/>
            <w:shd w:val="clear" w:color="auto" w:fill="auto"/>
            <w:vAlign w:val="center"/>
          </w:tcPr>
          <w:p w14:paraId="39F2E313">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bCs/>
                <w:sz w:val="21"/>
                <w:szCs w:val="21"/>
              </w:rPr>
            </w:pPr>
          </w:p>
        </w:tc>
        <w:tc>
          <w:tcPr>
            <w:tcW w:w="660" w:type="dxa"/>
            <w:shd w:val="clear" w:color="auto" w:fill="auto"/>
            <w:vAlign w:val="center"/>
          </w:tcPr>
          <w:p w14:paraId="3E61A434">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shd w:val="clear" w:color="auto" w:fill="auto"/>
            <w:vAlign w:val="center"/>
          </w:tcPr>
          <w:p w14:paraId="5DA6CF40">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1100" w:type="dxa"/>
            <w:shd w:val="clear" w:color="auto" w:fill="auto"/>
            <w:vAlign w:val="center"/>
          </w:tcPr>
          <w:p w14:paraId="12366E49">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4819" w:type="dxa"/>
            <w:shd w:val="clear" w:color="auto" w:fill="auto"/>
          </w:tcPr>
          <w:p w14:paraId="7074F91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14:paraId="173F4264">
            <w:pPr>
              <w:pStyle w:val="2"/>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122C021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4FB076E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84"/>
          <w:szCs w:val="84"/>
        </w:rPr>
      </w:pPr>
    </w:p>
    <w:p w14:paraId="505D4D8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84"/>
          <w:szCs w:val="84"/>
        </w:rPr>
      </w:pPr>
    </w:p>
    <w:p w14:paraId="580C86B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84"/>
          <w:szCs w:val="84"/>
        </w:rPr>
      </w:pPr>
    </w:p>
    <w:p w14:paraId="6F90278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84"/>
          <w:szCs w:val="84"/>
        </w:rPr>
      </w:pPr>
    </w:p>
    <w:p w14:paraId="18E00D7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120"/>
          <w:szCs w:val="120"/>
        </w:rPr>
      </w:pPr>
    </w:p>
    <w:p w14:paraId="1FC75A0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120"/>
          <w:szCs w:val="120"/>
        </w:rPr>
      </w:pPr>
      <w:r>
        <w:rPr>
          <w:rFonts w:hint="eastAsia" w:ascii="宋体" w:hAnsi="宋体" w:eastAsia="宋体" w:cs="宋体"/>
          <w:b/>
          <w:sz w:val="120"/>
          <w:szCs w:val="120"/>
        </w:rPr>
        <w:t>政府采购</w:t>
      </w:r>
    </w:p>
    <w:p w14:paraId="09CE2A81">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120"/>
          <w:szCs w:val="120"/>
        </w:rPr>
      </w:pPr>
      <w:r>
        <w:rPr>
          <w:rFonts w:hint="eastAsia" w:ascii="宋体" w:hAnsi="宋体" w:eastAsia="宋体" w:cs="宋体"/>
          <w:b/>
          <w:sz w:val="120"/>
          <w:szCs w:val="120"/>
        </w:rPr>
        <w:t>招标文件</w:t>
      </w:r>
    </w:p>
    <w:p w14:paraId="7132626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52"/>
          <w:szCs w:val="52"/>
        </w:rPr>
      </w:pPr>
      <w:r>
        <w:rPr>
          <w:rFonts w:hint="eastAsia" w:ascii="宋体" w:hAnsi="宋体" w:eastAsia="宋体" w:cs="宋体"/>
          <w:b/>
          <w:sz w:val="52"/>
          <w:szCs w:val="52"/>
        </w:rPr>
        <w:t>（货物类）</w:t>
      </w:r>
    </w:p>
    <w:p w14:paraId="319111E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720ECF0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3B7E8213">
      <w:pPr>
        <w:pStyle w:val="2"/>
        <w:rPr>
          <w:rFonts w:hint="eastAsia" w:ascii="宋体" w:hAnsi="宋体" w:eastAsia="宋体" w:cs="宋体"/>
        </w:rPr>
      </w:pPr>
    </w:p>
    <w:p w14:paraId="50D60844">
      <w:pPr>
        <w:rPr>
          <w:rFonts w:hint="eastAsia" w:ascii="宋体" w:hAnsi="宋体" w:eastAsia="宋体" w:cs="宋体"/>
        </w:rPr>
      </w:pPr>
    </w:p>
    <w:p w14:paraId="0F38E623">
      <w:pPr>
        <w:pStyle w:val="2"/>
        <w:rPr>
          <w:rFonts w:hint="eastAsia" w:ascii="宋体" w:hAnsi="宋体" w:eastAsia="宋体" w:cs="宋体"/>
        </w:rPr>
      </w:pPr>
    </w:p>
    <w:p w14:paraId="07C9FA72">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04AB9444">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2F0E237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33937CB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257D2268">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361FB0B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02496F5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73BFA6F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616A011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44"/>
          <w:szCs w:val="44"/>
        </w:rPr>
      </w:pPr>
      <w:r>
        <w:rPr>
          <w:rFonts w:hint="eastAsia" w:ascii="宋体" w:hAnsi="宋体" w:eastAsia="宋体" w:cs="宋体"/>
          <w:b/>
          <w:sz w:val="44"/>
          <w:szCs w:val="44"/>
        </w:rPr>
        <w:t>深圳公共资源交易中心</w:t>
      </w:r>
    </w:p>
    <w:p w14:paraId="6F30D52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44"/>
          <w:szCs w:val="44"/>
        </w:rPr>
      </w:pPr>
      <w:r>
        <w:rPr>
          <w:rFonts w:hint="eastAsia" w:ascii="宋体" w:hAnsi="宋体" w:eastAsia="宋体" w:cs="宋体"/>
          <w:b/>
          <w:sz w:val="44"/>
          <w:szCs w:val="44"/>
        </w:rPr>
        <w:t>（202</w:t>
      </w:r>
      <w:r>
        <w:rPr>
          <w:rFonts w:hint="eastAsia" w:ascii="宋体" w:hAnsi="宋体" w:eastAsia="宋体" w:cs="宋体"/>
          <w:b/>
          <w:sz w:val="44"/>
          <w:szCs w:val="44"/>
          <w:lang w:val="en-US" w:eastAsia="zh-CN"/>
        </w:rPr>
        <w:t>4</w:t>
      </w:r>
      <w:r>
        <w:rPr>
          <w:rFonts w:hint="eastAsia" w:ascii="宋体" w:hAnsi="宋体" w:eastAsia="宋体" w:cs="宋体"/>
          <w:b/>
          <w:sz w:val="44"/>
          <w:szCs w:val="44"/>
        </w:rPr>
        <w:t>）</w:t>
      </w:r>
    </w:p>
    <w:p w14:paraId="3E451D8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Cs/>
          <w:color w:val="FF0000"/>
        </w:rPr>
      </w:pPr>
      <w:r>
        <w:rPr>
          <w:rFonts w:hint="eastAsia" w:ascii="宋体" w:hAnsi="宋体" w:eastAsia="宋体" w:cs="宋体"/>
          <w:b/>
          <w:color w:val="FF0000"/>
          <w:sz w:val="52"/>
          <w:szCs w:val="52"/>
        </w:rPr>
        <w:br w:type="page"/>
      </w:r>
    </w:p>
    <w:p w14:paraId="064CC3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0"/>
        <w:rPr>
          <w:rFonts w:hint="eastAsia" w:ascii="宋体" w:hAnsi="宋体" w:eastAsia="宋体" w:cs="宋体"/>
          <w:color w:val="FF0000"/>
          <w:szCs w:val="21"/>
        </w:rPr>
      </w:pPr>
      <w:bookmarkStart w:id="1" w:name="_Hlk73564573"/>
      <w:r>
        <w:rPr>
          <w:rFonts w:hint="eastAsia" w:ascii="宋体" w:hAnsi="宋体" w:eastAsia="宋体" w:cs="宋体"/>
          <w:b/>
          <w:bCs/>
          <w:color w:val="FF0000"/>
          <w:kern w:val="44"/>
          <w:sz w:val="28"/>
          <w:szCs w:val="44"/>
        </w:rPr>
        <w:t>警示条款</w:t>
      </w:r>
    </w:p>
    <w:bookmarkEnd w:id="1"/>
    <w:p w14:paraId="0DAD434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w:t>
      </w:r>
      <w:r>
        <w:rPr>
          <w:rFonts w:hint="eastAsia" w:ascii="宋体" w:hAnsi="宋体" w:eastAsia="宋体" w:cs="宋体"/>
          <w:b/>
          <w:bCs/>
          <w:color w:val="FF0000"/>
          <w:sz w:val="21"/>
          <w:szCs w:val="21"/>
        </w:rPr>
        <w:t>《深圳经济特区政府采购条例》第五十七条</w:t>
      </w:r>
      <w:r>
        <w:rPr>
          <w:rFonts w:hint="eastAsia" w:ascii="宋体" w:hAnsi="宋体" w:eastAsia="宋体" w:cs="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28CD6B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（一）在采购活动中应当回避而未回避的；</w:t>
      </w:r>
    </w:p>
    <w:p w14:paraId="25ED0B3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（二）未按本条例规定签订、履行采购合同，造成严重后果的；</w:t>
      </w:r>
    </w:p>
    <w:p w14:paraId="5807F3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（三）隐瞒真实情况，提供虚假资料的；</w:t>
      </w:r>
    </w:p>
    <w:p w14:paraId="2FE866F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（四）以非法手段排斥其他供应商参与竞争的；</w:t>
      </w:r>
    </w:p>
    <w:p w14:paraId="0AE29EB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（五）与其他采购参加人串通投标的；</w:t>
      </w:r>
    </w:p>
    <w:p w14:paraId="1E1592C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（六）恶意投诉的；</w:t>
      </w:r>
    </w:p>
    <w:p w14:paraId="497C7B8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（七）向采购项目相关人行贿或者提供其他不当利益的；</w:t>
      </w:r>
    </w:p>
    <w:p w14:paraId="4E539C9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（八）阻碍、抗拒主管部门监督检查的；</w:t>
      </w:r>
    </w:p>
    <w:p w14:paraId="18C7CDA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（九）其他违反本条例规定的行为。</w:t>
      </w:r>
    </w:p>
    <w:p w14:paraId="243881F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二、《深圳经济特区政府采购条例实施细则》第七十五条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w:t>
      </w:r>
      <w:r>
        <w:rPr>
          <w:rFonts w:hint="eastAsia" w:ascii="宋体" w:hAnsi="宋体" w:eastAsia="宋体" w:cs="宋体"/>
          <w:color w:val="FF0000"/>
          <w:sz w:val="21"/>
          <w:szCs w:val="21"/>
          <w:lang w:val="en-US" w:eastAsia="zh-CN"/>
        </w:rPr>
        <w:t>之一</w:t>
      </w:r>
      <w:r>
        <w:rPr>
          <w:rFonts w:hint="eastAsia" w:ascii="宋体" w:hAnsi="宋体" w:eastAsia="宋体" w:cs="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（三）不同投标供应商的投标文件由同一单位或者同一人编制，或者由同一人分阶段参与编制的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（四）不同投标供应商的投标文件或部分投标文件相互混装</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（五）不同投标供应商的投标文件内容存在非正常一致</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（六）由同一单位工作人员为两家以上（含两家）供应商进行同一项投标活动的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（七）主管部门依照法律、法规认定的其他情形。</w:t>
      </w:r>
    </w:p>
    <w:p w14:paraId="1E9876F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b/>
          <w:bCs/>
          <w:color w:val="FF0000"/>
          <w:sz w:val="21"/>
          <w:szCs w:val="21"/>
        </w:rPr>
        <w:t>三、《深圳经济特区政府采购条例实施细则》第七十七条</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color w:val="FF0000"/>
          <w:sz w:val="21"/>
          <w:szCs w:val="21"/>
        </w:rPr>
        <w:t>供应商有下列情形之一的，属于隐瞒真实情况，提供虚假资料，按照采购条例第五十七</w:t>
      </w:r>
      <w:r>
        <w:rPr>
          <w:rFonts w:hint="eastAsia" w:ascii="宋体" w:hAnsi="宋体" w:eastAsia="宋体" w:cs="宋体"/>
          <w:color w:val="FF0000"/>
          <w:sz w:val="21"/>
          <w:szCs w:val="21"/>
          <w:lang w:val="en-US" w:eastAsia="zh-CN"/>
        </w:rPr>
        <w:t>条</w:t>
      </w:r>
      <w:r>
        <w:rPr>
          <w:rFonts w:hint="eastAsia" w:ascii="宋体" w:hAnsi="宋体" w:eastAsia="宋体" w:cs="宋体"/>
          <w:color w:val="FF0000"/>
          <w:sz w:val="21"/>
          <w:szCs w:val="21"/>
        </w:rPr>
        <w:t>的有关规定处理：（一）通过转让或者租借等方式从其他单位获取资格或者资质证书投标的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（二）由其他单位或者其他单位负责人在投标供应商编制的投标文件上加盖印章或者签字的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（三）项目负责人或者主要技术人员不是本单位人员的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（四）投标保证金不是从投标供应商基本账户转出的</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（五）其他隐瞒真实情况、提供虚假资料的行为。</w:t>
      </w:r>
    </w:p>
    <w:p w14:paraId="4F1540E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投标供应商不能提供项目负责人或者主要技术人员的劳动合同、社会保险等劳动关系证明材料的，视为存在前款第（三）项规定的情形。</w:t>
      </w:r>
    </w:p>
    <w:p w14:paraId="3CA1477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color w:val="FF0000"/>
          <w:sz w:val="21"/>
          <w:szCs w:val="21"/>
        </w:rPr>
      </w:pPr>
      <w:r>
        <w:rPr>
          <w:rFonts w:hint="eastAsia" w:ascii="宋体" w:hAnsi="宋体" w:eastAsia="宋体" w:cs="宋体"/>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014848D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B3D29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14:paraId="0FB0BFF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1"/>
          <w:szCs w:val="21"/>
        </w:rPr>
        <w:t>取消参与本市政府采购资格</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依法吊销其营业</w:t>
      </w:r>
      <w:r>
        <w:rPr>
          <w:rFonts w:hint="eastAsia" w:ascii="宋体" w:hAnsi="宋体" w:eastAsia="宋体" w:cs="宋体"/>
          <w:color w:val="FF0000"/>
          <w:sz w:val="21"/>
          <w:szCs w:val="21"/>
          <w:lang w:val="en-US" w:eastAsia="zh-CN"/>
        </w:rPr>
        <w:t>执照等行政处罚，</w:t>
      </w:r>
      <w:r>
        <w:rPr>
          <w:rFonts w:hint="eastAsia" w:ascii="宋体" w:hAnsi="宋体" w:eastAsia="宋体" w:cs="宋体"/>
          <w:color w:val="FF0000"/>
          <w:sz w:val="21"/>
          <w:szCs w:val="21"/>
        </w:rPr>
        <w:t>构成犯罪的，依法追究刑事责任</w:t>
      </w:r>
      <w:r>
        <w:rPr>
          <w:rFonts w:hint="eastAsia" w:ascii="宋体" w:hAnsi="宋体" w:eastAsia="宋体" w:cs="宋体"/>
          <w:b w:val="0"/>
          <w:bCs/>
          <w:color w:val="FF0000"/>
          <w:sz w:val="21"/>
          <w:szCs w:val="21"/>
          <w:lang w:val="en-US" w:eastAsia="zh-CN"/>
        </w:rPr>
        <w:t>，请各供应商独立编制、上传投标文件，妥善保管和使用电子秘钥。</w:t>
      </w:r>
    </w:p>
    <w:p w14:paraId="5D162F3C">
      <w:pPr>
        <w:kinsoku/>
        <w:overflowPunct/>
        <w:topLinePunct w:val="0"/>
        <w:bidi w:val="0"/>
        <w:snapToGrid w:val="0"/>
        <w:spacing w:beforeAutospacing="0" w:afterAutospacing="0" w:line="360" w:lineRule="auto"/>
        <w:ind w:left="0" w:leftChars="0" w:right="0" w:firstLine="0" w:firstLineChars="0"/>
        <w:jc w:val="left"/>
        <w:rPr>
          <w:rFonts w:hint="eastAsia" w:ascii="宋体" w:hAnsi="宋体" w:eastAsia="宋体" w:cs="宋体"/>
          <w:color w:val="000000"/>
          <w:kern w:val="0"/>
          <w:sz w:val="24"/>
          <w:szCs w:val="24"/>
        </w:rPr>
      </w:pPr>
    </w:p>
    <w:p w14:paraId="4015D4F1">
      <w:pPr>
        <w:kinsoku/>
        <w:overflowPunct/>
        <w:topLinePunct w:val="0"/>
        <w:bidi w:val="0"/>
        <w:snapToGrid w:val="0"/>
        <w:spacing w:beforeAutospacing="0" w:afterAutospacing="0" w:line="360" w:lineRule="auto"/>
        <w:ind w:left="0" w:leftChars="0" w:right="0" w:firstLine="0" w:firstLineChars="0"/>
        <w:jc w:val="left"/>
        <w:rPr>
          <w:rFonts w:hint="eastAsia" w:ascii="宋体" w:hAnsi="宋体" w:eastAsia="宋体" w:cs="宋体"/>
          <w:color w:val="000000"/>
          <w:kern w:val="0"/>
          <w:sz w:val="24"/>
          <w:szCs w:val="24"/>
        </w:rPr>
      </w:pPr>
    </w:p>
    <w:p w14:paraId="3981829C">
      <w:pPr>
        <w:rPr>
          <w:rFonts w:hint="eastAsia" w:ascii="宋体" w:hAnsi="宋体" w:eastAsia="宋体" w:cs="宋体"/>
          <w:b/>
          <w:bCs/>
          <w:kern w:val="44"/>
          <w:sz w:val="32"/>
          <w:szCs w:val="32"/>
        </w:rPr>
      </w:pPr>
      <w:r>
        <w:rPr>
          <w:rFonts w:hint="eastAsia" w:ascii="宋体" w:hAnsi="宋体" w:eastAsia="宋体" w:cs="宋体"/>
          <w:b/>
          <w:bCs/>
          <w:kern w:val="44"/>
          <w:sz w:val="32"/>
          <w:szCs w:val="32"/>
        </w:rPr>
        <w:br w:type="page"/>
      </w:r>
    </w:p>
    <w:p w14:paraId="471930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0"/>
        <w:rPr>
          <w:rFonts w:hint="eastAsia" w:ascii="宋体" w:hAnsi="宋体" w:eastAsia="宋体" w:cs="宋体"/>
          <w:b/>
          <w:bCs/>
          <w:kern w:val="44"/>
          <w:sz w:val="32"/>
          <w:szCs w:val="32"/>
        </w:rPr>
      </w:pPr>
      <w:r>
        <w:rPr>
          <w:rFonts w:hint="eastAsia" w:ascii="宋体" w:hAnsi="宋体" w:eastAsia="宋体" w:cs="宋体"/>
          <w:b/>
          <w:bCs/>
          <w:kern w:val="44"/>
          <w:sz w:val="32"/>
          <w:szCs w:val="32"/>
        </w:rPr>
        <w:t>目   录</w:t>
      </w:r>
    </w:p>
    <w:p w14:paraId="50707057">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第一册  专用条款</w:t>
      </w:r>
    </w:p>
    <w:p w14:paraId="5A47809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关键信息</w:t>
      </w:r>
    </w:p>
    <w:p w14:paraId="656927D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第一章  招标公告</w:t>
      </w:r>
    </w:p>
    <w:p w14:paraId="0DCDA01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第二章  对通用条款的补充内容及其他关键信息</w:t>
      </w:r>
    </w:p>
    <w:p w14:paraId="1215463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第三章  用户需求书</w:t>
      </w:r>
    </w:p>
    <w:p w14:paraId="640A1E5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第四章  投标文件组成要求及格式</w:t>
      </w:r>
    </w:p>
    <w:p w14:paraId="146EAE6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第五章  合同条款及格式</w:t>
      </w:r>
    </w:p>
    <w:p w14:paraId="45129A82">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p>
    <w:p w14:paraId="6CD2EA35">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第二册  通用条款</w:t>
      </w:r>
    </w:p>
    <w:p w14:paraId="589BA6C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第一章  总则</w:t>
      </w:r>
    </w:p>
    <w:p w14:paraId="34D6E04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第二章  招标文件</w:t>
      </w:r>
    </w:p>
    <w:p w14:paraId="6AE86A8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第三章  投标文件的编制</w:t>
      </w:r>
    </w:p>
    <w:p w14:paraId="2238EA4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第四章  投标文件的递交</w:t>
      </w:r>
    </w:p>
    <w:p w14:paraId="210C1C9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第五章  开标</w:t>
      </w:r>
    </w:p>
    <w:p w14:paraId="2CAB58D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第六章  评审要求</w:t>
      </w:r>
    </w:p>
    <w:p w14:paraId="034A3F6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第七章  评审程序及评审方法</w:t>
      </w:r>
    </w:p>
    <w:p w14:paraId="14A6BC2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第八章  定标及公示</w:t>
      </w:r>
    </w:p>
    <w:p w14:paraId="4EE92DD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第九章  公开招标失败的后续处理</w:t>
      </w:r>
    </w:p>
    <w:p w14:paraId="668A658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第十章  合同的授予与备案</w:t>
      </w:r>
    </w:p>
    <w:p w14:paraId="6EB5983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第十一章  质疑处理</w:t>
      </w:r>
    </w:p>
    <w:p w14:paraId="4222FFF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58573C7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1A0212A2">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rPr>
        <w:br w:type="page"/>
      </w:r>
    </w:p>
    <w:p w14:paraId="421A61FE">
      <w:pPr>
        <w:pStyle w:val="3"/>
        <w:kinsoku/>
        <w:overflowPunct/>
        <w:topLinePunct w:val="0"/>
        <w:bidi w:val="0"/>
        <w:spacing w:before="0" w:beforeAutospacing="0" w:afterLines="0" w:afterAutospacing="0" w:line="360" w:lineRule="auto"/>
        <w:ind w:left="0" w:leftChars="0" w:right="0" w:firstLine="0" w:firstLineChars="0"/>
        <w:jc w:val="center"/>
        <w:rPr>
          <w:rFonts w:hint="eastAsia" w:ascii="宋体" w:hAnsi="宋体" w:eastAsia="宋体" w:cs="宋体"/>
          <w:sz w:val="32"/>
          <w:szCs w:val="32"/>
        </w:rPr>
      </w:pPr>
      <w:r>
        <w:rPr>
          <w:rFonts w:hint="eastAsia" w:ascii="宋体" w:hAnsi="宋体" w:eastAsia="宋体" w:cs="宋体"/>
          <w:sz w:val="32"/>
          <w:szCs w:val="32"/>
        </w:rPr>
        <w:t>第一册  专用条款</w:t>
      </w:r>
    </w:p>
    <w:p w14:paraId="530C42C5">
      <w:pPr>
        <w:keepNext/>
        <w:keepLines/>
        <w:kinsoku/>
        <w:overflowPunct/>
        <w:topLinePunct w:val="0"/>
        <w:bidi w:val="0"/>
        <w:adjustRightInd w:val="0"/>
        <w:spacing w:beforeAutospacing="0" w:afterAutospacing="0" w:line="360" w:lineRule="auto"/>
        <w:ind w:left="0" w:leftChars="0" w:right="0" w:firstLine="0" w:firstLineChars="0"/>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第一章  招标公告</w:t>
      </w:r>
    </w:p>
    <w:p w14:paraId="46456A62">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b/>
          <w:bCs/>
          <w:szCs w:val="21"/>
        </w:rPr>
        <w:t>申请人的资格要求：</w:t>
      </w:r>
    </w:p>
    <w:p w14:paraId="61FB474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1）具有独立承担民事责任的能力（提供营业执照或事业单位法人证书等证明资料扫描件，原件备查</w:t>
      </w:r>
      <w:r>
        <w:rPr>
          <w:rFonts w:hint="eastAsia" w:ascii="宋体" w:hAnsi="宋体" w:eastAsia="宋体" w:cs="宋体"/>
          <w:bCs/>
          <w:sz w:val="24"/>
          <w:szCs w:val="24"/>
          <w:lang w:eastAsia="zh-CN"/>
        </w:rPr>
        <w:t>。</w:t>
      </w:r>
      <w:r>
        <w:rPr>
          <w:rFonts w:hint="eastAsia" w:ascii="宋体" w:hAnsi="宋体" w:eastAsia="宋体" w:cs="宋体"/>
          <w:bCs/>
          <w:sz w:val="24"/>
          <w:szCs w:val="24"/>
        </w:rPr>
        <w:t>分支机构参与投标的，</w:t>
      </w:r>
      <w:r>
        <w:rPr>
          <w:rFonts w:hint="eastAsia" w:ascii="宋体" w:hAnsi="宋体" w:eastAsia="宋体" w:cs="宋体"/>
          <w:bCs/>
          <w:sz w:val="24"/>
          <w:szCs w:val="24"/>
          <w:lang w:val="en-US" w:eastAsia="zh-CN"/>
        </w:rPr>
        <w:t>须同时</w:t>
      </w:r>
      <w:r>
        <w:rPr>
          <w:rFonts w:hint="eastAsia" w:ascii="宋体" w:hAnsi="宋体" w:eastAsia="宋体" w:cs="宋体"/>
          <w:bCs/>
          <w:sz w:val="24"/>
          <w:szCs w:val="24"/>
        </w:rPr>
        <w:t>提供</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①分支机构</w:t>
      </w:r>
      <w:r>
        <w:rPr>
          <w:rFonts w:hint="eastAsia" w:ascii="宋体" w:hAnsi="宋体" w:eastAsia="宋体" w:cs="宋体"/>
          <w:bCs/>
          <w:sz w:val="24"/>
          <w:szCs w:val="24"/>
        </w:rPr>
        <w:t>营业执照或事业单位法人证书等证明资料扫描件</w:t>
      </w:r>
      <w:r>
        <w:rPr>
          <w:rFonts w:hint="eastAsia" w:ascii="宋体" w:hAnsi="宋体" w:eastAsia="宋体" w:cs="宋体"/>
          <w:bCs/>
          <w:sz w:val="24"/>
          <w:szCs w:val="24"/>
          <w:lang w:val="en-US" w:eastAsia="zh-CN"/>
        </w:rPr>
        <w:t>；②</w:t>
      </w:r>
      <w:r>
        <w:rPr>
          <w:rFonts w:hint="eastAsia" w:ascii="宋体" w:hAnsi="宋体" w:eastAsia="宋体" w:cs="宋体"/>
          <w:bCs/>
          <w:sz w:val="24"/>
          <w:szCs w:val="24"/>
        </w:rPr>
        <w:t>总公司授权文件且授权</w:t>
      </w:r>
      <w:r>
        <w:rPr>
          <w:rFonts w:hint="eastAsia" w:ascii="宋体" w:hAnsi="宋体" w:eastAsia="宋体" w:cs="宋体"/>
          <w:bCs/>
          <w:sz w:val="24"/>
          <w:szCs w:val="24"/>
          <w:lang w:val="en-US" w:eastAsia="zh-CN"/>
        </w:rPr>
        <w:t>文件</w:t>
      </w:r>
      <w:r>
        <w:rPr>
          <w:rFonts w:hint="eastAsia" w:ascii="宋体" w:hAnsi="宋体" w:eastAsia="宋体" w:cs="宋体"/>
          <w:bCs/>
          <w:sz w:val="24"/>
          <w:szCs w:val="24"/>
        </w:rPr>
        <w:t>载明其民事责任由总公司承担）。</w:t>
      </w:r>
    </w:p>
    <w:p w14:paraId="422D328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2）本项目不接受联合体投标</w:t>
      </w:r>
      <w:r>
        <w:rPr>
          <w:rFonts w:hint="eastAsia" w:ascii="宋体" w:hAnsi="宋体" w:eastAsia="宋体" w:cs="宋体"/>
          <w:bCs/>
          <w:sz w:val="24"/>
          <w:szCs w:val="24"/>
          <w:lang w:eastAsia="zh-CN"/>
        </w:rPr>
        <w:t>，</w:t>
      </w:r>
      <w:r>
        <w:rPr>
          <w:rFonts w:hint="eastAsia" w:ascii="宋体" w:hAnsi="宋体" w:eastAsia="宋体" w:cs="宋体"/>
          <w:bCs/>
          <w:sz w:val="24"/>
          <w:szCs w:val="24"/>
        </w:rPr>
        <w:t>不接受投标人选用进口产品参与投标。</w:t>
      </w:r>
    </w:p>
    <w:p w14:paraId="7E7C53F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3</w:t>
      </w:r>
      <w:r>
        <w:rPr>
          <w:rFonts w:hint="eastAsia" w:ascii="宋体" w:hAnsi="宋体" w:eastAsia="宋体" w:cs="宋体"/>
          <w:bCs/>
          <w:sz w:val="24"/>
          <w:szCs w:val="24"/>
          <w:lang w:eastAsia="zh-CN"/>
        </w:rPr>
        <w:t>）</w:t>
      </w:r>
      <w:r>
        <w:rPr>
          <w:rFonts w:hint="eastAsia" w:ascii="宋体" w:hAnsi="宋体" w:eastAsia="宋体" w:cs="宋体"/>
          <w:bCs/>
          <w:sz w:val="24"/>
          <w:szCs w:val="24"/>
        </w:rPr>
        <w:t>参与本项目政府采购活动时不存在被有关部门禁止参与政府采购活动且在有效期内的情况（由供应商在《政府采购投标及履约承诺函》中作出声明）</w:t>
      </w:r>
      <w:r>
        <w:rPr>
          <w:rFonts w:hint="eastAsia" w:ascii="宋体" w:hAnsi="宋体" w:eastAsia="宋体" w:cs="宋体"/>
          <w:bCs/>
          <w:sz w:val="24"/>
          <w:szCs w:val="24"/>
          <w:lang w:eastAsia="zh-CN"/>
        </w:rPr>
        <w:t>。</w:t>
      </w:r>
    </w:p>
    <w:p w14:paraId="6B60479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w:t>
      </w:r>
      <w:r>
        <w:rPr>
          <w:rFonts w:hint="eastAsia" w:ascii="宋体" w:hAnsi="宋体" w:eastAsia="宋体" w:cs="宋体"/>
          <w:bCs/>
          <w:sz w:val="24"/>
          <w:szCs w:val="24"/>
        </w:rPr>
        <w:t>具备《中华人民共和国政府采购法》第二十二条第一款的条件（由供应商在《政府采购投标及履约承诺函》中作出声明）</w:t>
      </w:r>
      <w:r>
        <w:rPr>
          <w:rFonts w:hint="eastAsia" w:ascii="宋体" w:hAnsi="宋体" w:eastAsia="宋体" w:cs="宋体"/>
          <w:bCs/>
          <w:sz w:val="24"/>
          <w:szCs w:val="24"/>
          <w:lang w:eastAsia="zh-CN"/>
        </w:rPr>
        <w:t>。</w:t>
      </w:r>
    </w:p>
    <w:p w14:paraId="4B60897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w:t>
      </w:r>
      <w:r>
        <w:rPr>
          <w:rFonts w:hint="eastAsia" w:ascii="宋体" w:hAnsi="宋体" w:eastAsia="宋体" w:cs="宋体"/>
          <w:bCs/>
          <w:sz w:val="24"/>
          <w:szCs w:val="24"/>
        </w:rPr>
        <w:t>未被列入失信被执行人、重大税收违法案件当事人名单、政府采购严重违法失信行为记录名单（由供应商在《政府采购投标及履约承诺函》中作出声明）</w:t>
      </w:r>
      <w:r>
        <w:rPr>
          <w:rFonts w:hint="eastAsia" w:ascii="宋体" w:hAnsi="宋体" w:eastAsia="宋体" w:cs="宋体"/>
          <w:bCs/>
          <w:sz w:val="24"/>
          <w:szCs w:val="24"/>
          <w:lang w:eastAsia="zh-CN"/>
        </w:rPr>
        <w:t>。</w:t>
      </w:r>
    </w:p>
    <w:p w14:paraId="1DE0B31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eastAsia="宋体" w:cs="宋体"/>
          <w:bCs/>
          <w:sz w:val="24"/>
          <w:szCs w:val="24"/>
          <w:lang w:eastAsia="zh-CN"/>
        </w:rPr>
        <w:t>。</w:t>
      </w:r>
    </w:p>
    <w:p w14:paraId="3720843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）本项目是（否）专门面向中小企业采购：</w:t>
      </w:r>
      <w:r>
        <w:rPr>
          <w:rFonts w:hint="eastAsia" w:ascii="宋体" w:hAnsi="宋体" w:eastAsia="宋体" w:cs="宋体"/>
          <w:bCs/>
          <w:sz w:val="24"/>
          <w:szCs w:val="24"/>
          <w:lang w:val="en-US" w:eastAsia="zh-CN"/>
        </w:rPr>
        <w:t>是。</w:t>
      </w:r>
      <w:r>
        <w:rPr>
          <w:rFonts w:hint="eastAsia" w:ascii="宋体" w:hAnsi="宋体" w:eastAsia="宋体" w:cs="宋体"/>
          <w:bCs/>
          <w:sz w:val="24"/>
          <w:szCs w:val="24"/>
        </w:rPr>
        <w:t>供应商提供的货物全部由符合政策要求的中小微企业、残疾人福利性单位或监狱企业制造（由供应商在相关声明函中作出声明；未提供声明函或声明函不符合相关要求的，按资格审查不通过处理）。</w:t>
      </w:r>
    </w:p>
    <w:p w14:paraId="1B650CC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注：</w:t>
      </w:r>
    </w:p>
    <w:p w14:paraId="77849AD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2258EB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（2）供应商投标（上传投标文件）必须先行办理注册手续。</w:t>
      </w:r>
    </w:p>
    <w:p w14:paraId="1435039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FF0000"/>
          <w:sz w:val="30"/>
          <w:szCs w:val="30"/>
        </w:rPr>
      </w:pPr>
      <w:r>
        <w:rPr>
          <w:rFonts w:hint="eastAsia" w:ascii="宋体" w:hAnsi="宋体" w:eastAsia="宋体" w:cs="宋体"/>
          <w:b/>
          <w:color w:val="FF0000"/>
          <w:sz w:val="30"/>
          <w:szCs w:val="30"/>
        </w:rPr>
        <w:t>完整公告内容以网站公布信息为准，详见：深圳公共资源交易网（https://www.szggzy.com/jygg/list.html?id=zfcg）</w:t>
      </w:r>
    </w:p>
    <w:p w14:paraId="3A27F018">
      <w:pPr>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sz w:val="30"/>
          <w:szCs w:val="30"/>
        </w:rPr>
      </w:pPr>
    </w:p>
    <w:p w14:paraId="252A29D6">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14:paraId="1BBCAF52">
      <w:pPr>
        <w:keepNext/>
        <w:keepLines/>
        <w:kinsoku/>
        <w:overflowPunct/>
        <w:topLinePunct w:val="0"/>
        <w:bidi w:val="0"/>
        <w:spacing w:beforeAutospacing="0" w:afterAutospacing="0" w:line="360" w:lineRule="auto"/>
        <w:ind w:left="0" w:leftChars="0" w:right="0" w:firstLine="0" w:firstLineChars="0"/>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第二章 </w:t>
      </w:r>
      <w:bookmarkStart w:id="2" w:name="_Hlk71926094"/>
      <w:r>
        <w:rPr>
          <w:rFonts w:hint="eastAsia" w:ascii="宋体" w:hAnsi="宋体" w:eastAsia="宋体" w:cs="宋体"/>
          <w:b/>
          <w:bCs/>
          <w:kern w:val="0"/>
          <w:sz w:val="28"/>
          <w:szCs w:val="28"/>
        </w:rPr>
        <w:t>对通用条款的补充内容及其他关键信息</w:t>
      </w:r>
      <w:bookmarkEnd w:id="2"/>
    </w:p>
    <w:p w14:paraId="7FC5A93C">
      <w:pPr>
        <w:keepNext/>
        <w:keepLines/>
        <w:kinsoku/>
        <w:overflowPunct/>
        <w:topLinePunct w:val="0"/>
        <w:bidi w:val="0"/>
        <w:adjustRightInd w:val="0"/>
        <w:spacing w:beforeAutospacing="0" w:afterAutospacing="0" w:line="360" w:lineRule="auto"/>
        <w:ind w:left="0" w:leftChars="0" w:right="0" w:firstLine="0" w:firstLineChars="0"/>
        <w:jc w:val="center"/>
        <w:textAlignment w:val="baseline"/>
        <w:outlineLvl w:val="2"/>
        <w:rPr>
          <w:rFonts w:hint="eastAsia" w:ascii="宋体" w:hAnsi="宋体" w:eastAsia="宋体" w:cs="宋体"/>
          <w:b/>
          <w:bCs/>
          <w:kern w:val="0"/>
          <w:sz w:val="24"/>
          <w:szCs w:val="24"/>
        </w:rPr>
      </w:pPr>
      <w:bookmarkStart w:id="3" w:name="_Toc73521635"/>
      <w:bookmarkStart w:id="4" w:name="_Toc73518117"/>
      <w:bookmarkStart w:id="5" w:name="_Toc60560625"/>
      <w:bookmarkStart w:id="6" w:name="_Toc100052364"/>
      <w:bookmarkStart w:id="7" w:name="_Toc73521547"/>
      <w:bookmarkStart w:id="8" w:name="_Toc73517639"/>
      <w:bookmarkStart w:id="9" w:name="_Toc60631620"/>
      <w:bookmarkStart w:id="10" w:name="_Toc101074876"/>
      <w:r>
        <w:rPr>
          <w:rFonts w:hint="eastAsia" w:ascii="宋体" w:hAnsi="宋体" w:eastAsia="宋体" w:cs="宋体"/>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4018D3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02F53F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rPr>
            </w:pPr>
            <w:r>
              <w:rPr>
                <w:rFonts w:hint="eastAsia" w:ascii="宋体" w:hAnsi="宋体" w:eastAsia="宋体" w:cs="宋体"/>
                <w:b/>
                <w:bCs/>
              </w:rPr>
              <w:t>通用条款序号</w:t>
            </w:r>
          </w:p>
        </w:tc>
        <w:tc>
          <w:tcPr>
            <w:tcW w:w="1755" w:type="dxa"/>
            <w:vAlign w:val="center"/>
          </w:tcPr>
          <w:p w14:paraId="1018D7B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rPr>
            </w:pPr>
            <w:r>
              <w:rPr>
                <w:rFonts w:hint="eastAsia" w:ascii="宋体" w:hAnsi="宋体" w:eastAsia="宋体" w:cs="宋体"/>
                <w:b/>
                <w:bCs/>
              </w:rPr>
              <w:t>涉及事项</w:t>
            </w:r>
          </w:p>
        </w:tc>
        <w:tc>
          <w:tcPr>
            <w:tcW w:w="6795" w:type="dxa"/>
            <w:vAlign w:val="center"/>
          </w:tcPr>
          <w:p w14:paraId="0655714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rPr>
            </w:pPr>
            <w:r>
              <w:rPr>
                <w:rFonts w:hint="eastAsia" w:ascii="宋体" w:hAnsi="宋体" w:eastAsia="宋体" w:cs="宋体"/>
                <w:b/>
                <w:bCs/>
              </w:rPr>
              <w:t>具  体  补  充  内  容</w:t>
            </w:r>
          </w:p>
        </w:tc>
      </w:tr>
      <w:tr w14:paraId="2C0703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355DD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3.1</w:t>
            </w:r>
          </w:p>
        </w:tc>
        <w:tc>
          <w:tcPr>
            <w:tcW w:w="1755" w:type="dxa"/>
            <w:vAlign w:val="center"/>
          </w:tcPr>
          <w:p w14:paraId="68E15DB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采购人</w:t>
            </w:r>
          </w:p>
        </w:tc>
        <w:tc>
          <w:tcPr>
            <w:tcW w:w="6795" w:type="dxa"/>
            <w:vAlign w:val="center"/>
          </w:tcPr>
          <w:p w14:paraId="7C518B16">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rPr>
              <w:t>深圳市宝安区建安新村幼儿园</w:t>
            </w:r>
          </w:p>
        </w:tc>
      </w:tr>
      <w:tr w14:paraId="17990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E77B71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3.2</w:t>
            </w:r>
          </w:p>
        </w:tc>
        <w:tc>
          <w:tcPr>
            <w:tcW w:w="1755" w:type="dxa"/>
            <w:vAlign w:val="center"/>
          </w:tcPr>
          <w:p w14:paraId="1468863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政府集中采购机构</w:t>
            </w:r>
          </w:p>
        </w:tc>
        <w:tc>
          <w:tcPr>
            <w:tcW w:w="6795" w:type="dxa"/>
            <w:vAlign w:val="center"/>
          </w:tcPr>
          <w:p w14:paraId="485FBD72">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szCs w:val="21"/>
              </w:rPr>
              <w:t>本文件所述的“政府集中采购机构”指</w:t>
            </w:r>
            <w:r>
              <w:rPr>
                <w:rFonts w:hint="eastAsia" w:ascii="宋体" w:hAnsi="宋体" w:eastAsia="宋体" w:cs="宋体"/>
                <w:b/>
                <w:bCs/>
                <w:szCs w:val="21"/>
              </w:rPr>
              <w:t>深圳公共资源交易中心</w:t>
            </w:r>
            <w:r>
              <w:rPr>
                <w:rFonts w:hint="eastAsia" w:ascii="宋体" w:hAnsi="宋体" w:eastAsia="宋体" w:cs="宋体"/>
                <w:szCs w:val="24"/>
              </w:rPr>
              <w:t>。本项目具体由深圳公共资源交易中心（深圳交易集团有限公司宝安分公司）执行</w:t>
            </w:r>
            <w:r>
              <w:rPr>
                <w:rFonts w:hint="eastAsia" w:ascii="宋体" w:hAnsi="宋体" w:eastAsia="宋体" w:cs="宋体"/>
                <w:bCs/>
                <w:szCs w:val="24"/>
              </w:rPr>
              <w:t>。</w:t>
            </w:r>
          </w:p>
        </w:tc>
      </w:tr>
      <w:tr w14:paraId="4C443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85E238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5.3</w:t>
            </w:r>
          </w:p>
        </w:tc>
        <w:tc>
          <w:tcPr>
            <w:tcW w:w="1755" w:type="dxa"/>
            <w:vAlign w:val="center"/>
          </w:tcPr>
          <w:p w14:paraId="0E34F3A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联合体投标</w:t>
            </w:r>
          </w:p>
        </w:tc>
        <w:tc>
          <w:tcPr>
            <w:tcW w:w="6795" w:type="dxa"/>
            <w:vAlign w:val="center"/>
          </w:tcPr>
          <w:p w14:paraId="0DEC0FCD">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详见本项目招标公告申请人的资格要求</w:t>
            </w:r>
          </w:p>
        </w:tc>
      </w:tr>
      <w:tr w14:paraId="4E833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247841">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9</w:t>
            </w:r>
          </w:p>
        </w:tc>
        <w:tc>
          <w:tcPr>
            <w:tcW w:w="1755" w:type="dxa"/>
            <w:vAlign w:val="center"/>
          </w:tcPr>
          <w:p w14:paraId="7FFDCDC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踏勘现场</w:t>
            </w:r>
          </w:p>
        </w:tc>
        <w:tc>
          <w:tcPr>
            <w:tcW w:w="6795" w:type="dxa"/>
            <w:vAlign w:val="center"/>
          </w:tcPr>
          <w:p w14:paraId="0721558E">
            <w:pPr>
              <w:kinsoku/>
              <w:overflowPunct/>
              <w:topLinePunct w:val="0"/>
              <w:bidi w:val="0"/>
              <w:snapToGrid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szCs w:val="21"/>
              </w:rPr>
              <w:t>不组织</w:t>
            </w:r>
          </w:p>
        </w:tc>
      </w:tr>
      <w:tr w14:paraId="0E518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3C16AD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10</w:t>
            </w:r>
          </w:p>
        </w:tc>
        <w:tc>
          <w:tcPr>
            <w:tcW w:w="1755" w:type="dxa"/>
            <w:vAlign w:val="center"/>
          </w:tcPr>
          <w:p w14:paraId="1F0719E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标前会议</w:t>
            </w:r>
          </w:p>
        </w:tc>
        <w:tc>
          <w:tcPr>
            <w:tcW w:w="6795" w:type="dxa"/>
            <w:vAlign w:val="center"/>
          </w:tcPr>
          <w:p w14:paraId="70C5F1E0">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szCs w:val="21"/>
              </w:rPr>
              <w:t>不组织</w:t>
            </w:r>
          </w:p>
        </w:tc>
      </w:tr>
      <w:tr w14:paraId="4AC77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A47C00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12/13</w:t>
            </w:r>
          </w:p>
        </w:tc>
        <w:tc>
          <w:tcPr>
            <w:tcW w:w="1755" w:type="dxa"/>
            <w:vAlign w:val="center"/>
          </w:tcPr>
          <w:p w14:paraId="44664B2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招标文件的澄清和修改</w:t>
            </w:r>
          </w:p>
        </w:tc>
        <w:tc>
          <w:tcPr>
            <w:tcW w:w="6795" w:type="dxa"/>
            <w:vAlign w:val="center"/>
          </w:tcPr>
          <w:p w14:paraId="41B43561">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lang w:eastAsia="zh-CN"/>
              </w:rPr>
            </w:pPr>
            <w:r>
              <w:rPr>
                <w:rFonts w:hint="eastAsia" w:ascii="宋体" w:hAnsi="宋体" w:eastAsia="宋体" w:cs="宋体"/>
              </w:rPr>
              <w:t>对招标文件澄清/修改时间不晚于投标截止日三日前，投标人有义务在招标期间在政府集中采购机构网站浏览与本项目有关的澄清和修改信息</w:t>
            </w:r>
            <w:r>
              <w:rPr>
                <w:rFonts w:hint="eastAsia" w:ascii="宋体" w:hAnsi="宋体" w:eastAsia="宋体" w:cs="宋体"/>
                <w:lang w:eastAsia="zh-CN"/>
              </w:rPr>
              <w:t>。</w:t>
            </w:r>
          </w:p>
        </w:tc>
      </w:tr>
      <w:tr w14:paraId="49BF41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73B927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20</w:t>
            </w:r>
          </w:p>
        </w:tc>
        <w:tc>
          <w:tcPr>
            <w:tcW w:w="1755" w:type="dxa"/>
            <w:vAlign w:val="center"/>
          </w:tcPr>
          <w:p w14:paraId="3CA422C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投标有效期</w:t>
            </w:r>
          </w:p>
        </w:tc>
        <w:tc>
          <w:tcPr>
            <w:tcW w:w="6795" w:type="dxa"/>
            <w:vAlign w:val="center"/>
          </w:tcPr>
          <w:p w14:paraId="17BE815E">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szCs w:val="21"/>
              </w:rPr>
              <w:t>投标有效期：从投标截止之日起</w:t>
            </w:r>
            <w:r>
              <w:rPr>
                <w:rFonts w:hint="eastAsia" w:ascii="宋体" w:hAnsi="宋体" w:eastAsia="宋体" w:cs="宋体"/>
                <w:b/>
                <w:color w:val="0000FF"/>
                <w:sz w:val="24"/>
                <w:szCs w:val="24"/>
                <w:u w:val="single"/>
              </w:rPr>
              <w:t xml:space="preserve"> 120 </w:t>
            </w:r>
            <w:r>
              <w:rPr>
                <w:rFonts w:hint="eastAsia" w:ascii="宋体" w:hAnsi="宋体" w:eastAsia="宋体" w:cs="宋体"/>
                <w:szCs w:val="21"/>
              </w:rPr>
              <w:t>个日历日。</w:t>
            </w:r>
          </w:p>
        </w:tc>
      </w:tr>
      <w:tr w14:paraId="5E4CF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802A7A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22</w:t>
            </w:r>
          </w:p>
        </w:tc>
        <w:tc>
          <w:tcPr>
            <w:tcW w:w="1755" w:type="dxa"/>
            <w:vAlign w:val="center"/>
          </w:tcPr>
          <w:p w14:paraId="2B20946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投标人的替代方案</w:t>
            </w:r>
          </w:p>
        </w:tc>
        <w:tc>
          <w:tcPr>
            <w:tcW w:w="6795" w:type="dxa"/>
            <w:vAlign w:val="center"/>
          </w:tcPr>
          <w:p w14:paraId="44317D4F">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lang w:val="en-US" w:eastAsia="zh-CN"/>
              </w:rPr>
              <w:t>不接受</w:t>
            </w:r>
          </w:p>
        </w:tc>
      </w:tr>
      <w:tr w14:paraId="5657BE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C8B89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25</w:t>
            </w:r>
          </w:p>
        </w:tc>
        <w:tc>
          <w:tcPr>
            <w:tcW w:w="1755" w:type="dxa"/>
            <w:vAlign w:val="center"/>
          </w:tcPr>
          <w:p w14:paraId="2FAB87A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投标文件的大小</w:t>
            </w:r>
          </w:p>
        </w:tc>
        <w:tc>
          <w:tcPr>
            <w:tcW w:w="6795" w:type="dxa"/>
            <w:vAlign w:val="center"/>
          </w:tcPr>
          <w:p w14:paraId="6E9BBDB8">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szCs w:val="21"/>
              </w:rPr>
              <w:t>投标文件大小不得超过100MB</w:t>
            </w:r>
          </w:p>
        </w:tc>
      </w:tr>
      <w:tr w14:paraId="30DC84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8D1AA3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26</w:t>
            </w:r>
          </w:p>
        </w:tc>
        <w:tc>
          <w:tcPr>
            <w:tcW w:w="1755" w:type="dxa"/>
            <w:vAlign w:val="center"/>
          </w:tcPr>
          <w:p w14:paraId="0C6BBB6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bookmarkStart w:id="11" w:name="_Hlk71664860"/>
            <w:r>
              <w:rPr>
                <w:rFonts w:hint="eastAsia" w:ascii="宋体" w:hAnsi="宋体" w:eastAsia="宋体" w:cs="宋体"/>
              </w:rPr>
              <w:t>样品、现场演示、方案讲解</w:t>
            </w:r>
            <w:bookmarkEnd w:id="11"/>
          </w:p>
        </w:tc>
        <w:tc>
          <w:tcPr>
            <w:tcW w:w="6795" w:type="dxa"/>
            <w:vAlign w:val="center"/>
          </w:tcPr>
          <w:p w14:paraId="2283E09D">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rPr>
              <w:t>不要求提供样品；不组织现场演示；不组织方案讲解。</w:t>
            </w:r>
          </w:p>
        </w:tc>
      </w:tr>
      <w:tr w14:paraId="7EFD3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D0C2A2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37</w:t>
            </w:r>
          </w:p>
        </w:tc>
        <w:tc>
          <w:tcPr>
            <w:tcW w:w="1755" w:type="dxa"/>
            <w:vAlign w:val="center"/>
          </w:tcPr>
          <w:p w14:paraId="23B993E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评审方法</w:t>
            </w:r>
          </w:p>
        </w:tc>
        <w:tc>
          <w:tcPr>
            <w:tcW w:w="6795" w:type="dxa"/>
            <w:vAlign w:val="center"/>
          </w:tcPr>
          <w:p w14:paraId="1D992D9B">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b/>
                <w:bCs/>
              </w:rPr>
              <w:t>综合评分法</w:t>
            </w:r>
          </w:p>
        </w:tc>
      </w:tr>
      <w:tr w14:paraId="3E8434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FA28BD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38</w:t>
            </w:r>
          </w:p>
        </w:tc>
        <w:tc>
          <w:tcPr>
            <w:tcW w:w="1755" w:type="dxa"/>
            <w:vAlign w:val="center"/>
          </w:tcPr>
          <w:p w14:paraId="5658591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定标方法</w:t>
            </w:r>
          </w:p>
        </w:tc>
        <w:tc>
          <w:tcPr>
            <w:tcW w:w="6795" w:type="dxa"/>
            <w:vAlign w:val="center"/>
          </w:tcPr>
          <w:p w14:paraId="44164E01">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b/>
                <w:bCs/>
                <w:highlight w:val="yellow"/>
              </w:rPr>
            </w:pPr>
            <w:r>
              <w:rPr>
                <w:rFonts w:hint="eastAsia" w:ascii="宋体" w:hAnsi="宋体" w:eastAsia="宋体" w:cs="宋体"/>
                <w:b/>
                <w:bCs/>
                <w:szCs w:val="21"/>
                <w:highlight w:val="yellow"/>
              </w:rPr>
              <w:t>非评定分离</w:t>
            </w:r>
          </w:p>
        </w:tc>
      </w:tr>
      <w:tr w14:paraId="7C684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8474A8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46</w:t>
            </w:r>
          </w:p>
        </w:tc>
        <w:tc>
          <w:tcPr>
            <w:tcW w:w="1755" w:type="dxa"/>
            <w:vAlign w:val="center"/>
          </w:tcPr>
          <w:p w14:paraId="75D0540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履约担保</w:t>
            </w:r>
          </w:p>
        </w:tc>
        <w:tc>
          <w:tcPr>
            <w:tcW w:w="6795" w:type="dxa"/>
            <w:vAlign w:val="center"/>
          </w:tcPr>
          <w:p w14:paraId="1CBF0F57">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rPr>
              <w:t>不</w:t>
            </w:r>
            <w:r>
              <w:rPr>
                <w:rFonts w:hint="eastAsia" w:ascii="宋体" w:hAnsi="宋体" w:eastAsia="宋体" w:cs="宋体"/>
                <w:lang w:val="en-US" w:eastAsia="zh-CN"/>
              </w:rPr>
              <w:t>需要</w:t>
            </w:r>
          </w:p>
        </w:tc>
      </w:tr>
      <w:tr w14:paraId="279C3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20C40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52.8</w:t>
            </w:r>
          </w:p>
        </w:tc>
        <w:tc>
          <w:tcPr>
            <w:tcW w:w="1755" w:type="dxa"/>
            <w:vAlign w:val="center"/>
          </w:tcPr>
          <w:p w14:paraId="4B68C58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投诉</w:t>
            </w:r>
          </w:p>
        </w:tc>
        <w:tc>
          <w:tcPr>
            <w:tcW w:w="6795" w:type="dxa"/>
            <w:vAlign w:val="center"/>
          </w:tcPr>
          <w:p w14:paraId="069AE39E">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kern w:val="2"/>
                <w:sz w:val="21"/>
                <w:szCs w:val="22"/>
                <w:lang w:val="en-US" w:eastAsia="zh-CN" w:bidi="ar-SA"/>
              </w:rPr>
            </w:pPr>
            <w:r>
              <w:rPr>
                <w:rFonts w:hint="eastAsia" w:ascii="宋体" w:hAnsi="宋体" w:eastAsia="宋体" w:cs="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14:paraId="151F37B7">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备注：本表是通用条款相关条款的补充和明确，如与通用条款内容相冲突的，以本表为准。</w:t>
      </w:r>
    </w:p>
    <w:p w14:paraId="22D31C79">
      <w:pPr>
        <w:keepNext/>
        <w:keepLines/>
        <w:kinsoku/>
        <w:overflowPunct/>
        <w:topLinePunct w:val="0"/>
        <w:bidi w:val="0"/>
        <w:adjustRightInd w:val="0"/>
        <w:spacing w:beforeAutospacing="0" w:afterAutospacing="0" w:line="360" w:lineRule="auto"/>
        <w:ind w:left="0" w:leftChars="0" w:right="0" w:firstLine="0" w:firstLineChars="0"/>
        <w:jc w:val="center"/>
        <w:textAlignment w:val="baseline"/>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二、其他关键信息</w:t>
      </w:r>
    </w:p>
    <w:p w14:paraId="03DBA011">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bCs/>
          <w:sz w:val="24"/>
        </w:rPr>
        <w:t>与“对通用条款的补充内容”章节相关的事项</w:t>
      </w:r>
    </w:p>
    <w:p w14:paraId="4E02BAD8">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bCs/>
          <w:sz w:val="24"/>
          <w:lang w:val="en-US" w:eastAsia="zh-CN"/>
        </w:rPr>
      </w:pPr>
      <w:r>
        <w:rPr>
          <w:rFonts w:hint="eastAsia" w:ascii="宋体" w:hAnsi="宋体" w:eastAsia="宋体" w:cs="宋体"/>
          <w:bCs/>
          <w:sz w:val="24"/>
          <w:lang w:val="en-US" w:eastAsia="zh-CN"/>
        </w:rPr>
        <w:t>1、评标定标信息</w:t>
      </w:r>
    </w:p>
    <w:p w14:paraId="5345229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b/>
        </w:rPr>
        <w:t>非评定分离项目</w:t>
      </w:r>
    </w:p>
    <w:tbl>
      <w:tblPr>
        <w:tblStyle w:val="17"/>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7"/>
        <w:gridCol w:w="4502"/>
      </w:tblGrid>
      <w:tr w14:paraId="7840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957" w:type="dxa"/>
          </w:tcPr>
          <w:p w14:paraId="2563B28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评标方法</w:t>
            </w:r>
          </w:p>
        </w:tc>
        <w:tc>
          <w:tcPr>
            <w:tcW w:w="4502" w:type="dxa"/>
          </w:tcPr>
          <w:p w14:paraId="177E67A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rPr>
              <w:t>综合评分法</w:t>
            </w:r>
          </w:p>
        </w:tc>
      </w:tr>
      <w:tr w14:paraId="6C77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957" w:type="dxa"/>
          </w:tcPr>
          <w:p w14:paraId="111483F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候选中标供应商家数</w:t>
            </w:r>
          </w:p>
        </w:tc>
        <w:tc>
          <w:tcPr>
            <w:tcW w:w="4502" w:type="dxa"/>
          </w:tcPr>
          <w:p w14:paraId="5643C9B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rPr>
              <w:t>1</w:t>
            </w:r>
          </w:p>
        </w:tc>
      </w:tr>
      <w:tr w14:paraId="3697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957" w:type="dxa"/>
          </w:tcPr>
          <w:p w14:paraId="55D13E8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中标供应商家数</w:t>
            </w:r>
          </w:p>
        </w:tc>
        <w:tc>
          <w:tcPr>
            <w:tcW w:w="4502" w:type="dxa"/>
          </w:tcPr>
          <w:p w14:paraId="2FD8062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1</w:t>
            </w:r>
          </w:p>
        </w:tc>
      </w:tr>
    </w:tbl>
    <w:p w14:paraId="3F01F302">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、关于涉及采取随机抽取方式确定中标候选人（候选中标供应商）的规则</w:t>
      </w:r>
    </w:p>
    <w:p w14:paraId="71032789">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eastAsia="宋体" w:cs="宋体"/>
          <w:szCs w:val="21"/>
        </w:rPr>
        <w:t>、小</w:t>
      </w:r>
      <w:r>
        <w:rPr>
          <w:rFonts w:hint="eastAsia" w:ascii="宋体" w:hAnsi="宋体" w:eastAsia="宋体" w:cs="宋体"/>
        </w:rPr>
        <w:t>且同号的情况，则对同号的投标人重新摇签确定中签。抽签过程中遇抽签机器卡球的，被卡球方当轮重新抽签。</w:t>
      </w:r>
    </w:p>
    <w:p w14:paraId="1ABF849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 w:val="24"/>
        </w:rPr>
        <w:t>备注：</w:t>
      </w:r>
      <w:r>
        <w:rPr>
          <w:rFonts w:hint="eastAsia" w:ascii="宋体" w:hAnsi="宋体" w:eastAsia="宋体" w:cs="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14:paraId="0DE8EE4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w:t>
      </w:r>
      <w:bookmarkStart w:id="91" w:name="_GoBack"/>
      <w:bookmarkEnd w:id="91"/>
      <w:r>
        <w:rPr>
          <w:rFonts w:hint="eastAsia" w:ascii="宋体" w:hAnsi="宋体" w:eastAsia="宋体" w:cs="宋体"/>
          <w:szCs w:val="21"/>
        </w:rPr>
        <w:t>同号的投标人数量超出拟确定的候选中标供应商差额数量的，则对同号的投标人重新摇签确定入围。</w:t>
      </w:r>
    </w:p>
    <w:p w14:paraId="6F3D46CC">
      <w:pPr>
        <w:tabs>
          <w:tab w:val="left" w:pos="720"/>
        </w:tabs>
        <w:kinsoku/>
        <w:overflowPunct/>
        <w:topLinePunct w:val="0"/>
        <w:bidi w:val="0"/>
        <w:spacing w:beforeAutospacing="0" w:afterAutospacing="0" w:line="360" w:lineRule="auto"/>
        <w:ind w:left="0" w:leftChars="0" w:right="0" w:firstLine="0" w:firstLineChars="0"/>
        <w:rPr>
          <w:rFonts w:hint="eastAsia"/>
          <w:lang w:val="en-US" w:eastAsia="zh-CN"/>
        </w:rPr>
      </w:pPr>
      <w:r>
        <w:rPr>
          <w:rFonts w:hint="eastAsia"/>
          <w:lang w:val="en-US" w:eastAsia="zh-CN"/>
        </w:rPr>
        <w:t>（3）现场踏勘</w:t>
      </w:r>
    </w:p>
    <w:p w14:paraId="05D329C1">
      <w:pPr>
        <w:pStyle w:val="2"/>
        <w:rPr>
          <w:rFonts w:hint="eastAsia"/>
          <w:b w:val="0"/>
          <w:bCs w:val="0"/>
          <w:lang w:val="en-US" w:eastAsia="zh-CN"/>
        </w:rPr>
      </w:pPr>
      <w:r>
        <w:rPr>
          <w:rFonts w:hint="eastAsia"/>
          <w:b w:val="0"/>
          <w:bCs w:val="0"/>
          <w:lang w:val="en-US" w:eastAsia="zh-CN"/>
        </w:rPr>
        <w:t>本项目定于 2024年6月28日9:00-9:30 在深圳市宝安区宝城24区宝民花园内</w:t>
      </w:r>
      <w:r>
        <w:rPr>
          <w:rFonts w:hint="eastAsia"/>
          <w:b w:val="0"/>
          <w:bCs w:val="0"/>
          <w:lang w:val="en-US" w:eastAsia="zh-CN"/>
        </w:rPr>
        <w:fldChar w:fldCharType="begin"/>
      </w:r>
      <w:r>
        <w:rPr>
          <w:rFonts w:hint="eastAsia"/>
          <w:b w:val="0"/>
          <w:bCs w:val="0"/>
          <w:lang w:val="en-US" w:eastAsia="zh-CN"/>
        </w:rPr>
        <w:instrText xml:space="preserve"> HYPERLINK "https://surl.amap.com/sYPnvwoo8cH" </w:instrText>
      </w:r>
      <w:r>
        <w:rPr>
          <w:rFonts w:hint="eastAsia"/>
          <w:b w:val="0"/>
          <w:bCs w:val="0"/>
          <w:lang w:val="en-US" w:eastAsia="zh-CN"/>
        </w:rPr>
        <w:fldChar w:fldCharType="separate"/>
      </w:r>
      <w:r>
        <w:rPr>
          <w:rFonts w:hint="eastAsia"/>
          <w:b w:val="0"/>
          <w:bCs w:val="0"/>
          <w:lang w:val="en-US" w:eastAsia="zh-CN"/>
        </w:rPr>
        <w:t>宝安幼教集团第十四幼儿园</w:t>
      </w:r>
      <w:r>
        <w:rPr>
          <w:rFonts w:hint="eastAsia"/>
          <w:b w:val="0"/>
          <w:bCs w:val="0"/>
          <w:lang w:val="en-US" w:eastAsia="zh-CN"/>
        </w:rPr>
        <w:fldChar w:fldCharType="end"/>
      </w:r>
      <w:r>
        <w:rPr>
          <w:rFonts w:hint="eastAsia"/>
          <w:b w:val="0"/>
          <w:bCs w:val="0"/>
          <w:lang w:val="en-US" w:eastAsia="zh-CN"/>
        </w:rPr>
        <w:t>门口集中签到，统一组织踏勘现场，请各投标人准时参加(参与现场踏勘的投标人代表携带加盖公章的营业执照、法定代表人资格证明书以及授权委托书)，逾期不再单独安排；联系人：姚迪，联系电话：13603055908。</w:t>
      </w:r>
    </w:p>
    <w:p w14:paraId="1EA8F753">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（二）其他事项</w:t>
      </w:r>
    </w:p>
    <w:p w14:paraId="6BD09660">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1、关于享受优惠政策的主体、价格扣除比例及采购标的所属行业</w:t>
      </w:r>
    </w:p>
    <w:p w14:paraId="577EA2D8">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color w:val="FF0000"/>
          <w:highlight w:val="yellow"/>
        </w:rPr>
      </w:pPr>
      <w:r>
        <w:rPr>
          <w:rFonts w:hint="eastAsia" w:ascii="宋体" w:hAnsi="宋体" w:eastAsia="宋体" w:cs="宋体"/>
          <w:b/>
          <w:bCs/>
          <w:color w:val="FF0000"/>
          <w:highlight w:val="yellow"/>
        </w:rPr>
        <w:t>（1）</w:t>
      </w:r>
      <w:r>
        <w:rPr>
          <w:rFonts w:hint="eastAsia" w:ascii="宋体" w:hAnsi="宋体" w:eastAsia="宋体" w:cs="宋体"/>
          <w:b/>
          <w:bCs/>
          <w:color w:val="FF0000"/>
          <w:highlight w:val="yellow"/>
          <w:lang w:val="en-US" w:eastAsia="zh-CN"/>
        </w:rPr>
        <w:t>专门面向中小企业采购的项目（包括联合体或分包预留中小企业份额的项目），不再执行价格扣除比例。</w:t>
      </w:r>
    </w:p>
    <w:p w14:paraId="6EEBDABE">
      <w:pPr>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0000FF"/>
          <w:szCs w:val="21"/>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lang w:val="en-US" w:eastAsia="zh-CN"/>
        </w:rPr>
        <w:t>非专门面向中小企业采购的项目，应执行价格扣除比例：</w:t>
      </w:r>
      <w:r>
        <w:rPr>
          <w:rFonts w:hint="eastAsia" w:ascii="宋体" w:hAnsi="宋体" w:eastAsia="宋体" w:cs="宋体"/>
        </w:rPr>
        <w:t>投标人提供的货物（以招标文件用户需求书“货物</w:t>
      </w:r>
      <w:r>
        <w:rPr>
          <w:rFonts w:hint="eastAsia" w:ascii="宋体" w:hAnsi="宋体" w:eastAsia="宋体" w:cs="宋体"/>
          <w:lang w:val="en-US" w:eastAsia="zh-CN"/>
        </w:rPr>
        <w:t>需求</w:t>
      </w:r>
      <w:r>
        <w:rPr>
          <w:rFonts w:hint="eastAsia" w:ascii="宋体" w:hAnsi="宋体" w:eastAsia="宋体" w:cs="宋体"/>
        </w:rPr>
        <w:t>明细”的“货物名称”一栏为准）全部均由优惠主体制造的，对其投标总价给予</w:t>
      </w:r>
      <w:r>
        <w:rPr>
          <w:rFonts w:hint="eastAsia" w:ascii="宋体" w:hAnsi="宋体" w:eastAsia="宋体" w:cs="宋体"/>
          <w:b/>
          <w:sz w:val="24"/>
          <w:szCs w:val="24"/>
          <w:highlight w:val="yellow"/>
          <w:u w:val="single"/>
          <w:lang w:val="en-US" w:eastAsia="zh-CN"/>
        </w:rPr>
        <w:t>【/%】</w:t>
      </w:r>
      <w:r>
        <w:rPr>
          <w:rFonts w:hint="eastAsia" w:ascii="宋体" w:hAnsi="宋体" w:eastAsia="宋体" w:cs="宋体"/>
        </w:rPr>
        <w:t>的扣除，用扣除后的价格参与评审。满足多项优惠政策的企业，不重复享受多项价格扣除政策。</w:t>
      </w:r>
      <w:r>
        <w:rPr>
          <w:rFonts w:hint="eastAsia" w:ascii="宋体" w:hAnsi="宋体" w:eastAsia="宋体" w:cs="宋体"/>
          <w:b/>
          <w:strike w:val="0"/>
          <w:dstrike w:val="0"/>
          <w:szCs w:val="21"/>
          <w:highlight w:val="none"/>
        </w:rPr>
        <w:t>政策调整后价格仅作为评审依据，不作为中标价格。</w:t>
      </w:r>
    </w:p>
    <w:p w14:paraId="3DC0AC9D">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备注：</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a</w:t>
      </w:r>
      <w:r>
        <w:rPr>
          <w:rFonts w:hint="eastAsia" w:ascii="宋体" w:hAnsi="宋体" w:eastAsia="宋体" w:cs="宋体"/>
          <w:b/>
          <w:bCs/>
          <w:sz w:val="21"/>
          <w:szCs w:val="21"/>
          <w:lang w:eastAsia="zh-CN"/>
        </w:rPr>
        <w:t>）</w:t>
      </w:r>
      <w:r>
        <w:rPr>
          <w:rFonts w:hint="eastAsia" w:ascii="宋体" w:hAnsi="宋体" w:eastAsia="宋体" w:cs="宋体"/>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eastAsia="宋体" w:cs="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b</w:t>
      </w:r>
      <w:r>
        <w:rPr>
          <w:rFonts w:hint="eastAsia" w:ascii="宋体" w:hAnsi="宋体" w:eastAsia="宋体" w:cs="宋体"/>
          <w:b/>
          <w:bCs/>
          <w:sz w:val="21"/>
          <w:szCs w:val="21"/>
          <w:lang w:eastAsia="zh-CN"/>
        </w:rPr>
        <w:t>）</w:t>
      </w:r>
      <w:r>
        <w:rPr>
          <w:rFonts w:hint="eastAsia" w:ascii="宋体" w:hAnsi="宋体" w:eastAsia="宋体" w:cs="宋体"/>
          <w:sz w:val="21"/>
          <w:szCs w:val="21"/>
        </w:rPr>
        <w:t>优惠主体制造是指货物由优惠主体生产且使用该优惠主体商号或者注册商标；投标人提供的货物既有优惠主体制造货物，又有非优惠主体制造货物的，不给予价格扣除。</w:t>
      </w:r>
    </w:p>
    <w:p w14:paraId="4E9A2D2C">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bookmarkStart w:id="12" w:name="_Hlk71970739"/>
      <w:r>
        <w:rPr>
          <w:rFonts w:hint="eastAsia" w:ascii="宋体" w:hAnsi="宋体" w:eastAsia="宋体" w:cs="宋体"/>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sz w:val="21"/>
          <w:szCs w:val="21"/>
        </w:rPr>
        <w:t>《中小企业声明函》中相关企业所属行业应当与采购标的所属行业相一致。</w:t>
      </w:r>
      <w:r>
        <w:rPr>
          <w:rFonts w:hint="eastAsia" w:ascii="宋体" w:hAnsi="宋体" w:eastAsia="宋体" w:cs="宋体"/>
          <w:sz w:val="21"/>
          <w:szCs w:val="21"/>
        </w:rPr>
        <w:t>本项目</w:t>
      </w:r>
      <w:bookmarkStart w:id="13" w:name="_Hlk71924718"/>
      <w:r>
        <w:rPr>
          <w:rFonts w:hint="eastAsia" w:ascii="宋体" w:hAnsi="宋体" w:eastAsia="宋体" w:cs="宋体"/>
          <w:sz w:val="21"/>
          <w:szCs w:val="21"/>
        </w:rPr>
        <w:t>采购标的（货物）对应的中小企业划分标准所属行业</w:t>
      </w:r>
      <w:bookmarkEnd w:id="13"/>
      <w:r>
        <w:rPr>
          <w:rFonts w:hint="eastAsia" w:ascii="宋体" w:hAnsi="宋体" w:eastAsia="宋体" w:cs="宋体"/>
          <w:sz w:val="21"/>
          <w:szCs w:val="21"/>
        </w:rPr>
        <w:t>为</w:t>
      </w:r>
      <w:r>
        <w:rPr>
          <w:rFonts w:hint="eastAsia" w:ascii="宋体" w:hAnsi="宋体" w:eastAsia="宋体" w:cs="宋体"/>
          <w:b/>
          <w:color w:val="FF0000"/>
          <w:sz w:val="24"/>
          <w:szCs w:val="24"/>
          <w:highlight w:val="yellow"/>
          <w:u w:val="single"/>
          <w:lang w:val="en-US" w:eastAsia="zh-CN"/>
        </w:rPr>
        <w:t>工业。</w:t>
      </w:r>
      <w:bookmarkEnd w:id="12"/>
    </w:p>
    <w:p w14:paraId="215754F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宋体" w:hAnsi="宋体" w:eastAsia="宋体" w:cs="宋体"/>
          <w:sz w:val="21"/>
          <w:szCs w:val="21"/>
          <w:lang w:val="en-US" w:eastAsia="zh-CN"/>
        </w:rPr>
        <w:t>四</w:t>
      </w:r>
      <w:r>
        <w:rPr>
          <w:rFonts w:hint="eastAsia" w:ascii="宋体" w:hAnsi="宋体" w:eastAsia="宋体" w:cs="宋体"/>
          <w:sz w:val="21"/>
          <w:szCs w:val="21"/>
        </w:rPr>
        <w:t>章“投标文件组成要求及格式”中“中小企业声明函、残疾人福利性单位声明函及监狱企业声明函”章节提供的格式）。</w:t>
      </w:r>
    </w:p>
    <w:p w14:paraId="74398FCD">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）享受价格扣除获得政府采购合同的，小微企业不得将合同分包给大中型企业。</w:t>
      </w:r>
    </w:p>
    <w:p w14:paraId="104A88ED">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4"/>
        </w:rPr>
      </w:pPr>
      <w:r>
        <w:rPr>
          <w:rFonts w:hint="eastAsia" w:ascii="宋体" w:hAnsi="宋体" w:eastAsia="宋体" w:cs="宋体"/>
          <w:b/>
          <w:bCs/>
          <w:szCs w:val="24"/>
        </w:rPr>
        <w:t>2.关于政府采购订单融资政策</w:t>
      </w:r>
    </w:p>
    <w:p w14:paraId="516C7D4B">
      <w:pPr>
        <w:kinsoku/>
        <w:overflowPunct/>
        <w:topLinePunct w:val="0"/>
        <w:bidi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89AC099">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b/>
          <w:bCs/>
          <w:color w:val="FF0000"/>
          <w:lang w:eastAsia="zh-CN"/>
        </w:rPr>
      </w:pPr>
      <w:r>
        <w:rPr>
          <w:rFonts w:hint="eastAsia" w:ascii="宋体" w:hAnsi="宋体" w:eastAsia="宋体" w:cs="宋体"/>
          <w:b/>
          <w:bCs/>
          <w:color w:val="FF0000"/>
        </w:rPr>
        <w:t>3、本项目为代理服务项目，将向中标（成交）供应商收取代理服务费</w:t>
      </w:r>
      <w:r>
        <w:rPr>
          <w:rFonts w:hint="eastAsia" w:ascii="宋体" w:hAnsi="宋体" w:eastAsia="宋体" w:cs="宋体"/>
          <w:b/>
          <w:bCs/>
          <w:color w:val="FF0000"/>
          <w:lang w:eastAsia="zh-CN"/>
        </w:rPr>
        <w:t>。</w:t>
      </w:r>
    </w:p>
    <w:p w14:paraId="1D3FAC24">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供应商在领取《中标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通知书》之前须向深圳公共资源交易中心（深圳交易集团有限公司</w:t>
      </w:r>
      <w:r>
        <w:rPr>
          <w:rFonts w:hint="eastAsia" w:ascii="宋体" w:hAnsi="宋体" w:eastAsia="宋体" w:cs="宋体"/>
          <w:color w:val="FF0000"/>
          <w:szCs w:val="21"/>
          <w:lang w:val="en-US" w:eastAsia="zh-CN"/>
        </w:rPr>
        <w:t>宝安</w:t>
      </w:r>
      <w:r>
        <w:rPr>
          <w:rFonts w:hint="eastAsia" w:ascii="宋体" w:hAnsi="宋体" w:eastAsia="宋体" w:cs="宋体"/>
          <w:color w:val="FF0000"/>
          <w:szCs w:val="21"/>
        </w:rPr>
        <w:t>分公司）交纳代理服务费。若因中标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供应商交纳代理服务费所产生的时间影响到合同签订的，由中标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供应商自行承担责任。代理服务费标准参照</w:t>
      </w:r>
      <w:r>
        <w:rPr>
          <w:rFonts w:hint="eastAsia" w:ascii="宋体" w:hAnsi="宋体" w:eastAsia="宋体" w:cs="宋体"/>
          <w:color w:val="FF0000"/>
          <w:szCs w:val="21"/>
          <w:lang w:val="en-US" w:eastAsia="zh-CN"/>
        </w:rPr>
        <w:t>下列</w:t>
      </w:r>
      <w:r>
        <w:rPr>
          <w:rFonts w:hint="eastAsia" w:ascii="宋体" w:hAnsi="宋体" w:eastAsia="宋体" w:cs="宋体"/>
          <w:color w:val="FF0000"/>
          <w:szCs w:val="21"/>
        </w:rPr>
        <w:t>标准收取。本项目类型为</w:t>
      </w:r>
      <w:r>
        <w:rPr>
          <w:rFonts w:hint="eastAsia" w:ascii="宋体" w:hAnsi="宋体" w:eastAsia="宋体" w:cs="宋体"/>
          <w:b/>
          <w:bCs/>
          <w:color w:val="FF0000"/>
          <w:szCs w:val="21"/>
          <w:u w:val="single"/>
        </w:rPr>
        <w:t>货物采购</w:t>
      </w:r>
      <w:r>
        <w:rPr>
          <w:rFonts w:hint="eastAsia" w:ascii="宋体" w:hAnsi="宋体" w:eastAsia="宋体" w:cs="宋体"/>
          <w:color w:val="FF0000"/>
          <w:szCs w:val="21"/>
        </w:rPr>
        <w:t>：</w:t>
      </w:r>
    </w:p>
    <w:p w14:paraId="240402A7">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1</w:t>
      </w:r>
      <w:r>
        <w:rPr>
          <w:rFonts w:hint="eastAsia" w:ascii="宋体" w:hAnsi="宋体" w:eastAsia="宋体" w:cs="宋体"/>
          <w:color w:val="FF0000"/>
          <w:szCs w:val="21"/>
        </w:rPr>
        <w:t>）代理服务费以《中标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通知书》确定的中标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金额作为计算基数，按差额定率累进法计算。</w:t>
      </w:r>
    </w:p>
    <w:p w14:paraId="789073D2">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2</w:t>
      </w:r>
      <w:r>
        <w:rPr>
          <w:rFonts w:hint="eastAsia" w:ascii="宋体" w:hAnsi="宋体" w:eastAsia="宋体" w:cs="宋体"/>
          <w:color w:val="FF0000"/>
          <w:szCs w:val="21"/>
        </w:rPr>
        <w:t>）中标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BDD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26F04EAC">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中标</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成交</w:t>
            </w:r>
            <w:r>
              <w:rPr>
                <w:rFonts w:hint="eastAsia" w:ascii="宋体" w:hAnsi="宋体" w:eastAsia="宋体" w:cs="宋体"/>
                <w:color w:val="FF0000"/>
                <w:szCs w:val="21"/>
                <w:lang w:eastAsia="zh-CN"/>
              </w:rPr>
              <w:t>）</w:t>
            </w:r>
            <w:r>
              <w:rPr>
                <w:rFonts w:hint="eastAsia" w:ascii="宋体" w:hAnsi="宋体" w:eastAsia="宋体" w:cs="宋体"/>
                <w:color w:val="FF0000"/>
                <w:szCs w:val="21"/>
              </w:rPr>
              <w:t>金额</w:t>
            </w:r>
          </w:p>
        </w:tc>
        <w:tc>
          <w:tcPr>
            <w:tcW w:w="1799" w:type="dxa"/>
            <w:vAlign w:val="center"/>
          </w:tcPr>
          <w:p w14:paraId="1DFD912E">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货物采购</w:t>
            </w:r>
          </w:p>
        </w:tc>
        <w:tc>
          <w:tcPr>
            <w:tcW w:w="1799" w:type="dxa"/>
            <w:vAlign w:val="center"/>
          </w:tcPr>
          <w:p w14:paraId="268E6516">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服务采购</w:t>
            </w:r>
          </w:p>
        </w:tc>
        <w:tc>
          <w:tcPr>
            <w:tcW w:w="1799" w:type="dxa"/>
            <w:vAlign w:val="center"/>
          </w:tcPr>
          <w:p w14:paraId="3876FBBB">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工程采购</w:t>
            </w:r>
          </w:p>
        </w:tc>
      </w:tr>
      <w:tr w14:paraId="4F46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819C4C3">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100万元以下</w:t>
            </w:r>
          </w:p>
        </w:tc>
        <w:tc>
          <w:tcPr>
            <w:tcW w:w="1799" w:type="dxa"/>
            <w:vAlign w:val="center"/>
          </w:tcPr>
          <w:p w14:paraId="0FA5F6E3">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1.5%</w:t>
            </w:r>
          </w:p>
        </w:tc>
        <w:tc>
          <w:tcPr>
            <w:tcW w:w="1799" w:type="dxa"/>
            <w:vAlign w:val="center"/>
          </w:tcPr>
          <w:p w14:paraId="355AD1B0">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1.5%</w:t>
            </w:r>
          </w:p>
        </w:tc>
        <w:tc>
          <w:tcPr>
            <w:tcW w:w="1799" w:type="dxa"/>
            <w:vAlign w:val="center"/>
          </w:tcPr>
          <w:p w14:paraId="1285748B">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1.0%</w:t>
            </w:r>
          </w:p>
        </w:tc>
      </w:tr>
      <w:tr w14:paraId="0C0E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5DE64BE">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100万元（含）-500万元</w:t>
            </w:r>
          </w:p>
        </w:tc>
        <w:tc>
          <w:tcPr>
            <w:tcW w:w="1799" w:type="dxa"/>
            <w:vAlign w:val="center"/>
          </w:tcPr>
          <w:p w14:paraId="4FF9A441">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1.1%</w:t>
            </w:r>
          </w:p>
        </w:tc>
        <w:tc>
          <w:tcPr>
            <w:tcW w:w="1799" w:type="dxa"/>
            <w:vAlign w:val="center"/>
          </w:tcPr>
          <w:p w14:paraId="6D7BAECF">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0.8%</w:t>
            </w:r>
          </w:p>
        </w:tc>
        <w:tc>
          <w:tcPr>
            <w:tcW w:w="1799" w:type="dxa"/>
            <w:vAlign w:val="center"/>
          </w:tcPr>
          <w:p w14:paraId="48217DA5">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0.7%</w:t>
            </w:r>
          </w:p>
        </w:tc>
      </w:tr>
      <w:tr w14:paraId="7D97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FA8446B">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500万元（含）-1000万元</w:t>
            </w:r>
          </w:p>
        </w:tc>
        <w:tc>
          <w:tcPr>
            <w:tcW w:w="1799" w:type="dxa"/>
            <w:vAlign w:val="center"/>
          </w:tcPr>
          <w:p w14:paraId="52A4905D">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0.8%</w:t>
            </w:r>
          </w:p>
        </w:tc>
        <w:tc>
          <w:tcPr>
            <w:tcW w:w="1799" w:type="dxa"/>
            <w:vAlign w:val="center"/>
          </w:tcPr>
          <w:p w14:paraId="0BE4E3B8">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0.45%</w:t>
            </w:r>
          </w:p>
        </w:tc>
        <w:tc>
          <w:tcPr>
            <w:tcW w:w="1799" w:type="dxa"/>
            <w:vAlign w:val="center"/>
          </w:tcPr>
          <w:p w14:paraId="6C6B4474">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0.55%</w:t>
            </w:r>
          </w:p>
        </w:tc>
      </w:tr>
      <w:tr w14:paraId="0499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E954356">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1000万元（含）-5000万元</w:t>
            </w:r>
          </w:p>
        </w:tc>
        <w:tc>
          <w:tcPr>
            <w:tcW w:w="1799" w:type="dxa"/>
            <w:vAlign w:val="center"/>
          </w:tcPr>
          <w:p w14:paraId="5F49687C">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0.5%</w:t>
            </w:r>
          </w:p>
        </w:tc>
        <w:tc>
          <w:tcPr>
            <w:tcW w:w="1799" w:type="dxa"/>
            <w:vAlign w:val="center"/>
          </w:tcPr>
          <w:p w14:paraId="603CAF7D">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0.25%</w:t>
            </w:r>
          </w:p>
        </w:tc>
        <w:tc>
          <w:tcPr>
            <w:tcW w:w="1799" w:type="dxa"/>
            <w:vAlign w:val="center"/>
          </w:tcPr>
          <w:p w14:paraId="7EA58D37">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0.35%</w:t>
            </w:r>
          </w:p>
        </w:tc>
      </w:tr>
      <w:tr w14:paraId="0E06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C504D74">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5000万元（含）-1亿元</w:t>
            </w:r>
          </w:p>
        </w:tc>
        <w:tc>
          <w:tcPr>
            <w:tcW w:w="1799" w:type="dxa"/>
            <w:vAlign w:val="center"/>
          </w:tcPr>
          <w:p w14:paraId="1460D0C1">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0.25%</w:t>
            </w:r>
          </w:p>
        </w:tc>
        <w:tc>
          <w:tcPr>
            <w:tcW w:w="1799" w:type="dxa"/>
            <w:vAlign w:val="center"/>
          </w:tcPr>
          <w:p w14:paraId="44BE2322">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0.1%</w:t>
            </w:r>
          </w:p>
        </w:tc>
        <w:tc>
          <w:tcPr>
            <w:tcW w:w="1799" w:type="dxa"/>
            <w:vAlign w:val="center"/>
          </w:tcPr>
          <w:p w14:paraId="5FEF5371">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0.2%</w:t>
            </w:r>
          </w:p>
        </w:tc>
      </w:tr>
      <w:tr w14:paraId="55CA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E2637CC">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1亿元（含）-5亿元</w:t>
            </w:r>
          </w:p>
        </w:tc>
        <w:tc>
          <w:tcPr>
            <w:tcW w:w="1799" w:type="dxa"/>
            <w:vAlign w:val="center"/>
          </w:tcPr>
          <w:p w14:paraId="7AA49049">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0.05%</w:t>
            </w:r>
          </w:p>
        </w:tc>
        <w:tc>
          <w:tcPr>
            <w:tcW w:w="1799" w:type="dxa"/>
            <w:vAlign w:val="center"/>
          </w:tcPr>
          <w:p w14:paraId="7A3ED560">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0.05%</w:t>
            </w:r>
          </w:p>
        </w:tc>
        <w:tc>
          <w:tcPr>
            <w:tcW w:w="1799" w:type="dxa"/>
            <w:vAlign w:val="center"/>
          </w:tcPr>
          <w:p w14:paraId="1CA7FB62">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0.05%</w:t>
            </w:r>
          </w:p>
        </w:tc>
      </w:tr>
      <w:tr w14:paraId="2686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E8D491">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5亿元（含）-10亿元</w:t>
            </w:r>
          </w:p>
        </w:tc>
        <w:tc>
          <w:tcPr>
            <w:tcW w:w="1799" w:type="dxa"/>
            <w:vAlign w:val="center"/>
          </w:tcPr>
          <w:p w14:paraId="70C4C615">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0.035%</w:t>
            </w:r>
          </w:p>
        </w:tc>
        <w:tc>
          <w:tcPr>
            <w:tcW w:w="1799" w:type="dxa"/>
            <w:vAlign w:val="center"/>
          </w:tcPr>
          <w:p w14:paraId="40208701">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0.035%</w:t>
            </w:r>
          </w:p>
        </w:tc>
        <w:tc>
          <w:tcPr>
            <w:tcW w:w="1799" w:type="dxa"/>
            <w:vAlign w:val="center"/>
          </w:tcPr>
          <w:p w14:paraId="3ECE4AFC">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0.035%</w:t>
            </w:r>
          </w:p>
        </w:tc>
      </w:tr>
      <w:tr w14:paraId="23B3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CBB7FDF">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10亿元（含）-50亿元</w:t>
            </w:r>
          </w:p>
        </w:tc>
        <w:tc>
          <w:tcPr>
            <w:tcW w:w="1799" w:type="dxa"/>
            <w:vAlign w:val="center"/>
          </w:tcPr>
          <w:p w14:paraId="74112A57">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0.008%</w:t>
            </w:r>
          </w:p>
        </w:tc>
        <w:tc>
          <w:tcPr>
            <w:tcW w:w="1799" w:type="dxa"/>
            <w:vAlign w:val="center"/>
          </w:tcPr>
          <w:p w14:paraId="5FF35124">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0.008%</w:t>
            </w:r>
          </w:p>
        </w:tc>
        <w:tc>
          <w:tcPr>
            <w:tcW w:w="1799" w:type="dxa"/>
            <w:vAlign w:val="center"/>
          </w:tcPr>
          <w:p w14:paraId="4262409A">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0.008%</w:t>
            </w:r>
          </w:p>
        </w:tc>
      </w:tr>
      <w:tr w14:paraId="162C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52CA48">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50亿元（含）-100亿元</w:t>
            </w:r>
          </w:p>
        </w:tc>
        <w:tc>
          <w:tcPr>
            <w:tcW w:w="1799" w:type="dxa"/>
            <w:vAlign w:val="center"/>
          </w:tcPr>
          <w:p w14:paraId="49238B0F">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0.006%</w:t>
            </w:r>
          </w:p>
        </w:tc>
        <w:tc>
          <w:tcPr>
            <w:tcW w:w="1799" w:type="dxa"/>
            <w:vAlign w:val="center"/>
          </w:tcPr>
          <w:p w14:paraId="6789A044">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0.006%</w:t>
            </w:r>
          </w:p>
        </w:tc>
        <w:tc>
          <w:tcPr>
            <w:tcW w:w="1799" w:type="dxa"/>
            <w:vAlign w:val="center"/>
          </w:tcPr>
          <w:p w14:paraId="04002559">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0.006%</w:t>
            </w:r>
          </w:p>
        </w:tc>
      </w:tr>
      <w:tr w14:paraId="0D10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9ADF354">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100亿元（含）以上</w:t>
            </w:r>
          </w:p>
        </w:tc>
        <w:tc>
          <w:tcPr>
            <w:tcW w:w="1799" w:type="dxa"/>
            <w:vAlign w:val="center"/>
          </w:tcPr>
          <w:p w14:paraId="6CEE70E4">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0.004%</w:t>
            </w:r>
          </w:p>
        </w:tc>
        <w:tc>
          <w:tcPr>
            <w:tcW w:w="1799" w:type="dxa"/>
            <w:vAlign w:val="center"/>
          </w:tcPr>
          <w:p w14:paraId="41610827">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0.004%</w:t>
            </w:r>
          </w:p>
        </w:tc>
        <w:tc>
          <w:tcPr>
            <w:tcW w:w="1799" w:type="dxa"/>
            <w:vAlign w:val="center"/>
          </w:tcPr>
          <w:p w14:paraId="4AB1F7AD">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0.004%</w:t>
            </w:r>
          </w:p>
        </w:tc>
      </w:tr>
    </w:tbl>
    <w:p w14:paraId="5A521D3B">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 xml:space="preserve">备注：1.每宗交易代理服务费不低于 </w:t>
      </w:r>
      <w:r>
        <w:rPr>
          <w:rFonts w:hint="eastAsia" w:ascii="宋体" w:hAnsi="宋体" w:eastAsia="宋体" w:cs="宋体"/>
          <w:color w:val="FF0000"/>
          <w:szCs w:val="21"/>
          <w:lang w:val="en-US" w:eastAsia="zh-CN"/>
        </w:rPr>
        <w:t>5</w:t>
      </w:r>
      <w:r>
        <w:rPr>
          <w:rFonts w:hint="eastAsia" w:ascii="宋体" w:hAnsi="宋体" w:eastAsia="宋体" w:cs="宋体"/>
          <w:color w:val="FF0000"/>
          <w:szCs w:val="21"/>
        </w:rPr>
        <w:t>000 元；</w:t>
      </w:r>
    </w:p>
    <w:p w14:paraId="3DB414F1">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eastAsia="宋体" w:cs="宋体"/>
          <w:color w:val="FF0000"/>
          <w:szCs w:val="21"/>
          <w:lang w:eastAsia="zh-CN"/>
        </w:rPr>
        <w:t>。</w:t>
      </w:r>
    </w:p>
    <w:p w14:paraId="1057999A">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如某货物采购项目，中标（成交）金额为600万元，总共交纳的代理服务费的具体计算过程如下：</w:t>
      </w:r>
    </w:p>
    <w:p w14:paraId="18953758">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标准代理服务费＝（100万以下部分的代理服务费）+（100万～500万部分的代理服务费）+（500万～600万部分的代理服务费）＝100万元×1.5%+（500-100）万元×1.1%+（600-500）万元×0.8%=1.5万元+4.4万元+0.8万元＝6.7万元</w:t>
      </w:r>
    </w:p>
    <w:p w14:paraId="10718DF8">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bCs/>
          <w:kern w:val="44"/>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3</w:t>
      </w:r>
      <w:r>
        <w:rPr>
          <w:rFonts w:hint="eastAsia" w:ascii="宋体" w:hAnsi="宋体" w:eastAsia="宋体" w:cs="宋体"/>
          <w:color w:val="FF0000"/>
          <w:szCs w:val="21"/>
        </w:rPr>
        <w:t>）中标（成交）供应商成交后，必须按规定采用银行对公转账方式向深圳交易集团有限公司直接交纳代理服务费，交纳信息及要求按照缴款（付款）通知书执行。</w:t>
      </w:r>
    </w:p>
    <w:p w14:paraId="73319008">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p>
    <w:p w14:paraId="5CE85EE0">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bCs/>
          <w:kern w:val="44"/>
          <w:szCs w:val="21"/>
        </w:rPr>
      </w:pPr>
    </w:p>
    <w:p w14:paraId="47D4DF02">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bCs/>
          <w:kern w:val="44"/>
          <w:sz w:val="28"/>
          <w:szCs w:val="44"/>
        </w:rPr>
      </w:pPr>
      <w:r>
        <w:rPr>
          <w:rFonts w:hint="eastAsia" w:ascii="宋体" w:hAnsi="宋体" w:eastAsia="宋体" w:cs="宋体"/>
          <w:bCs/>
          <w:kern w:val="44"/>
          <w:sz w:val="28"/>
          <w:szCs w:val="44"/>
        </w:rPr>
        <w:br w:type="page"/>
      </w:r>
    </w:p>
    <w:p w14:paraId="59454CFC">
      <w:pPr>
        <w:keepNext/>
        <w:keepLines/>
        <w:kinsoku/>
        <w:overflowPunct/>
        <w:topLinePunct w:val="0"/>
        <w:bidi w:val="0"/>
        <w:adjustRightInd w:val="0"/>
        <w:spacing w:beforeAutospacing="0" w:afterAutospacing="0" w:line="360" w:lineRule="auto"/>
        <w:ind w:left="0" w:leftChars="0" w:right="0" w:firstLine="0" w:firstLineChars="0"/>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第三章 用户需求书</w:t>
      </w:r>
    </w:p>
    <w:p w14:paraId="5396550C">
      <w:pPr>
        <w:keepNext/>
        <w:keepLines/>
        <w:tabs>
          <w:tab w:val="left" w:pos="1680"/>
        </w:tabs>
        <w:kinsoku/>
        <w:overflowPunct/>
        <w:topLinePunct w:val="0"/>
        <w:bidi w:val="0"/>
        <w:spacing w:beforeAutospacing="0" w:afterAutospacing="0" w:line="360" w:lineRule="auto"/>
        <w:ind w:left="0" w:leftChars="0" w:right="0" w:firstLine="0" w:firstLineChars="0"/>
        <w:jc w:val="center"/>
        <w:outlineLvl w:val="2"/>
        <w:rPr>
          <w:rFonts w:hint="eastAsia" w:ascii="宋体" w:hAnsi="宋体" w:eastAsia="宋体" w:cs="宋体"/>
          <w:b/>
          <w:sz w:val="32"/>
          <w:szCs w:val="32"/>
        </w:rPr>
      </w:pPr>
      <w:r>
        <w:rPr>
          <w:rFonts w:hint="eastAsia" w:ascii="宋体" w:hAnsi="宋体" w:eastAsia="宋体" w:cs="宋体"/>
          <w:b/>
          <w:sz w:val="32"/>
          <w:szCs w:val="32"/>
        </w:rPr>
        <w:t>一、项目基本信息</w:t>
      </w:r>
    </w:p>
    <w:tbl>
      <w:tblPr>
        <w:tblStyle w:val="16"/>
        <w:tblW w:w="8613" w:type="dxa"/>
        <w:jc w:val="center"/>
        <w:tblLayout w:type="fixed"/>
        <w:tblCellMar>
          <w:top w:w="15" w:type="dxa"/>
          <w:left w:w="15" w:type="dxa"/>
          <w:bottom w:w="15" w:type="dxa"/>
          <w:right w:w="15" w:type="dxa"/>
        </w:tblCellMar>
      </w:tblPr>
      <w:tblGrid>
        <w:gridCol w:w="687"/>
        <w:gridCol w:w="2623"/>
        <w:gridCol w:w="2557"/>
        <w:gridCol w:w="2746"/>
      </w:tblGrid>
      <w:tr w14:paraId="422DE142">
        <w:tblPrEx>
          <w:tblCellMar>
            <w:top w:w="15" w:type="dxa"/>
            <w:left w:w="15" w:type="dxa"/>
            <w:bottom w:w="15" w:type="dxa"/>
            <w:right w:w="15" w:type="dxa"/>
          </w:tblCellMar>
        </w:tblPrEx>
        <w:trPr>
          <w:trHeight w:val="552"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6F16903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rPr>
              <w:t>序号</w:t>
            </w:r>
          </w:p>
        </w:tc>
        <w:tc>
          <w:tcPr>
            <w:tcW w:w="2623"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5F7E053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rPr>
              <w:t>采购计划编号</w:t>
            </w:r>
          </w:p>
        </w:tc>
        <w:tc>
          <w:tcPr>
            <w:tcW w:w="255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793AB95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rPr>
              <w:t>采购项目名称</w:t>
            </w:r>
          </w:p>
        </w:tc>
        <w:tc>
          <w:tcPr>
            <w:tcW w:w="274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5E7C705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sz w:val="24"/>
                <w:szCs w:val="24"/>
              </w:rPr>
              <w:t>财政预算限额（元）</w:t>
            </w:r>
          </w:p>
        </w:tc>
      </w:tr>
      <w:tr w14:paraId="11439F63">
        <w:tblPrEx>
          <w:tblCellMar>
            <w:top w:w="15" w:type="dxa"/>
            <w:left w:w="15" w:type="dxa"/>
            <w:bottom w:w="15" w:type="dxa"/>
            <w:right w:w="15" w:type="dxa"/>
          </w:tblCellMar>
        </w:tblPrEx>
        <w:trPr>
          <w:trHeight w:val="286" w:hRule="atLeast"/>
          <w:jc w:val="center"/>
        </w:trPr>
        <w:tc>
          <w:tcPr>
            <w:tcW w:w="687" w:type="dxa"/>
            <w:tcBorders>
              <w:top w:val="single" w:color="000000" w:sz="4" w:space="0"/>
              <w:left w:val="single" w:color="000000" w:sz="4" w:space="0"/>
              <w:bottom w:val="single" w:color="000000" w:sz="4" w:space="0"/>
              <w:right w:val="single" w:color="000000" w:sz="4" w:space="0"/>
            </w:tcBorders>
            <w:vAlign w:val="center"/>
          </w:tcPr>
          <w:p w14:paraId="2FA1855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623" w:type="dxa"/>
            <w:tcBorders>
              <w:top w:val="single" w:color="000000" w:sz="4" w:space="0"/>
              <w:left w:val="single" w:color="000000" w:sz="4" w:space="0"/>
              <w:bottom w:val="single" w:color="000000" w:sz="4" w:space="0"/>
              <w:right w:val="single" w:color="000000" w:sz="4" w:space="0"/>
            </w:tcBorders>
            <w:vAlign w:val="center"/>
          </w:tcPr>
          <w:p w14:paraId="5959B60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BAJYJ2024032805520A</w:t>
            </w:r>
          </w:p>
        </w:tc>
        <w:tc>
          <w:tcPr>
            <w:tcW w:w="2557" w:type="dxa"/>
            <w:tcBorders>
              <w:top w:val="single" w:color="000000" w:sz="4" w:space="0"/>
              <w:left w:val="single" w:color="000000" w:sz="4" w:space="0"/>
              <w:bottom w:val="single" w:color="000000" w:sz="4" w:space="0"/>
              <w:right w:val="single" w:color="000000" w:sz="4" w:space="0"/>
            </w:tcBorders>
            <w:vAlign w:val="center"/>
          </w:tcPr>
          <w:p w14:paraId="7902194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highlight w:val="none"/>
              </w:rPr>
            </w:pPr>
            <w:r>
              <w:rPr>
                <w:rFonts w:hint="eastAsia" w:ascii="宋体" w:hAnsi="宋体" w:eastAsia="宋体" w:cs="宋体"/>
                <w:b w:val="0"/>
                <w:bCs w:val="0"/>
                <w:highlight w:val="none"/>
              </w:rPr>
              <w:t>宝民及天骄幼儿园照明设备采购项目</w:t>
            </w:r>
          </w:p>
        </w:tc>
        <w:tc>
          <w:tcPr>
            <w:tcW w:w="2746" w:type="dxa"/>
            <w:tcBorders>
              <w:top w:val="single" w:color="000000" w:sz="4" w:space="0"/>
              <w:left w:val="single" w:color="000000" w:sz="4" w:space="0"/>
              <w:bottom w:val="single" w:color="000000" w:sz="4" w:space="0"/>
              <w:right w:val="single" w:color="000000" w:sz="4" w:space="0"/>
            </w:tcBorders>
            <w:vAlign w:val="center"/>
          </w:tcPr>
          <w:p w14:paraId="22CABD9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highlight w:val="none"/>
              </w:rPr>
              <w:t>416</w:t>
            </w:r>
            <w:r>
              <w:rPr>
                <w:rFonts w:hint="eastAsia" w:ascii="宋体" w:hAnsi="宋体" w:eastAsia="宋体" w:cs="宋体"/>
                <w:b w:val="0"/>
                <w:bCs w:val="0"/>
                <w:highlight w:val="none"/>
                <w:lang w:val="en-US" w:eastAsia="zh-CN"/>
              </w:rPr>
              <w:t>,</w:t>
            </w:r>
            <w:r>
              <w:rPr>
                <w:rFonts w:hint="eastAsia" w:ascii="宋体" w:hAnsi="宋体" w:eastAsia="宋体" w:cs="宋体"/>
                <w:b w:val="0"/>
                <w:bCs w:val="0"/>
                <w:highlight w:val="none"/>
              </w:rPr>
              <w:t>000</w:t>
            </w:r>
            <w:r>
              <w:rPr>
                <w:rFonts w:hint="eastAsia" w:ascii="宋体" w:hAnsi="宋体" w:eastAsia="宋体" w:cs="宋体"/>
                <w:b w:val="0"/>
                <w:bCs w:val="0"/>
                <w:highlight w:val="none"/>
                <w:lang w:val="en-US" w:eastAsia="zh-CN"/>
              </w:rPr>
              <w:t>.00</w:t>
            </w:r>
          </w:p>
        </w:tc>
      </w:tr>
    </w:tbl>
    <w:p w14:paraId="548AADDC">
      <w:pPr>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sz w:val="24"/>
          <w:szCs w:val="24"/>
          <w:highlight w:val="none"/>
        </w:rPr>
      </w:pPr>
      <w:r>
        <w:rPr>
          <w:rFonts w:hint="eastAsia" w:ascii="宋体" w:hAnsi="宋体" w:eastAsia="宋体" w:cs="宋体"/>
          <w:b/>
          <w:color w:val="FF0000"/>
          <w:sz w:val="24"/>
          <w:szCs w:val="24"/>
          <w:highlight w:val="none"/>
        </w:rPr>
        <w:t>本项目控制金额为人民币</w:t>
      </w:r>
      <w:r>
        <w:rPr>
          <w:rFonts w:hint="eastAsia" w:ascii="宋体" w:hAnsi="宋体" w:eastAsia="宋体" w:cs="宋体"/>
          <w:b/>
          <w:color w:val="0000FF"/>
          <w:sz w:val="24"/>
          <w:szCs w:val="24"/>
          <w:highlight w:val="none"/>
          <w:lang w:val="en-US" w:eastAsia="zh-CN"/>
        </w:rPr>
        <w:t>416,000.00元</w:t>
      </w:r>
      <w:r>
        <w:rPr>
          <w:rFonts w:hint="eastAsia" w:ascii="宋体" w:hAnsi="宋体" w:eastAsia="宋体" w:cs="宋体"/>
          <w:b/>
          <w:color w:val="FF0000"/>
          <w:sz w:val="24"/>
          <w:szCs w:val="24"/>
          <w:highlight w:val="none"/>
        </w:rPr>
        <w:t>，投标报价超出控制金额将作投标无效处理。</w:t>
      </w:r>
    </w:p>
    <w:p w14:paraId="44033CDB">
      <w:pPr>
        <w:keepNext/>
        <w:keepLines/>
        <w:tabs>
          <w:tab w:val="left" w:pos="1680"/>
        </w:tabs>
        <w:kinsoku/>
        <w:overflowPunct/>
        <w:topLinePunct w:val="0"/>
        <w:bidi w:val="0"/>
        <w:spacing w:beforeAutospacing="0" w:afterAutospacing="0" w:line="360" w:lineRule="auto"/>
        <w:ind w:left="0" w:leftChars="0" w:right="0" w:firstLine="0" w:firstLineChars="0"/>
        <w:jc w:val="center"/>
        <w:outlineLvl w:val="2"/>
        <w:rPr>
          <w:rFonts w:hint="eastAsia" w:ascii="宋体" w:hAnsi="宋体" w:eastAsia="宋体" w:cs="宋体"/>
          <w:b/>
          <w:sz w:val="32"/>
          <w:szCs w:val="32"/>
        </w:rPr>
      </w:pPr>
      <w:r>
        <w:rPr>
          <w:rFonts w:hint="eastAsia" w:ascii="宋体" w:hAnsi="宋体" w:eastAsia="宋体" w:cs="宋体"/>
          <w:b/>
          <w:sz w:val="32"/>
          <w:szCs w:val="32"/>
        </w:rPr>
        <w:t>二、货物需求明细</w:t>
      </w:r>
    </w:p>
    <w:p w14:paraId="16C9C43F">
      <w:pPr>
        <w:kinsoku/>
        <w:overflowPunct/>
        <w:topLinePunct w:val="0"/>
        <w:bidi w:val="0"/>
        <w:spacing w:beforeAutospacing="0" w:afterAutospacing="0" w:line="360" w:lineRule="auto"/>
        <w:ind w:left="0" w:leftChars="0" w:right="0" w:firstLine="0" w:firstLineChars="0"/>
        <w:rPr>
          <w:rFonts w:hint="eastAsia" w:ascii="宋体" w:hAnsi="宋体" w:eastAsia="宋体" w:cs="宋体"/>
          <w:highlight w:val="none"/>
        </w:rPr>
      </w:pPr>
      <w:r>
        <w:rPr>
          <w:rFonts w:hint="eastAsia" w:ascii="宋体" w:hAnsi="宋体" w:eastAsia="宋体" w:cs="宋体"/>
          <w:b/>
          <w:color w:val="FF0000"/>
          <w:sz w:val="32"/>
          <w:szCs w:val="32"/>
          <w:highlight w:val="none"/>
        </w:rPr>
        <w:t>本项目核心产品为：</w:t>
      </w:r>
      <w:r>
        <w:rPr>
          <w:rFonts w:hint="eastAsia" w:ascii="宋体" w:hAnsi="宋体" w:eastAsia="宋体" w:cs="宋体"/>
          <w:b/>
          <w:color w:val="FF0000"/>
          <w:sz w:val="32"/>
          <w:szCs w:val="32"/>
          <w:highlight w:val="none"/>
          <w:u w:val="single"/>
        </w:rPr>
        <w:t xml:space="preserve"> 护眼灯2 </w:t>
      </w:r>
    </w:p>
    <w:tbl>
      <w:tblPr>
        <w:tblStyle w:val="16"/>
        <w:tblW w:w="8505" w:type="dxa"/>
        <w:jc w:val="center"/>
        <w:tblLayout w:type="fixed"/>
        <w:tblCellMar>
          <w:top w:w="15" w:type="dxa"/>
          <w:left w:w="15" w:type="dxa"/>
          <w:bottom w:w="15" w:type="dxa"/>
          <w:right w:w="15" w:type="dxa"/>
        </w:tblCellMar>
      </w:tblPr>
      <w:tblGrid>
        <w:gridCol w:w="639"/>
        <w:gridCol w:w="3543"/>
        <w:gridCol w:w="709"/>
        <w:gridCol w:w="780"/>
        <w:gridCol w:w="1417"/>
        <w:gridCol w:w="1417"/>
      </w:tblGrid>
      <w:tr w14:paraId="44A58448">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7EE9EDC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709175F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highlight w:val="green"/>
              </w:rPr>
            </w:pPr>
            <w:r>
              <w:rPr>
                <w:rFonts w:hint="eastAsia" w:ascii="宋体" w:hAnsi="宋体" w:eastAsia="宋体" w:cs="宋体"/>
                <w:b w:val="0"/>
                <w:bCs w:val="0"/>
                <w:lang w:val="en-US" w:eastAsia="zh-CN"/>
              </w:rPr>
              <w:t>货物</w:t>
            </w:r>
            <w:r>
              <w:rPr>
                <w:rFonts w:hint="eastAsia" w:ascii="宋体" w:hAnsi="宋体" w:eastAsia="宋体" w:cs="宋体"/>
                <w:b w:val="0"/>
                <w:bCs w:val="0"/>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4ACB23D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DB387E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2567F5A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rPr>
              <w:t>备注</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25342D6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highlight w:val="yellow"/>
              </w:rPr>
            </w:pPr>
            <w:r>
              <w:rPr>
                <w:rFonts w:hint="eastAsia" w:ascii="宋体" w:hAnsi="宋体" w:eastAsia="宋体" w:cs="宋体"/>
                <w:b w:val="0"/>
                <w:bCs w:val="0"/>
                <w:highlight w:val="none"/>
              </w:rPr>
              <w:t>所属行业</w:t>
            </w:r>
          </w:p>
        </w:tc>
      </w:tr>
      <w:tr w14:paraId="40FD5941">
        <w:tblPrEx>
          <w:tblCellMar>
            <w:top w:w="15" w:type="dxa"/>
            <w:left w:w="15" w:type="dxa"/>
            <w:bottom w:w="15" w:type="dxa"/>
            <w:right w:w="15" w:type="dxa"/>
          </w:tblCellMar>
        </w:tblPrEx>
        <w:trPr>
          <w:trHeight w:val="317" w:hRule="atLeast"/>
          <w:jc w:val="center"/>
        </w:trPr>
        <w:tc>
          <w:tcPr>
            <w:tcW w:w="8505" w:type="dxa"/>
            <w:gridSpan w:val="6"/>
            <w:tcBorders>
              <w:top w:val="single" w:color="000000" w:sz="4" w:space="0"/>
              <w:left w:val="single" w:color="000000" w:sz="4" w:space="0"/>
              <w:bottom w:val="single" w:color="000000" w:sz="4" w:space="0"/>
              <w:right w:val="single" w:color="000000" w:sz="4" w:space="0"/>
            </w:tcBorders>
            <w:vAlign w:val="center"/>
          </w:tcPr>
          <w:p w14:paraId="58065EB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szCs w:val="21"/>
              </w:rPr>
              <w:t>宝民幼儿园</w:t>
            </w:r>
          </w:p>
        </w:tc>
      </w:tr>
      <w:tr w14:paraId="54E5DE95">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2CC502F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w:t>
            </w:r>
          </w:p>
        </w:tc>
        <w:tc>
          <w:tcPr>
            <w:tcW w:w="3543" w:type="dxa"/>
            <w:tcBorders>
              <w:top w:val="single" w:color="000000" w:sz="4" w:space="0"/>
              <w:left w:val="single" w:color="auto" w:sz="4" w:space="0"/>
              <w:bottom w:val="single" w:color="000000" w:sz="4" w:space="0"/>
              <w:right w:val="single" w:color="000000" w:sz="4" w:space="0"/>
            </w:tcBorders>
            <w:vAlign w:val="center"/>
          </w:tcPr>
          <w:p w14:paraId="5BF2D1A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护眼灯1</w:t>
            </w:r>
          </w:p>
        </w:tc>
        <w:tc>
          <w:tcPr>
            <w:tcW w:w="709" w:type="dxa"/>
            <w:tcBorders>
              <w:top w:val="single" w:color="000000" w:sz="4" w:space="0"/>
              <w:left w:val="single" w:color="000000" w:sz="4" w:space="0"/>
              <w:bottom w:val="single" w:color="000000" w:sz="4" w:space="0"/>
              <w:right w:val="single" w:color="000000" w:sz="4" w:space="0"/>
            </w:tcBorders>
            <w:vAlign w:val="center"/>
          </w:tcPr>
          <w:p w14:paraId="7B78FD5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201</w:t>
            </w:r>
          </w:p>
        </w:tc>
        <w:tc>
          <w:tcPr>
            <w:tcW w:w="780" w:type="dxa"/>
            <w:tcBorders>
              <w:top w:val="single" w:color="000000" w:sz="4" w:space="0"/>
              <w:left w:val="single" w:color="000000" w:sz="4" w:space="0"/>
              <w:bottom w:val="single" w:color="000000" w:sz="4" w:space="0"/>
              <w:right w:val="single" w:color="000000" w:sz="4" w:space="0"/>
            </w:tcBorders>
            <w:vAlign w:val="center"/>
          </w:tcPr>
          <w:p w14:paraId="7314C6B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14:paraId="4BAB609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EE24C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工业</w:t>
            </w:r>
          </w:p>
        </w:tc>
      </w:tr>
      <w:tr w14:paraId="0C48720E">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327E028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w:t>
            </w:r>
          </w:p>
        </w:tc>
        <w:tc>
          <w:tcPr>
            <w:tcW w:w="3543" w:type="dxa"/>
            <w:tcBorders>
              <w:top w:val="single" w:color="000000" w:sz="4" w:space="0"/>
              <w:left w:val="single" w:color="auto" w:sz="4" w:space="0"/>
              <w:bottom w:val="single" w:color="000000" w:sz="4" w:space="0"/>
              <w:right w:val="single" w:color="000000" w:sz="4" w:space="0"/>
            </w:tcBorders>
            <w:vAlign w:val="center"/>
          </w:tcPr>
          <w:p w14:paraId="3A78873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护眼灯2</w:t>
            </w:r>
          </w:p>
        </w:tc>
        <w:tc>
          <w:tcPr>
            <w:tcW w:w="709" w:type="dxa"/>
            <w:tcBorders>
              <w:top w:val="single" w:color="000000" w:sz="4" w:space="0"/>
              <w:left w:val="single" w:color="000000" w:sz="4" w:space="0"/>
              <w:bottom w:val="single" w:color="000000" w:sz="4" w:space="0"/>
              <w:right w:val="single" w:color="000000" w:sz="4" w:space="0"/>
            </w:tcBorders>
            <w:vAlign w:val="center"/>
          </w:tcPr>
          <w:p w14:paraId="4E19993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50</w:t>
            </w:r>
          </w:p>
        </w:tc>
        <w:tc>
          <w:tcPr>
            <w:tcW w:w="780" w:type="dxa"/>
            <w:tcBorders>
              <w:top w:val="single" w:color="000000" w:sz="4" w:space="0"/>
              <w:left w:val="single" w:color="000000" w:sz="4" w:space="0"/>
              <w:bottom w:val="single" w:color="000000" w:sz="4" w:space="0"/>
              <w:right w:val="single" w:color="000000" w:sz="4" w:space="0"/>
            </w:tcBorders>
            <w:vAlign w:val="center"/>
          </w:tcPr>
          <w:p w14:paraId="1F8CE42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14:paraId="1572607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7A2C9E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lang w:val="en-US" w:eastAsia="zh-CN"/>
              </w:rPr>
              <w:t>工业</w:t>
            </w:r>
          </w:p>
        </w:tc>
      </w:tr>
      <w:tr w14:paraId="79FFB8B5">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25C361E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3</w:t>
            </w:r>
          </w:p>
        </w:tc>
        <w:tc>
          <w:tcPr>
            <w:tcW w:w="3543" w:type="dxa"/>
            <w:tcBorders>
              <w:top w:val="single" w:color="000000" w:sz="4" w:space="0"/>
              <w:left w:val="single" w:color="auto" w:sz="4" w:space="0"/>
              <w:bottom w:val="single" w:color="000000" w:sz="4" w:space="0"/>
              <w:right w:val="single" w:color="000000" w:sz="4" w:space="0"/>
            </w:tcBorders>
            <w:vAlign w:val="center"/>
          </w:tcPr>
          <w:p w14:paraId="5F8C47F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辅材</w:t>
            </w:r>
            <w:r>
              <w:rPr>
                <w:rFonts w:hint="eastAsia" w:ascii="宋体" w:hAnsi="宋体" w:eastAsia="宋体" w:cs="宋体"/>
                <w:color w:val="000000"/>
                <w:szCs w:val="21"/>
                <w:lang w:val="en-US" w:eastAsia="zh-CN"/>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F6E21A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5FABCFE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项</w:t>
            </w:r>
          </w:p>
        </w:tc>
        <w:tc>
          <w:tcPr>
            <w:tcW w:w="1417" w:type="dxa"/>
            <w:tcBorders>
              <w:top w:val="single" w:color="000000" w:sz="4" w:space="0"/>
              <w:left w:val="single" w:color="000000" w:sz="4" w:space="0"/>
              <w:bottom w:val="single" w:color="000000" w:sz="4" w:space="0"/>
              <w:right w:val="single" w:color="000000" w:sz="4" w:space="0"/>
            </w:tcBorders>
            <w:vAlign w:val="center"/>
          </w:tcPr>
          <w:p w14:paraId="788E26D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AF4FFA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lang w:val="en-US" w:eastAsia="zh-CN"/>
              </w:rPr>
              <w:t>工业</w:t>
            </w:r>
          </w:p>
        </w:tc>
      </w:tr>
      <w:tr w14:paraId="77ECAFCF">
        <w:tblPrEx>
          <w:tblCellMar>
            <w:top w:w="15" w:type="dxa"/>
            <w:left w:w="15" w:type="dxa"/>
            <w:bottom w:w="15" w:type="dxa"/>
            <w:right w:w="15" w:type="dxa"/>
          </w:tblCellMar>
        </w:tblPrEx>
        <w:trPr>
          <w:trHeight w:val="172" w:hRule="atLeast"/>
          <w:jc w:val="center"/>
        </w:trPr>
        <w:tc>
          <w:tcPr>
            <w:tcW w:w="8505" w:type="dxa"/>
            <w:gridSpan w:val="6"/>
            <w:tcBorders>
              <w:top w:val="single" w:color="000000" w:sz="4" w:space="0"/>
              <w:left w:val="single" w:color="000000" w:sz="4" w:space="0"/>
              <w:bottom w:val="single" w:color="000000" w:sz="4" w:space="0"/>
              <w:right w:val="single" w:color="000000" w:sz="4" w:space="0"/>
            </w:tcBorders>
            <w:vAlign w:val="center"/>
          </w:tcPr>
          <w:p w14:paraId="0DBB22D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szCs w:val="21"/>
              </w:rPr>
              <w:t>天骄幼儿园</w:t>
            </w:r>
          </w:p>
        </w:tc>
      </w:tr>
      <w:tr w14:paraId="6580CC98">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3355854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w:t>
            </w:r>
          </w:p>
        </w:tc>
        <w:tc>
          <w:tcPr>
            <w:tcW w:w="3543" w:type="dxa"/>
            <w:tcBorders>
              <w:top w:val="single" w:color="000000" w:sz="4" w:space="0"/>
              <w:left w:val="single" w:color="auto" w:sz="4" w:space="0"/>
              <w:bottom w:val="single" w:color="000000" w:sz="4" w:space="0"/>
              <w:right w:val="single" w:color="000000" w:sz="4" w:space="0"/>
            </w:tcBorders>
            <w:vAlign w:val="center"/>
          </w:tcPr>
          <w:p w14:paraId="43D955C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护眼灯3</w:t>
            </w:r>
          </w:p>
        </w:tc>
        <w:tc>
          <w:tcPr>
            <w:tcW w:w="709" w:type="dxa"/>
            <w:tcBorders>
              <w:top w:val="single" w:color="000000" w:sz="4" w:space="0"/>
              <w:left w:val="single" w:color="000000" w:sz="4" w:space="0"/>
              <w:bottom w:val="single" w:color="000000" w:sz="4" w:space="0"/>
              <w:right w:val="single" w:color="000000" w:sz="4" w:space="0"/>
            </w:tcBorders>
            <w:vAlign w:val="center"/>
          </w:tcPr>
          <w:p w14:paraId="7186D1B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144</w:t>
            </w:r>
          </w:p>
        </w:tc>
        <w:tc>
          <w:tcPr>
            <w:tcW w:w="780" w:type="dxa"/>
            <w:tcBorders>
              <w:top w:val="single" w:color="000000" w:sz="4" w:space="0"/>
              <w:left w:val="single" w:color="000000" w:sz="4" w:space="0"/>
              <w:bottom w:val="single" w:color="000000" w:sz="4" w:space="0"/>
              <w:right w:val="single" w:color="000000" w:sz="4" w:space="0"/>
            </w:tcBorders>
            <w:vAlign w:val="center"/>
          </w:tcPr>
          <w:p w14:paraId="5C78845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14:paraId="60D2CA6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48E13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lang w:val="en-US" w:eastAsia="zh-CN"/>
              </w:rPr>
              <w:t>工业</w:t>
            </w:r>
          </w:p>
        </w:tc>
      </w:tr>
      <w:tr w14:paraId="1ECDF665">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14:paraId="42EFDB0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2</w:t>
            </w:r>
          </w:p>
        </w:tc>
        <w:tc>
          <w:tcPr>
            <w:tcW w:w="3543" w:type="dxa"/>
            <w:tcBorders>
              <w:top w:val="single" w:color="000000" w:sz="4" w:space="0"/>
              <w:left w:val="single" w:color="auto" w:sz="4" w:space="0"/>
              <w:bottom w:val="single" w:color="000000" w:sz="4" w:space="0"/>
              <w:right w:val="single" w:color="000000" w:sz="4" w:space="0"/>
            </w:tcBorders>
            <w:vAlign w:val="center"/>
          </w:tcPr>
          <w:p w14:paraId="2C1B1E9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护眼灯4</w:t>
            </w:r>
          </w:p>
        </w:tc>
        <w:tc>
          <w:tcPr>
            <w:tcW w:w="709" w:type="dxa"/>
            <w:tcBorders>
              <w:top w:val="single" w:color="000000" w:sz="4" w:space="0"/>
              <w:left w:val="single" w:color="000000" w:sz="4" w:space="0"/>
              <w:bottom w:val="single" w:color="000000" w:sz="4" w:space="0"/>
              <w:right w:val="single" w:color="000000" w:sz="4" w:space="0"/>
            </w:tcBorders>
            <w:vAlign w:val="center"/>
          </w:tcPr>
          <w:p w14:paraId="373CC66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15</w:t>
            </w:r>
          </w:p>
        </w:tc>
        <w:tc>
          <w:tcPr>
            <w:tcW w:w="780" w:type="dxa"/>
            <w:tcBorders>
              <w:top w:val="single" w:color="000000" w:sz="4" w:space="0"/>
              <w:left w:val="single" w:color="000000" w:sz="4" w:space="0"/>
              <w:bottom w:val="single" w:color="000000" w:sz="4" w:space="0"/>
              <w:right w:val="single" w:color="000000" w:sz="4" w:space="0"/>
            </w:tcBorders>
            <w:vAlign w:val="center"/>
          </w:tcPr>
          <w:p w14:paraId="793295E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14:paraId="2929AB3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4BB2A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lang w:val="en-US" w:eastAsia="zh-CN"/>
              </w:rPr>
              <w:t>工业</w:t>
            </w:r>
          </w:p>
        </w:tc>
      </w:tr>
      <w:tr w14:paraId="7CBE8A55">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auto" w:sz="4" w:space="0"/>
              <w:right w:val="single" w:color="auto" w:sz="4" w:space="0"/>
            </w:tcBorders>
            <w:vAlign w:val="center"/>
          </w:tcPr>
          <w:p w14:paraId="13EAD91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3</w:t>
            </w:r>
          </w:p>
        </w:tc>
        <w:tc>
          <w:tcPr>
            <w:tcW w:w="3543" w:type="dxa"/>
            <w:tcBorders>
              <w:top w:val="single" w:color="000000" w:sz="4" w:space="0"/>
              <w:left w:val="single" w:color="auto" w:sz="4" w:space="0"/>
              <w:bottom w:val="single" w:color="auto" w:sz="4" w:space="0"/>
              <w:right w:val="single" w:color="000000" w:sz="4" w:space="0"/>
            </w:tcBorders>
            <w:vAlign w:val="center"/>
          </w:tcPr>
          <w:p w14:paraId="13C1103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辅材</w:t>
            </w:r>
            <w:r>
              <w:rPr>
                <w:rFonts w:hint="eastAsia" w:ascii="宋体" w:hAnsi="宋体" w:eastAsia="宋体" w:cs="宋体"/>
                <w:color w:val="000000"/>
                <w:szCs w:val="21"/>
                <w:lang w:val="en-US" w:eastAsia="zh-CN"/>
              </w:rPr>
              <w:t>2</w:t>
            </w:r>
          </w:p>
        </w:tc>
        <w:tc>
          <w:tcPr>
            <w:tcW w:w="709" w:type="dxa"/>
            <w:tcBorders>
              <w:top w:val="single" w:color="000000" w:sz="4" w:space="0"/>
              <w:left w:val="single" w:color="000000" w:sz="4" w:space="0"/>
              <w:bottom w:val="single" w:color="auto" w:sz="4" w:space="0"/>
              <w:right w:val="single" w:color="000000" w:sz="4" w:space="0"/>
            </w:tcBorders>
            <w:vAlign w:val="center"/>
          </w:tcPr>
          <w:p w14:paraId="45115DC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w:t>
            </w:r>
          </w:p>
        </w:tc>
        <w:tc>
          <w:tcPr>
            <w:tcW w:w="780" w:type="dxa"/>
            <w:tcBorders>
              <w:top w:val="single" w:color="000000" w:sz="4" w:space="0"/>
              <w:left w:val="single" w:color="000000" w:sz="4" w:space="0"/>
              <w:bottom w:val="single" w:color="auto" w:sz="4" w:space="0"/>
              <w:right w:val="single" w:color="000000" w:sz="4" w:space="0"/>
            </w:tcBorders>
            <w:vAlign w:val="center"/>
          </w:tcPr>
          <w:p w14:paraId="26BB739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项</w:t>
            </w:r>
          </w:p>
        </w:tc>
        <w:tc>
          <w:tcPr>
            <w:tcW w:w="1417" w:type="dxa"/>
            <w:tcBorders>
              <w:top w:val="single" w:color="000000" w:sz="4" w:space="0"/>
              <w:left w:val="single" w:color="000000" w:sz="4" w:space="0"/>
              <w:bottom w:val="single" w:color="auto" w:sz="4" w:space="0"/>
              <w:right w:val="single" w:color="000000" w:sz="4" w:space="0"/>
            </w:tcBorders>
            <w:vAlign w:val="center"/>
          </w:tcPr>
          <w:p w14:paraId="78D8684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p>
        </w:tc>
        <w:tc>
          <w:tcPr>
            <w:tcW w:w="1417" w:type="dxa"/>
            <w:tcBorders>
              <w:top w:val="single" w:color="000000" w:sz="4" w:space="0"/>
              <w:left w:val="single" w:color="000000" w:sz="4" w:space="0"/>
              <w:bottom w:val="single" w:color="auto" w:sz="4" w:space="0"/>
              <w:right w:val="single" w:color="000000" w:sz="4" w:space="0"/>
            </w:tcBorders>
            <w:vAlign w:val="center"/>
          </w:tcPr>
          <w:p w14:paraId="653B04C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val="0"/>
                <w:bCs w:val="0"/>
              </w:rPr>
            </w:pPr>
            <w:r>
              <w:rPr>
                <w:rFonts w:hint="eastAsia" w:ascii="宋体" w:hAnsi="宋体" w:eastAsia="宋体" w:cs="宋体"/>
                <w:b w:val="0"/>
                <w:bCs w:val="0"/>
                <w:lang w:val="en-US" w:eastAsia="zh-CN"/>
              </w:rPr>
              <w:t>工业</w:t>
            </w:r>
          </w:p>
        </w:tc>
      </w:tr>
    </w:tbl>
    <w:p w14:paraId="6D848940">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rPr>
      </w:pPr>
      <w:r>
        <w:rPr>
          <w:rFonts w:hint="eastAsia" w:ascii="宋体" w:hAnsi="宋体" w:eastAsia="宋体" w:cs="宋体"/>
          <w:color w:val="FF0000"/>
        </w:rPr>
        <w:t>备注：</w:t>
      </w:r>
    </w:p>
    <w:p w14:paraId="282B95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color w:val="FF0000"/>
        </w:rPr>
      </w:pPr>
      <w:r>
        <w:rPr>
          <w:rFonts w:hint="eastAsia" w:ascii="宋体" w:hAnsi="宋体" w:eastAsia="宋体" w:cs="宋体"/>
          <w:color w:val="FF0000"/>
          <w:lang w:val="en-US" w:eastAsia="zh-CN"/>
        </w:rPr>
        <w:t>1、</w:t>
      </w:r>
      <w:r>
        <w:rPr>
          <w:rFonts w:hint="eastAsia" w:ascii="宋体" w:hAnsi="宋体" w:eastAsia="宋体" w:cs="宋体"/>
          <w:color w:val="FF0000"/>
        </w:rPr>
        <w:t>“备注”栏注明有“接受进口”或“允许进口”的产品允许投标人选用进口产品参与投标，但不排斥国内产品投标；未注明“接受进口”或“允许进口”的产品均不接受进口产品投标。</w:t>
      </w:r>
    </w:p>
    <w:p w14:paraId="57AE48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color w:val="FF0000"/>
        </w:rPr>
      </w:pPr>
      <w:r>
        <w:rPr>
          <w:rFonts w:hint="eastAsia" w:ascii="宋体" w:hAnsi="宋体" w:eastAsia="宋体" w:cs="宋体"/>
          <w:color w:val="FF0000"/>
          <w:lang w:val="en-US" w:eastAsia="zh-CN"/>
        </w:rPr>
        <w:t>2、</w:t>
      </w:r>
      <w:r>
        <w:rPr>
          <w:rFonts w:hint="eastAsia" w:ascii="宋体" w:hAnsi="宋体" w:eastAsia="宋体" w:cs="宋体"/>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F951B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color w:val="FF0000"/>
        </w:rPr>
      </w:pPr>
      <w:r>
        <w:rPr>
          <w:rFonts w:hint="eastAsia" w:ascii="宋体" w:hAnsi="宋体" w:eastAsia="宋体" w:cs="宋体"/>
          <w:color w:val="FF0000"/>
          <w:lang w:val="en-US" w:eastAsia="zh-CN"/>
        </w:rPr>
        <w:t>3、</w:t>
      </w:r>
      <w:r>
        <w:rPr>
          <w:rFonts w:hint="eastAsia" w:ascii="宋体" w:hAnsi="宋体" w:eastAsia="宋体" w:cs="宋体"/>
          <w:color w:val="FF0000"/>
        </w:rPr>
        <w:t>如注明有单价控制金额的产品，投标人对该产品的报价不得超过控制金额，否则将作投标无效处理。</w:t>
      </w:r>
    </w:p>
    <w:p w14:paraId="4135973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0" w:firstLineChars="0"/>
        <w:textAlignment w:val="auto"/>
        <w:rPr>
          <w:rFonts w:hint="eastAsia" w:ascii="宋体" w:hAnsi="宋体" w:eastAsia="宋体" w:cs="宋体"/>
          <w:color w:val="FF0000"/>
        </w:rPr>
      </w:pPr>
      <w:r>
        <w:rPr>
          <w:rFonts w:hint="eastAsia" w:ascii="宋体" w:hAnsi="宋体" w:eastAsia="宋体" w:cs="宋体"/>
          <w:color w:val="FF0000"/>
          <w:lang w:val="en-US" w:eastAsia="zh-CN"/>
        </w:rPr>
        <w:t>4、</w:t>
      </w:r>
      <w:r>
        <w:rPr>
          <w:rFonts w:hint="eastAsia" w:ascii="宋体" w:hAnsi="宋体" w:eastAsia="宋体" w:cs="宋体"/>
          <w:color w:val="FF0000"/>
        </w:rPr>
        <w:t>根据《政府采购货物和服务招标投标管理办法》（财政部令第87号）第三十一条规定，单一产品项目或非单一产品项目中的核心产品均应明确品牌，投标人未填报品牌的将作投标无效处理。</w:t>
      </w:r>
    </w:p>
    <w:p w14:paraId="32911558">
      <w:pPr>
        <w:pStyle w:val="4"/>
        <w:kinsoku/>
        <w:overflowPunct/>
        <w:topLinePunct w:val="0"/>
        <w:bidi w:val="0"/>
        <w:spacing w:before="0" w:beforeAutospacing="0" w:after="0" w:afterAutospacing="0" w:line="360" w:lineRule="auto"/>
        <w:ind w:left="0" w:leftChars="0" w:right="0" w:firstLine="0" w:firstLineChars="0"/>
        <w:jc w:val="center"/>
        <w:rPr>
          <w:rFonts w:hint="eastAsia" w:ascii="宋体" w:hAnsi="宋体" w:eastAsia="宋体" w:cs="宋体"/>
        </w:rPr>
      </w:pPr>
      <w:bookmarkStart w:id="14" w:name="_Toc128884461"/>
      <w:r>
        <w:rPr>
          <w:rFonts w:hint="eastAsia" w:ascii="宋体" w:hAnsi="宋体" w:eastAsia="宋体" w:cs="宋体"/>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2461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3C3659A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序号</w:t>
            </w:r>
          </w:p>
        </w:tc>
        <w:tc>
          <w:tcPr>
            <w:tcW w:w="7483" w:type="dxa"/>
            <w:vAlign w:val="center"/>
          </w:tcPr>
          <w:p w14:paraId="4B1644D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实质性条款具体内容</w:t>
            </w:r>
          </w:p>
        </w:tc>
      </w:tr>
      <w:tr w14:paraId="24B6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038F9BC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rPr>
              <w:t>1</w:t>
            </w:r>
          </w:p>
        </w:tc>
        <w:tc>
          <w:tcPr>
            <w:tcW w:w="7483" w:type="dxa"/>
          </w:tcPr>
          <w:p w14:paraId="2ECC374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eastAsia="zh-CN"/>
              </w:rPr>
            </w:pPr>
            <w:r>
              <w:rPr>
                <w:rFonts w:hint="eastAsia" w:ascii="宋体" w:hAnsi="宋体" w:eastAsia="宋体" w:cs="宋体"/>
              </w:rPr>
              <w:t>本项目招标文件中所有带★号条款</w:t>
            </w:r>
            <w:r>
              <w:rPr>
                <w:rFonts w:hint="eastAsia" w:ascii="宋体" w:hAnsi="宋体" w:eastAsia="宋体" w:cs="宋体"/>
                <w:lang w:val="en-US" w:eastAsia="zh-CN"/>
              </w:rPr>
              <w:t>内容</w:t>
            </w:r>
          </w:p>
        </w:tc>
      </w:tr>
      <w:bookmarkEnd w:id="14"/>
    </w:tbl>
    <w:p w14:paraId="2BBFD84B">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val="en-US"/>
        </w:rPr>
      </w:pPr>
      <w:r>
        <w:rPr>
          <w:rFonts w:hint="eastAsia" w:ascii="宋体" w:hAnsi="宋体" w:eastAsia="宋体" w:cs="宋体"/>
          <w:b/>
          <w:color w:val="FF0000"/>
        </w:rPr>
        <w:t>注</w:t>
      </w:r>
      <w:r>
        <w:rPr>
          <w:rFonts w:hint="eastAsia" w:ascii="宋体" w:hAnsi="宋体" w:eastAsia="宋体" w:cs="宋体"/>
        </w:rPr>
        <w:t>：</w:t>
      </w:r>
      <w:r>
        <w:rPr>
          <w:rFonts w:hint="eastAsia" w:ascii="宋体" w:hAnsi="宋体" w:eastAsia="宋体" w:cs="宋体"/>
          <w:b/>
          <w:color w:val="FF0000"/>
        </w:rPr>
        <w:t>上表所列内容为不可负偏离条款，负偏离将视为未实质性满足招标文件要求</w:t>
      </w:r>
      <w:r>
        <w:rPr>
          <w:rFonts w:hint="eastAsia" w:ascii="宋体" w:hAnsi="宋体" w:eastAsia="宋体" w:cs="宋体"/>
          <w:b/>
          <w:color w:val="FF0000"/>
          <w:lang w:eastAsia="zh-CN"/>
        </w:rPr>
        <w:t>，</w:t>
      </w:r>
      <w:r>
        <w:rPr>
          <w:rFonts w:hint="eastAsia" w:ascii="宋体" w:hAnsi="宋体" w:eastAsia="宋体" w:cs="宋体"/>
          <w:b/>
          <w:color w:val="FF0000"/>
        </w:rPr>
        <w:t>作投标无效处理。投标人是否满足</w:t>
      </w:r>
      <w:r>
        <w:rPr>
          <w:rFonts w:hint="eastAsia" w:ascii="宋体" w:hAnsi="宋体" w:eastAsia="宋体" w:cs="宋体"/>
          <w:b/>
          <w:color w:val="FF0000"/>
          <w:lang w:val="en-US" w:eastAsia="zh-CN"/>
        </w:rPr>
        <w:t>以上实质性</w:t>
      </w:r>
      <w:r>
        <w:rPr>
          <w:rFonts w:hint="eastAsia" w:ascii="宋体" w:hAnsi="宋体" w:eastAsia="宋体" w:cs="宋体"/>
          <w:b/>
          <w:color w:val="FF0000"/>
        </w:rPr>
        <w:t>条款要求，</w:t>
      </w:r>
      <w:r>
        <w:rPr>
          <w:rFonts w:hint="eastAsia" w:ascii="宋体" w:hAnsi="宋体" w:eastAsia="宋体" w:cs="宋体"/>
          <w:b/>
          <w:color w:val="FF0000"/>
          <w:lang w:val="en-US" w:eastAsia="zh-CN"/>
        </w:rPr>
        <w:t>以</w:t>
      </w:r>
      <w:r>
        <w:rPr>
          <w:rFonts w:hint="eastAsia" w:ascii="宋体" w:hAnsi="宋体" w:eastAsia="宋体" w:cs="宋体"/>
          <w:b/>
          <w:color w:val="FF0000"/>
          <w:lang w:eastAsia="zh-CN"/>
        </w:rPr>
        <w:t>《</w:t>
      </w:r>
      <w:r>
        <w:rPr>
          <w:rFonts w:hint="eastAsia" w:ascii="宋体" w:hAnsi="宋体" w:eastAsia="宋体" w:cs="宋体"/>
          <w:b/>
          <w:color w:val="FF0000"/>
        </w:rPr>
        <w:t>实质性条款响应情况表</w:t>
      </w:r>
      <w:r>
        <w:rPr>
          <w:rFonts w:hint="eastAsia" w:ascii="宋体" w:hAnsi="宋体" w:eastAsia="宋体" w:cs="宋体"/>
          <w:b/>
          <w:color w:val="FF0000"/>
          <w:lang w:eastAsia="zh-CN"/>
        </w:rPr>
        <w:t>》</w:t>
      </w:r>
      <w:r>
        <w:rPr>
          <w:rFonts w:hint="eastAsia" w:ascii="宋体" w:hAnsi="宋体" w:eastAsia="宋体" w:cs="宋体"/>
          <w:b/>
          <w:color w:val="FF0000"/>
          <w:lang w:val="en-US" w:eastAsia="zh-CN"/>
        </w:rPr>
        <w:t>响应为准。</w:t>
      </w:r>
      <w:r>
        <w:rPr>
          <w:rFonts w:hint="eastAsia" w:ascii="宋体" w:hAnsi="宋体" w:eastAsia="宋体" w:cs="宋体"/>
          <w:b/>
          <w:color w:val="FF0000"/>
        </w:rPr>
        <w:t>如投标人中标后被发现不能满足</w:t>
      </w:r>
      <w:r>
        <w:rPr>
          <w:rFonts w:hint="eastAsia" w:ascii="宋体" w:hAnsi="宋体" w:eastAsia="宋体" w:cs="宋体"/>
          <w:b/>
          <w:color w:val="FF0000"/>
          <w:lang w:val="en-US" w:eastAsia="zh-CN"/>
        </w:rPr>
        <w:t>以上实质性</w:t>
      </w:r>
      <w:r>
        <w:rPr>
          <w:rFonts w:hint="eastAsia" w:ascii="宋体" w:hAnsi="宋体" w:eastAsia="宋体" w:cs="宋体"/>
          <w:b/>
          <w:color w:val="FF0000"/>
        </w:rPr>
        <w:t>条款要求的，采购单位有权拒绝签订合同，一切后果由投标人承担。</w:t>
      </w:r>
    </w:p>
    <w:p w14:paraId="00324F2E">
      <w:pPr>
        <w:keepNext/>
        <w:keepLines/>
        <w:tabs>
          <w:tab w:val="left" w:pos="1680"/>
        </w:tabs>
        <w:kinsoku/>
        <w:overflowPunct/>
        <w:topLinePunct w:val="0"/>
        <w:bidi w:val="0"/>
        <w:spacing w:beforeAutospacing="0" w:afterAutospacing="0" w:line="360" w:lineRule="auto"/>
        <w:ind w:left="0" w:leftChars="0" w:right="0" w:firstLine="0" w:firstLineChars="0"/>
        <w:jc w:val="center"/>
        <w:outlineLvl w:val="2"/>
        <w:rPr>
          <w:rFonts w:hint="eastAsia" w:ascii="宋体" w:hAnsi="宋体" w:eastAsia="宋体" w:cs="宋体"/>
          <w:b/>
          <w:bCs/>
          <w:color w:val="FF0000"/>
          <w:sz w:val="32"/>
          <w:szCs w:val="32"/>
          <w:lang w:eastAsia="zh-CN"/>
        </w:rPr>
      </w:pPr>
      <w:r>
        <w:rPr>
          <w:rFonts w:hint="eastAsia" w:ascii="宋体" w:hAnsi="宋体" w:eastAsia="宋体" w:cs="宋体"/>
          <w:b/>
          <w:color w:val="FF0000"/>
          <w:sz w:val="32"/>
          <w:szCs w:val="32"/>
        </w:rPr>
        <w:t>★</w:t>
      </w:r>
      <w:r>
        <w:rPr>
          <w:rFonts w:hint="eastAsia" w:ascii="宋体" w:hAnsi="宋体" w:eastAsia="宋体" w:cs="宋体"/>
          <w:b/>
          <w:color w:val="FF0000"/>
          <w:sz w:val="32"/>
          <w:szCs w:val="32"/>
          <w:lang w:val="en-US" w:eastAsia="zh-CN"/>
        </w:rPr>
        <w:t>四</w:t>
      </w:r>
      <w:r>
        <w:rPr>
          <w:rFonts w:hint="eastAsia" w:ascii="宋体" w:hAnsi="宋体" w:eastAsia="宋体" w:cs="宋体"/>
          <w:b/>
          <w:bCs/>
          <w:color w:val="FF0000"/>
          <w:sz w:val="32"/>
          <w:szCs w:val="32"/>
        </w:rPr>
        <w:t>、商务和服务条款</w:t>
      </w:r>
      <w:r>
        <w:rPr>
          <w:rFonts w:hint="eastAsia" w:ascii="宋体" w:hAnsi="宋体" w:eastAsia="宋体" w:cs="宋体"/>
          <w:b/>
          <w:bCs/>
          <w:color w:val="FF0000"/>
          <w:sz w:val="32"/>
          <w:szCs w:val="32"/>
          <w:lang w:val="en-US" w:eastAsia="zh-CN"/>
        </w:rPr>
        <w:t>要求</w:t>
      </w:r>
    </w:p>
    <w:p w14:paraId="0F28BCAB">
      <w:pPr>
        <w:keepNext/>
        <w:keepLines/>
        <w:tabs>
          <w:tab w:val="left" w:pos="1680"/>
        </w:tabs>
        <w:kinsoku/>
        <w:overflowPunct/>
        <w:topLinePunct w:val="0"/>
        <w:bidi w:val="0"/>
        <w:spacing w:beforeAutospacing="0" w:afterAutospacing="0" w:line="360" w:lineRule="auto"/>
        <w:ind w:left="0" w:leftChars="0" w:right="0" w:firstLine="0" w:firstLineChars="0"/>
        <w:jc w:val="both"/>
        <w:outlineLvl w:val="2"/>
        <w:rPr>
          <w:rFonts w:hint="eastAsia" w:ascii="宋体" w:hAnsi="宋体" w:eastAsia="宋体" w:cs="宋体"/>
          <w:b/>
          <w:bCs/>
          <w:color w:val="FF0000"/>
          <w:sz w:val="32"/>
          <w:szCs w:val="32"/>
          <w:lang w:eastAsia="zh-CN"/>
        </w:rPr>
      </w:pPr>
      <w:r>
        <w:rPr>
          <w:rFonts w:hint="eastAsia" w:ascii="宋体" w:hAnsi="宋体" w:eastAsia="宋体" w:cs="宋体"/>
          <w:b/>
          <w:color w:val="FF0000"/>
        </w:rPr>
        <w:t>本部分内容为项目正常开展的基本要求，均为★号条款要求</w:t>
      </w:r>
      <w:r>
        <w:rPr>
          <w:rFonts w:hint="eastAsia" w:ascii="宋体" w:hAnsi="宋体" w:eastAsia="宋体" w:cs="宋体"/>
          <w:b/>
          <w:color w:val="FF0000"/>
          <w:lang w:eastAsia="zh-CN"/>
        </w:rPr>
        <w:t>。</w:t>
      </w:r>
    </w:p>
    <w:tbl>
      <w:tblPr>
        <w:tblStyle w:val="16"/>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5950"/>
      </w:tblGrid>
      <w:tr w14:paraId="0C68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4ED4181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项目名称</w:t>
            </w:r>
          </w:p>
        </w:tc>
        <w:tc>
          <w:tcPr>
            <w:tcW w:w="5950" w:type="dxa"/>
            <w:tcBorders>
              <w:top w:val="single" w:color="auto" w:sz="4" w:space="0"/>
              <w:left w:val="single" w:color="auto" w:sz="4" w:space="0"/>
              <w:bottom w:val="single" w:color="auto" w:sz="4" w:space="0"/>
              <w:right w:val="single" w:color="auto" w:sz="4" w:space="0"/>
            </w:tcBorders>
            <w:vAlign w:val="center"/>
          </w:tcPr>
          <w:p w14:paraId="0D72B541">
            <w:pPr>
              <w:kinsoku/>
              <w:overflowPunct/>
              <w:topLinePunct w:val="0"/>
              <w:bidi w:val="0"/>
              <w:snapToGrid w:val="0"/>
              <w:spacing w:beforeAutospacing="0" w:afterAutospacing="0" w:line="360" w:lineRule="auto"/>
              <w:ind w:left="0" w:leftChars="0" w:right="0" w:firstLine="0" w:firstLineChars="0"/>
              <w:jc w:val="both"/>
              <w:rPr>
                <w:rFonts w:hint="eastAsia" w:ascii="宋体" w:hAnsi="宋体" w:eastAsia="宋体" w:cs="宋体"/>
                <w:color w:val="FF0000"/>
                <w:szCs w:val="21"/>
              </w:rPr>
            </w:pPr>
            <w:r>
              <w:rPr>
                <w:rFonts w:hint="eastAsia" w:ascii="宋体" w:hAnsi="宋体" w:eastAsia="宋体" w:cs="宋体"/>
                <w:color w:val="FF0000"/>
                <w:szCs w:val="21"/>
              </w:rPr>
              <w:t>宝民及天骄幼儿园照明设备采购项目</w:t>
            </w:r>
          </w:p>
        </w:tc>
      </w:tr>
      <w:tr w14:paraId="4F98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4844F4F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项目控制金额</w:t>
            </w:r>
          </w:p>
        </w:tc>
        <w:tc>
          <w:tcPr>
            <w:tcW w:w="5950" w:type="dxa"/>
            <w:tcBorders>
              <w:top w:val="single" w:color="auto" w:sz="4" w:space="0"/>
              <w:left w:val="single" w:color="auto" w:sz="4" w:space="0"/>
              <w:bottom w:val="single" w:color="auto" w:sz="4" w:space="0"/>
              <w:right w:val="single" w:color="auto" w:sz="4" w:space="0"/>
            </w:tcBorders>
          </w:tcPr>
          <w:p w14:paraId="479EC328">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416</w:t>
            </w:r>
            <w:r>
              <w:rPr>
                <w:rFonts w:hint="eastAsia" w:ascii="宋体" w:hAnsi="宋体" w:eastAsia="宋体" w:cs="宋体"/>
                <w:color w:val="FF0000"/>
                <w:szCs w:val="21"/>
                <w:lang w:val="en-US" w:eastAsia="zh-CN"/>
              </w:rPr>
              <w:t>,</w:t>
            </w:r>
            <w:r>
              <w:rPr>
                <w:rFonts w:hint="eastAsia" w:ascii="宋体" w:hAnsi="宋体" w:eastAsia="宋体" w:cs="宋体"/>
                <w:color w:val="FF0000"/>
                <w:szCs w:val="21"/>
              </w:rPr>
              <w:t>000</w:t>
            </w:r>
            <w:r>
              <w:rPr>
                <w:rFonts w:hint="eastAsia" w:ascii="宋体" w:hAnsi="宋体" w:eastAsia="宋体" w:cs="宋体"/>
                <w:color w:val="FF0000"/>
                <w:szCs w:val="21"/>
                <w:lang w:val="en-US" w:eastAsia="zh-CN"/>
              </w:rPr>
              <w:t>.00</w:t>
            </w:r>
            <w:r>
              <w:rPr>
                <w:rFonts w:hint="eastAsia" w:ascii="宋体" w:hAnsi="宋体" w:eastAsia="宋体" w:cs="宋体"/>
                <w:color w:val="FF0000"/>
                <w:szCs w:val="21"/>
              </w:rPr>
              <w:t>元</w:t>
            </w:r>
          </w:p>
        </w:tc>
      </w:tr>
      <w:tr w14:paraId="4B40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72113A91">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szCs w:val="21"/>
              </w:rPr>
            </w:pPr>
            <w:r>
              <w:rPr>
                <w:rFonts w:hint="eastAsia" w:ascii="宋体" w:hAnsi="宋体" w:eastAsia="宋体" w:cs="宋体"/>
                <w:b/>
                <w:bCs/>
                <w:szCs w:val="21"/>
              </w:rPr>
              <w:t>交货地点</w:t>
            </w:r>
          </w:p>
        </w:tc>
        <w:tc>
          <w:tcPr>
            <w:tcW w:w="5950" w:type="dxa"/>
            <w:tcBorders>
              <w:top w:val="single" w:color="auto" w:sz="4" w:space="0"/>
              <w:left w:val="single" w:color="auto" w:sz="4" w:space="0"/>
              <w:bottom w:val="single" w:color="auto" w:sz="4" w:space="0"/>
              <w:right w:val="single" w:color="auto" w:sz="4" w:space="0"/>
            </w:tcBorders>
          </w:tcPr>
          <w:p w14:paraId="163A240A">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建安新村幼儿园宝民及天骄分园</w:t>
            </w:r>
          </w:p>
        </w:tc>
      </w:tr>
      <w:tr w14:paraId="71AE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5A08057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szCs w:val="21"/>
              </w:rPr>
            </w:pPr>
            <w:r>
              <w:rPr>
                <w:rFonts w:hint="eastAsia" w:ascii="宋体" w:hAnsi="宋体" w:eastAsia="宋体" w:cs="宋体"/>
                <w:b/>
                <w:bCs/>
                <w:szCs w:val="21"/>
              </w:rPr>
              <w:t>交货时间</w:t>
            </w:r>
          </w:p>
        </w:tc>
        <w:tc>
          <w:tcPr>
            <w:tcW w:w="5950" w:type="dxa"/>
            <w:tcBorders>
              <w:top w:val="single" w:color="auto" w:sz="4" w:space="0"/>
              <w:left w:val="single" w:color="auto" w:sz="4" w:space="0"/>
              <w:bottom w:val="single" w:color="auto" w:sz="4" w:space="0"/>
              <w:right w:val="single" w:color="auto" w:sz="4" w:space="0"/>
            </w:tcBorders>
          </w:tcPr>
          <w:p w14:paraId="478616EB">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kern w:val="0"/>
                <w:szCs w:val="21"/>
              </w:rPr>
            </w:pPr>
            <w:r>
              <w:rPr>
                <w:rFonts w:hint="eastAsia" w:ascii="宋体" w:hAnsi="宋体" w:eastAsia="宋体" w:cs="宋体"/>
                <w:color w:val="FF0000"/>
                <w:kern w:val="0"/>
                <w:szCs w:val="21"/>
              </w:rPr>
              <w:t>本项目要求在进场施工日起 30 个日历日内完工，进场施工时间由采购人确定。</w:t>
            </w:r>
          </w:p>
        </w:tc>
      </w:tr>
      <w:tr w14:paraId="4FE7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90" w:type="dxa"/>
            <w:tcBorders>
              <w:top w:val="single" w:color="auto" w:sz="4" w:space="0"/>
              <w:left w:val="single" w:color="auto" w:sz="4" w:space="0"/>
              <w:right w:val="single" w:color="auto" w:sz="4" w:space="0"/>
            </w:tcBorders>
            <w:vAlign w:val="center"/>
          </w:tcPr>
          <w:p w14:paraId="38E3BB7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szCs w:val="21"/>
              </w:rPr>
            </w:pPr>
            <w:r>
              <w:rPr>
                <w:rFonts w:hint="eastAsia" w:ascii="宋体" w:hAnsi="宋体" w:eastAsia="宋体" w:cs="宋体"/>
                <w:b/>
                <w:bCs/>
                <w:szCs w:val="21"/>
              </w:rPr>
              <w:t>验收方式</w:t>
            </w:r>
          </w:p>
        </w:tc>
        <w:tc>
          <w:tcPr>
            <w:tcW w:w="5950" w:type="dxa"/>
            <w:tcBorders>
              <w:top w:val="single" w:color="auto" w:sz="4" w:space="0"/>
              <w:left w:val="single" w:color="auto" w:sz="4" w:space="0"/>
              <w:right w:val="single" w:color="auto" w:sz="4" w:space="0"/>
            </w:tcBorders>
          </w:tcPr>
          <w:p w14:paraId="205FDF7C">
            <w:pPr>
              <w:kinsoku/>
              <w:overflowPunct/>
              <w:topLinePunct w:val="0"/>
              <w:bidi w:val="0"/>
              <w:spacing w:beforeAutospacing="0" w:afterAutospacing="0" w:line="360" w:lineRule="auto"/>
              <w:ind w:left="0" w:leftChars="0" w:right="0" w:firstLine="0" w:firstLineChars="0"/>
              <w:rPr>
                <w:rFonts w:hint="eastAsia" w:ascii="宋体" w:hAnsi="宋体" w:eastAsia="宋体" w:cs="宋体"/>
                <w:bCs/>
                <w:color w:val="FF0000"/>
                <w:szCs w:val="21"/>
              </w:rPr>
            </w:pPr>
            <w:r>
              <w:rPr>
                <w:rFonts w:hint="eastAsia" w:ascii="宋体" w:hAnsi="宋体" w:eastAsia="宋体" w:cs="宋体"/>
                <w:bCs/>
                <w:color w:val="FF0000"/>
                <w:szCs w:val="21"/>
              </w:rPr>
              <w:t>由采购单位组织验收小组、监理单位、中标单位进行验收。</w:t>
            </w:r>
          </w:p>
        </w:tc>
      </w:tr>
      <w:tr w14:paraId="7055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90" w:type="dxa"/>
            <w:tcBorders>
              <w:top w:val="single" w:color="auto" w:sz="4" w:space="0"/>
              <w:left w:val="single" w:color="auto" w:sz="4" w:space="0"/>
              <w:right w:val="single" w:color="auto" w:sz="4" w:space="0"/>
            </w:tcBorders>
            <w:vAlign w:val="center"/>
          </w:tcPr>
          <w:p w14:paraId="0132404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报价要求</w:t>
            </w:r>
          </w:p>
        </w:tc>
        <w:tc>
          <w:tcPr>
            <w:tcW w:w="5950" w:type="dxa"/>
            <w:tcBorders>
              <w:top w:val="single" w:color="auto" w:sz="4" w:space="0"/>
              <w:left w:val="single" w:color="auto" w:sz="4" w:space="0"/>
              <w:right w:val="single" w:color="auto" w:sz="4" w:space="0"/>
            </w:tcBorders>
          </w:tcPr>
          <w:p w14:paraId="19B76EC0">
            <w:pPr>
              <w:kinsoku/>
              <w:overflowPunct/>
              <w:topLinePunct w:val="0"/>
              <w:bidi w:val="0"/>
              <w:spacing w:beforeAutospacing="0" w:afterAutospacing="0" w:line="360" w:lineRule="auto"/>
              <w:ind w:left="0" w:leftChars="0" w:right="0" w:firstLine="0" w:firstLineChars="0"/>
              <w:rPr>
                <w:rFonts w:hint="eastAsia" w:ascii="宋体" w:hAnsi="宋体" w:eastAsia="宋体" w:cs="宋体"/>
                <w:bCs/>
                <w:color w:val="FF0000"/>
                <w:szCs w:val="21"/>
              </w:rPr>
            </w:pPr>
            <w:r>
              <w:rPr>
                <w:rFonts w:hint="eastAsia" w:ascii="宋体" w:hAnsi="宋体" w:eastAsia="宋体" w:cs="宋体"/>
                <w:bCs/>
                <w:color w:val="FF0000"/>
                <w:szCs w:val="21"/>
              </w:rPr>
              <w:t>投标总价必须是完成该项目的一切费用总和，包括投标费、设备费、运输费、装卸费、保险费、技术培训费、设备安装费、调试费、检测费、国家规定的各项税费等。</w:t>
            </w:r>
          </w:p>
        </w:tc>
      </w:tr>
      <w:tr w14:paraId="6443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2AF4E8B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szCs w:val="21"/>
              </w:rPr>
            </w:pPr>
            <w:r>
              <w:rPr>
                <w:rFonts w:hint="eastAsia" w:ascii="宋体" w:hAnsi="宋体" w:eastAsia="宋体" w:cs="宋体"/>
                <w:b/>
                <w:bCs/>
                <w:szCs w:val="21"/>
              </w:rPr>
              <w:t>付款方式</w:t>
            </w:r>
          </w:p>
        </w:tc>
        <w:tc>
          <w:tcPr>
            <w:tcW w:w="5950" w:type="dxa"/>
            <w:tcBorders>
              <w:top w:val="single" w:color="auto" w:sz="4" w:space="0"/>
              <w:left w:val="single" w:color="auto" w:sz="4" w:space="0"/>
              <w:bottom w:val="single" w:color="auto" w:sz="4" w:space="0"/>
              <w:right w:val="single" w:color="auto" w:sz="4" w:space="0"/>
            </w:tcBorders>
          </w:tcPr>
          <w:p w14:paraId="13DE805B">
            <w:pPr>
              <w:kinsoku/>
              <w:overflowPunct/>
              <w:topLinePunct w:val="0"/>
              <w:bidi w:val="0"/>
              <w:spacing w:beforeAutospacing="0" w:afterAutospacing="0" w:line="360" w:lineRule="auto"/>
              <w:ind w:left="0" w:leftChars="0" w:right="0" w:firstLine="0" w:firstLineChars="0"/>
              <w:rPr>
                <w:rFonts w:hint="eastAsia" w:ascii="宋体" w:hAnsi="宋体" w:eastAsia="宋体" w:cs="宋体"/>
                <w:bCs/>
                <w:color w:val="FF0000"/>
                <w:szCs w:val="21"/>
              </w:rPr>
            </w:pPr>
            <w:r>
              <w:rPr>
                <w:rFonts w:hint="eastAsia" w:ascii="宋体" w:hAnsi="宋体" w:eastAsia="宋体" w:cs="宋体"/>
                <w:bCs/>
                <w:color w:val="FF0000"/>
                <w:szCs w:val="21"/>
              </w:rPr>
              <w:t>本项目完成并经验收合格后，对于满足合同约定支付条件的，采购人应当自收到发票后15日内将资金支付到合同约定的中标供应商账户。</w:t>
            </w:r>
          </w:p>
        </w:tc>
      </w:tr>
      <w:tr w14:paraId="13BF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56F92B80">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Cs/>
                <w:szCs w:val="21"/>
              </w:rPr>
            </w:pPr>
            <w:r>
              <w:rPr>
                <w:rFonts w:hint="eastAsia" w:ascii="宋体" w:hAnsi="宋体" w:eastAsia="宋体" w:cs="宋体"/>
                <w:b/>
                <w:bCs/>
                <w:szCs w:val="21"/>
              </w:rPr>
              <w:t>售后服务要求</w:t>
            </w:r>
          </w:p>
        </w:tc>
        <w:tc>
          <w:tcPr>
            <w:tcW w:w="5950" w:type="dxa"/>
            <w:tcBorders>
              <w:top w:val="single" w:color="auto" w:sz="4" w:space="0"/>
              <w:left w:val="single" w:color="auto" w:sz="4" w:space="0"/>
              <w:bottom w:val="single" w:color="auto" w:sz="4" w:space="0"/>
              <w:right w:val="single" w:color="auto" w:sz="4" w:space="0"/>
            </w:tcBorders>
          </w:tcPr>
          <w:p w14:paraId="28DF226A">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（1）要求中标方对本项目所采购的各项货物及货物集成提供三年的质保期。</w:t>
            </w:r>
          </w:p>
          <w:p w14:paraId="45E1F69C">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（2）要求中标方在交货完成后一周内，免费向用户方进行技术培训工作。</w:t>
            </w:r>
          </w:p>
          <w:p w14:paraId="3FA0701C">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（3）在保修期内由于质量原因造成的任何损伤和损坏，投标方须免费负责修理或更换。</w:t>
            </w:r>
          </w:p>
          <w:p w14:paraId="6B033946">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（4）保修期间，中标方须对设备使用每个季度不少于一次进行定期巡检，并签署巡检单</w:t>
            </w:r>
          </w:p>
        </w:tc>
      </w:tr>
      <w:tr w14:paraId="76C9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2B64A8E4">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szCs w:val="21"/>
              </w:rPr>
            </w:pPr>
            <w:r>
              <w:rPr>
                <w:rFonts w:hint="eastAsia" w:ascii="宋体" w:hAnsi="宋体" w:eastAsia="宋体" w:cs="宋体"/>
                <w:b/>
                <w:bCs/>
                <w:szCs w:val="21"/>
              </w:rPr>
              <w:t>其他要求</w:t>
            </w:r>
          </w:p>
        </w:tc>
        <w:tc>
          <w:tcPr>
            <w:tcW w:w="5950" w:type="dxa"/>
            <w:tcBorders>
              <w:top w:val="single" w:color="auto" w:sz="4" w:space="0"/>
              <w:left w:val="single" w:color="auto" w:sz="4" w:space="0"/>
              <w:bottom w:val="single" w:color="auto" w:sz="4" w:space="0"/>
              <w:right w:val="single" w:color="auto" w:sz="4" w:space="0"/>
            </w:tcBorders>
          </w:tcPr>
          <w:p w14:paraId="021A7CD8">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1</w:t>
            </w:r>
            <w:r>
              <w:rPr>
                <w:rFonts w:hint="eastAsia" w:ascii="宋体" w:hAnsi="宋体" w:eastAsia="宋体" w:cs="宋体"/>
                <w:color w:val="FF0000"/>
                <w:szCs w:val="21"/>
              </w:rPr>
              <w:t>）中标供应商在签订合同时应提供投标文件打印稿贰份，并加盖公章（一份交给监理公司，一份交给学校），同时提供投标文件的OFFICE文档。</w:t>
            </w:r>
          </w:p>
          <w:p w14:paraId="5B2202CA">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2</w:t>
            </w:r>
            <w:r>
              <w:rPr>
                <w:rFonts w:hint="eastAsia" w:ascii="宋体" w:hAnsi="宋体" w:eastAsia="宋体" w:cs="宋体"/>
                <w:color w:val="FF0000"/>
                <w:szCs w:val="21"/>
              </w:rPr>
              <w:t>）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14:paraId="636C4A59">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3</w:t>
            </w:r>
            <w:r>
              <w:rPr>
                <w:rFonts w:hint="eastAsia" w:ascii="宋体" w:hAnsi="宋体" w:eastAsia="宋体" w:cs="宋体"/>
                <w:color w:val="FF0000"/>
                <w:szCs w:val="21"/>
              </w:rPr>
              <w:t>）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14:paraId="289FB4AF">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教室照明设备还需提供质量检测合格报告（现场抽样）。</w:t>
            </w:r>
          </w:p>
          <w:p w14:paraId="4FB0EA39">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4</w:t>
            </w:r>
            <w:r>
              <w:rPr>
                <w:rFonts w:hint="eastAsia" w:ascii="宋体" w:hAnsi="宋体" w:eastAsia="宋体" w:cs="宋体"/>
                <w:color w:val="FF0000"/>
                <w:szCs w:val="21"/>
              </w:rPr>
              <w:t>）投标商必须确保中标后提供的货物为正规渠道供货，不存在违反国家法律、法规的情况。</w:t>
            </w:r>
          </w:p>
          <w:p w14:paraId="3E463561">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5</w:t>
            </w:r>
            <w:r>
              <w:rPr>
                <w:rFonts w:hint="eastAsia" w:ascii="宋体" w:hAnsi="宋体" w:eastAsia="宋体" w:cs="宋体"/>
                <w:color w:val="FF0000"/>
                <w:szCs w:val="21"/>
              </w:rPr>
              <w:t>）特别条款：对于单纯家具（含课桌椅）项目、含家具或装修的功能室项目及教室照明设备在验收时还需提供以下材料：</w:t>
            </w:r>
          </w:p>
          <w:p w14:paraId="1B86E023">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color w:val="FF0000"/>
                <w:szCs w:val="21"/>
              </w:rPr>
              <w:t>教室照明设备应满足《深圳市中小学教室照明产品采购与安装技术指引（2020年版）》的要求，需委托市级或省级以上有资质第三方检测机构（有CNAS和CMA证书）进行现场抽样检测且合格，提供检测合格报告。检测项目如下表：</w:t>
            </w:r>
          </w:p>
          <w:p w14:paraId="53CB1D6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样板间与改造后教室照明现场检测项目表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047"/>
              <w:gridCol w:w="2219"/>
              <w:gridCol w:w="1443"/>
            </w:tblGrid>
            <w:tr w14:paraId="1FEA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69" w:type="dxa"/>
                  <w:noWrap/>
                  <w:vAlign w:val="center"/>
                </w:tcPr>
                <w:p w14:paraId="03F7DF9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检测内容</w:t>
                  </w:r>
                </w:p>
              </w:tc>
              <w:tc>
                <w:tcPr>
                  <w:tcW w:w="3266" w:type="dxa"/>
                  <w:gridSpan w:val="2"/>
                  <w:noWrap/>
                  <w:vAlign w:val="center"/>
                </w:tcPr>
                <w:p w14:paraId="4467953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检测指标</w:t>
                  </w:r>
                </w:p>
              </w:tc>
              <w:tc>
                <w:tcPr>
                  <w:tcW w:w="1443" w:type="dxa"/>
                  <w:noWrap/>
                  <w:vAlign w:val="center"/>
                </w:tcPr>
                <w:p w14:paraId="729A29E5">
                  <w:pPr>
                    <w:kinsoku/>
                    <w:overflowPunct/>
                    <w:topLinePunct w:val="0"/>
                    <w:bidi w:val="0"/>
                    <w:spacing w:beforeAutospacing="0" w:afterAutospacing="0" w:line="360" w:lineRule="auto"/>
                    <w:ind w:left="0" w:leftChars="0" w:right="0" w:rightChars="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检测方法</w:t>
                  </w:r>
                </w:p>
              </w:tc>
            </w:tr>
            <w:tr w14:paraId="6D8B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Merge w:val="restart"/>
                  <w:noWrap/>
                  <w:vAlign w:val="center"/>
                </w:tcPr>
                <w:p w14:paraId="28905FF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样板间与改造后教室照明现场检测项目</w:t>
                  </w:r>
                </w:p>
              </w:tc>
              <w:tc>
                <w:tcPr>
                  <w:tcW w:w="1047" w:type="dxa"/>
                  <w:vMerge w:val="restart"/>
                  <w:noWrap/>
                  <w:vAlign w:val="center"/>
                </w:tcPr>
                <w:p w14:paraId="77669D9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课桌面照度</w:t>
                  </w:r>
                </w:p>
              </w:tc>
              <w:tc>
                <w:tcPr>
                  <w:tcW w:w="2219" w:type="dxa"/>
                  <w:noWrap/>
                  <w:vAlign w:val="center"/>
                </w:tcPr>
                <w:p w14:paraId="55FDFC2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维持平均照度</w:t>
                  </w:r>
                </w:p>
              </w:tc>
              <w:tc>
                <w:tcPr>
                  <w:tcW w:w="1443" w:type="dxa"/>
                  <w:vMerge w:val="restart"/>
                  <w:noWrap/>
                  <w:vAlign w:val="center"/>
                </w:tcPr>
                <w:p w14:paraId="59EA2F98">
                  <w:pPr>
                    <w:kinsoku/>
                    <w:overflowPunct/>
                    <w:topLinePunct w:val="0"/>
                    <w:bidi w:val="0"/>
                    <w:spacing w:beforeAutospacing="0" w:afterAutospacing="0" w:line="360" w:lineRule="auto"/>
                    <w:ind w:left="0" w:leftChars="0" w:right="0" w:rightChars="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委托市级或省级以上有资质第三方检测机构（有CNAS和CMA证书）进行现场检测</w:t>
                  </w:r>
                </w:p>
              </w:tc>
            </w:tr>
            <w:tr w14:paraId="0863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Merge w:val="continue"/>
                  <w:noWrap/>
                  <w:vAlign w:val="center"/>
                </w:tcPr>
                <w:p w14:paraId="3D295E5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vMerge w:val="continue"/>
                  <w:noWrap/>
                  <w:vAlign w:val="center"/>
                </w:tcPr>
                <w:p w14:paraId="63855A7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2219" w:type="dxa"/>
                  <w:noWrap/>
                  <w:vAlign w:val="center"/>
                </w:tcPr>
                <w:p w14:paraId="17277C7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照度均匀度</w:t>
                  </w:r>
                </w:p>
              </w:tc>
              <w:tc>
                <w:tcPr>
                  <w:tcW w:w="1443" w:type="dxa"/>
                  <w:vMerge w:val="continue"/>
                  <w:noWrap/>
                  <w:vAlign w:val="center"/>
                </w:tcPr>
                <w:p w14:paraId="167C8A99">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0407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9" w:type="dxa"/>
                  <w:vMerge w:val="continue"/>
                  <w:noWrap/>
                  <w:vAlign w:val="center"/>
                </w:tcPr>
                <w:p w14:paraId="7514DA6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vMerge w:val="restart"/>
                  <w:noWrap/>
                  <w:vAlign w:val="center"/>
                </w:tcPr>
                <w:p w14:paraId="05407AD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黑板面照度</w:t>
                  </w:r>
                </w:p>
              </w:tc>
              <w:tc>
                <w:tcPr>
                  <w:tcW w:w="2219" w:type="dxa"/>
                  <w:noWrap/>
                  <w:vAlign w:val="center"/>
                </w:tcPr>
                <w:p w14:paraId="7DEC8A7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维持平均照度</w:t>
                  </w:r>
                </w:p>
              </w:tc>
              <w:tc>
                <w:tcPr>
                  <w:tcW w:w="1443" w:type="dxa"/>
                  <w:vMerge w:val="continue"/>
                  <w:noWrap/>
                  <w:vAlign w:val="center"/>
                </w:tcPr>
                <w:p w14:paraId="2E897F33">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4040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9" w:type="dxa"/>
                  <w:vMerge w:val="continue"/>
                  <w:noWrap/>
                  <w:vAlign w:val="center"/>
                </w:tcPr>
                <w:p w14:paraId="1C6E17E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vMerge w:val="continue"/>
                  <w:noWrap/>
                  <w:vAlign w:val="center"/>
                </w:tcPr>
                <w:p w14:paraId="0727FC3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2219" w:type="dxa"/>
                  <w:noWrap/>
                  <w:vAlign w:val="center"/>
                </w:tcPr>
                <w:p w14:paraId="4666989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照度均匀度</w:t>
                  </w:r>
                </w:p>
              </w:tc>
              <w:tc>
                <w:tcPr>
                  <w:tcW w:w="1443" w:type="dxa"/>
                  <w:vMerge w:val="continue"/>
                  <w:noWrap/>
                  <w:vAlign w:val="center"/>
                </w:tcPr>
                <w:p w14:paraId="28503D96">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4380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69" w:type="dxa"/>
                  <w:vMerge w:val="continue"/>
                  <w:noWrap/>
                  <w:vAlign w:val="center"/>
                </w:tcPr>
                <w:p w14:paraId="0596BBB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noWrap/>
                  <w:vAlign w:val="center"/>
                </w:tcPr>
                <w:p w14:paraId="1159BEE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功率密度</w:t>
                  </w:r>
                </w:p>
              </w:tc>
              <w:tc>
                <w:tcPr>
                  <w:tcW w:w="2219" w:type="dxa"/>
                  <w:noWrap/>
                  <w:vAlign w:val="center"/>
                </w:tcPr>
                <w:p w14:paraId="003EBEE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现场教室灯具实测总输入功率与教室面积之比</w:t>
                  </w:r>
                </w:p>
              </w:tc>
              <w:tc>
                <w:tcPr>
                  <w:tcW w:w="1443" w:type="dxa"/>
                  <w:vMerge w:val="continue"/>
                  <w:noWrap/>
                  <w:vAlign w:val="center"/>
                </w:tcPr>
                <w:p w14:paraId="1B2531BE">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400E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Merge w:val="continue"/>
                  <w:noWrap/>
                  <w:vAlign w:val="center"/>
                </w:tcPr>
                <w:p w14:paraId="3228F1A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noWrap/>
                  <w:vAlign w:val="center"/>
                </w:tcPr>
                <w:p w14:paraId="74977A3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统一眩光值</w:t>
                  </w:r>
                </w:p>
              </w:tc>
              <w:tc>
                <w:tcPr>
                  <w:tcW w:w="2219" w:type="dxa"/>
                  <w:noWrap/>
                  <w:vAlign w:val="center"/>
                </w:tcPr>
                <w:p w14:paraId="274BC46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教室现场统一眩光值</w:t>
                  </w:r>
                </w:p>
              </w:tc>
              <w:tc>
                <w:tcPr>
                  <w:tcW w:w="1443" w:type="dxa"/>
                  <w:vMerge w:val="continue"/>
                  <w:noWrap/>
                  <w:vAlign w:val="center"/>
                </w:tcPr>
                <w:p w14:paraId="0249644B">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028D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9" w:type="dxa"/>
                  <w:vMerge w:val="continue"/>
                  <w:noWrap/>
                  <w:vAlign w:val="center"/>
                </w:tcPr>
                <w:p w14:paraId="0E91C60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noWrap/>
                  <w:vAlign w:val="center"/>
                </w:tcPr>
                <w:p w14:paraId="170BA058">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相关色温</w:t>
                  </w:r>
                </w:p>
              </w:tc>
              <w:tc>
                <w:tcPr>
                  <w:tcW w:w="2219" w:type="dxa"/>
                  <w:noWrap/>
                  <w:vAlign w:val="center"/>
                </w:tcPr>
                <w:p w14:paraId="1561586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课桌面相关色温</w:t>
                  </w:r>
                </w:p>
              </w:tc>
              <w:tc>
                <w:tcPr>
                  <w:tcW w:w="1443" w:type="dxa"/>
                  <w:vMerge w:val="continue"/>
                  <w:noWrap/>
                  <w:vAlign w:val="center"/>
                </w:tcPr>
                <w:p w14:paraId="753C0E33">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7371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69" w:type="dxa"/>
                  <w:vMerge w:val="continue"/>
                  <w:noWrap/>
                  <w:vAlign w:val="center"/>
                </w:tcPr>
                <w:p w14:paraId="706283C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noWrap/>
                  <w:vAlign w:val="center"/>
                </w:tcPr>
                <w:p w14:paraId="66C8DDE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显示指数</w:t>
                  </w:r>
                </w:p>
              </w:tc>
              <w:tc>
                <w:tcPr>
                  <w:tcW w:w="2219" w:type="dxa"/>
                  <w:noWrap/>
                  <w:vAlign w:val="center"/>
                </w:tcPr>
                <w:p w14:paraId="0EFD386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课桌面一般显色指数、LED灯具特殊显色指数（R9）</w:t>
                  </w:r>
                </w:p>
              </w:tc>
              <w:tc>
                <w:tcPr>
                  <w:tcW w:w="1443" w:type="dxa"/>
                  <w:vMerge w:val="continue"/>
                  <w:noWrap/>
                  <w:vAlign w:val="center"/>
                </w:tcPr>
                <w:p w14:paraId="7863D450">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58C1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9" w:type="dxa"/>
                  <w:vMerge w:val="continue"/>
                  <w:noWrap/>
                  <w:vAlign w:val="center"/>
                </w:tcPr>
                <w:p w14:paraId="38C67AF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noWrap/>
                  <w:vAlign w:val="center"/>
                </w:tcPr>
                <w:p w14:paraId="737F706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教室灯具高度</w:t>
                  </w:r>
                </w:p>
              </w:tc>
              <w:tc>
                <w:tcPr>
                  <w:tcW w:w="2219" w:type="dxa"/>
                  <w:noWrap/>
                  <w:vAlign w:val="center"/>
                </w:tcPr>
                <w:p w14:paraId="33A8852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教室灯具下沿距课桌面垂直距离</w:t>
                  </w:r>
                </w:p>
              </w:tc>
              <w:tc>
                <w:tcPr>
                  <w:tcW w:w="1443" w:type="dxa"/>
                  <w:vMerge w:val="continue"/>
                  <w:noWrap/>
                  <w:vAlign w:val="center"/>
                </w:tcPr>
                <w:p w14:paraId="1C17AD64">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42F8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69" w:type="dxa"/>
                  <w:vMerge w:val="continue"/>
                  <w:noWrap/>
                  <w:vAlign w:val="center"/>
                </w:tcPr>
                <w:p w14:paraId="579575A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noWrap/>
                  <w:vAlign w:val="center"/>
                </w:tcPr>
                <w:p w14:paraId="634CE9E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黑板灯具高度和距离</w:t>
                  </w:r>
                </w:p>
              </w:tc>
              <w:tc>
                <w:tcPr>
                  <w:tcW w:w="2219" w:type="dxa"/>
                  <w:noWrap/>
                  <w:vAlign w:val="center"/>
                </w:tcPr>
                <w:p w14:paraId="509A416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黑板灯具下沿距黑板上缘垂直距离，黑板灯具距黑板的水平距离</w:t>
                  </w:r>
                </w:p>
              </w:tc>
              <w:tc>
                <w:tcPr>
                  <w:tcW w:w="1443" w:type="dxa"/>
                  <w:vMerge w:val="continue"/>
                  <w:noWrap/>
                  <w:vAlign w:val="center"/>
                </w:tcPr>
                <w:p w14:paraId="2D0548B4">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r w14:paraId="7566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9" w:type="dxa"/>
                  <w:vMerge w:val="continue"/>
                  <w:noWrap/>
                  <w:vAlign w:val="center"/>
                </w:tcPr>
                <w:p w14:paraId="7685F8D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p>
              </w:tc>
              <w:tc>
                <w:tcPr>
                  <w:tcW w:w="1047" w:type="dxa"/>
                  <w:noWrap/>
                  <w:vAlign w:val="center"/>
                </w:tcPr>
                <w:p w14:paraId="033E77E1">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波动深度</w:t>
                  </w:r>
                </w:p>
              </w:tc>
              <w:tc>
                <w:tcPr>
                  <w:tcW w:w="2219" w:type="dxa"/>
                  <w:noWrap/>
                  <w:vAlign w:val="center"/>
                </w:tcPr>
                <w:p w14:paraId="1852DCD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Cs w:val="21"/>
                    </w:rPr>
                  </w:pPr>
                  <w:r>
                    <w:rPr>
                      <w:rFonts w:hint="eastAsia" w:ascii="宋体" w:hAnsi="宋体" w:eastAsia="宋体" w:cs="宋体"/>
                      <w:color w:val="FF0000"/>
                      <w:szCs w:val="21"/>
                    </w:rPr>
                    <w:t>教室灯具和黑板灯具的波形频率</w:t>
                  </w:r>
                </w:p>
              </w:tc>
              <w:tc>
                <w:tcPr>
                  <w:tcW w:w="1443" w:type="dxa"/>
                  <w:vMerge w:val="continue"/>
                  <w:noWrap/>
                  <w:vAlign w:val="center"/>
                </w:tcPr>
                <w:p w14:paraId="70FFC855">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p>
              </w:tc>
            </w:tr>
          </w:tbl>
          <w:p w14:paraId="0C834923">
            <w:pPr>
              <w:pStyle w:val="2"/>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9.验收报告所提供的第三方认证机构出具的现场检验检测报告须可在全国认证认可信息公共服务平台（http://cx.cnca.cn/CertECloud/qts/qts/qtsPage）查询有效。</w:t>
            </w:r>
          </w:p>
          <w:p w14:paraId="3FDD6571">
            <w:pPr>
              <w:pStyle w:val="2"/>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10. 投标时提供所投LED灯具 ：</w:t>
            </w:r>
          </w:p>
          <w:p w14:paraId="23232C6C">
            <w:pPr>
              <w:pStyle w:val="2"/>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（1）国家强制性产品认证CCC证书；</w:t>
            </w:r>
          </w:p>
          <w:p w14:paraId="72A3087D">
            <w:pPr>
              <w:pStyle w:val="2"/>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（2）符合CQC 3155-2016规范的中国节能产品认证证书及检验检测报告【加盖（或带有）CMA标志】扫描件；</w:t>
            </w:r>
          </w:p>
          <w:p w14:paraId="2197BE08">
            <w:pPr>
              <w:pStyle w:val="2"/>
              <w:rPr>
                <w:rFonts w:hint="eastAsia" w:ascii="宋体" w:hAnsi="宋体" w:eastAsia="宋体" w:cs="宋体"/>
              </w:rPr>
            </w:pPr>
            <w:r>
              <w:rPr>
                <w:rFonts w:hint="eastAsia" w:ascii="宋体" w:hAnsi="宋体" w:eastAsia="宋体" w:cs="宋体"/>
                <w:b/>
                <w:bCs/>
                <w:color w:val="FF0000"/>
                <w:kern w:val="2"/>
                <w:sz w:val="21"/>
                <w:szCs w:val="21"/>
                <w:highlight w:val="yellow"/>
                <w:lang w:val="en-US" w:eastAsia="zh-CN" w:bidi="ar-SA"/>
              </w:rPr>
              <w:t>（3）依据《灯和灯系统的光生物安全性（GB/T 20145-2006）》标准检测，检测结果为合格或符合。（需由国内副省级或以上城市计量质量检测机构出具且加盖或带有CMA标志的检验检测报告扫描件，检测类别为:抽样检测；注:本小项检验检测报告出具的时间应在本项目投标截止日前1年内）。</w:t>
            </w:r>
          </w:p>
        </w:tc>
      </w:tr>
    </w:tbl>
    <w:p w14:paraId="5F3F3E59">
      <w:pPr>
        <w:keepNext/>
        <w:keepLines/>
        <w:tabs>
          <w:tab w:val="left" w:pos="1680"/>
        </w:tabs>
        <w:kinsoku/>
        <w:overflowPunct/>
        <w:topLinePunct w:val="0"/>
        <w:bidi w:val="0"/>
        <w:spacing w:beforeAutospacing="0" w:afterAutospacing="0" w:line="360" w:lineRule="auto"/>
        <w:ind w:left="0" w:leftChars="0" w:right="0" w:firstLine="0" w:firstLineChars="0"/>
        <w:jc w:val="center"/>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、技术</w:t>
      </w:r>
      <w:r>
        <w:rPr>
          <w:rFonts w:hint="eastAsia" w:ascii="宋体" w:hAnsi="宋体" w:eastAsia="宋体" w:cs="宋体"/>
          <w:b/>
          <w:bCs/>
          <w:sz w:val="32"/>
          <w:szCs w:val="32"/>
          <w:lang w:val="en-US" w:eastAsia="zh-CN"/>
        </w:rPr>
        <w:t>要求</w:t>
      </w:r>
      <w:r>
        <w:rPr>
          <w:rFonts w:hint="eastAsia" w:ascii="宋体" w:hAnsi="宋体" w:eastAsia="宋体" w:cs="宋体"/>
          <w:b/>
          <w:bCs/>
          <w:sz w:val="32"/>
          <w:szCs w:val="32"/>
        </w:rPr>
        <w:t>部分</w:t>
      </w:r>
    </w:p>
    <w:p w14:paraId="3AD6149B">
      <w:pPr>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szCs w:val="21"/>
          <w:highlight w:val="yellow"/>
        </w:rPr>
      </w:pPr>
      <w:r>
        <w:rPr>
          <w:rFonts w:hint="eastAsia" w:ascii="宋体" w:hAnsi="宋体" w:eastAsia="宋体" w:cs="宋体"/>
          <w:b/>
          <w:color w:val="FF0000"/>
          <w:szCs w:val="21"/>
        </w:rPr>
        <w:t>1、带</w:t>
      </w:r>
      <w:r>
        <w:rPr>
          <w:rFonts w:hint="eastAsia" w:ascii="宋体" w:hAnsi="宋体" w:eastAsia="宋体" w:cs="宋体"/>
          <w:b/>
          <w:bCs/>
          <w:color w:val="FF0000"/>
          <w:szCs w:val="21"/>
        </w:rPr>
        <w:t>★</w:t>
      </w:r>
      <w:r>
        <w:rPr>
          <w:rFonts w:hint="eastAsia" w:ascii="宋体" w:hAnsi="宋体" w:eastAsia="宋体" w:cs="宋体"/>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宋体"/>
          <w:b/>
          <w:color w:val="FF0000"/>
          <w:szCs w:val="21"/>
          <w:highlight w:val="yellow"/>
        </w:rPr>
        <w:t>如注明要求提供相关佐证材料的，需以佐证材料作为是否偏离的依据。</w:t>
      </w:r>
    </w:p>
    <w:p w14:paraId="78225F23">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2、所列的技术参数需求中如出现品牌信息仅供参考，不作为参数要求，目的只为投标人更清楚地了解采购需求，投标人可提供其他品牌设备投标。</w:t>
      </w:r>
    </w:p>
    <w:p w14:paraId="31E5ECEF">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rPr>
      </w:pPr>
      <w:r>
        <w:rPr>
          <w:rFonts w:hint="eastAsia" w:ascii="宋体" w:hAnsi="宋体" w:eastAsia="宋体" w:cs="宋体"/>
          <w:color w:val="FF0000"/>
          <w:szCs w:val="21"/>
        </w:rPr>
        <w:t>3、如有方案表述中有出现类似可实现、实现、可支持、支持等描述的，均表示方案需要实现的功能或应满足的要求，即项目在验收时无须增加其他额外设备或系统，使用本项目中的设备或系统即能实现相应功能或满足相关要求。</w:t>
      </w:r>
    </w:p>
    <w:p w14:paraId="322D3420">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4、针对招标文件产品技术参数如涉及相关既定值、单向范围值、区间范围值的，投标技术参数响应方式举例说明如下：</w:t>
      </w:r>
    </w:p>
    <w:p w14:paraId="383EA8AD">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（1）涉及相关既定值的，例：招标技术参数要求值为“20L”，投标技术参数响应值与“20L”不一致的，均视为负偏离；</w:t>
      </w:r>
    </w:p>
    <w:p w14:paraId="7AE7DA0A">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6174944C">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34"/>
        <w:gridCol w:w="6485"/>
      </w:tblGrid>
      <w:tr w14:paraId="250E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1" w:type="dxa"/>
            <w:vAlign w:val="center"/>
          </w:tcPr>
          <w:p w14:paraId="3AC75DA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bookmarkStart w:id="15" w:name="_Hlk70236148"/>
            <w:r>
              <w:rPr>
                <w:rFonts w:hint="eastAsia" w:ascii="宋体" w:hAnsi="宋体" w:eastAsia="宋体" w:cs="宋体"/>
                <w:b w:val="0"/>
                <w:bCs w:val="0"/>
                <w:color w:val="000000" w:themeColor="text1"/>
                <w:sz w:val="21"/>
                <w:szCs w:val="21"/>
              </w:rPr>
              <w:t>序号</w:t>
            </w:r>
          </w:p>
        </w:tc>
        <w:tc>
          <w:tcPr>
            <w:tcW w:w="1134" w:type="dxa"/>
            <w:vAlign w:val="center"/>
          </w:tcPr>
          <w:p w14:paraId="53E0E8C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货物</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lang w:val="en-US" w:eastAsia="zh-CN"/>
              </w:rPr>
              <w:t>标的</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名称</w:t>
            </w:r>
          </w:p>
        </w:tc>
        <w:tc>
          <w:tcPr>
            <w:tcW w:w="6485" w:type="dxa"/>
            <w:vAlign w:val="center"/>
          </w:tcPr>
          <w:p w14:paraId="73D619D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招标技术要求</w:t>
            </w:r>
          </w:p>
        </w:tc>
      </w:tr>
      <w:tr w14:paraId="474D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1ECCAD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kern w:val="0"/>
                <w:sz w:val="21"/>
                <w:szCs w:val="21"/>
              </w:rPr>
              <w:t>1</w:t>
            </w:r>
          </w:p>
        </w:tc>
        <w:tc>
          <w:tcPr>
            <w:tcW w:w="1134" w:type="dxa"/>
            <w:vMerge w:val="restart"/>
            <w:vAlign w:val="center"/>
          </w:tcPr>
          <w:p w14:paraId="1587EA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sz w:val="21"/>
                <w:szCs w:val="21"/>
              </w:rPr>
              <w:t>护眼灯1</w:t>
            </w:r>
          </w:p>
        </w:tc>
        <w:tc>
          <w:tcPr>
            <w:tcW w:w="6485" w:type="dxa"/>
            <w:vAlign w:val="center"/>
          </w:tcPr>
          <w:p w14:paraId="048C816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1、LED教室灯额定功率36±2W。</w:t>
            </w:r>
          </w:p>
        </w:tc>
      </w:tr>
      <w:tr w14:paraId="483B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086BDF3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6429AF0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10B69FF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2、LED教室灯尺寸≥1200mm；为一体式格栅防眩灯具，灯具外形应平整、无凹陷和毛刺，焊缝无透光现象，表面均匀、光洁，无流挂现象。</w:t>
            </w:r>
          </w:p>
        </w:tc>
      </w:tr>
      <w:tr w14:paraId="1014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EA4742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3208BCE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1C725BD1">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3、LED教室灯色温（或相关色温）3300-5300K。</w:t>
            </w:r>
          </w:p>
        </w:tc>
      </w:tr>
      <w:tr w14:paraId="7CC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CBF097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412BE757">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7ECE8EC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4、LED教室灯显色指数Ra≥90、R9≥50。</w:t>
            </w:r>
          </w:p>
        </w:tc>
      </w:tr>
      <w:tr w14:paraId="4043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A7A8F3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4ADEDBC0">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16EFC10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5、LED教室灯色容差（或色品容差）≤5SDCM。</w:t>
            </w:r>
          </w:p>
        </w:tc>
      </w:tr>
      <w:tr w14:paraId="6AA9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D910C8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1C6D3BB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EAB032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6、LED教室灯灯具效能≥80lm/W。</w:t>
            </w:r>
          </w:p>
        </w:tc>
      </w:tr>
      <w:tr w14:paraId="1662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FC360A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3AB7784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4DAC3BE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7、LED教室灯通过人体电磁辐射测试。</w:t>
            </w:r>
          </w:p>
        </w:tc>
      </w:tr>
      <w:tr w14:paraId="4001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B44FF7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02CEE55">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2EDD8CE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8、LED教室灯噪声≤18 dB（A）。</w:t>
            </w:r>
          </w:p>
        </w:tc>
      </w:tr>
      <w:tr w14:paraId="3821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8B97A0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5D3F5B1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67F042F">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rPr>
              <w:t>▲9、LED教室灯在大气压力≥80kPa，平均湿度≥30%RH及极值空气温度≥35℃的实地环境条件下至少持续运行200小时，至少依据《GB/T31831-2015》《GB/T31897.201-2016》《GB/T5700-2008》、《GB/T31897.1-2015》及《GB/T9468-2008》标准通过可靠认证。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5BE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593A59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5C7CD0D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2057817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rPr>
              <w:t>▲10、LED教室灯在环境温度20±10℃及大气压力96±10kPa条件下存放48小时运行后，至少依据《GB/T31831-2015》《GB/T31897.201-2016》《GB/T5700-2008》《GB/T31897.1-2015》及《GB/T9468-2008》标准满足灯具长度尺寸变化率不超过±0.05%。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1BCF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300EFC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E32921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B44762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11、LED教室灯蓝光危害等级为RG0（或0类危险）。</w:t>
            </w:r>
          </w:p>
        </w:tc>
      </w:tr>
      <w:tr w14:paraId="2436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C51AEA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2338D31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3C8F89B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12、LED教室灯通过频闪无危害或无频闪危害或无显著影响认证。</w:t>
            </w:r>
          </w:p>
        </w:tc>
      </w:tr>
      <w:tr w14:paraId="23EF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5643F6E">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54BD66E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CE6AEF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13、LED教室灯绝缘电阻和电气强度符合《GB7000.1》要求。</w:t>
            </w:r>
          </w:p>
        </w:tc>
      </w:tr>
      <w:tr w14:paraId="4EDF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D89E34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2AC3B50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1BAA48A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14、LED教室灯浪涌符合《GB/T18595》要求。</w:t>
            </w:r>
          </w:p>
        </w:tc>
      </w:tr>
      <w:tr w14:paraId="3493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06C5772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8DDE5B7">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1782ABF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15、LED教室灯至少依据《GB 7000.1》、《GB/T31897.1》标准满足透光罩无黄变。</w:t>
            </w:r>
          </w:p>
        </w:tc>
      </w:tr>
      <w:tr w14:paraId="6334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067A912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70074EC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33C7023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16、LED教室灯至少依据《GB 7000.1》、《GB 7000.201》及《GB/T31897.201》标准通过结构安全认证。</w:t>
            </w:r>
          </w:p>
        </w:tc>
      </w:tr>
      <w:tr w14:paraId="5ED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81FE42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756946C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37B3CFF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17、为确保灯具工作稳定可靠，LED教室灯至少依据《GB/T 33721》、《GB/T 9468》及《GB/T 24823》标准通过75000次或以上开关循环测试，且开关循环测试前后光通量变化比≤5%。</w:t>
            </w:r>
          </w:p>
        </w:tc>
      </w:tr>
      <w:tr w14:paraId="5C36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0D584065">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2FD5E3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3227F9F8">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18、LED教室灯至少依据《GB/T 26572》及《GB/T 26125》标准通过电器电子产品认证。</w:t>
            </w:r>
          </w:p>
        </w:tc>
      </w:tr>
      <w:tr w14:paraId="6D99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94860B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455BEE7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E17242B">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19、LED教室灯改造后满足课桌面维持平均照度≥300Lx，照度均匀度≥0.7，照明功率密度≤9W/㎡，教室统一眩光等级UGR＜19。</w:t>
            </w:r>
          </w:p>
        </w:tc>
      </w:tr>
      <w:tr w14:paraId="5457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278E75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1"/>
                <w:szCs w:val="21"/>
              </w:rPr>
            </w:pPr>
            <w:r>
              <w:rPr>
                <w:rFonts w:hint="eastAsia" w:ascii="宋体" w:hAnsi="宋体" w:eastAsia="宋体" w:cs="宋体"/>
                <w:kern w:val="0"/>
                <w:szCs w:val="21"/>
              </w:rPr>
              <w:t>2</w:t>
            </w:r>
          </w:p>
        </w:tc>
        <w:tc>
          <w:tcPr>
            <w:tcW w:w="1134" w:type="dxa"/>
            <w:vMerge w:val="restart"/>
            <w:vAlign w:val="center"/>
          </w:tcPr>
          <w:p w14:paraId="24AB2CB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1"/>
                <w:szCs w:val="21"/>
              </w:rPr>
            </w:pPr>
            <w:r>
              <w:rPr>
                <w:rFonts w:hint="eastAsia" w:ascii="宋体" w:hAnsi="宋体" w:eastAsia="宋体" w:cs="宋体"/>
                <w:color w:val="000000"/>
                <w:szCs w:val="21"/>
              </w:rPr>
              <w:t>护眼灯2</w:t>
            </w:r>
          </w:p>
        </w:tc>
        <w:tc>
          <w:tcPr>
            <w:tcW w:w="6485" w:type="dxa"/>
            <w:vAlign w:val="center"/>
          </w:tcPr>
          <w:p w14:paraId="0A33765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20、LED教室灯额定功率36±2W。</w:t>
            </w:r>
          </w:p>
        </w:tc>
      </w:tr>
      <w:tr w14:paraId="6D28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2C04DF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78609407">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C51920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21、LED教室灯整灯尺寸长600±20mm、宽600±20mm、厚10±5mm，配合吊顶安装环境；为一体式微晶防眩面板灯，灯具外形应平整、无凹陷和毛刺，焊缝无透光现象，表面均匀、光洁，无流挂现象。</w:t>
            </w:r>
          </w:p>
        </w:tc>
      </w:tr>
      <w:tr w14:paraId="2EF3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E9095FE">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DED075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40F109F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22、LED教室灯色温（或相关色温）3300-5300K。</w:t>
            </w:r>
          </w:p>
        </w:tc>
      </w:tr>
      <w:tr w14:paraId="11D3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51D34E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2C8B0ED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0967D71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23、LED教室灯显色指数Ra≥90、R9≥50。</w:t>
            </w:r>
          </w:p>
        </w:tc>
      </w:tr>
      <w:tr w14:paraId="325F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517CDA0">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156A02E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41522C5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24、LED教室灯色容差（或色品容差）≤5SDCM。</w:t>
            </w:r>
          </w:p>
        </w:tc>
      </w:tr>
      <w:tr w14:paraId="131A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1DCD57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7EA948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5877C5D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25、LED教室灯灯具效能≥80lm/W。</w:t>
            </w:r>
          </w:p>
        </w:tc>
      </w:tr>
      <w:tr w14:paraId="6DEC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348319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72B7D70E">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08AEFBC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26、LED教室灯通过人体电磁辐射测试。</w:t>
            </w:r>
          </w:p>
        </w:tc>
      </w:tr>
      <w:tr w14:paraId="2F81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0AE3454E">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3F2AFA3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4D7A8AD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27、LED教室灯噪声≤18 dB（A）。</w:t>
            </w:r>
          </w:p>
        </w:tc>
      </w:tr>
      <w:tr w14:paraId="7EB9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9786B0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21106ED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189C416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sz w:val="21"/>
                <w:szCs w:val="21"/>
              </w:rPr>
              <w:t>28、为确保灯具工作稳定可靠，LED教室灯至少依据《GB/T 33721》、《GB/T 9468》及《GB/T 24823》标准通过75000次或以上开关循环测试，且开关循环测试前后光通量变化比≤5%。</w:t>
            </w:r>
          </w:p>
        </w:tc>
      </w:tr>
      <w:tr w14:paraId="7456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123E40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42F3D2A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3F03809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rPr>
              <w:t>29、LED教室灯至少依据《GB/T 26572》及《GB/T 26125》标准通过电器电子产品认证。</w:t>
            </w:r>
          </w:p>
        </w:tc>
      </w:tr>
      <w:tr w14:paraId="5C53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32B93E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1EDFA92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CE901D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rPr>
              <w:t>30、LED教室灯蓝光危害等级为RG0（或0类危险）。</w:t>
            </w:r>
          </w:p>
        </w:tc>
      </w:tr>
      <w:tr w14:paraId="3DFB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E4AA95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578A66C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4ECE81D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rPr>
              <w:t>31、LED教室灯通过频闪无危害或无频闪危害或无显著影响认证。</w:t>
            </w:r>
          </w:p>
        </w:tc>
      </w:tr>
      <w:tr w14:paraId="450F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517709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53180C4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5F72E73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rPr>
              <w:t>32、LED教室灯绝缘电阻和电气强度符合《GB7000.1》要求。</w:t>
            </w:r>
          </w:p>
        </w:tc>
      </w:tr>
      <w:tr w14:paraId="31BC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39342E5">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6AD2459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7B77168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rPr>
              <w:t>33、LED教室灯浪涌符合《GB/T18595》要求。</w:t>
            </w:r>
          </w:p>
        </w:tc>
      </w:tr>
      <w:tr w14:paraId="3B90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5E1D3B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A53B39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0ED7691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rPr>
              <w:t>34、LED教室灯至少依据《GB 7000.1》、《GB/T31897.1》标准满足透光罩无黄变。</w:t>
            </w:r>
          </w:p>
        </w:tc>
      </w:tr>
      <w:tr w14:paraId="707F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06F7D6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4AC8A38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5E3AAA7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rPr>
              <w:t>▲35、LED教室灯至少依据《GB/T9468-2008》《GB/T31897.201-2016》《GB/T31831-2015》及《GB/T31897.1-2015》标准通过结构安全认证。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7D67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971F785">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060F69F0">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6B7AAA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rPr>
              <w:t>▲36、LED教室灯在大气压力≥80kPa，平均湿度≥30%RH及极值空气温度≥35℃的实地环境条件下至少持续运行200小时，至少依据《GB/T31831-2015》《GB/T31897.201-2016》《GB/T5700-2008》、《GB/T31897.1-2015》及《GB/T9468-2008》标准通过可靠认证。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4730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5750295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5459C92E">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7C64C71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rPr>
              <w:t>▲37、LED教室灯在环境温度20±10℃及大气压力96±10kPa条件下存放48小时运行后，至少依据《GB/T31831-2015》《GB/T31897.201-2016》《GB/T5700-2008》《GB/T31897.1-2015》及《GB/T9468-2008》标准满足灯具长度尺寸变化率不超过±0.05%。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1A19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73EBAC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1134" w:type="dxa"/>
            <w:vMerge w:val="continue"/>
            <w:vAlign w:val="center"/>
          </w:tcPr>
          <w:p w14:paraId="10FB8D6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rPr>
            </w:pPr>
          </w:p>
        </w:tc>
        <w:tc>
          <w:tcPr>
            <w:tcW w:w="6485" w:type="dxa"/>
            <w:vAlign w:val="center"/>
          </w:tcPr>
          <w:p w14:paraId="1632757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sz w:val="21"/>
                <w:szCs w:val="21"/>
              </w:rPr>
              <w:t>38、LED教室灯改造后满足课桌面维持平均照度≥300Lx，照度均匀度≥0.7，照明功率密度≤9W/㎡，教室统一眩光等级UGR＜19。</w:t>
            </w:r>
          </w:p>
        </w:tc>
      </w:tr>
      <w:tr w14:paraId="6EAE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336135F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color w:val="000000" w:themeColor="text1"/>
                <w:sz w:val="21"/>
                <w:szCs w:val="21"/>
                <w:lang w:val="en-US" w:eastAsia="zh-CN"/>
              </w:rPr>
              <w:t>3</w:t>
            </w:r>
          </w:p>
        </w:tc>
        <w:tc>
          <w:tcPr>
            <w:tcW w:w="1134" w:type="dxa"/>
            <w:vAlign w:val="center"/>
          </w:tcPr>
          <w:p w14:paraId="167824B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color w:val="000000"/>
                <w:szCs w:val="21"/>
              </w:rPr>
              <w:t>辅材</w:t>
            </w:r>
            <w:r>
              <w:rPr>
                <w:rFonts w:hint="eastAsia" w:ascii="宋体" w:hAnsi="宋体" w:eastAsia="宋体" w:cs="宋体"/>
                <w:color w:val="000000"/>
                <w:szCs w:val="21"/>
                <w:lang w:val="en-US" w:eastAsia="zh-CN"/>
              </w:rPr>
              <w:t>1</w:t>
            </w:r>
          </w:p>
        </w:tc>
        <w:tc>
          <w:tcPr>
            <w:tcW w:w="6485" w:type="dxa"/>
            <w:vAlign w:val="center"/>
          </w:tcPr>
          <w:p w14:paraId="55307BC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szCs w:val="21"/>
              </w:rPr>
              <w:t>39、RVV2.5电源线 6卷100米/卷，伸缩灯杆50-80cm 402支，φ20-25线管200米</w:t>
            </w:r>
          </w:p>
        </w:tc>
      </w:tr>
      <w:tr w14:paraId="126E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restart"/>
            <w:vAlign w:val="center"/>
          </w:tcPr>
          <w:p w14:paraId="3FF1E3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w:t>
            </w:r>
          </w:p>
        </w:tc>
        <w:tc>
          <w:tcPr>
            <w:tcW w:w="1134" w:type="dxa"/>
            <w:vMerge w:val="restart"/>
            <w:vAlign w:val="center"/>
          </w:tcPr>
          <w:p w14:paraId="5445D1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护眼灯3</w:t>
            </w:r>
          </w:p>
        </w:tc>
        <w:tc>
          <w:tcPr>
            <w:tcW w:w="6485" w:type="dxa"/>
            <w:vAlign w:val="center"/>
          </w:tcPr>
          <w:p w14:paraId="44CC88E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szCs w:val="21"/>
              </w:rPr>
              <w:t>40、LED教室灯额定功率36±2W。</w:t>
            </w:r>
          </w:p>
        </w:tc>
      </w:tr>
      <w:tr w14:paraId="0D76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1" w:type="dxa"/>
            <w:vMerge w:val="continue"/>
            <w:vAlign w:val="center"/>
          </w:tcPr>
          <w:p w14:paraId="1AE8A7C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rPr>
            </w:pPr>
          </w:p>
        </w:tc>
        <w:tc>
          <w:tcPr>
            <w:tcW w:w="1134" w:type="dxa"/>
            <w:vMerge w:val="continue"/>
            <w:vAlign w:val="center"/>
          </w:tcPr>
          <w:p w14:paraId="58DEF575">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rPr>
            </w:pPr>
          </w:p>
        </w:tc>
        <w:tc>
          <w:tcPr>
            <w:tcW w:w="6485" w:type="dxa"/>
            <w:vAlign w:val="center"/>
          </w:tcPr>
          <w:p w14:paraId="15AE103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szCs w:val="21"/>
              </w:rPr>
              <w:t>41、LED教室灯尺寸≥1200mm；为一体式格栅防眩灯具，灯具外形应平整、无凹陷和毛刺，焊缝无透光现象，表面均匀、光洁，无流挂现象。</w:t>
            </w:r>
          </w:p>
        </w:tc>
      </w:tr>
      <w:tr w14:paraId="0B96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0EE9E4F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p>
        </w:tc>
        <w:tc>
          <w:tcPr>
            <w:tcW w:w="1134" w:type="dxa"/>
            <w:vMerge w:val="continue"/>
            <w:vAlign w:val="center"/>
          </w:tcPr>
          <w:p w14:paraId="1186F64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p>
        </w:tc>
        <w:tc>
          <w:tcPr>
            <w:tcW w:w="6485" w:type="dxa"/>
            <w:vAlign w:val="center"/>
          </w:tcPr>
          <w:p w14:paraId="6031807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szCs w:val="21"/>
              </w:rPr>
              <w:t>42、LED教室灯色温（或相关色温）3300-5300K。</w:t>
            </w:r>
          </w:p>
        </w:tc>
      </w:tr>
      <w:tr w14:paraId="40CA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1CD85A1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p>
        </w:tc>
        <w:tc>
          <w:tcPr>
            <w:tcW w:w="1134" w:type="dxa"/>
            <w:vMerge w:val="continue"/>
            <w:vAlign w:val="center"/>
          </w:tcPr>
          <w:p w14:paraId="33889C7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rPr>
            </w:pPr>
          </w:p>
        </w:tc>
        <w:tc>
          <w:tcPr>
            <w:tcW w:w="6485" w:type="dxa"/>
            <w:vAlign w:val="center"/>
          </w:tcPr>
          <w:p w14:paraId="29E50C0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szCs w:val="21"/>
              </w:rPr>
              <w:t>43、LED教室灯显色指数Ra≥90、R9≥50。</w:t>
            </w:r>
          </w:p>
        </w:tc>
      </w:tr>
      <w:tr w14:paraId="099D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1513E2B2">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rPr>
            </w:pPr>
          </w:p>
        </w:tc>
        <w:tc>
          <w:tcPr>
            <w:tcW w:w="1134" w:type="dxa"/>
            <w:vMerge w:val="continue"/>
            <w:vAlign w:val="center"/>
          </w:tcPr>
          <w:p w14:paraId="4A8D9A27">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rPr>
            </w:pPr>
          </w:p>
        </w:tc>
        <w:tc>
          <w:tcPr>
            <w:tcW w:w="6485" w:type="dxa"/>
            <w:vAlign w:val="center"/>
          </w:tcPr>
          <w:p w14:paraId="13BCE66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44、LED教室灯色容差（或色品容差）≤5SDCM。</w:t>
            </w:r>
          </w:p>
        </w:tc>
      </w:tr>
      <w:tr w14:paraId="549B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76A9ECF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5EADD3F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4F16AA2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45、LED教室灯灯具效能≥80lm/W。</w:t>
            </w:r>
          </w:p>
        </w:tc>
      </w:tr>
      <w:tr w14:paraId="1814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654E5088">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61F5203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1B2AED3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46、LED教室灯通过人体电磁辐射测试。</w:t>
            </w:r>
          </w:p>
        </w:tc>
      </w:tr>
      <w:tr w14:paraId="3237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096104B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57A6C4B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30CBF49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47、LED教室灯噪声≤18 dB（A）。</w:t>
            </w:r>
          </w:p>
        </w:tc>
      </w:tr>
      <w:tr w14:paraId="6134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41" w:type="dxa"/>
            <w:vMerge w:val="continue"/>
            <w:vAlign w:val="center"/>
          </w:tcPr>
          <w:p w14:paraId="3D0DB05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31A9EB56">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1BB99F7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48、为确保灯具工作稳定可靠，LED教室灯至少依据《GB/T 33721》、《GB/T 9468》及《GB/T 24823》标准通过75000次或以上开关循环测试，且开关循环测试前后光通量变化比≤5%。</w:t>
            </w:r>
          </w:p>
        </w:tc>
      </w:tr>
      <w:tr w14:paraId="66D5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41" w:type="dxa"/>
            <w:vMerge w:val="continue"/>
            <w:vAlign w:val="center"/>
          </w:tcPr>
          <w:p w14:paraId="2B513CE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78299E5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4DF8E55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49、LED教室灯至少依据《GB/T 26572》及《GB/T 26125》标准通过电器电子产品认证。</w:t>
            </w:r>
          </w:p>
        </w:tc>
      </w:tr>
      <w:tr w14:paraId="3F91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2B05682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3E1C35ED">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3EA1C3C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50、LED教室灯蓝光危害等级为RG0（或0类危险）。</w:t>
            </w:r>
          </w:p>
        </w:tc>
      </w:tr>
      <w:tr w14:paraId="2FED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35D4EFE0">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5370A1F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23C2489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51、LED教室灯通过频闪无危害或无频闪危害或无显著影响认证。</w:t>
            </w:r>
          </w:p>
        </w:tc>
      </w:tr>
      <w:tr w14:paraId="1B4D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151928A1">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3AB97A6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55B89FE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52、LED教室灯绝缘电阻和电气强度符合《GB7000.1》要求。</w:t>
            </w:r>
          </w:p>
        </w:tc>
      </w:tr>
      <w:tr w14:paraId="17AE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6AC2F7D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0B15C3F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7588B5E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53、LED教室灯浪涌符合《GB/T18595》要求。</w:t>
            </w:r>
          </w:p>
        </w:tc>
      </w:tr>
      <w:tr w14:paraId="4FF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41" w:type="dxa"/>
            <w:vMerge w:val="continue"/>
            <w:vAlign w:val="center"/>
          </w:tcPr>
          <w:p w14:paraId="3ED76F7F">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0BEDB0EB">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5964B37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54、LED教室灯至少依据《GB 7000.1》、《GB/T31897.1》标准满足透光罩无黄变。</w:t>
            </w:r>
          </w:p>
        </w:tc>
      </w:tr>
      <w:tr w14:paraId="5100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41" w:type="dxa"/>
            <w:vMerge w:val="continue"/>
            <w:vAlign w:val="center"/>
          </w:tcPr>
          <w:p w14:paraId="693A96BA">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724C3083">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0F7DD44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55、LED教室灯至少依据《GB/T9468-2008》《GB/T31897.201-2016》《GB/T31831-2015》及《GB/T31897.1-2015》标准通过结构安全认证。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4958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41" w:type="dxa"/>
            <w:vMerge w:val="continue"/>
            <w:vAlign w:val="center"/>
          </w:tcPr>
          <w:p w14:paraId="6791174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0C58012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3F2AB84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56、LED教室灯在大气压力≥80kPa，平均湿度≥30%RH及极值空气温度≥35℃的实地环境条件下至少持续运行200小时，至少依据《GB/T31831-2015》《GB/T31897.201-2016》《GB/T5700-2008》、《GB/T31897.1-2015》及《GB/T9468-2008》标准通过可靠认证。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350E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41" w:type="dxa"/>
            <w:vMerge w:val="continue"/>
            <w:vAlign w:val="center"/>
          </w:tcPr>
          <w:p w14:paraId="6E04CBB9">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1134" w:type="dxa"/>
            <w:vMerge w:val="continue"/>
            <w:vAlign w:val="center"/>
          </w:tcPr>
          <w:p w14:paraId="1F74515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1"/>
              </w:rPr>
            </w:pPr>
          </w:p>
        </w:tc>
        <w:tc>
          <w:tcPr>
            <w:tcW w:w="6485" w:type="dxa"/>
            <w:vAlign w:val="center"/>
          </w:tcPr>
          <w:p w14:paraId="7AAFCAB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57、LED教室灯在环境温度20±10℃及大气压力96±10kPa条件下存放48小时运行后，至少依据《GB/T31831-2015》《GB/T31897.201-2016》《GB/T5700-2008》《GB/T31897.1-2015》及《GB/T9468-2008》标准满足灯具长度尺寸变化率不超过±0.05%。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p w14:paraId="6A3B7445">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0" w:firstLineChars="0"/>
              <w:jc w:val="both"/>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58、LED教室灯改造后满足课桌面维持平均照度≥300Lx，照度均匀度≥0.7，照明功率密度≤9W/㎡，教室统一眩光等级UGR＜19。</w:t>
            </w:r>
          </w:p>
        </w:tc>
      </w:tr>
      <w:tr w14:paraId="062D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restart"/>
            <w:vAlign w:val="center"/>
          </w:tcPr>
          <w:p w14:paraId="081025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5</w:t>
            </w:r>
          </w:p>
        </w:tc>
        <w:tc>
          <w:tcPr>
            <w:tcW w:w="1134" w:type="dxa"/>
            <w:vMerge w:val="restart"/>
            <w:vAlign w:val="center"/>
          </w:tcPr>
          <w:p w14:paraId="0D5BCA1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护眼灯4</w:t>
            </w:r>
          </w:p>
        </w:tc>
        <w:tc>
          <w:tcPr>
            <w:tcW w:w="6485" w:type="dxa"/>
            <w:vAlign w:val="center"/>
          </w:tcPr>
          <w:p w14:paraId="1A295E2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59、LED教室灯额定功率36±2W。</w:t>
            </w:r>
          </w:p>
        </w:tc>
      </w:tr>
      <w:tr w14:paraId="5605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3A2992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tc>
        <w:tc>
          <w:tcPr>
            <w:tcW w:w="1134" w:type="dxa"/>
            <w:vMerge w:val="continue"/>
            <w:vAlign w:val="center"/>
          </w:tcPr>
          <w:p w14:paraId="6E90E8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tc>
        <w:tc>
          <w:tcPr>
            <w:tcW w:w="6485" w:type="dxa"/>
            <w:vAlign w:val="center"/>
          </w:tcPr>
          <w:p w14:paraId="7745F94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60、LED教室灯整灯尺寸长600±20mm、宽600±20mm、厚10±5mm，配合吊顶安装环境；为一体式微晶防眩面板灯，灯具外形应平整、无凹陷和毛刺，焊缝无透光现象，表面均匀、光洁，无流挂现象。</w:t>
            </w:r>
          </w:p>
        </w:tc>
      </w:tr>
      <w:tr w14:paraId="3D06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2BA99C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1134" w:type="dxa"/>
            <w:vMerge w:val="continue"/>
            <w:vAlign w:val="center"/>
          </w:tcPr>
          <w:p w14:paraId="2626B1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6485" w:type="dxa"/>
            <w:vAlign w:val="center"/>
          </w:tcPr>
          <w:p w14:paraId="4628D10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61、LED教室灯色温（或相关色温）3300-5300K。</w:t>
            </w:r>
          </w:p>
        </w:tc>
      </w:tr>
      <w:tr w14:paraId="42E4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3EDB1A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1134" w:type="dxa"/>
            <w:vMerge w:val="continue"/>
            <w:vAlign w:val="center"/>
          </w:tcPr>
          <w:p w14:paraId="6428BE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6485" w:type="dxa"/>
            <w:vAlign w:val="center"/>
          </w:tcPr>
          <w:p w14:paraId="4267057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62、LED教室灯显色指数Ra≥90、R9≥50。</w:t>
            </w:r>
          </w:p>
        </w:tc>
      </w:tr>
      <w:tr w14:paraId="79D8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37B7C3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1134" w:type="dxa"/>
            <w:vMerge w:val="continue"/>
            <w:vAlign w:val="center"/>
          </w:tcPr>
          <w:p w14:paraId="43581C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6485" w:type="dxa"/>
            <w:vAlign w:val="center"/>
          </w:tcPr>
          <w:p w14:paraId="5613281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63、LED教室灯色容差（或色品容差）≤5SDCM。</w:t>
            </w:r>
          </w:p>
        </w:tc>
      </w:tr>
      <w:tr w14:paraId="0352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005776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tc>
        <w:tc>
          <w:tcPr>
            <w:tcW w:w="1134" w:type="dxa"/>
            <w:vMerge w:val="continue"/>
            <w:vAlign w:val="center"/>
          </w:tcPr>
          <w:p w14:paraId="37E755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tc>
        <w:tc>
          <w:tcPr>
            <w:tcW w:w="6485" w:type="dxa"/>
            <w:vAlign w:val="center"/>
          </w:tcPr>
          <w:p w14:paraId="521E6A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64、LED教室灯灯具效能≥80lm/W。</w:t>
            </w:r>
          </w:p>
        </w:tc>
      </w:tr>
      <w:tr w14:paraId="3DD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227DB5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747306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008AD84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65、LED教室灯通过人体电磁辐射测试。</w:t>
            </w:r>
          </w:p>
        </w:tc>
      </w:tr>
      <w:tr w14:paraId="7472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764B14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1259C7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1BB4AA5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66、LED教室灯噪声≤18 dB（A）。</w:t>
            </w:r>
          </w:p>
        </w:tc>
      </w:tr>
      <w:tr w14:paraId="6B54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1" w:type="dxa"/>
            <w:vMerge w:val="continue"/>
            <w:vAlign w:val="center"/>
          </w:tcPr>
          <w:p w14:paraId="3C13F9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230227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69F7D3B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67、为确保灯具工作稳定可靠，LED教室灯至少依据《GB/T 33721》、《GB/T 9468》及《GB/T 24823》标准通过75000次或以上开关循环测试，且开关循环测试前后光通量变化比≤5%。</w:t>
            </w:r>
          </w:p>
        </w:tc>
      </w:tr>
      <w:tr w14:paraId="544F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2785E0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759B1D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77351B9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lang w:val="en-US" w:eastAsia="zh-CN"/>
              </w:rPr>
            </w:pPr>
            <w:r>
              <w:rPr>
                <w:rFonts w:hint="eastAsia" w:ascii="宋体" w:hAnsi="宋体" w:eastAsia="宋体" w:cs="宋体"/>
                <w:szCs w:val="21"/>
              </w:rPr>
              <w:t>68、LED教室灯至少依据《GB/T 26572》及《GB/T 26125》标准通过电器电子产品认证。</w:t>
            </w:r>
          </w:p>
        </w:tc>
      </w:tr>
      <w:tr w14:paraId="73DC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25CFBE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27818C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65DCE7A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69、LED教室灯蓝光危害等级为RG0（或0类危险）。</w:t>
            </w:r>
          </w:p>
        </w:tc>
      </w:tr>
      <w:tr w14:paraId="50D0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1CC732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58B21A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2E8DC49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70、LED教室灯通过频闪无危害或无频闪危害或无显著影响认证。</w:t>
            </w:r>
          </w:p>
        </w:tc>
      </w:tr>
      <w:tr w14:paraId="7947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713C16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3C97EA0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411B17D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71、LED教室灯绝缘电阻和电气强度符合《GB7000.1》要求。</w:t>
            </w:r>
          </w:p>
        </w:tc>
      </w:tr>
      <w:tr w14:paraId="6304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583355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0E79DE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4A897D9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72、LED教室灯浪涌符合《GB/T18595》要求。</w:t>
            </w:r>
          </w:p>
        </w:tc>
      </w:tr>
      <w:tr w14:paraId="5075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062362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5383BB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5C2558F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73、LED教室灯至少依据《GB 7000.1》、《GB/T31897.1》标准满足透光罩无黄变。</w:t>
            </w:r>
          </w:p>
        </w:tc>
      </w:tr>
      <w:tr w14:paraId="235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165A1F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45948A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785D840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74、LED教室灯至少依据《GB 7000.1》、《GB 7000.201》及《GB/T31897.201》标准通过结构安全认证。</w:t>
            </w:r>
          </w:p>
        </w:tc>
      </w:tr>
      <w:tr w14:paraId="7291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1" w:type="dxa"/>
            <w:vMerge w:val="continue"/>
            <w:vAlign w:val="center"/>
          </w:tcPr>
          <w:p w14:paraId="763A07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5F54BD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096BC3E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75、LED教室灯在大气压力≥80kPa，平均湿度≥30%RH及极值空气温度≥35℃的实地环境条件下至少持续运行200小时，至少依据《GB/T31831-2015》《GB/T31897.201-2016》《GB/T5700-2008》、《GB/T31897.1-2015》及《GB/T9468-2008》标准通过可靠认证。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3221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1" w:type="dxa"/>
            <w:vMerge w:val="continue"/>
            <w:vAlign w:val="center"/>
          </w:tcPr>
          <w:p w14:paraId="503FAB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7E03C0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211D9CD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Cs w:val="21"/>
              </w:rPr>
            </w:pPr>
            <w:r>
              <w:rPr>
                <w:rFonts w:hint="eastAsia" w:ascii="宋体" w:hAnsi="宋体" w:eastAsia="宋体" w:cs="宋体"/>
                <w:b/>
                <w:bCs/>
                <w:color w:val="FF0000"/>
                <w:szCs w:val="21"/>
              </w:rPr>
              <w:t>▲76、LED教室灯在环境温度20±10℃及大气压力96±10kPa条件下存放48小时运行后，至少依据《GB/T31831-2015》《GB/T31897.201-2016》《GB/T5700-2008》《GB/T31897.1-2015》及《GB/T9468-2008》标准满足灯具长度尺寸变化率不超过±0.05%。投标时同时提供：①由第三方检验检测机构出具并加盖（或带有）CMA及CNAS标志的检验检测报告扫描件，原件备查；②上述检验检测报告在全国认证认可信息公共服务平台（认e云）（http://cx.cnca.cn/）的信息查询记录截图。注：对应参数（检验检测项）在检验检测报告中进行标注。</w:t>
            </w:r>
          </w:p>
        </w:tc>
      </w:tr>
      <w:tr w14:paraId="5307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0DA0A7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1134" w:type="dxa"/>
            <w:vMerge w:val="continue"/>
            <w:vAlign w:val="center"/>
          </w:tcPr>
          <w:p w14:paraId="1AFA39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p>
        </w:tc>
        <w:tc>
          <w:tcPr>
            <w:tcW w:w="6485" w:type="dxa"/>
            <w:vAlign w:val="center"/>
          </w:tcPr>
          <w:p w14:paraId="6B91DCF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77、LED教室灯改造后满足课桌面维持平均照度≥300Lx，照度均匀度≥0.7，照明功率密度≤9W/㎡，教室统一眩光等级UGR＜19。</w:t>
            </w:r>
          </w:p>
        </w:tc>
      </w:tr>
      <w:tr w14:paraId="4EB8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14:paraId="623AE5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134" w:type="dxa"/>
            <w:vAlign w:val="center"/>
          </w:tcPr>
          <w:p w14:paraId="0A42A9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eastAsia="zh-CN"/>
              </w:rPr>
              <w:t>辅材</w:t>
            </w:r>
            <w:r>
              <w:rPr>
                <w:rFonts w:hint="eastAsia" w:ascii="宋体" w:hAnsi="宋体" w:eastAsia="宋体" w:cs="宋体"/>
                <w:szCs w:val="21"/>
                <w:lang w:val="en-US" w:eastAsia="zh-CN"/>
              </w:rPr>
              <w:t>2</w:t>
            </w:r>
          </w:p>
        </w:tc>
        <w:tc>
          <w:tcPr>
            <w:tcW w:w="6485" w:type="dxa"/>
            <w:vAlign w:val="center"/>
          </w:tcPr>
          <w:p w14:paraId="2DE6627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Cs w:val="21"/>
              </w:rPr>
            </w:pPr>
            <w:r>
              <w:rPr>
                <w:rFonts w:hint="eastAsia" w:ascii="宋体" w:hAnsi="宋体" w:eastAsia="宋体" w:cs="宋体"/>
                <w:szCs w:val="21"/>
              </w:rPr>
              <w:t>78、RVV2.5电源线 6卷100米/卷，伸缩灯杆50-80cm 288支，φ20-25线管200米</w:t>
            </w:r>
          </w:p>
        </w:tc>
      </w:tr>
      <w:bookmarkEnd w:id="15"/>
    </w:tbl>
    <w:p w14:paraId="18458352">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2"/>
        <w:rPr>
          <w:rFonts w:hint="eastAsia"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、其他重要条款</w:t>
      </w:r>
    </w:p>
    <w:p w14:paraId="56309EE9">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C9EE831">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2、投标人应充分了解项目的位置、情况、道路及任何其它足以影响投标报价的情况，任何因忽视或误解项目情况而导致的索赔或服务期限延长申请将不获批准。</w:t>
      </w:r>
    </w:p>
    <w:p w14:paraId="7F618D25">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76D8283">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4、除政府采购合同继续履行将损害国家利益和社会公共利益外，双方当事人不得擅自变更、中止或者终止合同。</w:t>
      </w:r>
    </w:p>
    <w:p w14:paraId="4DAFA373">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E1B905E">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14:paraId="35C53B8D">
      <w:pPr>
        <w:keepNext/>
        <w:keepLines/>
        <w:pageBreakBefore w:val="0"/>
        <w:kinsoku/>
        <w:wordWrap/>
        <w:overflowPunct/>
        <w:topLinePunct w:val="0"/>
        <w:autoSpaceDE/>
        <w:autoSpaceDN/>
        <w:bidi w:val="0"/>
        <w:adjustRightInd w:val="0"/>
        <w:spacing w:beforeAutospacing="0" w:afterAutospacing="0" w:line="360" w:lineRule="auto"/>
        <w:ind w:left="0" w:leftChars="0" w:right="0" w:firstLine="0" w:firstLineChars="0"/>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第四章  投标文件组成要求及格式</w:t>
      </w:r>
    </w:p>
    <w:p w14:paraId="39E2CFD8">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firstLine="0" w:firstLineChars="0"/>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14:paraId="6FC11DC4">
      <w:pPr>
        <w:keepNext w:val="0"/>
        <w:keepLines w:val="0"/>
        <w:pageBreakBefore w:val="0"/>
        <w:widowControl w:val="0"/>
        <w:tabs>
          <w:tab w:val="left" w:pos="1470"/>
        </w:tabs>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0FB0F6B">
      <w:pPr>
        <w:keepNext w:val="0"/>
        <w:keepLines w:val="0"/>
        <w:pageBreakBefore w:val="0"/>
        <w:widowControl w:val="0"/>
        <w:tabs>
          <w:tab w:val="left" w:pos="1470"/>
        </w:tabs>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14:paraId="78A28D8C">
      <w:pPr>
        <w:keepNext w:val="0"/>
        <w:keepLines w:val="0"/>
        <w:pageBreakBefore w:val="0"/>
        <w:widowControl w:val="0"/>
        <w:tabs>
          <w:tab w:val="left" w:pos="1470"/>
        </w:tabs>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color w:val="FF0000"/>
          <w:sz w:val="24"/>
          <w:szCs w:val="24"/>
        </w:rPr>
      </w:pPr>
      <w:bookmarkStart w:id="16"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3782204D">
      <w:pPr>
        <w:pStyle w:val="2"/>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bookmarkEnd w:id="16"/>
    <w:p w14:paraId="5D9B010B">
      <w:pPr>
        <w:rPr>
          <w:rFonts w:hint="eastAsia" w:ascii="宋体" w:hAnsi="宋体" w:eastAsia="宋体" w:cs="宋体"/>
          <w:bCs/>
          <w:kern w:val="44"/>
          <w:sz w:val="24"/>
          <w:szCs w:val="24"/>
        </w:rPr>
      </w:pPr>
      <w:r>
        <w:rPr>
          <w:rFonts w:hint="eastAsia" w:ascii="宋体" w:hAnsi="宋体" w:eastAsia="宋体" w:cs="宋体"/>
          <w:bCs/>
          <w:kern w:val="44"/>
          <w:sz w:val="24"/>
          <w:szCs w:val="24"/>
        </w:rPr>
        <w:br w:type="page"/>
      </w:r>
    </w:p>
    <w:p w14:paraId="4B75F66F">
      <w:pPr>
        <w:pageBreakBefore w:val="0"/>
        <w:widowControl/>
        <w:kinsoku/>
        <w:wordWrap/>
        <w:overflowPunct/>
        <w:topLinePunct w:val="0"/>
        <w:autoSpaceDE/>
        <w:autoSpaceDN/>
        <w:bidi w:val="0"/>
        <w:spacing w:beforeAutospacing="0" w:afterAutospacing="0" w:line="360" w:lineRule="auto"/>
        <w:ind w:left="0" w:leftChars="0" w:right="0" w:firstLine="0" w:firstLineChars="0"/>
        <w:jc w:val="left"/>
        <w:outlineLvl w:val="2"/>
        <w:rPr>
          <w:rFonts w:hint="eastAsia" w:ascii="宋体" w:hAnsi="宋体" w:eastAsia="宋体" w:cs="宋体"/>
          <w:bCs/>
          <w:kern w:val="44"/>
          <w:sz w:val="24"/>
          <w:szCs w:val="24"/>
        </w:rPr>
      </w:pPr>
      <w:r>
        <w:rPr>
          <w:rFonts w:hint="eastAsia" w:ascii="宋体" w:hAnsi="宋体" w:eastAsia="宋体" w:cs="宋体"/>
          <w:bCs/>
          <w:kern w:val="44"/>
          <w:sz w:val="24"/>
          <w:szCs w:val="24"/>
        </w:rPr>
        <w:t>投标文件组成：</w:t>
      </w:r>
    </w:p>
    <w:p w14:paraId="71AA6777">
      <w:pPr>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宋体" w:hAnsi="宋体" w:eastAsia="宋体" w:cs="宋体"/>
          <w:b/>
          <w:color w:val="FF0000"/>
          <w:sz w:val="24"/>
          <w:szCs w:val="24"/>
        </w:rPr>
      </w:pPr>
      <w:r>
        <w:rPr>
          <w:rFonts w:hint="eastAsia" w:ascii="宋体" w:hAnsi="宋体" w:eastAsia="宋体" w:cs="宋体"/>
          <w:b/>
          <w:color w:val="FF0000"/>
          <w:kern w:val="0"/>
          <w:sz w:val="24"/>
          <w:szCs w:val="24"/>
        </w:rPr>
        <w:t>投标文件正文（信息公开部分）：</w:t>
      </w:r>
    </w:p>
    <w:p w14:paraId="58B0AFC1">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投标函；</w:t>
      </w:r>
    </w:p>
    <w:p w14:paraId="43E5292C">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rPr>
      </w:pPr>
      <w:bookmarkStart w:id="17" w:name="_Hlk72062521"/>
      <w:r>
        <w:rPr>
          <w:rFonts w:hint="eastAsia" w:ascii="宋体" w:hAnsi="宋体" w:eastAsia="宋体" w:cs="宋体"/>
          <w:sz w:val="24"/>
          <w:szCs w:val="24"/>
          <w:lang w:val="en-US" w:eastAsia="zh-CN"/>
        </w:rPr>
        <w:t>2）</w:t>
      </w:r>
      <w:r>
        <w:rPr>
          <w:rFonts w:hint="eastAsia" w:ascii="宋体" w:hAnsi="宋体" w:eastAsia="宋体" w:cs="宋体"/>
          <w:sz w:val="24"/>
          <w:szCs w:val="24"/>
        </w:rPr>
        <w:t>政府采购投标及履约承诺函</w:t>
      </w:r>
      <w:bookmarkEnd w:id="17"/>
      <w:r>
        <w:rPr>
          <w:rFonts w:hint="eastAsia" w:ascii="宋体" w:hAnsi="宋体" w:eastAsia="宋体" w:cs="宋体"/>
          <w:sz w:val="24"/>
          <w:szCs w:val="24"/>
        </w:rPr>
        <w:t>；</w:t>
      </w:r>
    </w:p>
    <w:p w14:paraId="33D9A11C">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投标人情况及资格证明文件；</w:t>
      </w:r>
    </w:p>
    <w:p w14:paraId="6B5B7BB6">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分项报价清单；</w:t>
      </w:r>
    </w:p>
    <w:p w14:paraId="6FA93268">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5）经验评价；</w:t>
      </w:r>
    </w:p>
    <w:p w14:paraId="447521B8">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其他招标文件要求或投标人认为需要补充的内容（公开）。</w:t>
      </w:r>
    </w:p>
    <w:p w14:paraId="009C8919">
      <w:pPr>
        <w:pageBreakBefore w:val="0"/>
        <w:kinsoku/>
        <w:wordWrap/>
        <w:overflowPunct/>
        <w:topLinePunct w:val="0"/>
        <w:autoSpaceDE/>
        <w:autoSpaceDN/>
        <w:bidi w:val="0"/>
        <w:snapToGrid w:val="0"/>
        <w:spacing w:beforeAutospacing="0" w:afterAutospacing="0" w:line="360" w:lineRule="auto"/>
        <w:ind w:left="0" w:leftChars="0" w:right="0" w:firstLine="0" w:firstLineChars="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14:paraId="78A98D66">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1）法定代表人（负责人）证明书；</w:t>
      </w:r>
    </w:p>
    <w:p w14:paraId="14EC70A7">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2）投标文件签署授权委托书；</w:t>
      </w:r>
    </w:p>
    <w:p w14:paraId="0A98FCF5">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3）实质性条款响应情况表；</w:t>
      </w:r>
    </w:p>
    <w:p w14:paraId="492F9927">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4）项目组织实施方案的评价；</w:t>
      </w:r>
    </w:p>
    <w:p w14:paraId="04476BBE">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5）售后服务评价；</w:t>
      </w:r>
    </w:p>
    <w:p w14:paraId="07F433E8">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6）设计图评价；</w:t>
      </w:r>
    </w:p>
    <w:p w14:paraId="147AED02">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7）技术要求偏离表；</w:t>
      </w:r>
    </w:p>
    <w:p w14:paraId="1223B86C">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8）政府采购节能环保产品；</w:t>
      </w:r>
    </w:p>
    <w:p w14:paraId="0EDFDF86">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9）绿色采购情况；</w:t>
      </w:r>
    </w:p>
    <w:p w14:paraId="43D4EFE9">
      <w:pPr>
        <w:pageBreakBefore w:val="0"/>
        <w:numPr>
          <w:ilvl w:val="0"/>
          <w:numId w:val="0"/>
        </w:numPr>
        <w:kinsoku/>
        <w:wordWrap/>
        <w:overflowPunct/>
        <w:topLinePunct w:val="0"/>
        <w:autoSpaceDE/>
        <w:autoSpaceDN/>
        <w:bidi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10）其他招标文件要求或投标人认为需要补充的内容（非公开）。</w:t>
      </w:r>
    </w:p>
    <w:p w14:paraId="2B03B915">
      <w:pPr>
        <w:pageBreakBefore w:val="0"/>
        <w:kinsoku/>
        <w:wordWrap/>
        <w:overflowPunct/>
        <w:topLinePunct w:val="0"/>
        <w:autoSpaceDE/>
        <w:autoSpaceDN/>
        <w:bidi w:val="0"/>
        <w:spacing w:beforeAutospacing="0" w:afterAutospacing="0" w:line="360" w:lineRule="auto"/>
        <w:ind w:left="0" w:leftChars="0" w:right="0" w:firstLine="0" w:firstLineChars="0"/>
        <w:rPr>
          <w:rFonts w:hint="eastAsia" w:ascii="宋体" w:hAnsi="宋体" w:eastAsia="宋体" w:cs="宋体"/>
          <w:b/>
          <w:sz w:val="24"/>
          <w:szCs w:val="24"/>
        </w:rPr>
      </w:pPr>
      <w:bookmarkStart w:id="18" w:name="_Hlk72257771"/>
      <w:r>
        <w:rPr>
          <w:rFonts w:hint="eastAsia" w:ascii="宋体" w:hAnsi="宋体" w:eastAsia="宋体" w:cs="宋体"/>
          <w:b/>
          <w:sz w:val="24"/>
          <w:szCs w:val="24"/>
        </w:rPr>
        <w:t>备注：</w:t>
      </w:r>
    </w:p>
    <w:p w14:paraId="3A4F12EB">
      <w:pPr>
        <w:pageBreakBefore w:val="0"/>
        <w:kinsoku/>
        <w:wordWrap/>
        <w:overflowPunct/>
        <w:topLinePunct w:val="0"/>
        <w:autoSpaceDE/>
        <w:autoSpaceDN/>
        <w:bidi w:val="0"/>
        <w:snapToGrid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1.本项目为网上电子投标项目，投标文件不需法人或授权委托人另行签字，无需加盖单位公章，招标文件另有规定的除外。</w:t>
      </w:r>
    </w:p>
    <w:p w14:paraId="4C6C3649">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Cs/>
          <w:kern w:val="44"/>
          <w:sz w:val="32"/>
          <w:szCs w:val="32"/>
        </w:rPr>
      </w:pPr>
      <w:bookmarkStart w:id="19" w:name="_Hlk72263559"/>
      <w:r>
        <w:rPr>
          <w:rFonts w:hint="eastAsia" w:ascii="宋体" w:hAnsi="宋体" w:eastAsia="宋体" w:cs="宋体"/>
          <w:b/>
          <w:sz w:val="24"/>
          <w:szCs w:val="24"/>
        </w:rPr>
        <w:t>2.关于填写“开标一览表”的说明：“开标一览表”中除“投标总价”外，其他信息不作评审依据。</w:t>
      </w:r>
      <w:bookmarkEnd w:id="18"/>
      <w:bookmarkEnd w:id="19"/>
      <w:r>
        <w:rPr>
          <w:rFonts w:hint="eastAsia" w:ascii="宋体" w:hAnsi="宋体" w:eastAsia="宋体" w:cs="宋体"/>
          <w:bCs/>
          <w:kern w:val="44"/>
          <w:sz w:val="32"/>
          <w:szCs w:val="32"/>
        </w:rPr>
        <w:br w:type="page"/>
      </w:r>
    </w:p>
    <w:p w14:paraId="180AF4CB">
      <w:pPr>
        <w:widowControl/>
        <w:kinsoku/>
        <w:overflowPunct/>
        <w:topLinePunct w:val="0"/>
        <w:bidi w:val="0"/>
        <w:spacing w:beforeAutospacing="0" w:afterAutospacing="0" w:line="360" w:lineRule="auto"/>
        <w:ind w:left="0" w:leftChars="0" w:right="0" w:firstLine="0" w:firstLineChars="0"/>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14:paraId="097DB2E9">
      <w:pPr>
        <w:keepNext/>
        <w:keepLines/>
        <w:kinsoku/>
        <w:overflowPunct/>
        <w:topLinePunct w:val="0"/>
        <w:bidi w:val="0"/>
        <w:adjustRightInd w:val="0"/>
        <w:snapToGrid w:val="0"/>
        <w:spacing w:beforeAutospacing="0" w:afterAutospacing="0" w:line="360" w:lineRule="auto"/>
        <w:ind w:left="0" w:leftChars="0" w:right="0" w:firstLine="0" w:firstLineChars="0"/>
        <w:jc w:val="center"/>
        <w:textAlignment w:val="baseline"/>
        <w:outlineLvl w:val="3"/>
        <w:rPr>
          <w:rFonts w:hint="eastAsia" w:ascii="宋体" w:hAnsi="宋体" w:eastAsia="宋体" w:cs="宋体"/>
          <w:b/>
          <w:bCs/>
          <w:kern w:val="0"/>
          <w:sz w:val="24"/>
          <w:szCs w:val="20"/>
        </w:rPr>
      </w:pPr>
      <w:r>
        <w:rPr>
          <w:rFonts w:hint="eastAsia" w:ascii="宋体" w:hAnsi="宋体" w:eastAsia="宋体" w:cs="宋体"/>
          <w:b/>
          <w:bCs/>
          <w:kern w:val="0"/>
          <w:sz w:val="24"/>
          <w:szCs w:val="20"/>
        </w:rPr>
        <w:t>1.投标函</w:t>
      </w:r>
    </w:p>
    <w:p w14:paraId="1D721C16">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4"/>
        </w:rPr>
      </w:pPr>
    </w:p>
    <w:p w14:paraId="3FD37A5C">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深圳公共资源交易中心</w:t>
      </w:r>
    </w:p>
    <w:p w14:paraId="753F09CD">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bookmarkStart w:id="20" w:name="_Hlk73818812"/>
      <w:r>
        <w:rPr>
          <w:rFonts w:hint="eastAsia" w:ascii="宋体" w:hAnsi="宋体" w:eastAsia="宋体" w:cs="宋体"/>
          <w:szCs w:val="21"/>
        </w:rPr>
        <w:t>1、根据已收到贵单位的项目编号为</w:t>
      </w:r>
      <w:r>
        <w:rPr>
          <w:rFonts w:hint="eastAsia" w:ascii="宋体" w:hAnsi="宋体" w:eastAsia="宋体" w:cs="宋体"/>
          <w:szCs w:val="21"/>
          <w:u w:val="single"/>
        </w:rPr>
        <w:t xml:space="preserve"> xxx（项目编号）xxx </w:t>
      </w:r>
      <w:r>
        <w:rPr>
          <w:rFonts w:hint="eastAsia" w:ascii="宋体" w:hAnsi="宋体" w:eastAsia="宋体" w:cs="宋体"/>
          <w:szCs w:val="21"/>
        </w:rPr>
        <w:t>的</w:t>
      </w:r>
      <w:r>
        <w:rPr>
          <w:rFonts w:hint="eastAsia" w:ascii="宋体" w:hAnsi="宋体" w:eastAsia="宋体" w:cs="宋体"/>
          <w:szCs w:val="21"/>
          <w:u w:val="single"/>
        </w:rPr>
        <w:t xml:space="preserve">  xxx（项目名称）xxx </w:t>
      </w:r>
      <w:r>
        <w:rPr>
          <w:rFonts w:hint="eastAsia" w:ascii="宋体" w:hAnsi="宋体" w:eastAsia="宋体" w:cs="宋体"/>
          <w:szCs w:val="21"/>
        </w:rPr>
        <w:t>项目的招标文件，遵照《深圳经济特区政府采购条例》和《深圳网上政府采购管理暂行办法》等有关规定，我单位经研究上述招标文件的专用条款及通用条款后，</w:t>
      </w:r>
      <w:bookmarkStart w:id="21" w:name="_Hlk72263588"/>
      <w:r>
        <w:rPr>
          <w:rFonts w:hint="eastAsia" w:ascii="宋体" w:hAnsi="宋体" w:eastAsia="宋体" w:cs="宋体"/>
          <w:szCs w:val="21"/>
        </w:rPr>
        <w:t>愿意按照招标文件要求承包上述项目并修补其任何缺陷。</w:t>
      </w:r>
      <w:bookmarkEnd w:id="21"/>
    </w:p>
    <w:p w14:paraId="24FB3C7D">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2、投标价格见投标书编制软件中《开标一览表》中填写的投标总价。</w:t>
      </w:r>
    </w:p>
    <w:p w14:paraId="5B805135">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3、如果我单位中标，我单位将按照招标文件的要求足额提交履约担保。</w:t>
      </w:r>
    </w:p>
    <w:p w14:paraId="2C35CB9E">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4、我单位同意所递交的投标文件在“对通用条款的补充内容”中明确的投标有效期内有效，在此期间内我单位的投标有可能中标，我方将受此约束。</w:t>
      </w:r>
    </w:p>
    <w:p w14:paraId="2B685B5D">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5、除非另外达成协议并生效，贵单位的中标通知书和本投标文件将构成合同的重要内容。</w:t>
      </w:r>
    </w:p>
    <w:p w14:paraId="02D85878">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6、我单位理解贵单位将不受必须接受所收到的最低报价或其它任何投标文件的约束。</w:t>
      </w:r>
      <w:bookmarkEnd w:id="20"/>
    </w:p>
    <w:p w14:paraId="050FB1BD">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7、如我单位提交样品，且未在规定时间内取回样品的，视同放弃取回，同意深圳公共资源交易中心对我单位提交的样品进行清理。</w:t>
      </w:r>
    </w:p>
    <w:p w14:paraId="72EA5059">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1"/>
        </w:rPr>
      </w:pPr>
    </w:p>
    <w:p w14:paraId="7D2BB71D">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rPr>
        <w:t>单位地址：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1919B6E">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法定代表人（负责人）或其</w:t>
      </w:r>
      <w:r>
        <w:rPr>
          <w:rFonts w:hint="eastAsia" w:ascii="宋体" w:hAnsi="宋体" w:eastAsia="宋体" w:cs="宋体"/>
          <w:szCs w:val="21"/>
          <w:lang w:val="en-US" w:eastAsia="zh-CN"/>
        </w:rPr>
        <w:t>授权委托</w:t>
      </w:r>
      <w:r>
        <w:rPr>
          <w:rFonts w:hint="eastAsia" w:ascii="宋体" w:hAnsi="宋体" w:eastAsia="宋体" w:cs="宋体"/>
          <w:szCs w:val="21"/>
        </w:rPr>
        <w:t>代理人：</w:t>
      </w:r>
      <w:r>
        <w:rPr>
          <w:rFonts w:hint="eastAsia" w:ascii="宋体" w:hAnsi="宋体" w:eastAsia="宋体" w:cs="宋体"/>
          <w:szCs w:val="21"/>
          <w:u w:val="single"/>
        </w:rPr>
        <w:t xml:space="preserve">           </w:t>
      </w:r>
    </w:p>
    <w:p w14:paraId="5412F113">
      <w:pPr>
        <w:pStyle w:val="2"/>
        <w:kinsoku/>
        <w:overflowPunct/>
        <w:topLinePunct w:val="0"/>
        <w:bidi w:val="0"/>
        <w:spacing w:beforeAutospacing="0" w:afterAutospacing="0" w:line="360" w:lineRule="auto"/>
        <w:ind w:left="0" w:leftChars="0" w:right="0" w:firstLine="0" w:firstLineChars="0"/>
        <w:rPr>
          <w:rFonts w:hint="eastAsia" w:ascii="宋体" w:hAnsi="宋体" w:eastAsia="宋体" w:cs="宋体"/>
          <w:b w:val="0"/>
          <w:bCs w:val="0"/>
          <w:szCs w:val="21"/>
          <w:u w:val="single"/>
          <w:lang w:val="en-US" w:eastAsia="zh-CN"/>
        </w:rPr>
      </w:pPr>
      <w:r>
        <w:rPr>
          <w:rFonts w:hint="eastAsia" w:ascii="宋体" w:hAnsi="宋体" w:eastAsia="宋体" w:cs="宋体"/>
          <w:b w:val="0"/>
          <w:bCs w:val="0"/>
          <w:szCs w:val="21"/>
          <w:u w:val="none"/>
          <w:lang w:val="en-US" w:eastAsia="zh-CN"/>
        </w:rPr>
        <w:t>开户银行名称：</w:t>
      </w:r>
      <w:r>
        <w:rPr>
          <w:rFonts w:hint="eastAsia" w:ascii="宋体" w:hAnsi="宋体" w:eastAsia="宋体" w:cs="宋体"/>
          <w:szCs w:val="21"/>
          <w:u w:val="single"/>
        </w:rPr>
        <w:t xml:space="preserve">           </w:t>
      </w:r>
    </w:p>
    <w:p w14:paraId="2E6A1698">
      <w:pPr>
        <w:pStyle w:val="13"/>
        <w:kinsoku/>
        <w:overflowPunct/>
        <w:topLinePunct w:val="0"/>
        <w:bidi w:val="0"/>
        <w:spacing w:beforeAutospacing="0" w:afterAutospacing="0" w:line="360" w:lineRule="auto"/>
        <w:ind w:left="0" w:leftChars="0" w:right="0" w:firstLine="0" w:firstLineChars="0"/>
        <w:rPr>
          <w:rFonts w:hint="eastAsia" w:ascii="宋体" w:hAnsi="宋体" w:eastAsia="宋体" w:cs="宋体"/>
          <w:b w:val="0"/>
          <w:bCs w:val="0"/>
          <w:u w:val="single"/>
          <w:lang w:val="en-US" w:eastAsia="zh-CN"/>
        </w:rPr>
      </w:pPr>
      <w:r>
        <w:rPr>
          <w:rFonts w:hint="eastAsia" w:ascii="宋体" w:hAnsi="宋体" w:eastAsia="宋体" w:cs="宋体"/>
          <w:b w:val="0"/>
          <w:bCs w:val="0"/>
          <w:szCs w:val="21"/>
          <w:u w:val="none"/>
          <w:lang w:val="en-US" w:eastAsia="zh-CN"/>
        </w:rPr>
        <w:t>开户银行账号：</w:t>
      </w:r>
      <w:r>
        <w:rPr>
          <w:rFonts w:hint="eastAsia" w:ascii="宋体" w:hAnsi="宋体" w:eastAsia="宋体" w:cs="宋体"/>
          <w:b w:val="0"/>
          <w:bCs w:val="0"/>
          <w:szCs w:val="21"/>
          <w:u w:val="single"/>
          <w:lang w:val="en-US" w:eastAsia="zh-CN"/>
        </w:rPr>
        <w:t xml:space="preserve">           </w:t>
      </w:r>
    </w:p>
    <w:p w14:paraId="3784D27E">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邮政编码：</w:t>
      </w:r>
      <w:r>
        <w:rPr>
          <w:rFonts w:hint="eastAsia" w:ascii="宋体" w:hAnsi="宋体" w:eastAsia="宋体" w:cs="宋体"/>
          <w:szCs w:val="21"/>
          <w:u w:val="single"/>
        </w:rPr>
        <w:t xml:space="preserve">           </w:t>
      </w: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传真：</w:t>
      </w:r>
      <w:r>
        <w:rPr>
          <w:rFonts w:hint="eastAsia" w:ascii="宋体" w:hAnsi="宋体" w:eastAsia="宋体" w:cs="宋体"/>
          <w:szCs w:val="21"/>
          <w:u w:val="single"/>
        </w:rPr>
        <w:t xml:space="preserve">           </w:t>
      </w:r>
    </w:p>
    <w:p w14:paraId="4B2847FE">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邮箱：</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DF83DCF">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日期： 年  月  日</w:t>
      </w:r>
    </w:p>
    <w:p w14:paraId="4ED06AD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p w14:paraId="11A05D6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r>
        <w:rPr>
          <w:rFonts w:hint="eastAsia" w:ascii="宋体" w:hAnsi="宋体" w:eastAsia="宋体" w:cs="宋体"/>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宋体" w:hAnsi="宋体" w:eastAsia="宋体" w:cs="宋体"/>
          <w:szCs w:val="24"/>
          <w:u w:val="single"/>
        </w:rPr>
        <w:t xml:space="preserve">                 </w:t>
      </w:r>
      <w:r>
        <w:rPr>
          <w:rFonts w:hint="eastAsia" w:ascii="宋体" w:hAnsi="宋体" w:eastAsia="宋体" w:cs="宋体"/>
          <w:szCs w:val="24"/>
        </w:rPr>
        <w:t>。</w:t>
      </w:r>
    </w:p>
    <w:p w14:paraId="15DA890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p w14:paraId="0A26384B">
      <w:pPr>
        <w:widowControl/>
        <w:kinsoku/>
        <w:overflowPunct/>
        <w:topLinePunct w:val="0"/>
        <w:bidi w:val="0"/>
        <w:snapToGrid w:val="0"/>
        <w:spacing w:beforeAutospacing="0" w:afterAutospacing="0" w:line="360" w:lineRule="auto"/>
        <w:ind w:left="0" w:leftChars="0" w:right="0" w:firstLine="0" w:firstLineChars="0"/>
        <w:jc w:val="left"/>
        <w:rPr>
          <w:rFonts w:hint="eastAsia" w:ascii="宋体" w:hAnsi="宋体" w:eastAsia="宋体" w:cs="宋体"/>
          <w:szCs w:val="24"/>
        </w:rPr>
      </w:pPr>
      <w:r>
        <w:rPr>
          <w:rFonts w:hint="eastAsia" w:ascii="宋体" w:hAnsi="宋体" w:eastAsia="宋体" w:cs="宋体"/>
          <w:szCs w:val="24"/>
        </w:rPr>
        <w:br w:type="page"/>
      </w:r>
    </w:p>
    <w:p w14:paraId="426D9CD1">
      <w:pPr>
        <w:keepNext/>
        <w:keepLines/>
        <w:pageBreakBefore/>
        <w:kinsoku/>
        <w:overflowPunct/>
        <w:topLinePunct w:val="0"/>
        <w:bidi w:val="0"/>
        <w:adjustRightInd w:val="0"/>
        <w:snapToGrid w:val="0"/>
        <w:spacing w:beforeAutospacing="0" w:afterAutospacing="0" w:line="360" w:lineRule="auto"/>
        <w:ind w:left="0" w:leftChars="0" w:right="0" w:firstLine="0" w:firstLineChars="0"/>
        <w:jc w:val="center"/>
        <w:textAlignment w:val="baseline"/>
        <w:outlineLvl w:val="3"/>
        <w:rPr>
          <w:rFonts w:hint="eastAsia" w:ascii="宋体" w:hAnsi="宋体" w:eastAsia="宋体" w:cs="宋体"/>
          <w:b/>
          <w:bCs/>
          <w:kern w:val="0"/>
          <w:sz w:val="24"/>
          <w:szCs w:val="20"/>
        </w:rPr>
      </w:pPr>
      <w:r>
        <w:rPr>
          <w:rFonts w:hint="eastAsia" w:ascii="宋体" w:hAnsi="宋体" w:eastAsia="宋体" w:cs="宋体"/>
          <w:b/>
          <w:bCs/>
          <w:kern w:val="0"/>
          <w:sz w:val="24"/>
          <w:szCs w:val="20"/>
        </w:rPr>
        <w:t>2.政府采购投标及履约承诺函</w:t>
      </w:r>
    </w:p>
    <w:p w14:paraId="0EA2EB7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szCs w:val="21"/>
        </w:rPr>
      </w:pPr>
      <w:r>
        <w:rPr>
          <w:rFonts w:hint="eastAsia" w:ascii="宋体" w:hAnsi="宋体" w:eastAsia="宋体" w:cs="宋体"/>
          <w:b w:val="0"/>
          <w:bCs/>
          <w:szCs w:val="21"/>
        </w:rPr>
        <w:t>致：深圳公共资源交易中心</w:t>
      </w:r>
    </w:p>
    <w:p w14:paraId="5092187D">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firstLine="0" w:firstLineChars="0"/>
        <w:textAlignment w:val="auto"/>
        <w:rPr>
          <w:rFonts w:hint="eastAsia" w:ascii="宋体" w:hAnsi="宋体" w:eastAsia="宋体" w:cs="宋体"/>
          <w:szCs w:val="21"/>
        </w:rPr>
      </w:pPr>
      <w:r>
        <w:rPr>
          <w:rFonts w:hint="eastAsia" w:ascii="宋体" w:hAnsi="宋体" w:eastAsia="宋体" w:cs="宋体"/>
          <w:szCs w:val="21"/>
        </w:rPr>
        <w:t>我单位承诺：</w:t>
      </w:r>
    </w:p>
    <w:p w14:paraId="2C3755DD">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szCs w:val="21"/>
        </w:rPr>
      </w:pPr>
      <w:r>
        <w:rPr>
          <w:rFonts w:hint="eastAsia" w:ascii="宋体" w:hAnsi="宋体" w:eastAsia="宋体" w:cs="宋体"/>
          <w:b w:val="0"/>
          <w:bCs/>
          <w:szCs w:val="21"/>
        </w:rPr>
        <w:t>1.我单位参与本项目所投标（响应）的货物、工程或服务，不存在侵犯知识产权的情况。</w:t>
      </w:r>
    </w:p>
    <w:p w14:paraId="06A9CC2B">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szCs w:val="21"/>
        </w:rPr>
      </w:pPr>
      <w:r>
        <w:rPr>
          <w:rFonts w:hint="eastAsia" w:ascii="宋体" w:hAnsi="宋体" w:eastAsia="宋体" w:cs="宋体"/>
          <w:szCs w:val="21"/>
        </w:rPr>
        <w:t>2.我单位参与本项目</w:t>
      </w:r>
      <w:r>
        <w:rPr>
          <w:rFonts w:hint="eastAsia" w:ascii="宋体" w:hAnsi="宋体" w:eastAsia="宋体" w:cs="宋体"/>
        </w:rPr>
        <w:t>政府采购活动时不存在被有关部门禁止参与政府采购活动且在有效期内的情况。</w:t>
      </w:r>
    </w:p>
    <w:p w14:paraId="25875D9F">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szCs w:val="21"/>
        </w:rPr>
      </w:pPr>
      <w:r>
        <w:rPr>
          <w:rFonts w:hint="eastAsia" w:ascii="宋体" w:hAnsi="宋体" w:eastAsia="宋体" w:cs="宋体"/>
          <w:szCs w:val="21"/>
        </w:rPr>
        <w:t>3.我单位具备《中华人民共和国政府采购法》第二十二条第一款规定的六项条件。</w:t>
      </w:r>
    </w:p>
    <w:p w14:paraId="42C83A1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rPr>
      </w:pPr>
      <w:r>
        <w:rPr>
          <w:rFonts w:hint="eastAsia" w:ascii="宋体" w:hAnsi="宋体" w:eastAsia="宋体" w:cs="宋体"/>
          <w:szCs w:val="21"/>
        </w:rPr>
        <w:t>4.我单</w:t>
      </w:r>
      <w:r>
        <w:rPr>
          <w:rFonts w:hint="eastAsia" w:ascii="宋体" w:hAnsi="宋体" w:eastAsia="宋体" w:cs="宋体"/>
          <w:color w:val="010000"/>
          <w:szCs w:val="21"/>
        </w:rPr>
        <w:t>位</w:t>
      </w:r>
      <w:r>
        <w:rPr>
          <w:rFonts w:hint="eastAsia" w:ascii="宋体" w:hAnsi="宋体" w:eastAsia="宋体" w:cs="宋体"/>
          <w:color w:val="010000"/>
        </w:rPr>
        <w:t>未被列入失信被执行人、重大税收违法案件当事人名单、政府采购严重违法失信行为记录名单。</w:t>
      </w:r>
    </w:p>
    <w:p w14:paraId="653DB3C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lang w:val="en-US" w:eastAsia="zh-CN"/>
        </w:rPr>
      </w:pPr>
      <w:r>
        <w:rPr>
          <w:rFonts w:hint="eastAsia" w:ascii="宋体" w:hAnsi="宋体" w:eastAsia="宋体" w:cs="宋体"/>
          <w:color w:val="010000"/>
          <w:lang w:val="en-US" w:eastAsia="zh-CN"/>
        </w:rPr>
        <w:t>5.我单位不存在《深圳市财政局政府采购供应商信用信息管理办法》（深财规〔2023〕3号）列明的严重违法失信行为。</w:t>
      </w:r>
    </w:p>
    <w:p w14:paraId="36F50F65">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szCs w:val="21"/>
        </w:rPr>
      </w:pPr>
      <w:r>
        <w:rPr>
          <w:rFonts w:hint="eastAsia" w:ascii="宋体" w:hAnsi="宋体" w:eastAsia="宋体" w:cs="宋体"/>
          <w:color w:val="010000"/>
          <w:szCs w:val="21"/>
          <w:lang w:val="en-US" w:eastAsia="zh-CN"/>
        </w:rPr>
        <w:t>6</w:t>
      </w:r>
      <w:r>
        <w:rPr>
          <w:rFonts w:hint="eastAsia" w:ascii="宋体" w:hAnsi="宋体" w:eastAsia="宋体" w:cs="宋体"/>
          <w:color w:val="010000"/>
          <w:szCs w:val="21"/>
        </w:rPr>
        <w:t>.</w:t>
      </w:r>
      <w:bookmarkStart w:id="22" w:name="_Hlk72587269"/>
      <w:bookmarkStart w:id="23" w:name="_Hlk72587299"/>
      <w:r>
        <w:rPr>
          <w:rFonts w:hint="eastAsia" w:ascii="宋体" w:hAnsi="宋体" w:eastAsia="宋体" w:cs="宋体"/>
          <w:color w:val="010000"/>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2"/>
      <w:r>
        <w:rPr>
          <w:rFonts w:hint="eastAsia" w:ascii="宋体" w:hAnsi="宋体" w:eastAsia="宋体" w:cs="宋体"/>
          <w:color w:val="010000"/>
          <w:szCs w:val="21"/>
        </w:rPr>
        <w:t>。</w:t>
      </w:r>
    </w:p>
    <w:bookmarkEnd w:id="23"/>
    <w:p w14:paraId="426DC074">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szCs w:val="21"/>
        </w:rPr>
      </w:pPr>
      <w:r>
        <w:rPr>
          <w:rFonts w:hint="eastAsia" w:ascii="宋体" w:hAnsi="宋体" w:eastAsia="宋体" w:cs="宋体"/>
          <w:color w:val="010000"/>
          <w:szCs w:val="21"/>
          <w:lang w:val="en-US" w:eastAsia="zh-CN"/>
        </w:rPr>
        <w:t>7</w:t>
      </w:r>
      <w:r>
        <w:rPr>
          <w:rFonts w:hint="eastAsia" w:ascii="宋体" w:hAnsi="宋体" w:eastAsia="宋体" w:cs="宋体"/>
          <w:color w:val="010000"/>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2C01EB6">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szCs w:val="21"/>
        </w:rPr>
      </w:pPr>
      <w:r>
        <w:rPr>
          <w:rFonts w:hint="eastAsia" w:ascii="宋体" w:hAnsi="宋体" w:eastAsia="宋体" w:cs="宋体"/>
          <w:color w:val="01000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5332B60">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szCs w:val="21"/>
        </w:rPr>
      </w:pPr>
      <w:r>
        <w:rPr>
          <w:rFonts w:hint="eastAsia" w:ascii="宋体" w:hAnsi="宋体" w:eastAsia="宋体" w:cs="宋体"/>
          <w:color w:val="010000"/>
          <w:szCs w:val="21"/>
          <w:lang w:val="en-US" w:eastAsia="zh-CN"/>
        </w:rPr>
        <w:t>8</w:t>
      </w:r>
      <w:r>
        <w:rPr>
          <w:rFonts w:hint="eastAsia" w:ascii="宋体" w:hAnsi="宋体" w:eastAsia="宋体" w:cs="宋体"/>
          <w:color w:val="010000"/>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557C8A1">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szCs w:val="21"/>
        </w:rPr>
      </w:pPr>
      <w:r>
        <w:rPr>
          <w:rFonts w:hint="eastAsia" w:ascii="宋体" w:hAnsi="宋体" w:eastAsia="宋体" w:cs="宋体"/>
          <w:color w:val="010000"/>
          <w:szCs w:val="21"/>
          <w:lang w:val="en-US" w:eastAsia="zh-CN"/>
        </w:rPr>
        <w:t>9</w:t>
      </w:r>
      <w:r>
        <w:rPr>
          <w:rFonts w:hint="eastAsia" w:ascii="宋体" w:hAnsi="宋体" w:eastAsia="宋体" w:cs="宋体"/>
          <w:color w:val="010000"/>
          <w:szCs w:val="21"/>
        </w:rPr>
        <w:t>.我单位承诺中标后项目不转包，未经采购人同意不进行分包。</w:t>
      </w:r>
    </w:p>
    <w:p w14:paraId="7F75D514">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rPr>
      </w:pPr>
      <w:r>
        <w:rPr>
          <w:rFonts w:hint="eastAsia" w:ascii="宋体" w:hAnsi="宋体" w:eastAsia="宋体" w:cs="宋体"/>
          <w:color w:val="010000"/>
          <w:szCs w:val="21"/>
          <w:lang w:val="en-US" w:eastAsia="zh-CN"/>
        </w:rPr>
        <w:t>10</w:t>
      </w:r>
      <w:r>
        <w:rPr>
          <w:rFonts w:hint="eastAsia" w:ascii="宋体" w:hAnsi="宋体" w:eastAsia="宋体" w:cs="宋体"/>
          <w:color w:val="010000"/>
          <w:szCs w:val="21"/>
        </w:rPr>
        <w:t>.</w:t>
      </w:r>
      <w:r>
        <w:rPr>
          <w:rFonts w:hint="eastAsia" w:ascii="宋体" w:hAnsi="宋体" w:eastAsia="宋体" w:cs="宋体"/>
          <w:color w:val="01000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0CFCE34">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color w:val="010000"/>
          <w:lang w:val="en-US" w:eastAsia="zh-CN"/>
        </w:rPr>
      </w:pPr>
      <w:r>
        <w:rPr>
          <w:rFonts w:hint="eastAsia" w:ascii="宋体" w:hAnsi="宋体" w:eastAsia="宋体" w:cs="宋体"/>
          <w:color w:val="010000"/>
        </w:rPr>
        <w:t>1</w:t>
      </w:r>
      <w:r>
        <w:rPr>
          <w:rFonts w:hint="eastAsia" w:ascii="宋体" w:hAnsi="宋体" w:eastAsia="宋体" w:cs="宋体"/>
          <w:color w:val="010000"/>
          <w:lang w:val="en-US" w:eastAsia="zh-CN"/>
        </w:rPr>
        <w:t>1</w:t>
      </w:r>
      <w:r>
        <w:rPr>
          <w:rFonts w:hint="eastAsia" w:ascii="宋体" w:hAnsi="宋体" w:eastAsia="宋体" w:cs="宋体"/>
          <w:color w:val="010000"/>
        </w:rPr>
        <w:t>.我单位保证，若所投货物涉及《财政部生态环境部关于印发节能产品政府采购品目清单的通知》（财库〔2019〕19号）列明的政府采购强制产品，则所投该产品符合节能产品的认证要求。</w:t>
      </w:r>
      <w:r>
        <w:rPr>
          <w:rFonts w:hint="eastAsia" w:ascii="宋体" w:hAnsi="宋体" w:eastAsia="宋体" w:cs="宋体"/>
          <w:color w:val="010000"/>
          <w:lang w:val="en-US" w:eastAsia="zh-CN"/>
        </w:rPr>
        <w:t>若所投产品包括数据中心相关设备的，应满足</w:t>
      </w:r>
      <w:r>
        <w:rPr>
          <w:rFonts w:hint="eastAsia" w:ascii="宋体" w:hAnsi="宋体" w:eastAsia="宋体" w:cs="宋体"/>
          <w:color w:val="010000"/>
        </w:rPr>
        <w:t>《财政部 生态环境部 工业和信息化部关于印发&lt;绿色数据中心政府采购需求标准（试行）&gt;的通知》</w:t>
      </w:r>
      <w:r>
        <w:rPr>
          <w:rFonts w:hint="eastAsia" w:ascii="宋体" w:hAnsi="宋体" w:eastAsia="宋体" w:cs="宋体"/>
          <w:color w:val="010000"/>
          <w:lang w:eastAsia="zh-CN"/>
        </w:rPr>
        <w:t>（</w:t>
      </w:r>
      <w:r>
        <w:rPr>
          <w:rFonts w:hint="eastAsia" w:ascii="宋体" w:hAnsi="宋体" w:eastAsia="宋体" w:cs="宋体"/>
          <w:color w:val="010000"/>
        </w:rPr>
        <w:t>财库〔2023〕7号）</w:t>
      </w:r>
      <w:r>
        <w:rPr>
          <w:rFonts w:hint="eastAsia" w:ascii="宋体" w:hAnsi="宋体" w:eastAsia="宋体" w:cs="宋体"/>
          <w:color w:val="010000"/>
          <w:lang w:val="en-US" w:eastAsia="zh-CN"/>
        </w:rPr>
        <w:t>要求。若所投产品涉及国家强制性标准的，所投产品应符合国家强制性标准相关要求。</w:t>
      </w:r>
    </w:p>
    <w:p w14:paraId="5DFFB8D3">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010000"/>
        </w:rPr>
      </w:pPr>
      <w:r>
        <w:rPr>
          <w:rFonts w:hint="eastAsia" w:ascii="宋体" w:hAnsi="宋体" w:eastAsia="宋体" w:cs="宋体"/>
          <w:b w:val="0"/>
          <w:bCs/>
          <w:color w:val="010000"/>
          <w:kern w:val="0"/>
          <w:szCs w:val="21"/>
        </w:rPr>
        <w:t>1</w:t>
      </w:r>
      <w:r>
        <w:rPr>
          <w:rFonts w:hint="eastAsia" w:ascii="宋体" w:hAnsi="宋体" w:eastAsia="宋体" w:cs="宋体"/>
          <w:b w:val="0"/>
          <w:bCs/>
          <w:color w:val="010000"/>
          <w:kern w:val="0"/>
          <w:szCs w:val="21"/>
          <w:lang w:val="en-US" w:eastAsia="zh-CN"/>
        </w:rPr>
        <w:t>2</w:t>
      </w:r>
      <w:r>
        <w:rPr>
          <w:rFonts w:hint="eastAsia" w:ascii="宋体" w:hAnsi="宋体" w:eastAsia="宋体" w:cs="宋体"/>
          <w:b w:val="0"/>
          <w:bCs/>
          <w:color w:val="010000"/>
          <w:kern w:val="0"/>
          <w:szCs w:val="21"/>
        </w:rPr>
        <w:t>.</w:t>
      </w:r>
      <w:r>
        <w:rPr>
          <w:rFonts w:hint="eastAsia" w:ascii="宋体" w:hAnsi="宋体" w:eastAsia="宋体" w:cs="宋体"/>
          <w:b w:val="0"/>
          <w:bCs/>
          <w:color w:val="010000"/>
        </w:rPr>
        <w:t>我单位已知悉并同意中标（成交）结果信息公示（公开）的内容。</w:t>
      </w:r>
    </w:p>
    <w:p w14:paraId="4B5723CD">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color w:val="FF0000"/>
          <w:kern w:val="0"/>
          <w:szCs w:val="21"/>
          <w:lang w:eastAsia="zh-CN"/>
        </w:rPr>
      </w:pPr>
      <w:r>
        <w:rPr>
          <w:rFonts w:hint="eastAsia" w:ascii="宋体" w:hAnsi="宋体" w:eastAsia="宋体" w:cs="宋体"/>
          <w:b w:val="0"/>
          <w:bCs/>
          <w:color w:val="010000"/>
        </w:rPr>
        <w:t>1</w:t>
      </w:r>
      <w:r>
        <w:rPr>
          <w:rFonts w:hint="eastAsia" w:ascii="宋体" w:hAnsi="宋体" w:eastAsia="宋体" w:cs="宋体"/>
          <w:b w:val="0"/>
          <w:bCs/>
          <w:color w:val="010000"/>
          <w:lang w:val="en-US" w:eastAsia="zh-CN"/>
        </w:rPr>
        <w:t>3</w:t>
      </w:r>
      <w:r>
        <w:rPr>
          <w:rFonts w:hint="eastAsia" w:ascii="宋体" w:hAnsi="宋体" w:eastAsia="宋体" w:cs="宋体"/>
          <w:b w:val="0"/>
          <w:bCs/>
          <w:color w:val="010000"/>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cs="宋体"/>
          <w:b w:val="0"/>
          <w:bCs/>
          <w:color w:val="010000"/>
          <w:lang w:val="en-US" w:eastAsia="zh-CN"/>
        </w:rPr>
        <w:t>若</w:t>
      </w:r>
      <w:r>
        <w:rPr>
          <w:rFonts w:hint="eastAsia" w:ascii="宋体" w:hAnsi="宋体" w:eastAsia="宋体" w:cs="宋体"/>
          <w:b w:val="0"/>
          <w:bCs/>
          <w:color w:val="010000"/>
        </w:rPr>
        <w:t>存在“不同供应商的董事、股东或其他高级管理人员为同一人的”情形的，</w:t>
      </w:r>
      <w:r>
        <w:rPr>
          <w:rFonts w:hint="eastAsia" w:ascii="宋体" w:hAnsi="宋体" w:eastAsia="宋体" w:cs="宋体"/>
          <w:b w:val="0"/>
          <w:bCs/>
          <w:color w:val="010000"/>
          <w:lang w:val="en-US" w:eastAsia="zh-CN"/>
        </w:rPr>
        <w:t>我单位保证</w:t>
      </w:r>
      <w:r>
        <w:rPr>
          <w:rFonts w:hint="eastAsia" w:ascii="宋体" w:hAnsi="宋体" w:eastAsia="宋体" w:cs="宋体"/>
          <w:b w:val="0"/>
          <w:bCs/>
          <w:color w:val="010000"/>
        </w:rPr>
        <w:t>不存在串通投标、恶意串通或者视为串通投标的情形</w:t>
      </w:r>
      <w:r>
        <w:rPr>
          <w:rFonts w:hint="eastAsia" w:ascii="宋体" w:hAnsi="宋体" w:eastAsia="宋体" w:cs="宋体"/>
          <w:b w:val="0"/>
          <w:bCs/>
          <w:color w:val="010000"/>
          <w:lang w:eastAsia="zh-CN"/>
        </w:rPr>
        <w:t>。</w:t>
      </w:r>
    </w:p>
    <w:p w14:paraId="53308645">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szCs w:val="21"/>
          <w:lang w:val="en-US"/>
        </w:rPr>
      </w:pPr>
      <w:r>
        <w:rPr>
          <w:rFonts w:hint="eastAsia" w:ascii="宋体" w:hAnsi="宋体" w:eastAsia="宋体" w:cs="宋体"/>
          <w:b/>
          <w:lang w:val="en-US" w:eastAsia="zh-CN"/>
        </w:rPr>
        <w:t>14.我单位清楚，如存在违反投标承诺行为情节严重的，将根据《深圳市财政局关于印发&lt;深圳市财政局政府采购供应商信用信息管理办法&gt;的通知》，依法被列入失信信息。</w:t>
      </w:r>
    </w:p>
    <w:p w14:paraId="126E5700">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p>
    <w:p w14:paraId="4F9D5BB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以上承诺，如有违反，愿依照国家相关法律法规处理，并承担由此给采购人带来的损失。</w:t>
      </w:r>
    </w:p>
    <w:p w14:paraId="01BA30B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 w:val="24"/>
          <w:szCs w:val="24"/>
        </w:rPr>
        <w:t xml:space="preserve">                        </w:t>
      </w:r>
      <w:r>
        <w:rPr>
          <w:rFonts w:hint="eastAsia" w:ascii="宋体" w:hAnsi="宋体" w:eastAsia="宋体" w:cs="宋体"/>
          <w:szCs w:val="21"/>
        </w:rPr>
        <w:t>投标单位（投标人）名称：</w:t>
      </w:r>
      <w:r>
        <w:rPr>
          <w:rFonts w:hint="eastAsia" w:ascii="宋体" w:hAnsi="宋体" w:eastAsia="宋体" w:cs="宋体"/>
          <w:szCs w:val="21"/>
          <w:u w:val="single"/>
          <w:lang w:val="en-US" w:eastAsia="zh-CN"/>
        </w:rPr>
        <w:t xml:space="preserve">             </w:t>
      </w:r>
      <w:r>
        <w:rPr>
          <w:rFonts w:hint="eastAsia" w:ascii="宋体" w:hAnsi="宋体" w:eastAsia="宋体" w:cs="宋体"/>
          <w:szCs w:val="21"/>
        </w:rPr>
        <w:t xml:space="preserve">                </w:t>
      </w:r>
    </w:p>
    <w:p w14:paraId="55B3FEC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B097674">
      <w:pPr>
        <w:widowControl/>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kern w:val="0"/>
          <w:szCs w:val="21"/>
        </w:rPr>
      </w:pPr>
      <w:r>
        <w:rPr>
          <w:rFonts w:hint="eastAsia" w:ascii="宋体" w:hAnsi="宋体" w:eastAsia="宋体" w:cs="宋体"/>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1EF8D5E7">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FF0000"/>
          <w:kern w:val="0"/>
          <w:szCs w:val="21"/>
        </w:rPr>
      </w:pPr>
    </w:p>
    <w:p w14:paraId="20F772D6">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3.</w:t>
      </w:r>
      <w:r>
        <w:rPr>
          <w:rFonts w:hint="eastAsia" w:ascii="宋体" w:hAnsi="宋体" w:eastAsia="宋体" w:cs="宋体"/>
          <w:b/>
          <w:bCs/>
          <w:kern w:val="0"/>
          <w:sz w:val="24"/>
          <w:szCs w:val="20"/>
        </w:rPr>
        <w:t>投标人情况及资格证明文件</w:t>
      </w:r>
    </w:p>
    <w:p w14:paraId="1CC369F3">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color w:val="FF0000"/>
        </w:rPr>
      </w:pPr>
      <w:r>
        <w:rPr>
          <w:rFonts w:hint="eastAsia" w:ascii="宋体" w:hAnsi="宋体" w:eastAsia="宋体" w:cs="宋体"/>
          <w:bCs/>
          <w:kern w:val="0"/>
          <w:sz w:val="24"/>
          <w:szCs w:val="32"/>
          <w:lang w:eastAsia="zh-CN"/>
        </w:rPr>
        <w:t>（</w:t>
      </w:r>
      <w:r>
        <w:rPr>
          <w:rFonts w:hint="eastAsia" w:ascii="宋体" w:hAnsi="宋体" w:eastAsia="宋体" w:cs="宋体"/>
          <w:bCs/>
          <w:kern w:val="0"/>
          <w:sz w:val="24"/>
          <w:szCs w:val="32"/>
          <w:lang w:val="en-US" w:eastAsia="zh-CN"/>
        </w:rPr>
        <w:t>1</w:t>
      </w:r>
      <w:r>
        <w:rPr>
          <w:rFonts w:hint="eastAsia" w:ascii="宋体" w:hAnsi="宋体" w:eastAsia="宋体" w:cs="宋体"/>
          <w:bCs/>
          <w:kern w:val="0"/>
          <w:sz w:val="24"/>
          <w:szCs w:val="32"/>
          <w:lang w:eastAsia="zh-CN"/>
        </w:rPr>
        <w:t>）</w:t>
      </w:r>
      <w:r>
        <w:rPr>
          <w:rFonts w:hint="eastAsia" w:ascii="宋体" w:hAnsi="宋体" w:eastAsia="宋体" w:cs="宋体"/>
          <w:bCs/>
          <w:kern w:val="0"/>
          <w:sz w:val="24"/>
          <w:szCs w:val="32"/>
        </w:rPr>
        <w:t>投标人资格证明文件</w:t>
      </w:r>
    </w:p>
    <w:p w14:paraId="4EFFCF2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color w:val="FF0000"/>
        </w:rPr>
      </w:pPr>
      <w:r>
        <w:rPr>
          <w:rFonts w:hint="eastAsia" w:ascii="宋体" w:hAnsi="宋体" w:eastAsia="宋体" w:cs="宋体"/>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14:paraId="3618CA57">
      <w:pPr>
        <w:pStyle w:val="2"/>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65E3E6F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kern w:val="0"/>
          <w:sz w:val="24"/>
          <w:szCs w:val="20"/>
          <w:lang w:val="en-US"/>
        </w:rPr>
      </w:pPr>
      <w:r>
        <w:rPr>
          <w:rFonts w:hint="eastAsia" w:ascii="宋体" w:hAnsi="宋体" w:eastAsia="宋体" w:cs="宋体"/>
          <w:bCs/>
          <w:kern w:val="0"/>
          <w:sz w:val="24"/>
          <w:szCs w:val="32"/>
          <w:lang w:eastAsia="zh-CN"/>
        </w:rPr>
        <w:t>（</w:t>
      </w:r>
      <w:r>
        <w:rPr>
          <w:rFonts w:hint="eastAsia" w:ascii="宋体" w:hAnsi="宋体" w:eastAsia="宋体" w:cs="宋体"/>
          <w:bCs/>
          <w:kern w:val="0"/>
          <w:sz w:val="24"/>
          <w:szCs w:val="32"/>
          <w:lang w:val="en-US" w:eastAsia="zh-CN"/>
        </w:rPr>
        <w:t>2</w:t>
      </w:r>
      <w:r>
        <w:rPr>
          <w:rFonts w:hint="eastAsia" w:ascii="宋体" w:hAnsi="宋体" w:eastAsia="宋体" w:cs="宋体"/>
          <w:bCs/>
          <w:kern w:val="0"/>
          <w:sz w:val="24"/>
          <w:szCs w:val="32"/>
          <w:lang w:eastAsia="zh-CN"/>
        </w:rPr>
        <w:t>）</w:t>
      </w:r>
      <w:r>
        <w:rPr>
          <w:rFonts w:hint="eastAsia" w:ascii="宋体" w:hAnsi="宋体" w:eastAsia="宋体" w:cs="宋体"/>
          <w:bCs/>
          <w:kern w:val="0"/>
          <w:sz w:val="24"/>
          <w:szCs w:val="32"/>
        </w:rPr>
        <w:t>中小企业声明函、残疾人福利性单位声明函及监狱企业声明函</w:t>
      </w:r>
    </w:p>
    <w:p w14:paraId="2A7A9FA4">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填写指引：</w:t>
      </w:r>
    </w:p>
    <w:p w14:paraId="0DF0529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41F159F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2、该部分内容填写需要参考的相关文件：</w:t>
      </w:r>
    </w:p>
    <w:p w14:paraId="52BAC78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(1)财政部《政府采购促进中小企业发展管理办法》（财库〔2020〕46号）；</w:t>
      </w:r>
    </w:p>
    <w:p w14:paraId="5286E3B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b w:val="0"/>
          <w:bCs/>
          <w:color w:val="FF0000"/>
          <w:sz w:val="21"/>
          <w:szCs w:val="21"/>
          <w:lang w:eastAsia="zh-CN"/>
        </w:rPr>
        <w:t>；</w:t>
      </w:r>
    </w:p>
    <w:p w14:paraId="543F7B0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rPr>
        <w:t>(3)《统计上大中小微型企业划分办法(2017)》（国统字〔2017〕213 号）</w:t>
      </w:r>
      <w:r>
        <w:rPr>
          <w:rFonts w:hint="eastAsia" w:ascii="宋体" w:hAnsi="宋体" w:eastAsia="宋体" w:cs="宋体"/>
          <w:b w:val="0"/>
          <w:bCs/>
          <w:color w:val="FF0000"/>
          <w:sz w:val="21"/>
          <w:szCs w:val="21"/>
          <w:lang w:eastAsia="zh-CN"/>
        </w:rPr>
        <w:t>；</w:t>
      </w:r>
    </w:p>
    <w:p w14:paraId="03B6BD9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rPr>
        <w:t>(4)《关于促进残疾人就业政府采购政策的通知》（财库〔2017〕141号）</w:t>
      </w:r>
      <w:r>
        <w:rPr>
          <w:rFonts w:hint="eastAsia" w:ascii="宋体" w:hAnsi="宋体" w:eastAsia="宋体" w:cs="宋体"/>
          <w:b w:val="0"/>
          <w:bCs/>
          <w:color w:val="FF0000"/>
          <w:sz w:val="21"/>
          <w:szCs w:val="21"/>
          <w:lang w:eastAsia="zh-CN"/>
        </w:rPr>
        <w:t>；</w:t>
      </w:r>
    </w:p>
    <w:p w14:paraId="6E7663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(5)《关于政府采购支持监狱企业发展有关问题的通知》（财库〔2014〕68号）</w:t>
      </w:r>
    </w:p>
    <w:p w14:paraId="230EEC4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3、请依照提供的格式和内容填写声明函，不要随意变更格式；声明函不需要盖章或签字；满足多项优惠政策的投标人，不重复享受多项价格扣除政策。</w:t>
      </w:r>
    </w:p>
    <w:p w14:paraId="4C503F7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4、声明函具体填写要求：</w:t>
      </w:r>
    </w:p>
    <w:p w14:paraId="240C5A6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（1）声明是中小企业须填写《中小企业声明函》的以下内容：</w:t>
      </w:r>
    </w:p>
    <w:p w14:paraId="5813ECE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第一处，在“</w:t>
      </w:r>
      <w:r>
        <w:rPr>
          <w:rFonts w:hint="eastAsia" w:ascii="宋体" w:hAnsi="宋体" w:eastAsia="宋体" w:cs="宋体"/>
          <w:b w:val="0"/>
          <w:bCs/>
          <w:color w:val="FF0000"/>
          <w:sz w:val="21"/>
          <w:szCs w:val="21"/>
          <w:lang w:val="en-US" w:eastAsia="zh-CN"/>
        </w:rPr>
        <w:t>采购人</w:t>
      </w:r>
      <w:r>
        <w:rPr>
          <w:rFonts w:hint="eastAsia" w:ascii="宋体" w:hAnsi="宋体" w:eastAsia="宋体" w:cs="宋体"/>
          <w:b w:val="0"/>
          <w:bCs/>
          <w:color w:val="FF0000"/>
          <w:sz w:val="21"/>
          <w:szCs w:val="21"/>
        </w:rPr>
        <w:t>名称”下划线处如实填写采购人名称（深圳公共资源交易中心不是本项目的采购人，而是组织实施机构）；</w:t>
      </w:r>
    </w:p>
    <w:p w14:paraId="4CFFBD3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第二处，在“项目名称”下划线处如实填写采购项目名称；</w:t>
      </w:r>
    </w:p>
    <w:p w14:paraId="276E673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第三处，在“标的名称”下划线处填写所采购货物（标的）的具体名称</w:t>
      </w:r>
      <w:r>
        <w:rPr>
          <w:rFonts w:hint="eastAsia" w:ascii="宋体" w:hAnsi="宋体" w:eastAsia="宋体" w:cs="宋体"/>
          <w:b w:val="0"/>
          <w:bCs/>
          <w:color w:val="0000FF"/>
          <w:sz w:val="21"/>
          <w:szCs w:val="21"/>
        </w:rPr>
        <w:t>（以招标文件第一册第三章用户需求书“货物</w:t>
      </w:r>
      <w:r>
        <w:rPr>
          <w:rFonts w:hint="eastAsia" w:ascii="宋体" w:hAnsi="宋体" w:eastAsia="宋体" w:cs="宋体"/>
          <w:b w:val="0"/>
          <w:bCs/>
          <w:color w:val="0000FF"/>
          <w:sz w:val="21"/>
          <w:szCs w:val="21"/>
          <w:lang w:val="en-US" w:eastAsia="zh-CN"/>
        </w:rPr>
        <w:t>需求</w:t>
      </w:r>
      <w:r>
        <w:rPr>
          <w:rFonts w:hint="eastAsia" w:ascii="宋体" w:hAnsi="宋体" w:eastAsia="宋体" w:cs="宋体"/>
          <w:b w:val="0"/>
          <w:bCs/>
          <w:color w:val="0000FF"/>
          <w:sz w:val="21"/>
          <w:szCs w:val="21"/>
        </w:rPr>
        <w:t>明细”的“货物名称”一栏为准）</w:t>
      </w:r>
      <w:r>
        <w:rPr>
          <w:rFonts w:hint="eastAsia" w:ascii="宋体" w:hAnsi="宋体" w:eastAsia="宋体" w:cs="宋体"/>
          <w:b w:val="0"/>
          <w:bCs/>
          <w:color w:val="FF0000"/>
          <w:sz w:val="21"/>
          <w:szCs w:val="21"/>
        </w:rPr>
        <w:t>；如果涉及多项货物（标的）为同一企业制造，“标的名称”下划线处可以如实填写多项货物；</w:t>
      </w:r>
    </w:p>
    <w:p w14:paraId="5979314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第四处，在“招标文件中明确的所属行业”下划线处填写采购标的对应的中小企业划分标准所属行业</w:t>
      </w:r>
      <w:r>
        <w:rPr>
          <w:rFonts w:hint="eastAsia" w:ascii="宋体" w:hAnsi="宋体" w:eastAsia="宋体" w:cs="宋体"/>
          <w:b w:val="0"/>
          <w:bCs w:val="0"/>
          <w:color w:val="0000FF"/>
          <w:sz w:val="21"/>
          <w:szCs w:val="21"/>
        </w:rPr>
        <w:t>（所属行业</w:t>
      </w:r>
      <w:r>
        <w:rPr>
          <w:rFonts w:hint="eastAsia" w:ascii="宋体" w:hAnsi="宋体" w:eastAsia="宋体" w:cs="宋体"/>
          <w:b w:val="0"/>
          <w:bCs w:val="0"/>
          <w:color w:val="0000FF"/>
          <w:sz w:val="21"/>
          <w:szCs w:val="21"/>
          <w:lang w:val="en-US" w:eastAsia="zh-CN"/>
        </w:rPr>
        <w:t>详见</w:t>
      </w:r>
      <w:r>
        <w:rPr>
          <w:rFonts w:hint="eastAsia" w:ascii="宋体" w:hAnsi="宋体" w:eastAsia="宋体" w:cs="宋体"/>
          <w:b w:val="0"/>
          <w:bCs w:val="0"/>
          <w:color w:val="0000FF"/>
          <w:sz w:val="21"/>
          <w:szCs w:val="21"/>
        </w:rPr>
        <w:t>招标文件第一册第二章“对通用条款的补充内容及其他关键信息”章节</w:t>
      </w:r>
      <w:r>
        <w:rPr>
          <w:rFonts w:hint="eastAsia" w:ascii="宋体" w:hAnsi="宋体" w:eastAsia="宋体" w:cs="宋体"/>
          <w:b w:val="0"/>
          <w:bCs w:val="0"/>
          <w:color w:val="0000FF"/>
          <w:sz w:val="21"/>
          <w:szCs w:val="21"/>
          <w:lang w:val="en-US" w:eastAsia="zh-CN"/>
        </w:rPr>
        <w:t>或</w:t>
      </w:r>
      <w:r>
        <w:rPr>
          <w:rFonts w:hint="eastAsia" w:ascii="宋体" w:hAnsi="宋体" w:eastAsia="宋体" w:cs="宋体"/>
          <w:b w:val="0"/>
          <w:bCs w:val="0"/>
          <w:color w:val="0000FF"/>
          <w:sz w:val="21"/>
          <w:szCs w:val="21"/>
        </w:rPr>
        <w:t>第三章用户需求书“</w:t>
      </w:r>
      <w:r>
        <w:rPr>
          <w:rFonts w:hint="eastAsia" w:ascii="宋体" w:hAnsi="宋体" w:eastAsia="宋体" w:cs="宋体"/>
          <w:b w:val="0"/>
          <w:bCs w:val="0"/>
          <w:color w:val="0000FF"/>
          <w:sz w:val="21"/>
          <w:szCs w:val="21"/>
          <w:lang w:val="en-US" w:eastAsia="zh-CN"/>
        </w:rPr>
        <w:t>货物需求</w:t>
      </w:r>
      <w:r>
        <w:rPr>
          <w:rFonts w:hint="eastAsia" w:ascii="宋体" w:hAnsi="宋体" w:eastAsia="宋体" w:cs="宋体"/>
          <w:b w:val="0"/>
          <w:bCs w:val="0"/>
          <w:color w:val="0000FF"/>
          <w:sz w:val="21"/>
          <w:szCs w:val="21"/>
        </w:rPr>
        <w:t>明细”</w:t>
      </w:r>
      <w:r>
        <w:rPr>
          <w:rFonts w:hint="eastAsia" w:ascii="宋体" w:hAnsi="宋体" w:eastAsia="宋体" w:cs="宋体"/>
          <w:b w:val="0"/>
          <w:bCs w:val="0"/>
          <w:color w:val="0000FF"/>
          <w:sz w:val="21"/>
          <w:szCs w:val="21"/>
          <w:lang w:val="en-US" w:eastAsia="zh-CN"/>
        </w:rPr>
        <w:t>中的所属行业信息</w:t>
      </w:r>
      <w:r>
        <w:rPr>
          <w:rFonts w:hint="eastAsia" w:ascii="宋体" w:hAnsi="宋体" w:eastAsia="宋体" w:cs="宋体"/>
          <w:b w:val="0"/>
          <w:bCs w:val="0"/>
          <w:color w:val="0000FF"/>
          <w:sz w:val="21"/>
          <w:szCs w:val="21"/>
        </w:rPr>
        <w:t>）</w:t>
      </w:r>
      <w:r>
        <w:rPr>
          <w:rFonts w:hint="eastAsia" w:ascii="宋体" w:hAnsi="宋体" w:eastAsia="宋体" w:cs="宋体"/>
          <w:b w:val="0"/>
          <w:bCs/>
          <w:color w:val="FF0000"/>
          <w:sz w:val="21"/>
          <w:szCs w:val="21"/>
        </w:rPr>
        <w:t>；</w:t>
      </w:r>
    </w:p>
    <w:p w14:paraId="58F6837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9EFBFE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（2）声明是残疾人福利性单位须填写《残疾人福利性单位声明函》的相关内容，具体参照以上《中小企业声明函》填写要求执行。</w:t>
      </w:r>
    </w:p>
    <w:p w14:paraId="647255B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（3）声明是监狱企业须填写《监狱企业声明函》的三项内容（填写位置的字体已加粗），具体参照以上《中小企业声明函》填写要求执行。</w:t>
      </w:r>
    </w:p>
    <w:p w14:paraId="2A73C5B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5、若本项目属于专门面向中小企业、残疾人福利性单位或监狱企业</w:t>
      </w:r>
      <w:r>
        <w:rPr>
          <w:rFonts w:hint="eastAsia" w:ascii="宋体" w:hAnsi="宋体" w:eastAsia="宋体" w:cs="宋体"/>
          <w:b w:val="0"/>
          <w:bCs/>
          <w:color w:val="FF0000"/>
          <w:sz w:val="21"/>
          <w:szCs w:val="21"/>
          <w:lang w:eastAsia="zh-CN"/>
        </w:rPr>
        <w:t>（</w:t>
      </w:r>
      <w:r>
        <w:rPr>
          <w:rFonts w:hint="eastAsia" w:ascii="宋体" w:hAnsi="宋体" w:eastAsia="宋体" w:cs="宋体"/>
          <w:b w:val="0"/>
          <w:bCs/>
          <w:color w:val="FF0000"/>
          <w:sz w:val="21"/>
          <w:szCs w:val="21"/>
          <w:lang w:val="en-US" w:eastAsia="zh-CN"/>
        </w:rPr>
        <w:t>包括联合体或分包预留中小企业份额的</w:t>
      </w:r>
      <w:r>
        <w:rPr>
          <w:rFonts w:hint="eastAsia" w:ascii="宋体" w:hAnsi="宋体" w:eastAsia="宋体" w:cs="宋体"/>
          <w:b w:val="0"/>
          <w:bCs/>
          <w:color w:val="FF0000"/>
          <w:sz w:val="21"/>
          <w:szCs w:val="21"/>
          <w:lang w:eastAsia="zh-CN"/>
        </w:rPr>
        <w:t>）</w:t>
      </w:r>
      <w:r>
        <w:rPr>
          <w:rFonts w:hint="eastAsia" w:ascii="宋体" w:hAnsi="宋体" w:eastAsia="宋体" w:cs="宋体"/>
          <w:b w:val="0"/>
          <w:bCs/>
          <w:color w:val="FF0000"/>
          <w:sz w:val="21"/>
          <w:szCs w:val="21"/>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D9E723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bCs/>
          <w:sz w:val="24"/>
          <w:szCs w:val="24"/>
        </w:rPr>
        <w:fldChar w:fldCharType="begin"/>
      </w:r>
      <w:r>
        <w:rPr>
          <w:rFonts w:hint="eastAsia" w:ascii="宋体" w:hAnsi="宋体" w:eastAsia="宋体" w:cs="宋体"/>
          <w:b/>
          <w:sz w:val="24"/>
          <w:szCs w:val="24"/>
        </w:rPr>
        <w:instrText xml:space="preserve"> = 1 \* GB3 </w:instrText>
      </w:r>
      <w:r>
        <w:rPr>
          <w:rFonts w:hint="eastAsia" w:ascii="宋体" w:hAnsi="宋体" w:eastAsia="宋体" w:cs="宋体"/>
          <w:b/>
          <w:bCs/>
          <w:sz w:val="24"/>
          <w:szCs w:val="24"/>
        </w:rPr>
        <w:fldChar w:fldCharType="separate"/>
      </w:r>
      <w:r>
        <w:rPr>
          <w:rFonts w:hint="eastAsia" w:ascii="宋体" w:hAnsi="宋体" w:eastAsia="宋体" w:cs="宋体"/>
          <w:b/>
          <w:sz w:val="24"/>
          <w:szCs w:val="24"/>
        </w:rPr>
        <w:t>①</w:t>
      </w:r>
      <w:r>
        <w:rPr>
          <w:rFonts w:hint="eastAsia" w:ascii="宋体" w:hAnsi="宋体" w:eastAsia="宋体" w:cs="宋体"/>
          <w:b/>
          <w:bCs/>
          <w:sz w:val="24"/>
          <w:szCs w:val="24"/>
        </w:rPr>
        <w:fldChar w:fldCharType="end"/>
      </w:r>
      <w:r>
        <w:rPr>
          <w:rFonts w:hint="eastAsia" w:ascii="宋体" w:hAnsi="宋体" w:eastAsia="宋体" w:cs="宋体"/>
          <w:b/>
          <w:sz w:val="24"/>
          <w:szCs w:val="24"/>
        </w:rPr>
        <w:t>中小企业声明函（货物）</w:t>
      </w:r>
    </w:p>
    <w:p w14:paraId="0E62956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本投标人郑重声明，根据《政府采购促进中小企业发展管理办法》（财库﹝2020﹞46 号）的规定，本投标人参加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采购活动，提供的货物全部由符合政策要求的中小企业制造。相关企业的具体情况如下：</w:t>
      </w:r>
    </w:p>
    <w:p w14:paraId="1EE1746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，属于</w:t>
      </w:r>
      <w:r>
        <w:rPr>
          <w:rFonts w:hint="eastAsia" w:ascii="宋体" w:hAnsi="宋体" w:eastAsia="宋体" w:cs="宋体"/>
          <w:b/>
          <w:bCs/>
          <w:szCs w:val="21"/>
          <w:u w:val="single"/>
        </w:rPr>
        <w:t xml:space="preserve">（招标文件中明确的所属行业） </w:t>
      </w:r>
      <w:r>
        <w:rPr>
          <w:rFonts w:hint="eastAsia" w:ascii="宋体" w:hAnsi="宋体" w:eastAsia="宋体" w:cs="宋体"/>
          <w:szCs w:val="21"/>
        </w:rPr>
        <w:t>行业；制造商为</w:t>
      </w:r>
      <w:r>
        <w:rPr>
          <w:rFonts w:hint="eastAsia" w:ascii="宋体" w:hAnsi="宋体" w:eastAsia="宋体" w:cs="宋体"/>
          <w:b/>
          <w:bCs/>
          <w:szCs w:val="21"/>
          <w:u w:val="single"/>
        </w:rPr>
        <w:t>（企业名称，要求制造商本身所属行业应当与招标文件要求的行业相一致）</w:t>
      </w:r>
      <w:r>
        <w:rPr>
          <w:rFonts w:hint="eastAsia" w:ascii="宋体" w:hAnsi="宋体" w:eastAsia="宋体" w:cs="宋体"/>
          <w:szCs w:val="21"/>
        </w:rPr>
        <w:t>，从业人员</w:t>
      </w:r>
      <w:r>
        <w:rPr>
          <w:rFonts w:hint="eastAsia" w:ascii="宋体" w:hAnsi="宋体" w:eastAsia="宋体" w:cs="宋体"/>
          <w:b/>
          <w:bCs/>
          <w:szCs w:val="21"/>
          <w:u w:val="single"/>
        </w:rPr>
        <w:t xml:space="preserve">   </w:t>
      </w:r>
      <w:r>
        <w:rPr>
          <w:rFonts w:hint="eastAsia" w:ascii="宋体" w:hAnsi="宋体" w:eastAsia="宋体" w:cs="宋体"/>
          <w:szCs w:val="21"/>
        </w:rPr>
        <w:t>人，营业收入为</w:t>
      </w:r>
      <w:r>
        <w:rPr>
          <w:rFonts w:hint="eastAsia" w:ascii="宋体" w:hAnsi="宋体" w:eastAsia="宋体" w:cs="宋体"/>
          <w:b/>
          <w:bCs/>
          <w:szCs w:val="21"/>
          <w:u w:val="single"/>
        </w:rPr>
        <w:t xml:space="preserve">   </w:t>
      </w:r>
      <w:r>
        <w:rPr>
          <w:rFonts w:hint="eastAsia" w:ascii="宋体" w:hAnsi="宋体" w:eastAsia="宋体" w:cs="宋体"/>
          <w:szCs w:val="21"/>
        </w:rPr>
        <w:t>万元，资产总额为</w:t>
      </w:r>
      <w:r>
        <w:rPr>
          <w:rFonts w:hint="eastAsia" w:ascii="宋体" w:hAnsi="宋体" w:eastAsia="宋体" w:cs="宋体"/>
          <w:b/>
          <w:bCs/>
          <w:szCs w:val="21"/>
          <w:u w:val="single"/>
        </w:rPr>
        <w:t xml:space="preserve">   </w:t>
      </w:r>
      <w:r>
        <w:rPr>
          <w:rFonts w:hint="eastAsia" w:ascii="宋体" w:hAnsi="宋体" w:eastAsia="宋体" w:cs="宋体"/>
          <w:szCs w:val="21"/>
        </w:rPr>
        <w:t>万元 ，属于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 xml:space="preserve">； </w:t>
      </w:r>
    </w:p>
    <w:p w14:paraId="3FEDA6B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，属于</w:t>
      </w:r>
      <w:r>
        <w:rPr>
          <w:rFonts w:hint="eastAsia" w:ascii="宋体" w:hAnsi="宋体" w:eastAsia="宋体" w:cs="宋体"/>
          <w:b/>
          <w:bCs/>
          <w:szCs w:val="21"/>
          <w:u w:val="single"/>
        </w:rPr>
        <w:t xml:space="preserve">（招标文件中明确的所属行业） </w:t>
      </w:r>
      <w:r>
        <w:rPr>
          <w:rFonts w:hint="eastAsia" w:ascii="宋体" w:hAnsi="宋体" w:eastAsia="宋体" w:cs="宋体"/>
          <w:szCs w:val="21"/>
        </w:rPr>
        <w:t>行业；制造商为</w:t>
      </w:r>
      <w:r>
        <w:rPr>
          <w:rFonts w:hint="eastAsia" w:ascii="宋体" w:hAnsi="宋体" w:eastAsia="宋体" w:cs="宋体"/>
          <w:b/>
          <w:bCs/>
          <w:szCs w:val="21"/>
          <w:u w:val="single"/>
        </w:rPr>
        <w:t>（企业名称，要求制造商本身所属行业应当与招标文件要求的行业相一致）</w:t>
      </w:r>
      <w:r>
        <w:rPr>
          <w:rFonts w:hint="eastAsia" w:ascii="宋体" w:hAnsi="宋体" w:eastAsia="宋体" w:cs="宋体"/>
          <w:szCs w:val="21"/>
        </w:rPr>
        <w:t>，从业人员</w:t>
      </w:r>
      <w:r>
        <w:rPr>
          <w:rFonts w:hint="eastAsia" w:ascii="宋体" w:hAnsi="宋体" w:eastAsia="宋体" w:cs="宋体"/>
          <w:b/>
          <w:bCs/>
          <w:szCs w:val="21"/>
          <w:u w:val="single"/>
        </w:rPr>
        <w:t xml:space="preserve">   </w:t>
      </w:r>
      <w:r>
        <w:rPr>
          <w:rFonts w:hint="eastAsia" w:ascii="宋体" w:hAnsi="宋体" w:eastAsia="宋体" w:cs="宋体"/>
          <w:szCs w:val="21"/>
        </w:rPr>
        <w:t>人，营业收入为</w:t>
      </w:r>
      <w:r>
        <w:rPr>
          <w:rFonts w:hint="eastAsia" w:ascii="宋体" w:hAnsi="宋体" w:eastAsia="宋体" w:cs="宋体"/>
          <w:b/>
          <w:bCs/>
          <w:szCs w:val="21"/>
          <w:u w:val="single"/>
        </w:rPr>
        <w:t xml:space="preserve">   </w:t>
      </w:r>
      <w:r>
        <w:rPr>
          <w:rFonts w:hint="eastAsia" w:ascii="宋体" w:hAnsi="宋体" w:eastAsia="宋体" w:cs="宋体"/>
          <w:szCs w:val="21"/>
        </w:rPr>
        <w:t>万元，资产总额为</w:t>
      </w:r>
      <w:r>
        <w:rPr>
          <w:rFonts w:hint="eastAsia" w:ascii="宋体" w:hAnsi="宋体" w:eastAsia="宋体" w:cs="宋体"/>
          <w:b/>
          <w:bCs/>
          <w:szCs w:val="21"/>
          <w:u w:val="single"/>
        </w:rPr>
        <w:t xml:space="preserve">   </w:t>
      </w:r>
      <w:r>
        <w:rPr>
          <w:rFonts w:hint="eastAsia" w:ascii="宋体" w:hAnsi="宋体" w:eastAsia="宋体" w:cs="宋体"/>
          <w:szCs w:val="21"/>
        </w:rPr>
        <w:t>万元 ，属于</w:t>
      </w:r>
      <w:r>
        <w:rPr>
          <w:rFonts w:hint="eastAsia" w:ascii="宋体" w:hAnsi="宋体" w:eastAsia="宋体" w:cs="宋体"/>
          <w:b/>
          <w:bCs/>
          <w:szCs w:val="21"/>
          <w:u w:val="single"/>
        </w:rPr>
        <w:t>（中型企业、小型企业、微型企业）</w:t>
      </w:r>
      <w:r>
        <w:rPr>
          <w:rFonts w:hint="eastAsia" w:ascii="宋体" w:hAnsi="宋体" w:eastAsia="宋体" w:cs="宋体"/>
          <w:szCs w:val="21"/>
        </w:rPr>
        <w:t>；</w:t>
      </w:r>
    </w:p>
    <w:p w14:paraId="5AC4711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w:t>
      </w:r>
    </w:p>
    <w:p w14:paraId="68A2E67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5DCEE62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本投标人对上述声明内容的真实性负责。如有虚假，将依法承担相应责任。</w:t>
      </w:r>
    </w:p>
    <w:p w14:paraId="3B3BA73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6FDF2A9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p>
    <w:p w14:paraId="5E71C5D9">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Cs w:val="21"/>
        </w:rPr>
      </w:pPr>
      <w:r>
        <w:rPr>
          <w:rFonts w:hint="eastAsia" w:ascii="宋体" w:hAnsi="宋体" w:eastAsia="宋体" w:cs="宋体"/>
          <w:szCs w:val="21"/>
        </w:rPr>
        <w:t>投标人（投标单位）：</w:t>
      </w:r>
    </w:p>
    <w:p w14:paraId="14644AAD">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Cs w:val="21"/>
        </w:rPr>
      </w:pPr>
      <w:r>
        <w:rPr>
          <w:rFonts w:hint="eastAsia" w:ascii="宋体" w:hAnsi="宋体" w:eastAsia="宋体" w:cs="宋体"/>
          <w:szCs w:val="21"/>
        </w:rPr>
        <w:t>日期：</w:t>
      </w:r>
    </w:p>
    <w:p w14:paraId="3F941DEB">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sz w:val="24"/>
          <w:szCs w:val="24"/>
          <w:highlight w:val="yellow"/>
        </w:rPr>
      </w:pPr>
      <w:r>
        <w:rPr>
          <w:rFonts w:hint="eastAsia" w:ascii="宋体" w:hAnsi="宋体" w:eastAsia="宋体" w:cs="宋体"/>
          <w:b/>
          <w:sz w:val="24"/>
          <w:szCs w:val="24"/>
          <w:highlight w:val="yellow"/>
        </w:rPr>
        <w:t>说明：</w:t>
      </w:r>
      <w:r>
        <w:rPr>
          <w:rFonts w:hint="eastAsia" w:ascii="宋体" w:hAnsi="宋体" w:eastAsia="宋体" w:cs="宋体"/>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3C2EAB2">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b/>
          <w:sz w:val="24"/>
          <w:szCs w:val="24"/>
        </w:rPr>
      </w:pPr>
    </w:p>
    <w:p w14:paraId="7BA6435B">
      <w:pPr>
        <w:pStyle w:val="2"/>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6F697BA6">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②残疾人福利性单位声明函（货物）</w:t>
      </w:r>
    </w:p>
    <w:p w14:paraId="52CA7E4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本投标人郑重声明，根据《财政部民政部中国残疾人联合会关于促进残疾人就业政府采购政策的通知》（财库〔2017〕141 号）的规定，本投标人参加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采购活动，提供的货物全部由符合政策要求的残疾人福利性单位制造。相关残疾人福利性单位的具体情况如下：</w:t>
      </w:r>
    </w:p>
    <w:p w14:paraId="483C356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，制造商为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0BA7C52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，制造商为</w:t>
      </w:r>
      <w:r>
        <w:rPr>
          <w:rFonts w:hint="eastAsia" w:ascii="宋体" w:hAnsi="宋体" w:eastAsia="宋体" w:cs="宋体"/>
          <w:b/>
          <w:bCs/>
          <w:szCs w:val="21"/>
          <w:u w:val="single"/>
        </w:rPr>
        <w:t>（单位名称）</w:t>
      </w:r>
      <w:r>
        <w:rPr>
          <w:rFonts w:hint="eastAsia" w:ascii="宋体" w:hAnsi="宋体" w:eastAsia="宋体" w:cs="宋体"/>
          <w:szCs w:val="21"/>
        </w:rPr>
        <w:t>，属于</w:t>
      </w:r>
      <w:r>
        <w:rPr>
          <w:rFonts w:hint="eastAsia" w:ascii="宋体" w:hAnsi="宋体" w:eastAsia="宋体" w:cs="宋体"/>
          <w:b/>
          <w:bCs/>
          <w:szCs w:val="21"/>
          <w:u w:val="single"/>
        </w:rPr>
        <w:t>残疾人福利性单位</w:t>
      </w:r>
      <w:r>
        <w:rPr>
          <w:rFonts w:hint="eastAsia" w:ascii="宋体" w:hAnsi="宋体" w:eastAsia="宋体" w:cs="宋体"/>
          <w:szCs w:val="21"/>
        </w:rPr>
        <w:t>。</w:t>
      </w:r>
    </w:p>
    <w:p w14:paraId="4F9766B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w:t>
      </w:r>
    </w:p>
    <w:p w14:paraId="0FEB353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本投标人对上述声明的真实性负责。如有虚假，将依法承担相应责任。</w:t>
      </w:r>
    </w:p>
    <w:p w14:paraId="1AB7F80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69D1A219">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Cs w:val="21"/>
        </w:rPr>
      </w:pPr>
    </w:p>
    <w:p w14:paraId="5422CBFD">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szCs w:val="21"/>
        </w:rPr>
      </w:pPr>
      <w:r>
        <w:rPr>
          <w:rFonts w:hint="eastAsia" w:ascii="宋体" w:hAnsi="宋体" w:eastAsia="宋体" w:cs="宋体"/>
          <w:szCs w:val="21"/>
        </w:rPr>
        <w:t>投标人（投标单位）：</w:t>
      </w:r>
    </w:p>
    <w:p w14:paraId="61EE3B3E">
      <w:pPr>
        <w:kinsoku/>
        <w:overflowPunct/>
        <w:topLinePunct w:val="0"/>
        <w:bidi w:val="0"/>
        <w:spacing w:beforeAutospacing="0" w:afterAutospacing="0" w:line="360" w:lineRule="auto"/>
        <w:ind w:left="0" w:leftChars="0" w:right="0" w:firstLine="0" w:firstLineChars="0"/>
        <w:jc w:val="right"/>
        <w:rPr>
          <w:rFonts w:hint="eastAsia" w:ascii="宋体" w:hAnsi="宋体" w:eastAsia="宋体" w:cs="宋体"/>
        </w:rPr>
      </w:pPr>
      <w:r>
        <w:rPr>
          <w:rFonts w:hint="eastAsia" w:ascii="宋体" w:hAnsi="宋体" w:eastAsia="宋体" w:cs="宋体"/>
          <w:szCs w:val="21"/>
        </w:rPr>
        <w:t>日期：</w:t>
      </w:r>
    </w:p>
    <w:p w14:paraId="63F7B87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highlight w:val="yellow"/>
        </w:rPr>
      </w:pPr>
      <w:r>
        <w:rPr>
          <w:rFonts w:hint="eastAsia" w:ascii="宋体" w:hAnsi="宋体" w:eastAsia="宋体" w:cs="宋体"/>
          <w:b/>
          <w:szCs w:val="21"/>
          <w:highlight w:val="yellow"/>
        </w:rPr>
        <w:t>说明：</w:t>
      </w:r>
      <w:r>
        <w:rPr>
          <w:rFonts w:hint="eastAsia" w:ascii="宋体" w:hAnsi="宋体" w:eastAsia="宋体" w:cs="宋体"/>
          <w:szCs w:val="21"/>
          <w:highlight w:val="yellow"/>
        </w:rPr>
        <w:t>根据财库〔2017〕141号文件的规定,享受政府采购支持政策的残疾人福利性单位应当同时满足以下条件：</w:t>
      </w:r>
    </w:p>
    <w:p w14:paraId="485B61F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highlight w:val="yellow"/>
        </w:rPr>
      </w:pPr>
      <w:r>
        <w:rPr>
          <w:rFonts w:hint="eastAsia" w:ascii="宋体" w:hAnsi="宋体" w:eastAsia="宋体" w:cs="宋体"/>
          <w:szCs w:val="21"/>
          <w:highlight w:val="yellow"/>
        </w:rPr>
        <w:t>（一）</w:t>
      </w:r>
      <w:r>
        <w:rPr>
          <w:rFonts w:hint="eastAsia" w:ascii="宋体" w:hAnsi="宋体" w:eastAsia="宋体" w:cs="宋体"/>
          <w:b/>
          <w:szCs w:val="21"/>
          <w:highlight w:val="yellow"/>
        </w:rPr>
        <w:t>安置的残疾人占本单位在职职工人数的比例不低于25%（含25%），并且安置的残疾人人数不少于10人（含10人）</w:t>
      </w:r>
      <w:r>
        <w:rPr>
          <w:rFonts w:hint="eastAsia" w:ascii="宋体" w:hAnsi="宋体" w:eastAsia="宋体" w:cs="宋体"/>
          <w:szCs w:val="21"/>
          <w:highlight w:val="yellow"/>
        </w:rPr>
        <w:t>；</w:t>
      </w:r>
    </w:p>
    <w:p w14:paraId="375490B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highlight w:val="yellow"/>
        </w:rPr>
      </w:pPr>
      <w:r>
        <w:rPr>
          <w:rFonts w:hint="eastAsia" w:ascii="宋体" w:hAnsi="宋体" w:eastAsia="宋体" w:cs="宋体"/>
          <w:szCs w:val="21"/>
          <w:highlight w:val="yellow"/>
        </w:rPr>
        <w:t>（二）依法与安置的每位残疾人签订了一年以上（含一年）的劳动合同或服务协议；</w:t>
      </w:r>
    </w:p>
    <w:p w14:paraId="4EA1DE6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highlight w:val="yellow"/>
        </w:rPr>
      </w:pPr>
      <w:r>
        <w:rPr>
          <w:rFonts w:hint="eastAsia" w:ascii="宋体" w:hAnsi="宋体" w:eastAsia="宋体" w:cs="宋体"/>
          <w:szCs w:val="21"/>
          <w:highlight w:val="yellow"/>
        </w:rPr>
        <w:t>（三）为安置的每位残疾人按月足额缴纳了基本养老保险、基本医疗保险、失业保险、工伤保险和生育保险等社会保险费；</w:t>
      </w:r>
    </w:p>
    <w:p w14:paraId="12B41EE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highlight w:val="yellow"/>
        </w:rPr>
      </w:pPr>
      <w:r>
        <w:rPr>
          <w:rFonts w:hint="eastAsia" w:ascii="宋体" w:hAnsi="宋体" w:eastAsia="宋体" w:cs="宋体"/>
          <w:szCs w:val="21"/>
          <w:highlight w:val="yellow"/>
        </w:rPr>
        <w:t>（四）通过银行等金融机构向安置的每位残疾人，按月支付了不低于单位所在区县适用的经省级人民政府批准的月最低工资标准的工资；</w:t>
      </w:r>
    </w:p>
    <w:p w14:paraId="65E8E9B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highlight w:val="yellow"/>
        </w:rPr>
      </w:pPr>
      <w:r>
        <w:rPr>
          <w:rFonts w:hint="eastAsia" w:ascii="宋体" w:hAnsi="宋体" w:eastAsia="宋体" w:cs="宋体"/>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39B661">
      <w:pPr>
        <w:pStyle w:val="2"/>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highlight w:val="yellow"/>
        </w:rPr>
      </w:pPr>
    </w:p>
    <w:p w14:paraId="403270E3">
      <w:pPr>
        <w:pStyle w:val="13"/>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0CB76258">
      <w:pPr>
        <w:widowControl/>
        <w:kinsoku/>
        <w:overflowPunct/>
        <w:topLinePunct w:val="0"/>
        <w:bidi w:val="0"/>
        <w:spacing w:beforeAutospacing="0" w:afterAutospacing="0" w:line="360" w:lineRule="auto"/>
        <w:ind w:left="0" w:leftChars="0" w:right="0" w:firstLine="0" w:firstLineChars="0"/>
        <w:jc w:val="center"/>
        <w:outlineLvl w:val="4"/>
        <w:rPr>
          <w:rFonts w:hint="eastAsia" w:ascii="宋体" w:hAnsi="宋体" w:eastAsia="宋体" w:cs="宋体"/>
          <w:b/>
          <w:sz w:val="24"/>
          <w:szCs w:val="24"/>
        </w:rPr>
      </w:pPr>
      <w:r>
        <w:rPr>
          <w:rFonts w:hint="eastAsia" w:ascii="宋体" w:hAnsi="宋体" w:eastAsia="宋体" w:cs="宋体"/>
          <w:b/>
          <w:sz w:val="24"/>
          <w:szCs w:val="24"/>
        </w:rPr>
        <w:t>③监狱企业声明函</w:t>
      </w:r>
      <w:r>
        <w:rPr>
          <w:rFonts w:hint="eastAsia" w:ascii="宋体" w:hAnsi="宋体" w:eastAsia="宋体" w:cs="宋体"/>
          <w:b/>
          <w:sz w:val="24"/>
        </w:rPr>
        <w:t>【货物，提供监狱企业货物的供应商如需享受优惠政策，还须另行提供省级以上监狱管理局、戒毒管理局（含新疆生产建设兵团）出具的监狱企业证明文件】</w:t>
      </w:r>
    </w:p>
    <w:p w14:paraId="2F2E4D2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本投标人郑重声明，根据《财政部司法部关于政府采购支持监狱企业发展有关问题的通知》（财库〔2014〕68号）的规定，本投标人参加</w:t>
      </w:r>
      <w:r>
        <w:rPr>
          <w:rFonts w:hint="eastAsia" w:ascii="宋体" w:hAnsi="宋体" w:eastAsia="宋体" w:cs="宋体"/>
          <w:b/>
          <w:bCs/>
          <w:szCs w:val="21"/>
          <w:u w:val="single"/>
        </w:rPr>
        <w:t>（采购人名称）</w:t>
      </w:r>
      <w:r>
        <w:rPr>
          <w:rFonts w:hint="eastAsia" w:ascii="宋体" w:hAnsi="宋体" w:eastAsia="宋体" w:cs="宋体"/>
          <w:szCs w:val="21"/>
        </w:rPr>
        <w:t>的</w:t>
      </w:r>
      <w:r>
        <w:rPr>
          <w:rFonts w:hint="eastAsia" w:ascii="宋体" w:hAnsi="宋体" w:eastAsia="宋体" w:cs="宋体"/>
          <w:b/>
          <w:bCs/>
          <w:szCs w:val="21"/>
          <w:u w:val="single"/>
        </w:rPr>
        <w:t>（项目名称）</w:t>
      </w:r>
      <w:r>
        <w:rPr>
          <w:rFonts w:hint="eastAsia" w:ascii="宋体" w:hAnsi="宋体" w:eastAsia="宋体" w:cs="宋体"/>
          <w:szCs w:val="21"/>
        </w:rPr>
        <w:t>采购活动，提供的货物全部由符合政策要求的监狱企业制造。相关监狱企业的具体情况如下：</w:t>
      </w:r>
    </w:p>
    <w:p w14:paraId="03F19B8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，制造商为</w:t>
      </w:r>
      <w:r>
        <w:rPr>
          <w:rFonts w:hint="eastAsia" w:ascii="宋体" w:hAnsi="宋体" w:eastAsia="宋体" w:cs="宋体"/>
          <w:b/>
          <w:bCs/>
          <w:szCs w:val="21"/>
          <w:u w:val="single"/>
        </w:rPr>
        <w:t>（企业名称）</w:t>
      </w:r>
      <w:r>
        <w:rPr>
          <w:rFonts w:hint="eastAsia" w:ascii="宋体" w:hAnsi="宋体" w:eastAsia="宋体" w:cs="宋体"/>
          <w:szCs w:val="21"/>
        </w:rPr>
        <w:t>，属于</w:t>
      </w:r>
      <w:r>
        <w:rPr>
          <w:rFonts w:hint="eastAsia" w:ascii="宋体" w:hAnsi="宋体" w:eastAsia="宋体" w:cs="宋体"/>
          <w:b/>
          <w:bCs/>
          <w:szCs w:val="21"/>
          <w:u w:val="single"/>
        </w:rPr>
        <w:t>监狱企业</w:t>
      </w:r>
      <w:r>
        <w:rPr>
          <w:rFonts w:hint="eastAsia" w:ascii="宋体" w:hAnsi="宋体" w:eastAsia="宋体" w:cs="宋体"/>
          <w:szCs w:val="21"/>
        </w:rPr>
        <w:t>；</w:t>
      </w:r>
    </w:p>
    <w:p w14:paraId="12E6F43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u w:val="single"/>
        </w:rPr>
        <w:t xml:space="preserve"> （标的名称）</w:t>
      </w:r>
      <w:r>
        <w:rPr>
          <w:rFonts w:hint="eastAsia" w:ascii="宋体" w:hAnsi="宋体" w:eastAsia="宋体" w:cs="宋体"/>
          <w:szCs w:val="21"/>
        </w:rPr>
        <w:t xml:space="preserve"> ，制造商为</w:t>
      </w:r>
      <w:r>
        <w:rPr>
          <w:rFonts w:hint="eastAsia" w:ascii="宋体" w:hAnsi="宋体" w:eastAsia="宋体" w:cs="宋体"/>
          <w:b/>
          <w:bCs/>
          <w:szCs w:val="21"/>
          <w:u w:val="single"/>
        </w:rPr>
        <w:t>（企业名称）</w:t>
      </w:r>
      <w:r>
        <w:rPr>
          <w:rFonts w:hint="eastAsia" w:ascii="宋体" w:hAnsi="宋体" w:eastAsia="宋体" w:cs="宋体"/>
          <w:szCs w:val="21"/>
        </w:rPr>
        <w:t>，属于</w:t>
      </w:r>
      <w:r>
        <w:rPr>
          <w:rFonts w:hint="eastAsia" w:ascii="宋体" w:hAnsi="宋体" w:eastAsia="宋体" w:cs="宋体"/>
          <w:b/>
          <w:bCs/>
          <w:szCs w:val="21"/>
          <w:u w:val="single"/>
        </w:rPr>
        <w:t>监狱企业</w:t>
      </w:r>
      <w:r>
        <w:rPr>
          <w:rFonts w:hint="eastAsia" w:ascii="宋体" w:hAnsi="宋体" w:eastAsia="宋体" w:cs="宋体"/>
          <w:szCs w:val="21"/>
        </w:rPr>
        <w:t>。</w:t>
      </w:r>
    </w:p>
    <w:p w14:paraId="7968BC6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w:t>
      </w:r>
    </w:p>
    <w:p w14:paraId="5FCB143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本投标人对上述声明内容的真实性负责。如有虚假，将依法承担相应责任。</w:t>
      </w:r>
    </w:p>
    <w:p w14:paraId="5B0D426A">
      <w:pPr>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szCs w:val="21"/>
        </w:rPr>
      </w:pPr>
      <w:r>
        <w:rPr>
          <w:rFonts w:hint="eastAsia" w:ascii="宋体" w:hAnsi="宋体" w:eastAsia="宋体" w:cs="宋体"/>
          <w:b/>
          <w:color w:val="FF0000"/>
          <w:szCs w:val="21"/>
        </w:rPr>
        <w:t>附：省级以上监狱管理局、戒毒管理局（含新疆生产建设兵团）出具的监狱企业证明文件。</w:t>
      </w:r>
    </w:p>
    <w:p w14:paraId="7F7B6F7E">
      <w:pPr>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szCs w:val="21"/>
        </w:rPr>
      </w:pPr>
    </w:p>
    <w:p w14:paraId="465F3F84">
      <w:pPr>
        <w:kinsoku/>
        <w:wordWrap w:val="0"/>
        <w:overflowPunct/>
        <w:topLinePunct w:val="0"/>
        <w:bidi w:val="0"/>
        <w:spacing w:beforeAutospacing="0" w:afterAutospacing="0" w:line="360" w:lineRule="auto"/>
        <w:ind w:left="0" w:leftChars="0" w:right="0" w:firstLine="0" w:firstLineChars="0"/>
        <w:jc w:val="right"/>
        <w:rPr>
          <w:rFonts w:hint="eastAsia" w:ascii="宋体" w:hAnsi="宋体" w:eastAsia="宋体" w:cs="宋体"/>
          <w:szCs w:val="21"/>
        </w:rPr>
      </w:pPr>
      <w:r>
        <w:rPr>
          <w:rFonts w:hint="eastAsia" w:ascii="宋体" w:hAnsi="宋体" w:eastAsia="宋体" w:cs="宋体"/>
          <w:szCs w:val="21"/>
        </w:rPr>
        <w:t xml:space="preserve">投标人（投标单位）：     </w:t>
      </w:r>
    </w:p>
    <w:p w14:paraId="0B40F569">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 xml:space="preserve">日期：  </w:t>
      </w:r>
    </w:p>
    <w:p w14:paraId="0A672B44">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1"/>
        </w:rPr>
      </w:pPr>
    </w:p>
    <w:p w14:paraId="3C61BD5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4</w:t>
      </w:r>
      <w:r>
        <w:rPr>
          <w:rFonts w:hint="eastAsia" w:ascii="宋体" w:hAnsi="宋体" w:eastAsia="宋体" w:cs="宋体"/>
          <w:b/>
          <w:bCs/>
          <w:kern w:val="0"/>
          <w:sz w:val="24"/>
          <w:szCs w:val="20"/>
        </w:rPr>
        <w:t>.分项报价清单</w:t>
      </w:r>
    </w:p>
    <w:p w14:paraId="0C3E0E4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r>
        <w:rPr>
          <w:rFonts w:hint="eastAsia" w:ascii="宋体" w:hAnsi="宋体" w:eastAsia="宋体" w:cs="宋体"/>
          <w:color w:val="000000"/>
          <w:szCs w:val="24"/>
        </w:rPr>
        <w:t>投标单位（投标人）名称：</w:t>
      </w:r>
      <w:r>
        <w:rPr>
          <w:rFonts w:hint="eastAsia" w:ascii="宋体" w:hAnsi="宋体" w:eastAsia="宋体" w:cs="宋体"/>
          <w:color w:val="000000"/>
          <w:szCs w:val="24"/>
          <w:u w:val="single"/>
        </w:rPr>
        <w:t xml:space="preserve">                          </w:t>
      </w:r>
    </w:p>
    <w:p w14:paraId="43947375">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（一）项目报价表</w:t>
      </w:r>
    </w:p>
    <w:tbl>
      <w:tblPr>
        <w:tblStyle w:val="16"/>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13"/>
        <w:gridCol w:w="848"/>
        <w:gridCol w:w="990"/>
        <w:gridCol w:w="1096"/>
        <w:gridCol w:w="819"/>
        <w:gridCol w:w="585"/>
        <w:gridCol w:w="584"/>
        <w:gridCol w:w="820"/>
        <w:gridCol w:w="1092"/>
      </w:tblGrid>
      <w:tr w14:paraId="117B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10" w:type="dxa"/>
            <w:vAlign w:val="center"/>
          </w:tcPr>
          <w:p w14:paraId="34D425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rPr>
            </w:pPr>
            <w:r>
              <w:rPr>
                <w:rFonts w:hint="eastAsia" w:ascii="宋体" w:hAnsi="宋体" w:eastAsia="宋体" w:cs="宋体"/>
                <w:szCs w:val="24"/>
              </w:rPr>
              <w:t>序号</w:t>
            </w:r>
          </w:p>
        </w:tc>
        <w:tc>
          <w:tcPr>
            <w:tcW w:w="1713" w:type="dxa"/>
            <w:vAlign w:val="center"/>
          </w:tcPr>
          <w:p w14:paraId="16B0B4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highlight w:val="none"/>
              </w:rPr>
            </w:pPr>
            <w:r>
              <w:rPr>
                <w:rFonts w:hint="eastAsia" w:ascii="宋体" w:hAnsi="宋体" w:eastAsia="宋体" w:cs="宋体"/>
                <w:szCs w:val="24"/>
                <w:highlight w:val="none"/>
              </w:rPr>
              <w:t>货物名称</w:t>
            </w:r>
          </w:p>
        </w:tc>
        <w:tc>
          <w:tcPr>
            <w:tcW w:w="848" w:type="dxa"/>
            <w:vAlign w:val="center"/>
          </w:tcPr>
          <w:p w14:paraId="0B437B6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品牌</w:t>
            </w:r>
          </w:p>
        </w:tc>
        <w:tc>
          <w:tcPr>
            <w:tcW w:w="990" w:type="dxa"/>
            <w:vAlign w:val="center"/>
          </w:tcPr>
          <w:p w14:paraId="70D15B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highlight w:val="none"/>
              </w:rPr>
            </w:pPr>
            <w:r>
              <w:rPr>
                <w:rFonts w:hint="eastAsia" w:ascii="宋体" w:hAnsi="宋体" w:eastAsia="宋体" w:cs="宋体"/>
                <w:szCs w:val="24"/>
                <w:highlight w:val="none"/>
              </w:rPr>
              <w:t>规格</w:t>
            </w:r>
            <w:r>
              <w:rPr>
                <w:rFonts w:hint="eastAsia" w:ascii="宋体" w:hAnsi="宋体" w:eastAsia="宋体" w:cs="宋体"/>
                <w:szCs w:val="24"/>
                <w:highlight w:val="none"/>
                <w:lang w:val="en-US" w:eastAsia="zh-CN"/>
              </w:rPr>
              <w:t>/</w:t>
            </w:r>
            <w:r>
              <w:rPr>
                <w:rFonts w:hint="eastAsia" w:ascii="宋体" w:hAnsi="宋体" w:eastAsia="宋体" w:cs="宋体"/>
                <w:szCs w:val="24"/>
                <w:highlight w:val="none"/>
              </w:rPr>
              <w:t>型号</w:t>
            </w:r>
          </w:p>
        </w:tc>
        <w:tc>
          <w:tcPr>
            <w:tcW w:w="1096" w:type="dxa"/>
            <w:vAlign w:val="center"/>
          </w:tcPr>
          <w:p w14:paraId="73597E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b/>
                <w:szCs w:val="24"/>
                <w:highlight w:val="none"/>
              </w:rPr>
            </w:pPr>
            <w:r>
              <w:rPr>
                <w:rFonts w:hint="eastAsia" w:ascii="宋体" w:hAnsi="宋体" w:eastAsia="宋体" w:cs="宋体"/>
                <w:b w:val="0"/>
                <w:bCs/>
                <w:szCs w:val="24"/>
                <w:highlight w:val="none"/>
              </w:rPr>
              <w:t>制造商名称</w:t>
            </w:r>
          </w:p>
        </w:tc>
        <w:tc>
          <w:tcPr>
            <w:tcW w:w="819" w:type="dxa"/>
            <w:vAlign w:val="center"/>
          </w:tcPr>
          <w:p w14:paraId="472B65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highlight w:val="none"/>
              </w:rPr>
            </w:pPr>
            <w:r>
              <w:rPr>
                <w:rFonts w:hint="eastAsia" w:ascii="宋体" w:hAnsi="宋体" w:eastAsia="宋体" w:cs="宋体"/>
                <w:szCs w:val="24"/>
                <w:highlight w:val="none"/>
              </w:rPr>
              <w:t>原产地</w:t>
            </w:r>
          </w:p>
        </w:tc>
        <w:tc>
          <w:tcPr>
            <w:tcW w:w="585" w:type="dxa"/>
            <w:vAlign w:val="center"/>
          </w:tcPr>
          <w:p w14:paraId="04A8C4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rPr>
            </w:pPr>
            <w:r>
              <w:rPr>
                <w:rFonts w:hint="eastAsia" w:ascii="宋体" w:hAnsi="宋体" w:eastAsia="宋体" w:cs="宋体"/>
                <w:szCs w:val="24"/>
              </w:rPr>
              <w:t>数量</w:t>
            </w:r>
          </w:p>
        </w:tc>
        <w:tc>
          <w:tcPr>
            <w:tcW w:w="584" w:type="dxa"/>
            <w:vAlign w:val="center"/>
          </w:tcPr>
          <w:p w14:paraId="76B1FF7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rPr>
            </w:pPr>
            <w:r>
              <w:rPr>
                <w:rFonts w:hint="eastAsia" w:ascii="宋体" w:hAnsi="宋体" w:eastAsia="宋体" w:cs="宋体"/>
                <w:szCs w:val="24"/>
              </w:rPr>
              <w:t>单位</w:t>
            </w:r>
          </w:p>
        </w:tc>
        <w:tc>
          <w:tcPr>
            <w:tcW w:w="820" w:type="dxa"/>
            <w:vAlign w:val="center"/>
          </w:tcPr>
          <w:p w14:paraId="6E3EEA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rPr>
            </w:pPr>
            <w:r>
              <w:rPr>
                <w:rFonts w:hint="eastAsia" w:ascii="宋体" w:hAnsi="宋体" w:eastAsia="宋体" w:cs="宋体"/>
                <w:szCs w:val="24"/>
              </w:rPr>
              <w:t>单价(元)</w:t>
            </w:r>
          </w:p>
        </w:tc>
        <w:tc>
          <w:tcPr>
            <w:tcW w:w="1092" w:type="dxa"/>
            <w:vAlign w:val="center"/>
          </w:tcPr>
          <w:p w14:paraId="2F4ABF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rPr>
                <w:rFonts w:hint="eastAsia" w:ascii="宋体" w:hAnsi="宋体" w:eastAsia="宋体" w:cs="宋体"/>
                <w:szCs w:val="24"/>
              </w:rPr>
            </w:pPr>
            <w:r>
              <w:rPr>
                <w:rFonts w:hint="eastAsia" w:ascii="宋体" w:hAnsi="宋体" w:eastAsia="宋体" w:cs="宋体"/>
                <w:szCs w:val="24"/>
              </w:rPr>
              <w:t>合价(元)</w:t>
            </w:r>
          </w:p>
        </w:tc>
      </w:tr>
      <w:tr w14:paraId="393A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57" w:type="dxa"/>
            <w:gridSpan w:val="10"/>
            <w:vAlign w:val="center"/>
          </w:tcPr>
          <w:p w14:paraId="24CB7DD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rPr>
            </w:pPr>
            <w:r>
              <w:rPr>
                <w:rFonts w:hint="eastAsia" w:ascii="宋体" w:hAnsi="宋体" w:eastAsia="宋体" w:cs="宋体"/>
                <w:szCs w:val="21"/>
              </w:rPr>
              <w:t>宝民幼儿园</w:t>
            </w:r>
          </w:p>
        </w:tc>
      </w:tr>
      <w:tr w14:paraId="35AC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vAlign w:val="center"/>
          </w:tcPr>
          <w:p w14:paraId="42C81E8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rPr>
            </w:pPr>
            <w:r>
              <w:rPr>
                <w:rFonts w:hint="eastAsia" w:ascii="宋体" w:hAnsi="宋体" w:eastAsia="宋体" w:cs="宋体"/>
                <w:szCs w:val="24"/>
              </w:rPr>
              <w:t>1</w:t>
            </w:r>
          </w:p>
        </w:tc>
        <w:tc>
          <w:tcPr>
            <w:tcW w:w="1713" w:type="dxa"/>
            <w:vAlign w:val="center"/>
          </w:tcPr>
          <w:p w14:paraId="58D41814">
            <w:pPr>
              <w:jc w:val="center"/>
              <w:rPr>
                <w:rFonts w:hint="eastAsia" w:ascii="宋体" w:hAnsi="宋体" w:eastAsia="宋体" w:cs="宋体"/>
                <w:b/>
                <w:szCs w:val="24"/>
              </w:rPr>
            </w:pPr>
            <w:r>
              <w:rPr>
                <w:rFonts w:hint="eastAsia" w:ascii="宋体" w:hAnsi="宋体" w:eastAsia="宋体" w:cs="宋体"/>
                <w:color w:val="000000"/>
                <w:szCs w:val="21"/>
              </w:rPr>
              <w:t>护眼灯1</w:t>
            </w:r>
          </w:p>
        </w:tc>
        <w:tc>
          <w:tcPr>
            <w:tcW w:w="848" w:type="dxa"/>
          </w:tcPr>
          <w:p w14:paraId="19047CC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990" w:type="dxa"/>
          </w:tcPr>
          <w:p w14:paraId="0DDA9F4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6" w:type="dxa"/>
          </w:tcPr>
          <w:p w14:paraId="51834FF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819" w:type="dxa"/>
          </w:tcPr>
          <w:p w14:paraId="04B0605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585" w:type="dxa"/>
            <w:vAlign w:val="center"/>
          </w:tcPr>
          <w:p w14:paraId="7C09CAD6">
            <w:pPr>
              <w:jc w:val="center"/>
              <w:rPr>
                <w:rFonts w:hint="eastAsia" w:ascii="宋体" w:hAnsi="宋体" w:eastAsia="宋体" w:cs="宋体"/>
                <w:szCs w:val="24"/>
              </w:rPr>
            </w:pPr>
            <w:r>
              <w:rPr>
                <w:rFonts w:hint="eastAsia" w:ascii="宋体" w:hAnsi="宋体" w:eastAsia="宋体" w:cs="宋体"/>
                <w:color w:val="000000"/>
                <w:szCs w:val="21"/>
              </w:rPr>
              <w:t>201</w:t>
            </w:r>
          </w:p>
        </w:tc>
        <w:tc>
          <w:tcPr>
            <w:tcW w:w="584" w:type="dxa"/>
            <w:vAlign w:val="center"/>
          </w:tcPr>
          <w:p w14:paraId="7042E67E">
            <w:pPr>
              <w:jc w:val="center"/>
              <w:rPr>
                <w:rFonts w:hint="eastAsia" w:ascii="宋体" w:hAnsi="宋体" w:eastAsia="宋体" w:cs="宋体"/>
                <w:szCs w:val="24"/>
              </w:rPr>
            </w:pPr>
            <w:r>
              <w:rPr>
                <w:rFonts w:hint="eastAsia" w:ascii="宋体" w:hAnsi="宋体" w:eastAsia="宋体" w:cs="宋体"/>
                <w:color w:val="000000"/>
                <w:szCs w:val="21"/>
              </w:rPr>
              <w:t>套</w:t>
            </w:r>
          </w:p>
        </w:tc>
        <w:tc>
          <w:tcPr>
            <w:tcW w:w="820" w:type="dxa"/>
          </w:tcPr>
          <w:p w14:paraId="29CC12B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2" w:type="dxa"/>
          </w:tcPr>
          <w:p w14:paraId="49A2478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r>
      <w:tr w14:paraId="0154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tcPr>
          <w:p w14:paraId="5ACEB4C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rPr>
            </w:pPr>
            <w:r>
              <w:rPr>
                <w:rFonts w:hint="eastAsia" w:ascii="宋体" w:hAnsi="宋体" w:eastAsia="宋体" w:cs="宋体"/>
                <w:szCs w:val="24"/>
              </w:rPr>
              <w:t>2</w:t>
            </w:r>
          </w:p>
        </w:tc>
        <w:tc>
          <w:tcPr>
            <w:tcW w:w="1713" w:type="dxa"/>
            <w:vAlign w:val="center"/>
          </w:tcPr>
          <w:p w14:paraId="5BCA5089">
            <w:pPr>
              <w:jc w:val="center"/>
              <w:rPr>
                <w:rFonts w:hint="eastAsia" w:ascii="宋体" w:hAnsi="宋体" w:eastAsia="宋体" w:cs="宋体"/>
                <w:b/>
                <w:szCs w:val="24"/>
              </w:rPr>
            </w:pPr>
            <w:r>
              <w:rPr>
                <w:rFonts w:hint="eastAsia" w:ascii="宋体" w:hAnsi="宋体" w:eastAsia="宋体" w:cs="宋体"/>
                <w:color w:val="000000"/>
                <w:szCs w:val="21"/>
              </w:rPr>
              <w:t>护眼灯2</w:t>
            </w:r>
          </w:p>
        </w:tc>
        <w:tc>
          <w:tcPr>
            <w:tcW w:w="848" w:type="dxa"/>
          </w:tcPr>
          <w:p w14:paraId="3FED0DD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990" w:type="dxa"/>
          </w:tcPr>
          <w:p w14:paraId="553BCD8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6" w:type="dxa"/>
          </w:tcPr>
          <w:p w14:paraId="3C2DB1A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819" w:type="dxa"/>
          </w:tcPr>
          <w:p w14:paraId="55EDA8C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585" w:type="dxa"/>
            <w:vAlign w:val="center"/>
          </w:tcPr>
          <w:p w14:paraId="331928BE">
            <w:pPr>
              <w:jc w:val="center"/>
              <w:rPr>
                <w:rFonts w:hint="eastAsia" w:ascii="宋体" w:hAnsi="宋体" w:eastAsia="宋体" w:cs="宋体"/>
                <w:szCs w:val="24"/>
              </w:rPr>
            </w:pPr>
            <w:r>
              <w:rPr>
                <w:rFonts w:hint="eastAsia" w:ascii="宋体" w:hAnsi="宋体" w:eastAsia="宋体" w:cs="宋体"/>
                <w:color w:val="000000"/>
                <w:szCs w:val="21"/>
              </w:rPr>
              <w:t>50</w:t>
            </w:r>
          </w:p>
        </w:tc>
        <w:tc>
          <w:tcPr>
            <w:tcW w:w="584" w:type="dxa"/>
            <w:vAlign w:val="center"/>
          </w:tcPr>
          <w:p w14:paraId="5A8B2CAC">
            <w:pPr>
              <w:jc w:val="center"/>
              <w:rPr>
                <w:rFonts w:hint="eastAsia" w:ascii="宋体" w:hAnsi="宋体" w:eastAsia="宋体" w:cs="宋体"/>
                <w:szCs w:val="24"/>
              </w:rPr>
            </w:pPr>
            <w:r>
              <w:rPr>
                <w:rFonts w:hint="eastAsia" w:ascii="宋体" w:hAnsi="宋体" w:eastAsia="宋体" w:cs="宋体"/>
                <w:color w:val="000000"/>
                <w:szCs w:val="21"/>
              </w:rPr>
              <w:t>套</w:t>
            </w:r>
          </w:p>
        </w:tc>
        <w:tc>
          <w:tcPr>
            <w:tcW w:w="820" w:type="dxa"/>
          </w:tcPr>
          <w:p w14:paraId="1671C12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2" w:type="dxa"/>
          </w:tcPr>
          <w:p w14:paraId="56ED568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r>
      <w:tr w14:paraId="2565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tcPr>
          <w:p w14:paraId="149E1DB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rPr>
            </w:pPr>
            <w:r>
              <w:rPr>
                <w:rFonts w:hint="eastAsia" w:ascii="宋体" w:hAnsi="宋体" w:eastAsia="宋体" w:cs="宋体"/>
                <w:szCs w:val="24"/>
              </w:rPr>
              <w:t>3</w:t>
            </w:r>
          </w:p>
        </w:tc>
        <w:tc>
          <w:tcPr>
            <w:tcW w:w="1713" w:type="dxa"/>
            <w:vAlign w:val="center"/>
          </w:tcPr>
          <w:p w14:paraId="203EBDAF">
            <w:pPr>
              <w:jc w:val="center"/>
              <w:rPr>
                <w:rFonts w:hint="eastAsia" w:ascii="宋体" w:hAnsi="宋体" w:eastAsia="宋体" w:cs="宋体"/>
                <w:b/>
                <w:szCs w:val="24"/>
              </w:rPr>
            </w:pPr>
            <w:r>
              <w:rPr>
                <w:rFonts w:hint="eastAsia" w:ascii="宋体" w:hAnsi="宋体" w:eastAsia="宋体" w:cs="宋体"/>
                <w:color w:val="000000"/>
                <w:szCs w:val="21"/>
              </w:rPr>
              <w:t>辅材</w:t>
            </w:r>
            <w:r>
              <w:rPr>
                <w:rFonts w:hint="eastAsia" w:ascii="宋体" w:hAnsi="宋体" w:eastAsia="宋体" w:cs="宋体"/>
                <w:color w:val="000000"/>
                <w:szCs w:val="21"/>
                <w:lang w:val="en-US" w:eastAsia="zh-CN"/>
              </w:rPr>
              <w:t>1</w:t>
            </w:r>
          </w:p>
        </w:tc>
        <w:tc>
          <w:tcPr>
            <w:tcW w:w="848" w:type="dxa"/>
          </w:tcPr>
          <w:p w14:paraId="08AD5A0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990" w:type="dxa"/>
          </w:tcPr>
          <w:p w14:paraId="5099DAF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6" w:type="dxa"/>
          </w:tcPr>
          <w:p w14:paraId="09E352C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819" w:type="dxa"/>
          </w:tcPr>
          <w:p w14:paraId="3251494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585" w:type="dxa"/>
            <w:vAlign w:val="center"/>
          </w:tcPr>
          <w:p w14:paraId="4B44F49C">
            <w:pPr>
              <w:jc w:val="center"/>
              <w:rPr>
                <w:rFonts w:hint="eastAsia" w:ascii="宋体" w:hAnsi="宋体" w:eastAsia="宋体" w:cs="宋体"/>
                <w:szCs w:val="24"/>
              </w:rPr>
            </w:pPr>
            <w:r>
              <w:rPr>
                <w:rFonts w:hint="eastAsia" w:ascii="宋体" w:hAnsi="宋体" w:eastAsia="宋体" w:cs="宋体"/>
                <w:color w:val="000000"/>
                <w:szCs w:val="21"/>
              </w:rPr>
              <w:t>1</w:t>
            </w:r>
          </w:p>
        </w:tc>
        <w:tc>
          <w:tcPr>
            <w:tcW w:w="584" w:type="dxa"/>
            <w:vAlign w:val="center"/>
          </w:tcPr>
          <w:p w14:paraId="6712F17A">
            <w:pPr>
              <w:jc w:val="center"/>
              <w:rPr>
                <w:rFonts w:hint="eastAsia" w:ascii="宋体" w:hAnsi="宋体" w:eastAsia="宋体" w:cs="宋体"/>
                <w:szCs w:val="24"/>
              </w:rPr>
            </w:pPr>
            <w:r>
              <w:rPr>
                <w:rFonts w:hint="eastAsia" w:ascii="宋体" w:hAnsi="宋体" w:eastAsia="宋体" w:cs="宋体"/>
                <w:color w:val="000000"/>
                <w:szCs w:val="21"/>
              </w:rPr>
              <w:t>项</w:t>
            </w:r>
          </w:p>
        </w:tc>
        <w:tc>
          <w:tcPr>
            <w:tcW w:w="820" w:type="dxa"/>
          </w:tcPr>
          <w:p w14:paraId="0FE3726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2" w:type="dxa"/>
          </w:tcPr>
          <w:p w14:paraId="04539E5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r>
      <w:tr w14:paraId="1B8D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57" w:type="dxa"/>
            <w:gridSpan w:val="10"/>
          </w:tcPr>
          <w:p w14:paraId="10BCDDB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rPr>
            </w:pPr>
            <w:r>
              <w:rPr>
                <w:rFonts w:hint="eastAsia" w:ascii="宋体" w:hAnsi="宋体" w:eastAsia="宋体" w:cs="宋体"/>
                <w:szCs w:val="21"/>
              </w:rPr>
              <w:t>天骄幼儿园</w:t>
            </w:r>
          </w:p>
        </w:tc>
      </w:tr>
      <w:tr w14:paraId="5C1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tcPr>
          <w:p w14:paraId="560AA76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1</w:t>
            </w:r>
          </w:p>
        </w:tc>
        <w:tc>
          <w:tcPr>
            <w:tcW w:w="1713" w:type="dxa"/>
            <w:vAlign w:val="center"/>
          </w:tcPr>
          <w:p w14:paraId="6EADE189">
            <w:pPr>
              <w:jc w:val="center"/>
              <w:rPr>
                <w:rFonts w:hint="eastAsia" w:ascii="宋体" w:hAnsi="宋体" w:eastAsia="宋体" w:cs="宋体"/>
                <w:b/>
                <w:szCs w:val="24"/>
              </w:rPr>
            </w:pPr>
            <w:r>
              <w:rPr>
                <w:rFonts w:hint="eastAsia" w:ascii="宋体" w:hAnsi="宋体" w:eastAsia="宋体" w:cs="宋体"/>
                <w:color w:val="000000"/>
                <w:szCs w:val="21"/>
              </w:rPr>
              <w:t>护眼灯3</w:t>
            </w:r>
          </w:p>
        </w:tc>
        <w:tc>
          <w:tcPr>
            <w:tcW w:w="848" w:type="dxa"/>
          </w:tcPr>
          <w:p w14:paraId="23E9FE9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990" w:type="dxa"/>
          </w:tcPr>
          <w:p w14:paraId="16F2A5E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6" w:type="dxa"/>
          </w:tcPr>
          <w:p w14:paraId="0AF0208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819" w:type="dxa"/>
          </w:tcPr>
          <w:p w14:paraId="3B648F1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585" w:type="dxa"/>
            <w:vAlign w:val="center"/>
          </w:tcPr>
          <w:p w14:paraId="0FE9366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144</w:t>
            </w:r>
          </w:p>
        </w:tc>
        <w:tc>
          <w:tcPr>
            <w:tcW w:w="584" w:type="dxa"/>
            <w:vAlign w:val="center"/>
          </w:tcPr>
          <w:p w14:paraId="1A59539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套</w:t>
            </w:r>
          </w:p>
        </w:tc>
        <w:tc>
          <w:tcPr>
            <w:tcW w:w="820" w:type="dxa"/>
          </w:tcPr>
          <w:p w14:paraId="7665D9B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2" w:type="dxa"/>
          </w:tcPr>
          <w:p w14:paraId="2255A01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r>
      <w:tr w14:paraId="6C5B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tcPr>
          <w:p w14:paraId="43B1B6D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2</w:t>
            </w:r>
          </w:p>
        </w:tc>
        <w:tc>
          <w:tcPr>
            <w:tcW w:w="1713" w:type="dxa"/>
            <w:vAlign w:val="center"/>
          </w:tcPr>
          <w:p w14:paraId="63AE44EF">
            <w:pPr>
              <w:jc w:val="center"/>
              <w:rPr>
                <w:rFonts w:hint="eastAsia" w:ascii="宋体" w:hAnsi="宋体" w:eastAsia="宋体" w:cs="宋体"/>
                <w:b/>
                <w:szCs w:val="24"/>
              </w:rPr>
            </w:pPr>
            <w:r>
              <w:rPr>
                <w:rFonts w:hint="eastAsia" w:ascii="宋体" w:hAnsi="宋体" w:eastAsia="宋体" w:cs="宋体"/>
                <w:color w:val="000000"/>
                <w:szCs w:val="21"/>
              </w:rPr>
              <w:t>护眼灯4</w:t>
            </w:r>
          </w:p>
        </w:tc>
        <w:tc>
          <w:tcPr>
            <w:tcW w:w="848" w:type="dxa"/>
          </w:tcPr>
          <w:p w14:paraId="4B2AFE6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990" w:type="dxa"/>
          </w:tcPr>
          <w:p w14:paraId="67928EB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6" w:type="dxa"/>
          </w:tcPr>
          <w:p w14:paraId="002D194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819" w:type="dxa"/>
          </w:tcPr>
          <w:p w14:paraId="129C62A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585" w:type="dxa"/>
            <w:vAlign w:val="center"/>
          </w:tcPr>
          <w:p w14:paraId="1CD4494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15</w:t>
            </w:r>
          </w:p>
        </w:tc>
        <w:tc>
          <w:tcPr>
            <w:tcW w:w="584" w:type="dxa"/>
            <w:vAlign w:val="center"/>
          </w:tcPr>
          <w:p w14:paraId="5B656C1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套</w:t>
            </w:r>
          </w:p>
        </w:tc>
        <w:tc>
          <w:tcPr>
            <w:tcW w:w="820" w:type="dxa"/>
          </w:tcPr>
          <w:p w14:paraId="73963F4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2" w:type="dxa"/>
          </w:tcPr>
          <w:p w14:paraId="25C5C16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r>
      <w:tr w14:paraId="61C4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0" w:type="dxa"/>
          </w:tcPr>
          <w:p w14:paraId="7D3B898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3</w:t>
            </w:r>
          </w:p>
        </w:tc>
        <w:tc>
          <w:tcPr>
            <w:tcW w:w="1713" w:type="dxa"/>
            <w:vAlign w:val="center"/>
          </w:tcPr>
          <w:p w14:paraId="23337E09">
            <w:pPr>
              <w:jc w:val="center"/>
              <w:rPr>
                <w:rFonts w:hint="eastAsia" w:ascii="宋体" w:hAnsi="宋体" w:eastAsia="宋体" w:cs="宋体"/>
                <w:b/>
                <w:szCs w:val="24"/>
              </w:rPr>
            </w:pPr>
            <w:r>
              <w:rPr>
                <w:rFonts w:hint="eastAsia" w:ascii="宋体" w:hAnsi="宋体" w:eastAsia="宋体" w:cs="宋体"/>
                <w:color w:val="000000"/>
                <w:szCs w:val="21"/>
              </w:rPr>
              <w:t>辅材</w:t>
            </w:r>
            <w:r>
              <w:rPr>
                <w:rFonts w:hint="eastAsia" w:ascii="宋体" w:hAnsi="宋体" w:eastAsia="宋体" w:cs="宋体"/>
                <w:color w:val="000000"/>
                <w:szCs w:val="21"/>
                <w:lang w:val="en-US" w:eastAsia="zh-CN"/>
              </w:rPr>
              <w:t>2</w:t>
            </w:r>
          </w:p>
        </w:tc>
        <w:tc>
          <w:tcPr>
            <w:tcW w:w="848" w:type="dxa"/>
          </w:tcPr>
          <w:p w14:paraId="7CCC1F3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990" w:type="dxa"/>
          </w:tcPr>
          <w:p w14:paraId="7FC9989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6" w:type="dxa"/>
          </w:tcPr>
          <w:p w14:paraId="5F17F18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819" w:type="dxa"/>
          </w:tcPr>
          <w:p w14:paraId="5BB346E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585" w:type="dxa"/>
            <w:vAlign w:val="center"/>
          </w:tcPr>
          <w:p w14:paraId="7575AED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1</w:t>
            </w:r>
          </w:p>
        </w:tc>
        <w:tc>
          <w:tcPr>
            <w:tcW w:w="584" w:type="dxa"/>
            <w:vAlign w:val="center"/>
          </w:tcPr>
          <w:p w14:paraId="3C3C02E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项</w:t>
            </w:r>
          </w:p>
        </w:tc>
        <w:tc>
          <w:tcPr>
            <w:tcW w:w="820" w:type="dxa"/>
          </w:tcPr>
          <w:p w14:paraId="55815D0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c>
          <w:tcPr>
            <w:tcW w:w="1092" w:type="dxa"/>
          </w:tcPr>
          <w:p w14:paraId="4EA33C7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r>
      <w:tr w14:paraId="3D71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176" w:type="dxa"/>
            <w:gridSpan w:val="6"/>
          </w:tcPr>
          <w:p w14:paraId="094CABE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rPr>
            </w:pPr>
            <w:r>
              <w:rPr>
                <w:rFonts w:hint="eastAsia" w:ascii="宋体" w:hAnsi="宋体" w:eastAsia="宋体" w:cs="宋体"/>
                <w:b/>
                <w:szCs w:val="24"/>
              </w:rPr>
              <w:t>投标总价</w:t>
            </w:r>
            <w:r>
              <w:rPr>
                <w:rFonts w:hint="eastAsia" w:ascii="宋体" w:hAnsi="宋体" w:eastAsia="宋体" w:cs="宋体"/>
                <w:szCs w:val="24"/>
              </w:rPr>
              <w:t>（</w:t>
            </w:r>
            <w:r>
              <w:rPr>
                <w:rFonts w:hint="eastAsia" w:ascii="宋体" w:hAnsi="宋体" w:eastAsia="宋体" w:cs="宋体"/>
                <w:szCs w:val="24"/>
                <w:lang w:val="en-US" w:eastAsia="zh-CN"/>
              </w:rPr>
              <w:t>以上各项之和；</w:t>
            </w:r>
            <w:r>
              <w:rPr>
                <w:rFonts w:hint="eastAsia" w:ascii="宋体" w:hAnsi="宋体" w:eastAsia="宋体" w:cs="宋体"/>
                <w:szCs w:val="24"/>
              </w:rPr>
              <w:t>币种：人民币；单位：元）</w:t>
            </w:r>
          </w:p>
        </w:tc>
        <w:tc>
          <w:tcPr>
            <w:tcW w:w="3081" w:type="dxa"/>
            <w:gridSpan w:val="4"/>
          </w:tcPr>
          <w:p w14:paraId="2D16F99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tc>
      </w:tr>
    </w:tbl>
    <w:p w14:paraId="6F44644B">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rPr>
        <w:t>填写说明：</w:t>
      </w:r>
    </w:p>
    <w:p w14:paraId="70383CC7">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rPr>
        <w:t>1.本表可按同样格式扩展。</w:t>
      </w:r>
    </w:p>
    <w:p w14:paraId="4D9BB332">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rPr>
        <w:t>2. “品牌”可以与商标一致，也可以填写便于区分其他公司商品的制造商简称或者制造商认可的品牌名称。</w:t>
      </w:r>
    </w:p>
    <w:p w14:paraId="4B8D4333">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lang w:val="en-US" w:eastAsia="zh-CN"/>
        </w:rPr>
        <w:t>3.</w:t>
      </w:r>
      <w:r>
        <w:rPr>
          <w:rFonts w:hint="eastAsia" w:ascii="宋体" w:hAnsi="宋体" w:eastAsia="宋体" w:cs="宋体"/>
          <w:b/>
          <w:szCs w:val="24"/>
        </w:rPr>
        <w:t>如所投货物属于定制类的非量产货物或无具体型号的货物，可以在“规格/型号”一栏仅填写规格信息而不填写型号信息（型号信息用“定制”描述即可）；</w:t>
      </w:r>
      <w:bookmarkStart w:id="24" w:name="_Hlk73646428"/>
      <w:r>
        <w:rPr>
          <w:rFonts w:hint="eastAsia" w:ascii="宋体" w:hAnsi="宋体" w:eastAsia="宋体" w:cs="宋体"/>
          <w:b/>
          <w:szCs w:val="24"/>
        </w:rPr>
        <w:t>此类填写错误</w:t>
      </w:r>
      <w:r>
        <w:rPr>
          <w:rFonts w:hint="eastAsia" w:ascii="宋体" w:hAnsi="宋体" w:eastAsia="宋体" w:cs="宋体"/>
          <w:b/>
          <w:szCs w:val="24"/>
          <w:lang w:val="en-US" w:eastAsia="zh-CN"/>
        </w:rPr>
        <w:t>或缺漏</w:t>
      </w:r>
      <w:r>
        <w:rPr>
          <w:rFonts w:hint="eastAsia" w:ascii="宋体" w:hAnsi="宋体" w:eastAsia="宋体" w:cs="宋体"/>
          <w:b/>
          <w:szCs w:val="24"/>
        </w:rPr>
        <w:t>（所投货物为定制类的非量产货物但供应商却错误填报了型号）</w:t>
      </w:r>
      <w:r>
        <w:rPr>
          <w:rFonts w:hint="eastAsia" w:ascii="宋体" w:hAnsi="宋体" w:eastAsia="宋体" w:cs="宋体"/>
          <w:b/>
          <w:szCs w:val="24"/>
          <w:lang w:val="en-US" w:eastAsia="zh-CN"/>
        </w:rPr>
        <w:t>可能带来</w:t>
      </w:r>
      <w:r>
        <w:rPr>
          <w:rFonts w:hint="eastAsia" w:ascii="宋体" w:hAnsi="宋体" w:eastAsia="宋体" w:cs="宋体"/>
          <w:b/>
          <w:szCs w:val="24"/>
        </w:rPr>
        <w:t>的不利后果由供应商承担。</w:t>
      </w:r>
      <w:bookmarkEnd w:id="24"/>
    </w:p>
    <w:p w14:paraId="719B0ACC">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lang w:val="en-US" w:eastAsia="zh-CN"/>
        </w:rPr>
        <w:t>4</w:t>
      </w:r>
      <w:r>
        <w:rPr>
          <w:rFonts w:hint="eastAsia" w:ascii="宋体" w:hAnsi="宋体" w:eastAsia="宋体" w:cs="宋体"/>
          <w:b/>
          <w:szCs w:val="24"/>
        </w:rPr>
        <w:t>.</w:t>
      </w:r>
      <w:bookmarkStart w:id="25" w:name="_Hlk72074795"/>
      <w:r>
        <w:rPr>
          <w:rFonts w:hint="eastAsia" w:ascii="宋体" w:hAnsi="宋体" w:eastAsia="宋体" w:cs="宋体"/>
          <w:b/>
          <w:szCs w:val="24"/>
        </w:rPr>
        <w:t>“原产地”是指该货物的实际生产加工地，而非品牌所在地</w:t>
      </w:r>
      <w:bookmarkEnd w:id="25"/>
      <w:r>
        <w:rPr>
          <w:rFonts w:hint="eastAsia" w:ascii="宋体" w:hAnsi="宋体" w:eastAsia="宋体" w:cs="宋体"/>
          <w:b/>
          <w:szCs w:val="24"/>
        </w:rPr>
        <w:t>。</w:t>
      </w:r>
    </w:p>
    <w:p w14:paraId="1BEA55AC">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lang w:val="en-US" w:eastAsia="zh-CN"/>
        </w:rPr>
        <w:t>5</w:t>
      </w:r>
      <w:r>
        <w:rPr>
          <w:rFonts w:hint="eastAsia" w:ascii="宋体" w:hAnsi="宋体" w:eastAsia="宋体" w:cs="宋体"/>
          <w:b/>
          <w:szCs w:val="24"/>
        </w:rPr>
        <w:t>.所投货物均应填写制造商名称。“制造商”是指产品</w:t>
      </w:r>
      <w:r>
        <w:rPr>
          <w:rFonts w:hint="eastAsia" w:ascii="宋体" w:hAnsi="宋体" w:eastAsia="宋体" w:cs="宋体"/>
          <w:b/>
          <w:szCs w:val="24"/>
          <w:lang w:val="en-US" w:eastAsia="zh-CN"/>
        </w:rPr>
        <w:t>制造</w:t>
      </w:r>
      <w:r>
        <w:rPr>
          <w:rFonts w:hint="eastAsia" w:ascii="宋体" w:hAnsi="宋体" w:eastAsia="宋体" w:cs="宋体"/>
          <w:b/>
          <w:szCs w:val="24"/>
        </w:rPr>
        <w:t>厂商，产品代工制造的，应填写接受委托生产制造的制造商。</w:t>
      </w:r>
    </w:p>
    <w:p w14:paraId="6C7A9CC8">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lang w:val="en-US" w:eastAsia="zh-CN"/>
        </w:rPr>
        <w:t>6</w:t>
      </w:r>
      <w:r>
        <w:rPr>
          <w:rFonts w:hint="eastAsia" w:ascii="宋体" w:hAnsi="宋体" w:eastAsia="宋体" w:cs="宋体"/>
          <w:b/>
          <w:szCs w:val="24"/>
        </w:rPr>
        <w:t>.以上分项报价表的投标总价应当与开标一览表的投标总价一致。</w:t>
      </w:r>
    </w:p>
    <w:p w14:paraId="709662BB">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lang w:val="en-US" w:eastAsia="zh-CN"/>
        </w:rPr>
        <w:t>7</w:t>
      </w:r>
      <w:r>
        <w:rPr>
          <w:rFonts w:hint="eastAsia" w:ascii="宋体" w:hAnsi="宋体" w:eastAsia="宋体" w:cs="宋体"/>
          <w:b/>
          <w:szCs w:val="24"/>
        </w:rPr>
        <w:t>.单价、合价和投标总价为包干价，即三者均应包含货物的价款、包装、运输、装卸、安装、调试、技术指导、培训、咨询、服务、保险、税费、检测、验收合格交付使用之前以及技术和售后服务等其他各项有关费用。</w:t>
      </w:r>
    </w:p>
    <w:p w14:paraId="7947479C">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b/>
          <w:szCs w:val="24"/>
          <w:lang w:val="en-US" w:eastAsia="zh-CN"/>
        </w:rPr>
        <w:t>8</w:t>
      </w:r>
      <w:r>
        <w:rPr>
          <w:rFonts w:hint="eastAsia" w:ascii="宋体" w:hAnsi="宋体" w:eastAsia="宋体" w:cs="宋体"/>
          <w:b/>
          <w:szCs w:val="24"/>
        </w:rPr>
        <w:t>.所有价格应按“招标文件”中规定的货币单位填写；投标总价应为以上各分项价格之和；投标总价和项目报价表中单个采购预算条目报价均不得超过对应的财政预算限额，否则将导致投标无效。</w:t>
      </w:r>
    </w:p>
    <w:p w14:paraId="58DCDFB9">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Cs w:val="24"/>
        </w:rPr>
      </w:pPr>
    </w:p>
    <w:p w14:paraId="4051C6B7">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color w:val="FF0000"/>
          <w:szCs w:val="24"/>
        </w:rPr>
      </w:pPr>
      <w:r>
        <w:rPr>
          <w:rFonts w:hint="eastAsia" w:ascii="宋体" w:hAnsi="宋体" w:eastAsia="宋体" w:cs="宋体"/>
          <w:bCs/>
          <w:color w:val="FF0000"/>
          <w:szCs w:val="24"/>
        </w:rPr>
        <w:t>★</w:t>
      </w:r>
      <w:r>
        <w:rPr>
          <w:rFonts w:hint="eastAsia" w:ascii="宋体" w:hAnsi="宋体" w:eastAsia="宋体" w:cs="宋体"/>
          <w:b/>
          <w:color w:val="FF0000"/>
          <w:szCs w:val="24"/>
        </w:rPr>
        <w:t>填写要求：</w:t>
      </w:r>
    </w:p>
    <w:p w14:paraId="2A78CC7F">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color w:val="FF0000"/>
          <w:szCs w:val="24"/>
        </w:rPr>
      </w:pPr>
      <w:r>
        <w:rPr>
          <w:rFonts w:hint="eastAsia" w:ascii="宋体" w:hAnsi="宋体" w:eastAsia="宋体" w:cs="宋体"/>
          <w:b/>
          <w:color w:val="FF0000"/>
          <w:szCs w:val="24"/>
        </w:rPr>
        <w:t>1.《分项报价清单》所有价格应以人民币为结算单位填写；</w:t>
      </w:r>
    </w:p>
    <w:p w14:paraId="07F729CC">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color w:val="FF0000"/>
          <w:szCs w:val="24"/>
        </w:rPr>
      </w:pPr>
      <w:r>
        <w:rPr>
          <w:rFonts w:hint="eastAsia" w:ascii="宋体" w:hAnsi="宋体" w:eastAsia="宋体" w:cs="宋体"/>
          <w:b/>
          <w:color w:val="FF0000"/>
          <w:szCs w:val="24"/>
        </w:rPr>
        <w:t>2.《（一）项目报价表》可根据实际需要增加相关内容，但原有的格式内容不得删减；</w:t>
      </w:r>
    </w:p>
    <w:p w14:paraId="70546291">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color w:val="FF0000"/>
          <w:szCs w:val="24"/>
        </w:rPr>
      </w:pPr>
      <w:r>
        <w:rPr>
          <w:rFonts w:hint="eastAsia" w:ascii="宋体" w:hAnsi="宋体" w:eastAsia="宋体" w:cs="宋体"/>
          <w:b/>
          <w:color w:val="FF0000"/>
          <w:szCs w:val="24"/>
        </w:rPr>
        <w:t>3.如未提供《（一）项目报价表》或者不按</w:t>
      </w:r>
      <w:r>
        <w:rPr>
          <w:rFonts w:hint="eastAsia" w:ascii="宋体" w:hAnsi="宋体" w:eastAsia="宋体" w:cs="宋体"/>
          <w:b/>
          <w:color w:val="FF0000"/>
          <w:szCs w:val="24"/>
          <w:highlight w:val="none"/>
        </w:rPr>
        <w:t>《第三章 用户需求书：二、货物需求明细》</w:t>
      </w:r>
      <w:r>
        <w:rPr>
          <w:rFonts w:hint="eastAsia" w:ascii="宋体" w:hAnsi="宋体" w:eastAsia="宋体" w:cs="宋体"/>
          <w:b/>
          <w:color w:val="FF0000"/>
          <w:szCs w:val="24"/>
        </w:rPr>
        <w:t>要求填报、漏报或错报的将作投标无效处理。</w:t>
      </w:r>
    </w:p>
    <w:p w14:paraId="597B848C">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szCs w:val="24"/>
        </w:rPr>
      </w:pPr>
    </w:p>
    <w:p w14:paraId="1F32CE83">
      <w:pPr>
        <w:tabs>
          <w:tab w:val="left" w:pos="720"/>
        </w:tabs>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sz w:val="24"/>
          <w:szCs w:val="24"/>
        </w:rPr>
      </w:pPr>
      <w:r>
        <w:rPr>
          <w:rFonts w:hint="eastAsia" w:ascii="宋体" w:hAnsi="宋体" w:eastAsia="宋体" w:cs="宋体"/>
          <w:b/>
          <w:color w:val="FF0000"/>
          <w:sz w:val="24"/>
          <w:szCs w:val="24"/>
        </w:rPr>
        <w:t>（二）核心产品品牌</w:t>
      </w:r>
    </w:p>
    <w:p w14:paraId="5F3717F6">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 w:val="24"/>
          <w:szCs w:val="24"/>
        </w:rPr>
      </w:pPr>
      <w:r>
        <w:rPr>
          <w:rFonts w:hint="eastAsia" w:ascii="宋体" w:hAnsi="宋体" w:eastAsia="宋体" w:cs="宋体"/>
          <w:b/>
          <w:color w:val="FF0000"/>
          <w:sz w:val="24"/>
          <w:szCs w:val="24"/>
        </w:rPr>
        <w:t>我单位所投核心产品的品牌为：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08BE90CA">
      <w:pPr>
        <w:kinsoku/>
        <w:overflowPunct/>
        <w:topLinePunct w:val="0"/>
        <w:bidi w:val="0"/>
        <w:spacing w:beforeAutospacing="0" w:afterAutospacing="0" w:line="360" w:lineRule="auto"/>
        <w:ind w:left="0" w:leftChars="0" w:right="0" w:firstLine="0" w:firstLineChars="0"/>
        <w:rPr>
          <w:rFonts w:hint="eastAsia" w:ascii="宋体" w:hAnsi="宋体" w:eastAsia="宋体" w:cs="宋体"/>
          <w:b/>
          <w:szCs w:val="24"/>
        </w:rPr>
      </w:pPr>
      <w:r>
        <w:rPr>
          <w:rFonts w:hint="eastAsia" w:ascii="宋体" w:hAnsi="宋体" w:eastAsia="宋体" w:cs="宋体"/>
          <w:color w:val="FF0000"/>
          <w:sz w:val="24"/>
          <w:szCs w:val="24"/>
        </w:rPr>
        <w:t>备注：单一产品采购项目，核心产品即为该单一产品。</w:t>
      </w:r>
    </w:p>
    <w:p w14:paraId="6A00F979">
      <w:pPr>
        <w:kinsoku/>
        <w:overflowPunct/>
        <w:topLinePunct w:val="0"/>
        <w:bidi w:val="0"/>
        <w:spacing w:beforeAutospacing="0" w:afterAutospacing="0" w:line="360" w:lineRule="auto"/>
        <w:ind w:left="0" w:leftChars="0" w:right="0" w:firstLine="0" w:firstLineChars="0"/>
        <w:rPr>
          <w:rFonts w:hint="eastAsia" w:ascii="宋体" w:hAnsi="宋体" w:eastAsia="宋体" w:cs="宋体"/>
          <w:b/>
          <w:szCs w:val="24"/>
        </w:rPr>
      </w:pPr>
    </w:p>
    <w:p w14:paraId="11D8F139">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（三）可选配件报价清单（非项目需求要求的必备配件，此部分不包括在总报价内）</w:t>
      </w:r>
    </w:p>
    <w:p w14:paraId="2CBFCD96">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b/>
          <w:bCs/>
          <w:szCs w:val="21"/>
        </w:rPr>
        <w:t>注：格式可以参照《（一）</w:t>
      </w:r>
      <w:r>
        <w:rPr>
          <w:rFonts w:hint="eastAsia" w:ascii="宋体" w:hAnsi="宋体" w:eastAsia="宋体" w:cs="宋体"/>
          <w:b/>
          <w:bCs/>
          <w:szCs w:val="21"/>
          <w:lang w:val="en-US" w:eastAsia="zh-CN"/>
        </w:rPr>
        <w:t>项目</w:t>
      </w:r>
      <w:r>
        <w:rPr>
          <w:rFonts w:hint="eastAsia" w:ascii="宋体" w:hAnsi="宋体" w:eastAsia="宋体" w:cs="宋体"/>
          <w:b/>
          <w:bCs/>
          <w:szCs w:val="21"/>
        </w:rPr>
        <w:t>报价表》表格，并提供相应的品牌/规格/型号、原产地、制造商信息（没有品牌、型号的，用“定制”描述即可）、单价等详细信息</w:t>
      </w:r>
    </w:p>
    <w:p w14:paraId="7D067CD5">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p>
    <w:p w14:paraId="354EF8C3">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（四）供应商认为需要涉及的其他内容报价清单</w:t>
      </w:r>
    </w:p>
    <w:p w14:paraId="700CA3F6">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kern w:val="0"/>
          <w:sz w:val="24"/>
          <w:szCs w:val="20"/>
          <w:lang w:val="en-US" w:eastAsia="zh-CN"/>
        </w:rPr>
      </w:pPr>
    </w:p>
    <w:p w14:paraId="33C6B4B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5</w:t>
      </w:r>
      <w:r>
        <w:rPr>
          <w:rFonts w:hint="eastAsia" w:ascii="宋体" w:hAnsi="宋体" w:eastAsia="宋体" w:cs="宋体"/>
          <w:b/>
          <w:bCs/>
          <w:kern w:val="0"/>
          <w:sz w:val="24"/>
          <w:szCs w:val="20"/>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14:paraId="2058701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14:paraId="0D9C5C35">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17" w:type="pct"/>
            <w:vAlign w:val="center"/>
          </w:tcPr>
          <w:p w14:paraId="749C53AD">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用户单位</w:t>
            </w:r>
          </w:p>
        </w:tc>
        <w:tc>
          <w:tcPr>
            <w:tcW w:w="1255" w:type="pct"/>
            <w:vAlign w:val="center"/>
          </w:tcPr>
          <w:p w14:paraId="3A4483FF">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733" w:type="pct"/>
            <w:vAlign w:val="center"/>
          </w:tcPr>
          <w:p w14:paraId="15600C67">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时间</w:t>
            </w:r>
          </w:p>
        </w:tc>
        <w:tc>
          <w:tcPr>
            <w:tcW w:w="764" w:type="pct"/>
            <w:vAlign w:val="center"/>
          </w:tcPr>
          <w:p w14:paraId="3502668A">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用户单位</w:t>
            </w:r>
          </w:p>
          <w:p w14:paraId="0C0837BE">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联系人</w:t>
            </w:r>
          </w:p>
        </w:tc>
        <w:tc>
          <w:tcPr>
            <w:tcW w:w="790" w:type="pct"/>
            <w:vAlign w:val="center"/>
          </w:tcPr>
          <w:p w14:paraId="40721498">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用户单位</w:t>
            </w:r>
          </w:p>
          <w:p w14:paraId="304EF970">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联系电话</w:t>
            </w:r>
          </w:p>
        </w:tc>
      </w:tr>
      <w:tr w14:paraId="73C6C08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6D7017E0">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1017" w:type="pct"/>
          </w:tcPr>
          <w:p w14:paraId="0502D3BC">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1255" w:type="pct"/>
          </w:tcPr>
          <w:p w14:paraId="38E7334F">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33" w:type="pct"/>
          </w:tcPr>
          <w:p w14:paraId="2135440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64" w:type="pct"/>
          </w:tcPr>
          <w:p w14:paraId="240BBA00">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90" w:type="pct"/>
          </w:tcPr>
          <w:p w14:paraId="0369E85C">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r>
      <w:tr w14:paraId="07BD5E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12CA399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1017" w:type="pct"/>
          </w:tcPr>
          <w:p w14:paraId="77538DC7">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1255" w:type="pct"/>
          </w:tcPr>
          <w:p w14:paraId="30ABF8B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33" w:type="pct"/>
          </w:tcPr>
          <w:p w14:paraId="0D64B82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64" w:type="pct"/>
          </w:tcPr>
          <w:p w14:paraId="2ED05D9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90" w:type="pct"/>
          </w:tcPr>
          <w:p w14:paraId="4D96EA8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r>
      <w:tr w14:paraId="3BDA74B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0996BFFF">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1017" w:type="pct"/>
          </w:tcPr>
          <w:p w14:paraId="45A7CBD0">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1255" w:type="pct"/>
          </w:tcPr>
          <w:p w14:paraId="6B0BCCEB">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33" w:type="pct"/>
          </w:tcPr>
          <w:p w14:paraId="783A791E">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64" w:type="pct"/>
          </w:tcPr>
          <w:p w14:paraId="1F02E7F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c>
          <w:tcPr>
            <w:tcW w:w="790" w:type="pct"/>
          </w:tcPr>
          <w:p w14:paraId="73884A20">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tc>
      </w:tr>
    </w:tbl>
    <w:p w14:paraId="3235D63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此表格式可根据评分准则要求进行调整，并将要求提供的证明材料扫描件附后。</w:t>
      </w:r>
    </w:p>
    <w:p w14:paraId="266E8E6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 w:val="24"/>
          <w:szCs w:val="24"/>
        </w:rPr>
      </w:pPr>
    </w:p>
    <w:p w14:paraId="1EF6D2B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kern w:val="0"/>
          <w:sz w:val="24"/>
          <w:szCs w:val="20"/>
        </w:rPr>
      </w:pPr>
      <w:r>
        <w:rPr>
          <w:rFonts w:hint="eastAsia" w:ascii="宋体" w:hAnsi="宋体" w:eastAsia="宋体" w:cs="宋体"/>
          <w:b/>
          <w:bCs/>
          <w:kern w:val="0"/>
          <w:sz w:val="24"/>
          <w:szCs w:val="20"/>
        </w:rPr>
        <w:t>6</w:t>
      </w:r>
      <w:r>
        <w:rPr>
          <w:rFonts w:hint="eastAsia" w:ascii="宋体" w:hAnsi="宋体" w:eastAsia="宋体" w:cs="宋体"/>
          <w:b/>
          <w:bCs/>
          <w:kern w:val="0"/>
          <w:sz w:val="24"/>
          <w:szCs w:val="20"/>
          <w:lang w:val="en-US" w:eastAsia="zh-CN"/>
        </w:rPr>
        <w:t>.</w:t>
      </w:r>
      <w:r>
        <w:rPr>
          <w:rFonts w:hint="eastAsia" w:ascii="宋体" w:hAnsi="宋体" w:eastAsia="宋体" w:cs="宋体"/>
          <w:b/>
          <w:bCs/>
          <w:kern w:val="0"/>
          <w:sz w:val="24"/>
          <w:szCs w:val="20"/>
        </w:rPr>
        <w:t>其他招标文件要求或投标人认为需要补充的内容（公开）。</w:t>
      </w:r>
    </w:p>
    <w:p w14:paraId="328D4C3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color w:val="FF0000"/>
          <w:sz w:val="32"/>
          <w:szCs w:val="32"/>
          <w:lang w:eastAsia="zh-CN"/>
        </w:rPr>
        <w:t>（格式自拟）</w:t>
      </w:r>
    </w:p>
    <w:p w14:paraId="0B5DC4B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FF0000"/>
          <w:sz w:val="24"/>
        </w:rPr>
      </w:pPr>
      <w:r>
        <w:rPr>
          <w:rFonts w:hint="eastAsia" w:ascii="宋体" w:hAnsi="宋体" w:eastAsia="宋体" w:cs="宋体"/>
          <w:b/>
          <w:color w:val="FF0000"/>
          <w:sz w:val="24"/>
        </w:rPr>
        <w:t>（信息公开部分的内容到此为止！以下为信息不公开部分。）</w:t>
      </w:r>
    </w:p>
    <w:p w14:paraId="45D91456">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szCs w:val="24"/>
        </w:rPr>
      </w:pPr>
      <w:r>
        <w:rPr>
          <w:rFonts w:hint="eastAsia" w:ascii="宋体" w:hAnsi="宋体" w:eastAsia="宋体" w:cs="宋体"/>
          <w:szCs w:val="24"/>
        </w:rPr>
        <w:br w:type="page"/>
      </w:r>
    </w:p>
    <w:p w14:paraId="69F898CE">
      <w:pPr>
        <w:kinsoku/>
        <w:overflowPunct/>
        <w:topLinePunct w:val="0"/>
        <w:bidi w:val="0"/>
        <w:spacing w:beforeAutospacing="0" w:afterAutospacing="0" w:line="360" w:lineRule="auto"/>
        <w:ind w:left="0" w:leftChars="0" w:right="0" w:firstLine="0" w:firstLineChars="0"/>
        <w:outlineLvl w:val="2"/>
        <w:rPr>
          <w:rFonts w:hint="eastAsia" w:ascii="宋体" w:hAnsi="宋体" w:eastAsia="宋体" w:cs="宋体"/>
          <w:b/>
          <w:color w:val="FF0000"/>
          <w:sz w:val="32"/>
          <w:szCs w:val="32"/>
        </w:rPr>
      </w:pPr>
      <w:r>
        <w:rPr>
          <w:rFonts w:hint="eastAsia" w:ascii="宋体" w:hAnsi="宋体" w:eastAsia="宋体" w:cs="宋体"/>
          <w:b/>
          <w:color w:val="FF0000"/>
          <w:sz w:val="32"/>
          <w:szCs w:val="32"/>
        </w:rPr>
        <w:t>（二）投标文件附件（信息不公开部分）</w:t>
      </w:r>
    </w:p>
    <w:p w14:paraId="5CB3A546">
      <w:pPr>
        <w:keepNext/>
        <w:keepLines/>
        <w:kinsoku/>
        <w:overflowPunct/>
        <w:topLinePunct w:val="0"/>
        <w:bidi w:val="0"/>
        <w:adjustRightInd w:val="0"/>
        <w:snapToGrid w:val="0"/>
        <w:spacing w:beforeAutospacing="0" w:afterAutospacing="0" w:line="360" w:lineRule="auto"/>
        <w:ind w:left="0" w:leftChars="0" w:right="0" w:firstLine="0" w:firstLineChars="0"/>
        <w:jc w:val="center"/>
        <w:textAlignment w:val="baseline"/>
        <w:outlineLvl w:val="3"/>
        <w:rPr>
          <w:rFonts w:hint="eastAsia" w:ascii="宋体" w:hAnsi="宋体" w:eastAsia="宋体" w:cs="宋体"/>
          <w:b/>
          <w:bCs/>
          <w:kern w:val="0"/>
          <w:sz w:val="24"/>
          <w:szCs w:val="20"/>
        </w:rPr>
      </w:pPr>
      <w:r>
        <w:rPr>
          <w:rFonts w:hint="eastAsia" w:ascii="宋体" w:hAnsi="宋体" w:eastAsia="宋体" w:cs="宋体"/>
          <w:b/>
          <w:bCs/>
          <w:kern w:val="0"/>
          <w:sz w:val="24"/>
          <w:szCs w:val="20"/>
        </w:rPr>
        <w:t>1.法定代表人（负责人）证明书</w:t>
      </w:r>
    </w:p>
    <w:p w14:paraId="27E2C4D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 w:val="24"/>
          <w:szCs w:val="24"/>
          <w:u w:val="single"/>
        </w:rPr>
        <w:t xml:space="preserve">  （姓名）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职务，为我单位法定代表人（负责人）。</w:t>
      </w:r>
    </w:p>
    <w:p w14:paraId="0DF5542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 xml:space="preserve">身份证号： </w:t>
      </w:r>
      <w:r>
        <w:rPr>
          <w:rFonts w:hint="eastAsia" w:ascii="宋体" w:hAnsi="宋体" w:eastAsia="宋体" w:cs="宋体"/>
          <w:szCs w:val="21"/>
          <w:u w:val="single"/>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rPr>
        <w:t xml:space="preserve">联系电话：  </w:t>
      </w:r>
      <w:r>
        <w:rPr>
          <w:rFonts w:hint="eastAsia" w:ascii="宋体" w:hAnsi="宋体" w:eastAsia="宋体" w:cs="宋体"/>
          <w:szCs w:val="21"/>
          <w:u w:val="single"/>
        </w:rPr>
        <w:t xml:space="preserve">             </w:t>
      </w:r>
    </w:p>
    <w:p w14:paraId="2687879C">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szCs w:val="21"/>
        </w:rPr>
        <w:t>特此证明。</w:t>
      </w:r>
    </w:p>
    <w:p w14:paraId="1FC3F1DB">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color w:val="FF0000"/>
          <w:sz w:val="28"/>
          <w:szCs w:val="28"/>
        </w:rPr>
      </w:pPr>
    </w:p>
    <w:p w14:paraId="32E3B7E9">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说明</w:t>
      </w:r>
      <w:r>
        <w:rPr>
          <w:rFonts w:hint="eastAsia" w:ascii="宋体" w:hAnsi="宋体" w:eastAsia="宋体" w:cs="宋体"/>
          <w:color w:val="FF0000"/>
          <w:sz w:val="21"/>
          <w:szCs w:val="21"/>
        </w:rPr>
        <w:t>：</w:t>
      </w:r>
    </w:p>
    <w:p w14:paraId="29F0B62B">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color w:val="FF0000"/>
          <w:sz w:val="21"/>
          <w:szCs w:val="21"/>
        </w:rPr>
        <w:t>1、如发现上述人员非投标人法定代表人（负责人），视同提供虚假资料，按投标无效处理，并将依法承担相应法律责任。</w:t>
      </w:r>
    </w:p>
    <w:p w14:paraId="6D6C0736">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2、法定代表人为投标人（企业事业单位、国家机关、社会团体）的主要行政负责人。</w:t>
      </w:r>
    </w:p>
    <w:p w14:paraId="2EC782B0">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3、本证明书</w:t>
      </w:r>
      <w:r>
        <w:rPr>
          <w:rFonts w:hint="eastAsia" w:ascii="宋体" w:hAnsi="宋体" w:eastAsia="宋体" w:cs="宋体"/>
          <w:color w:val="FF0000"/>
          <w:sz w:val="21"/>
          <w:szCs w:val="21"/>
          <w:lang w:val="en-US" w:eastAsia="zh-CN"/>
        </w:rPr>
        <w:t>要求提</w:t>
      </w:r>
      <w:r>
        <w:rPr>
          <w:rFonts w:hint="eastAsia" w:ascii="宋体" w:hAnsi="宋体" w:eastAsia="宋体" w:cs="宋体"/>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宋体"/>
          <w:color w:val="FF0000"/>
          <w:sz w:val="21"/>
          <w:szCs w:val="21"/>
          <w:lang w:val="en-US" w:eastAsia="zh-CN"/>
        </w:rPr>
        <w:t>未提供的</w:t>
      </w:r>
      <w:r>
        <w:rPr>
          <w:rFonts w:hint="eastAsia" w:ascii="宋体" w:hAnsi="宋体" w:eastAsia="宋体" w:cs="宋体"/>
          <w:color w:val="FF0000"/>
          <w:sz w:val="21"/>
          <w:szCs w:val="21"/>
        </w:rPr>
        <w:t>按投标无效处理</w:t>
      </w:r>
      <w:r>
        <w:rPr>
          <w:rFonts w:hint="eastAsia" w:ascii="宋体" w:hAnsi="宋体" w:eastAsia="宋体" w:cs="宋体"/>
          <w:color w:val="FF0000"/>
          <w:sz w:val="21"/>
          <w:szCs w:val="21"/>
          <w:lang w:eastAsia="zh-CN"/>
        </w:rPr>
        <w:t>。</w:t>
      </w:r>
    </w:p>
    <w:p w14:paraId="78E62F69">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4、本项目投标授权代表为法定代表人（负责人）的，无需提供《投标文件签署授权委托书》。</w:t>
      </w:r>
    </w:p>
    <w:p w14:paraId="59A3CB9D">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FCC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7" w:hRule="atLeast"/>
        </w:trPr>
        <w:tc>
          <w:tcPr>
            <w:tcW w:w="4264" w:type="dxa"/>
            <w:vAlign w:val="top"/>
          </w:tcPr>
          <w:p w14:paraId="68E47B5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F670CAC">
            <w:pPr>
              <w:pStyle w:val="2"/>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p>
          <w:p w14:paraId="42C205B1">
            <w:pPr>
              <w:pStyle w:val="13"/>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p>
        </w:tc>
        <w:tc>
          <w:tcPr>
            <w:tcW w:w="4265" w:type="dxa"/>
            <w:vAlign w:val="top"/>
          </w:tcPr>
          <w:p w14:paraId="1D86D9A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53618D40">
            <w:pPr>
              <w:pStyle w:val="2"/>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p>
          <w:p w14:paraId="2ADF21FB">
            <w:pPr>
              <w:pStyle w:val="13"/>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 w:val="24"/>
                <w:vertAlign w:val="baseline"/>
                <w:lang w:val="en-US" w:eastAsia="zh-CN"/>
              </w:rPr>
            </w:pPr>
          </w:p>
        </w:tc>
      </w:tr>
    </w:tbl>
    <w:p w14:paraId="7C94ED79">
      <w:pPr>
        <w:pStyle w:val="2"/>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2F93FDB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投标人（投标单位）：</w:t>
      </w:r>
      <w:r>
        <w:rPr>
          <w:rFonts w:hint="eastAsia" w:ascii="宋体" w:hAnsi="宋体" w:eastAsia="宋体" w:cs="宋体"/>
          <w:szCs w:val="21"/>
          <w:u w:val="single"/>
        </w:rPr>
        <w:t xml:space="preserve">           </w:t>
      </w:r>
    </w:p>
    <w:p w14:paraId="2C6A32E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2F2E08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4"/>
        </w:rPr>
      </w:pPr>
    </w:p>
    <w:p w14:paraId="64900942">
      <w:pPr>
        <w:keepNext/>
        <w:keepLines/>
        <w:pageBreakBefore/>
        <w:kinsoku/>
        <w:overflowPunct/>
        <w:topLinePunct w:val="0"/>
        <w:bidi w:val="0"/>
        <w:adjustRightInd w:val="0"/>
        <w:snapToGrid w:val="0"/>
        <w:spacing w:beforeAutospacing="0" w:afterAutospacing="0" w:line="360" w:lineRule="auto"/>
        <w:ind w:left="0" w:leftChars="0" w:right="0" w:firstLine="0" w:firstLineChars="0"/>
        <w:jc w:val="center"/>
        <w:textAlignment w:val="baseline"/>
        <w:outlineLvl w:val="3"/>
        <w:rPr>
          <w:rFonts w:hint="eastAsia" w:ascii="宋体" w:hAnsi="宋体" w:eastAsia="宋体" w:cs="宋体"/>
          <w:b/>
          <w:bCs/>
          <w:kern w:val="0"/>
          <w:sz w:val="24"/>
          <w:szCs w:val="20"/>
        </w:rPr>
      </w:pPr>
      <w:r>
        <w:rPr>
          <w:rFonts w:hint="eastAsia" w:ascii="宋体" w:hAnsi="宋体" w:eastAsia="宋体" w:cs="宋体"/>
          <w:b/>
          <w:bCs/>
          <w:kern w:val="0"/>
          <w:sz w:val="24"/>
          <w:szCs w:val="20"/>
        </w:rPr>
        <w:t>2.投标文件签署授权委托书</w:t>
      </w:r>
    </w:p>
    <w:p w14:paraId="796BFB8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（投标人名称）的法定代表人（负责人），现授权委托</w:t>
      </w:r>
      <w:r>
        <w:rPr>
          <w:rFonts w:hint="eastAsia" w:ascii="宋体" w:hAnsi="宋体" w:eastAsia="宋体" w:cs="宋体"/>
          <w:szCs w:val="21"/>
          <w:u w:val="single"/>
        </w:rPr>
        <w:t xml:space="preserve">            </w:t>
      </w:r>
      <w:r>
        <w:rPr>
          <w:rFonts w:hint="eastAsia" w:ascii="宋体" w:hAnsi="宋体" w:eastAsia="宋体" w:cs="宋体"/>
          <w:szCs w:val="21"/>
        </w:rPr>
        <w:t>（姓名）为我单位签署本项目已递交的投标文件的法定代表人（负责人）的授权委托代理人，代理人全权代表我所签署的本项目已递交的投标文件内容我均承认。</w:t>
      </w:r>
    </w:p>
    <w:p w14:paraId="5BEA526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代理人无转委托权，特此委托。</w:t>
      </w:r>
    </w:p>
    <w:p w14:paraId="452B9171">
      <w:pPr>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szCs w:val="21"/>
        </w:rPr>
      </w:pPr>
    </w:p>
    <w:p w14:paraId="2BF941B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1F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2" w:hRule="atLeast"/>
        </w:trPr>
        <w:tc>
          <w:tcPr>
            <w:tcW w:w="4264" w:type="dxa"/>
            <w:vAlign w:val="top"/>
          </w:tcPr>
          <w:p w14:paraId="7A20DE6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4A1347E7">
            <w:pPr>
              <w:pStyle w:val="2"/>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p>
          <w:p w14:paraId="4315C284">
            <w:pPr>
              <w:pStyle w:val="13"/>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p>
        </w:tc>
        <w:tc>
          <w:tcPr>
            <w:tcW w:w="4265" w:type="dxa"/>
            <w:vAlign w:val="top"/>
          </w:tcPr>
          <w:p w14:paraId="0E892A1C">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61283FD6">
            <w:pPr>
              <w:pStyle w:val="2"/>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lang w:val="en-US" w:eastAsia="zh-CN"/>
              </w:rPr>
            </w:pPr>
          </w:p>
          <w:p w14:paraId="2B453295">
            <w:pPr>
              <w:pStyle w:val="13"/>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 w:val="24"/>
                <w:vertAlign w:val="baseline"/>
                <w:lang w:val="en-US" w:eastAsia="zh-CN"/>
              </w:rPr>
            </w:pPr>
          </w:p>
        </w:tc>
      </w:tr>
    </w:tbl>
    <w:p w14:paraId="20C7F26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p>
    <w:p w14:paraId="4A21117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代理人：</w:t>
      </w:r>
      <w:r>
        <w:rPr>
          <w:rFonts w:hint="eastAsia" w:ascii="宋体" w:hAnsi="宋体" w:eastAsia="宋体" w:cs="宋体"/>
          <w:szCs w:val="21"/>
          <w:u w:val="single"/>
        </w:rPr>
        <w:t xml:space="preserve">                  </w:t>
      </w:r>
    </w:p>
    <w:p w14:paraId="4455EE7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19BBBE0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手机：</w:t>
      </w:r>
      <w:r>
        <w:rPr>
          <w:rFonts w:hint="eastAsia" w:ascii="宋体" w:hAnsi="宋体" w:eastAsia="宋体" w:cs="宋体"/>
          <w:szCs w:val="21"/>
          <w:u w:val="single"/>
        </w:rPr>
        <w:t xml:space="preserve">                 </w:t>
      </w:r>
    </w:p>
    <w:p w14:paraId="531EE4E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u w:val="none"/>
          <w:lang w:val="en-US" w:eastAsia="zh-CN"/>
        </w:rPr>
        <w:t>电子邮箱：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54D3A7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投标人（投标单位）：</w:t>
      </w:r>
      <w:r>
        <w:rPr>
          <w:rFonts w:hint="eastAsia" w:ascii="宋体" w:hAnsi="宋体" w:eastAsia="宋体" w:cs="宋体"/>
          <w:szCs w:val="21"/>
          <w:u w:val="single"/>
        </w:rPr>
        <w:t xml:space="preserve">                            </w:t>
      </w:r>
    </w:p>
    <w:p w14:paraId="5A26221B">
      <w:pPr>
        <w:tabs>
          <w:tab w:val="left" w:pos="651"/>
        </w:tabs>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color w:val="FF0000"/>
          <w:sz w:val="28"/>
          <w:szCs w:val="28"/>
        </w:rPr>
      </w:pPr>
      <w:r>
        <w:rPr>
          <w:rFonts w:hint="eastAsia" w:ascii="宋体" w:hAnsi="宋体" w:eastAsia="宋体" w:cs="宋体"/>
          <w:szCs w:val="21"/>
          <w:lang w:val="en-US" w:eastAsia="zh-CN"/>
        </w:rPr>
        <w:t xml:space="preserve">                           </w:t>
      </w: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color w:val="FF0000"/>
          <w:sz w:val="28"/>
          <w:szCs w:val="28"/>
        </w:rPr>
        <w:br w:type="page"/>
      </w:r>
    </w:p>
    <w:p w14:paraId="2780EA53">
      <w:pPr>
        <w:keepNext/>
        <w:keepLines/>
        <w:pageBreakBefore/>
        <w:kinsoku/>
        <w:overflowPunct/>
        <w:topLinePunct w:val="0"/>
        <w:bidi w:val="0"/>
        <w:adjustRightInd w:val="0"/>
        <w:snapToGrid w:val="0"/>
        <w:spacing w:beforeAutospacing="0" w:afterAutospacing="0" w:line="360" w:lineRule="auto"/>
        <w:ind w:left="0" w:leftChars="0" w:right="0" w:firstLine="0" w:firstLineChars="0"/>
        <w:jc w:val="center"/>
        <w:textAlignment w:val="baseline"/>
        <w:outlineLvl w:val="3"/>
        <w:rPr>
          <w:rFonts w:hint="eastAsia" w:ascii="宋体" w:hAnsi="宋体" w:eastAsia="宋体" w:cs="宋体"/>
          <w:b/>
          <w:bCs/>
          <w:kern w:val="0"/>
          <w:sz w:val="24"/>
          <w:szCs w:val="20"/>
        </w:rPr>
      </w:pPr>
      <w:r>
        <w:rPr>
          <w:rFonts w:hint="eastAsia" w:ascii="宋体" w:hAnsi="宋体" w:eastAsia="宋体" w:cs="宋体"/>
          <w:b/>
          <w:bCs/>
          <w:kern w:val="0"/>
          <w:sz w:val="24"/>
          <w:szCs w:val="20"/>
        </w:rPr>
        <w:t>3.实质性条款响应情况表</w:t>
      </w:r>
    </w:p>
    <w:p w14:paraId="17A0CAD6">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color w:val="000000"/>
          <w:sz w:val="24"/>
          <w:szCs w:val="24"/>
        </w:rPr>
        <w:t>投标单位（投标人）名称：</w:t>
      </w:r>
      <w:r>
        <w:rPr>
          <w:rFonts w:hint="eastAsia" w:ascii="宋体" w:hAnsi="宋体" w:eastAsia="宋体" w:cs="宋体"/>
          <w:color w:val="000000"/>
          <w:sz w:val="24"/>
          <w:szCs w:val="24"/>
          <w:u w:val="single"/>
        </w:rPr>
        <w:t xml:space="preserve">                         </w:t>
      </w: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0850B82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12F6B375">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3901" w:type="dxa"/>
            <w:vAlign w:val="center"/>
          </w:tcPr>
          <w:p w14:paraId="32B349E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实质性条款具体内容</w:t>
            </w:r>
          </w:p>
        </w:tc>
        <w:tc>
          <w:tcPr>
            <w:tcW w:w="2176" w:type="dxa"/>
            <w:vAlign w:val="center"/>
          </w:tcPr>
          <w:p w14:paraId="1FF3036D">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投标文件响应</w:t>
            </w:r>
          </w:p>
        </w:tc>
        <w:tc>
          <w:tcPr>
            <w:tcW w:w="1732" w:type="dxa"/>
          </w:tcPr>
          <w:p w14:paraId="0B7745F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偏离情况</w:t>
            </w:r>
          </w:p>
        </w:tc>
        <w:tc>
          <w:tcPr>
            <w:tcW w:w="992" w:type="dxa"/>
            <w:vAlign w:val="center"/>
          </w:tcPr>
          <w:p w14:paraId="78B1DA50">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szCs w:val="21"/>
              </w:rPr>
            </w:pPr>
            <w:r>
              <w:rPr>
                <w:rFonts w:hint="eastAsia" w:ascii="宋体" w:hAnsi="宋体" w:eastAsia="宋体" w:cs="宋体"/>
                <w:b/>
                <w:szCs w:val="21"/>
              </w:rPr>
              <w:t>说明</w:t>
            </w:r>
          </w:p>
        </w:tc>
      </w:tr>
      <w:tr w14:paraId="1CB2278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511221DB">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1</w:t>
            </w:r>
          </w:p>
        </w:tc>
        <w:tc>
          <w:tcPr>
            <w:tcW w:w="3901" w:type="dxa"/>
            <w:vAlign w:val="center"/>
          </w:tcPr>
          <w:p w14:paraId="1B016E8F">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本项目招标文件中所有带★号条款内容</w:t>
            </w:r>
          </w:p>
        </w:tc>
        <w:tc>
          <w:tcPr>
            <w:tcW w:w="2176" w:type="dxa"/>
            <w:vAlign w:val="center"/>
          </w:tcPr>
          <w:p w14:paraId="159229F6">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完全响应</w:t>
            </w:r>
          </w:p>
        </w:tc>
        <w:tc>
          <w:tcPr>
            <w:tcW w:w="1732" w:type="dxa"/>
            <w:vAlign w:val="center"/>
          </w:tcPr>
          <w:p w14:paraId="1FC9106E">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无偏离</w:t>
            </w:r>
          </w:p>
        </w:tc>
        <w:tc>
          <w:tcPr>
            <w:tcW w:w="992" w:type="dxa"/>
            <w:vAlign w:val="center"/>
          </w:tcPr>
          <w:p w14:paraId="31A8B4C1">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color w:val="FF0000"/>
                <w:kern w:val="0"/>
                <w:szCs w:val="21"/>
                <w:lang w:val="en-US" w:eastAsia="zh-CN"/>
              </w:rPr>
            </w:pPr>
            <w:r>
              <w:rPr>
                <w:rFonts w:hint="eastAsia" w:ascii="宋体" w:hAnsi="宋体" w:eastAsia="宋体" w:cs="宋体"/>
                <w:b/>
                <w:color w:val="FF0000"/>
                <w:kern w:val="0"/>
                <w:szCs w:val="21"/>
                <w:lang w:val="en-US" w:eastAsia="zh-CN"/>
              </w:rPr>
              <w:t>证明文件附后</w:t>
            </w:r>
          </w:p>
        </w:tc>
      </w:tr>
    </w:tbl>
    <w:p w14:paraId="4101546B">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填写说明：</w:t>
      </w:r>
    </w:p>
    <w:p w14:paraId="29B83630">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上表所列各项均为不可负偏离条款。</w:t>
      </w:r>
    </w:p>
    <w:p w14:paraId="4BFBC4B7">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“投标</w:t>
      </w:r>
      <w:r>
        <w:rPr>
          <w:rFonts w:hint="eastAsia" w:ascii="宋体" w:hAnsi="宋体" w:eastAsia="宋体" w:cs="宋体"/>
          <w:bCs/>
          <w:sz w:val="24"/>
          <w:szCs w:val="24"/>
          <w:lang w:val="en-US" w:eastAsia="zh-CN"/>
        </w:rPr>
        <w:t>文件</w:t>
      </w:r>
      <w:r>
        <w:rPr>
          <w:rFonts w:hint="eastAsia" w:ascii="宋体" w:hAnsi="宋体" w:eastAsia="宋体" w:cs="宋体"/>
          <w:bCs/>
          <w:sz w:val="24"/>
          <w:szCs w:val="24"/>
        </w:rPr>
        <w:t>响应”一栏应当详细填写投标人自身响应情况，而不能不合理照搬照抄招标文件实质性条款具体内容。</w:t>
      </w:r>
      <w:r>
        <w:rPr>
          <w:rFonts w:hint="eastAsia" w:ascii="宋体" w:hAnsi="宋体" w:eastAsia="宋体" w:cs="宋体"/>
          <w:b/>
          <w:bCs/>
          <w:color w:val="auto"/>
          <w:sz w:val="24"/>
          <w:szCs w:val="24"/>
        </w:rPr>
        <w:t>如完全满足实质性条款具体内容可填写“完全响应”，除招标文件另有注明外，不强制要求逐条列出响应。</w:t>
      </w:r>
    </w:p>
    <w:p w14:paraId="2BC0C8A4">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eastAsia="zh-CN"/>
        </w:rPr>
        <w:t>、</w:t>
      </w:r>
      <w:r>
        <w:rPr>
          <w:rFonts w:hint="eastAsia" w:ascii="宋体" w:hAnsi="宋体" w:eastAsia="宋体" w:cs="宋体"/>
          <w:bCs/>
          <w:sz w:val="24"/>
          <w:szCs w:val="24"/>
        </w:rPr>
        <w:t>“偏离情况”一栏应填写</w:t>
      </w:r>
      <w:r>
        <w:rPr>
          <w:rFonts w:hint="eastAsia" w:ascii="宋体" w:hAnsi="宋体" w:eastAsia="宋体" w:cs="宋体"/>
          <w:b w:val="0"/>
          <w:bCs w:val="0"/>
          <w:sz w:val="24"/>
          <w:szCs w:val="24"/>
        </w:rPr>
        <w:t>“</w:t>
      </w:r>
      <w:r>
        <w:rPr>
          <w:rFonts w:hint="eastAsia" w:ascii="宋体" w:hAnsi="宋体" w:eastAsia="宋体" w:cs="宋体"/>
          <w:b/>
          <w:bCs/>
          <w:sz w:val="24"/>
          <w:szCs w:val="24"/>
        </w:rPr>
        <w:t>正偏离</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w:t>
      </w:r>
      <w:r>
        <w:rPr>
          <w:rFonts w:hint="eastAsia" w:ascii="宋体" w:hAnsi="宋体" w:eastAsia="宋体" w:cs="宋体"/>
          <w:b/>
          <w:bCs/>
          <w:sz w:val="24"/>
          <w:szCs w:val="24"/>
        </w:rPr>
        <w:t>负偏离</w:t>
      </w:r>
      <w:r>
        <w:rPr>
          <w:rFonts w:hint="eastAsia" w:ascii="宋体" w:hAnsi="宋体" w:eastAsia="宋体" w:cs="宋体"/>
          <w:b w:val="0"/>
          <w:bCs w:val="0"/>
          <w:sz w:val="24"/>
          <w:szCs w:val="24"/>
        </w:rPr>
        <w:t>”或“</w:t>
      </w:r>
      <w:r>
        <w:rPr>
          <w:rFonts w:hint="eastAsia" w:ascii="宋体" w:hAnsi="宋体" w:eastAsia="宋体" w:cs="宋体"/>
          <w:b/>
          <w:bCs/>
          <w:sz w:val="24"/>
          <w:szCs w:val="24"/>
        </w:rPr>
        <w:t>无偏离</w:t>
      </w:r>
      <w:r>
        <w:rPr>
          <w:rFonts w:hint="eastAsia" w:ascii="宋体" w:hAnsi="宋体" w:eastAsia="宋体" w:cs="宋体"/>
          <w:b w:val="0"/>
          <w:bCs w:val="0"/>
          <w:sz w:val="24"/>
          <w:szCs w:val="24"/>
        </w:rPr>
        <w:t>”</w:t>
      </w:r>
      <w:r>
        <w:rPr>
          <w:rFonts w:hint="eastAsia" w:ascii="宋体" w:hAnsi="宋体" w:eastAsia="宋体" w:cs="宋体"/>
          <w:bCs/>
          <w:sz w:val="24"/>
          <w:szCs w:val="24"/>
        </w:rPr>
        <w:t>，“正偏离”表示“投标响应优于实质性条款具体内容要求”，“负偏离”表示“投标响应不满足实质性条款具体内容要求”，“无偏离”表示“投标响应与实质性条款具体内容要求一致”。</w:t>
      </w:r>
    </w:p>
    <w:p w14:paraId="3AFB922C">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bCs/>
          <w:sz w:val="24"/>
          <w:szCs w:val="24"/>
        </w:rPr>
        <w:t>评审委员会有权对投标响应情况作出判断。</w:t>
      </w:r>
    </w:p>
    <w:p w14:paraId="4C800E8D">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w:t>
      </w:r>
      <w:r>
        <w:rPr>
          <w:rFonts w:hint="eastAsia" w:ascii="宋体" w:hAnsi="宋体" w:eastAsia="宋体" w:cs="宋体"/>
          <w:bCs/>
          <w:sz w:val="24"/>
          <w:szCs w:val="24"/>
        </w:rPr>
        <w:t>实质性响应条款“投标响应情况”与投标文件其它内容冲突的，以实质性响应条款“投标响应情况”为准。</w:t>
      </w:r>
    </w:p>
    <w:p w14:paraId="5F69004D">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eastAsia="zh-CN"/>
        </w:rPr>
        <w:t>、</w:t>
      </w:r>
      <w:r>
        <w:rPr>
          <w:rFonts w:hint="eastAsia" w:ascii="宋体" w:hAnsi="宋体" w:eastAsia="宋体" w:cs="宋体"/>
          <w:bCs/>
          <w:sz w:val="24"/>
          <w:szCs w:val="24"/>
        </w:rPr>
        <w:t>以上实质性条款中要求提供证明材料，需如实提供证明材料扫描件，在“说明”一栏中列明证明材料的位置，以便评审；未要求提供证明材料的，投标人可以不提供。</w:t>
      </w:r>
    </w:p>
    <w:p w14:paraId="461CB472">
      <w:pPr>
        <w:pStyle w:val="2"/>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（1）国家强制性产品认证CCC证书；</w:t>
      </w:r>
    </w:p>
    <w:p w14:paraId="2D7AAEB6">
      <w:pPr>
        <w:pStyle w:val="2"/>
        <w:jc w:val="center"/>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（格式自拟）</w:t>
      </w:r>
    </w:p>
    <w:p w14:paraId="5E75AB6D">
      <w:pPr>
        <w:pStyle w:val="2"/>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（2）符合CQC 3155-2016规范的中国节能产品认证证书及检验检测报告【加盖（或带有）CMA标志】扫描件；</w:t>
      </w:r>
    </w:p>
    <w:p w14:paraId="501A0BFE">
      <w:pPr>
        <w:jc w:val="center"/>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（格式自拟）</w:t>
      </w:r>
    </w:p>
    <w:p w14:paraId="37EF4F8E">
      <w:pPr>
        <w:numPr>
          <w:ilvl w:val="0"/>
          <w:numId w:val="0"/>
        </w:numPr>
        <w:kinsoku/>
        <w:overflowPunct/>
        <w:topLinePunct w:val="0"/>
        <w:bidi w:val="0"/>
        <w:spacing w:beforeAutospacing="0" w:afterAutospacing="0" w:line="360" w:lineRule="auto"/>
        <w:ind w:left="0" w:leftChars="0" w:right="0" w:rightChars="0" w:firstLine="0" w:firstLineChars="0"/>
        <w:jc w:val="left"/>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lang w:val="en-US" w:eastAsia="zh-CN" w:bidi="ar-SA"/>
        </w:rPr>
        <w:t>（3）</w:t>
      </w:r>
      <w:r>
        <w:rPr>
          <w:rFonts w:hint="eastAsia" w:ascii="宋体" w:hAnsi="宋体" w:eastAsia="宋体" w:cs="宋体"/>
          <w:b/>
          <w:bCs/>
          <w:color w:val="FF0000"/>
          <w:kern w:val="2"/>
          <w:sz w:val="21"/>
          <w:szCs w:val="21"/>
          <w:highlight w:val="yellow"/>
          <w:lang w:val="en-US" w:eastAsia="zh-CN" w:bidi="ar-SA"/>
        </w:rPr>
        <w:t>依据《灯和灯系统的光生物安全性（GB/T 20145-2006）》标准检测，检测结果为合格或符合。（需由国内副省级或以上城市计量质量检测机构出具且加盖或带有CMA标志的检验检测报告扫描件，检测类别为:抽样检测；注:本小项检验检测报告出具的时间应在本项目投标截止日前1年内）。</w:t>
      </w:r>
    </w:p>
    <w:p w14:paraId="1785EA0F">
      <w:pPr>
        <w:jc w:val="center"/>
        <w:rPr>
          <w:rFonts w:hint="eastAsia" w:ascii="宋体" w:hAnsi="宋体" w:eastAsia="宋体" w:cs="宋体"/>
          <w:b/>
          <w:bCs/>
          <w:color w:val="FF0000"/>
          <w:kern w:val="2"/>
          <w:sz w:val="21"/>
          <w:szCs w:val="21"/>
          <w:highlight w:val="yellow"/>
          <w:lang w:val="en-US" w:eastAsia="zh-CN" w:bidi="ar-SA"/>
        </w:rPr>
      </w:pPr>
      <w:r>
        <w:rPr>
          <w:rFonts w:hint="eastAsia" w:ascii="宋体" w:hAnsi="宋体" w:eastAsia="宋体" w:cs="宋体"/>
          <w:b/>
          <w:bCs/>
          <w:color w:val="FF0000"/>
          <w:kern w:val="2"/>
          <w:sz w:val="21"/>
          <w:szCs w:val="21"/>
          <w:highlight w:val="yellow"/>
          <w:lang w:val="en-US" w:eastAsia="zh-CN" w:bidi="ar-SA"/>
        </w:rPr>
        <w:t>（格式自拟）</w:t>
      </w:r>
    </w:p>
    <w:p w14:paraId="165518FB">
      <w:pPr>
        <w:numPr>
          <w:ilvl w:val="0"/>
          <w:numId w:val="0"/>
        </w:numPr>
        <w:kinsoku/>
        <w:overflowPunct/>
        <w:topLinePunct w:val="0"/>
        <w:bidi w:val="0"/>
        <w:spacing w:beforeAutospacing="0" w:afterAutospacing="0" w:line="360" w:lineRule="auto"/>
        <w:ind w:left="0" w:leftChars="0" w:right="0" w:rightChars="0" w:firstLine="0" w:firstLineChars="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4.项目组织实施方案的评价</w:t>
      </w:r>
    </w:p>
    <w:p w14:paraId="590EA072">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color w:val="FF0000"/>
          <w:sz w:val="32"/>
          <w:szCs w:val="32"/>
          <w:lang w:eastAsia="zh-CN"/>
        </w:rPr>
      </w:pPr>
      <w:r>
        <w:rPr>
          <w:rFonts w:hint="eastAsia" w:ascii="宋体" w:hAnsi="宋体" w:eastAsia="宋体" w:cs="宋体"/>
          <w:color w:val="FF0000"/>
          <w:sz w:val="32"/>
          <w:szCs w:val="32"/>
          <w:lang w:eastAsia="zh-CN"/>
        </w:rPr>
        <w:t>（格式自拟）</w:t>
      </w:r>
    </w:p>
    <w:p w14:paraId="43A064E5">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5</w:t>
      </w:r>
      <w:r>
        <w:rPr>
          <w:rFonts w:hint="eastAsia" w:ascii="宋体" w:hAnsi="宋体" w:eastAsia="宋体" w:cs="宋体"/>
          <w:b/>
          <w:bCs/>
          <w:kern w:val="0"/>
          <w:sz w:val="24"/>
          <w:szCs w:val="20"/>
        </w:rPr>
        <w:t>.售后服务评价</w:t>
      </w:r>
    </w:p>
    <w:p w14:paraId="75A3567A">
      <w:pPr>
        <w:pStyle w:val="2"/>
        <w:jc w:val="center"/>
        <w:rPr>
          <w:rFonts w:hint="eastAsia" w:ascii="宋体" w:hAnsi="宋体" w:eastAsia="宋体" w:cs="宋体"/>
          <w:b w:val="0"/>
          <w:bCs w:val="0"/>
          <w:color w:val="FF0000"/>
          <w:sz w:val="32"/>
          <w:szCs w:val="32"/>
          <w:lang w:eastAsia="zh-CN"/>
        </w:rPr>
      </w:pPr>
      <w:r>
        <w:rPr>
          <w:rFonts w:hint="eastAsia" w:ascii="宋体" w:hAnsi="宋体" w:eastAsia="宋体" w:cs="宋体"/>
          <w:b w:val="0"/>
          <w:bCs w:val="0"/>
          <w:color w:val="FF0000"/>
          <w:sz w:val="32"/>
          <w:szCs w:val="32"/>
          <w:lang w:eastAsia="zh-CN"/>
        </w:rPr>
        <w:t>（格式自拟）</w:t>
      </w:r>
    </w:p>
    <w:p w14:paraId="1B327F9A">
      <w:pPr>
        <w:pStyle w:val="2"/>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6.设计图评价</w:t>
      </w:r>
    </w:p>
    <w:p w14:paraId="48D8DC03">
      <w:pPr>
        <w:pStyle w:val="2"/>
        <w:jc w:val="center"/>
        <w:rPr>
          <w:rFonts w:hint="eastAsia" w:ascii="宋体" w:hAnsi="宋体" w:eastAsia="宋体" w:cs="宋体"/>
          <w:b w:val="0"/>
          <w:bCs w:val="0"/>
          <w:color w:val="FF0000"/>
          <w:sz w:val="32"/>
          <w:szCs w:val="32"/>
          <w:lang w:eastAsia="zh-CN"/>
        </w:rPr>
      </w:pPr>
      <w:r>
        <w:rPr>
          <w:rFonts w:hint="eastAsia" w:ascii="宋体" w:hAnsi="宋体" w:eastAsia="宋体" w:cs="宋体"/>
          <w:b w:val="0"/>
          <w:bCs w:val="0"/>
          <w:color w:val="FF0000"/>
          <w:sz w:val="32"/>
          <w:szCs w:val="32"/>
          <w:lang w:eastAsia="zh-CN"/>
        </w:rPr>
        <w:t>（格式自拟）</w:t>
      </w:r>
    </w:p>
    <w:p w14:paraId="24D77AFC">
      <w:pPr>
        <w:pStyle w:val="2"/>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7.</w:t>
      </w:r>
      <w:r>
        <w:rPr>
          <w:rFonts w:hint="eastAsia" w:ascii="宋体" w:hAnsi="宋体" w:eastAsia="宋体" w:cs="宋体"/>
          <w:b/>
          <w:bCs/>
          <w:kern w:val="0"/>
          <w:sz w:val="24"/>
          <w:szCs w:val="20"/>
        </w:rPr>
        <w:t>技术</w:t>
      </w:r>
      <w:r>
        <w:rPr>
          <w:rFonts w:hint="eastAsia" w:ascii="宋体" w:hAnsi="宋体" w:eastAsia="宋体" w:cs="宋体"/>
          <w:b/>
          <w:bCs/>
          <w:kern w:val="0"/>
          <w:sz w:val="24"/>
          <w:szCs w:val="20"/>
          <w:lang w:val="en-US" w:eastAsia="zh-CN"/>
        </w:rPr>
        <w:t>要求</w:t>
      </w:r>
      <w:r>
        <w:rPr>
          <w:rFonts w:hint="eastAsia" w:ascii="宋体" w:hAnsi="宋体" w:eastAsia="宋体" w:cs="宋体"/>
          <w:b/>
          <w:bCs/>
          <w:kern w:val="0"/>
          <w:sz w:val="24"/>
          <w:szCs w:val="20"/>
        </w:rPr>
        <w:t>偏离表</w:t>
      </w:r>
    </w:p>
    <w:p w14:paraId="2D29E030">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投标单位（投标人）名称：</w:t>
      </w:r>
      <w:r>
        <w:rPr>
          <w:rFonts w:hint="eastAsia" w:ascii="宋体" w:hAnsi="宋体" w:eastAsia="宋体" w:cs="宋体"/>
          <w:color w:val="000000"/>
          <w:sz w:val="24"/>
          <w:szCs w:val="24"/>
          <w:u w:val="single"/>
        </w:rPr>
        <w:t xml:space="preserve">                         </w:t>
      </w: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14:paraId="4E75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19E12019">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59" w:type="dxa"/>
            <w:tcBorders>
              <w:top w:val="double" w:color="auto" w:sz="4" w:space="0"/>
              <w:left w:val="double" w:color="auto" w:sz="4" w:space="0"/>
              <w:bottom w:val="double" w:color="auto" w:sz="4" w:space="0"/>
              <w:right w:val="double" w:color="auto" w:sz="4" w:space="0"/>
            </w:tcBorders>
            <w:vAlign w:val="center"/>
          </w:tcPr>
          <w:p w14:paraId="06D1F45C">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14:paraId="39671B8C">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14:paraId="0C8CC561">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投标技术响应</w:t>
            </w:r>
          </w:p>
        </w:tc>
        <w:tc>
          <w:tcPr>
            <w:tcW w:w="1134" w:type="dxa"/>
            <w:tcBorders>
              <w:top w:val="double" w:color="auto" w:sz="4" w:space="0"/>
              <w:left w:val="double" w:color="auto" w:sz="4" w:space="0"/>
              <w:bottom w:val="double" w:color="auto" w:sz="4" w:space="0"/>
              <w:right w:val="double" w:color="auto" w:sz="4" w:space="0"/>
            </w:tcBorders>
          </w:tcPr>
          <w:p w14:paraId="41A60066">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偏离</w:t>
            </w:r>
          </w:p>
          <w:p w14:paraId="2D8438DE">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情况</w:t>
            </w:r>
          </w:p>
        </w:tc>
        <w:tc>
          <w:tcPr>
            <w:tcW w:w="1040" w:type="dxa"/>
            <w:tcBorders>
              <w:top w:val="double" w:color="auto" w:sz="4" w:space="0"/>
              <w:left w:val="double" w:color="auto" w:sz="4" w:space="0"/>
              <w:bottom w:val="double" w:color="auto" w:sz="4" w:space="0"/>
              <w:right w:val="double" w:color="auto" w:sz="4" w:space="0"/>
            </w:tcBorders>
            <w:vAlign w:val="center"/>
          </w:tcPr>
          <w:p w14:paraId="65356EB8">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4"/>
                <w:szCs w:val="24"/>
              </w:rPr>
            </w:pPr>
            <w:r>
              <w:rPr>
                <w:rFonts w:hint="eastAsia" w:ascii="宋体" w:hAnsi="宋体" w:eastAsia="宋体" w:cs="宋体"/>
                <w:b/>
                <w:sz w:val="24"/>
                <w:szCs w:val="24"/>
              </w:rPr>
              <w:t>说明</w:t>
            </w:r>
          </w:p>
        </w:tc>
      </w:tr>
      <w:tr w14:paraId="6DEE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1EB18332">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tcBorders>
              <w:top w:val="double" w:color="auto" w:sz="4" w:space="0"/>
              <w:left w:val="double" w:color="auto" w:sz="4" w:space="0"/>
              <w:bottom w:val="double" w:color="auto" w:sz="4" w:space="0"/>
              <w:right w:val="double" w:color="auto" w:sz="4" w:space="0"/>
            </w:tcBorders>
            <w:vAlign w:val="center"/>
          </w:tcPr>
          <w:p w14:paraId="46965E14">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2220" w:type="dxa"/>
            <w:tcBorders>
              <w:top w:val="double" w:color="auto" w:sz="4" w:space="0"/>
              <w:left w:val="double" w:color="auto" w:sz="4" w:space="0"/>
              <w:bottom w:val="double" w:color="auto" w:sz="4" w:space="0"/>
              <w:right w:val="double" w:color="auto" w:sz="4" w:space="0"/>
            </w:tcBorders>
          </w:tcPr>
          <w:p w14:paraId="496F87DA">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2268" w:type="dxa"/>
            <w:tcBorders>
              <w:top w:val="double" w:color="auto" w:sz="4" w:space="0"/>
              <w:left w:val="double" w:color="auto" w:sz="4" w:space="0"/>
              <w:bottom w:val="double" w:color="auto" w:sz="4" w:space="0"/>
              <w:right w:val="double" w:color="auto" w:sz="4" w:space="0"/>
            </w:tcBorders>
          </w:tcPr>
          <w:p w14:paraId="0AFAB4D7">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1134" w:type="dxa"/>
            <w:tcBorders>
              <w:top w:val="double" w:color="auto" w:sz="4" w:space="0"/>
              <w:left w:val="double" w:color="auto" w:sz="4" w:space="0"/>
              <w:bottom w:val="double" w:color="auto" w:sz="4" w:space="0"/>
              <w:right w:val="double" w:color="auto" w:sz="4" w:space="0"/>
            </w:tcBorders>
          </w:tcPr>
          <w:p w14:paraId="135C1DBD">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1040" w:type="dxa"/>
            <w:tcBorders>
              <w:top w:val="double" w:color="auto" w:sz="4" w:space="0"/>
              <w:left w:val="double" w:color="auto" w:sz="4" w:space="0"/>
              <w:bottom w:val="double" w:color="auto" w:sz="4" w:space="0"/>
              <w:right w:val="double" w:color="auto" w:sz="4" w:space="0"/>
            </w:tcBorders>
          </w:tcPr>
          <w:p w14:paraId="4FFB8763">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r>
      <w:tr w14:paraId="0EB4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4BC5D2B8">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14:paraId="264B08BA">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2220" w:type="dxa"/>
            <w:tcBorders>
              <w:top w:val="double" w:color="auto" w:sz="4" w:space="0"/>
              <w:left w:val="double" w:color="auto" w:sz="4" w:space="0"/>
              <w:bottom w:val="double" w:color="auto" w:sz="4" w:space="0"/>
              <w:right w:val="double" w:color="auto" w:sz="4" w:space="0"/>
            </w:tcBorders>
          </w:tcPr>
          <w:p w14:paraId="04237255">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2268" w:type="dxa"/>
            <w:tcBorders>
              <w:top w:val="double" w:color="auto" w:sz="4" w:space="0"/>
              <w:left w:val="double" w:color="auto" w:sz="4" w:space="0"/>
              <w:bottom w:val="double" w:color="auto" w:sz="4" w:space="0"/>
              <w:right w:val="double" w:color="auto" w:sz="4" w:space="0"/>
            </w:tcBorders>
          </w:tcPr>
          <w:p w14:paraId="5ACF34D2">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1134" w:type="dxa"/>
            <w:tcBorders>
              <w:top w:val="double" w:color="auto" w:sz="4" w:space="0"/>
              <w:left w:val="double" w:color="auto" w:sz="4" w:space="0"/>
              <w:bottom w:val="double" w:color="auto" w:sz="4" w:space="0"/>
              <w:right w:val="double" w:color="auto" w:sz="4" w:space="0"/>
            </w:tcBorders>
          </w:tcPr>
          <w:p w14:paraId="7C7A6C01">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1040" w:type="dxa"/>
            <w:tcBorders>
              <w:top w:val="double" w:color="auto" w:sz="4" w:space="0"/>
              <w:left w:val="double" w:color="auto" w:sz="4" w:space="0"/>
              <w:bottom w:val="double" w:color="auto" w:sz="4" w:space="0"/>
              <w:right w:val="double" w:color="auto" w:sz="4" w:space="0"/>
            </w:tcBorders>
          </w:tcPr>
          <w:p w14:paraId="0FE1AE3F">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r>
      <w:tr w14:paraId="727B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14:paraId="0E96D023">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14:paraId="7F9F0C42">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2220" w:type="dxa"/>
            <w:tcBorders>
              <w:top w:val="double" w:color="auto" w:sz="4" w:space="0"/>
              <w:left w:val="double" w:color="auto" w:sz="4" w:space="0"/>
              <w:bottom w:val="double" w:color="auto" w:sz="4" w:space="0"/>
              <w:right w:val="double" w:color="auto" w:sz="4" w:space="0"/>
            </w:tcBorders>
          </w:tcPr>
          <w:p w14:paraId="25142A68">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2268" w:type="dxa"/>
            <w:tcBorders>
              <w:top w:val="double" w:color="auto" w:sz="4" w:space="0"/>
              <w:left w:val="double" w:color="auto" w:sz="4" w:space="0"/>
              <w:bottom w:val="double" w:color="auto" w:sz="4" w:space="0"/>
              <w:right w:val="double" w:color="auto" w:sz="4" w:space="0"/>
            </w:tcBorders>
          </w:tcPr>
          <w:p w14:paraId="3753042B">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1134" w:type="dxa"/>
            <w:tcBorders>
              <w:top w:val="double" w:color="auto" w:sz="4" w:space="0"/>
              <w:left w:val="double" w:color="auto" w:sz="4" w:space="0"/>
              <w:bottom w:val="double" w:color="auto" w:sz="4" w:space="0"/>
              <w:right w:val="double" w:color="auto" w:sz="4" w:space="0"/>
            </w:tcBorders>
          </w:tcPr>
          <w:p w14:paraId="246FE927">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c>
          <w:tcPr>
            <w:tcW w:w="1040" w:type="dxa"/>
            <w:tcBorders>
              <w:top w:val="double" w:color="auto" w:sz="4" w:space="0"/>
              <w:left w:val="double" w:color="auto" w:sz="4" w:space="0"/>
              <w:bottom w:val="double" w:color="auto" w:sz="4" w:space="0"/>
              <w:right w:val="double" w:color="auto" w:sz="4" w:space="0"/>
            </w:tcBorders>
          </w:tcPr>
          <w:p w14:paraId="32CDB01B">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4"/>
                <w:szCs w:val="24"/>
              </w:rPr>
            </w:pPr>
          </w:p>
        </w:tc>
      </w:tr>
    </w:tbl>
    <w:p w14:paraId="02EA7161">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sz w:val="24"/>
          <w:szCs w:val="24"/>
        </w:rPr>
      </w:pPr>
      <w:r>
        <w:rPr>
          <w:rFonts w:hint="eastAsia" w:ascii="宋体" w:hAnsi="宋体" w:eastAsia="宋体" w:cs="宋体"/>
          <w:b/>
          <w:sz w:val="24"/>
          <w:szCs w:val="24"/>
        </w:rPr>
        <w:t>填写说明：</w:t>
      </w:r>
    </w:p>
    <w:p w14:paraId="75FE8376">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sz w:val="24"/>
        </w:rPr>
        <w:t>1、技术要求偏离表的序号、货物名称、招标技术要求等栏目</w:t>
      </w:r>
      <w:bookmarkStart w:id="26" w:name="_Hlk72094407"/>
      <w:r>
        <w:rPr>
          <w:rFonts w:hint="eastAsia" w:ascii="宋体" w:hAnsi="宋体" w:eastAsia="宋体" w:cs="宋体"/>
          <w:b/>
          <w:sz w:val="24"/>
        </w:rPr>
        <w:t>对应“用户需求书”中的“技术要求</w:t>
      </w:r>
      <w:r>
        <w:rPr>
          <w:rFonts w:hint="eastAsia" w:ascii="宋体" w:hAnsi="宋体" w:eastAsia="宋体" w:cs="宋体"/>
          <w:b/>
          <w:sz w:val="24"/>
          <w:lang w:val="en-US" w:eastAsia="zh-CN"/>
        </w:rPr>
        <w:t>部分</w:t>
      </w:r>
      <w:r>
        <w:rPr>
          <w:rFonts w:hint="eastAsia" w:ascii="宋体" w:hAnsi="宋体" w:eastAsia="宋体" w:cs="宋体"/>
          <w:b/>
          <w:sz w:val="24"/>
        </w:rPr>
        <w:t>”章节</w:t>
      </w:r>
      <w:bookmarkEnd w:id="26"/>
      <w:r>
        <w:rPr>
          <w:rFonts w:hint="eastAsia" w:ascii="宋体" w:hAnsi="宋体" w:eastAsia="宋体" w:cs="宋体"/>
          <w:b/>
          <w:sz w:val="24"/>
        </w:rPr>
        <w:t>相关内容。</w:t>
      </w:r>
    </w:p>
    <w:p w14:paraId="7CB596F9">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sz w:val="24"/>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14:paraId="404BAB17">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sz w:val="24"/>
        </w:rPr>
        <w:t>3、“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14:paraId="597C5482">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sz w:val="24"/>
        </w:rPr>
        <w:t>4、未要求提供证明资料的招标技术要求，可以不提供证明资料（如实响应即可）。</w:t>
      </w:r>
    </w:p>
    <w:p w14:paraId="35080DCD">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sz w:val="24"/>
        </w:rPr>
        <w:t>5、</w:t>
      </w:r>
      <w:bookmarkStart w:id="27" w:name="_Hlk72096106"/>
      <w:r>
        <w:rPr>
          <w:rFonts w:hint="eastAsia" w:ascii="宋体" w:hAnsi="宋体" w:eastAsia="宋体" w:cs="宋体"/>
          <w:b/>
          <w:sz w:val="24"/>
        </w:rPr>
        <w:t>证明资料条款响应要求</w:t>
      </w:r>
      <w:bookmarkEnd w:id="27"/>
      <w:r>
        <w:rPr>
          <w:rFonts w:hint="eastAsia" w:ascii="宋体" w:hAnsi="宋体" w:eastAsia="宋体" w:cs="宋体"/>
          <w:b/>
          <w:sz w:val="24"/>
        </w:rPr>
        <w:t>：要求提供证明资料（且已对证明资料的形式、内容作出明确要求）进行响应的条款，应当在“说明”一栏中列明是否提供了符合要求的证明资料，以及所提供证明资料在</w:t>
      </w:r>
      <w:r>
        <w:rPr>
          <w:rFonts w:hint="eastAsia" w:ascii="宋体" w:hAnsi="宋体" w:eastAsia="宋体" w:cs="宋体"/>
          <w:b/>
          <w:sz w:val="24"/>
          <w:lang w:val="en-US" w:eastAsia="zh-CN"/>
        </w:rPr>
        <w:t>投标文件的所在节点（</w:t>
      </w:r>
      <w:r>
        <w:rPr>
          <w:rFonts w:hint="eastAsia" w:ascii="宋体" w:hAnsi="宋体" w:eastAsia="宋体" w:cs="宋体"/>
          <w:b/>
          <w:sz w:val="24"/>
        </w:rPr>
        <w:t>位置</w:t>
      </w:r>
      <w:r>
        <w:rPr>
          <w:rFonts w:hint="eastAsia" w:ascii="宋体" w:hAnsi="宋体" w:eastAsia="宋体" w:cs="宋体"/>
          <w:b/>
          <w:sz w:val="24"/>
          <w:lang w:val="en-US" w:eastAsia="zh-CN"/>
        </w:rPr>
        <w:t>）</w:t>
      </w:r>
      <w:r>
        <w:rPr>
          <w:rFonts w:hint="eastAsia" w:ascii="宋体" w:hAnsi="宋体" w:eastAsia="宋体" w:cs="宋体"/>
          <w:b/>
          <w:sz w:val="24"/>
          <w:lang w:eastAsia="zh-CN"/>
        </w:rPr>
        <w:t>，</w:t>
      </w:r>
      <w:r>
        <w:rPr>
          <w:rFonts w:hint="eastAsia" w:ascii="宋体" w:hAnsi="宋体" w:eastAsia="宋体" w:cs="宋体"/>
          <w:b/>
          <w:sz w:val="24"/>
        </w:rPr>
        <w:t>以便评审；</w:t>
      </w:r>
      <w:bookmarkStart w:id="28" w:name="_Hlk73558782"/>
      <w:r>
        <w:rPr>
          <w:rFonts w:hint="eastAsia" w:ascii="宋体" w:hAnsi="宋体" w:eastAsia="宋体" w:cs="宋体"/>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9" w:name="_Hlk73558164"/>
      <w:r>
        <w:rPr>
          <w:rFonts w:hint="eastAsia" w:ascii="宋体" w:hAnsi="宋体" w:eastAsia="宋体" w:cs="宋体"/>
          <w:b/>
          <w:sz w:val="24"/>
        </w:rPr>
        <w:t>且投标人在“偏离情况”一栏响应为“正偏离”或“无偏离”的，经评审委员会认定，将判定为负偏离。</w:t>
      </w:r>
      <w:bookmarkEnd w:id="28"/>
      <w:bookmarkEnd w:id="29"/>
    </w:p>
    <w:p w14:paraId="1F838598">
      <w:pPr>
        <w:pStyle w:val="2"/>
        <w:kinsoku/>
        <w:overflowPunct/>
        <w:topLinePunct w:val="0"/>
        <w:bidi w:val="0"/>
        <w:spacing w:beforeAutospacing="0" w:afterAutospacing="0" w:line="360" w:lineRule="auto"/>
        <w:ind w:left="0" w:leftChars="0" w:right="0" w:firstLine="0" w:firstLineChars="0"/>
        <w:rPr>
          <w:rFonts w:hint="eastAsia" w:ascii="宋体" w:hAnsi="宋体" w:eastAsia="宋体" w:cs="宋体"/>
          <w:lang w:val="en-US" w:eastAsia="zh-CN"/>
        </w:rPr>
      </w:pPr>
      <w:r>
        <w:rPr>
          <w:rFonts w:hint="eastAsia" w:ascii="宋体" w:hAnsi="宋体" w:eastAsia="宋体" w:cs="宋体"/>
          <w:b/>
          <w:sz w:val="24"/>
          <w:lang w:val="en-US" w:eastAsia="zh-CN"/>
        </w:rPr>
        <w:t>6、投标人提供的证明资料，均要求原件备查。</w:t>
      </w:r>
    </w:p>
    <w:p w14:paraId="318D6E32">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sz w:val="24"/>
          <w:lang w:val="en-US" w:eastAsia="zh-CN"/>
        </w:rPr>
        <w:t>7、</w:t>
      </w:r>
      <w:r>
        <w:rPr>
          <w:rFonts w:hint="eastAsia" w:ascii="宋体" w:hAnsi="宋体" w:eastAsia="宋体" w:cs="宋体"/>
          <w:b/>
          <w:sz w:val="24"/>
        </w:rPr>
        <w:t>评审委员会有权对投标人是否存在虚假响应予以认定，并视情况经</w:t>
      </w:r>
      <w:r>
        <w:rPr>
          <w:rFonts w:hint="eastAsia" w:ascii="宋体" w:hAnsi="宋体" w:eastAsia="宋体" w:cs="宋体"/>
          <w:b/>
          <w:sz w:val="24"/>
          <w:lang w:val="en-US" w:eastAsia="zh-CN"/>
        </w:rPr>
        <w:t>招标</w:t>
      </w:r>
      <w:r>
        <w:rPr>
          <w:rFonts w:hint="eastAsia" w:ascii="宋体" w:hAnsi="宋体" w:eastAsia="宋体" w:cs="宋体"/>
          <w:b/>
          <w:sz w:val="24"/>
        </w:rPr>
        <w:t>机构报主管部门进行处理；</w:t>
      </w:r>
    </w:p>
    <w:p w14:paraId="183006E8">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除招标文件另有注明外，投标文件其它位置如出现与本表中投标参数不一致的信息，均以本表信息为准。</w:t>
      </w:r>
    </w:p>
    <w:p w14:paraId="70AF74EA">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8.政府采购节能环保产品</w:t>
      </w:r>
    </w:p>
    <w:p w14:paraId="074452E4">
      <w:pPr>
        <w:pStyle w:val="2"/>
        <w:jc w:val="center"/>
        <w:rPr>
          <w:rFonts w:hint="eastAsia" w:ascii="宋体" w:hAnsi="宋体" w:eastAsia="宋体" w:cs="宋体"/>
          <w:b/>
          <w:bCs/>
          <w:kern w:val="0"/>
          <w:sz w:val="24"/>
          <w:szCs w:val="20"/>
          <w:lang w:val="en-US" w:eastAsia="zh-CN"/>
        </w:rPr>
      </w:pPr>
      <w:r>
        <w:rPr>
          <w:rFonts w:hint="eastAsia" w:ascii="宋体" w:hAnsi="宋体" w:eastAsia="宋体" w:cs="宋体"/>
          <w:b w:val="0"/>
          <w:bCs w:val="0"/>
          <w:color w:val="FF0000"/>
          <w:sz w:val="32"/>
          <w:szCs w:val="32"/>
          <w:lang w:eastAsia="zh-CN"/>
        </w:rPr>
        <w:t>（格式自拟）</w:t>
      </w:r>
    </w:p>
    <w:p w14:paraId="603FC0F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3"/>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9.绿色采购情况</w:t>
      </w:r>
    </w:p>
    <w:p w14:paraId="30B2C34A">
      <w:pPr>
        <w:pStyle w:val="2"/>
        <w:jc w:val="center"/>
        <w:rPr>
          <w:rFonts w:hint="eastAsia" w:ascii="宋体" w:hAnsi="宋体" w:eastAsia="宋体" w:cs="宋体"/>
          <w:lang w:val="en-US" w:eastAsia="zh-CN"/>
        </w:rPr>
      </w:pPr>
      <w:r>
        <w:rPr>
          <w:rFonts w:hint="eastAsia" w:ascii="宋体" w:hAnsi="宋体" w:eastAsia="宋体" w:cs="宋体"/>
          <w:b w:val="0"/>
          <w:bCs w:val="0"/>
          <w:color w:val="FF0000"/>
          <w:sz w:val="32"/>
          <w:szCs w:val="32"/>
          <w:lang w:eastAsia="zh-CN"/>
        </w:rPr>
        <w:t>（格式自拟）</w:t>
      </w:r>
    </w:p>
    <w:p w14:paraId="71D1289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3"/>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10.其他招标文件要求或投标人认为需要补充的内容（非公开）。</w:t>
      </w:r>
    </w:p>
    <w:p w14:paraId="70487F5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3"/>
        <w:rPr>
          <w:rFonts w:hint="eastAsia" w:ascii="宋体" w:hAnsi="宋体" w:eastAsia="宋体" w:cs="宋体"/>
          <w:b/>
          <w:bCs/>
          <w:kern w:val="0"/>
          <w:sz w:val="24"/>
          <w:szCs w:val="20"/>
        </w:rPr>
      </w:pPr>
    </w:p>
    <w:p w14:paraId="7D8BE20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0" w:firstLineChars="0"/>
        <w:jc w:val="center"/>
        <w:textAlignment w:val="auto"/>
        <w:outlineLvl w:val="3"/>
        <w:rPr>
          <w:rFonts w:hint="eastAsia" w:ascii="宋体" w:hAnsi="宋体" w:eastAsia="宋体" w:cs="宋体"/>
          <w:kern w:val="0"/>
          <w:sz w:val="24"/>
          <w:szCs w:val="20"/>
        </w:rPr>
      </w:pPr>
      <w:r>
        <w:rPr>
          <w:rFonts w:hint="eastAsia" w:ascii="宋体" w:hAnsi="宋体" w:eastAsia="宋体" w:cs="宋体"/>
          <w:b/>
          <w:bCs/>
          <w:kern w:val="0"/>
          <w:sz w:val="24"/>
          <w:szCs w:val="20"/>
        </w:rPr>
        <w:t>政府采购违法行为风险知悉确认书</w:t>
      </w:r>
    </w:p>
    <w:p w14:paraId="0AA7D07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本公司在投标前已充分知悉以下情形为参与政府采购活动时的重大风险事项，并承诺已对下述风险提示事项重点排查，做到严谨、诚信、依法依规参与政府采购活动。</w:t>
      </w:r>
    </w:p>
    <w:p w14:paraId="19A7A273">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r>
        <w:rPr>
          <w:rFonts w:hint="eastAsia" w:ascii="宋体" w:hAnsi="宋体" w:eastAsia="宋体" w:cs="宋体"/>
          <w:b/>
        </w:rPr>
        <w:t>一、本公司已充分知悉“隐瞒真实情况，提供虚假资料”的法定情形，相关情形包括但不限于：</w:t>
      </w:r>
    </w:p>
    <w:p w14:paraId="25DEF7B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（一）通过转让或者租借等方式从其他单位获取资格或者资质证书投标的。</w:t>
      </w:r>
    </w:p>
    <w:p w14:paraId="5181E18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（二）由其他单位或者其他单位负责人在投标供应商编制的投标文件上加盖印章或者签字的。</w:t>
      </w:r>
    </w:p>
    <w:p w14:paraId="0FF368F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（三）项目负责人或者主要技术人员不是本单位人员的。</w:t>
      </w:r>
    </w:p>
    <w:p w14:paraId="07EEB51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（四）投标保证金不是从投标供应商基本账户转出的。</w:t>
      </w:r>
    </w:p>
    <w:p w14:paraId="096EE4B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（五）其他隐瞒真实情况、提供虚假资料的行为。</w:t>
      </w:r>
    </w:p>
    <w:p w14:paraId="1C034C19">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r>
        <w:rPr>
          <w:rFonts w:hint="eastAsia" w:ascii="宋体" w:hAnsi="宋体" w:eastAsia="宋体" w:cs="宋体"/>
          <w:b/>
        </w:rPr>
        <w:t>二、本公司已充分知悉“与其他采购参加人串通投标”的法定情形，相关情形包括但不限于：</w:t>
      </w:r>
    </w:p>
    <w:p w14:paraId="389C495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（一）投标供应商之间相互约定给予未中标的供应商利益补偿。</w:t>
      </w:r>
    </w:p>
    <w:p w14:paraId="0D484432">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（二）不同投标供应商的法定代表人、主要经营负责人、项目投标授权代表人、项目负责人、主要技术人员为同一人、属同一单位或者在同一单位缴纳社会保险。</w:t>
      </w:r>
    </w:p>
    <w:p w14:paraId="6777FAA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（三）不同投标供应商的投标文件由同一单位或者同一人编制，或者由同一人分阶段参与编制的。</w:t>
      </w:r>
    </w:p>
    <w:p w14:paraId="3EB6F5D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（四）不同投标供应商的投标文件或部分投标文件相互混装。</w:t>
      </w:r>
    </w:p>
    <w:p w14:paraId="6DB86D04">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（五）不同投标供应商的投标文件内容存在非正常一致。</w:t>
      </w:r>
    </w:p>
    <w:p w14:paraId="76E3D47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（六）由同一单位工作人员为两家以上（含两家）供应商进行同一项投标活动的。</w:t>
      </w:r>
    </w:p>
    <w:p w14:paraId="7069C44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（七）不同投标人的投标报价呈规律性差异。</w:t>
      </w:r>
    </w:p>
    <w:p w14:paraId="5B3050A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（八）不同投标人的投标保证金从同一单位或者个人的账户转出。</w:t>
      </w:r>
    </w:p>
    <w:p w14:paraId="633E24A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（九）主管部门依照法律、法规认定的其他情形。</w:t>
      </w:r>
    </w:p>
    <w:p w14:paraId="65C3D113">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r>
        <w:rPr>
          <w:rFonts w:hint="eastAsia" w:ascii="宋体" w:hAnsi="宋体" w:eastAsia="宋体" w:cs="宋体"/>
          <w:b/>
        </w:rPr>
        <w:t>三、本公司已充分知悉下列情形所对应的法律风险，并在投标前已对相关风险事项进行排查。</w:t>
      </w:r>
    </w:p>
    <w:p w14:paraId="0B6F3F93">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r>
        <w:rPr>
          <w:rFonts w:hint="eastAsia" w:ascii="宋体" w:hAnsi="宋体" w:eastAsia="宋体" w:cs="宋体"/>
        </w:rPr>
        <w:t>（一）对于从其他主体获取的投标资料，供应商应审慎核查，确保投标资料的真实性。</w:t>
      </w:r>
      <w:r>
        <w:rPr>
          <w:rFonts w:hint="eastAsia" w:ascii="宋体" w:hAnsi="宋体" w:eastAsia="宋体" w:cs="宋体"/>
          <w:b/>
        </w:rPr>
        <w:t>如主管部门查实投标文件中存在虚假资料的，无论相关资料是否由第三方或本公司员工提供，均不影响主管部门对供应商存在“隐瞒真实情况，提供虚假资料”违法行为的认定。</w:t>
      </w:r>
    </w:p>
    <w:p w14:paraId="25BAA77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（二）对于涉及国家机关出具的公文、证件、证明材料等文件，一旦涉嫌虚假，经查实，主管部门将依法从严处理，并移送有关部门追究法律责任；涉嫌犯罪的，主管部门将一并移送司法机关追究法律责任。</w:t>
      </w:r>
    </w:p>
    <w:p w14:paraId="1AA6BBE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（三）对于涉及安全生产、特种作业、抢险救灾、防疫等政府采购项目，供应商实施提供虚假资料、串通投标等违法行为的，主管部门将依法从严处理。</w:t>
      </w:r>
    </w:p>
    <w:p w14:paraId="58F89EE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DEE2EE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7508F5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35C7A70">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r>
        <w:rPr>
          <w:rFonts w:hint="eastAsia" w:ascii="宋体" w:hAnsi="宋体" w:eastAsia="宋体" w:cs="宋体"/>
          <w:b/>
        </w:rPr>
        <w:t>四、本公司已充分知悉政府采购违法、违规行为的法律后果。</w:t>
      </w:r>
    </w:p>
    <w:p w14:paraId="7DB3714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E35C6E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3D5839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14:paraId="0D143944">
            <w:pPr>
              <w:kinsoku/>
              <w:overflowPunct/>
              <w:topLinePunct w:val="0"/>
              <w:autoSpaceDE w:val="0"/>
              <w:autoSpaceDN w:val="0"/>
              <w:bidi w:val="0"/>
              <w:spacing w:beforeAutospacing="0" w:afterAutospacing="0" w:line="360" w:lineRule="auto"/>
              <w:ind w:left="0" w:leftChars="0" w:right="0" w:firstLine="0" w:firstLineChars="0"/>
              <w:rPr>
                <w:rFonts w:hint="eastAsia" w:ascii="宋体" w:hAnsi="宋体" w:eastAsia="宋体" w:cs="宋体"/>
                <w:spacing w:val="-4"/>
                <w:kern w:val="0"/>
                <w:szCs w:val="21"/>
              </w:rPr>
            </w:pPr>
          </w:p>
        </w:tc>
      </w:tr>
      <w:tr w14:paraId="5201CA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5A6FE7D">
            <w:pPr>
              <w:kinsoku/>
              <w:overflowPunct/>
              <w:topLinePunct w:val="0"/>
              <w:autoSpaceDE w:val="0"/>
              <w:autoSpaceDN w:val="0"/>
              <w:bidi w:val="0"/>
              <w:spacing w:beforeAutospacing="0" w:afterAutospacing="0" w:line="360" w:lineRule="auto"/>
              <w:ind w:left="0" w:leftChars="0" w:right="0" w:firstLine="0" w:firstLineChars="0"/>
              <w:rPr>
                <w:rFonts w:hint="eastAsia" w:ascii="宋体" w:hAnsi="宋体" w:eastAsia="宋体" w:cs="宋体"/>
                <w:spacing w:val="-4"/>
                <w:kern w:val="0"/>
                <w:szCs w:val="21"/>
              </w:rPr>
            </w:pPr>
          </w:p>
        </w:tc>
      </w:tr>
      <w:tr w14:paraId="5A3E86F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135B851">
            <w:pPr>
              <w:kinsoku/>
              <w:overflowPunct/>
              <w:topLinePunct w:val="0"/>
              <w:autoSpaceDE w:val="0"/>
              <w:autoSpaceDN w:val="0"/>
              <w:bidi w:val="0"/>
              <w:spacing w:beforeAutospacing="0" w:afterAutospacing="0" w:line="360" w:lineRule="auto"/>
              <w:ind w:left="0" w:leftChars="0" w:right="0" w:firstLine="0" w:firstLineChars="0"/>
              <w:rPr>
                <w:rFonts w:hint="eastAsia" w:ascii="宋体" w:hAnsi="宋体" w:eastAsia="宋体" w:cs="宋体"/>
                <w:spacing w:val="-4"/>
                <w:kern w:val="0"/>
                <w:szCs w:val="21"/>
              </w:rPr>
            </w:pPr>
          </w:p>
        </w:tc>
      </w:tr>
      <w:tr w14:paraId="7198E7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43655AB4">
            <w:pPr>
              <w:kinsoku/>
              <w:overflowPunct/>
              <w:topLinePunct w:val="0"/>
              <w:autoSpaceDE w:val="0"/>
              <w:autoSpaceDN w:val="0"/>
              <w:bidi w:val="0"/>
              <w:spacing w:beforeAutospacing="0" w:afterAutospacing="0" w:line="360" w:lineRule="auto"/>
              <w:ind w:left="0" w:leftChars="0" w:right="0" w:firstLine="0" w:firstLineChars="0"/>
              <w:rPr>
                <w:rFonts w:hint="eastAsia" w:ascii="宋体" w:hAnsi="宋体" w:eastAsia="宋体" w:cs="宋体"/>
                <w:spacing w:val="-4"/>
                <w:kern w:val="0"/>
                <w:szCs w:val="21"/>
              </w:rPr>
            </w:pPr>
          </w:p>
        </w:tc>
      </w:tr>
    </w:tbl>
    <w:p w14:paraId="385EA9D3">
      <w:pPr>
        <w:widowControl/>
        <w:kinsoku/>
        <w:wordWrap w:val="0"/>
        <w:overflowPunct/>
        <w:topLinePunct w:val="0"/>
        <w:autoSpaceDE w:val="0"/>
        <w:autoSpaceDN w:val="0"/>
        <w:bidi w:val="0"/>
        <w:spacing w:beforeAutospacing="0" w:afterAutospacing="0" w:line="360" w:lineRule="auto"/>
        <w:ind w:left="0" w:leftChars="0" w:right="0" w:firstLine="0" w:firstLineChars="0"/>
        <w:jc w:val="right"/>
        <w:rPr>
          <w:rFonts w:hint="eastAsia" w:ascii="宋体" w:hAnsi="宋体" w:eastAsia="宋体" w:cs="宋体"/>
          <w:spacing w:val="-4"/>
          <w:kern w:val="0"/>
          <w:szCs w:val="21"/>
          <w:u w:val="single"/>
        </w:rPr>
      </w:pPr>
      <w:r>
        <w:rPr>
          <w:rFonts w:hint="eastAsia" w:ascii="宋体" w:hAnsi="宋体" w:eastAsia="宋体" w:cs="宋体"/>
          <w:spacing w:val="-4"/>
          <w:kern w:val="0"/>
          <w:szCs w:val="21"/>
        </w:rPr>
        <w:t>负责人/投标授权代表签名：</w:t>
      </w:r>
      <w:r>
        <w:rPr>
          <w:rFonts w:hint="eastAsia" w:ascii="宋体" w:hAnsi="宋体" w:eastAsia="宋体" w:cs="宋体"/>
          <w:spacing w:val="-4"/>
          <w:kern w:val="0"/>
          <w:szCs w:val="21"/>
          <w:u w:val="single"/>
        </w:rPr>
        <w:t xml:space="preserve">              </w:t>
      </w:r>
    </w:p>
    <w:p w14:paraId="443160C7">
      <w:pPr>
        <w:widowControl/>
        <w:kinsoku/>
        <w:wordWrap w:val="0"/>
        <w:overflowPunct/>
        <w:topLinePunct w:val="0"/>
        <w:autoSpaceDE w:val="0"/>
        <w:autoSpaceDN w:val="0"/>
        <w:bidi w:val="0"/>
        <w:spacing w:beforeAutospacing="0" w:afterAutospacing="0" w:line="360" w:lineRule="auto"/>
        <w:ind w:left="0" w:leftChars="0" w:right="0" w:firstLine="0" w:firstLineChars="0"/>
        <w:jc w:val="right"/>
        <w:rPr>
          <w:rFonts w:hint="eastAsia" w:ascii="宋体" w:hAnsi="宋体" w:eastAsia="宋体" w:cs="宋体"/>
          <w:spacing w:val="-4"/>
          <w:kern w:val="0"/>
          <w:szCs w:val="21"/>
          <w:u w:val="single"/>
        </w:rPr>
      </w:pPr>
      <w:r>
        <w:rPr>
          <w:rFonts w:hint="eastAsia" w:ascii="宋体" w:hAnsi="宋体" w:eastAsia="宋体" w:cs="宋体"/>
          <w:spacing w:val="-4"/>
          <w:kern w:val="0"/>
          <w:szCs w:val="21"/>
        </w:rPr>
        <w:t>知悉人（公章）：</w:t>
      </w:r>
      <w:r>
        <w:rPr>
          <w:rFonts w:hint="eastAsia" w:ascii="宋体" w:hAnsi="宋体" w:eastAsia="宋体" w:cs="宋体"/>
          <w:spacing w:val="-4"/>
          <w:kern w:val="0"/>
          <w:szCs w:val="21"/>
          <w:u w:val="single"/>
        </w:rPr>
        <w:t xml:space="preserve">              </w:t>
      </w:r>
    </w:p>
    <w:p w14:paraId="746B1CEE">
      <w:pPr>
        <w:widowControl/>
        <w:kinsoku/>
        <w:wordWrap w:val="0"/>
        <w:overflowPunct/>
        <w:topLinePunct w:val="0"/>
        <w:autoSpaceDE w:val="0"/>
        <w:autoSpaceDN w:val="0"/>
        <w:bidi w:val="0"/>
        <w:spacing w:beforeAutospacing="0" w:afterAutospacing="0" w:line="360" w:lineRule="auto"/>
        <w:ind w:left="0" w:leftChars="0" w:right="0" w:firstLine="0" w:firstLineChars="0"/>
        <w:jc w:val="right"/>
        <w:rPr>
          <w:rFonts w:hint="eastAsia" w:ascii="宋体" w:hAnsi="宋体" w:eastAsia="宋体" w:cs="宋体"/>
          <w:spacing w:val="-4"/>
          <w:kern w:val="0"/>
          <w:szCs w:val="21"/>
          <w:u w:val="single"/>
        </w:rPr>
      </w:pPr>
      <w:r>
        <w:rPr>
          <w:rFonts w:hint="eastAsia" w:ascii="宋体" w:hAnsi="宋体" w:eastAsia="宋体" w:cs="宋体"/>
          <w:spacing w:val="-4"/>
          <w:kern w:val="0"/>
          <w:szCs w:val="21"/>
        </w:rPr>
        <w:t xml:space="preserve">     日期：</w:t>
      </w:r>
      <w:r>
        <w:rPr>
          <w:rFonts w:hint="eastAsia" w:ascii="宋体" w:hAnsi="宋体" w:eastAsia="宋体" w:cs="宋体"/>
          <w:spacing w:val="-4"/>
          <w:kern w:val="0"/>
          <w:szCs w:val="21"/>
          <w:u w:val="single"/>
        </w:rPr>
        <w:t xml:space="preserve">              </w:t>
      </w:r>
    </w:p>
    <w:p w14:paraId="30112D24">
      <w:pPr>
        <w:widowControl/>
        <w:kinsoku/>
        <w:wordWrap w:val="0"/>
        <w:overflowPunct/>
        <w:topLinePunct w:val="0"/>
        <w:autoSpaceDE w:val="0"/>
        <w:autoSpaceDN w:val="0"/>
        <w:bidi w:val="0"/>
        <w:spacing w:beforeAutospacing="0" w:afterAutospacing="0" w:line="360" w:lineRule="auto"/>
        <w:ind w:left="0" w:leftChars="0" w:right="0" w:firstLine="0" w:firstLineChars="0"/>
        <w:jc w:val="right"/>
        <w:rPr>
          <w:rFonts w:hint="eastAsia" w:ascii="宋体" w:hAnsi="宋体" w:eastAsia="宋体" w:cs="宋体"/>
          <w:spacing w:val="-4"/>
          <w:kern w:val="0"/>
          <w:szCs w:val="21"/>
        </w:rPr>
      </w:pPr>
      <w:r>
        <w:rPr>
          <w:rFonts w:hint="eastAsia" w:ascii="宋体" w:hAnsi="宋体" w:eastAsia="宋体" w:cs="宋体"/>
          <w:spacing w:val="-4"/>
          <w:kern w:val="0"/>
          <w:szCs w:val="21"/>
        </w:rPr>
        <w:t xml:space="preserve">     </w:t>
      </w:r>
    </w:p>
    <w:p w14:paraId="025234FB">
      <w:pPr>
        <w:widowControl/>
        <w:kinsoku/>
        <w:overflowPunct/>
        <w:topLinePunct w:val="0"/>
        <w:autoSpaceDE w:val="0"/>
        <w:autoSpaceDN w:val="0"/>
        <w:bidi w:val="0"/>
        <w:spacing w:beforeAutospacing="0" w:afterAutospacing="0" w:line="360" w:lineRule="auto"/>
        <w:ind w:left="0" w:leftChars="0" w:right="0" w:firstLine="0" w:firstLineChars="0"/>
        <w:jc w:val="left"/>
        <w:rPr>
          <w:rFonts w:hint="eastAsia" w:ascii="宋体" w:hAnsi="宋体" w:eastAsia="宋体" w:cs="宋体"/>
          <w:b/>
          <w:bCs/>
          <w:color w:val="FF0000"/>
          <w:spacing w:val="-4"/>
          <w:kern w:val="0"/>
          <w:szCs w:val="21"/>
        </w:rPr>
      </w:pPr>
      <w:r>
        <w:rPr>
          <w:rFonts w:hint="eastAsia" w:ascii="宋体" w:hAnsi="宋体" w:eastAsia="宋体" w:cs="宋体"/>
          <w:b/>
          <w:bCs/>
          <w:color w:val="FF0000"/>
          <w:spacing w:val="-4"/>
          <w:kern w:val="0"/>
          <w:szCs w:val="21"/>
        </w:rPr>
        <w:t>注：</w:t>
      </w:r>
    </w:p>
    <w:p w14:paraId="0C5916C7">
      <w:pPr>
        <w:widowControl/>
        <w:kinsoku/>
        <w:overflowPunct/>
        <w:topLinePunct w:val="0"/>
        <w:autoSpaceDE w:val="0"/>
        <w:autoSpaceDN w:val="0"/>
        <w:bidi w:val="0"/>
        <w:spacing w:beforeAutospacing="0" w:afterAutospacing="0" w:line="360" w:lineRule="auto"/>
        <w:ind w:left="0" w:leftChars="0" w:right="0" w:firstLine="0" w:firstLineChars="0"/>
        <w:jc w:val="left"/>
        <w:rPr>
          <w:rFonts w:hint="eastAsia" w:ascii="宋体" w:hAnsi="宋体" w:eastAsia="宋体" w:cs="宋体"/>
          <w:b/>
          <w:bCs/>
          <w:color w:val="FF0000"/>
          <w:spacing w:val="-4"/>
          <w:kern w:val="0"/>
          <w:szCs w:val="21"/>
        </w:rPr>
      </w:pPr>
      <w:r>
        <w:rPr>
          <w:rFonts w:hint="eastAsia" w:ascii="宋体" w:hAnsi="宋体" w:eastAsia="宋体" w:cs="宋体"/>
          <w:b/>
          <w:bCs/>
          <w:color w:val="FF0000"/>
          <w:spacing w:val="-4"/>
          <w:kern w:val="0"/>
          <w:szCs w:val="21"/>
        </w:rPr>
        <w:t>1.</w:t>
      </w:r>
      <w:r>
        <w:rPr>
          <w:rFonts w:hint="eastAsia" w:ascii="宋体" w:hAnsi="宋体" w:eastAsia="宋体" w:cs="宋体"/>
        </w:rPr>
        <w:t xml:space="preserve"> </w:t>
      </w:r>
      <w:r>
        <w:rPr>
          <w:rFonts w:hint="eastAsia" w:ascii="宋体" w:hAnsi="宋体" w:eastAsia="宋体" w:cs="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0DE3B31D">
      <w:pPr>
        <w:widowControl/>
        <w:kinsoku/>
        <w:overflowPunct/>
        <w:topLinePunct w:val="0"/>
        <w:autoSpaceDE w:val="0"/>
        <w:autoSpaceDN w:val="0"/>
        <w:bidi w:val="0"/>
        <w:spacing w:beforeAutospacing="0" w:afterAutospacing="0" w:line="360" w:lineRule="auto"/>
        <w:ind w:left="0" w:leftChars="0" w:right="0" w:firstLine="0" w:firstLineChars="0"/>
        <w:jc w:val="left"/>
        <w:rPr>
          <w:rFonts w:hint="eastAsia" w:ascii="宋体" w:hAnsi="宋体" w:eastAsia="宋体" w:cs="宋体"/>
          <w:color w:val="FF0000"/>
          <w:spacing w:val="-4"/>
          <w:kern w:val="0"/>
          <w:szCs w:val="21"/>
        </w:rPr>
      </w:pPr>
      <w:r>
        <w:rPr>
          <w:rFonts w:hint="eastAsia" w:ascii="宋体" w:hAnsi="宋体" w:eastAsia="宋体" w:cs="宋体"/>
          <w:b/>
          <w:bCs/>
          <w:color w:val="FF0000"/>
          <w:spacing w:val="-4"/>
          <w:kern w:val="0"/>
          <w:szCs w:val="21"/>
        </w:rPr>
        <w:t>2.投标供应商负责人或投标授权代表签字</w:t>
      </w:r>
      <w:r>
        <w:rPr>
          <w:rFonts w:hint="eastAsia" w:ascii="宋体" w:hAnsi="宋体" w:eastAsia="宋体" w:cs="宋体"/>
          <w:b/>
          <w:bCs/>
          <w:color w:val="FF0000"/>
          <w:spacing w:val="-4"/>
          <w:kern w:val="0"/>
          <w:szCs w:val="21"/>
          <w:highlight w:val="yellow"/>
        </w:rPr>
        <w:t>并加盖单位公章</w:t>
      </w:r>
      <w:r>
        <w:rPr>
          <w:rFonts w:hint="eastAsia" w:ascii="宋体" w:hAnsi="宋体" w:eastAsia="宋体" w:cs="宋体"/>
          <w:b/>
          <w:bCs/>
          <w:color w:val="FF0000"/>
          <w:spacing w:val="-4"/>
          <w:kern w:val="0"/>
          <w:szCs w:val="21"/>
        </w:rPr>
        <w:t>后，扫描上传至投标文件一并提交。</w:t>
      </w:r>
    </w:p>
    <w:p w14:paraId="494F7E66">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p w14:paraId="7BEF8CA7">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szCs w:val="24"/>
        </w:rPr>
      </w:pPr>
    </w:p>
    <w:p w14:paraId="53BF4921">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14:paraId="269CB02E">
      <w:pPr>
        <w:keepNext/>
        <w:keepLines/>
        <w:kinsoku/>
        <w:overflowPunct/>
        <w:topLinePunct w:val="0"/>
        <w:bidi w:val="0"/>
        <w:adjustRightInd w:val="0"/>
        <w:spacing w:beforeAutospacing="0" w:afterAutospacing="0" w:line="360" w:lineRule="auto"/>
        <w:ind w:left="0" w:leftChars="0" w:right="0" w:firstLine="0" w:firstLineChars="0"/>
        <w:jc w:val="center"/>
        <w:textAlignment w:val="baseline"/>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第五章  合同条款及格式</w:t>
      </w:r>
    </w:p>
    <w:p w14:paraId="126DE120">
      <w:pPr>
        <w:widowControl/>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Cs/>
          <w:kern w:val="44"/>
          <w:sz w:val="28"/>
          <w:szCs w:val="44"/>
        </w:rPr>
      </w:pPr>
      <w:bookmarkStart w:id="30" w:name="_Hlk72574405"/>
      <w:r>
        <w:rPr>
          <w:rFonts w:hint="eastAsia" w:ascii="宋体" w:hAnsi="宋体" w:eastAsia="宋体" w:cs="宋体"/>
          <w:b/>
          <w:sz w:val="24"/>
        </w:rPr>
        <w:t>（仅供参考，具体以项目需求及采购结果为准）</w:t>
      </w:r>
      <w:bookmarkEnd w:id="30"/>
    </w:p>
    <w:p w14:paraId="1B131325">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 w:val="28"/>
          <w:szCs w:val="28"/>
        </w:rPr>
      </w:pPr>
    </w:p>
    <w:p w14:paraId="162FF819">
      <w:pPr>
        <w:widowControl w:val="0"/>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2791C3FC">
      <w:pPr>
        <w:widowControl w:val="0"/>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77CC89A0">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pacing w:val="-20"/>
          <w:kern w:val="44"/>
          <w:sz w:val="40"/>
          <w:szCs w:val="40"/>
        </w:rPr>
      </w:pPr>
    </w:p>
    <w:p w14:paraId="684A6A52">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pacing w:val="-20"/>
          <w:kern w:val="44"/>
          <w:sz w:val="40"/>
          <w:szCs w:val="40"/>
        </w:rPr>
      </w:pPr>
    </w:p>
    <w:p w14:paraId="2ECD05A6">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pacing w:val="-20"/>
          <w:kern w:val="44"/>
          <w:sz w:val="40"/>
          <w:szCs w:val="40"/>
        </w:rPr>
      </w:pPr>
    </w:p>
    <w:p w14:paraId="2D604193">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rPr>
      </w:pPr>
      <w:r>
        <w:rPr>
          <w:rFonts w:hint="eastAsia" w:ascii="宋体" w:hAnsi="宋体" w:eastAsia="宋体" w:cs="宋体"/>
          <w:kern w:val="0"/>
          <w:sz w:val="32"/>
          <w:szCs w:val="32"/>
        </w:rPr>
        <w:t>项目名称：</w:t>
      </w:r>
      <w:r>
        <w:rPr>
          <w:rFonts w:hint="eastAsia" w:ascii="宋体" w:hAnsi="宋体" w:eastAsia="宋体" w:cs="宋体"/>
          <w:sz w:val="32"/>
          <w:szCs w:val="32"/>
          <w:u w:val="single"/>
        </w:rPr>
        <w:t xml:space="preserve">                             </w:t>
      </w:r>
    </w:p>
    <w:p w14:paraId="4762FA2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u w:val="single"/>
        </w:rPr>
      </w:pPr>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14:paraId="54700562">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 xml:space="preserve">                             </w:t>
      </w:r>
    </w:p>
    <w:p w14:paraId="3D1E5E98">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eastAsia="宋体" w:cs="宋体"/>
          <w:sz w:val="32"/>
          <w:szCs w:val="32"/>
          <w:u w:val="single"/>
        </w:rPr>
        <w:t xml:space="preserve">                             </w:t>
      </w:r>
    </w:p>
    <w:p w14:paraId="59AD729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eastAsia="宋体" w:cs="宋体"/>
          <w:sz w:val="32"/>
          <w:szCs w:val="32"/>
          <w:u w:val="single"/>
        </w:rPr>
        <w:t xml:space="preserve">                             </w:t>
      </w:r>
    </w:p>
    <w:p w14:paraId="49EF8117">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03B6662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44"/>
          <w:szCs w:val="44"/>
        </w:rPr>
      </w:pPr>
      <w:r>
        <w:rPr>
          <w:rFonts w:hint="eastAsia" w:ascii="宋体" w:hAnsi="宋体" w:eastAsia="宋体" w:cs="宋体"/>
          <w:sz w:val="44"/>
          <w:szCs w:val="44"/>
        </w:rPr>
        <w:br w:type="page"/>
      </w:r>
    </w:p>
    <w:p w14:paraId="51F8D23F">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44"/>
          <w:szCs w:val="44"/>
        </w:rPr>
      </w:pPr>
    </w:p>
    <w:p w14:paraId="23DC73E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44"/>
          <w:szCs w:val="44"/>
        </w:rPr>
      </w:pPr>
    </w:p>
    <w:p w14:paraId="38C6545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说</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明</w:t>
      </w:r>
    </w:p>
    <w:p w14:paraId="27EECBE3">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lang w:val="en-US" w:eastAsia="zh-CN"/>
        </w:rPr>
      </w:pPr>
    </w:p>
    <w:p w14:paraId="77BFEF09">
      <w:pPr>
        <w:numPr>
          <w:ilvl w:val="0"/>
          <w:numId w:val="0"/>
        </w:num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1.本合同标准文本适用于购买现成货物的采购项目，不包括需要供应商定制开发、创新研发的货物采购项目。</w:t>
      </w:r>
    </w:p>
    <w:p w14:paraId="717BE38F">
      <w:pPr>
        <w:numPr>
          <w:ilvl w:val="0"/>
          <w:numId w:val="0"/>
        </w:numPr>
        <w:kinsoku/>
        <w:overflowPunct/>
        <w:topLinePunct w:val="0"/>
        <w:bidi w:val="0"/>
        <w:spacing w:beforeAutospacing="0" w:afterAutospacing="0" w:line="360" w:lineRule="auto"/>
        <w:ind w:left="0" w:leftChars="0" w:right="0" w:firstLine="0" w:firstLineChars="0"/>
        <w:rPr>
          <w:rFonts w:hint="eastAsia" w:ascii="宋体" w:hAnsi="宋体" w:eastAsia="宋体" w:cs="宋体"/>
          <w:sz w:val="44"/>
          <w:szCs w:val="44"/>
          <w:lang w:val="en-US" w:eastAsia="zh-CN"/>
        </w:rPr>
      </w:pPr>
      <w:r>
        <w:rPr>
          <w:rFonts w:hint="eastAsia" w:ascii="宋体" w:hAnsi="宋体" w:eastAsia="宋体" w:cs="宋体"/>
          <w:sz w:val="32"/>
          <w:szCs w:val="32"/>
          <w:lang w:val="en-US" w:eastAsia="zh-CN"/>
        </w:rPr>
        <w:t>2.本合同标准文本为政府采购货物买卖合同编制提供参考，可以结合采购项目具体情况，对文本作必要的调整修订后使用。</w:t>
      </w:r>
    </w:p>
    <w:p w14:paraId="388AE39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3.本合同标准文本各条款中，如涉及填写多家供应商、制造商，多种采购标的、分包主要内容等信息的，可根据采购项目具体情况添加信息项。</w:t>
      </w:r>
    </w:p>
    <w:p w14:paraId="4B5BA5B3">
      <w:pPr>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2D028E6">
      <w:pPr>
        <w:keepNext/>
        <w:keepLines/>
        <w:widowControl w:val="0"/>
        <w:kinsoku/>
        <w:overflowPunct/>
        <w:topLinePunct w:val="0"/>
        <w:bidi w:val="0"/>
        <w:adjustRightInd w:val="0"/>
        <w:snapToGrid w:val="0"/>
        <w:spacing w:beforeAutospacing="0" w:afterAutospacing="0" w:line="360" w:lineRule="auto"/>
        <w:ind w:left="0" w:leftChars="0" w:right="0" w:firstLine="0" w:firstLineChars="0"/>
        <w:jc w:val="center"/>
        <w:outlineLvl w:val="1"/>
        <w:rPr>
          <w:rFonts w:hint="eastAsia" w:ascii="宋体" w:hAnsi="宋体" w:eastAsia="宋体" w:cs="宋体"/>
          <w:b/>
          <w:bCs/>
          <w:kern w:val="2"/>
          <w:sz w:val="28"/>
          <w:szCs w:val="28"/>
          <w:lang w:val="en-US" w:eastAsia="zh-CN" w:bidi="ar-SA"/>
        </w:rPr>
      </w:pPr>
      <w:bookmarkStart w:id="31" w:name="_Toc22209"/>
    </w:p>
    <w:p w14:paraId="64B8B731">
      <w:pPr>
        <w:keepNext/>
        <w:keepLines/>
        <w:widowControl w:val="0"/>
        <w:kinsoku/>
        <w:overflowPunct/>
        <w:topLinePunct w:val="0"/>
        <w:bidi w:val="0"/>
        <w:adjustRightInd w:val="0"/>
        <w:snapToGrid w:val="0"/>
        <w:spacing w:beforeAutospacing="0" w:afterAutospacing="0" w:line="360" w:lineRule="auto"/>
        <w:ind w:left="0" w:leftChars="0" w:right="0" w:firstLine="0" w:firstLineChars="0"/>
        <w:jc w:val="center"/>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第一节 政府采购合同协议书</w:t>
      </w:r>
      <w:bookmarkEnd w:id="31"/>
    </w:p>
    <w:p w14:paraId="0853FA5A">
      <w:pPr>
        <w:keepNext/>
        <w:keepLines/>
        <w:widowControl w:val="0"/>
        <w:kinsoku/>
        <w:overflowPunct/>
        <w:topLinePunct w:val="0"/>
        <w:bidi w:val="0"/>
        <w:adjustRightInd w:val="0"/>
        <w:snapToGrid w:val="0"/>
        <w:spacing w:beforeAutospacing="0" w:afterAutospacing="0" w:line="360" w:lineRule="auto"/>
        <w:ind w:left="0" w:leftChars="0" w:right="0" w:firstLine="0" w:firstLineChars="0"/>
        <w:jc w:val="center"/>
        <w:outlineLvl w:val="1"/>
        <w:rPr>
          <w:rFonts w:hint="eastAsia" w:ascii="宋体" w:hAnsi="宋体" w:eastAsia="宋体" w:cs="宋体"/>
          <w:b w:val="0"/>
          <w:bCs w:val="0"/>
          <w:kern w:val="2"/>
          <w:sz w:val="28"/>
          <w:szCs w:val="28"/>
          <w:lang w:val="en-US" w:eastAsia="zh-CN" w:bidi="ar-SA"/>
        </w:rPr>
      </w:pPr>
    </w:p>
    <w:p w14:paraId="32FF047D">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rPr>
        <w:t>文件约定的合同甲方）</w:t>
      </w:r>
    </w:p>
    <w:p w14:paraId="234F8033">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14:paraId="4D708074">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4C24D137">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0F446550">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val="en-US" w:eastAsia="zh-CN"/>
        </w:rPr>
      </w:pPr>
    </w:p>
    <w:p w14:paraId="01264DC3">
      <w:pPr>
        <w:widowControl w:val="0"/>
        <w:kinsoku/>
        <w:overflowPunct/>
        <w:topLinePunct w:val="0"/>
        <w:bidi w:val="0"/>
        <w:adjustRightInd w:val="0"/>
        <w:snapToGrid w:val="0"/>
        <w:spacing w:beforeAutospacing="0" w:afterAutospacing="0" w:line="360" w:lineRule="auto"/>
        <w:ind w:left="0" w:leftChars="0" w:righ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宋体"/>
          <w:i w:val="0"/>
          <w:iCs w:val="0"/>
          <w:kern w:val="2"/>
          <w:sz w:val="21"/>
          <w:szCs w:val="21"/>
          <w:u w:val="none"/>
          <w:lang w:val="en-US" w:eastAsia="zh-CN" w:bidi="ar-SA"/>
        </w:rPr>
        <w:t>本采购项目</w:t>
      </w:r>
      <w:r>
        <w:rPr>
          <w:rFonts w:hint="eastAsia" w:ascii="宋体" w:hAnsi="宋体" w:eastAsia="宋体" w:cs="宋体"/>
          <w:kern w:val="2"/>
          <w:sz w:val="21"/>
          <w:szCs w:val="21"/>
          <w:lang w:val="en-US" w:eastAsia="zh-CN" w:bidi="ar-SA"/>
        </w:rPr>
        <w:t xml:space="preserve">的招标文件等采购文件、乙方的《投标（响应）文件》及《中标（成交）通知书》，甲乙双方同意签订本合同。具体情况及要求如下：     </w:t>
      </w:r>
    </w:p>
    <w:p w14:paraId="51B999E1">
      <w:pPr>
        <w:numPr>
          <w:ilvl w:val="0"/>
          <w:numId w:val="1"/>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项目信息</w:t>
      </w:r>
    </w:p>
    <w:p w14:paraId="49C343ED">
      <w:pPr>
        <w:widowControl w:val="0"/>
        <w:numPr>
          <w:ilvl w:val="0"/>
          <w:numId w:val="2"/>
        </w:numPr>
        <w:kinsoku/>
        <w:overflowPunct/>
        <w:topLinePunct w:val="0"/>
        <w:bidi w:val="0"/>
        <w:adjustRightInd w:val="0"/>
        <w:snapToGrid w:val="0"/>
        <w:spacing w:beforeAutospacing="0" w:afterAutospacing="0" w:line="360" w:lineRule="auto"/>
        <w:ind w:left="0" w:leftChars="0" w:right="0" w:firstLine="0" w:firstLineChars="0"/>
        <w:jc w:val="both"/>
        <w:rPr>
          <w:rFonts w:hint="eastAsia"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采购项目名称：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1C7D0C2F">
      <w:pPr>
        <w:widowControl w:val="0"/>
        <w:numPr>
          <w:ilvl w:val="-1"/>
          <w:numId w:val="0"/>
        </w:numPr>
        <w:tabs>
          <w:tab w:val="left" w:pos="999"/>
        </w:tabs>
        <w:kinsoku/>
        <w:overflowPunct/>
        <w:topLinePunct w:val="0"/>
        <w:bidi w:val="0"/>
        <w:adjustRightInd w:val="0"/>
        <w:snapToGrid w:val="0"/>
        <w:spacing w:beforeAutospacing="0" w:afterAutospacing="0" w:line="360" w:lineRule="auto"/>
        <w:ind w:left="0" w:leftChars="0" w:right="0" w:firstLine="0" w:firstLineChars="0"/>
        <w:jc w:val="both"/>
        <w:rPr>
          <w:rFonts w:hint="eastAsia" w:ascii="宋体" w:hAnsi="宋体" w:eastAsia="宋体" w:cs="宋体"/>
          <w:kern w:val="2"/>
          <w:sz w:val="21"/>
          <w:szCs w:val="21"/>
          <w:u w:val="none"/>
          <w:lang w:val="en-US" w:eastAsia="zh-CN" w:bidi="ar-SA"/>
        </w:rPr>
      </w:pPr>
      <w:r>
        <w:rPr>
          <w:rFonts w:hint="eastAsia" w:ascii="宋体" w:hAnsi="宋体" w:eastAsia="宋体" w:cs="宋体"/>
          <w:kern w:val="2"/>
          <w:sz w:val="21"/>
          <w:szCs w:val="21"/>
          <w:u w:val="none"/>
          <w:lang w:val="en-US" w:eastAsia="zh-CN" w:bidi="ar-SA"/>
        </w:rPr>
        <w:t xml:space="preserve">         采购项目编号：</w:t>
      </w:r>
      <w:r>
        <w:rPr>
          <w:rFonts w:hint="eastAsia" w:ascii="宋体" w:hAnsi="宋体" w:eastAsia="宋体" w:cs="宋体"/>
          <w:kern w:val="2"/>
          <w:sz w:val="21"/>
          <w:szCs w:val="21"/>
          <w:u w:val="single"/>
          <w:lang w:val="en-US" w:eastAsia="zh-CN" w:bidi="ar-SA"/>
        </w:rPr>
        <w:t xml:space="preserve">                                          </w:t>
      </w:r>
    </w:p>
    <w:p w14:paraId="151010B6">
      <w:pPr>
        <w:widowControl w:val="0"/>
        <w:kinsoku/>
        <w:overflowPunct/>
        <w:topLinePunct w:val="0"/>
        <w:bidi w:val="0"/>
        <w:adjustRightInd w:val="0"/>
        <w:snapToGrid w:val="0"/>
        <w:spacing w:beforeAutospacing="0" w:afterAutospacing="0" w:line="360" w:lineRule="auto"/>
        <w:ind w:left="0" w:leftChars="0" w:righ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（2）采购计划编号：</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w:t>
      </w:r>
    </w:p>
    <w:p w14:paraId="1BFC8F93">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（3）项目内容：</w:t>
      </w:r>
    </w:p>
    <w:p w14:paraId="3717148E">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46431E86">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14:paraId="755A61DE">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28745C6B">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14:paraId="39DFD1ED">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33324DE2">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6A878C3A">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512B85A9">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6DF9D55F">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25E5C27">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②涉及车辆采购，请填写是否属于新能源汽车：</w:t>
      </w:r>
    </w:p>
    <w:p w14:paraId="3335E6D1">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70C82EE3">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7802ACDE">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14:paraId="73B4676D">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eastAsia"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宋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44AD2062">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00603671">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w w:val="100"/>
          <w:kern w:val="2"/>
          <w:sz w:val="21"/>
          <w:szCs w:val="21"/>
          <w:lang w:val="en-US" w:eastAsia="zh-CN" w:bidi="ar-SA"/>
        </w:rPr>
      </w:pPr>
      <w:r>
        <w:rPr>
          <w:rFonts w:hint="eastAsia" w:ascii="宋体" w:hAnsi="宋体" w:eastAsia="宋体" w:cs="宋体"/>
          <w:sz w:val="22"/>
          <w:szCs w:val="21"/>
          <w:lang w:val="en-US" w:eastAsia="zh-CN" w:bidi="ar-SA"/>
        </w:rPr>
        <w:t xml:space="preserve"> （</w:t>
      </w:r>
      <w:r>
        <w:rPr>
          <w:rFonts w:hint="eastAsia" w:ascii="宋体" w:hAnsi="宋体" w:eastAsia="宋体" w:cs="宋体"/>
          <w:sz w:val="22"/>
          <w:szCs w:val="21"/>
          <w:lang w:val="en" w:eastAsia="zh-CN" w:bidi="ar-SA"/>
        </w:rPr>
        <w:t>6</w:t>
      </w:r>
      <w:r>
        <w:rPr>
          <w:rFonts w:hint="eastAsia" w:ascii="宋体" w:hAnsi="宋体" w:eastAsia="宋体" w:cs="宋体"/>
          <w:sz w:val="22"/>
          <w:szCs w:val="21"/>
          <w:lang w:val="en-US" w:eastAsia="zh-CN" w:bidi="ar-SA"/>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775842CF">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14:paraId="4CA6B3AB">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D68CE41">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506EA7CE">
      <w:pPr>
        <w:numPr>
          <w:ilvl w:val="0"/>
          <w:numId w:val="0"/>
        </w:num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66323E96">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6B43FD07">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7B6ED2C">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3C745836">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13191174">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14:paraId="6EC234F8">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14:paraId="2FDB14FA">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14:paraId="50B849ED">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651AD6C3">
      <w:pPr>
        <w:tabs>
          <w:tab w:val="left" w:pos="1340"/>
        </w:tabs>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05459C2F">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1FB75CF">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6D429BDC">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14:paraId="1E4D5F00">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14:paraId="7357EA2D">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2F240DE2">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1ABCB67F">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0789FEC">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52BA38B8">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76722D59">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37AE23F7">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7376A2F3">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3A8CBB6E">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kern w:val="2"/>
          <w:sz w:val="21"/>
          <w:szCs w:val="21"/>
          <w:u w:val="none"/>
          <w:lang w:val="en-US" w:eastAsia="zh-CN" w:bidi="ar-SA"/>
        </w:rPr>
      </w:pPr>
      <w:r>
        <w:rPr>
          <w:rFonts w:hint="eastAsia" w:ascii="宋体" w:hAnsi="宋体" w:eastAsia="宋体" w:cs="宋体"/>
          <w:b w:val="0"/>
          <w:bCs w:val="0"/>
          <w:sz w:val="21"/>
          <w:szCs w:val="21"/>
          <w:u w:val="none"/>
          <w:lang w:val="en-US" w:eastAsia="zh-CN" w:bidi="ar-SA"/>
        </w:rPr>
        <w:t xml:space="preserve">          </w:t>
      </w:r>
      <w:r>
        <w:rPr>
          <w:rFonts w:hint="eastAsia" w:ascii="宋体" w:hAnsi="宋体" w:eastAsia="宋体" w:cs="宋体"/>
          <w:b w:val="0"/>
          <w:bCs w:val="0"/>
          <w:kern w:val="2"/>
          <w:sz w:val="21"/>
          <w:szCs w:val="21"/>
          <w:u w:val="none"/>
          <w:lang w:val="en-US" w:eastAsia="zh-CN" w:bidi="ar-SA"/>
        </w:rPr>
        <w:t>是否涉及绿色产品：</w:t>
      </w:r>
      <w:r>
        <w:rPr>
          <w:rFonts w:hint="eastAsia" w:ascii="宋体" w:hAnsi="宋体" w:eastAsia="宋体" w:cs="宋体"/>
          <w:iCs w:val="0"/>
          <w:kern w:val="2"/>
          <w:sz w:val="21"/>
          <w:szCs w:val="21"/>
          <w:u w:val="none"/>
          <w:lang w:val="en-US" w:eastAsia="zh-CN" w:bidi="ar-SA"/>
        </w:rPr>
        <w:t xml:space="preserve"> </w:t>
      </w:r>
    </w:p>
    <w:p w14:paraId="38DC9459">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2"/>
          <w:szCs w:val="21"/>
          <w:u w:val="single"/>
          <w:lang w:val="en-US" w:eastAsia="zh-CN" w:bidi="ar-SA"/>
        </w:rPr>
      </w:pPr>
      <w:r>
        <w:rPr>
          <w:rFonts w:hint="eastAsia" w:ascii="宋体" w:hAnsi="宋体" w:eastAsia="宋体" w:cs="宋体"/>
          <w:iCs w:val="0"/>
          <w:kern w:val="2"/>
          <w:sz w:val="21"/>
          <w:szCs w:val="21"/>
          <w:u w:val="none"/>
          <w:lang w:val="en-US" w:eastAsia="zh-CN" w:bidi="ar-SA"/>
        </w:rPr>
        <w:t xml:space="preserve">     </w:t>
      </w:r>
      <w:r>
        <w:rPr>
          <w:rFonts w:hint="eastAsia" w:ascii="宋体" w:hAnsi="宋体" w:eastAsia="宋体" w:cs="宋体"/>
          <w:iCs w:val="0"/>
          <w:kern w:val="2"/>
          <w:sz w:val="21"/>
          <w:szCs w:val="21"/>
          <w:u w:val="none"/>
          <w:lang w:val="en-US" w:eastAsia="zh-CN" w:bidi="ar-SA"/>
        </w:rPr>
        <w:sym w:font="Wingdings" w:char="00A8"/>
      </w:r>
      <w:r>
        <w:rPr>
          <w:rFonts w:hint="eastAsia" w:ascii="宋体" w:hAnsi="宋体" w:eastAsia="宋体" w:cs="宋体"/>
          <w:iCs w:val="0"/>
          <w:kern w:val="2"/>
          <w:sz w:val="21"/>
          <w:szCs w:val="21"/>
          <w:u w:val="none"/>
          <w:lang w:val="en-US" w:eastAsia="zh-CN" w:bidi="ar-SA"/>
        </w:rPr>
        <w:t>是，绿色产品政府采购相关政策确定的底级品目名称：</w:t>
      </w:r>
      <w:r>
        <w:rPr>
          <w:rFonts w:hint="eastAsia" w:ascii="宋体" w:hAnsi="宋体" w:eastAsia="宋体" w:cs="宋体"/>
          <w:sz w:val="22"/>
          <w:szCs w:val="21"/>
          <w:u w:val="single"/>
          <w:lang w:val="en-US" w:eastAsia="zh-CN" w:bidi="ar-SA"/>
        </w:rPr>
        <w:t xml:space="preserve">         </w:t>
      </w:r>
    </w:p>
    <w:p w14:paraId="5135E382">
      <w:pPr>
        <w:numPr>
          <w:ilvl w:val="-1"/>
          <w:numId w:val="0"/>
        </w:numPr>
        <w:tabs>
          <w:tab w:val="left" w:pos="740"/>
        </w:tabs>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19418CD9">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val="0"/>
          <w:bCs w:val="0"/>
          <w:sz w:val="21"/>
          <w:szCs w:val="21"/>
          <w:u w:val="none"/>
          <w:lang w:val="en-US" w:eastAsia="zh-CN" w:bidi="ar-SA"/>
        </w:rPr>
      </w:pPr>
      <w:r>
        <w:rPr>
          <w:rFonts w:hint="eastAsia" w:ascii="宋体" w:hAnsi="宋体" w:eastAsia="宋体" w:cs="宋体"/>
          <w:iCs w:val="0"/>
          <w:kern w:val="2"/>
          <w:sz w:val="21"/>
          <w:szCs w:val="21"/>
          <w:u w:val="none"/>
          <w:lang w:val="en-US" w:eastAsia="zh-CN" w:bidi="ar-SA"/>
        </w:rPr>
        <w:t xml:space="preserve">     </w:t>
      </w:r>
      <w:r>
        <w:rPr>
          <w:rFonts w:hint="eastAsia" w:ascii="宋体" w:hAnsi="宋体" w:eastAsia="宋体" w:cs="宋体"/>
          <w:iCs w:val="0"/>
          <w:kern w:val="2"/>
          <w:sz w:val="21"/>
          <w:szCs w:val="21"/>
          <w:u w:val="none"/>
          <w:lang w:val="en-US" w:eastAsia="zh-CN" w:bidi="ar-SA"/>
        </w:rPr>
        <w:sym w:font="Wingdings" w:char="00A8"/>
      </w:r>
      <w:r>
        <w:rPr>
          <w:rFonts w:hint="eastAsia" w:ascii="宋体" w:hAnsi="宋体" w:eastAsia="宋体" w:cs="宋体"/>
          <w:iCs w:val="0"/>
          <w:kern w:val="2"/>
          <w:sz w:val="21"/>
          <w:szCs w:val="21"/>
          <w:u w:val="none"/>
          <w:lang w:val="en-US" w:eastAsia="zh-CN" w:bidi="ar-SA"/>
        </w:rPr>
        <w:t>否</w:t>
      </w:r>
    </w:p>
    <w:p w14:paraId="73D78C69">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14:paraId="2047EA3D">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14:paraId="3E2FD6B9">
      <w:pPr>
        <w:numPr>
          <w:ilvl w:val="0"/>
          <w:numId w:val="1"/>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3CB0BAA4">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F968FE2">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5DCC81A">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14:paraId="6CB3C673">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BA79593">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14:paraId="367B61FA">
      <w:pPr>
        <w:numPr>
          <w:ilvl w:val="-1"/>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14:paraId="0FD6AC73">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14:paraId="16937325">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（3）付款方式（按项目实际勾选填写）：</w:t>
      </w:r>
    </w:p>
    <w:p w14:paraId="6B82F080">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14:paraId="36E5EDC4">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14:paraId="357628C0">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14:paraId="3B44721A">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14:paraId="7DEDB540">
      <w:pPr>
        <w:numPr>
          <w:ilvl w:val="0"/>
          <w:numId w:val="1"/>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bCs w:val="0"/>
          <w:szCs w:val="21"/>
          <w:u w:val="single"/>
        </w:rPr>
      </w:pPr>
      <w:r>
        <w:rPr>
          <w:rFonts w:hint="eastAsia" w:ascii="宋体" w:hAnsi="宋体" w:eastAsia="宋体" w:cs="宋体"/>
          <w:b/>
          <w:bCs w:val="0"/>
          <w:szCs w:val="21"/>
        </w:rPr>
        <w:t>合同履行</w:t>
      </w:r>
    </w:p>
    <w:p w14:paraId="26996E27">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2AFBFF2">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201AA16B">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1D1F8F8">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26F3EFCE">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151C785F">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7FE4034">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005BBC2E">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363CCF00">
      <w:pPr>
        <w:numPr>
          <w:ilvl w:val="0"/>
          <w:numId w:val="1"/>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合同验收</w:t>
      </w:r>
    </w:p>
    <w:p w14:paraId="6408CDB1">
      <w:pPr>
        <w:numPr>
          <w:ilvl w:val="0"/>
          <w:numId w:val="3"/>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14:paraId="62EBA8E3">
      <w:pPr>
        <w:numPr>
          <w:ilvl w:val="0"/>
          <w:numId w:val="0"/>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14:paraId="7CC31BAE">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162EAF3E">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509F2290">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67E79865">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7F883246">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6BB8735A">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14:paraId="1D8C24FE">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64181DBC">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14:paraId="4A989D31">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14:paraId="50E8220F">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14:paraId="057B8954">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14:paraId="6525EE83">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14:paraId="601AB542">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14:paraId="41B28B45">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14:paraId="6BBFF357">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1B3BE583">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075F7C0D">
      <w:pPr>
        <w:numPr>
          <w:ilvl w:val="0"/>
          <w:numId w:val="1"/>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组成合同的文件</w:t>
      </w:r>
    </w:p>
    <w:p w14:paraId="2ED4609C">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0C518220">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14:paraId="632D596F">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14:paraId="14E77BA5">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14:paraId="66976BAF">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14:paraId="6AFBE20B">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14:paraId="5B1F3F4F">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（6）采购文件</w:t>
      </w:r>
    </w:p>
    <w:p w14:paraId="31282B65">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（7）有关技术文件，图纸</w:t>
      </w:r>
    </w:p>
    <w:p w14:paraId="1E09E50E">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2DD1C18F">
      <w:pPr>
        <w:numPr>
          <w:ilvl w:val="0"/>
          <w:numId w:val="1"/>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合同生效</w:t>
      </w:r>
    </w:p>
    <w:p w14:paraId="794EAEB2">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091EEBF9">
      <w:pPr>
        <w:numPr>
          <w:ilvl w:val="0"/>
          <w:numId w:val="1"/>
        </w:num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合同份数</w:t>
      </w:r>
    </w:p>
    <w:p w14:paraId="57434432">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4D98FEF7">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1573B05">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4C008AAF">
      <w:pPr>
        <w:kinsoku/>
        <w:overflowPunct/>
        <w:topLinePunct w:val="0"/>
        <w:bidi w:val="0"/>
        <w:adjustRightInd w:val="0"/>
        <w:snapToGrid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p>
    <w:p w14:paraId="282895F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br w:type="page"/>
      </w:r>
    </w:p>
    <w:p w14:paraId="75106F70">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kern w:val="2"/>
          <w:sz w:val="21"/>
          <w:szCs w:val="21"/>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BB5E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52FA8A2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4095" w:type="dxa"/>
            <w:gridSpan w:val="2"/>
            <w:tcBorders>
              <w:left w:val="single" w:color="auto" w:sz="2" w:space="0"/>
              <w:bottom w:val="single" w:color="auto" w:sz="2" w:space="0"/>
            </w:tcBorders>
            <w:vAlign w:val="center"/>
          </w:tcPr>
          <w:p w14:paraId="1115D0D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szCs w:val="21"/>
              </w:rPr>
              <w:t>乙方（供应商）</w:t>
            </w:r>
          </w:p>
        </w:tc>
      </w:tr>
      <w:tr w14:paraId="0E6973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320E125F">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1369C5F9">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4B88EB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2116" w:type="dxa"/>
            <w:tcBorders>
              <w:top w:val="single" w:color="auto" w:sz="2" w:space="0"/>
              <w:left w:val="single" w:color="auto" w:sz="2" w:space="0"/>
              <w:bottom w:val="single" w:color="auto" w:sz="2" w:space="0"/>
            </w:tcBorders>
            <w:vAlign w:val="center"/>
          </w:tcPr>
          <w:p w14:paraId="228C0A2F">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4DA33D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DC02DBB">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法定代表人</w:t>
            </w:r>
          </w:p>
          <w:p w14:paraId="4B33458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190F07E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right w:val="single" w:color="auto" w:sz="2" w:space="0"/>
            </w:tcBorders>
            <w:vAlign w:val="center"/>
          </w:tcPr>
          <w:p w14:paraId="6889EAA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法定代表人</w:t>
            </w:r>
          </w:p>
          <w:p w14:paraId="37160AAC">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或其委托代理人（签章）</w:t>
            </w:r>
          </w:p>
        </w:tc>
        <w:tc>
          <w:tcPr>
            <w:tcW w:w="2116" w:type="dxa"/>
            <w:tcBorders>
              <w:top w:val="single" w:color="auto" w:sz="2" w:space="0"/>
              <w:left w:val="single" w:color="auto" w:sz="2" w:space="0"/>
              <w:bottom w:val="single" w:color="auto" w:sz="2" w:space="0"/>
            </w:tcBorders>
            <w:vAlign w:val="center"/>
          </w:tcPr>
          <w:p w14:paraId="7C338E7C">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r>
      <w:tr w14:paraId="2EAA44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2AE4E36">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2412" w:type="dxa"/>
            <w:vMerge w:val="continue"/>
            <w:tcBorders>
              <w:left w:val="single" w:color="auto" w:sz="2" w:space="0"/>
              <w:bottom w:val="single" w:color="auto" w:sz="2" w:space="0"/>
              <w:right w:val="single" w:color="auto" w:sz="2" w:space="0"/>
            </w:tcBorders>
            <w:vAlign w:val="center"/>
          </w:tcPr>
          <w:p w14:paraId="0DB80976">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7E17AF1">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5E07BEC6">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307D99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28AD7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697A5134">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2871771">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2116" w:type="dxa"/>
            <w:tcBorders>
              <w:top w:val="single" w:color="auto" w:sz="2" w:space="0"/>
              <w:left w:val="single" w:color="auto" w:sz="2" w:space="0"/>
              <w:bottom w:val="single" w:color="auto" w:sz="2" w:space="0"/>
            </w:tcBorders>
            <w:vAlign w:val="center"/>
          </w:tcPr>
          <w:p w14:paraId="651E2E4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1405A9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E5F86B">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2BCE3906">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D7EB00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联 系 人</w:t>
            </w:r>
          </w:p>
        </w:tc>
        <w:tc>
          <w:tcPr>
            <w:tcW w:w="2116" w:type="dxa"/>
            <w:tcBorders>
              <w:top w:val="single" w:color="auto" w:sz="2" w:space="0"/>
              <w:left w:val="single" w:color="auto" w:sz="2" w:space="0"/>
              <w:bottom w:val="single" w:color="auto" w:sz="2" w:space="0"/>
            </w:tcBorders>
            <w:vAlign w:val="center"/>
          </w:tcPr>
          <w:p w14:paraId="7F3FE87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0C087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66CC97C">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21C3A7F">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B0A458E">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联系电话</w:t>
            </w:r>
          </w:p>
        </w:tc>
        <w:tc>
          <w:tcPr>
            <w:tcW w:w="2116" w:type="dxa"/>
            <w:tcBorders>
              <w:top w:val="single" w:color="auto" w:sz="2" w:space="0"/>
              <w:left w:val="single" w:color="auto" w:sz="2" w:space="0"/>
              <w:bottom w:val="single" w:color="auto" w:sz="2" w:space="0"/>
            </w:tcBorders>
            <w:vAlign w:val="center"/>
          </w:tcPr>
          <w:p w14:paraId="16467D4E">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1CB06A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45DCF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312CB1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0F5D37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3B8BC50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5350A6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A1F9C0">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09D465D">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F962E6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邮政编码</w:t>
            </w:r>
          </w:p>
        </w:tc>
        <w:tc>
          <w:tcPr>
            <w:tcW w:w="2116" w:type="dxa"/>
            <w:tcBorders>
              <w:top w:val="single" w:color="auto" w:sz="2" w:space="0"/>
              <w:left w:val="single" w:color="auto" w:sz="2" w:space="0"/>
              <w:bottom w:val="single" w:color="auto" w:sz="2" w:space="0"/>
            </w:tcBorders>
            <w:vAlign w:val="center"/>
          </w:tcPr>
          <w:p w14:paraId="740F709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1347C5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373DF36">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72AC47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3E9061E">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电子邮箱</w:t>
            </w:r>
          </w:p>
        </w:tc>
        <w:tc>
          <w:tcPr>
            <w:tcW w:w="2116" w:type="dxa"/>
            <w:tcBorders>
              <w:top w:val="single" w:color="auto" w:sz="2" w:space="0"/>
              <w:left w:val="single" w:color="auto" w:sz="2" w:space="0"/>
              <w:bottom w:val="single" w:color="auto" w:sz="2" w:space="0"/>
            </w:tcBorders>
            <w:vAlign w:val="center"/>
          </w:tcPr>
          <w:p w14:paraId="15FE49E9">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4A98B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45D5DE3">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3698FA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B629AB1">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统一社会信用代码</w:t>
            </w:r>
          </w:p>
        </w:tc>
        <w:tc>
          <w:tcPr>
            <w:tcW w:w="2116" w:type="dxa"/>
            <w:tcBorders>
              <w:top w:val="single" w:color="auto" w:sz="2" w:space="0"/>
              <w:left w:val="single" w:color="auto" w:sz="2" w:space="0"/>
              <w:bottom w:val="single" w:color="auto" w:sz="2" w:space="0"/>
            </w:tcBorders>
            <w:vAlign w:val="center"/>
          </w:tcPr>
          <w:p w14:paraId="5527151E">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5BB59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A1FFECD">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C1CE50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7472DCF">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开户名称</w:t>
            </w:r>
          </w:p>
        </w:tc>
        <w:tc>
          <w:tcPr>
            <w:tcW w:w="2116" w:type="dxa"/>
            <w:tcBorders>
              <w:top w:val="single" w:color="auto" w:sz="2" w:space="0"/>
              <w:left w:val="single" w:color="auto" w:sz="2" w:space="0"/>
              <w:bottom w:val="single" w:color="auto" w:sz="2" w:space="0"/>
            </w:tcBorders>
            <w:vAlign w:val="center"/>
          </w:tcPr>
          <w:p w14:paraId="53D8EE80">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25C3E7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D07A2C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4BDBDE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4E124D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开户银行</w:t>
            </w:r>
          </w:p>
        </w:tc>
        <w:tc>
          <w:tcPr>
            <w:tcW w:w="2116" w:type="dxa"/>
            <w:tcBorders>
              <w:top w:val="single" w:color="auto" w:sz="2" w:space="0"/>
              <w:left w:val="single" w:color="auto" w:sz="2" w:space="0"/>
              <w:bottom w:val="single" w:color="auto" w:sz="2" w:space="0"/>
            </w:tcBorders>
            <w:vAlign w:val="center"/>
          </w:tcPr>
          <w:p w14:paraId="6BCA546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462F83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A89461">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391B294">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44A2E0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银行账号</w:t>
            </w:r>
          </w:p>
        </w:tc>
        <w:tc>
          <w:tcPr>
            <w:tcW w:w="2116" w:type="dxa"/>
            <w:tcBorders>
              <w:top w:val="single" w:color="auto" w:sz="2" w:space="0"/>
              <w:left w:val="single" w:color="auto" w:sz="2" w:space="0"/>
              <w:bottom w:val="single" w:color="auto" w:sz="2" w:space="0"/>
            </w:tcBorders>
            <w:vAlign w:val="center"/>
          </w:tcPr>
          <w:p w14:paraId="62243C8E">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pacing w:val="20"/>
                <w:szCs w:val="21"/>
              </w:rPr>
            </w:pPr>
          </w:p>
        </w:tc>
      </w:tr>
      <w:tr w14:paraId="6B3C76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09C61B1">
            <w:pPr>
              <w:widowControl w:val="0"/>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pacing w:val="20"/>
                <w:kern w:val="2"/>
                <w:sz w:val="21"/>
                <w:szCs w:val="21"/>
                <w:lang w:val="en-US" w:eastAsia="zh-CN" w:bidi="ar-SA"/>
              </w:rPr>
            </w:pPr>
            <w:r>
              <w:rPr>
                <w:rFonts w:hint="eastAsia" w:ascii="宋体" w:hAnsi="宋体" w:eastAsia="宋体" w:cs="宋体"/>
                <w:kern w:val="2"/>
                <w:sz w:val="21"/>
                <w:szCs w:val="21"/>
                <w:lang w:val="en-US" w:eastAsia="zh-CN" w:bidi="ar-SA"/>
              </w:rPr>
              <w:t>注：涉及联合体或其他合同主体的信息应按上表格式加列。</w:t>
            </w:r>
          </w:p>
        </w:tc>
      </w:tr>
    </w:tbl>
    <w:p w14:paraId="05538D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0" w:firstLineChars="0"/>
        <w:textAlignment w:val="auto"/>
        <w:outlineLvl w:val="9"/>
        <w:rPr>
          <w:rFonts w:hint="eastAsia" w:ascii="宋体" w:hAnsi="宋体" w:eastAsia="宋体" w:cs="宋体"/>
          <w:b/>
          <w:szCs w:val="21"/>
        </w:rPr>
      </w:pPr>
    </w:p>
    <w:p w14:paraId="70A0A224">
      <w:pPr>
        <w:keepNext/>
        <w:keepLines/>
        <w:widowControl w:val="0"/>
        <w:kinsoku/>
        <w:overflowPunct/>
        <w:topLinePunct w:val="0"/>
        <w:bidi w:val="0"/>
        <w:adjustRightInd w:val="0"/>
        <w:snapToGrid w:val="0"/>
        <w:spacing w:beforeAutospacing="0" w:afterAutospacing="0" w:line="360" w:lineRule="auto"/>
        <w:ind w:left="0" w:leftChars="0" w:right="0" w:firstLine="0" w:firstLineChars="0"/>
        <w:jc w:val="center"/>
        <w:outlineLvl w:val="1"/>
        <w:rPr>
          <w:rFonts w:hint="eastAsia" w:ascii="宋体" w:hAnsi="宋体" w:eastAsia="宋体" w:cs="宋体"/>
          <w:b/>
          <w:bCs/>
          <w:kern w:val="2"/>
          <w:sz w:val="28"/>
          <w:szCs w:val="28"/>
          <w:lang w:val="en-US" w:eastAsia="zh-CN" w:bidi="ar-SA"/>
        </w:rPr>
      </w:pPr>
      <w:bookmarkStart w:id="32" w:name="_Toc27624"/>
      <w:r>
        <w:rPr>
          <w:rFonts w:hint="eastAsia" w:ascii="宋体" w:hAnsi="宋体" w:eastAsia="宋体" w:cs="宋体"/>
          <w:b w:val="0"/>
          <w:bCs w:val="0"/>
          <w:kern w:val="2"/>
          <w:sz w:val="28"/>
          <w:szCs w:val="28"/>
          <w:lang w:val="en-US" w:eastAsia="zh-CN" w:bidi="ar-SA"/>
        </w:rPr>
        <w:t>第二节 政府采购合同通用条款</w:t>
      </w:r>
      <w:bookmarkEnd w:id="32"/>
    </w:p>
    <w:p w14:paraId="6168AFCC">
      <w:pPr>
        <w:tabs>
          <w:tab w:val="left" w:pos="8820"/>
          <w:tab w:val="left" w:pos="9345"/>
          <w:tab w:val="left" w:pos="9765"/>
        </w:tabs>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14:paraId="668C686F">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1.1合同当事人</w:t>
      </w:r>
    </w:p>
    <w:p w14:paraId="2CB2F4A2">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3D8B396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21428FF2">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s="宋体"/>
          <w:color w:val="auto"/>
          <w:szCs w:val="21"/>
          <w:highlight w:val="none"/>
        </w:rPr>
        <w:t>。</w:t>
      </w:r>
    </w:p>
    <w:p w14:paraId="79D17D40">
      <w:pPr>
        <w:tabs>
          <w:tab w:val="left" w:pos="570"/>
          <w:tab w:val="left" w:pos="9240"/>
          <w:tab w:val="left" w:pos="9555"/>
        </w:tabs>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28E1A9C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4464B237">
      <w:pPr>
        <w:tabs>
          <w:tab w:val="left" w:pos="570"/>
          <w:tab w:val="left" w:pos="9240"/>
          <w:tab w:val="left" w:pos="9555"/>
        </w:tabs>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6AF6D011">
      <w:pPr>
        <w:tabs>
          <w:tab w:val="left" w:pos="570"/>
          <w:tab w:val="left" w:pos="9240"/>
          <w:tab w:val="left" w:pos="9555"/>
        </w:tabs>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szCs w:val="21"/>
          <w:highlight w:val="none"/>
        </w:rPr>
        <w:t>包括软件）及相关的其备品备件、工具、手册及</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技术资料和材料</w:t>
      </w:r>
      <w:r>
        <w:rPr>
          <w:rFonts w:hint="eastAsia" w:ascii="宋体" w:hAnsi="宋体" w:eastAsia="宋体" w:cs="宋体"/>
          <w:color w:val="000000"/>
          <w:szCs w:val="21"/>
          <w:highlight w:val="none"/>
          <w:lang w:eastAsia="zh-CN"/>
        </w:rPr>
        <w:t>等</w:t>
      </w:r>
      <w:r>
        <w:rPr>
          <w:rFonts w:hint="eastAsia" w:ascii="宋体" w:hAnsi="宋体" w:eastAsia="宋体" w:cs="宋体"/>
          <w:color w:val="000000"/>
          <w:szCs w:val="21"/>
          <w:highlight w:val="none"/>
        </w:rPr>
        <w:t>。</w:t>
      </w:r>
    </w:p>
    <w:p w14:paraId="45399905">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yellow"/>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szCs w:val="21"/>
          <w:highlight w:val="none"/>
        </w:rPr>
        <w:t>服务”系指根据合同规定，乙方应提供的</w:t>
      </w:r>
      <w:r>
        <w:rPr>
          <w:rFonts w:hint="eastAsia" w:ascii="宋体" w:hAnsi="宋体" w:eastAsia="宋体" w:cs="宋体"/>
          <w:color w:val="000000"/>
          <w:szCs w:val="21"/>
          <w:highlight w:val="none"/>
          <w:lang w:val="en-US" w:eastAsia="zh-CN"/>
        </w:rPr>
        <w:t>与货物有关的</w:t>
      </w:r>
      <w:r>
        <w:rPr>
          <w:rFonts w:hint="eastAsia" w:ascii="宋体" w:hAnsi="宋体" w:eastAsia="宋体" w:cs="宋体"/>
          <w:color w:val="000000"/>
          <w:szCs w:val="21"/>
          <w:highlight w:val="none"/>
        </w:rPr>
        <w:t>技术、管理和</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服务，包括但不限于：管理和质量保证、运输、保险、检验、现场准备、安装、集成、调试、培训、维修、</w:t>
      </w:r>
      <w:r>
        <w:rPr>
          <w:rFonts w:hint="eastAsia" w:ascii="宋体" w:hAnsi="宋体" w:eastAsia="宋体" w:cs="宋体"/>
          <w:color w:val="000000"/>
          <w:szCs w:val="21"/>
          <w:highlight w:val="none"/>
          <w:lang w:eastAsia="zh-CN"/>
        </w:rPr>
        <w:t>废弃处置、</w:t>
      </w:r>
      <w:r>
        <w:rPr>
          <w:rFonts w:hint="eastAsia" w:ascii="宋体" w:hAnsi="宋体" w:eastAsia="宋体" w:cs="宋体"/>
          <w:color w:val="000000"/>
          <w:szCs w:val="21"/>
          <w:highlight w:val="none"/>
        </w:rPr>
        <w:t>技术支持等以及合同中规定乙方应承担的</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义务。</w:t>
      </w:r>
    </w:p>
    <w:p w14:paraId="04FDA1F6">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yellow"/>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）“分包”系指中标</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成交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供应商按采购文件、投标（响应）文件的规定，根据分包意向协议，将中标</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成交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项目中的部分履约内容，分给具有相应资质条件的供应商履行合同的行为。</w:t>
      </w:r>
    </w:p>
    <w:p w14:paraId="03A880BF">
      <w:pPr>
        <w:tabs>
          <w:tab w:val="left" w:pos="570"/>
          <w:tab w:val="left" w:pos="9240"/>
          <w:tab w:val="left" w:pos="9555"/>
        </w:tabs>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承担连带责任。联合体具体要求见【</w:t>
      </w:r>
      <w:r>
        <w:rPr>
          <w:rFonts w:hint="eastAsia" w:ascii="宋体" w:hAnsi="宋体" w:eastAsia="宋体" w:cs="宋体"/>
          <w:b/>
          <w:bCs/>
          <w:color w:val="000000"/>
          <w:szCs w:val="21"/>
          <w:highlight w:val="none"/>
        </w:rPr>
        <w:t>政府采购合同专用条款</w:t>
      </w:r>
      <w:r>
        <w:rPr>
          <w:rFonts w:hint="eastAsia" w:ascii="宋体" w:hAnsi="宋体" w:eastAsia="宋体" w:cs="宋体"/>
          <w:color w:val="000000"/>
          <w:szCs w:val="21"/>
          <w:highlight w:val="none"/>
        </w:rPr>
        <w:t>】。</w:t>
      </w:r>
    </w:p>
    <w:p w14:paraId="19D75FDC">
      <w:pPr>
        <w:tabs>
          <w:tab w:val="left" w:pos="570"/>
          <w:tab w:val="left" w:pos="9240"/>
          <w:tab w:val="left" w:pos="9555"/>
        </w:tabs>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）其他术语解释，见【</w:t>
      </w:r>
      <w:r>
        <w:rPr>
          <w:rFonts w:hint="eastAsia" w:ascii="宋体" w:hAnsi="宋体" w:eastAsia="宋体" w:cs="宋体"/>
          <w:b/>
          <w:bCs/>
          <w:color w:val="000000"/>
          <w:szCs w:val="21"/>
          <w:highlight w:val="none"/>
        </w:rPr>
        <w:t>政府采购合同专用条款</w:t>
      </w:r>
      <w:r>
        <w:rPr>
          <w:rFonts w:hint="eastAsia" w:ascii="宋体" w:hAnsi="宋体" w:eastAsia="宋体" w:cs="宋体"/>
          <w:color w:val="000000"/>
          <w:szCs w:val="21"/>
          <w:highlight w:val="none"/>
        </w:rPr>
        <w:t>】。</w:t>
      </w:r>
    </w:p>
    <w:p w14:paraId="22A1D582">
      <w:pPr>
        <w:numPr>
          <w:ilvl w:val="0"/>
          <w:numId w:val="4"/>
        </w:num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sz w:val="24"/>
          <w:highlight w:val="none"/>
        </w:rPr>
      </w:pPr>
      <w:r>
        <w:rPr>
          <w:rFonts w:hint="eastAsia" w:ascii="宋体" w:hAnsi="宋体" w:eastAsia="宋体" w:cs="宋体"/>
          <w:b/>
          <w:color w:val="000000"/>
          <w:sz w:val="24"/>
          <w:highlight w:val="none"/>
        </w:rPr>
        <w:t>合同标的及金额</w:t>
      </w:r>
    </w:p>
    <w:p w14:paraId="7397C755">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i/>
          <w:iCs/>
          <w:color w:val="000000"/>
          <w:szCs w:val="21"/>
          <w:highlight w:val="none"/>
        </w:rPr>
      </w:pPr>
      <w:r>
        <w:rPr>
          <w:rFonts w:hint="eastAsia" w:ascii="宋体" w:hAnsi="宋体" w:eastAsia="宋体" w:cs="宋体"/>
          <w:color w:val="000000"/>
          <w:szCs w:val="21"/>
          <w:highlight w:val="none"/>
          <w:lang w:eastAsia="zh-CN"/>
        </w:rPr>
        <w:t>2</w:t>
      </w:r>
      <w:r>
        <w:rPr>
          <w:rFonts w:hint="eastAsia" w:ascii="宋体" w:hAnsi="宋体" w:eastAsia="宋体" w:cs="宋体"/>
          <w:color w:val="000000"/>
          <w:szCs w:val="21"/>
          <w:highlight w:val="none"/>
        </w:rPr>
        <w:t>.1 合同标的及金额应与中标（成交）结果一致。乙方为履行本合同而发生的所有费用均应包含在合同</w:t>
      </w:r>
      <w:r>
        <w:rPr>
          <w:rFonts w:hint="eastAsia" w:ascii="宋体" w:hAnsi="宋体" w:eastAsia="宋体" w:cs="宋体"/>
          <w:color w:val="000000"/>
          <w:szCs w:val="21"/>
          <w:highlight w:val="none"/>
          <w:lang w:eastAsia="zh-CN"/>
        </w:rPr>
        <w:t>价款</w:t>
      </w:r>
      <w:r>
        <w:rPr>
          <w:rFonts w:hint="eastAsia" w:ascii="宋体" w:hAnsi="宋体" w:eastAsia="宋体" w:cs="宋体"/>
          <w:color w:val="000000"/>
          <w:szCs w:val="21"/>
          <w:highlight w:val="none"/>
        </w:rPr>
        <w:t>中，甲方不再另行支付</w:t>
      </w:r>
      <w:r>
        <w:rPr>
          <w:rFonts w:hint="eastAsia" w:ascii="宋体" w:hAnsi="宋体" w:eastAsia="宋体" w:cs="宋体"/>
          <w:color w:val="000000"/>
          <w:szCs w:val="21"/>
          <w:highlight w:val="none"/>
          <w:lang w:val="en"/>
        </w:rPr>
        <w:t>其他</w:t>
      </w:r>
      <w:r>
        <w:rPr>
          <w:rFonts w:hint="eastAsia" w:ascii="宋体" w:hAnsi="宋体" w:eastAsia="宋体" w:cs="宋体"/>
          <w:color w:val="000000"/>
          <w:szCs w:val="21"/>
          <w:highlight w:val="none"/>
        </w:rPr>
        <w:t>任何费用。</w:t>
      </w:r>
    </w:p>
    <w:p w14:paraId="7E4CD086">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eastAsia="zh-CN"/>
        </w:rPr>
        <w:t>3</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000000"/>
          <w:sz w:val="24"/>
          <w:highlight w:val="none"/>
        </w:rPr>
        <w:t>履行合同的时间、地点和方式</w:t>
      </w:r>
    </w:p>
    <w:p w14:paraId="367DDD1F">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3</w:t>
      </w:r>
      <w:r>
        <w:rPr>
          <w:rFonts w:hint="eastAsia" w:ascii="宋体" w:hAnsi="宋体" w:eastAsia="宋体" w:cs="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0490FE9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4</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甲方的权利和义务</w:t>
      </w:r>
    </w:p>
    <w:p w14:paraId="096C6EF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.1 签署合同后，甲方</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确定</w:t>
      </w:r>
      <w:r>
        <w:rPr>
          <w:rFonts w:hint="eastAsia" w:ascii="宋体" w:hAnsi="宋体" w:eastAsia="宋体" w:cs="宋体"/>
          <w:color w:val="000000"/>
          <w:szCs w:val="21"/>
          <w:highlight w:val="none"/>
          <w:lang w:val="en-US" w:eastAsia="zh-CN"/>
        </w:rPr>
        <w:t>项目负责人（或项目联系人）</w:t>
      </w:r>
      <w:r>
        <w:rPr>
          <w:rFonts w:hint="eastAsia" w:ascii="宋体" w:hAnsi="宋体" w:eastAsia="宋体" w:cs="宋体"/>
          <w:color w:val="000000"/>
          <w:szCs w:val="21"/>
          <w:highlight w:val="none"/>
        </w:rPr>
        <w:t>，负责与本合同有关的事务。甲方有权对乙方的履约行为进行检查，并及时确认乙方提交的事项。甲方应当配合乙方完成相关项目实施工作。</w:t>
      </w:r>
    </w:p>
    <w:p w14:paraId="0CE52FC6">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.2 甲方有权要求乙方按时提交各阶段有关安排计划，并有权定期核对乙方提供货物数量、规格、质量等内容。甲方有权督促乙方工作并要求乙方更换不符合要求的货物。</w:t>
      </w:r>
    </w:p>
    <w:p w14:paraId="58BD3778">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.3 甲方有权要求乙方对缺陷部分予以修复，并按合同约定享有货物保修及其他合同约定的权利。</w:t>
      </w:r>
    </w:p>
    <w:p w14:paraId="0A6307D9">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lang w:val="en-US" w:eastAsia="zh-CN"/>
        </w:rPr>
      </w:pPr>
      <w:r>
        <w:rPr>
          <w:rFonts w:hint="eastAsia" w:ascii="宋体" w:hAnsi="宋体" w:eastAsia="宋体" w:cs="宋体"/>
          <w:color w:val="000000"/>
          <w:szCs w:val="21"/>
          <w:highlight w:val="none"/>
          <w:lang w:val="en-US" w:eastAsia="zh-CN"/>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szCs w:val="21"/>
          <w:highlight w:val="none"/>
          <w:lang w:val="en-US" w:eastAsia="zh-CN"/>
        </w:rPr>
        <w:t>视为验收通过。</w:t>
      </w:r>
    </w:p>
    <w:p w14:paraId="08FF6E3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 xml:space="preserve"> 甲方应当根据合同约定</w:t>
      </w:r>
      <w:r>
        <w:rPr>
          <w:rFonts w:hint="eastAsia" w:ascii="宋体" w:hAnsi="宋体" w:eastAsia="宋体" w:cs="宋体"/>
          <w:color w:val="000000"/>
          <w:szCs w:val="21"/>
          <w:highlight w:val="none"/>
          <w:lang w:eastAsia="zh-CN"/>
        </w:rPr>
        <w:t>及</w:t>
      </w:r>
      <w:r>
        <w:rPr>
          <w:rFonts w:hint="eastAsia" w:ascii="宋体" w:hAnsi="宋体" w:eastAsia="宋体" w:cs="宋体"/>
          <w:color w:val="000000"/>
          <w:szCs w:val="21"/>
          <w:highlight w:val="none"/>
        </w:rPr>
        <w:t>时向乙方支付</w:t>
      </w:r>
      <w:r>
        <w:rPr>
          <w:rFonts w:hint="eastAsia" w:ascii="宋体" w:hAnsi="宋体" w:eastAsia="宋体" w:cs="宋体"/>
          <w:color w:val="000000"/>
          <w:szCs w:val="21"/>
          <w:highlight w:val="none"/>
          <w:lang w:eastAsia="zh-CN"/>
        </w:rPr>
        <w:t>合同价款，不得以内部人员变更、履行内部付款流程等为由，拒绝或迟延支付。</w:t>
      </w:r>
    </w:p>
    <w:p w14:paraId="3AFCB5A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4</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 xml:space="preserve"> 国家法律法规规定</w:t>
      </w:r>
      <w:r>
        <w:rPr>
          <w:rFonts w:hint="eastAsia" w:ascii="宋体" w:hAnsi="宋体" w:eastAsia="宋体" w:cs="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szCs w:val="21"/>
          <w:highlight w:val="none"/>
          <w:lang w:eastAsia="zh-CN"/>
        </w:rPr>
        <w:t>约定应</w:t>
      </w:r>
      <w:r>
        <w:rPr>
          <w:rFonts w:hint="eastAsia" w:ascii="宋体" w:hAnsi="宋体" w:eastAsia="宋体" w:cs="宋体"/>
          <w:color w:val="000000"/>
          <w:szCs w:val="21"/>
          <w:highlight w:val="none"/>
        </w:rPr>
        <w:t>由甲方承担的其他义务和责任。</w:t>
      </w:r>
    </w:p>
    <w:p w14:paraId="309A6A6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5</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乙方的权利和义务</w:t>
      </w:r>
    </w:p>
    <w:p w14:paraId="32A4C025">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r>
        <w:rPr>
          <w:rFonts w:hint="eastAsia" w:ascii="宋体" w:hAnsi="宋体" w:eastAsia="宋体" w:cs="宋体"/>
          <w:color w:val="000000"/>
          <w:szCs w:val="21"/>
          <w:highlight w:val="none"/>
        </w:rPr>
        <w:t>.1 签署合同后，乙方</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确定</w:t>
      </w:r>
      <w:r>
        <w:rPr>
          <w:rFonts w:hint="eastAsia" w:ascii="宋体" w:hAnsi="宋体" w:eastAsia="宋体" w:cs="宋体"/>
          <w:color w:val="000000"/>
          <w:szCs w:val="21"/>
          <w:highlight w:val="none"/>
          <w:lang w:val="en-US" w:eastAsia="zh-CN"/>
        </w:rPr>
        <w:t>项目负责人（或项目联系人）</w:t>
      </w:r>
      <w:r>
        <w:rPr>
          <w:rFonts w:hint="eastAsia" w:ascii="宋体" w:hAnsi="宋体" w:eastAsia="宋体" w:cs="宋体"/>
          <w:color w:val="000000"/>
          <w:szCs w:val="21"/>
          <w:highlight w:val="none"/>
        </w:rPr>
        <w:t>，负责与本合同有关的事务。</w:t>
      </w:r>
    </w:p>
    <w:p w14:paraId="56F94F2F">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r>
        <w:rPr>
          <w:rFonts w:hint="eastAsia" w:ascii="宋体" w:hAnsi="宋体" w:eastAsia="宋体" w:cs="宋体"/>
          <w:color w:val="000000"/>
          <w:szCs w:val="21"/>
          <w:highlight w:val="none"/>
        </w:rPr>
        <w:t>.2 乙方应按照合同要求履约，充分合理安排，确保提供的货物</w:t>
      </w:r>
      <w:r>
        <w:rPr>
          <w:rFonts w:hint="eastAsia" w:ascii="宋体" w:hAnsi="宋体" w:eastAsia="宋体" w:cs="宋体"/>
          <w:color w:val="000000"/>
          <w:szCs w:val="21"/>
          <w:highlight w:val="none"/>
          <w:lang w:eastAsia="zh-CN"/>
        </w:rPr>
        <w:t>及相关</w:t>
      </w:r>
      <w:r>
        <w:rPr>
          <w:rFonts w:hint="eastAsia" w:ascii="宋体" w:hAnsi="宋体" w:eastAsia="宋体" w:cs="宋体"/>
          <w:color w:val="000000"/>
          <w:szCs w:val="21"/>
          <w:highlight w:val="none"/>
        </w:rPr>
        <w:t>服务符合合同</w:t>
      </w:r>
      <w:r>
        <w:rPr>
          <w:rFonts w:hint="eastAsia" w:ascii="宋体" w:hAnsi="宋体" w:eastAsia="宋体" w:cs="宋体"/>
          <w:color w:val="000000"/>
          <w:szCs w:val="21"/>
          <w:highlight w:val="none"/>
          <w:lang w:eastAsia="zh-CN"/>
        </w:rPr>
        <w:t>有关</w:t>
      </w:r>
      <w:r>
        <w:rPr>
          <w:rFonts w:hint="eastAsia" w:ascii="宋体" w:hAnsi="宋体" w:eastAsia="宋体" w:cs="宋体"/>
          <w:color w:val="000000"/>
          <w:szCs w:val="21"/>
          <w:highlight w:val="none"/>
        </w:rPr>
        <w:t>要求。接受项目行业管理部门及政府有关部门的指导，配合甲方的履约检查</w:t>
      </w:r>
      <w:r>
        <w:rPr>
          <w:rFonts w:hint="eastAsia" w:ascii="宋体" w:hAnsi="宋体" w:eastAsia="宋体" w:cs="宋体"/>
          <w:color w:val="000000"/>
          <w:szCs w:val="21"/>
          <w:highlight w:val="none"/>
          <w:lang w:eastAsia="zh-CN"/>
        </w:rPr>
        <w:t>及验收</w:t>
      </w:r>
      <w:r>
        <w:rPr>
          <w:rFonts w:hint="eastAsia" w:ascii="宋体" w:hAnsi="宋体" w:eastAsia="宋体" w:cs="宋体"/>
          <w:color w:val="000000"/>
          <w:szCs w:val="21"/>
          <w:highlight w:val="none"/>
        </w:rPr>
        <w:t>，并负责项目实施过程中的所有协调工作。</w:t>
      </w:r>
    </w:p>
    <w:p w14:paraId="29CAF31B">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5.3乙方有权根据合同约定向甲方收取合同价款。</w:t>
      </w:r>
    </w:p>
    <w:p w14:paraId="5C2951C6">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5.4国家法律法规规定及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00625ABC">
      <w:pPr>
        <w:numPr>
          <w:ilvl w:val="0"/>
          <w:numId w:val="5"/>
        </w:num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合同履</w:t>
      </w:r>
      <w:r>
        <w:rPr>
          <w:rFonts w:hint="eastAsia" w:ascii="宋体" w:hAnsi="宋体" w:eastAsia="宋体" w:cs="宋体"/>
          <w:b/>
          <w:bCs/>
          <w:color w:val="000000"/>
          <w:sz w:val="24"/>
          <w:highlight w:val="none"/>
          <w:lang w:val="en-US" w:eastAsia="zh-CN"/>
        </w:rPr>
        <w:t>行</w:t>
      </w:r>
    </w:p>
    <w:p w14:paraId="57586DFE">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6</w:t>
      </w:r>
      <w:r>
        <w:rPr>
          <w:rFonts w:hint="eastAsia" w:ascii="宋体" w:hAnsi="宋体" w:eastAsia="宋体" w:cs="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szCs w:val="21"/>
          <w:highlight w:val="none"/>
        </w:rPr>
        <w:t>约定顺序履行合同义务；如果没有先后顺序的，应当同时履行。</w:t>
      </w:r>
    </w:p>
    <w:p w14:paraId="599B717D">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color w:val="000000"/>
          <w:szCs w:val="21"/>
          <w:highlight w:val="none"/>
          <w:lang w:eastAsia="zh-CN"/>
        </w:rPr>
        <w:t>6</w:t>
      </w:r>
      <w:r>
        <w:rPr>
          <w:rFonts w:hint="eastAsia" w:ascii="宋体" w:hAnsi="宋体" w:eastAsia="宋体" w:cs="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B0A31A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7</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货物包装、运输</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rPr>
        <w:t>保险</w:t>
      </w:r>
      <w:r>
        <w:rPr>
          <w:rFonts w:hint="eastAsia" w:ascii="宋体" w:hAnsi="宋体" w:eastAsia="宋体" w:cs="宋体"/>
          <w:b/>
          <w:bCs/>
          <w:color w:val="000000"/>
          <w:sz w:val="24"/>
          <w:highlight w:val="none"/>
          <w:lang w:eastAsia="zh-CN"/>
        </w:rPr>
        <w:t>和交付</w:t>
      </w:r>
      <w:r>
        <w:rPr>
          <w:rFonts w:hint="eastAsia" w:ascii="宋体" w:hAnsi="宋体" w:eastAsia="宋体" w:cs="宋体"/>
          <w:b/>
          <w:bCs/>
          <w:color w:val="000000"/>
          <w:sz w:val="24"/>
          <w:highlight w:val="none"/>
        </w:rPr>
        <w:t>要求</w:t>
      </w:r>
    </w:p>
    <w:p w14:paraId="10F413F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.1 本合同</w:t>
      </w:r>
      <w:r>
        <w:rPr>
          <w:rFonts w:hint="eastAsia" w:ascii="宋体" w:hAnsi="宋体" w:eastAsia="宋体" w:cs="宋体"/>
          <w:bCs/>
          <w:color w:val="000000"/>
          <w:szCs w:val="21"/>
          <w:highlight w:val="none"/>
        </w:rPr>
        <w:t>涉及商品包装</w:t>
      </w: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rPr>
        <w:t>快递包装的，</w:t>
      </w:r>
      <w:r>
        <w:rPr>
          <w:rFonts w:hint="eastAsia" w:ascii="宋体" w:hAnsi="宋体" w:eastAsia="宋体" w:cs="宋体"/>
          <w:color w:val="000000"/>
          <w:szCs w:val="21"/>
          <w:highlight w:val="none"/>
        </w:rPr>
        <w:t>除</w:t>
      </w:r>
      <w:r>
        <w:rPr>
          <w:rFonts w:hint="eastAsia" w:ascii="宋体" w:hAnsi="宋体" w:eastAsia="宋体" w:cs="宋体"/>
          <w:b/>
          <w:color w:val="000000"/>
          <w:szCs w:val="21"/>
          <w:highlight w:val="none"/>
        </w:rPr>
        <w:t>【政府采购合同专用条款】</w:t>
      </w:r>
      <w:r>
        <w:rPr>
          <w:rFonts w:hint="eastAsia" w:ascii="宋体" w:hAnsi="宋体" w:eastAsia="宋体" w:cs="宋体"/>
          <w:bCs/>
          <w:color w:val="000000"/>
          <w:szCs w:val="21"/>
          <w:highlight w:val="none"/>
        </w:rPr>
        <w:t>另有</w:t>
      </w:r>
      <w:r>
        <w:rPr>
          <w:rFonts w:hint="eastAsia" w:ascii="宋体" w:hAnsi="宋体" w:eastAsia="宋体" w:cs="宋体"/>
          <w:bCs/>
          <w:color w:val="000000"/>
          <w:szCs w:val="21"/>
          <w:highlight w:val="none"/>
          <w:lang w:eastAsia="zh-CN"/>
        </w:rPr>
        <w:t>约</w:t>
      </w:r>
      <w:r>
        <w:rPr>
          <w:rFonts w:hint="eastAsia" w:ascii="宋体" w:hAnsi="宋体" w:eastAsia="宋体" w:cs="宋体"/>
          <w:bCs/>
          <w:color w:val="000000"/>
          <w:szCs w:val="21"/>
          <w:highlight w:val="none"/>
        </w:rPr>
        <w:t>定</w:t>
      </w:r>
      <w:r>
        <w:rPr>
          <w:rFonts w:hint="eastAsia" w:ascii="宋体" w:hAnsi="宋体" w:eastAsia="宋体" w:cs="宋体"/>
          <w:bCs/>
          <w:color w:val="000000"/>
          <w:szCs w:val="21"/>
          <w:highlight w:val="none"/>
          <w:lang w:eastAsia="zh-CN"/>
        </w:rPr>
        <w:t>外</w:t>
      </w:r>
      <w:r>
        <w:rPr>
          <w:rFonts w:hint="eastAsia" w:ascii="宋体" w:hAnsi="宋体" w:eastAsia="宋体" w:cs="宋体"/>
          <w:bCs/>
          <w:color w:val="000000"/>
          <w:szCs w:val="21"/>
          <w:highlight w:val="none"/>
        </w:rPr>
        <w:t>，</w:t>
      </w:r>
      <w:r>
        <w:rPr>
          <w:rFonts w:hint="eastAsia" w:ascii="宋体" w:hAnsi="宋体" w:eastAsia="宋体" w:cs="宋体"/>
          <w:color w:val="000000"/>
          <w:szCs w:val="21"/>
          <w:highlight w:val="none"/>
        </w:rPr>
        <w:t>包装应适应远距离运输、防潮、防震、防锈和防野蛮装卸等要求，确保货物安全无损地运抵</w:t>
      </w:r>
      <w:r>
        <w:rPr>
          <w:rFonts w:hint="eastAsia" w:ascii="宋体" w:hAnsi="宋体" w:eastAsia="宋体" w:cs="宋体"/>
          <w:b/>
          <w:color w:val="000000"/>
          <w:szCs w:val="21"/>
          <w:highlight w:val="none"/>
        </w:rPr>
        <w:t>【政府采购合同专用条款】</w:t>
      </w:r>
      <w:r>
        <w:rPr>
          <w:rFonts w:hint="eastAsia" w:ascii="宋体" w:hAnsi="宋体" w:eastAsia="宋体" w:cs="宋体"/>
          <w:b w:val="0"/>
          <w:bCs/>
          <w:color w:val="000000"/>
          <w:szCs w:val="21"/>
          <w:highlight w:val="none"/>
          <w:lang w:eastAsia="zh-CN"/>
        </w:rPr>
        <w:t>约定的</w:t>
      </w:r>
      <w:r>
        <w:rPr>
          <w:rFonts w:hint="eastAsia" w:ascii="宋体" w:hAnsi="宋体" w:eastAsia="宋体" w:cs="宋体"/>
          <w:color w:val="000000"/>
          <w:szCs w:val="21"/>
          <w:highlight w:val="none"/>
        </w:rPr>
        <w:t>指定现场。</w:t>
      </w:r>
    </w:p>
    <w:p w14:paraId="4B48FE6C">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.2 除</w:t>
      </w:r>
      <w:r>
        <w:rPr>
          <w:rFonts w:hint="eastAsia" w:ascii="宋体" w:hAnsi="宋体" w:eastAsia="宋体" w:cs="宋体"/>
          <w:b/>
          <w:color w:val="000000"/>
          <w:szCs w:val="21"/>
          <w:highlight w:val="none"/>
        </w:rPr>
        <w:t>【政府采购合同专用条款】</w:t>
      </w:r>
      <w:r>
        <w:rPr>
          <w:rFonts w:hint="eastAsia" w:ascii="宋体" w:hAnsi="宋体" w:eastAsia="宋体" w:cs="宋体"/>
          <w:bCs/>
          <w:color w:val="000000"/>
          <w:szCs w:val="21"/>
          <w:highlight w:val="none"/>
        </w:rPr>
        <w:t>另有</w:t>
      </w:r>
      <w:r>
        <w:rPr>
          <w:rFonts w:hint="eastAsia" w:ascii="宋体" w:hAnsi="宋体" w:eastAsia="宋体" w:cs="宋体"/>
          <w:bCs/>
          <w:color w:val="000000"/>
          <w:szCs w:val="21"/>
          <w:highlight w:val="none"/>
          <w:lang w:eastAsia="zh-CN"/>
        </w:rPr>
        <w:t>约</w:t>
      </w:r>
      <w:r>
        <w:rPr>
          <w:rFonts w:hint="eastAsia" w:ascii="宋体" w:hAnsi="宋体" w:eastAsia="宋体" w:cs="宋体"/>
          <w:bCs/>
          <w:color w:val="000000"/>
          <w:szCs w:val="21"/>
          <w:highlight w:val="none"/>
        </w:rPr>
        <w:t>定</w:t>
      </w:r>
      <w:r>
        <w:rPr>
          <w:rFonts w:hint="eastAsia" w:ascii="宋体" w:hAnsi="宋体" w:eastAsia="宋体" w:cs="宋体"/>
          <w:bCs/>
          <w:color w:val="000000"/>
          <w:szCs w:val="21"/>
          <w:highlight w:val="none"/>
          <w:lang w:eastAsia="zh-CN"/>
        </w:rPr>
        <w:t>外</w:t>
      </w:r>
      <w:r>
        <w:rPr>
          <w:rFonts w:hint="eastAsia" w:ascii="宋体" w:hAnsi="宋体" w:eastAsia="宋体" w:cs="宋体"/>
          <w:bCs/>
          <w:color w:val="000000"/>
          <w:szCs w:val="21"/>
          <w:highlight w:val="none"/>
        </w:rPr>
        <w:t>，</w:t>
      </w:r>
      <w:r>
        <w:rPr>
          <w:rFonts w:hint="eastAsia" w:ascii="宋体" w:hAnsi="宋体" w:eastAsia="宋体" w:cs="宋体"/>
          <w:color w:val="000000"/>
          <w:szCs w:val="21"/>
          <w:highlight w:val="none"/>
        </w:rPr>
        <w:t>乙方负责办理将货物运抵本合同规定的交货地点</w:t>
      </w:r>
      <w:r>
        <w:rPr>
          <w:rFonts w:hint="eastAsia" w:ascii="宋体" w:hAnsi="宋体" w:eastAsia="宋体" w:cs="宋体"/>
          <w:color w:val="000000"/>
          <w:szCs w:val="21"/>
          <w:highlight w:val="none"/>
          <w:lang w:eastAsia="zh-CN"/>
        </w:rPr>
        <w:t>，并装卸、交付至甲方</w:t>
      </w:r>
      <w:r>
        <w:rPr>
          <w:rFonts w:hint="eastAsia" w:ascii="宋体" w:hAnsi="宋体" w:eastAsia="宋体" w:cs="宋体"/>
          <w:color w:val="000000"/>
          <w:szCs w:val="21"/>
          <w:highlight w:val="none"/>
        </w:rPr>
        <w:t>的一切运输事项，相关费用应</w:t>
      </w:r>
      <w:r>
        <w:rPr>
          <w:rFonts w:hint="eastAsia" w:ascii="宋体" w:hAnsi="宋体" w:eastAsia="宋体" w:cs="宋体"/>
          <w:color w:val="000000"/>
          <w:szCs w:val="21"/>
          <w:highlight w:val="none"/>
          <w:lang w:eastAsia="zh-CN"/>
        </w:rPr>
        <w:t>包含</w:t>
      </w:r>
      <w:r>
        <w:rPr>
          <w:rFonts w:hint="eastAsia" w:ascii="宋体" w:hAnsi="宋体" w:eastAsia="宋体" w:cs="宋体"/>
          <w:color w:val="000000"/>
          <w:szCs w:val="21"/>
          <w:highlight w:val="none"/>
        </w:rPr>
        <w:t>在合同</w:t>
      </w:r>
      <w:r>
        <w:rPr>
          <w:rFonts w:hint="eastAsia" w:ascii="宋体" w:hAnsi="宋体" w:eastAsia="宋体" w:cs="宋体"/>
          <w:color w:val="000000"/>
          <w:szCs w:val="21"/>
          <w:highlight w:val="none"/>
          <w:lang w:eastAsia="zh-CN"/>
        </w:rPr>
        <w:t>价款</w:t>
      </w:r>
      <w:r>
        <w:rPr>
          <w:rFonts w:hint="eastAsia" w:ascii="宋体" w:hAnsi="宋体" w:eastAsia="宋体" w:cs="宋体"/>
          <w:color w:val="000000"/>
          <w:szCs w:val="21"/>
          <w:highlight w:val="none"/>
        </w:rPr>
        <w:t>中。</w:t>
      </w:r>
    </w:p>
    <w:p w14:paraId="282B350B">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.3 货物保险要求按</w:t>
      </w:r>
      <w:r>
        <w:rPr>
          <w:rFonts w:hint="eastAsia" w:ascii="宋体" w:hAnsi="宋体" w:eastAsia="宋体" w:cs="宋体"/>
          <w:b/>
          <w:color w:val="000000"/>
          <w:szCs w:val="21"/>
          <w:highlight w:val="none"/>
        </w:rPr>
        <w:t>【政府采购合同专用条款】</w:t>
      </w:r>
      <w:r>
        <w:rPr>
          <w:rFonts w:hint="eastAsia" w:ascii="宋体" w:hAnsi="宋体" w:eastAsia="宋体" w:cs="宋体"/>
          <w:bCs/>
          <w:color w:val="000000"/>
          <w:szCs w:val="21"/>
          <w:highlight w:val="none"/>
        </w:rPr>
        <w:t>规定执行</w:t>
      </w:r>
      <w:r>
        <w:rPr>
          <w:rFonts w:hint="eastAsia" w:ascii="宋体" w:hAnsi="宋体" w:eastAsia="宋体" w:cs="宋体"/>
          <w:color w:val="000000"/>
          <w:szCs w:val="21"/>
          <w:highlight w:val="none"/>
        </w:rPr>
        <w:t>。</w:t>
      </w:r>
    </w:p>
    <w:p w14:paraId="5E178E5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7</w:t>
      </w:r>
      <w:r>
        <w:rPr>
          <w:rFonts w:hint="eastAsia" w:ascii="宋体" w:hAnsi="宋体" w:eastAsia="宋体" w:cs="宋体"/>
          <w:color w:val="000000"/>
          <w:szCs w:val="21"/>
          <w:highlight w:val="none"/>
        </w:rPr>
        <w:t xml:space="preserve">.4 </w:t>
      </w:r>
      <w:r>
        <w:rPr>
          <w:rFonts w:hint="eastAsia" w:ascii="宋体" w:hAnsi="宋体" w:eastAsia="宋体" w:cs="宋体"/>
          <w:color w:val="000000"/>
          <w:szCs w:val="21"/>
          <w:highlight w:val="none"/>
          <w:lang w:val="en-US" w:eastAsia="zh-CN"/>
        </w:rPr>
        <w:t>除采购活动</w:t>
      </w:r>
      <w:r>
        <w:rPr>
          <w:rFonts w:hint="eastAsia" w:ascii="宋体" w:hAnsi="宋体" w:eastAsia="宋体" w:cs="宋体"/>
          <w:color w:val="000000"/>
          <w:szCs w:val="21"/>
          <w:highlight w:val="none"/>
        </w:rPr>
        <w:t>对商品包装</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快递包装</w:t>
      </w:r>
      <w:r>
        <w:rPr>
          <w:rFonts w:hint="eastAsia" w:ascii="宋体" w:hAnsi="宋体" w:eastAsia="宋体" w:cs="宋体"/>
          <w:color w:val="000000"/>
          <w:szCs w:val="21"/>
          <w:highlight w:val="none"/>
          <w:lang w:val="en-US" w:eastAsia="zh-CN"/>
        </w:rPr>
        <w:t>达成具体约定外</w:t>
      </w:r>
      <w:r>
        <w:rPr>
          <w:rFonts w:hint="eastAsia" w:ascii="宋体" w:hAnsi="宋体" w:eastAsia="宋体" w:cs="宋体"/>
          <w:color w:val="000000"/>
          <w:szCs w:val="21"/>
          <w:highlight w:val="none"/>
        </w:rPr>
        <w:t>，乙方提供产品及相关快递服务</w:t>
      </w:r>
      <w:r>
        <w:rPr>
          <w:rFonts w:hint="eastAsia" w:ascii="宋体" w:hAnsi="宋体" w:eastAsia="宋体" w:cs="宋体"/>
          <w:color w:val="000000"/>
          <w:szCs w:val="21"/>
          <w:highlight w:val="none"/>
          <w:lang w:val="en-US" w:eastAsia="zh-CN"/>
        </w:rPr>
        <w:t>涉及到</w:t>
      </w:r>
      <w:r>
        <w:rPr>
          <w:rFonts w:hint="eastAsia" w:ascii="宋体" w:hAnsi="宋体" w:eastAsia="宋体" w:cs="宋体"/>
          <w:color w:val="000000"/>
          <w:szCs w:val="21"/>
          <w:highlight w:val="none"/>
        </w:rPr>
        <w:t>具体包装要求</w:t>
      </w:r>
      <w:r>
        <w:rPr>
          <w:rFonts w:hint="eastAsia" w:ascii="宋体" w:hAnsi="宋体" w:eastAsia="宋体" w:cs="宋体"/>
          <w:color w:val="000000"/>
          <w:szCs w:val="21"/>
          <w:highlight w:val="none"/>
          <w:lang w:val="en-US" w:eastAsia="zh-CN"/>
        </w:rPr>
        <w:t>的，</w:t>
      </w:r>
      <w:r>
        <w:rPr>
          <w:rFonts w:hint="eastAsia" w:ascii="宋体" w:hAnsi="宋体" w:eastAsia="宋体" w:cs="宋体"/>
          <w:color w:val="000000"/>
          <w:szCs w:val="21"/>
          <w:highlight w:val="none"/>
        </w:rPr>
        <w:t>应</w:t>
      </w:r>
      <w:r>
        <w:rPr>
          <w:rFonts w:hint="eastAsia" w:ascii="宋体" w:hAnsi="宋体" w:eastAsia="宋体" w:cs="宋体"/>
          <w:color w:val="000000"/>
          <w:szCs w:val="21"/>
          <w:highlight w:val="none"/>
          <w:lang w:val="en-US" w:eastAsia="zh-CN"/>
        </w:rPr>
        <w:t>不低于</w:t>
      </w:r>
      <w:r>
        <w:rPr>
          <w:rFonts w:hint="eastAsia" w:ascii="宋体" w:hAnsi="宋体" w:eastAsia="宋体" w:cs="宋体"/>
          <w:color w:val="000000"/>
          <w:szCs w:val="21"/>
          <w:highlight w:val="none"/>
        </w:rPr>
        <w:t>《商品包装政府采购需求标准（试行）</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快递包装政府采购需求标准（试行）》</w:t>
      </w:r>
      <w:r>
        <w:rPr>
          <w:rFonts w:hint="eastAsia" w:ascii="宋体" w:hAnsi="宋体" w:eastAsia="宋体" w:cs="宋体"/>
          <w:color w:val="000000"/>
          <w:szCs w:val="21"/>
          <w:highlight w:val="none"/>
          <w:lang w:val="en-US" w:eastAsia="zh-CN"/>
        </w:rPr>
        <w:t>标准</w:t>
      </w:r>
      <w:r>
        <w:rPr>
          <w:rFonts w:hint="eastAsia" w:ascii="宋体" w:hAnsi="宋体" w:eastAsia="宋体" w:cs="宋体"/>
          <w:color w:val="000000"/>
          <w:szCs w:val="21"/>
          <w:highlight w:val="none"/>
        </w:rPr>
        <w:t>，并作为履约验收的内容，必要时甲方可以要求乙方在履约验收环节出具检测报告。</w:t>
      </w:r>
    </w:p>
    <w:p w14:paraId="5B4EC115">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65564DF6">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14FB9365">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color w:val="auto"/>
          <w:sz w:val="24"/>
          <w:highlight w:val="none"/>
        </w:rPr>
      </w:pPr>
      <w:r>
        <w:rPr>
          <w:rFonts w:hint="eastAsia" w:ascii="宋体" w:hAnsi="宋体" w:eastAsia="宋体" w:cs="宋体"/>
          <w:b/>
          <w:color w:val="000000"/>
          <w:sz w:val="24"/>
          <w:highlight w:val="none"/>
          <w:lang w:eastAsia="zh-CN"/>
        </w:rPr>
        <w:t>8</w:t>
      </w:r>
      <w:r>
        <w:rPr>
          <w:rFonts w:hint="eastAsia" w:ascii="宋体" w:hAnsi="宋体" w:eastAsia="宋体" w:cs="宋体"/>
          <w:b/>
          <w:color w:val="000000"/>
          <w:sz w:val="24"/>
          <w:highlight w:val="none"/>
          <w:lang w:val="en-US" w:eastAsia="zh-CN"/>
        </w:rPr>
        <w:t xml:space="preserve">. </w:t>
      </w:r>
      <w:r>
        <w:rPr>
          <w:rFonts w:hint="eastAsia" w:ascii="宋体" w:hAnsi="宋体" w:eastAsia="宋体" w:cs="宋体"/>
          <w:b/>
          <w:color w:val="auto"/>
          <w:sz w:val="24"/>
          <w:highlight w:val="none"/>
        </w:rPr>
        <w:t>质量标准和保证</w:t>
      </w:r>
    </w:p>
    <w:p w14:paraId="5737065A">
      <w:pPr>
        <w:widowControl w:val="0"/>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8.1 质量标准</w:t>
      </w:r>
    </w:p>
    <w:p w14:paraId="46FF1F91">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663863D1">
      <w:pPr>
        <w:widowControl w:val="0"/>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（2）采用中华人民共和国法定计量单位。</w:t>
      </w:r>
    </w:p>
    <w:p w14:paraId="302B6E3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7C51D4BF">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5B28040D">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66CF9E16">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4D01CA4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36381BD7">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516CF0AA">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000000"/>
          <w:szCs w:val="21"/>
          <w:highlight w:val="none"/>
          <w:lang w:eastAsia="zh-CN"/>
        </w:rPr>
        <w:t>的违约责任</w:t>
      </w:r>
      <w:r>
        <w:rPr>
          <w:rFonts w:hint="eastAsia" w:ascii="宋体" w:hAnsi="宋体" w:eastAsia="宋体" w:cs="宋体"/>
          <w:color w:val="auto"/>
          <w:szCs w:val="21"/>
          <w:highlight w:val="none"/>
        </w:rPr>
        <w:t>。</w:t>
      </w:r>
    </w:p>
    <w:p w14:paraId="16C63635">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0BB1AC6A">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000000"/>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auto"/>
          <w:sz w:val="24"/>
          <w:highlight w:val="none"/>
        </w:rPr>
        <w:t>权利瑕疵担保</w:t>
      </w:r>
    </w:p>
    <w:p w14:paraId="379C99E1">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9</w:t>
      </w:r>
      <w:r>
        <w:rPr>
          <w:rFonts w:hint="eastAsia" w:ascii="宋体" w:hAnsi="宋体" w:eastAsia="宋体" w:cs="宋体"/>
          <w:color w:val="000000"/>
          <w:szCs w:val="21"/>
          <w:highlight w:val="none"/>
        </w:rPr>
        <w:t>.1 乙方保证对其出售的货物享有合法的权利。</w:t>
      </w:r>
    </w:p>
    <w:p w14:paraId="1F420248">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9</w:t>
      </w:r>
      <w:r>
        <w:rPr>
          <w:rFonts w:hint="eastAsia" w:ascii="宋体" w:hAnsi="宋体" w:eastAsia="宋体" w:cs="宋体"/>
          <w:color w:val="000000"/>
          <w:szCs w:val="21"/>
          <w:highlight w:val="none"/>
        </w:rPr>
        <w:t xml:space="preserve">.2 </w:t>
      </w:r>
      <w:r>
        <w:rPr>
          <w:rFonts w:hint="eastAsia" w:ascii="宋体" w:hAnsi="宋体" w:eastAsia="宋体" w:cs="宋体"/>
          <w:szCs w:val="15"/>
        </w:rPr>
        <w:t>乙方保证在交付的货物上不存在抵押权等担保物权。</w:t>
      </w:r>
    </w:p>
    <w:p w14:paraId="28DB1F1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9</w:t>
      </w:r>
      <w:r>
        <w:rPr>
          <w:rFonts w:hint="eastAsia" w:ascii="宋体" w:hAnsi="宋体" w:eastAsia="宋体" w:cs="宋体"/>
          <w:color w:val="000000"/>
          <w:szCs w:val="21"/>
          <w:highlight w:val="none"/>
        </w:rPr>
        <w:t>.3 如甲方使用</w:t>
      </w:r>
      <w:r>
        <w:rPr>
          <w:rFonts w:hint="eastAsia" w:ascii="宋体" w:hAnsi="宋体" w:eastAsia="宋体" w:cs="宋体"/>
          <w:color w:val="000000"/>
          <w:szCs w:val="21"/>
          <w:highlight w:val="none"/>
          <w:lang w:val="en-US" w:eastAsia="zh-CN"/>
        </w:rPr>
        <w:t>上述</w:t>
      </w:r>
      <w:r>
        <w:rPr>
          <w:rFonts w:hint="eastAsia" w:ascii="宋体" w:hAnsi="宋体" w:eastAsia="宋体" w:cs="宋体"/>
          <w:color w:val="000000"/>
          <w:szCs w:val="21"/>
          <w:highlight w:val="none"/>
        </w:rPr>
        <w:t>货物构成</w:t>
      </w:r>
      <w:r>
        <w:rPr>
          <w:rFonts w:hint="eastAsia" w:ascii="宋体" w:hAnsi="宋体" w:eastAsia="宋体" w:cs="宋体"/>
          <w:color w:val="000000"/>
          <w:szCs w:val="21"/>
          <w:highlight w:val="none"/>
          <w:lang w:val="en-US" w:eastAsia="zh-CN"/>
        </w:rPr>
        <w:t>对第三人</w:t>
      </w:r>
      <w:r>
        <w:rPr>
          <w:rFonts w:hint="eastAsia" w:ascii="宋体" w:hAnsi="宋体" w:eastAsia="宋体" w:cs="宋体"/>
          <w:color w:val="000000"/>
          <w:szCs w:val="21"/>
          <w:highlight w:val="none"/>
        </w:rPr>
        <w:t>侵权的，则由乙方承担全部责任。</w:t>
      </w:r>
    </w:p>
    <w:p w14:paraId="6FCE554E">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w:t>
      </w:r>
      <w:r>
        <w:rPr>
          <w:rFonts w:hint="eastAsia" w:ascii="宋体" w:hAnsi="宋体" w:eastAsia="宋体" w:cs="宋体"/>
          <w:b/>
          <w:bCs/>
          <w:color w:val="000000"/>
          <w:sz w:val="24"/>
          <w:highlight w:val="none"/>
          <w:lang w:eastAsia="zh-CN"/>
        </w:rPr>
        <w:t>0</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rPr>
        <w:t>知识产权保护</w:t>
      </w:r>
    </w:p>
    <w:p w14:paraId="40F1331B">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0</w:t>
      </w:r>
      <w:r>
        <w:rPr>
          <w:rFonts w:hint="eastAsia" w:ascii="宋体" w:hAnsi="宋体" w:eastAsia="宋体" w:cs="宋体"/>
          <w:color w:val="000000"/>
          <w:szCs w:val="21"/>
          <w:highlight w:val="none"/>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hAnsi="宋体" w:eastAsia="宋体" w:cs="宋体"/>
          <w:color w:val="auto"/>
          <w:szCs w:val="21"/>
          <w:highlight w:val="none"/>
        </w:rPr>
        <w:t>。</w:t>
      </w:r>
    </w:p>
    <w:p w14:paraId="3DA3BCE1">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67918DD">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EF0D11D">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522BFC05">
      <w:pPr>
        <w:kinsoku/>
        <w:overflowPunct/>
        <w:topLinePunct w:val="0"/>
        <w:autoSpaceDE/>
        <w:autoSpaceDN/>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64B709F9">
      <w:pPr>
        <w:keepNext/>
        <w:keepLines/>
        <w:widowControl w:val="0"/>
        <w:kinsoku/>
        <w:overflowPunct/>
        <w:topLinePunct w:val="0"/>
        <w:bidi w:val="0"/>
        <w:spacing w:beforeAutospacing="0" w:afterAutospacing="0" w:line="360" w:lineRule="auto"/>
        <w:ind w:left="0" w:leftChars="0" w:right="0" w:firstLine="0" w:firstLineChars="0"/>
        <w:jc w:val="both"/>
        <w:outlineLvl w:val="1"/>
        <w:rPr>
          <w:rFonts w:hint="eastAsia" w:ascii="宋体" w:hAnsi="宋体" w:eastAsia="宋体" w:cs="宋体"/>
          <w:b/>
          <w:bCs/>
          <w:color w:val="auto"/>
          <w:kern w:val="2"/>
          <w:sz w:val="24"/>
          <w:szCs w:val="32"/>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12.2 对于满足合同约定支付条件的，甲方</w:t>
      </w:r>
      <w:r>
        <w:rPr>
          <w:rFonts w:hint="eastAsia" w:ascii="宋体" w:hAnsi="宋体" w:eastAsia="宋体" w:cs="宋体"/>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宋体"/>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bCs w:val="0"/>
          <w:color w:val="auto"/>
          <w:kern w:val="2"/>
          <w:sz w:val="21"/>
          <w:szCs w:val="21"/>
          <w:highlight w:val="none"/>
          <w:lang w:val="en-US" w:eastAsia="zh-CN" w:bidi="ar-SA"/>
        </w:rPr>
        <w:t>】中约定。</w:t>
      </w:r>
    </w:p>
    <w:p w14:paraId="185A7CED">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 履约保证金</w:t>
      </w:r>
    </w:p>
    <w:p w14:paraId="08700EF3">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C9D5913">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33F9E6DD">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034CCCF4">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250395F">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1F30EFC6">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3E49B73C">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05DE5E97">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65D4955A">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14:paraId="3B84952C">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4C48E95E">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714E5497">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43BDF16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24F78704">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43C09BF1">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51733AB0">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5BF5F58C">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21D2663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5AC1DE24">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27B6CC0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6F7F452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691E945A">
      <w:pPr>
        <w:numPr>
          <w:ilvl w:val="0"/>
          <w:numId w:val="6"/>
        </w:num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01FC8940">
      <w:pPr>
        <w:kinsoku/>
        <w:overflowPunct/>
        <w:topLinePunct w:val="0"/>
        <w:autoSpaceDE/>
        <w:autoSpaceDN/>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0981AEE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5FC43E41">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5B18D52E">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2B81B98A">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558634F7">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7BE31D68">
      <w:pPr>
        <w:kinsoku/>
        <w:overflowPunct/>
        <w:topLinePunct w:val="0"/>
        <w:bidi w:val="0"/>
        <w:snapToGrid w:val="0"/>
        <w:spacing w:beforeAutospacing="0" w:afterAutospacing="0" w:line="360" w:lineRule="auto"/>
        <w:ind w:left="0" w:leftChars="0" w:right="0" w:firstLine="0" w:firstLineChars="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18C11F19">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61FCA60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62E29A47">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14:paraId="3A23A71B">
      <w:pPr>
        <w:kinsoku/>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color w:val="auto"/>
          <w:sz w:val="22"/>
          <w:szCs w:val="21"/>
          <w:highlight w:val="none"/>
          <w:lang w:val="en-US" w:eastAsia="zh-CN" w:bidi="ar-SA"/>
        </w:rPr>
      </w:pPr>
      <w:r>
        <w:rPr>
          <w:rFonts w:hint="eastAsia" w:ascii="宋体" w:hAnsi="宋体" w:eastAsia="宋体" w:cs="宋体"/>
          <w:color w:val="auto"/>
          <w:sz w:val="22"/>
          <w:szCs w:val="21"/>
          <w:highlight w:val="none"/>
          <w:lang w:val="en-US" w:eastAsia="zh-CN" w:bidi="ar-SA"/>
        </w:rPr>
        <w:t xml:space="preserve">16.4 </w:t>
      </w:r>
      <w:r>
        <w:rPr>
          <w:rFonts w:hint="eastAsia" w:ascii="宋体" w:hAnsi="宋体" w:eastAsia="宋体" w:cs="宋体"/>
          <w:color w:val="auto"/>
          <w:kern w:val="2"/>
          <w:sz w:val="21"/>
          <w:szCs w:val="21"/>
          <w:highlight w:val="none"/>
          <w:lang w:val="en-US" w:eastAsia="zh-CN" w:bidi="ar-SA"/>
        </w:rPr>
        <w:t>涉及国家利益、社会公共利益的情形</w:t>
      </w:r>
    </w:p>
    <w:p w14:paraId="1DAB499D">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7535B13D">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6D6B2B57">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084FA292">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6CDB47C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139BD603">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0DB4E636">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2E005855">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6F8F820A">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052589C7">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16CDCDE7">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269C5014">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63CE0CF4">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06BB6B14">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A6BA932">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361EDB00">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4EF9CE2">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0D4C57BF">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5FE78663">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18DA512D">
      <w:pPr>
        <w:numPr>
          <w:ilvl w:val="-1"/>
          <w:numId w:val="0"/>
        </w:num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38797449">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7E934E87">
      <w:pPr>
        <w:kinsoku/>
        <w:overflowPunct/>
        <w:topLinePunct w:val="0"/>
        <w:autoSpaceDE w:val="0"/>
        <w:autoSpaceDN w:val="0"/>
        <w:bidi w:val="0"/>
        <w:adjustRightInd w:val="0"/>
        <w:spacing w:beforeAutospacing="0" w:afterAutospacing="0" w:line="360" w:lineRule="auto"/>
        <w:ind w:left="0" w:leftChars="0" w:right="0" w:firstLine="0" w:firstLineChars="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02497CFA">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78C1DEB0">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6B3DDDCE">
      <w:pPr>
        <w:numPr>
          <w:ilvl w:val="0"/>
          <w:numId w:val="7"/>
        </w:num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649722F0">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29819068">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34" w:name="_Toc20313"/>
    </w:p>
    <w:p w14:paraId="5EE8C5F4">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0615F17D">
      <w:pPr>
        <w:keepNext/>
        <w:keepLines/>
        <w:widowControl w:val="0"/>
        <w:kinsoku/>
        <w:overflowPunct/>
        <w:topLinePunct w:val="0"/>
        <w:bidi w:val="0"/>
        <w:adjustRightInd w:val="0"/>
        <w:snapToGrid w:val="0"/>
        <w:spacing w:beforeAutospacing="0" w:afterAutospacing="0" w:line="360" w:lineRule="auto"/>
        <w:ind w:left="0" w:leftChars="0" w:right="0" w:firstLine="0" w:firstLineChars="0"/>
        <w:jc w:val="center"/>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第三节 政府采购合同专用条款</w:t>
      </w:r>
      <w:bookmarkEnd w:id="34"/>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FE0B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DFCDD6">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42C8E096">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6CE9043E">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14:paraId="789C1321">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72B3A1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2752D8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5D856A8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14:paraId="1426EB65">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14:paraId="70B951A7">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kern w:val="2"/>
                <w:sz w:val="21"/>
                <w:szCs w:val="21"/>
                <w:lang w:val="en-US" w:eastAsia="zh-CN" w:bidi="ar-SA"/>
              </w:rPr>
            </w:pPr>
          </w:p>
        </w:tc>
      </w:tr>
      <w:tr w14:paraId="2240D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3C5A0D">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0627692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14:paraId="5B9C5459">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14:paraId="23D410FA">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kern w:val="2"/>
                <w:sz w:val="21"/>
                <w:szCs w:val="21"/>
                <w:lang w:val="en-US" w:eastAsia="zh-CN" w:bidi="ar-SA"/>
              </w:rPr>
            </w:pPr>
          </w:p>
        </w:tc>
      </w:tr>
      <w:tr w14:paraId="0909A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480761">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794F938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14:paraId="751CBA2A">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14:paraId="7D5EF91F">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kern w:val="2"/>
                <w:sz w:val="21"/>
                <w:szCs w:val="21"/>
                <w:lang w:val="en-US" w:eastAsia="zh-CN" w:bidi="ar-SA"/>
              </w:rPr>
            </w:pPr>
          </w:p>
        </w:tc>
      </w:tr>
      <w:tr w14:paraId="3EF592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35CED9">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1A04EDF2">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14:paraId="0D209AF9">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14:paraId="048A5105">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kern w:val="2"/>
                <w:sz w:val="21"/>
                <w:szCs w:val="21"/>
                <w:lang w:val="en-US" w:eastAsia="zh-CN" w:bidi="ar-SA"/>
              </w:rPr>
            </w:pPr>
          </w:p>
        </w:tc>
      </w:tr>
      <w:tr w14:paraId="0338AB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6D72DC">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07BF3A50">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14:paraId="408B9D2F">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14:paraId="3B5C46A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kern w:val="2"/>
                <w:sz w:val="21"/>
                <w:szCs w:val="21"/>
                <w:lang w:val="en-US" w:eastAsia="zh-CN" w:bidi="ar-SA"/>
              </w:rPr>
            </w:pPr>
          </w:p>
        </w:tc>
      </w:tr>
      <w:tr w14:paraId="38152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F0F1E4F">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02C82F3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14:paraId="35C9CFBE">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14:paraId="1CA29B58">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tc>
      </w:tr>
      <w:tr w14:paraId="1B7658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2FCBA0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p>
        </w:tc>
        <w:tc>
          <w:tcPr>
            <w:tcW w:w="1742" w:type="dxa"/>
            <w:vAlign w:val="center"/>
          </w:tcPr>
          <w:p w14:paraId="73C83B66">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14:paraId="43FCD62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tc>
      </w:tr>
      <w:tr w14:paraId="62586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21F8F6F">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2D5BA5A4">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14:paraId="247EE5C1">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14:paraId="6E01C57A">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tc>
      </w:tr>
      <w:tr w14:paraId="7AB62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94AF8E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367BB3D4">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14:paraId="18FD0A59">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14:paraId="0F675C1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tc>
      </w:tr>
      <w:tr w14:paraId="1A2685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965BF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5C89D32B">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14:paraId="2FEEABB1">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14:paraId="3C40891A">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5E080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91AAA0">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7C85CEBD">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14:paraId="68C6040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70620A6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14:paraId="6196CEBC">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61A68B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8A1211">
            <w:pPr>
              <w:kinsoku/>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180A4385">
            <w:pPr>
              <w:kinsoku/>
              <w:overflowPunct/>
              <w:topLinePunct w:val="0"/>
              <w:autoSpaceDE w:val="0"/>
              <w:autoSpaceDN w:val="0"/>
              <w:bidi w:val="0"/>
              <w:adjustRightInd w:val="0"/>
              <w:spacing w:beforeAutospacing="0" w:afterAutospacing="0" w:line="360" w:lineRule="auto"/>
              <w:ind w:left="0" w:leftChars="0" w:right="0" w:firstLine="0" w:firstLineChars="0"/>
              <w:jc w:val="center"/>
              <w:rPr>
                <w:rFonts w:hint="eastAsia" w:ascii="宋体" w:hAnsi="宋体" w:eastAsia="宋体" w:cs="宋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7CC0E6CF">
            <w:pPr>
              <w:kinsoku/>
              <w:overflowPunct/>
              <w:topLinePunct w:val="0"/>
              <w:bidi w:val="0"/>
              <w:adjustRightInd w:val="0"/>
              <w:snapToGrid w:val="0"/>
              <w:spacing w:beforeAutospacing="0" w:afterAutospacing="0" w:line="360" w:lineRule="auto"/>
              <w:ind w:left="0" w:leftChars="0" w:right="0" w:firstLine="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14:paraId="782B55EF">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61ABF8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F745DD">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5901A24B">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14:paraId="49DD8788">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14:paraId="350E20C5">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2D221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8D44EA9">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61408C6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14:paraId="5E3660FA">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14:paraId="7361539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2F940F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F53F9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03544B43">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14:paraId="7D15360C">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14:paraId="2E2846A6">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4B8F2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8AD360E">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1FE5387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14:paraId="396915E5">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14:paraId="2D8E9549">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17351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26895E">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4CEB925D">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14:paraId="484176C7">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14:paraId="15B256A8">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25B6DB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DE05D5">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231CE20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7BFED626">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14:paraId="07157551">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2B5BF7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CC32A">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4A5AF5D3">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14:paraId="0CE1ECCC">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624C0E48">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p>
        </w:tc>
      </w:tr>
      <w:tr w14:paraId="34BBA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130BC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4153B1B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14:paraId="2125F1A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14:paraId="507A6B0C">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u w:val="single"/>
              </w:rPr>
            </w:pPr>
          </w:p>
        </w:tc>
      </w:tr>
      <w:tr w14:paraId="42927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9FA33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2ECD847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14:paraId="052590C3">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14:paraId="508F20B2">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u w:val="single"/>
              </w:rPr>
            </w:pPr>
          </w:p>
        </w:tc>
      </w:tr>
      <w:tr w14:paraId="6BBFE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85069A9">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0D1B768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551CCD8">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14:paraId="0CBB44DA">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u w:val="single"/>
              </w:rPr>
            </w:pPr>
          </w:p>
        </w:tc>
      </w:tr>
      <w:tr w14:paraId="570F1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D87F8E2">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387B15D8">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D04BBEB">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14:paraId="2DA76729">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3F08430">
            <w:pPr>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10B8A843">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159BF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6AF4773">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第二节</w:t>
            </w:r>
          </w:p>
          <w:p w14:paraId="77A80107">
            <w:pPr>
              <w:kinsoku/>
              <w:overflowPunct/>
              <w:topLinePunct w:val="0"/>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14:paraId="532ACE51">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14:paraId="20374A49">
            <w:pPr>
              <w:kinsoku/>
              <w:overflowPunct/>
              <w:topLinePunct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szCs w:val="21"/>
                <w:lang w:val="en-US" w:eastAsia="zh-CN"/>
              </w:rPr>
            </w:pPr>
          </w:p>
        </w:tc>
      </w:tr>
    </w:tbl>
    <w:p w14:paraId="4E9D5B6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77E3F503">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color w:val="FF0000"/>
          <w:szCs w:val="24"/>
        </w:rPr>
      </w:pPr>
    </w:p>
    <w:p w14:paraId="6E0913FD">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b/>
          <w:bCs/>
          <w:color w:val="0000FF"/>
          <w:kern w:val="44"/>
          <w:sz w:val="36"/>
          <w:szCs w:val="44"/>
        </w:rPr>
      </w:pPr>
      <w:r>
        <w:rPr>
          <w:rFonts w:hint="eastAsia" w:ascii="宋体" w:hAnsi="宋体" w:eastAsia="宋体" w:cs="宋体"/>
          <w:b/>
          <w:bCs/>
          <w:color w:val="0000FF"/>
          <w:kern w:val="44"/>
          <w:sz w:val="36"/>
          <w:szCs w:val="44"/>
        </w:rPr>
        <w:br w:type="page"/>
      </w:r>
    </w:p>
    <w:p w14:paraId="04A756E7">
      <w:pPr>
        <w:keepNext/>
        <w:keepLines/>
        <w:kinsoku/>
        <w:overflowPunct/>
        <w:topLinePunct w:val="0"/>
        <w:bidi w:val="0"/>
        <w:spacing w:beforeAutospacing="0" w:afterAutospacing="0" w:line="360" w:lineRule="auto"/>
        <w:ind w:left="0" w:leftChars="0" w:right="0" w:firstLine="0" w:firstLineChars="0"/>
        <w:jc w:val="center"/>
        <w:outlineLvl w:val="0"/>
        <w:rPr>
          <w:rFonts w:hint="eastAsia" w:ascii="宋体" w:hAnsi="宋体" w:eastAsia="宋体" w:cs="宋体"/>
          <w:b/>
          <w:bCs/>
          <w:kern w:val="44"/>
          <w:sz w:val="32"/>
          <w:szCs w:val="32"/>
        </w:rPr>
      </w:pPr>
      <w:r>
        <w:rPr>
          <w:rFonts w:hint="eastAsia" w:ascii="宋体" w:hAnsi="宋体" w:eastAsia="宋体" w:cs="宋体"/>
          <w:b/>
          <w:bCs/>
          <w:kern w:val="44"/>
          <w:sz w:val="32"/>
          <w:szCs w:val="32"/>
        </w:rPr>
        <w:t>第二册  通用条款（公开招标）</w:t>
      </w:r>
    </w:p>
    <w:p w14:paraId="3C04FFB6">
      <w:pPr>
        <w:pStyle w:val="28"/>
        <w:keepNext/>
        <w:keepLines/>
        <w:numPr>
          <w:ilvl w:val="0"/>
          <w:numId w:val="8"/>
        </w:numPr>
        <w:tabs>
          <w:tab w:val="left" w:pos="720"/>
        </w:tabs>
        <w:kinsoku/>
        <w:overflowPunct/>
        <w:topLinePunct w:val="0"/>
        <w:bidi w:val="0"/>
        <w:adjustRightInd w:val="0"/>
        <w:spacing w:beforeAutospacing="0" w:afterAutospacing="0" w:line="360" w:lineRule="auto"/>
        <w:ind w:left="0" w:leftChars="0" w:right="0" w:firstLine="0" w:firstLineChars="0"/>
        <w:jc w:val="center"/>
        <w:textAlignment w:val="baseline"/>
        <w:outlineLvl w:val="1"/>
        <w:rPr>
          <w:rFonts w:hint="eastAsia" w:ascii="宋体" w:hAnsi="宋体" w:eastAsia="宋体" w:cs="宋体"/>
          <w:b/>
          <w:bCs/>
          <w:sz w:val="28"/>
          <w:szCs w:val="28"/>
        </w:rPr>
      </w:pPr>
      <w:bookmarkStart w:id="35" w:name="_Hlk72399513"/>
      <w:r>
        <w:rPr>
          <w:rFonts w:hint="eastAsia" w:ascii="宋体" w:hAnsi="宋体" w:eastAsia="宋体" w:cs="宋体"/>
          <w:b/>
          <w:bCs/>
          <w:sz w:val="28"/>
          <w:szCs w:val="28"/>
        </w:rPr>
        <w:t>总则</w:t>
      </w:r>
    </w:p>
    <w:bookmarkEnd w:id="35"/>
    <w:p w14:paraId="4053C12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36" w:name="_Hlk72439706"/>
      <w:r>
        <w:rPr>
          <w:rFonts w:hint="eastAsia" w:ascii="宋体" w:hAnsi="宋体" w:eastAsia="宋体" w:cs="宋体"/>
          <w:sz w:val="24"/>
        </w:rPr>
        <w:t>1. 通用条款说明</w:t>
      </w:r>
    </w:p>
    <w:p w14:paraId="32C9F5E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1.1政府集中采购机构发出招标文件通用条款版本，列出深圳市政府采购项目进行招标采购所适用的通用条款内容。</w:t>
      </w:r>
      <w:bookmarkStart w:id="37" w:name="_Hlk72399729"/>
      <w:r>
        <w:rPr>
          <w:rFonts w:hint="eastAsia" w:ascii="宋体" w:hAnsi="宋体" w:eastAsia="宋体" w:cs="宋体"/>
          <w:szCs w:val="21"/>
        </w:rPr>
        <w:t>如有需要，政府集中采购机构可以对通用条款的内容进行补充。</w:t>
      </w:r>
      <w:bookmarkEnd w:id="37"/>
    </w:p>
    <w:p w14:paraId="5550D1B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1.2招标文件分为第一册“专用条款”和第二册“通用条款”。</w:t>
      </w:r>
    </w:p>
    <w:p w14:paraId="1763E34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1.3“专用条款”是对本次采购项目的具体要求，包含招标公告、对通用条款的补充内容及其他关键信息、用户需求书、投标文件格式及附件、合同条款及格式等内容。</w:t>
      </w:r>
    </w:p>
    <w:p w14:paraId="278C894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1.4“通用条款”是适用于政府采购公开招标项目的基础性条款，具有普遍性和通用性。</w:t>
      </w:r>
    </w:p>
    <w:p w14:paraId="5DE6D11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1.5 “专用条款”和“通用条款”表述不一致或有冲突时，以“专用条款”为准。</w:t>
      </w:r>
    </w:p>
    <w:p w14:paraId="44C5C0E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2．招标说明</w:t>
      </w:r>
    </w:p>
    <w:p w14:paraId="75E0C55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本项目按照《深圳经济特区政府采购条例》、《深圳经济特区政府采购条例实施细则》及政府采购其他法律法规，通过公开招标方式确定中标供应商。</w:t>
      </w:r>
    </w:p>
    <w:p w14:paraId="331C612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3．定义</w:t>
      </w:r>
    </w:p>
    <w:p w14:paraId="221D273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招标文件中下列术语应解释为：</w:t>
      </w:r>
    </w:p>
    <w:p w14:paraId="423DC69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3.1“采购人”：指利用财政性资金依法进行政府采购的国家机关、事业单位、团体组织； </w:t>
      </w:r>
    </w:p>
    <w:p w14:paraId="24110ED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3.2 “政府集中采购机构”</w:t>
      </w:r>
      <w:r>
        <w:rPr>
          <w:rFonts w:hint="eastAsia" w:ascii="宋体" w:hAnsi="宋体" w:eastAsia="宋体" w:cs="宋体"/>
          <w:szCs w:val="21"/>
          <w:shd w:val="clear" w:color="auto" w:fill="FFFFFF"/>
        </w:rPr>
        <w:t>是指市政府设立的，组织实施政府采购项目，并对政府采购活动提供服务的专门机构；</w:t>
      </w:r>
      <w:r>
        <w:rPr>
          <w:rFonts w:hint="eastAsia" w:ascii="宋体" w:hAnsi="宋体" w:eastAsia="宋体" w:cs="宋体"/>
          <w:szCs w:val="21"/>
        </w:rPr>
        <w:t>本文件所述的“政府集中采购机构”指</w:t>
      </w:r>
      <w:r>
        <w:rPr>
          <w:rFonts w:hint="eastAsia" w:ascii="宋体" w:hAnsi="宋体" w:eastAsia="宋体" w:cs="宋体"/>
          <w:b/>
          <w:bCs/>
          <w:szCs w:val="21"/>
        </w:rPr>
        <w:t>深圳公共资源交易中心</w:t>
      </w:r>
      <w:r>
        <w:rPr>
          <w:rFonts w:hint="eastAsia" w:ascii="宋体" w:hAnsi="宋体" w:eastAsia="宋体" w:cs="宋体"/>
          <w:szCs w:val="21"/>
        </w:rPr>
        <w:t>；</w:t>
      </w:r>
    </w:p>
    <w:p w14:paraId="70AB715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3.3“投标人”，即供应商，指参加投标竞争并愿意按照招标文件要求向采购人提供货物、工程或者服务的依法成立的法人、其他组织或者自然人；</w:t>
      </w:r>
    </w:p>
    <w:p w14:paraId="67207F2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3.4“评审委员会”是依据《深圳经济特区政府采购条例》、《深圳经济特区政府采购条例实施细则》等有关规定组建的专门负责本次招标其评审工作的临时性机构；</w:t>
      </w:r>
    </w:p>
    <w:p w14:paraId="5C1A566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3.5“日期”指公历日；</w:t>
      </w:r>
    </w:p>
    <w:p w14:paraId="54651F3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3.6“合同”指由本次招标所产生的合同或合约文件；</w:t>
      </w:r>
    </w:p>
    <w:p w14:paraId="6AE29EA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3.7“电子投标文件”指利用</w:t>
      </w:r>
      <w:r>
        <w:rPr>
          <w:rFonts w:hint="eastAsia" w:ascii="宋体" w:hAnsi="宋体" w:eastAsia="宋体" w:cs="宋体"/>
          <w:b/>
          <w:bCs/>
          <w:color w:val="FF0000"/>
          <w:szCs w:val="21"/>
        </w:rPr>
        <w:t>深圳公共资源交易中心（深圳交易集团有限公司</w:t>
      </w:r>
      <w:r>
        <w:rPr>
          <w:rFonts w:hint="eastAsia" w:ascii="宋体" w:hAnsi="宋体" w:eastAsia="宋体" w:cs="宋体"/>
          <w:b/>
          <w:bCs/>
          <w:color w:val="FF0000"/>
          <w:szCs w:val="21"/>
          <w:lang w:val="en-US" w:eastAsia="zh-CN"/>
        </w:rPr>
        <w:t>宝安</w:t>
      </w:r>
      <w:r>
        <w:rPr>
          <w:rFonts w:hint="eastAsia" w:ascii="宋体" w:hAnsi="宋体" w:eastAsia="宋体" w:cs="宋体"/>
          <w:b/>
          <w:bCs/>
          <w:color w:val="FF0000"/>
          <w:szCs w:val="21"/>
        </w:rPr>
        <w:t>分公司）</w:t>
      </w:r>
      <w:r>
        <w:rPr>
          <w:rFonts w:hint="eastAsia" w:ascii="宋体" w:hAnsi="宋体" w:eastAsia="宋体" w:cs="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0330BAC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3.8“网上投标”指通过</w:t>
      </w:r>
      <w:r>
        <w:rPr>
          <w:rFonts w:hint="eastAsia" w:ascii="宋体" w:hAnsi="宋体" w:eastAsia="宋体" w:cs="宋体"/>
          <w:b/>
          <w:bCs/>
          <w:color w:val="FF0000"/>
          <w:szCs w:val="21"/>
        </w:rPr>
        <w:t>深圳公共资源交易中心（深圳交易集团有限公司</w:t>
      </w:r>
      <w:r>
        <w:rPr>
          <w:rFonts w:hint="eastAsia" w:ascii="宋体" w:hAnsi="宋体" w:eastAsia="宋体" w:cs="宋体"/>
          <w:b/>
          <w:bCs/>
          <w:color w:val="FF0000"/>
          <w:szCs w:val="21"/>
          <w:lang w:val="en-US" w:eastAsia="zh-CN"/>
        </w:rPr>
        <w:t>宝安</w:t>
      </w:r>
      <w:r>
        <w:rPr>
          <w:rFonts w:hint="eastAsia" w:ascii="宋体" w:hAnsi="宋体" w:eastAsia="宋体" w:cs="宋体"/>
          <w:b/>
          <w:bCs/>
          <w:color w:val="FF0000"/>
          <w:szCs w:val="21"/>
        </w:rPr>
        <w:t>分公司）</w:t>
      </w:r>
      <w:r>
        <w:rPr>
          <w:rFonts w:hint="eastAsia" w:ascii="宋体" w:hAnsi="宋体" w:eastAsia="宋体" w:cs="宋体"/>
          <w:szCs w:val="21"/>
        </w:rPr>
        <w:t>网站上传电子投标文件；</w:t>
      </w:r>
    </w:p>
    <w:p w14:paraId="5BAC42C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3.9招标文件中的标题或题名仅起引导作用，而不应视为对招标文件内容的理解和解释。</w:t>
      </w:r>
    </w:p>
    <w:p w14:paraId="3687DBBD">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 xml:space="preserve">4. </w:t>
      </w:r>
      <w:bookmarkStart w:id="38" w:name="_Hlk72398643"/>
      <w:r>
        <w:rPr>
          <w:rFonts w:hint="eastAsia" w:ascii="宋体" w:hAnsi="宋体" w:eastAsia="宋体" w:cs="宋体"/>
          <w:sz w:val="24"/>
        </w:rPr>
        <w:t>政府采购供应商责任</w:t>
      </w:r>
    </w:p>
    <w:p w14:paraId="54FF92A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4.1欢迎诚信、有实力和有社会责任心的供应商参与政府采购事业。</w:t>
      </w:r>
    </w:p>
    <w:p w14:paraId="7EAAF6D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4.2投标人应当遵循公平竞争的原则，不得恶意串通，不得妨碍其他投标人的竞争行为，不得损害采购人或者其他投标人的合法权益。如违反上述要求，经核实后，供应商的投标无效。</w:t>
      </w:r>
    </w:p>
    <w:p w14:paraId="6BF3AFFC">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5．投标人参加政府采购的条件</w:t>
      </w:r>
    </w:p>
    <w:p w14:paraId="71385FF1">
      <w:pPr>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5.1投标人应在投标前到</w:t>
      </w:r>
      <w:r>
        <w:rPr>
          <w:rFonts w:hint="eastAsia" w:ascii="宋体" w:hAnsi="宋体" w:eastAsia="宋体" w:cs="宋体"/>
          <w:b/>
          <w:bCs/>
          <w:szCs w:val="21"/>
        </w:rPr>
        <w:t>深圳公共资源交易中心（具体在深圳交易集团有限公司政府采购业务分公司进行办理）</w:t>
      </w:r>
      <w:r>
        <w:rPr>
          <w:rFonts w:hint="eastAsia" w:ascii="宋体" w:hAnsi="宋体" w:eastAsia="宋体" w:cs="宋体"/>
          <w:szCs w:val="21"/>
        </w:rPr>
        <w:t>进行注册并办理电子密钥。《供应商注册及信息变更指引》详见www.szggzy.com网站“交易服务指南-政府采购”</w:t>
      </w:r>
      <w:r>
        <w:rPr>
          <w:rFonts w:hint="eastAsia" w:ascii="宋体" w:hAnsi="宋体" w:eastAsia="宋体" w:cs="宋体"/>
          <w:szCs w:val="21"/>
          <w:lang w:val="en-US" w:eastAsia="zh-CN"/>
        </w:rPr>
        <w:t>。</w:t>
      </w:r>
    </w:p>
    <w:p w14:paraId="7C98A3B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5.2投标人资格要求</w:t>
      </w:r>
    </w:p>
    <w:p w14:paraId="3B54114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参加本项目的投标人应具备的资格条件详见本项目招标公告中 “投标人资格要求”（即申请人的资格要求）的内容。</w:t>
      </w:r>
    </w:p>
    <w:p w14:paraId="0D256FE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5.3联合体投标</w:t>
      </w:r>
    </w:p>
    <w:p w14:paraId="5CA7001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5.3.1　以下有关联合体投标的条款仅适用于允许投标人组成联合体投标的项目。</w:t>
      </w:r>
    </w:p>
    <w:p w14:paraId="591A291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5.3.2  由两个或两个以上的自然人、法人或者其他组织可以组成一个联合体，以一个供应商的身份共同投标时，应符合以下原则：</w:t>
      </w:r>
    </w:p>
    <w:p w14:paraId="5CBB5CB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（1）投标联合体各方参加政府采购活动应当具备下列条件： </w:t>
      </w:r>
    </w:p>
    <w:p w14:paraId="278672E4">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1、具有独立承担民事责任的能力； </w:t>
      </w:r>
    </w:p>
    <w:p w14:paraId="49D2EB8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2、有良好的商业信誉和健全的财务会计制度； </w:t>
      </w:r>
    </w:p>
    <w:p w14:paraId="5A26CDE7">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3、具有履行合同所必需的设备和专业技术能力； </w:t>
      </w:r>
    </w:p>
    <w:p w14:paraId="44487C0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4、有依法缴纳税收和社会保障资金的良好记录； </w:t>
      </w:r>
    </w:p>
    <w:p w14:paraId="707C729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5、参加政府采购活动前三年内，在经营活动中没有重大违法记录； </w:t>
      </w:r>
    </w:p>
    <w:p w14:paraId="6358B5D7">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 xml:space="preserve">6、法律、行政法规规定的其他条件。 </w:t>
      </w:r>
    </w:p>
    <w:p w14:paraId="62E8784A">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（2）在投标截止前，投标联合体各方均应注册成政府集中采购机构供应商；</w:t>
      </w:r>
    </w:p>
    <w:p w14:paraId="75993B9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（3）联合体中有同类资质的供应商按照联合体分工承担相同工作的，应当按照资质等级较低的供应商确定资质等级；</w:t>
      </w:r>
    </w:p>
    <w:p w14:paraId="1F65BEB7">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（4）是否允许联合体参加投标，应当由采购人和采购代理机构根据项目的实际情况和潜在供应商的数量自主决定，如果决定接受联合体投标则应当在招标公告中明示；</w:t>
      </w:r>
    </w:p>
    <w:p w14:paraId="24AD69D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（5）投标人的投标文件及中标后签署的合同协议对联合体各方均具法律约束力；</w:t>
      </w:r>
    </w:p>
    <w:p w14:paraId="6B35A75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（6）联合体各方应当签订联合体投标协议，明确约定各方拟承担的工作和责任，并将该协议随投标文件一并递交给政府集中采购机构；</w:t>
      </w:r>
    </w:p>
    <w:p w14:paraId="00C000E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（7）联合体中标后，联合体各方应当共同与采购人签订合同，就中标项目向采购人承担连带责任；</w:t>
      </w:r>
    </w:p>
    <w:p w14:paraId="5294301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B2431D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rPr>
        <w:t>（9）本通用条款中“投标人”一词亦指联合体各方，专用条款另有规定或说明的除外。</w:t>
      </w:r>
    </w:p>
    <w:p w14:paraId="59F3BED7">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6．政策导向</w:t>
      </w:r>
    </w:p>
    <w:p w14:paraId="61C03BF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6.1  政府采购支持本国产品、支持中小企业、监狱企业和残疾人福利性单位发展，支持乡村产业振兴，支持创新、节能减排、绿色环保等。</w:t>
      </w:r>
    </w:p>
    <w:p w14:paraId="445BA88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6.2  本项目落实深圳市政府采购供应商诚信管理政策要求。</w:t>
      </w:r>
    </w:p>
    <w:p w14:paraId="036D5071">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val="en-US" w:eastAsia="zh-CN"/>
        </w:rPr>
      </w:pPr>
      <w:r>
        <w:rPr>
          <w:rFonts w:hint="eastAsia" w:ascii="宋体" w:hAnsi="宋体" w:eastAsia="宋体" w:cs="宋体"/>
          <w:lang w:val="en-US" w:eastAsia="zh-CN"/>
        </w:rPr>
        <w:t>6.3  本项目支持投标人性别平等的相关政策。</w:t>
      </w:r>
    </w:p>
    <w:p w14:paraId="33E1EFD7">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7. 本项目若涉及采购货物，则合格的货物及相应服务应满足以下要求：</w:t>
      </w:r>
    </w:p>
    <w:p w14:paraId="438153E8">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7.1  必须是全新、未使用过的原装合格正品（包括零部件），如安装或配置了软件的，须为正版软件。</w:t>
      </w:r>
    </w:p>
    <w:p w14:paraId="4F422AA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7.2  国产的货物及其有关服务必须符合中华人民共和国的设计、制造生产标准及行业标准。招标公告有其他要求的，亦应符合其要求。</w:t>
      </w:r>
    </w:p>
    <w:p w14:paraId="79A7BAA8">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D064C2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7.4  投标人</w:t>
      </w:r>
      <w:bookmarkStart w:id="39" w:name="_Hlk72152753"/>
      <w:r>
        <w:rPr>
          <w:rFonts w:hint="eastAsia" w:ascii="宋体" w:hAnsi="宋体" w:eastAsia="宋体" w:cs="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9"/>
    </w:p>
    <w:p w14:paraId="5036733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D98CBC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7.6  工期要求：投标人在投标时对其所投项目应提交交货进度、交货计划等，在合同规定的时间内完成项目实施工作。</w:t>
      </w:r>
    </w:p>
    <w:p w14:paraId="0686981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7.7  投标人必须承担的设备运输、安装调试、验收检测和提供设备操作说明书、图纸等其他相关及类似的义务。</w:t>
      </w:r>
    </w:p>
    <w:p w14:paraId="7D1B1E0C">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8．投标费用</w:t>
      </w:r>
    </w:p>
    <w:p w14:paraId="2B84C18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不论投标结果如何，投标人应承担其编制投标文件与递交投标文件所涉及的一切费用。</w:t>
      </w:r>
    </w:p>
    <w:p w14:paraId="75FEF53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9．踏勘现场</w:t>
      </w:r>
    </w:p>
    <w:p w14:paraId="5FB94CD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3B79FA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9.2投标人及其人员经过采购人的允许，可以进入采购人的项目现场踏勘。若招标文件要求投标人于统一时间地点踏勘现场的，投标人应当按时前往。</w:t>
      </w:r>
    </w:p>
    <w:p w14:paraId="40F6937A">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9.3采购人应当通过政府集中采购机构向投标人提供有关现场的书面资料和数据。</w:t>
      </w:r>
    </w:p>
    <w:p w14:paraId="1A56922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9.4任何人或任何组织在踏勘现场时向投标人提供的任何书面资料或口头承诺，未经政府集中采购机构在网上发布或书面通知，均作无效处理。</w:t>
      </w:r>
    </w:p>
    <w:p w14:paraId="27DF7BE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szCs w:val="21"/>
        </w:rPr>
        <w:t>9.5未参与踏勘现场不作为否定投标人资格的理由。</w:t>
      </w:r>
    </w:p>
    <w:p w14:paraId="21F1E00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 w:val="24"/>
        </w:rPr>
        <w:t>10．标前会议</w:t>
      </w:r>
    </w:p>
    <w:p w14:paraId="5D7F009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04FB8EC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rPr>
        <w:t>10.2任何人或任何组织在标前会议时向投标人提供的任何书面资料或口头承诺，未经政府集中采购机构在网上发布或书面通知，均作无效处理。</w:t>
      </w:r>
    </w:p>
    <w:p w14:paraId="6A8BD38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10.3未参与标前会议不作为否定投标人资格的理由。</w:t>
      </w:r>
    </w:p>
    <w:bookmarkEnd w:id="38"/>
    <w:p w14:paraId="277E5C6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6A8EA05D">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招标文件</w:t>
      </w:r>
    </w:p>
    <w:p w14:paraId="47019397">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11．</w:t>
      </w:r>
      <w:bookmarkStart w:id="40" w:name="_Hlk72399819"/>
      <w:r>
        <w:rPr>
          <w:rFonts w:hint="eastAsia" w:ascii="宋体" w:hAnsi="宋体" w:eastAsia="宋体" w:cs="宋体"/>
          <w:sz w:val="24"/>
        </w:rPr>
        <w:t>招标文件的编制与组成</w:t>
      </w:r>
    </w:p>
    <w:p w14:paraId="7D6B5A7A">
      <w:pPr>
        <w:kinsoku/>
        <w:overflowPunct/>
        <w:topLinePunct w:val="0"/>
        <w:bidi w:val="0"/>
        <w:snapToGrid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11.1招标文件除以下内容外，政府集中采购机构在招标期间发出的澄清或修改等相关公告或通知内容，均是招标文件的组成部分，对投标人起约束作用；</w:t>
      </w:r>
    </w:p>
    <w:p w14:paraId="3BD96A3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招标文件包括下列内容：</w:t>
      </w:r>
    </w:p>
    <w:p w14:paraId="27A00E70">
      <w:pPr>
        <w:kinsoku/>
        <w:overflowPunct/>
        <w:topLinePunct w:val="0"/>
        <w:bidi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第一册  专用条款</w:t>
      </w:r>
    </w:p>
    <w:p w14:paraId="297C5A84">
      <w:pPr>
        <w:kinsoku/>
        <w:overflowPunct/>
        <w:topLinePunct w:val="0"/>
        <w:bidi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关键信息</w:t>
      </w:r>
    </w:p>
    <w:p w14:paraId="4C40BA9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第一章  招标公告</w:t>
      </w:r>
    </w:p>
    <w:p w14:paraId="58308C1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第二章  对通用条款的补充内容及其他关键信息</w:t>
      </w:r>
    </w:p>
    <w:p w14:paraId="69CB1BD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第三章  用户需求书</w:t>
      </w:r>
    </w:p>
    <w:p w14:paraId="3F50685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rPr>
        <w:t>第四章  投标文件格式及附件</w:t>
      </w:r>
    </w:p>
    <w:p w14:paraId="26AF8F0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第五章  合同条款及格式</w:t>
      </w:r>
    </w:p>
    <w:p w14:paraId="10F0B196">
      <w:pPr>
        <w:kinsoku/>
        <w:overflowPunct/>
        <w:topLinePunct w:val="0"/>
        <w:bidi w:val="0"/>
        <w:spacing w:beforeAutospacing="0" w:afterAutospacing="0" w:line="360" w:lineRule="auto"/>
        <w:ind w:left="0" w:leftChars="0" w:right="0" w:firstLine="0" w:firstLineChars="0"/>
        <w:rPr>
          <w:rFonts w:hint="eastAsia" w:ascii="宋体" w:hAnsi="宋体" w:eastAsia="宋体" w:cs="宋体"/>
          <w:b/>
          <w:szCs w:val="21"/>
        </w:rPr>
      </w:pPr>
      <w:r>
        <w:rPr>
          <w:rFonts w:hint="eastAsia" w:ascii="宋体" w:hAnsi="宋体" w:eastAsia="宋体" w:cs="宋体"/>
          <w:b/>
          <w:szCs w:val="21"/>
        </w:rPr>
        <w:t>第二册  通用条款</w:t>
      </w:r>
    </w:p>
    <w:p w14:paraId="42533CB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第一章  总则</w:t>
      </w:r>
    </w:p>
    <w:p w14:paraId="5A40A2D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第二章  招标文件</w:t>
      </w:r>
    </w:p>
    <w:p w14:paraId="20F4449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第三章  投标文件的编制</w:t>
      </w:r>
    </w:p>
    <w:p w14:paraId="5B9526A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第四章  投标文件的递交</w:t>
      </w:r>
    </w:p>
    <w:p w14:paraId="16BE4A1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第五章  开标</w:t>
      </w:r>
    </w:p>
    <w:p w14:paraId="1A0163A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第六章  评审要求</w:t>
      </w:r>
    </w:p>
    <w:p w14:paraId="7C61E4E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第七章  评审程序及评审方法</w:t>
      </w:r>
    </w:p>
    <w:p w14:paraId="69CC258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第八章  定标及公示</w:t>
      </w:r>
    </w:p>
    <w:p w14:paraId="7B1555F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第九章  公开招标失败的后续处理</w:t>
      </w:r>
    </w:p>
    <w:p w14:paraId="0A32C80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第十章  合同的授予与备案</w:t>
      </w:r>
    </w:p>
    <w:p w14:paraId="0ACAC67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第十一章  质疑处理</w:t>
      </w:r>
    </w:p>
    <w:p w14:paraId="259ABF2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11.2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BB2A0E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11.3</w:t>
      </w:r>
      <w:r>
        <w:rPr>
          <w:rFonts w:hint="eastAsia" w:ascii="宋体" w:hAnsi="宋体" w:eastAsia="宋体" w:cs="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C936BE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12．招标文件的澄清</w:t>
      </w:r>
    </w:p>
    <w:p w14:paraId="477DB12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12.1招标文件澄清的目的是澄清、解答投标人在查阅招标文件后或现场踏勘中可能提出的与投标有关的疑问或询问。</w:t>
      </w:r>
    </w:p>
    <w:p w14:paraId="1548D98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12.2投标人如对招标文件内容有疑问，应当在招标公告规定的澄清（提问）截止时间前以网上提问的形式通过网上政府采购系统提交政府集中采购机构。</w:t>
      </w:r>
    </w:p>
    <w:p w14:paraId="49D2DE0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12.3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13.3、13.4款规定执行。</w:t>
      </w:r>
    </w:p>
    <w:p w14:paraId="788820C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13．招标文件的修改</w:t>
      </w:r>
    </w:p>
    <w:p w14:paraId="5F2591C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13.1招标文件发出后，在投标截止日期前任何时候，确需要变更招标文件内容的，政府集中采购机构可主动或在解答投标人提出的澄清问题时对招标文件进行修改。</w:t>
      </w:r>
    </w:p>
    <w:p w14:paraId="55459BF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13.2招标文件的修改以书面形式（包括政府集中采购机构网站发布方式，如更正公告等）发送给所有投标人，招标文件的修改内容作为招标文件的组成部分，并具有约束力。</w:t>
      </w:r>
    </w:p>
    <w:p w14:paraId="470D5AF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6786B8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0"/>
    </w:p>
    <w:p w14:paraId="54C9B79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p>
    <w:p w14:paraId="0F312C13">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投标文件的编制</w:t>
      </w:r>
    </w:p>
    <w:p w14:paraId="6A1A160F">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14．</w:t>
      </w:r>
      <w:bookmarkStart w:id="41" w:name="_Hlk72400236"/>
      <w:r>
        <w:rPr>
          <w:rFonts w:hint="eastAsia" w:ascii="宋体" w:hAnsi="宋体" w:eastAsia="宋体" w:cs="宋体"/>
          <w:sz w:val="24"/>
        </w:rPr>
        <w:t>投标文件的语言及度量单位</w:t>
      </w:r>
    </w:p>
    <w:p w14:paraId="011901E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4150DF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14.2 除技术规范另有规定外，投标文件使用的度量单位，均采用中华人民共和国法定计量单位。</w:t>
      </w:r>
    </w:p>
    <w:bookmarkEnd w:id="41"/>
    <w:p w14:paraId="64417CB2">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15．</w:t>
      </w:r>
      <w:bookmarkStart w:id="42" w:name="_Hlk72401567"/>
      <w:r>
        <w:rPr>
          <w:rFonts w:hint="eastAsia" w:ascii="宋体" w:hAnsi="宋体" w:eastAsia="宋体" w:cs="宋体"/>
          <w:sz w:val="24"/>
        </w:rPr>
        <w:t>投标文件的组成</w:t>
      </w:r>
    </w:p>
    <w:p w14:paraId="2C308BD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具体内容在招标文件专用条款中进行规定。</w:t>
      </w:r>
    </w:p>
    <w:p w14:paraId="32C8C5D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16．投标文件格式</w:t>
      </w:r>
    </w:p>
    <w:p w14:paraId="4F6CC2C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投标文件包括本通用条款第15条中规定的内容。如招标文件提供了投标文件格式，则</w:t>
      </w:r>
      <w:r>
        <w:rPr>
          <w:rFonts w:hint="eastAsia" w:ascii="宋体" w:hAnsi="宋体" w:eastAsia="宋体" w:cs="宋体"/>
          <w:b/>
          <w:bCs/>
          <w:szCs w:val="21"/>
        </w:rPr>
        <w:t>投标人提交的投标文件应毫无例外地使用招标文件所提供的相应格式</w:t>
      </w:r>
      <w:r>
        <w:rPr>
          <w:rFonts w:hint="eastAsia" w:ascii="宋体" w:hAnsi="宋体" w:eastAsia="宋体" w:cs="宋体"/>
          <w:szCs w:val="21"/>
        </w:rPr>
        <w:t>（表格均可按同样格式扩展）。</w:t>
      </w:r>
    </w:p>
    <w:p w14:paraId="562B394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17．投标货币</w:t>
      </w:r>
    </w:p>
    <w:p w14:paraId="3FE394F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本项目的投标报价应以人民币计。</w:t>
      </w:r>
    </w:p>
    <w:bookmarkEnd w:id="42"/>
    <w:p w14:paraId="1F66D74D">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18．</w:t>
      </w:r>
      <w:bookmarkStart w:id="43" w:name="_Hlk72401735"/>
      <w:r>
        <w:rPr>
          <w:rFonts w:hint="eastAsia" w:ascii="宋体" w:hAnsi="宋体" w:eastAsia="宋体" w:cs="宋体"/>
          <w:sz w:val="24"/>
        </w:rPr>
        <w:t>证明投标文件投标技术方案的合格性和符合招标文件规定的文件要求</w:t>
      </w:r>
    </w:p>
    <w:p w14:paraId="7CD5B19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18.1 投标人应提交证明文件，证明其投标技术方案项下的货物和服务的合格性符合招标文件规定。该投标技术方案及其证明文件均作为投标文件组成部分。</w:t>
      </w:r>
    </w:p>
    <w:p w14:paraId="3DA927A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9FBE07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18.2.1主要技术指标和性能的详细说明。</w:t>
      </w:r>
    </w:p>
    <w:p w14:paraId="6AFCA11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18.2.2投标产品从采购人开始使用至招标文件中规定的周期内正常、连续地使用所必须的备件和专用工具清单，包括备件和专用工具的货源及现行价格。</w:t>
      </w:r>
    </w:p>
    <w:p w14:paraId="4505EF1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A62C54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宋体" w:hAnsi="宋体" w:eastAsia="宋体" w:cs="宋体"/>
        </w:rPr>
        <w:t>清晰度要求能够使用电脑阅读、识别和判断</w:t>
      </w:r>
      <w:r>
        <w:rPr>
          <w:rFonts w:hint="eastAsia" w:ascii="宋体" w:hAnsi="宋体" w:eastAsia="宋体" w:cs="宋体"/>
          <w:szCs w:val="21"/>
        </w:rPr>
        <w:t>；</w:t>
      </w:r>
    </w:p>
    <w:p w14:paraId="04128C9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CA3F46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18.3相关资料不符合18.2款要求的，评审委员会有权认定为投标技术方案不合格响应，其相关分数予以扣减或作投标无效处理。</w:t>
      </w:r>
    </w:p>
    <w:p w14:paraId="36BD0A2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eastAsia="宋体" w:cs="宋体"/>
        </w:rPr>
        <w:t>满足要求</w:t>
      </w:r>
      <w:r>
        <w:rPr>
          <w:rFonts w:hint="eastAsia" w:ascii="宋体" w:hAnsi="宋体" w:eastAsia="宋体" w:cs="宋体"/>
          <w:szCs w:val="21"/>
        </w:rPr>
        <w:t>，由评审委员会来评判。</w:t>
      </w:r>
    </w:p>
    <w:p w14:paraId="43BD663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18.5除非另有规定或说明，投标人对同一项目投标时，不得同时提供两套或两套以上的投标方案。</w:t>
      </w:r>
    </w:p>
    <w:bookmarkEnd w:id="43"/>
    <w:p w14:paraId="3A26666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19．</w:t>
      </w:r>
      <w:bookmarkStart w:id="44" w:name="_Hlk72402034"/>
      <w:r>
        <w:rPr>
          <w:rFonts w:hint="eastAsia" w:ascii="宋体" w:hAnsi="宋体" w:eastAsia="宋体" w:cs="宋体"/>
          <w:sz w:val="24"/>
        </w:rPr>
        <w:t>投标文件其他证明文件的要求</w:t>
      </w:r>
    </w:p>
    <w:p w14:paraId="7D1D902B">
      <w:pPr>
        <w:kinsoku/>
        <w:overflowPunct/>
        <w:topLinePunct w:val="0"/>
        <w:bidi w:val="0"/>
        <w:spacing w:beforeAutospacing="0" w:afterAutospacing="0" w:line="360" w:lineRule="auto"/>
        <w:ind w:left="0" w:leftChars="0" w:right="0" w:firstLine="0" w:firstLineChars="0"/>
        <w:rPr>
          <w:rFonts w:hint="eastAsia" w:ascii="宋体" w:hAnsi="宋体" w:eastAsia="宋体" w:cs="宋体"/>
          <w:color w:val="FF0000"/>
          <w:szCs w:val="21"/>
        </w:rPr>
      </w:pPr>
      <w:r>
        <w:rPr>
          <w:rFonts w:hint="eastAsia" w:ascii="宋体" w:hAnsi="宋体" w:eastAsia="宋体" w:cs="宋体"/>
          <w:sz w:val="24"/>
        </w:rPr>
        <w:t xml:space="preserve">    </w:t>
      </w:r>
      <w:r>
        <w:rPr>
          <w:rFonts w:hint="eastAsia" w:ascii="宋体" w:hAnsi="宋体" w:eastAsia="宋体" w:cs="宋体"/>
          <w:szCs w:val="21"/>
        </w:rPr>
        <w:t>19.1</w:t>
      </w:r>
      <w:bookmarkStart w:id="45" w:name="_Hlk71407299"/>
      <w:r>
        <w:rPr>
          <w:rFonts w:hint="eastAsia" w:ascii="宋体" w:hAnsi="宋体" w:eastAsia="宋体" w:cs="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5"/>
    <w:p w14:paraId="1BF82D6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7B8291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20．投标有效期</w:t>
      </w:r>
    </w:p>
    <w:bookmarkEnd w:id="44"/>
    <w:p w14:paraId="13D9E2A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bookmarkStart w:id="46" w:name="_Hlk72402214"/>
      <w:r>
        <w:rPr>
          <w:rFonts w:hint="eastAsia" w:ascii="宋体" w:hAnsi="宋体" w:eastAsia="宋体" w:cs="宋体"/>
          <w:szCs w:val="21"/>
        </w:rPr>
        <w:t>20.1 投标有效期为从投标截止之日算起的日历天数。在此期限内，所有投标文件均保持有效。</w:t>
      </w:r>
    </w:p>
    <w:p w14:paraId="6F13AFD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5A879B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20.3 中标供应商的投标文件有效期，截止于完成本招标文件规定的全部项目内容，并通过竣工验收及保修期结束。</w:t>
      </w:r>
    </w:p>
    <w:bookmarkEnd w:id="46"/>
    <w:p w14:paraId="0AFD236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21．</w:t>
      </w:r>
      <w:bookmarkStart w:id="47" w:name="_Hlk72402325"/>
      <w:r>
        <w:rPr>
          <w:rFonts w:hint="eastAsia" w:ascii="宋体" w:hAnsi="宋体" w:eastAsia="宋体" w:cs="宋体"/>
          <w:sz w:val="24"/>
        </w:rPr>
        <w:t xml:space="preserve">关于投标保证金 </w:t>
      </w:r>
    </w:p>
    <w:p w14:paraId="73A4A53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21.1</w:t>
      </w:r>
      <w:r>
        <w:rPr>
          <w:rFonts w:hint="eastAsia" w:ascii="宋体" w:hAnsi="宋体" w:eastAsia="宋体" w:cs="宋体"/>
        </w:rPr>
        <w:t>根据《深圳市财政局关于调整政府采购投标（响应）保证金管理政策的通知》（深财购〔2021〕51号）文的规定，本项目不收取投标保证金。</w:t>
      </w:r>
    </w:p>
    <w:p w14:paraId="52E66AD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22．投标人的替代方案</w:t>
      </w:r>
    </w:p>
    <w:p w14:paraId="1B28736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92CB76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7"/>
    <w:p w14:paraId="0745C9B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23．</w:t>
      </w:r>
      <w:bookmarkStart w:id="48" w:name="_Hlk72402860"/>
      <w:r>
        <w:rPr>
          <w:rFonts w:hint="eastAsia" w:ascii="宋体" w:hAnsi="宋体" w:eastAsia="宋体" w:cs="宋体"/>
          <w:sz w:val="24"/>
        </w:rPr>
        <w:t>投标文件的制作要求</w:t>
      </w:r>
    </w:p>
    <w:p w14:paraId="65112DB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23.1投标人应准备所投项目的电子投标文件一份。</w:t>
      </w:r>
    </w:p>
    <w:p w14:paraId="4158363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23.2投标人在使用《投标书编制软件》编制投标书时须注意：</w:t>
      </w:r>
    </w:p>
    <w:p w14:paraId="40EBD294">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23.2.1导入《投标书编制软件》的招标文件项目编号、包号应与以此制作的投标文件项目编号、包号一致。例如，不能将甲项目A包的招标书导入《投标书编制软件》，制作乙项目B包的投标书。</w:t>
      </w:r>
    </w:p>
    <w:p w14:paraId="068EAB34">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23.2.2不能用非本公司的电子密钥加密本公司的投标文件，或者用其它公司的登录用户上传本公司的投标文件。</w:t>
      </w:r>
    </w:p>
    <w:p w14:paraId="6E85B26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23.2.3要求用《投标书编制软件》编制投标书的包，不能用其它方式编制投标书。编制投标文件时，电脑须连通互联网。</w:t>
      </w:r>
    </w:p>
    <w:p w14:paraId="3C5D4FD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23.2.4投标文件不能带病毒。政府集中采购机构将用专业杀毒软件对投标文件进行病毒检测，如果这两种软件均报告发现病毒，则政府集中采购机构认为该投标文件带病毒。</w:t>
      </w:r>
    </w:p>
    <w:p w14:paraId="5B4744C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23.2.6投标人在编辑投标文件时，</w:t>
      </w:r>
      <w:r>
        <w:rPr>
          <w:rFonts w:hint="eastAsia" w:ascii="宋体" w:hAnsi="宋体" w:eastAsia="宋体" w:cs="宋体"/>
          <w:b/>
        </w:rPr>
        <w:t>在投标文件目录中属于本节点内容的必须在本节点中填写，填写到其他节点或附件，</w:t>
      </w:r>
      <w:r>
        <w:rPr>
          <w:rFonts w:hint="eastAsia" w:ascii="宋体" w:hAnsi="宋体" w:eastAsia="宋体" w:cs="宋体"/>
        </w:rPr>
        <w:t>一切后果由供应商自行承担。</w:t>
      </w:r>
    </w:p>
    <w:p w14:paraId="2F5CDB7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23.2.7投标文件编写完成后，</w:t>
      </w:r>
      <w:r>
        <w:rPr>
          <w:rFonts w:hint="eastAsia" w:ascii="宋体" w:hAnsi="宋体" w:eastAsia="宋体" w:cs="宋体"/>
          <w:b/>
        </w:rPr>
        <w:t>必须用属于投标人的电子密钥</w:t>
      </w:r>
      <w:r>
        <w:rPr>
          <w:rFonts w:hint="eastAsia" w:ascii="宋体" w:hAnsi="宋体" w:eastAsia="宋体" w:cs="宋体"/>
          <w:b/>
          <w:lang w:val="en-US" w:eastAsia="zh-CN"/>
        </w:rPr>
        <w:t>或电子营业执照</w:t>
      </w:r>
      <w:r>
        <w:rPr>
          <w:rFonts w:hint="eastAsia" w:ascii="宋体" w:hAnsi="宋体" w:eastAsia="宋体" w:cs="宋体"/>
          <w:b/>
        </w:rPr>
        <w:t>进行加密，否则视同未盖公章，将导致投标文件无效。</w:t>
      </w:r>
    </w:p>
    <w:p w14:paraId="17D1CB8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E2B845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23.2.9如果开标时出现网络故障、技术故障，影响了政府采购活动，政府集中采购机构有权采取措施如延期、接受无法从网上上传的投标书等，以保障政府采购活动的公开、公平和公正。</w:t>
      </w:r>
    </w:p>
    <w:p w14:paraId="005A4A1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23.3电报、电话、传真形式的投标概不接受。</w:t>
      </w:r>
    </w:p>
    <w:p w14:paraId="1B7CDC11">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r>
        <w:rPr>
          <w:rFonts w:hint="eastAsia" w:ascii="宋体" w:hAnsi="宋体" w:eastAsia="宋体" w:cs="宋体"/>
          <w:b/>
        </w:rPr>
        <w:t>23.4经投标人电子密钥</w:t>
      </w:r>
      <w:r>
        <w:rPr>
          <w:rFonts w:hint="eastAsia" w:ascii="宋体" w:hAnsi="宋体" w:eastAsia="宋体" w:cs="宋体"/>
          <w:b/>
          <w:lang w:val="en-US" w:eastAsia="zh-CN"/>
        </w:rPr>
        <w:t>或电子营业执照</w:t>
      </w:r>
      <w:r>
        <w:rPr>
          <w:rFonts w:hint="eastAsia" w:ascii="宋体" w:hAnsi="宋体" w:eastAsia="宋体" w:cs="宋体"/>
          <w:b/>
        </w:rPr>
        <w:t>加密的投标文件无须盖章或签字，</w:t>
      </w:r>
      <w:r>
        <w:rPr>
          <w:rFonts w:hint="eastAsia" w:ascii="宋体" w:hAnsi="宋体" w:eastAsia="宋体" w:cs="宋体"/>
        </w:rPr>
        <w:t>专用条款另有要求的除外。</w:t>
      </w:r>
    </w:p>
    <w:p w14:paraId="2F2D111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b/>
        </w:rPr>
        <w:t>23.5</w:t>
      </w:r>
      <w:r>
        <w:rPr>
          <w:rFonts w:hint="eastAsia" w:ascii="宋体" w:hAnsi="宋体" w:eastAsia="宋体" w:cs="宋体"/>
        </w:rPr>
        <w:t xml:space="preserve"> 各类资格（资质）文件提供扫描件，专用条款另有要求的除外。</w:t>
      </w:r>
      <w:bookmarkEnd w:id="48"/>
    </w:p>
    <w:p w14:paraId="5BD42DA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p>
    <w:p w14:paraId="3C2138E5">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投标文件的递交</w:t>
      </w:r>
    </w:p>
    <w:p w14:paraId="2D37CB4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49" w:name="_Hlk72405459"/>
      <w:r>
        <w:rPr>
          <w:rFonts w:hint="eastAsia" w:ascii="宋体" w:hAnsi="宋体" w:eastAsia="宋体" w:cs="宋体"/>
          <w:sz w:val="24"/>
        </w:rPr>
        <w:t>24．投标文件的保密</w:t>
      </w:r>
    </w:p>
    <w:p w14:paraId="0B485777">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eastAsia="宋体" w:cs="宋体"/>
          <w:lang w:eastAsia="zh-CN"/>
        </w:rPr>
        <w:t>。加密后会提示文件生成成功！</w:t>
      </w:r>
      <w:r>
        <w:rPr>
          <w:rFonts w:hint="eastAsia" w:ascii="宋体" w:hAnsi="宋体" w:eastAsia="宋体" w:cs="宋体"/>
          <w:highlight w:val="yellow"/>
          <w:lang w:eastAsia="zh-CN"/>
        </w:rPr>
        <w:t>(注意：加密的投标文件开标时须使用加密文件时使用的锁在项目规定时间内解密！)</w:t>
      </w:r>
    </w:p>
    <w:p w14:paraId="3C0F6547">
      <w:pPr>
        <w:kinsoku/>
        <w:overflowPunct/>
        <w:topLinePunct w:val="0"/>
        <w:bidi w:val="0"/>
        <w:spacing w:beforeAutospacing="0" w:afterAutospacing="0" w:line="360" w:lineRule="auto"/>
        <w:ind w:left="0" w:leftChars="0" w:right="0" w:firstLine="0" w:firstLineChars="0"/>
        <w:rPr>
          <w:rFonts w:hint="eastAsia" w:ascii="宋体" w:hAnsi="宋体" w:eastAsia="宋体" w:cs="宋体"/>
          <w:b/>
        </w:rPr>
      </w:pPr>
      <w:r>
        <w:rPr>
          <w:rFonts w:hint="eastAsia" w:ascii="宋体" w:hAnsi="宋体" w:eastAsia="宋体" w:cs="宋体"/>
          <w:b/>
        </w:rPr>
        <w:t>24.2若采购项目出现延期情况：</w:t>
      </w:r>
    </w:p>
    <w:p w14:paraId="275DDC25">
      <w:pPr>
        <w:kinsoku/>
        <w:overflowPunct/>
        <w:topLinePunct w:val="0"/>
        <w:bidi w:val="0"/>
        <w:spacing w:beforeAutospacing="0" w:afterAutospacing="0" w:line="360" w:lineRule="auto"/>
        <w:ind w:left="0" w:leftChars="0" w:right="0" w:firstLine="0" w:firstLineChars="0"/>
        <w:rPr>
          <w:rFonts w:hint="eastAsia" w:ascii="宋体" w:hAnsi="宋体" w:eastAsia="宋体" w:cs="宋体"/>
          <w:b/>
          <w:sz w:val="24"/>
        </w:rPr>
      </w:pPr>
      <w:r>
        <w:rPr>
          <w:rFonts w:hint="eastAsia" w:ascii="宋体" w:hAnsi="宋体" w:eastAsia="宋体" w:cs="宋体"/>
          <w:b/>
        </w:rPr>
        <w:t>如果供下载的招标文件有更新，投标人必须重新下载招标文件、重新制作投标文件、重新加密投标文件、重新上传投标文件。</w:t>
      </w:r>
    </w:p>
    <w:p w14:paraId="1B57C04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25．上传投标文件及投标截止日期</w:t>
      </w:r>
    </w:p>
    <w:p w14:paraId="7E0E2DD2">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25.1实行网上投标，投标人必须在招标文件规定的投标截止时间前用电子密钥登录“深圳市自行采购系统（https://trade.szggzy.com/ggzy/center/#/login）”上传投标文件。如上传过程中遇到问题，可拨打</w:t>
      </w:r>
      <w:r>
        <w:rPr>
          <w:rFonts w:hint="eastAsia" w:ascii="宋体" w:hAnsi="宋体" w:eastAsia="宋体" w:cs="宋体"/>
          <w:lang w:val="en-US" w:eastAsia="zh-CN"/>
        </w:rPr>
        <w:t>采购公告中的技术支持电话</w:t>
      </w:r>
      <w:r>
        <w:rPr>
          <w:rFonts w:hint="eastAsia" w:ascii="宋体" w:hAnsi="宋体" w:eastAsia="宋体" w:cs="宋体"/>
        </w:rPr>
        <w:t>。如多次上传均告失败，请在投标截止时间之前携带加密后的电子投标文件送达至</w:t>
      </w:r>
      <w:r>
        <w:rPr>
          <w:rFonts w:hint="eastAsia" w:ascii="宋体" w:hAnsi="宋体" w:eastAsia="宋体" w:cs="宋体"/>
          <w:b/>
          <w:bCs/>
          <w:szCs w:val="21"/>
        </w:rPr>
        <w:t>深圳公共资源交易中心（深圳交易集团有限公司</w:t>
      </w:r>
      <w:r>
        <w:rPr>
          <w:rFonts w:hint="eastAsia" w:ascii="宋体" w:hAnsi="宋体" w:eastAsia="宋体" w:cs="宋体"/>
          <w:b/>
          <w:bCs/>
          <w:szCs w:val="21"/>
          <w:lang w:val="en-US" w:eastAsia="zh-CN"/>
        </w:rPr>
        <w:t>宝安</w:t>
      </w:r>
      <w:r>
        <w:rPr>
          <w:rFonts w:hint="eastAsia" w:ascii="宋体" w:hAnsi="宋体" w:eastAsia="宋体" w:cs="宋体"/>
          <w:b/>
          <w:bCs/>
          <w:szCs w:val="21"/>
        </w:rPr>
        <w:t>分公司）</w:t>
      </w:r>
      <w:r>
        <w:rPr>
          <w:rFonts w:hint="eastAsia" w:ascii="宋体" w:hAnsi="宋体" w:eastAsia="宋体" w:cs="宋体"/>
          <w:b/>
          <w:bCs/>
          <w:lang w:val="en-US" w:eastAsia="zh-CN"/>
        </w:rPr>
        <w:t>一</w:t>
      </w:r>
      <w:r>
        <w:rPr>
          <w:rFonts w:hint="eastAsia" w:ascii="宋体" w:hAnsi="宋体" w:eastAsia="宋体" w:cs="宋体"/>
          <w:b/>
          <w:bCs/>
        </w:rPr>
        <w:t>楼</w:t>
      </w:r>
      <w:r>
        <w:rPr>
          <w:rFonts w:hint="eastAsia" w:ascii="宋体" w:hAnsi="宋体" w:eastAsia="宋体" w:cs="宋体"/>
          <w:b/>
          <w:bCs/>
          <w:lang w:val="en-US" w:eastAsia="zh-CN"/>
        </w:rPr>
        <w:t>服务大厅</w:t>
      </w:r>
      <w:r>
        <w:rPr>
          <w:rFonts w:hint="eastAsia" w:ascii="宋体" w:hAnsi="宋体" w:eastAsia="宋体" w:cs="宋体"/>
          <w:b/>
          <w:bCs/>
        </w:rPr>
        <w:t>（地址：</w:t>
      </w:r>
      <w:r>
        <w:rPr>
          <w:rFonts w:hint="eastAsia" w:ascii="宋体" w:hAnsi="宋体" w:eastAsia="宋体" w:cs="宋体"/>
          <w:b/>
          <w:bCs/>
          <w:lang w:val="en-US" w:eastAsia="zh-CN"/>
        </w:rPr>
        <w:t>深圳市宝安区湖滨东路40号</w:t>
      </w:r>
      <w:r>
        <w:rPr>
          <w:rFonts w:hint="eastAsia" w:ascii="宋体" w:hAnsi="宋体" w:eastAsia="宋体" w:cs="宋体"/>
          <w:b/>
          <w:bCs/>
        </w:rPr>
        <w:t>）协助上传，但上传过程中投标截止时间到达仍无法上传成功的，由投标人自行负责</w:t>
      </w:r>
      <w:r>
        <w:rPr>
          <w:rFonts w:hint="eastAsia" w:ascii="宋体" w:hAnsi="宋体" w:eastAsia="宋体" w:cs="宋体"/>
        </w:rPr>
        <w:t>。</w:t>
      </w:r>
    </w:p>
    <w:p w14:paraId="41C558A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CDB582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25.3投标截止时间以后不得上传投标文件。</w:t>
      </w:r>
    </w:p>
    <w:p w14:paraId="7974E2D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p w14:paraId="7369127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p>
    <w:bookmarkEnd w:id="49"/>
    <w:p w14:paraId="15A3FCE7">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26. 样品、现场演示、方案讲解</w:t>
      </w:r>
    </w:p>
    <w:p w14:paraId="5022C65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26.1 样品、现场演示、方案讲解等事项在招标文件专用条款中进行规定。</w:t>
      </w:r>
    </w:p>
    <w:p w14:paraId="3E70D96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50" w:name="_Hlk72428346"/>
      <w:r>
        <w:rPr>
          <w:rFonts w:hint="eastAsia" w:ascii="宋体" w:hAnsi="宋体" w:eastAsia="宋体" w:cs="宋体"/>
          <w:sz w:val="24"/>
        </w:rPr>
        <w:t>27．投标文件的修改和撤销</w:t>
      </w:r>
    </w:p>
    <w:p w14:paraId="3647696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27.1投标方在提交投标文件后可对其投标文件进行修改并重新上传投标文件或在网上进行撤销投标的操作。</w:t>
      </w:r>
    </w:p>
    <w:p w14:paraId="52A85F5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27.2投标截止时间以后不得修改投标文件。</w:t>
      </w:r>
    </w:p>
    <w:p w14:paraId="06828C8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27.3从投标截止期至投标人在投标文件中确定的投标有效期之间的这段时间内，投标人不得撤回其投标。</w:t>
      </w:r>
    </w:p>
    <w:p w14:paraId="20B11C2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27.4政府集中采购机构不退还投标文件，专用条款另有规定的除外。</w:t>
      </w:r>
    </w:p>
    <w:bookmarkEnd w:id="50"/>
    <w:p w14:paraId="1E5C27F3">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开标</w:t>
      </w:r>
    </w:p>
    <w:p w14:paraId="30E13AC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28．开标</w:t>
      </w:r>
    </w:p>
    <w:p w14:paraId="208077A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28.1投标人须在开标当日的开标时间至解密截止时间内进行解密，逾期未解密的作无效处理。解密方法：登录“</w:t>
      </w:r>
      <w:r>
        <w:rPr>
          <w:rFonts w:hint="eastAsia" w:ascii="宋体" w:hAnsi="宋体" w:eastAsia="宋体" w:cs="宋体"/>
        </w:rPr>
        <w:t>深圳市自行采购系统（https://trade.szggzy.com/ggzy/center/#/login）</w:t>
      </w:r>
      <w:r>
        <w:rPr>
          <w:rFonts w:hint="eastAsia" w:ascii="宋体" w:hAnsi="宋体" w:eastAsia="宋体" w:cs="宋体"/>
          <w:szCs w:val="21"/>
        </w:rPr>
        <w:t>”，使用本单位制作电子投标文件同一个电子密钥进行在线解密、查询开标情况。</w:t>
      </w:r>
    </w:p>
    <w:p w14:paraId="55ADCA5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6C96B58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p>
    <w:p w14:paraId="030764C6">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评审要求</w:t>
      </w:r>
    </w:p>
    <w:p w14:paraId="3F7E2523">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29．评审委员会组成</w:t>
      </w:r>
    </w:p>
    <w:p w14:paraId="757A698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29.1网上开标结束后召开评审会议，</w:t>
      </w:r>
      <w:r>
        <w:rPr>
          <w:rFonts w:hint="eastAsia" w:ascii="宋体" w:hAnsi="宋体" w:eastAsia="宋体" w:cs="宋体"/>
          <w:szCs w:val="21"/>
        </w:rPr>
        <w:t>评审委员会</w:t>
      </w:r>
      <w:r>
        <w:rPr>
          <w:rFonts w:hint="eastAsia" w:ascii="宋体" w:hAnsi="宋体" w:eastAsia="宋体" w:cs="宋体"/>
        </w:rPr>
        <w:t>由政府集中采购机构依法组建，负责评审活动。</w:t>
      </w:r>
    </w:p>
    <w:p w14:paraId="453C3A2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bookmarkStart w:id="51" w:name="_Hlk72436580"/>
      <w:r>
        <w:rPr>
          <w:rFonts w:hint="eastAsia" w:ascii="宋体" w:hAnsi="宋体" w:eastAsia="宋体" w:cs="宋体"/>
        </w:rPr>
        <w:t>评审委员会由采购人代表和评审专家组成，成员人数应当为5人以上单数（部分条件下为7人以上单数），其中评审专家不得少于成员总数的三分之二。</w:t>
      </w:r>
      <w:bookmarkEnd w:id="51"/>
      <w:r>
        <w:rPr>
          <w:rFonts w:hint="eastAsia" w:ascii="宋体" w:hAnsi="宋体" w:eastAsia="宋体" w:cs="宋体"/>
        </w:rPr>
        <w:t>评定分离项目评审专家均由评审专家组成。</w:t>
      </w:r>
      <w:r>
        <w:rPr>
          <w:rFonts w:hint="eastAsia" w:ascii="宋体" w:hAnsi="宋体" w:eastAsia="宋体" w:cs="宋体"/>
          <w:szCs w:val="21"/>
        </w:rPr>
        <w:t>评审专家一般是</w:t>
      </w:r>
      <w:r>
        <w:rPr>
          <w:rFonts w:hint="eastAsia" w:ascii="宋体" w:hAnsi="宋体" w:eastAsia="宋体" w:cs="宋体"/>
        </w:rPr>
        <w:t>从深圳市政府采购评审专家库中随机抽取。采购人代表须持本单位签发的《评审授权书》参加评审。</w:t>
      </w:r>
    </w:p>
    <w:p w14:paraId="0727498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29.2评审定标应当遵循公平、公正、科学、择优的原则。</w:t>
      </w:r>
    </w:p>
    <w:p w14:paraId="4D82C547">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29.3评审活动依法进行，任何单位和个人不得非法干预评标过程和结果。</w:t>
      </w:r>
    </w:p>
    <w:p w14:paraId="3894D67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29.4评审过程中不允许违背评标程序或采用招标文件未载明的评标方法或评标因素进行评标。</w:t>
      </w:r>
    </w:p>
    <w:p w14:paraId="40E4ADF8">
      <w:pPr>
        <w:kinsoku/>
        <w:overflowPunct/>
        <w:topLinePunct w:val="0"/>
        <w:bidi w:val="0"/>
        <w:spacing w:beforeAutospacing="0" w:afterAutospacing="0" w:line="360" w:lineRule="auto"/>
        <w:ind w:left="0" w:leftChars="0" w:right="0" w:firstLine="0" w:firstLineChars="0"/>
        <w:rPr>
          <w:rFonts w:hint="eastAsia" w:ascii="宋体" w:hAnsi="宋体" w:eastAsia="宋体" w:cs="宋体"/>
          <w:bCs/>
        </w:rPr>
      </w:pPr>
      <w:r>
        <w:rPr>
          <w:rFonts w:hint="eastAsia" w:ascii="宋体" w:hAnsi="宋体" w:eastAsia="宋体" w:cs="宋体"/>
          <w:bCs/>
        </w:rPr>
        <w:t>29.5 开标后，直到签订合同为止，凡属于对投标文件的审查、澄清、评价和比较的有关资料以及中标候选人的推荐情况、与评审有关的其他任何情况均严格保密（</w:t>
      </w:r>
      <w:r>
        <w:rPr>
          <w:rFonts w:hint="eastAsia" w:ascii="宋体" w:hAnsi="宋体" w:eastAsia="宋体" w:cs="宋体"/>
        </w:rPr>
        <w:t>信息公开的内容除外</w:t>
      </w:r>
      <w:r>
        <w:rPr>
          <w:rFonts w:hint="eastAsia" w:ascii="宋体" w:hAnsi="宋体" w:eastAsia="宋体" w:cs="宋体"/>
          <w:bCs/>
        </w:rPr>
        <w:t>）。</w:t>
      </w:r>
    </w:p>
    <w:p w14:paraId="69FC44D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30．向评审委员会提供的资料</w:t>
      </w:r>
    </w:p>
    <w:p w14:paraId="34858E1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30.1公开发布的招标文件，包括图纸、服务清单、答疑文件等；</w:t>
      </w:r>
    </w:p>
    <w:p w14:paraId="0D27DEF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30.2其他评标必须的资料。</w:t>
      </w:r>
    </w:p>
    <w:p w14:paraId="7909F24C">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30.3</w:t>
      </w:r>
      <w:r>
        <w:rPr>
          <w:rFonts w:hint="eastAsia" w:ascii="宋体" w:hAnsi="宋体" w:eastAsia="宋体" w:cs="宋体"/>
          <w:szCs w:val="21"/>
        </w:rPr>
        <w:t>评审委员会</w:t>
      </w:r>
      <w:r>
        <w:rPr>
          <w:rFonts w:hint="eastAsia" w:ascii="宋体" w:hAnsi="宋体" w:eastAsia="宋体" w:cs="宋体"/>
        </w:rPr>
        <w:t>应当认真研究招标文件，至少应了解熟悉以下内容：</w:t>
      </w:r>
    </w:p>
    <w:p w14:paraId="5C43FBD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（1）招标的目的；</w:t>
      </w:r>
    </w:p>
    <w:p w14:paraId="7DB40B4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（2）招标项目需求的范围和性质；</w:t>
      </w:r>
    </w:p>
    <w:p w14:paraId="4DC07678">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（3）招标文件规定的投标人的资格、财政预算限额、商务条款；</w:t>
      </w:r>
    </w:p>
    <w:p w14:paraId="736ADC3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（4）招标文件规定的评标程序、评标方法和评标因素；</w:t>
      </w:r>
    </w:p>
    <w:p w14:paraId="72AD26B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（5）招标文件所列示的资格性审查表及符合性审查表。</w:t>
      </w:r>
    </w:p>
    <w:p w14:paraId="1D62DE6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31．独立评审</w:t>
      </w:r>
    </w:p>
    <w:p w14:paraId="0BEB7992">
      <w:pPr>
        <w:kinsoku/>
        <w:overflowPunct/>
        <w:topLinePunct w:val="0"/>
        <w:bidi w:val="0"/>
        <w:spacing w:beforeAutospacing="0" w:afterAutospacing="0" w:line="360" w:lineRule="auto"/>
        <w:ind w:left="0" w:leftChars="0" w:right="0" w:firstLine="0" w:firstLineChars="0"/>
        <w:rPr>
          <w:rFonts w:hint="eastAsia" w:ascii="宋体" w:hAnsi="宋体" w:eastAsia="宋体" w:cs="宋体"/>
          <w:bCs/>
        </w:rPr>
      </w:pPr>
      <w:r>
        <w:rPr>
          <w:rFonts w:hint="eastAsia" w:ascii="宋体" w:hAnsi="宋体" w:eastAsia="宋体" w:cs="宋体"/>
          <w:bCs/>
        </w:rPr>
        <w:t>31.1</w:t>
      </w:r>
      <w:r>
        <w:rPr>
          <w:rFonts w:hint="eastAsia" w:ascii="宋体" w:hAnsi="宋体" w:eastAsia="宋体" w:cs="宋体"/>
          <w:szCs w:val="21"/>
        </w:rPr>
        <w:t>评审委员会</w:t>
      </w:r>
      <w:r>
        <w:rPr>
          <w:rFonts w:hint="eastAsia" w:ascii="宋体" w:hAnsi="宋体" w:eastAsia="宋体" w:cs="宋体"/>
          <w:bCs/>
        </w:rPr>
        <w:t>成员的评标活动应当独立进行，并应遵循投标文件初审、澄清有关问题、比较与评价、确定中标供应商、编写评审报告的工作程序。</w:t>
      </w:r>
    </w:p>
    <w:p w14:paraId="1199865B">
      <w:pPr>
        <w:kinsoku/>
        <w:overflowPunct/>
        <w:topLinePunct w:val="0"/>
        <w:bidi w:val="0"/>
        <w:spacing w:beforeAutospacing="0" w:afterAutospacing="0" w:line="360" w:lineRule="auto"/>
        <w:ind w:left="0" w:leftChars="0" w:right="0" w:firstLine="0" w:firstLineChars="0"/>
        <w:rPr>
          <w:rFonts w:hint="eastAsia" w:ascii="宋体" w:hAnsi="宋体" w:eastAsia="宋体" w:cs="宋体"/>
          <w:bCs/>
          <w:szCs w:val="21"/>
        </w:rPr>
      </w:pPr>
    </w:p>
    <w:p w14:paraId="506FDD4D">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评审程序及评审方法</w:t>
      </w:r>
    </w:p>
    <w:p w14:paraId="00F9DEE0">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32．投标文件初审</w:t>
      </w:r>
    </w:p>
    <w:p w14:paraId="34452B7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32.1投标文件初审包括资格性审查和符合性审查。</w:t>
      </w:r>
    </w:p>
    <w:p w14:paraId="1A12EB9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资格性审查：依据法律法规和招标文件的规定，对投标文件中的资格证明等进行审查，以确定投标供应商是否具备投标资格。</w:t>
      </w:r>
    </w:p>
    <w:p w14:paraId="4F2EF33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符合性审查：依据招标文件的规定，对投标文件的有效性、完整性和对招标文件的响应程度进行审查，以确定是否满足符合性审查的要求。</w:t>
      </w:r>
    </w:p>
    <w:p w14:paraId="74FFB70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32.2 投标文件初审内容请详见《资格性审查表》和《符合性审查表》部分。投标人若有一条审查不通过则按投标无效处理。</w:t>
      </w:r>
    </w:p>
    <w:p w14:paraId="00BBC4B5">
      <w:pPr>
        <w:kinsoku/>
        <w:overflowPunct/>
        <w:topLinePunct w:val="0"/>
        <w:bidi w:val="0"/>
        <w:spacing w:beforeAutospacing="0" w:afterAutospacing="0" w:line="360" w:lineRule="auto"/>
        <w:ind w:left="0" w:leftChars="0" w:right="0" w:firstLine="0" w:firstLineChars="0"/>
        <w:rPr>
          <w:rFonts w:hint="eastAsia" w:ascii="宋体" w:hAnsi="宋体" w:eastAsia="宋体" w:cs="宋体"/>
          <w:bCs/>
        </w:rPr>
      </w:pPr>
      <w:r>
        <w:rPr>
          <w:rFonts w:hint="eastAsia" w:ascii="宋体" w:hAnsi="宋体" w:eastAsia="宋体" w:cs="宋体"/>
          <w:bCs/>
        </w:rPr>
        <w:t>32.3 投标文件初审中关于供应商家数的计算:</w:t>
      </w:r>
    </w:p>
    <w:p w14:paraId="090C4DD4">
      <w:pPr>
        <w:kinsoku/>
        <w:overflowPunct/>
        <w:topLinePunct w:val="0"/>
        <w:bidi w:val="0"/>
        <w:spacing w:beforeAutospacing="0" w:afterAutospacing="0" w:line="360" w:lineRule="auto"/>
        <w:ind w:left="0" w:leftChars="0" w:right="0" w:firstLine="0" w:firstLineChars="0"/>
        <w:rPr>
          <w:rFonts w:hint="eastAsia" w:ascii="宋体" w:hAnsi="宋体" w:eastAsia="宋体" w:cs="宋体"/>
          <w:bCs/>
        </w:rPr>
      </w:pPr>
      <w:r>
        <w:rPr>
          <w:rFonts w:hint="eastAsia" w:ascii="宋体" w:hAnsi="宋体" w:eastAsia="宋体" w:cs="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C5E9B95">
      <w:pPr>
        <w:kinsoku/>
        <w:overflowPunct/>
        <w:topLinePunct w:val="0"/>
        <w:bidi w:val="0"/>
        <w:spacing w:beforeAutospacing="0" w:afterAutospacing="0" w:line="360" w:lineRule="auto"/>
        <w:ind w:left="0" w:leftChars="0" w:right="0" w:firstLine="0" w:firstLineChars="0"/>
        <w:rPr>
          <w:rFonts w:hint="eastAsia" w:ascii="宋体" w:hAnsi="宋体" w:eastAsia="宋体" w:cs="宋体"/>
          <w:bCs/>
        </w:rPr>
      </w:pPr>
      <w:r>
        <w:rPr>
          <w:rFonts w:hint="eastAsia" w:ascii="宋体" w:hAnsi="宋体" w:eastAsia="宋体" w:cs="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宋体"/>
          <w:bCs/>
          <w:szCs w:val="21"/>
        </w:rPr>
        <w:t>评审委员会</w:t>
      </w:r>
      <w:r>
        <w:rPr>
          <w:rFonts w:hint="eastAsia" w:ascii="宋体" w:hAnsi="宋体" w:eastAsia="宋体" w:cs="宋体"/>
          <w:bCs/>
        </w:rPr>
        <w:t>按照招标文件规定的方式确定一个投标人获得中标人推荐资格，招标文件未规定的采取随机抽取方式确定，其他同品牌投标人不作为中标候选人。</w:t>
      </w:r>
    </w:p>
    <w:p w14:paraId="3F5781A9">
      <w:pPr>
        <w:kinsoku/>
        <w:overflowPunct/>
        <w:topLinePunct w:val="0"/>
        <w:bidi w:val="0"/>
        <w:spacing w:beforeAutospacing="0" w:afterAutospacing="0" w:line="360" w:lineRule="auto"/>
        <w:ind w:left="0" w:leftChars="0" w:right="0" w:firstLine="0" w:firstLineChars="0"/>
        <w:rPr>
          <w:rFonts w:hint="eastAsia" w:ascii="宋体" w:hAnsi="宋体" w:eastAsia="宋体" w:cs="宋体"/>
          <w:bCs/>
        </w:rPr>
      </w:pPr>
      <w:r>
        <w:rPr>
          <w:rFonts w:hint="eastAsia" w:ascii="宋体" w:hAnsi="宋体" w:eastAsia="宋体" w:cs="宋体"/>
          <w:bCs/>
        </w:rPr>
        <w:t>32.3.3非单一产品采购项目，采购人应当根据采购项目技术构成、产品价格比重等合理确定核心产品，并在招标文件中载明。多家投标人提供的核心产品品牌相同的，按前两款规定处理。</w:t>
      </w:r>
    </w:p>
    <w:p w14:paraId="3A496C1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32.4投标人投标文件作无效处理的情形，具体包括但不限于以下：</w:t>
      </w:r>
    </w:p>
    <w:p w14:paraId="4FA389E0">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32.4.1不同投标人的投标文件由同一单位或者同一个人编制，或者由同一个人分阶段参与编制；</w:t>
      </w:r>
    </w:p>
    <w:p w14:paraId="3CA4179E">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32.4.2不同投标人委托同一单位或者个人办理投标事宜；</w:t>
      </w:r>
    </w:p>
    <w:p w14:paraId="64CA8E8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32.4.3不同投标人的投标文件载明的项目管理成员或者联系人员为同一人；</w:t>
      </w:r>
    </w:p>
    <w:p w14:paraId="7FFFA322">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32.4.4不同投标人的投标文件异常一致或者投标报价呈规律性差异；</w:t>
      </w:r>
    </w:p>
    <w:p w14:paraId="08F70B6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32.4.5不同投标供应商的投标文件或部分投标文件相互混装；</w:t>
      </w:r>
    </w:p>
    <w:p w14:paraId="77A69B1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32.4.6投标供应商之间相互约定给予未中标的供应商利益补偿；</w:t>
      </w:r>
    </w:p>
    <w:p w14:paraId="73B2AE3F">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32.4.7不同投标供应商的法定代表人、主要经营负责人、项目投标授权代表人、项目负责人、主要技术人员为同一人、属同一单位或者同一单位缴纳社会保险；</w:t>
      </w:r>
    </w:p>
    <w:p w14:paraId="356A371D">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32.4.8不同投标供应商的投标文件内容存在非正常一致；</w:t>
      </w:r>
    </w:p>
    <w:p w14:paraId="67194C6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32.4.9在同一单位工作人员为两家以上（含两家）供应商进行同一项投标活动；</w:t>
      </w:r>
    </w:p>
    <w:p w14:paraId="13E205D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32.4.10主管部门依照法律、法规认定的其他情形。</w:t>
      </w:r>
    </w:p>
    <w:p w14:paraId="7ECDA3F2">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32.5对不属于《资格性审查表》和《符合性审查表》所列的其他情形，除专用条款另有规定和32.4条款所列情形外，不得作为投标无效的理由。</w:t>
      </w:r>
    </w:p>
    <w:p w14:paraId="3A76DE8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33．澄清有关问题</w:t>
      </w:r>
    </w:p>
    <w:p w14:paraId="1D780C67">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bookmarkStart w:id="52" w:name="_Hlk71407321"/>
      <w:r>
        <w:rPr>
          <w:rFonts w:hint="eastAsia" w:ascii="宋体" w:hAnsi="宋体" w:eastAsia="宋体" w:cs="宋体"/>
        </w:rPr>
        <w:t>33.1对招标文件中描述有歧义或前后不一致的地方（不含</w:t>
      </w:r>
      <w:r>
        <w:rPr>
          <w:rFonts w:hint="eastAsia" w:ascii="宋体" w:hAnsi="宋体" w:eastAsia="宋体" w:cs="宋体"/>
          <w:szCs w:val="21"/>
        </w:rPr>
        <w:t>招标文件存在歧义、重大缺陷导致评审工作无法进行的情况）</w:t>
      </w:r>
      <w:r>
        <w:rPr>
          <w:rFonts w:hint="eastAsia" w:ascii="宋体" w:hAnsi="宋体" w:eastAsia="宋体" w:cs="宋体"/>
        </w:rPr>
        <w:t>，评审委员会有权进行评判，但对同一条款的评判应适用于每个投标人。</w:t>
      </w:r>
      <w:bookmarkEnd w:id="52"/>
    </w:p>
    <w:p w14:paraId="4EA39F53">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33.2</w:t>
      </w:r>
      <w:r>
        <w:rPr>
          <w:rFonts w:hint="eastAsia" w:ascii="宋体" w:hAnsi="宋体" w:eastAsia="宋体" w:cs="宋体"/>
          <w:szCs w:val="21"/>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14:paraId="5DF7CF92">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33.3对于投标文件中含义不明确、同类问题表述不一致或者有明显文字和计算错误的内容，评审委员会应当以书面形式要求投标人作出必要的澄清、说明或者补正。</w:t>
      </w:r>
    </w:p>
    <w:p w14:paraId="1BA5D23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BB083A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根据本通用条款第34条，凡属于评审委员会在评审中发现的算术错误进行核实的修改不在此列。</w:t>
      </w:r>
    </w:p>
    <w:p w14:paraId="00CE603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53" w:name="_Toc100052400"/>
      <w:bookmarkStart w:id="54" w:name="_Toc73518151"/>
      <w:bookmarkStart w:id="55" w:name="_Toc73521669"/>
      <w:bookmarkStart w:id="56" w:name="_Toc73517673"/>
      <w:bookmarkStart w:id="57" w:name="_Toc73521581"/>
      <w:r>
        <w:rPr>
          <w:rFonts w:hint="eastAsia" w:ascii="宋体" w:hAnsi="宋体" w:eastAsia="宋体" w:cs="宋体"/>
          <w:sz w:val="24"/>
        </w:rPr>
        <w:t>34．错误的修正</w:t>
      </w:r>
      <w:bookmarkEnd w:id="53"/>
      <w:bookmarkEnd w:id="54"/>
      <w:bookmarkEnd w:id="55"/>
      <w:bookmarkEnd w:id="56"/>
      <w:bookmarkEnd w:id="57"/>
    </w:p>
    <w:p w14:paraId="2270856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投标文件报价出现前后不一致的，除专用条款另有规定外，按照下列规定修正：</w:t>
      </w:r>
    </w:p>
    <w:p w14:paraId="379C975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34.1投标文件中开标一览表投标报价内容与投标文件中投标报价相应内容不一致的，以开标一览表为准；</w:t>
      </w:r>
    </w:p>
    <w:p w14:paraId="298D4AD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34.2大写金额和小写金额不一致的，以大写金额为准；</w:t>
      </w:r>
    </w:p>
    <w:p w14:paraId="38475FA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34.3单价金额小数点或者百分比有明显错位，以开标一览表的总价为准，并修改单价；</w:t>
      </w:r>
    </w:p>
    <w:p w14:paraId="1FB7A4E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34.4总价金额与按单价汇总金额不一致的，以单价金额计算结果为准。</w:t>
      </w:r>
    </w:p>
    <w:p w14:paraId="4430208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34.5同时出现两种以上不一致的，按照前款规定的顺序修正。修正后的报价按照本通用条款33条的规定，经投标人确认后产生约束力，投标人不确认的，其投标无效。</w:t>
      </w:r>
    </w:p>
    <w:p w14:paraId="05D043B2">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35．投标文件的比较与评价</w:t>
      </w:r>
    </w:p>
    <w:p w14:paraId="496B027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EF0C38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评审委员会成员对需要共同认定的事项存在争议的，应当按照少数服从多数的原则作出结论。持不同意见的评审委员会成员应当书面作出说明，否则视为无异议。</w:t>
      </w:r>
    </w:p>
    <w:p w14:paraId="6B95EB16">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36. 实地考察或资料查验</w:t>
      </w:r>
    </w:p>
    <w:p w14:paraId="22C69A6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36.1在评审过程中，评审委员会有权决定是否对本项目投标人进行实地考察或资料查验（原件）。投标人应随时做好接受实地考察或资料查验的准备。</w:t>
      </w:r>
    </w:p>
    <w:p w14:paraId="61320F03">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37．评审方法</w:t>
      </w:r>
    </w:p>
    <w:p w14:paraId="7F4A4F14">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b/>
          <w:bCs/>
          <w:szCs w:val="21"/>
        </w:rPr>
        <w:t>37.1.1最低价法</w:t>
      </w:r>
    </w:p>
    <w:p w14:paraId="00D7597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bookmarkStart w:id="58" w:name="_Hlk72438142"/>
      <w:r>
        <w:rPr>
          <w:rFonts w:hint="eastAsia" w:ascii="宋体" w:hAnsi="宋体" w:eastAsia="宋体" w:cs="宋体"/>
        </w:rPr>
        <w:t>最低价法，是指完全满足招标文件实质性要求，按照报价由低到高的顺序，依据招标文件中规定的数量或者比例推荐候选中标供应商。</w:t>
      </w:r>
    </w:p>
    <w:p w14:paraId="7F7E497E">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b/>
          <w:bCs/>
          <w:szCs w:val="21"/>
        </w:rPr>
        <w:t>37.1.2综合评分法</w:t>
      </w:r>
    </w:p>
    <w:p w14:paraId="09618EBA">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综合评分法，是指在满足招标文件全部实质性要求的前提下，按照招标文件中规定的各项因素进行综合评审，评审总得分排名前列的投标人，作为推荐的候选中标供应商。</w:t>
      </w:r>
      <w:bookmarkEnd w:id="58"/>
      <w:r>
        <w:rPr>
          <w:rFonts w:hint="eastAsia" w:ascii="宋体" w:hAnsi="宋体" w:eastAsia="宋体" w:cs="宋体"/>
          <w:bCs/>
          <w:color w:val="FF0000"/>
          <w:szCs w:val="21"/>
        </w:rPr>
        <w:t xml:space="preserve">  </w:t>
      </w:r>
      <w:r>
        <w:rPr>
          <w:rFonts w:hint="eastAsia" w:ascii="宋体" w:hAnsi="宋体" w:eastAsia="宋体" w:cs="宋体"/>
          <w:bCs/>
          <w:szCs w:val="21"/>
        </w:rPr>
        <w:t xml:space="preserve">                                                                                                                                                                                                                                                                                                                                                                                                                                                                                                                                                                                                                                                                                                                                                                                                                                                                                                                                                                                                                                                                                                                                                                                                                                                                                                                                                                                                                                                                                                                                                                                                                                                                                                                                                                                                                                                                                                                                                                                                                                                                                                                                                                                                                                                                                                                                                                                                                                                                                                                                                                                                                                                                                                                                                                                                                                                                                                                                                                                                                           </w:t>
      </w:r>
    </w:p>
    <w:p w14:paraId="7A9CE55D">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b/>
          <w:bCs/>
          <w:szCs w:val="21"/>
        </w:rPr>
        <w:t>37.2 本项目采用的评审方法见本项目招标文件第一册“专用条款”的相关内容。</w:t>
      </w:r>
    </w:p>
    <w:p w14:paraId="2C47BF30">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b/>
          <w:bCs/>
          <w:szCs w:val="21"/>
        </w:rPr>
        <w:t>37.3重新评审的情形</w:t>
      </w:r>
    </w:p>
    <w:p w14:paraId="2C4A00E4">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kern w:val="0"/>
          <w:szCs w:val="21"/>
        </w:rPr>
        <w:t>评审结果汇总完成后，除下列情形外，任何人不得修改评审结果：</w:t>
      </w:r>
    </w:p>
    <w:p w14:paraId="1346BC5A">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37.3.1分值汇总计算错误的；</w:t>
      </w:r>
    </w:p>
    <w:p w14:paraId="0F01EACE">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37.3.2分项评分超出评分标准范围的；</w:t>
      </w:r>
    </w:p>
    <w:p w14:paraId="5A3B75C4">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37.3.3评审委员会成员对客观评审因素评分不一致的；</w:t>
      </w:r>
    </w:p>
    <w:p w14:paraId="4601DD79">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37.3.4经评审委员会认定评分畸高、畸低的。</w:t>
      </w:r>
    </w:p>
    <w:p w14:paraId="5C779A9F">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43AF780">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投标人对本条第一款情形提出质疑的，采购人或者采购代理机构可以组织原评审委员会进行重新评审，重新评审改变评审结果的，应当书面报告本级财政部门。</w:t>
      </w:r>
    </w:p>
    <w:p w14:paraId="0D114376">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b/>
          <w:bCs/>
          <w:szCs w:val="21"/>
        </w:rPr>
        <w:t xml:space="preserve"> 37.4重新组建评审委员会的情形</w:t>
      </w:r>
    </w:p>
    <w:p w14:paraId="522614DC">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评审委员会或者其成员存在下列情形导致评审结果无效的，重新组建评审委员会进行评标，并书面报告本级财政部门：</w:t>
      </w:r>
    </w:p>
    <w:p w14:paraId="5DBA55EC">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37.4.1评审委员会组成不符合《政府采购货物和服务招标投标管理办法》规定的；</w:t>
      </w:r>
    </w:p>
    <w:p w14:paraId="0BFF37DF">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37.4.2有《政府采购货物和服务招标投标管理办法》第六十二条第一至五项情形的；</w:t>
      </w:r>
    </w:p>
    <w:p w14:paraId="33196EA9">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37.4.3评审委员会及其成员独立评标受到非法干预的；</w:t>
      </w:r>
    </w:p>
    <w:p w14:paraId="3B77F410">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37.4.4有政府采购法实施条例第七十五条规定的违法行为的。</w:t>
      </w:r>
    </w:p>
    <w:p w14:paraId="7627DD24">
      <w:pPr>
        <w:kinsoku/>
        <w:overflowPunct/>
        <w:topLinePunct w:val="0"/>
        <w:bidi w:val="0"/>
        <w:spacing w:beforeAutospacing="0" w:afterAutospacing="0" w:line="360" w:lineRule="auto"/>
        <w:ind w:left="0" w:leftChars="0" w:right="0" w:firstLine="0" w:firstLineChars="0"/>
        <w:rPr>
          <w:rFonts w:hint="eastAsia" w:ascii="宋体" w:hAnsi="宋体" w:eastAsia="宋体" w:cs="宋体"/>
          <w:kern w:val="0"/>
          <w:szCs w:val="21"/>
        </w:rPr>
      </w:pPr>
      <w:r>
        <w:rPr>
          <w:rFonts w:hint="eastAsia" w:ascii="宋体" w:hAnsi="宋体" w:eastAsia="宋体" w:cs="宋体"/>
          <w:kern w:val="0"/>
          <w:szCs w:val="21"/>
        </w:rPr>
        <w:t>有违法违规行为的原评审委员会成员不得参加重新组建的评审委员会。</w:t>
      </w:r>
    </w:p>
    <w:p w14:paraId="346D353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p>
    <w:p w14:paraId="16501E05">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定标及公示</w:t>
      </w:r>
    </w:p>
    <w:p w14:paraId="5AB03D44">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38．定标方法</w:t>
      </w:r>
    </w:p>
    <w:p w14:paraId="4412775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bookmarkStart w:id="59" w:name="_Hlk73782795"/>
      <w:r>
        <w:rPr>
          <w:rFonts w:hint="eastAsia" w:ascii="宋体" w:hAnsi="宋体" w:eastAsia="宋体" w:cs="宋体"/>
          <w:szCs w:val="21"/>
        </w:rPr>
        <w:t>38.1非评定分离项目定标方法</w:t>
      </w:r>
    </w:p>
    <w:p w14:paraId="00CF25E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38.1.1评审委员会依据本项目招标文件所约定的评审方法进行评审和比较，向政府集中采购机构提交书面评审报告，并根据评审方法比较评价结果从优到劣进行排序，确定候选中标供应商。</w:t>
      </w:r>
    </w:p>
    <w:p w14:paraId="39BF4FE5">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szCs w:val="21"/>
        </w:rPr>
        <w:t>38.1.2</w:t>
      </w:r>
      <w:r>
        <w:rPr>
          <w:rFonts w:hint="eastAsia" w:ascii="宋体" w:hAnsi="宋体" w:eastAsia="宋体" w:cs="宋体"/>
        </w:rPr>
        <w:t>采用最低价法的，评审结果按投标报价由低到高顺序排列。投标报价相同的并列。投标文件满足招标文件全部实质性要求且投标报价最低的投标人为</w:t>
      </w:r>
      <w:bookmarkStart w:id="60" w:name="_Hlk73821177"/>
      <w:r>
        <w:rPr>
          <w:rFonts w:hint="eastAsia" w:ascii="宋体" w:hAnsi="宋体" w:eastAsia="宋体" w:cs="宋体"/>
          <w:lang w:val="en-US" w:eastAsia="zh-CN"/>
        </w:rPr>
        <w:t>唯一候选</w:t>
      </w:r>
      <w:r>
        <w:rPr>
          <w:rFonts w:hint="eastAsia" w:ascii="宋体" w:hAnsi="宋体" w:eastAsia="宋体" w:cs="宋体"/>
        </w:rPr>
        <w:t>中标供应商</w:t>
      </w:r>
      <w:bookmarkEnd w:id="60"/>
      <w:r>
        <w:rPr>
          <w:rFonts w:hint="eastAsia" w:ascii="宋体" w:hAnsi="宋体" w:eastAsia="宋体" w:cs="宋体"/>
        </w:rPr>
        <w:t>。</w:t>
      </w:r>
    </w:p>
    <w:p w14:paraId="052E7956">
      <w:pPr>
        <w:kinsoku/>
        <w:overflowPunct/>
        <w:topLinePunct w:val="0"/>
        <w:bidi w:val="0"/>
        <w:spacing w:beforeAutospacing="0" w:afterAutospacing="0" w:line="360" w:lineRule="auto"/>
        <w:ind w:left="0" w:leftChars="0" w:right="0" w:firstLine="0" w:firstLineChars="0"/>
        <w:rPr>
          <w:rFonts w:hint="eastAsia" w:ascii="宋体" w:hAnsi="宋体" w:eastAsia="宋体" w:cs="宋体"/>
          <w:lang w:eastAsia="zh-CN"/>
        </w:rPr>
      </w:pPr>
      <w:r>
        <w:rPr>
          <w:rFonts w:hint="eastAsia" w:ascii="宋体" w:hAnsi="宋体" w:eastAsia="宋体" w:cs="宋体"/>
          <w:szCs w:val="21"/>
        </w:rPr>
        <w:t>38.1.3采</w:t>
      </w:r>
      <w:r>
        <w:rPr>
          <w:rFonts w:hint="eastAsia" w:ascii="宋体" w:hAnsi="宋体" w:eastAsia="宋体" w:cs="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w:t>
      </w:r>
      <w:r>
        <w:rPr>
          <w:rFonts w:hint="eastAsia" w:ascii="宋体" w:hAnsi="宋体" w:eastAsia="宋体" w:cs="宋体"/>
          <w:lang w:val="en-US" w:eastAsia="zh-CN"/>
        </w:rPr>
        <w:t>候选</w:t>
      </w:r>
      <w:r>
        <w:rPr>
          <w:rFonts w:hint="eastAsia" w:ascii="宋体" w:hAnsi="宋体" w:eastAsia="宋体" w:cs="宋体"/>
        </w:rPr>
        <w:t>中标供应商。出现得分且投标报价相同的并列情况时，采取随机抽取的方式确定，具体操作办法及流程由评审委员会确定</w:t>
      </w:r>
      <w:r>
        <w:rPr>
          <w:rFonts w:hint="eastAsia" w:ascii="宋体" w:hAnsi="宋体" w:eastAsia="宋体" w:cs="宋体"/>
          <w:lang w:eastAsia="zh-CN"/>
        </w:rPr>
        <w:t>（</w:t>
      </w:r>
      <w:r>
        <w:rPr>
          <w:rFonts w:hint="eastAsia" w:ascii="宋体" w:hAnsi="宋体" w:eastAsia="宋体" w:cs="宋体"/>
          <w:lang w:val="en-US" w:eastAsia="zh-CN"/>
        </w:rPr>
        <w:t>如“专用条款”中另有规定的以“专用条款”相关规定内容为准</w:t>
      </w:r>
      <w:r>
        <w:rPr>
          <w:rFonts w:hint="eastAsia" w:ascii="宋体" w:hAnsi="宋体" w:eastAsia="宋体" w:cs="宋体"/>
          <w:lang w:eastAsia="zh-CN"/>
        </w:rPr>
        <w:t>）</w:t>
      </w:r>
      <w:r>
        <w:rPr>
          <w:rFonts w:hint="eastAsia" w:ascii="宋体" w:hAnsi="宋体" w:eastAsia="宋体" w:cs="宋体"/>
        </w:rPr>
        <w:t>。如唯一候选中标供应商被认定投标或中标无效，采购人应当重新开展采购活动</w:t>
      </w:r>
      <w:r>
        <w:rPr>
          <w:rFonts w:hint="eastAsia" w:ascii="宋体" w:hAnsi="宋体" w:eastAsia="宋体" w:cs="宋体"/>
          <w:lang w:eastAsia="zh-CN"/>
        </w:rPr>
        <w:t>。</w:t>
      </w:r>
    </w:p>
    <w:p w14:paraId="7E9BAA9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38.2评定分离项目定标方法</w:t>
      </w:r>
    </w:p>
    <w:p w14:paraId="071A16B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B79784B">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szCs w:val="21"/>
        </w:rPr>
        <w:t xml:space="preserve">38.2.2 </w:t>
      </w:r>
      <w:bookmarkStart w:id="61" w:name="_Hlk71469733"/>
      <w:r>
        <w:rPr>
          <w:rFonts w:hint="eastAsia" w:ascii="宋体" w:hAnsi="宋体" w:eastAsia="宋体" w:cs="宋体"/>
        </w:rPr>
        <w:t>适用评定分离的政府采购项目，采用综合评分法评审。</w:t>
      </w:r>
      <w:r>
        <w:rPr>
          <w:rFonts w:hint="eastAsia" w:ascii="宋体" w:hAnsi="宋体" w:eastAsia="宋体" w:cs="宋体"/>
          <w:szCs w:val="21"/>
        </w:rPr>
        <w:t>评审委员会按照评审结果，推荐</w:t>
      </w:r>
      <w:r>
        <w:rPr>
          <w:rFonts w:hint="eastAsia" w:ascii="宋体" w:hAnsi="宋体" w:eastAsia="宋体" w:cs="宋体"/>
        </w:rPr>
        <w:t>三个合格的候选中标供应商。</w:t>
      </w:r>
    </w:p>
    <w:p w14:paraId="7A5441D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38.2.3</w:t>
      </w:r>
      <w:bookmarkStart w:id="62" w:name="_Hlk71469688"/>
      <w:r>
        <w:rPr>
          <w:rFonts w:hint="eastAsia" w:ascii="宋体" w:hAnsi="宋体" w:eastAsia="宋体" w:cs="宋体"/>
        </w:rPr>
        <w:t>适用评定分离的政府采购项目，</w:t>
      </w:r>
      <w:r>
        <w:rPr>
          <w:rFonts w:hint="eastAsia" w:ascii="宋体" w:hAnsi="宋体" w:eastAsia="宋体" w:cs="宋体"/>
          <w:szCs w:val="21"/>
        </w:rPr>
        <w:t>按照自定法确定中标供应商：自定法是指采购人组织定标委员会，由定标委员会在三家候选中标供应商中确定中标供应商。</w:t>
      </w:r>
      <w:bookmarkEnd w:id="61"/>
      <w:bookmarkEnd w:id="62"/>
    </w:p>
    <w:p w14:paraId="6F0680B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38.2.4政府集中采购机构</w:t>
      </w:r>
      <w:r>
        <w:rPr>
          <w:rFonts w:hint="eastAsia" w:ascii="宋体" w:hAnsi="宋体" w:eastAsia="宋体" w:cs="宋体"/>
        </w:rPr>
        <w:t>应当自评审结束之日起两个工作日内将候选中标供应商名单及其投标文件、评审报告送交采购人</w:t>
      </w:r>
      <w:r>
        <w:rPr>
          <w:rFonts w:hint="eastAsia" w:ascii="宋体" w:hAnsi="宋体" w:eastAsia="宋体" w:cs="宋体"/>
          <w:szCs w:val="21"/>
        </w:rPr>
        <w:t>。</w:t>
      </w:r>
      <w:r>
        <w:rPr>
          <w:rFonts w:hint="eastAsia" w:ascii="宋体" w:hAnsi="宋体" w:eastAsia="宋体" w:cs="宋体"/>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规【2020】1号）执行。</w:t>
      </w:r>
    </w:p>
    <w:p w14:paraId="60985E8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说明：采购人及投标供应商应按照上述方法提前做好相关准备。</w:t>
      </w:r>
    </w:p>
    <w:p w14:paraId="09D353A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38.3专用条款另有规定的，按专用条款相关要求定标。</w:t>
      </w:r>
      <w:bookmarkEnd w:id="59"/>
    </w:p>
    <w:p w14:paraId="11050C3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39．编写评审报告</w:t>
      </w:r>
    </w:p>
    <w:p w14:paraId="7453907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C48EB06">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40．中标公告</w:t>
      </w:r>
    </w:p>
    <w:p w14:paraId="5339094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40.1</w:t>
      </w:r>
      <w:bookmarkStart w:id="63" w:name="_Hlk72438709"/>
      <w:r>
        <w:rPr>
          <w:rFonts w:hint="eastAsia" w:ascii="宋体" w:hAnsi="宋体" w:eastAsia="宋体" w:cs="宋体"/>
          <w:szCs w:val="21"/>
        </w:rPr>
        <w:t>为体现“公开、公平、公正”的原则，评审结束后经采购人确认（确定）评审结果，政府集中采购机构将在</w:t>
      </w:r>
      <w:r>
        <w:rPr>
          <w:rFonts w:hint="eastAsia" w:ascii="宋体" w:hAnsi="宋体" w:eastAsia="宋体" w:cs="宋体"/>
          <w:b/>
          <w:bCs/>
          <w:szCs w:val="21"/>
        </w:rPr>
        <w:t>深圳公共资源交易网（https://szggzy.com/）</w:t>
      </w:r>
      <w:r>
        <w:rPr>
          <w:rFonts w:hint="eastAsia" w:ascii="宋体" w:hAnsi="宋体" w:eastAsia="宋体" w:cs="宋体"/>
          <w:szCs w:val="21"/>
        </w:rPr>
        <w:t>上发布中标结果公告。</w:t>
      </w:r>
      <w:bookmarkEnd w:id="63"/>
      <w:bookmarkStart w:id="64" w:name="_Hlk72438751"/>
      <w:r>
        <w:rPr>
          <w:rFonts w:hint="eastAsia" w:ascii="宋体" w:hAnsi="宋体" w:eastAsia="宋体" w:cs="宋体"/>
          <w:szCs w:val="21"/>
        </w:rPr>
        <w:t>供应商如对评审结果有异议，可在发布公示日期起七个工作日内向政府集中采购机构提出。 监督电话：0755-83948143。若在公示期内未提出质疑，则视为认同该评审结果。</w:t>
      </w:r>
    </w:p>
    <w:bookmarkEnd w:id="64"/>
    <w:p w14:paraId="67EA6AF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40.2质疑、投诉供应商应保证质疑、投诉内容的真实性和可靠性，并承担相应的法律责任。</w:t>
      </w:r>
    </w:p>
    <w:p w14:paraId="23EA75B7">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41．中标通知书</w:t>
      </w:r>
    </w:p>
    <w:p w14:paraId="005E275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41.1</w:t>
      </w:r>
      <w:bookmarkStart w:id="65" w:name="_Hlk72438863"/>
      <w:r>
        <w:rPr>
          <w:rFonts w:hint="eastAsia" w:ascii="宋体" w:hAnsi="宋体" w:eastAsia="宋体" w:cs="宋体"/>
          <w:szCs w:val="21"/>
        </w:rPr>
        <w:t>中标公告公布以后无异常的情况下,中标供应商和采购人可自行在</w:t>
      </w:r>
      <w:r>
        <w:rPr>
          <w:rFonts w:hint="eastAsia" w:ascii="宋体" w:hAnsi="宋体" w:eastAsia="宋体" w:cs="宋体"/>
          <w:b/>
          <w:bCs/>
          <w:szCs w:val="21"/>
        </w:rPr>
        <w:t>“</w:t>
      </w:r>
      <w:r>
        <w:rPr>
          <w:rFonts w:hint="eastAsia" w:ascii="宋体" w:hAnsi="宋体" w:eastAsia="宋体" w:cs="宋体"/>
        </w:rPr>
        <w:t>深圳市自行采购系统（https://trade.szggzy.com/ggzy/center/#/login）</w:t>
      </w:r>
      <w:r>
        <w:rPr>
          <w:rFonts w:hint="eastAsia" w:ascii="宋体" w:hAnsi="宋体" w:eastAsia="宋体" w:cs="宋体"/>
          <w:b/>
          <w:bCs/>
          <w:szCs w:val="21"/>
        </w:rPr>
        <w:t>”</w:t>
      </w:r>
      <w:r>
        <w:rPr>
          <w:rFonts w:hint="eastAsia" w:ascii="宋体" w:hAnsi="宋体" w:eastAsia="宋体" w:cs="宋体"/>
          <w:szCs w:val="21"/>
        </w:rPr>
        <w:t>上打印</w:t>
      </w:r>
      <w:r>
        <w:rPr>
          <w:rFonts w:hint="eastAsia" w:ascii="宋体" w:hAnsi="宋体" w:eastAsia="宋体" w:cs="宋体"/>
          <w:b/>
          <w:szCs w:val="21"/>
        </w:rPr>
        <w:t>《数字中标通知书》</w:t>
      </w:r>
      <w:r>
        <w:rPr>
          <w:rFonts w:hint="eastAsia" w:ascii="宋体" w:hAnsi="宋体" w:eastAsia="宋体" w:cs="宋体"/>
          <w:szCs w:val="21"/>
        </w:rPr>
        <w:t>。</w:t>
      </w:r>
      <w:bookmarkEnd w:id="65"/>
    </w:p>
    <w:p w14:paraId="79B7C63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41.2中标通知书是合同的重要组成部分。</w:t>
      </w:r>
    </w:p>
    <w:p w14:paraId="632A638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bookmarkStart w:id="66" w:name="_Hlk71407340"/>
      <w:r>
        <w:rPr>
          <w:rFonts w:hint="eastAsia" w:ascii="宋体" w:hAnsi="宋体" w:eastAsia="宋体" w:cs="宋体"/>
          <w:szCs w:val="21"/>
        </w:rPr>
        <w:t>41.3因质疑投诉或其它原因导致项目结果变更或采购终止的，政府集中采购机构有权吊销中标通知书。</w:t>
      </w:r>
    </w:p>
    <w:bookmarkEnd w:id="66"/>
    <w:p w14:paraId="58D54DC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p>
    <w:p w14:paraId="05B9CE47">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公开招标失败的后续处理</w:t>
      </w:r>
    </w:p>
    <w:p w14:paraId="0FE7D5AB">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42．公开招标失败的处理</w:t>
      </w:r>
    </w:p>
    <w:p w14:paraId="485CEDE2">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szCs w:val="21"/>
        </w:rPr>
        <w:t>42.1本项目公开招标过程中若由于投标截止后</w:t>
      </w:r>
      <w:r>
        <w:rPr>
          <w:rFonts w:hint="eastAsia" w:ascii="宋体" w:hAnsi="宋体" w:eastAsia="宋体" w:cs="宋体"/>
        </w:rPr>
        <w:t>实际递交投标文件的供应商数量不足、经</w:t>
      </w:r>
      <w:r>
        <w:rPr>
          <w:rFonts w:hint="eastAsia" w:ascii="宋体" w:hAnsi="宋体" w:eastAsia="宋体" w:cs="宋体"/>
          <w:szCs w:val="21"/>
        </w:rPr>
        <w:t>评审委员会</w:t>
      </w:r>
      <w:r>
        <w:rPr>
          <w:rFonts w:hint="eastAsia" w:ascii="宋体" w:hAnsi="宋体" w:eastAsia="宋体" w:cs="宋体"/>
        </w:rPr>
        <w:t>评审对招标文件作实质响应的供应商不足等原因造成公开招标失败，可由政府集中采购机构重新组织采购。</w:t>
      </w:r>
    </w:p>
    <w:p w14:paraId="1FA7E88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42.2对公开招标失败的项目，评审委员会在出具该项目招标失败结论的同时，可以提出重新采购组织形式的建议，以及进一步完善招标文件的资格、技术、商务要求的修改建议。</w:t>
      </w:r>
    </w:p>
    <w:p w14:paraId="1C30563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42.3重新组织采购有以下两种组织形式：</w:t>
      </w:r>
    </w:p>
    <w:p w14:paraId="16F030A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（1）由政府集中采购机构重新组织公开招标；</w:t>
      </w:r>
    </w:p>
    <w:p w14:paraId="319FF08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（2）根据实际情况需要向同级财政部门提出非公开招标方式申请，经同级财政部门批准，公开招标失败采购项目可转为竞争性谈判或单一来源谈判方式采购。</w:t>
      </w:r>
    </w:p>
    <w:p w14:paraId="607BF4D9">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42.4公开招标失败的采购项目重新组织公开招标，由政府集中采购机构重新按公开招标流程组织采购活动。</w:t>
      </w:r>
    </w:p>
    <w:p w14:paraId="129AC536">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sz w:val="24"/>
        </w:rPr>
        <w:t xml:space="preserve">    </w:t>
      </w:r>
      <w:r>
        <w:rPr>
          <w:rFonts w:hint="eastAsia" w:ascii="宋体" w:hAnsi="宋体" w:eastAsia="宋体" w:cs="宋体"/>
        </w:rPr>
        <w:t>42.5公开招标失败的采购项目经同级财政部门批准转为竞争性谈判或单一来源谈判方式采购的，按规定要求组织政府采购工作。</w:t>
      </w:r>
    </w:p>
    <w:p w14:paraId="08575FA2">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p>
    <w:p w14:paraId="0357D61F">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bookmarkStart w:id="67" w:name="_Hlk72439043"/>
      <w:r>
        <w:rPr>
          <w:rFonts w:hint="eastAsia" w:ascii="宋体" w:hAnsi="宋体" w:eastAsia="宋体" w:cs="宋体"/>
          <w:sz w:val="28"/>
          <w:szCs w:val="28"/>
        </w:rPr>
        <w:t>合同的授予与备案</w:t>
      </w:r>
      <w:bookmarkEnd w:id="67"/>
    </w:p>
    <w:p w14:paraId="33300BA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68" w:name="_Toc73521674"/>
      <w:bookmarkStart w:id="69" w:name="_Toc73517679"/>
      <w:bookmarkStart w:id="70" w:name="_Toc73518157"/>
      <w:bookmarkStart w:id="71" w:name="_Toc100052408"/>
      <w:bookmarkStart w:id="72" w:name="_Toc73521586"/>
      <w:bookmarkStart w:id="73" w:name="_Hlk72439088"/>
      <w:r>
        <w:rPr>
          <w:rFonts w:hint="eastAsia" w:ascii="宋体" w:hAnsi="宋体" w:eastAsia="宋体" w:cs="宋体"/>
          <w:sz w:val="24"/>
        </w:rPr>
        <w:t>43．合同授予标准</w:t>
      </w:r>
      <w:bookmarkEnd w:id="68"/>
      <w:bookmarkEnd w:id="69"/>
      <w:bookmarkEnd w:id="70"/>
      <w:bookmarkEnd w:id="71"/>
      <w:bookmarkEnd w:id="72"/>
    </w:p>
    <w:p w14:paraId="3BD2DA6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本项目的合同将授予经本招标文件规定评审确定的中标供应商。</w:t>
      </w:r>
    </w:p>
    <w:p w14:paraId="545BDD39">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74" w:name="_Toc73518158"/>
      <w:bookmarkStart w:id="75" w:name="_Toc73517680"/>
      <w:bookmarkStart w:id="76" w:name="_Toc100052409"/>
      <w:bookmarkStart w:id="77" w:name="_Toc73521587"/>
      <w:bookmarkStart w:id="78" w:name="_Toc73521675"/>
      <w:r>
        <w:rPr>
          <w:rFonts w:hint="eastAsia" w:ascii="宋体" w:hAnsi="宋体" w:eastAsia="宋体" w:cs="宋体"/>
          <w:sz w:val="24"/>
        </w:rPr>
        <w:t>44．</w:t>
      </w:r>
      <w:bookmarkEnd w:id="74"/>
      <w:bookmarkEnd w:id="75"/>
      <w:bookmarkEnd w:id="76"/>
      <w:bookmarkEnd w:id="77"/>
      <w:bookmarkEnd w:id="78"/>
      <w:r>
        <w:rPr>
          <w:rFonts w:hint="eastAsia" w:ascii="宋体" w:hAnsi="宋体" w:eastAsia="宋体" w:cs="宋体"/>
          <w:sz w:val="24"/>
        </w:rPr>
        <w:t>接受和拒绝任何或所有投标的权力</w:t>
      </w:r>
    </w:p>
    <w:p w14:paraId="07965C3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82C8062">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79" w:name="_Toc73517682"/>
      <w:bookmarkStart w:id="80" w:name="_Toc73521589"/>
      <w:bookmarkStart w:id="81" w:name="_Toc73521677"/>
      <w:bookmarkStart w:id="82" w:name="_Toc100052410"/>
      <w:bookmarkStart w:id="83" w:name="_Toc73518160"/>
      <w:r>
        <w:rPr>
          <w:rFonts w:hint="eastAsia" w:ascii="宋体" w:hAnsi="宋体" w:eastAsia="宋体" w:cs="宋体"/>
          <w:sz w:val="24"/>
        </w:rPr>
        <w:t>45．合同的签订</w:t>
      </w:r>
      <w:bookmarkEnd w:id="79"/>
      <w:bookmarkEnd w:id="80"/>
      <w:bookmarkEnd w:id="81"/>
      <w:bookmarkEnd w:id="82"/>
      <w:bookmarkEnd w:id="83"/>
    </w:p>
    <w:p w14:paraId="71F2B50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45.1中标人将于中标通知书发出之日起十个工作日内，按照采购文件（招标文件和投标文件等）内容与采购人签订政府采购合同；合同的实质性内容应当符合招标文件的规定；</w:t>
      </w:r>
    </w:p>
    <w:p w14:paraId="6365021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45.2中标人如不按本通用条款第45.1款的规定与采购人签订合同，</w:t>
      </w:r>
      <w:r>
        <w:rPr>
          <w:rFonts w:hint="eastAsia" w:ascii="宋体" w:hAnsi="宋体" w:eastAsia="宋体" w:cs="宋体"/>
          <w:kern w:val="0"/>
          <w:szCs w:val="21"/>
        </w:rPr>
        <w:t>情节严重的，由同级财政部门记入供应商诚信档案，予以通报</w:t>
      </w:r>
      <w:r>
        <w:rPr>
          <w:rFonts w:hint="eastAsia" w:ascii="宋体" w:hAnsi="宋体" w:eastAsia="宋体" w:cs="宋体"/>
          <w:szCs w:val="21"/>
        </w:rPr>
        <w:t>；</w:t>
      </w:r>
    </w:p>
    <w:p w14:paraId="2ECBE12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45.3中标人应当按照合同约定履行义务，完成中标项目，不得将中标项目转让（转包）给他人。</w:t>
      </w:r>
    </w:p>
    <w:p w14:paraId="390277DF">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bookmarkStart w:id="84" w:name="_Toc73521678"/>
      <w:bookmarkStart w:id="85" w:name="_Toc73518161"/>
      <w:bookmarkStart w:id="86" w:name="_Toc73521590"/>
      <w:bookmarkStart w:id="87" w:name="_Toc100052411"/>
      <w:bookmarkStart w:id="88" w:name="_Toc73517683"/>
      <w:r>
        <w:rPr>
          <w:rFonts w:hint="eastAsia" w:ascii="宋体" w:hAnsi="宋体" w:eastAsia="宋体" w:cs="宋体"/>
          <w:sz w:val="24"/>
        </w:rPr>
        <w:t>46．履约担保</w:t>
      </w:r>
      <w:bookmarkEnd w:id="84"/>
      <w:bookmarkEnd w:id="85"/>
      <w:bookmarkEnd w:id="86"/>
      <w:bookmarkEnd w:id="87"/>
      <w:bookmarkEnd w:id="88"/>
    </w:p>
    <w:p w14:paraId="261CAD6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46.1在签订项目合同的同时，中标人应按“对通用条款的补充内容”中规定的金额向采购人提交履约担保；</w:t>
      </w:r>
    </w:p>
    <w:p w14:paraId="2680E72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46.2，允许供应商自主选择以支票、汇票、本票、保函等非现金方式提交履约担保；</w:t>
      </w:r>
      <w:r>
        <w:rPr>
          <w:rFonts w:hint="eastAsia" w:ascii="宋体" w:hAnsi="宋体" w:eastAsia="宋体" w:cs="宋体"/>
        </w:rPr>
        <w:t>中标人提交履约担保不是合同签订的前提条件，不要求中标人提供除法律、法规明确规定外的其他担保。</w:t>
      </w:r>
    </w:p>
    <w:p w14:paraId="43AB22BF">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47. 合同备案</w:t>
      </w:r>
    </w:p>
    <w:p w14:paraId="5B2CC88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kern w:val="2"/>
          <w:sz w:val="21"/>
          <w:szCs w:val="21"/>
          <w:lang w:eastAsia="zh-Hans"/>
        </w:rPr>
        <w:t>采购人与中标供应商自中标通知书发出之日起10个工作日内签订政府采购合同，</w:t>
      </w:r>
      <w:r>
        <w:rPr>
          <w:rFonts w:hint="eastAsia" w:ascii="宋体" w:hAnsi="宋体" w:eastAsia="宋体" w:cs="宋体"/>
          <w:kern w:val="2"/>
          <w:sz w:val="21"/>
          <w:szCs w:val="21"/>
          <w:lang w:val="en-US" w:eastAsia="zh-CN"/>
        </w:rPr>
        <w:t>并按财政部门规定提交备案。</w:t>
      </w:r>
      <w:r>
        <w:rPr>
          <w:rFonts w:hint="eastAsia" w:ascii="宋体" w:hAnsi="宋体" w:eastAsia="宋体" w:cs="宋体"/>
          <w:sz w:val="24"/>
        </w:rPr>
        <w:t>48. 合同变更</w:t>
      </w:r>
    </w:p>
    <w:p w14:paraId="33374C1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合同变更事宜按《深圳市财政局关于优化政府采购合同备案的通知》（深财发保〔2022〕2号）相关规定执行。</w:t>
      </w:r>
    </w:p>
    <w:p w14:paraId="1BE5CDD1">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49. 项目验收</w:t>
      </w:r>
    </w:p>
    <w:p w14:paraId="0FC20CC6">
      <w:pPr>
        <w:widowControl/>
        <w:kinsoku/>
        <w:overflowPunct/>
        <w:topLinePunct w:val="0"/>
        <w:bidi w:val="0"/>
        <w:spacing w:beforeAutospacing="0" w:afterAutospacing="0" w:line="360" w:lineRule="auto"/>
        <w:ind w:left="0" w:leftChars="0" w:right="0" w:firstLine="0" w:firstLineChars="0"/>
        <w:jc w:val="left"/>
        <w:rPr>
          <w:rFonts w:hint="eastAsia" w:ascii="宋体" w:hAnsi="宋体" w:eastAsia="宋体" w:cs="宋体"/>
        </w:rPr>
      </w:pPr>
      <w:r>
        <w:rPr>
          <w:rFonts w:hint="eastAsia" w:ascii="宋体" w:hAnsi="宋体" w:eastAsia="宋体" w:cs="宋体"/>
        </w:rPr>
        <w:t xml:space="preserve">49.1采购人应当按照招标文件和合同规定的标准和方法，及时组织验收。 </w:t>
      </w:r>
    </w:p>
    <w:p w14:paraId="774BC5F5">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50. 宣传</w:t>
      </w:r>
    </w:p>
    <w:p w14:paraId="1909FA14">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凡与政府采购活动有关的宣传或广告，若当中提及政府采购，必须事先将具体对外宣传方案报同级财政部门和政府集中采购机构，并征得其同意。对外市场宣传包括但不限于以下形式：</w:t>
      </w:r>
    </w:p>
    <w:p w14:paraId="32322CF1">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a.名片、宣传册、广告标语等；</w:t>
      </w:r>
    </w:p>
    <w:p w14:paraId="3F7D19B8">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b.案例介绍、推广等；</w:t>
      </w:r>
    </w:p>
    <w:p w14:paraId="0FF378B8">
      <w:pPr>
        <w:kinsoku/>
        <w:overflowPunct/>
        <w:topLinePunct w:val="0"/>
        <w:bidi w:val="0"/>
        <w:spacing w:beforeAutospacing="0" w:afterAutospacing="0" w:line="360" w:lineRule="auto"/>
        <w:ind w:left="0" w:leftChars="0" w:right="0" w:firstLine="0" w:firstLineChars="0"/>
        <w:rPr>
          <w:rFonts w:hint="eastAsia" w:ascii="宋体" w:hAnsi="宋体" w:eastAsia="宋体" w:cs="宋体"/>
        </w:rPr>
      </w:pPr>
      <w:r>
        <w:rPr>
          <w:rFonts w:hint="eastAsia" w:ascii="宋体" w:hAnsi="宋体" w:eastAsia="宋体" w:cs="宋体"/>
        </w:rPr>
        <w:t>c.工作人员向其他消费群体宣传。</w:t>
      </w:r>
    </w:p>
    <w:p w14:paraId="3570C923">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51. 供应商违法责任</w:t>
      </w:r>
    </w:p>
    <w:p w14:paraId="73565830">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C57367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（1）在采购活动中应当回避而未回避的；</w:t>
      </w:r>
    </w:p>
    <w:p w14:paraId="13DA510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（2）未按本条例规定签订、履行采购合同，造成严重后果的；</w:t>
      </w:r>
    </w:p>
    <w:p w14:paraId="2C2E6AE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（3）隐瞒真实情况，提供虚假资料的；</w:t>
      </w:r>
    </w:p>
    <w:p w14:paraId="668DCEA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（4）以非法手段排斥其他供应商参与竞争的；</w:t>
      </w:r>
    </w:p>
    <w:p w14:paraId="24A9CBD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（5）与其他采购参加人串通投标的；</w:t>
      </w:r>
    </w:p>
    <w:p w14:paraId="6C6B04F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（6）恶意投诉的；</w:t>
      </w:r>
    </w:p>
    <w:p w14:paraId="162B7AA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（7）向采购项目相关人行贿或者提供其他不当利益的；</w:t>
      </w:r>
    </w:p>
    <w:p w14:paraId="3186850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（8）阻碍、抗拒主管部门监督检查的；</w:t>
      </w:r>
    </w:p>
    <w:p w14:paraId="5B5E1FD2">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（9）其他违反本条例规定的行为。</w:t>
      </w:r>
    </w:p>
    <w:p w14:paraId="41F2A18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51.2 根据《深圳市财政局关于调整政府采购投标（响应）保证金管理政策的通知 》（深财购〔2021〕51 号）的要求，供应商在政府采购活动中出现《深圳经济特区政府采购条例实施细则》第八十条所列情形的，</w:t>
      </w:r>
      <w:bookmarkStart w:id="89" w:name="_Hlk72440769"/>
      <w:r>
        <w:rPr>
          <w:rFonts w:hint="eastAsia" w:ascii="宋体" w:hAnsi="宋体" w:eastAsia="宋体" w:cs="宋体"/>
          <w:szCs w:val="21"/>
        </w:rPr>
        <w:t>政府集中采购机构或采购人不予退还其交纳的谈判保证金，情节严重的，并由主管部门</w:t>
      </w:r>
      <w:bookmarkEnd w:id="89"/>
      <w:r>
        <w:rPr>
          <w:rFonts w:hint="eastAsia" w:ascii="宋体" w:hAnsi="宋体" w:eastAsia="宋体" w:cs="宋体"/>
          <w:szCs w:val="21"/>
        </w:rPr>
        <w:t>记入供应商诚信档案，予以通报：</w:t>
      </w:r>
    </w:p>
    <w:p w14:paraId="252D53A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（1）投标截止后，撤销投标的；</w:t>
      </w:r>
    </w:p>
    <w:p w14:paraId="1B3F160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（2）中标后无正当理由未在规定期限内签订合同的；</w:t>
      </w:r>
    </w:p>
    <w:p w14:paraId="50126CA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（3）将中标项目转让给他人、或者在投标文件中未说明且未经采购人、采购招标机构同意，将中标项目分包给他人的；</w:t>
      </w:r>
    </w:p>
    <w:p w14:paraId="41D2733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（4）拒绝履行合同义务的。</w:t>
      </w:r>
    </w:p>
    <w:bookmarkEnd w:id="73"/>
    <w:p w14:paraId="661A5BC3">
      <w:pPr>
        <w:pStyle w:val="4"/>
        <w:numPr>
          <w:ilvl w:val="0"/>
          <w:numId w:val="9"/>
        </w:numP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 w:val="28"/>
          <w:szCs w:val="28"/>
        </w:rPr>
        <w:t>质疑处理</w:t>
      </w:r>
    </w:p>
    <w:p w14:paraId="56B318A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52.质疑提出与答复</w:t>
      </w:r>
    </w:p>
    <w:p w14:paraId="0FAAE4C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52.1提出质疑</w:t>
      </w:r>
    </w:p>
    <w:p w14:paraId="2BFD9A8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D5D9CF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52.2法律依据</w:t>
      </w:r>
    </w:p>
    <w:p w14:paraId="46E49A79">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52A652B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FF0000"/>
          <w:szCs w:val="21"/>
        </w:rPr>
        <w:t xml:space="preserve">  </w:t>
      </w:r>
      <w:r>
        <w:rPr>
          <w:rFonts w:hint="eastAsia" w:ascii="宋体" w:hAnsi="宋体" w:eastAsia="宋体" w:cs="宋体"/>
          <w:szCs w:val="21"/>
        </w:rPr>
        <w:t>52.3质疑条件</w:t>
      </w:r>
    </w:p>
    <w:p w14:paraId="73A989B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52.3.1提出质疑的供应商应当是参与所质疑项目采购活动的供应商；</w:t>
      </w:r>
      <w:bookmarkStart w:id="90" w:name="_Hlk75374941"/>
      <w:r>
        <w:rPr>
          <w:rFonts w:hint="eastAsia" w:ascii="宋体" w:hAnsi="宋体" w:eastAsia="宋体" w:cs="宋体"/>
          <w:szCs w:val="21"/>
        </w:rPr>
        <w:t>以联合体形式参与的，质疑应当由组成联合体的所有成员共同提出</w:t>
      </w:r>
      <w:bookmarkEnd w:id="90"/>
      <w:r>
        <w:rPr>
          <w:rFonts w:hint="eastAsia" w:ascii="宋体" w:hAnsi="宋体" w:eastAsia="宋体" w:cs="宋体"/>
          <w:szCs w:val="21"/>
        </w:rPr>
        <w:t>；</w:t>
      </w:r>
    </w:p>
    <w:p w14:paraId="4B3C176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03CF19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52.3.3应提交书面质疑函，质疑函应当包括以下内容： </w:t>
      </w:r>
    </w:p>
    <w:p w14:paraId="62753C0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（1）供应商的名称（或者姓名）、地址、邮编、邮箱、联系人及联系电话；</w:t>
      </w:r>
    </w:p>
    <w:p w14:paraId="35F3EDC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（2）质疑项目的名称、编号；</w:t>
      </w:r>
    </w:p>
    <w:p w14:paraId="711DAF5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（3）具体、明确的质疑对象、质疑事项和质疑请求；</w:t>
      </w:r>
    </w:p>
    <w:p w14:paraId="34A3FB5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（4）因质疑事项而受损害的权益；</w:t>
      </w:r>
    </w:p>
    <w:p w14:paraId="784C15E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（5）事实依据；</w:t>
      </w:r>
    </w:p>
    <w:p w14:paraId="7A7D933F">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（6）必要的法律依据；</w:t>
      </w:r>
    </w:p>
    <w:p w14:paraId="19DDFB9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（7）提出质疑的日期。</w:t>
      </w:r>
    </w:p>
    <w:p w14:paraId="1A9286B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供应商为自然人的，应当由本人签字；供应商为法人或者其他组织的，应当由法定代表人（负责人），或者其授权代理人签字或者盖章，并加盖公章。</w:t>
      </w:r>
    </w:p>
    <w:p w14:paraId="70F2BC5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52.4提交材料</w:t>
      </w:r>
    </w:p>
    <w:p w14:paraId="7CE6F7B8">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8B24F9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A34D87A">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52.5收文地点</w:t>
      </w:r>
    </w:p>
    <w:p w14:paraId="5DA7DF56">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szCs w:val="21"/>
        </w:rPr>
      </w:pPr>
      <w:r>
        <w:rPr>
          <w:rFonts w:hint="eastAsia" w:ascii="宋体" w:hAnsi="宋体" w:eastAsia="宋体" w:cs="宋体"/>
          <w:b/>
          <w:bCs/>
          <w:szCs w:val="21"/>
        </w:rPr>
        <w:t>地址：深圳公共资源交易中心（深圳交易集团有限公司</w:t>
      </w:r>
      <w:r>
        <w:rPr>
          <w:rFonts w:hint="eastAsia" w:ascii="宋体" w:hAnsi="宋体" w:eastAsia="宋体" w:cs="宋体"/>
          <w:b/>
          <w:bCs/>
          <w:szCs w:val="21"/>
          <w:lang w:val="en-US" w:eastAsia="zh-CN"/>
        </w:rPr>
        <w:t>宝安</w:t>
      </w:r>
      <w:r>
        <w:rPr>
          <w:rFonts w:hint="eastAsia" w:ascii="宋体" w:hAnsi="宋体" w:eastAsia="宋体" w:cs="宋体"/>
          <w:b/>
          <w:bCs/>
          <w:szCs w:val="21"/>
        </w:rPr>
        <w:t>分公司）</w:t>
      </w:r>
      <w:r>
        <w:rPr>
          <w:rFonts w:hint="eastAsia" w:ascii="宋体" w:hAnsi="宋体" w:eastAsia="宋体" w:cs="宋体"/>
          <w:b/>
          <w:bCs/>
          <w:szCs w:val="21"/>
          <w:lang w:val="en-US" w:eastAsia="zh-CN"/>
        </w:rPr>
        <w:t>一</w:t>
      </w:r>
      <w:r>
        <w:rPr>
          <w:rFonts w:hint="eastAsia" w:ascii="宋体" w:hAnsi="宋体" w:eastAsia="宋体" w:cs="宋体"/>
          <w:b/>
          <w:bCs/>
          <w:szCs w:val="21"/>
        </w:rPr>
        <w:t>楼</w:t>
      </w:r>
      <w:r>
        <w:rPr>
          <w:rFonts w:hint="eastAsia" w:ascii="宋体" w:hAnsi="宋体" w:eastAsia="宋体" w:cs="宋体"/>
          <w:b/>
          <w:bCs/>
          <w:szCs w:val="21"/>
          <w:lang w:val="en-US" w:eastAsia="zh-CN"/>
        </w:rPr>
        <w:t>服务大厅</w:t>
      </w:r>
      <w:r>
        <w:rPr>
          <w:rFonts w:hint="eastAsia" w:ascii="宋体" w:hAnsi="宋体" w:eastAsia="宋体" w:cs="宋体"/>
          <w:b/>
          <w:bCs/>
          <w:szCs w:val="21"/>
        </w:rPr>
        <w:t>，质疑咨询电话：0755-</w:t>
      </w:r>
      <w:r>
        <w:rPr>
          <w:rFonts w:hint="eastAsia" w:ascii="宋体" w:hAnsi="宋体" w:eastAsia="宋体" w:cs="宋体"/>
          <w:b/>
          <w:bCs/>
          <w:szCs w:val="21"/>
          <w:lang w:val="en-US" w:eastAsia="zh-CN"/>
        </w:rPr>
        <w:t>27758331</w:t>
      </w:r>
      <w:r>
        <w:rPr>
          <w:rFonts w:hint="eastAsia" w:ascii="宋体" w:hAnsi="宋体" w:eastAsia="宋体" w:cs="宋体"/>
          <w:b/>
          <w:bCs/>
          <w:szCs w:val="21"/>
        </w:rPr>
        <w:t>。</w:t>
      </w:r>
    </w:p>
    <w:p w14:paraId="158EF58C">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52.6收文办理程序</w:t>
      </w:r>
    </w:p>
    <w:p w14:paraId="0E47353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D67C7F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8"/>
          <w:szCs w:val="28"/>
        </w:rPr>
      </w:pPr>
      <w:r>
        <w:rPr>
          <w:rFonts w:hint="eastAsia" w:ascii="宋体" w:hAnsi="宋体" w:eastAsia="宋体" w:cs="宋体"/>
          <w:szCs w:val="21"/>
        </w:rPr>
        <w:t>52.6.2供应商提交的质疑材料不符合质疑条件的，视情况处理：</w:t>
      </w:r>
    </w:p>
    <w:p w14:paraId="7CFB42B1">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供应商提交的质疑材料不全或者未按要求签字或者盖章的，政府集中采购机构应当一次性告知供应商需补正的内容和补正期限。</w:t>
      </w:r>
    </w:p>
    <w:p w14:paraId="01D498D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供应商提交的质疑存在下列情形之一的，不予受理：</w:t>
      </w:r>
    </w:p>
    <w:p w14:paraId="0E323F5E">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（1）质疑主体不满足要求的；</w:t>
      </w:r>
    </w:p>
    <w:p w14:paraId="3867E907">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（2）供应商自身权益未受到损害的；</w:t>
      </w:r>
    </w:p>
    <w:p w14:paraId="110C46F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（3）供应商未在法定质疑期限内提出质疑的；</w:t>
      </w:r>
    </w:p>
    <w:p w14:paraId="38C20A0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（4）质疑材料不全或者未按要求签字或者盖章的情况下，要求补正后，逾期未补正或者补正后仍不符合规定的；</w:t>
      </w:r>
    </w:p>
    <w:p w14:paraId="34734E53">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（5）其他不符合受理条件情形的。</w:t>
      </w:r>
    </w:p>
    <w:p w14:paraId="6544D32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质疑事项不予受理的，政府集中采购机构应当向供应商出具不符合质疑条件告知书。</w:t>
      </w:r>
    </w:p>
    <w:p w14:paraId="5501C436">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color w:val="FF0000"/>
          <w:szCs w:val="21"/>
        </w:rPr>
        <w:t xml:space="preserve">  </w:t>
      </w:r>
      <w:r>
        <w:rPr>
          <w:rFonts w:hint="eastAsia" w:ascii="宋体" w:hAnsi="宋体" w:eastAsia="宋体" w:cs="宋体"/>
          <w:szCs w:val="21"/>
        </w:rPr>
        <w:t xml:space="preserve">  52.7质疑答复时限</w:t>
      </w:r>
    </w:p>
    <w:p w14:paraId="0B7B7E74">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自收文之日起七个工作日内。</w:t>
      </w:r>
    </w:p>
    <w:p w14:paraId="60915565">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52.8投诉</w:t>
      </w:r>
    </w:p>
    <w:p w14:paraId="2A1EED6B">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对质疑答复不满意或者未在规定时间内答复的，提出质疑的供应商可以在答复期满后15个工作日内向本项目预算主管单位投诉。</w:t>
      </w:r>
    </w:p>
    <w:p w14:paraId="5044EDCA">
      <w:pPr>
        <w:kinsoku/>
        <w:overflowPunct/>
        <w:topLinePunct w:val="0"/>
        <w:bidi w:val="0"/>
        <w:spacing w:beforeAutospacing="0" w:afterAutospacing="0" w:line="360" w:lineRule="auto"/>
        <w:ind w:left="0" w:leftChars="0" w:right="0" w:firstLine="0" w:firstLineChars="0"/>
        <w:rPr>
          <w:rFonts w:hint="eastAsia" w:ascii="宋体" w:hAnsi="宋体" w:eastAsia="宋体" w:cs="宋体"/>
          <w:sz w:val="24"/>
        </w:rPr>
      </w:pPr>
      <w:r>
        <w:rPr>
          <w:rFonts w:hint="eastAsia" w:ascii="宋体" w:hAnsi="宋体" w:eastAsia="宋体" w:cs="宋体"/>
          <w:sz w:val="24"/>
        </w:rPr>
        <w:t>53. 质疑后续处理</w:t>
      </w:r>
    </w:p>
    <w:p w14:paraId="56CDD7FD">
      <w:pPr>
        <w:kinsoku/>
        <w:overflowPunct/>
        <w:topLinePunct w:val="0"/>
        <w:bidi w:val="0"/>
        <w:spacing w:beforeAutospacing="0" w:afterAutospacing="0" w:line="360" w:lineRule="auto"/>
        <w:ind w:left="0" w:leftChars="0" w:right="0" w:firstLine="0" w:firstLineChars="0"/>
        <w:rPr>
          <w:rFonts w:hint="eastAsia" w:ascii="宋体" w:hAnsi="宋体" w:eastAsia="宋体" w:cs="宋体"/>
          <w:szCs w:val="21"/>
        </w:rPr>
      </w:pPr>
      <w:r>
        <w:rPr>
          <w:rFonts w:hint="eastAsia" w:ascii="宋体" w:hAnsi="宋体" w:eastAsia="宋体" w:cs="宋体"/>
          <w:szCs w:val="21"/>
        </w:rPr>
        <w:t xml:space="preserve">    53.1供应商质疑不成立，或者成立但未对中标、成交结果构成影响的，继续开展采购活动。</w:t>
      </w:r>
    </w:p>
    <w:p w14:paraId="3F833A67">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rPr>
      </w:pPr>
      <w:r>
        <w:rPr>
          <w:rFonts w:hint="eastAsia" w:ascii="宋体" w:hAnsi="宋体" w:eastAsia="宋体" w:cs="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rPr>
          <w:rFonts w:hint="eastAsia" w:ascii="宋体" w:hAnsi="宋体" w:eastAsia="宋体" w:cs="宋体"/>
        </w:rPr>
        <w:t>---- END ----</w:t>
      </w:r>
    </w:p>
    <w:p w14:paraId="288F1632">
      <w:pPr>
        <w:kinsoku/>
        <w:overflowPunct/>
        <w:topLinePunct w:val="0"/>
        <w:bidi w:val="0"/>
        <w:spacing w:beforeAutospacing="0" w:afterAutospacing="0" w:line="360" w:lineRule="auto"/>
        <w:ind w:left="0" w:leftChars="0" w:right="0" w:firstLine="0" w:firstLineChars="0"/>
        <w:jc w:val="center"/>
        <w:rPr>
          <w:rFonts w:hint="eastAsia" w:ascii="宋体" w:hAnsi="宋体" w:eastAsia="宋体" w:cs="宋体"/>
          <w:szCs w:val="24"/>
        </w:rPr>
      </w:pPr>
      <w:r>
        <w:rPr>
          <w:rFonts w:hint="eastAsia" w:ascii="宋体" w:hAnsi="宋体" w:eastAsia="宋体" w:cs="宋体"/>
          <w:szCs w:val="24"/>
        </w:rPr>
        <w:t>---- END ----</w:t>
      </w:r>
      <w:bookmarkEnd w:id="36"/>
    </w:p>
    <w:p w14:paraId="1A12A964">
      <w:pPr>
        <w:kinsoku/>
        <w:overflowPunct/>
        <w:topLinePunct w:val="0"/>
        <w:bidi w:val="0"/>
        <w:spacing w:beforeAutospacing="0" w:afterAutospacing="0" w:line="360" w:lineRule="auto"/>
        <w:ind w:left="0" w:leftChars="0" w:right="0" w:firstLine="0" w:firstLineChars="0"/>
        <w:rPr>
          <w:rFonts w:hint="eastAsia" w:ascii="宋体" w:hAnsi="宋体" w:eastAsia="宋体" w:cs="宋体"/>
          <w:b/>
          <w:color w:val="FF0000"/>
          <w:sz w:val="52"/>
          <w:szCs w:val="52"/>
        </w:rPr>
      </w:pPr>
    </w:p>
    <w:p w14:paraId="1038A5EE">
      <w:pPr>
        <w:kinsoku/>
        <w:overflowPunct/>
        <w:topLinePunct w:val="0"/>
        <w:bidi w:val="0"/>
        <w:spacing w:beforeAutospacing="0" w:afterAutospacing="0" w:line="360" w:lineRule="auto"/>
        <w:ind w:left="0" w:leftChars="0" w:right="0" w:firstLine="0" w:firstLineChars="0"/>
        <w:rPr>
          <w:rFonts w:hint="eastAsia" w:ascii="宋体" w:hAnsi="宋体" w:eastAsia="宋体" w:cs="宋体"/>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A1BA">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1D33BA93">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14:paraId="7F54A854">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52166">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A034F">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8124">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ECED">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C057">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2E43">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8"/>
  </w:num>
  <w:num w:numId="2">
    <w:abstractNumId w:val="1"/>
  </w:num>
  <w:num w:numId="3">
    <w:abstractNumId w:val="5"/>
  </w:num>
  <w:num w:numId="4">
    <w:abstractNumId w:val="3"/>
  </w:num>
  <w:num w:numId="5">
    <w:abstractNumId w:val="2"/>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wNjY2NjcxZDBhNTdkNjlmNDI4MmI2M2FkYmM3YmY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A93FA3"/>
    <w:rsid w:val="01CA5CC8"/>
    <w:rsid w:val="01EA152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7C585B"/>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6837D7"/>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56D18"/>
    <w:rsid w:val="505E4B9C"/>
    <w:rsid w:val="506C55DF"/>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1E63AF5"/>
    <w:rsid w:val="626A2DAC"/>
    <w:rsid w:val="62784498"/>
    <w:rsid w:val="63293771"/>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5A21EA"/>
    <w:rsid w:val="6EB8009F"/>
    <w:rsid w:val="6EC72090"/>
    <w:rsid w:val="6F0D2BF9"/>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974B71"/>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5"/>
    <w:next w:val="6"/>
    <w:link w:val="30"/>
    <w:autoRedefine/>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6"/>
    <w:next w:val="1"/>
    <w:autoRedefine/>
    <w:qFormat/>
    <w:uiPriority w:val="9"/>
    <w:pPr>
      <w:spacing w:before="260" w:after="260" w:line="240" w:lineRule="auto"/>
      <w:outlineLvl w:val="2"/>
    </w:pPr>
    <w:rPr>
      <w:rFonts w:ascii="宋体" w:hAnsi="宋体" w:eastAsia="宋体"/>
      <w:szCs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b/>
      <w:bCs/>
      <w:sz w:val="24"/>
    </w:rPr>
  </w:style>
  <w:style w:type="paragraph" w:styleId="7">
    <w:name w:val="Normal Indent"/>
    <w:basedOn w:val="1"/>
    <w:autoRedefine/>
    <w:qFormat/>
    <w:uiPriority w:val="0"/>
    <w:pPr>
      <w:ind w:firstLine="420"/>
    </w:pPr>
    <w:rPr>
      <w:szCs w:val="20"/>
    </w:rPr>
  </w:style>
  <w:style w:type="paragraph" w:styleId="8">
    <w:name w:val="Document Map"/>
    <w:basedOn w:val="1"/>
    <w:link w:val="29"/>
    <w:autoRedefine/>
    <w:semiHidden/>
    <w:unhideWhenUsed/>
    <w:qFormat/>
    <w:uiPriority w:val="99"/>
    <w:rPr>
      <w:rFonts w:ascii="宋体" w:eastAsia="宋体"/>
      <w:sz w:val="18"/>
      <w:szCs w:val="18"/>
    </w:rPr>
  </w:style>
  <w:style w:type="paragraph" w:styleId="9">
    <w:name w:val="annotation text"/>
    <w:basedOn w:val="1"/>
    <w:link w:val="31"/>
    <w:autoRedefine/>
    <w:unhideWhenUsed/>
    <w:qFormat/>
    <w:uiPriority w:val="99"/>
    <w:pPr>
      <w:jc w:val="left"/>
    </w:p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autoRedefine/>
    <w:qFormat/>
    <w:uiPriority w:val="0"/>
    <w:pPr>
      <w:spacing w:line="360" w:lineRule="auto"/>
    </w:pPr>
    <w:rPr>
      <w:sz w:val="24"/>
    </w:rPr>
  </w:style>
  <w:style w:type="paragraph" w:styleId="14">
    <w:name w:val="Normal (Web)"/>
    <w:basedOn w:val="1"/>
    <w:link w:val="26"/>
    <w:autoRedefine/>
    <w:qFormat/>
    <w:uiPriority w:val="99"/>
    <w:pPr>
      <w:widowControl/>
      <w:spacing w:before="100" w:beforeAutospacing="1" w:afterAutospacing="1"/>
      <w:jc w:val="left"/>
    </w:pPr>
    <w:rPr>
      <w:rFonts w:ascii="宋体" w:hAnsi="宋体"/>
      <w:sz w:val="24"/>
      <w:szCs w:val="24"/>
    </w:rPr>
  </w:style>
  <w:style w:type="paragraph" w:styleId="15">
    <w:name w:val="annotation subject"/>
    <w:basedOn w:val="9"/>
    <w:next w:val="9"/>
    <w:link w:val="33"/>
    <w:autoRedefine/>
    <w:semiHidden/>
    <w:unhideWhenUsed/>
    <w:qFormat/>
    <w:uiPriority w:val="99"/>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FollowedHyperlink"/>
    <w:basedOn w:val="18"/>
    <w:autoRedefine/>
    <w:semiHidden/>
    <w:unhideWhenUsed/>
    <w:qFormat/>
    <w:uiPriority w:val="99"/>
    <w:rPr>
      <w:color w:val="800080" w:themeColor="followedHyperlink"/>
      <w:u w:val="single"/>
    </w:rPr>
  </w:style>
  <w:style w:type="character" w:styleId="21">
    <w:name w:val="Hyperlink"/>
    <w:basedOn w:val="18"/>
    <w:autoRedefine/>
    <w:unhideWhenUsed/>
    <w:qFormat/>
    <w:uiPriority w:val="99"/>
    <w:rPr>
      <w:color w:val="0000FF" w:themeColor="hyperlink"/>
      <w:u w:val="single"/>
    </w:rPr>
  </w:style>
  <w:style w:type="character" w:styleId="22">
    <w:name w:val="annotation reference"/>
    <w:basedOn w:val="18"/>
    <w:autoRedefine/>
    <w:semiHidden/>
    <w:unhideWhenUsed/>
    <w:qFormat/>
    <w:uiPriority w:val="99"/>
    <w:rPr>
      <w:sz w:val="21"/>
      <w:szCs w:val="21"/>
    </w:rPr>
  </w:style>
  <w:style w:type="character" w:customStyle="1" w:styleId="23">
    <w:name w:val="页眉 Char"/>
    <w:basedOn w:val="18"/>
    <w:link w:val="12"/>
    <w:autoRedefine/>
    <w:semiHidden/>
    <w:qFormat/>
    <w:uiPriority w:val="99"/>
    <w:rPr>
      <w:sz w:val="18"/>
      <w:szCs w:val="18"/>
    </w:rPr>
  </w:style>
  <w:style w:type="character" w:customStyle="1" w:styleId="24">
    <w:name w:val="页脚 Char"/>
    <w:basedOn w:val="18"/>
    <w:link w:val="11"/>
    <w:autoRedefine/>
    <w:qFormat/>
    <w:uiPriority w:val="99"/>
    <w:rPr>
      <w:sz w:val="18"/>
      <w:szCs w:val="18"/>
    </w:rPr>
  </w:style>
  <w:style w:type="character" w:customStyle="1" w:styleId="25">
    <w:name w:val="批注框文本 Char"/>
    <w:basedOn w:val="18"/>
    <w:link w:val="10"/>
    <w:autoRedefine/>
    <w:semiHidden/>
    <w:qFormat/>
    <w:uiPriority w:val="99"/>
    <w:rPr>
      <w:sz w:val="18"/>
      <w:szCs w:val="18"/>
    </w:rPr>
  </w:style>
  <w:style w:type="character" w:customStyle="1" w:styleId="26">
    <w:name w:val="普通(网站) Char"/>
    <w:link w:val="14"/>
    <w:autoRedefine/>
    <w:qFormat/>
    <w:uiPriority w:val="99"/>
    <w:rPr>
      <w:rFonts w:ascii="宋体" w:hAnsi="宋体"/>
      <w:sz w:val="24"/>
      <w:szCs w:val="24"/>
    </w:rPr>
  </w:style>
  <w:style w:type="character" w:customStyle="1" w:styleId="27">
    <w:name w:val="标题 1 Char"/>
    <w:basedOn w:val="18"/>
    <w:link w:val="3"/>
    <w:autoRedefine/>
    <w:qFormat/>
    <w:uiPriority w:val="0"/>
    <w:rPr>
      <w:rFonts w:ascii="Arial" w:hAnsi="Arial" w:eastAsia="宋体" w:cs="Times New Roman"/>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文档结构图 Char"/>
    <w:basedOn w:val="18"/>
    <w:link w:val="8"/>
    <w:autoRedefine/>
    <w:semiHidden/>
    <w:qFormat/>
    <w:uiPriority w:val="99"/>
    <w:rPr>
      <w:rFonts w:ascii="宋体" w:eastAsia="宋体"/>
      <w:sz w:val="18"/>
      <w:szCs w:val="18"/>
    </w:rPr>
  </w:style>
  <w:style w:type="character" w:customStyle="1" w:styleId="30">
    <w:name w:val="标题 2 Char"/>
    <w:basedOn w:val="18"/>
    <w:link w:val="4"/>
    <w:autoRedefine/>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9"/>
    <w:autoRedefine/>
    <w:qFormat/>
    <w:uiPriority w:val="99"/>
  </w:style>
  <w:style w:type="character" w:customStyle="1" w:styleId="32">
    <w:name w:val="标题 3 Char"/>
    <w:autoRedefine/>
    <w:qFormat/>
    <w:uiPriority w:val="0"/>
    <w:rPr>
      <w:rFonts w:ascii="黑体" w:eastAsia="黑体"/>
      <w:bCs/>
      <w:sz w:val="30"/>
    </w:rPr>
  </w:style>
  <w:style w:type="character" w:customStyle="1" w:styleId="33">
    <w:name w:val="批注主题 Char"/>
    <w:basedOn w:val="31"/>
    <w:link w:val="15"/>
    <w:autoRedefine/>
    <w:semiHidden/>
    <w:qFormat/>
    <w:uiPriority w:val="99"/>
    <w:rPr>
      <w:b/>
      <w:bCs/>
    </w:rPr>
  </w:style>
  <w:style w:type="table" w:customStyle="1" w:styleId="34">
    <w:name w:val="网格型1"/>
    <w:basedOn w:val="16"/>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85</Pages>
  <Words>53247</Words>
  <Characters>57363</Characters>
  <Lines>316</Lines>
  <Paragraphs>88</Paragraphs>
  <TotalTime>33</TotalTime>
  <ScaleCrop>false</ScaleCrop>
  <LinksUpToDate>false</LinksUpToDate>
  <CharactersWithSpaces>63594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wtx</cp:lastModifiedBy>
  <cp:lastPrinted>2021-01-15T01:17:00Z</cp:lastPrinted>
  <dcterms:modified xsi:type="dcterms:W3CDTF">2024-06-21T13:28:32Z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1D35441E0ED44CDAA276D758760C3890_12</vt:lpwstr>
  </property>
</Properties>
</file>