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b/>
          <w:bCs/>
          <w:color w:val="FF0000"/>
          <w:kern w:val="2"/>
          <w:sz w:val="32"/>
          <w:szCs w:val="32"/>
          <w:lang w:eastAsia="zh-CN"/>
        </w:rPr>
      </w:pPr>
      <w:r>
        <w:rPr>
          <w:rFonts w:hint="eastAsia"/>
          <w:b/>
          <w:bCs/>
          <w:color w:val="FF0000"/>
          <w:kern w:val="2"/>
          <w:sz w:val="32"/>
          <w:szCs w:val="32"/>
          <w:lang w:eastAsia="zh-CN"/>
        </w:rPr>
        <w:t>特别警示条款</w:t>
      </w:r>
    </w:p>
    <w:p>
      <w:pPr>
        <w:rPr>
          <w:lang w:eastAsia="zh-CN"/>
        </w:rPr>
      </w:pPr>
    </w:p>
    <w:p>
      <w:pPr>
        <w:spacing w:line="360" w:lineRule="auto"/>
        <w:rPr>
          <w:b/>
          <w:bCs/>
          <w:color w:val="FF0000"/>
          <w:kern w:val="2"/>
          <w:lang w:eastAsia="zh-CN"/>
        </w:rPr>
      </w:pPr>
      <w:r>
        <w:rPr>
          <w:rFonts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1"/>
        <w:gridCol w:w="8235"/>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序号</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lang w:eastAsia="zh-CN"/>
              </w:rPr>
            </w:pPr>
            <w:r>
              <w:rPr>
                <w:rFonts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1</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与其他投标供应商的法定代表人、主要经营负责人、投标授权代表人、项目负责人、主要技术人员为</w:t>
            </w:r>
            <w:r>
              <w:rPr>
                <w:rFonts w:hint="eastAsia"/>
                <w:b/>
                <w:bCs/>
                <w:color w:val="FF0000"/>
                <w:lang w:eastAsia="zh-CN"/>
              </w:rPr>
              <w:t>同一人、属同一单位或者在同一单位缴纳社会保险</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2</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参与本项目政府采购活动时，与其他投标供应商存在单位负责人为</w:t>
            </w:r>
            <w:r>
              <w:rPr>
                <w:rFonts w:hint="eastAsia"/>
                <w:b/>
                <w:bCs/>
                <w:color w:val="FF0000"/>
                <w:lang w:eastAsia="zh-CN"/>
              </w:rPr>
              <w:t>同一人或直接控股、管理关系</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3</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与其他投标供应商的投标文件或部分投标文件</w:t>
            </w:r>
            <w:r>
              <w:rPr>
                <w:rFonts w:hint="eastAsia"/>
                <w:b/>
                <w:bCs/>
                <w:color w:val="FF0000"/>
                <w:lang w:eastAsia="zh-CN"/>
              </w:rPr>
              <w:t>相互混装或存在非正常一致</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2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4</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与其他投标供应商的投标文件由</w:t>
            </w:r>
            <w:r>
              <w:rPr>
                <w:rFonts w:hint="eastAsia"/>
                <w:b/>
                <w:bCs/>
                <w:color w:val="FF0000"/>
                <w:lang w:eastAsia="zh-CN"/>
              </w:rPr>
              <w:t>同一单位或者同一人编制</w:t>
            </w:r>
            <w:r>
              <w:rPr>
                <w:rFonts w:hint="eastAsia"/>
                <w:color w:val="FF0000"/>
                <w:lang w:eastAsia="zh-CN"/>
              </w:rPr>
              <w:t>，或者使用</w:t>
            </w:r>
            <w:r>
              <w:rPr>
                <w:rFonts w:hint="eastAsia"/>
                <w:b/>
                <w:bCs/>
                <w:color w:val="FF0000"/>
                <w:lang w:eastAsia="zh-CN"/>
              </w:rPr>
              <w:t>同一设备编制</w:t>
            </w:r>
            <w:r>
              <w:rPr>
                <w:rFonts w:hint="eastAsia"/>
                <w:color w:val="FF0000"/>
                <w:lang w:eastAsia="zh-CN"/>
              </w:rPr>
              <w:t>（“文件制作机器码”“文件创建标识码”一致）。</w:t>
            </w:r>
          </w:p>
        </w:tc>
      </w:tr>
      <w:tr>
        <w:tblPrEx>
          <w:tblW w:w="5000" w:type="pct"/>
          <w:tblInd w:w="250" w:type="dxa"/>
          <w:tblLayout w:type="fixed"/>
          <w:tblCellMar>
            <w:top w:w="0" w:type="dxa"/>
            <w:left w:w="108" w:type="dxa"/>
            <w:bottom w:w="0" w:type="dxa"/>
            <w:right w:w="108" w:type="dxa"/>
          </w:tblCellMar>
        </w:tblPrEx>
        <w:trPr>
          <w:trHeight w:val="98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5</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提供</w:t>
            </w:r>
            <w:r>
              <w:rPr>
                <w:rFonts w:hint="eastAsia"/>
                <w:b/>
                <w:bCs/>
                <w:color w:val="FF0000"/>
                <w:lang w:eastAsia="zh-CN"/>
              </w:rPr>
              <w:t>未经出具机构核实</w:t>
            </w:r>
            <w:r>
              <w:rPr>
                <w:rFonts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588"/>
        </w:trPr>
        <w:tc>
          <w:tcPr>
            <w:tcW w:w="561" w:type="dxa"/>
            <w:tcBorders>
              <w:top w:val="single" w:sz="4" w:space="0" w:color="auto"/>
              <w:left w:val="single" w:sz="4" w:space="0" w:color="auto"/>
              <w:bottom w:val="single" w:sz="4" w:space="0" w:color="auto"/>
              <w:right w:val="single" w:sz="4" w:space="0" w:color="auto"/>
            </w:tcBorders>
            <w:vAlign w:val="center"/>
          </w:tcPr>
          <w:p>
            <w:pPr>
              <w:widowControl/>
              <w:rPr>
                <w:color w:val="FF0000"/>
              </w:rPr>
            </w:pPr>
            <w:r>
              <w:rPr>
                <w:rFonts w:hint="eastAsia"/>
                <w:color w:val="FF0000"/>
              </w:rPr>
              <w:t>6</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擅自将投标密钥或电子营业执照出借他人使用或未妥善保管。</w:t>
            </w:r>
          </w:p>
        </w:tc>
      </w:tr>
    </w:tbl>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spacing w:beforeAutospacing="1"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rPr>
          <w:rFonts w:eastAsia="黑体" w:hint="eastAsia"/>
        </w:rPr>
      </w:pP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LHAZXDL-2025-00353</w:t>
      </w:r>
    </w:p>
    <w:p>
      <w:pPr>
        <w:widowControl w:val="0"/>
        <w:tabs>
          <w:tab w:val="left" w:pos="2790"/>
        </w:tabs>
        <w:snapToGrid w:val="0"/>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幼儿保育虚拟仿真教学系统采购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b/>
          <w:bCs/>
          <w:kern w:val="2"/>
          <w:szCs w:val="22"/>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bookmarkStart w:id="0" w:name="OLE_LINK1"/>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hint="eastAsia"/>
          <w:kern w:val="2"/>
          <w:sz w:val="40"/>
          <w:szCs w:val="40"/>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1" w:name="_Hlk71832186"/>
            <w:r>
              <w:rPr>
                <w:rFonts w:ascii="宋体" w:eastAsia="宋体" w:hAnsi="宋体" w:cstheme="minorBidi" w:hint="eastAsia"/>
                <w:kern w:val="2"/>
                <w:sz w:val="21"/>
                <w:szCs w:val="21"/>
                <w:lang w:eastAsia="zh-CN"/>
              </w:rPr>
              <w:t>相应预算金额（或设定的预算金额下的最高限价）</w:t>
            </w:r>
            <w:bookmarkEnd w:id="1"/>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spacing w:before="100" w:beforeAutospacing="1" w:afterAutospacing="1"/>
        <w:jc w:val="center"/>
        <w:outlineLvl w:val="0"/>
        <w:rPr>
          <w:rFonts w:ascii="黑体" w:eastAsia="黑体" w:hAnsi="宋体" w:hint="eastAsia"/>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8730"/>
      </w:tblGrid>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投标报价得分=(评标基准价／投标报价)×100</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评标总得分＝F1×A1＋F2×A2＋……＋Fn×An</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F1、F2……Fn分别为各项评审因素的得分；</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A1、A2、……An分别为各项评审因素所占的权重(A1＋A2＋……＋An＝1)。</w:t>
            </w:r>
          </w:p>
          <w:p>
            <w:pPr>
              <w:spacing w:before="100"/>
              <w:ind w:left="420"/>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spacing w:before="100"/>
              <w:ind w:left="420"/>
              <w:rPr>
                <w:rFonts w:ascii="宋体" w:eastAsia="宋体" w:hAnsi="宋体" w:hint="eastAsia"/>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bookmarkEnd w:id="0"/>
    <w:tbl>
      <w:tblPr>
        <w:tblStyle w:val="TableNormal"/>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06"/>
        <w:gridCol w:w="736"/>
        <w:gridCol w:w="14"/>
        <w:gridCol w:w="1164"/>
        <w:gridCol w:w="206"/>
        <w:gridCol w:w="1317"/>
        <w:gridCol w:w="501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jc w:val="center"/>
        </w:trPr>
        <w:tc>
          <w:tcPr>
            <w:tcW w:w="392"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309" w:type="dxa"/>
            <w:gridSpan w:val="5"/>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4827"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jc w:val="center"/>
          <w:tblLayout w:type="fixed"/>
          <w:tblCellMar>
            <w:top w:w="0" w:type="dxa"/>
            <w:left w:w="108" w:type="dxa"/>
            <w:bottom w:w="0" w:type="dxa"/>
            <w:right w:w="108" w:type="dxa"/>
          </w:tblCellMar>
        </w:tblPrEx>
        <w:trPr>
          <w:trHeight w:val="326"/>
          <w:jc w:val="center"/>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3309"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4827"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30分</w:t>
            </w:r>
          </w:p>
        </w:tc>
      </w:tr>
      <w:tr>
        <w:tblPrEx>
          <w:tblW w:w="5000" w:type="pct"/>
          <w:jc w:val="center"/>
          <w:tblLayout w:type="fixed"/>
          <w:tblCellMar>
            <w:top w:w="0" w:type="dxa"/>
            <w:left w:w="108" w:type="dxa"/>
            <w:bottom w:w="0" w:type="dxa"/>
            <w:right w:w="108" w:type="dxa"/>
          </w:tblCellMar>
        </w:tblPrEx>
        <w:trPr>
          <w:trHeight w:val="366"/>
          <w:jc w:val="center"/>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3309"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技术部分</w:t>
            </w:r>
          </w:p>
        </w:tc>
        <w:tc>
          <w:tcPr>
            <w:tcW w:w="4827"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eastAsia="zh-CN"/>
              </w:rPr>
              <w:t>60</w:t>
            </w:r>
            <w:r>
              <w:rPr>
                <w:rFonts w:ascii="宋体" w:eastAsia="宋体" w:hAnsi="宋体" w:cs="宋体" w:hint="eastAsia"/>
                <w:b/>
                <w:bCs/>
                <w:color w:val="0000FF"/>
                <w:sz w:val="21"/>
                <w:szCs w:val="21"/>
              </w:rPr>
              <w:t>分</w:t>
            </w:r>
          </w:p>
        </w:tc>
      </w:tr>
      <w:tr>
        <w:tblPrEx>
          <w:tblW w:w="5000" w:type="pct"/>
          <w:jc w:val="center"/>
          <w:tblLayout w:type="fixed"/>
          <w:tblCellMar>
            <w:top w:w="0" w:type="dxa"/>
            <w:left w:w="108" w:type="dxa"/>
            <w:bottom w:w="0" w:type="dxa"/>
            <w:right w:w="108" w:type="dxa"/>
          </w:tblCellMar>
        </w:tblPrEx>
        <w:trPr>
          <w:trHeight w:val="339"/>
          <w:jc w:val="center"/>
        </w:trPr>
        <w:tc>
          <w:tcPr>
            <w:tcW w:w="392" w:type="dxa"/>
            <w:vMerge w:val="restart"/>
            <w:noWrap w:val="0"/>
            <w:vAlign w:val="center"/>
          </w:tcPr>
          <w:p>
            <w:pPr>
              <w:spacing w:line="240" w:lineRule="exact"/>
              <w:jc w:val="center"/>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332" w:type="dxa"/>
            <w:gridSpan w:val="3"/>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268"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w:t>
            </w:r>
            <w:r>
              <w:rPr>
                <w:rFonts w:ascii="宋体" w:eastAsia="宋体" w:hAnsi="宋体" w:cs="宋体" w:hint="eastAsia"/>
                <w:b/>
                <w:bCs/>
                <w:sz w:val="21"/>
                <w:szCs w:val="21"/>
              </w:rPr>
              <w:t>重(%)</w:t>
            </w:r>
          </w:p>
        </w:tc>
        <w:tc>
          <w:tcPr>
            <w:tcW w:w="4827"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技术保障措施</w:t>
            </w:r>
          </w:p>
        </w:tc>
        <w:tc>
          <w:tcPr>
            <w:tcW w:w="1268"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12</w:t>
            </w:r>
          </w:p>
        </w:tc>
        <w:tc>
          <w:tcPr>
            <w:tcW w:w="4827" w:type="dxa"/>
            <w:noWrap w:val="0"/>
            <w:vAlign w:val="center"/>
          </w:tcPr>
          <w:p>
            <w:p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（一）评分内容：根据招标文件的需求，制定贴切本项目的技术保障措施，内容包括但不限于：</w:t>
            </w:r>
          </w:p>
          <w:p>
            <w:pPr>
              <w:keepNext w:val="0"/>
              <w:keepLines w:val="0"/>
              <w:widowControl/>
              <w:suppressLineNumbers w:val="0"/>
              <w:spacing w:before="0" w:beforeAutospacing="0" w:after="0" w:afterAutospacing="0"/>
              <w:ind w:left="0" w:right="0"/>
              <w:jc w:val="left"/>
              <w:rPr>
                <w:rFonts w:ascii="宋体" w:eastAsia="宋体" w:hAnsi="宋体" w:cs="宋体" w:hint="eastAsia"/>
                <w:sz w:val="21"/>
                <w:szCs w:val="21"/>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1</w:t>
            </w:r>
            <w:r>
              <w:rPr>
                <w:rFonts w:ascii="宋体" w:eastAsia="宋体" w:hAnsi="宋体" w:cs="宋体" w:hint="eastAsia"/>
                <w:sz w:val="21"/>
                <w:szCs w:val="21"/>
                <w:lang w:eastAsia="zh-CN"/>
              </w:rPr>
              <w:t>）</w:t>
            </w:r>
            <w:r>
              <w:rPr>
                <w:rFonts w:ascii="宋体" w:eastAsia="宋体" w:hAnsi="宋体" w:cs="宋体" w:hint="eastAsia"/>
                <w:sz w:val="21"/>
                <w:szCs w:val="21"/>
              </w:rPr>
              <w:t>整体</w:t>
            </w:r>
            <w:r>
              <w:rPr>
                <w:rFonts w:ascii="宋体" w:eastAsia="宋体" w:hAnsi="宋体" w:cs="宋体" w:hint="eastAsia"/>
                <w:sz w:val="21"/>
                <w:szCs w:val="21"/>
                <w:lang w:eastAsia="zh-CN"/>
              </w:rPr>
              <w:t>实施</w:t>
            </w:r>
            <w:r>
              <w:rPr>
                <w:rFonts w:ascii="宋体" w:eastAsia="宋体" w:hAnsi="宋体" w:cs="宋体" w:hint="eastAsia"/>
                <w:sz w:val="21"/>
                <w:szCs w:val="21"/>
              </w:rPr>
              <w:t>方案；</w:t>
            </w:r>
          </w:p>
          <w:p>
            <w:pPr>
              <w:keepNext w:val="0"/>
              <w:keepLines w:val="0"/>
              <w:widowControl/>
              <w:suppressLineNumbers w:val="0"/>
              <w:spacing w:before="0" w:beforeAutospacing="0" w:after="0" w:afterAutospacing="0"/>
              <w:ind w:left="0" w:right="0"/>
              <w:jc w:val="left"/>
              <w:rPr>
                <w:rFonts w:ascii="宋体" w:eastAsia="宋体" w:hAnsi="宋体" w:cs="宋体" w:hint="eastAsia"/>
                <w:sz w:val="21"/>
                <w:szCs w:val="21"/>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2</w:t>
            </w:r>
            <w:r>
              <w:rPr>
                <w:rFonts w:ascii="宋体" w:eastAsia="宋体" w:hAnsi="宋体" w:cs="宋体" w:hint="eastAsia"/>
                <w:sz w:val="21"/>
                <w:szCs w:val="21"/>
                <w:lang w:eastAsia="zh-CN"/>
              </w:rPr>
              <w:t>）</w:t>
            </w:r>
            <w:r>
              <w:rPr>
                <w:rFonts w:ascii="宋体" w:eastAsia="宋体" w:hAnsi="宋体" w:cs="宋体" w:hint="eastAsia"/>
                <w:sz w:val="21"/>
                <w:szCs w:val="21"/>
              </w:rPr>
              <w:t>项目实施人员配置方案；</w:t>
            </w:r>
          </w:p>
          <w:p>
            <w:pPr>
              <w:keepNext w:val="0"/>
              <w:keepLines w:val="0"/>
              <w:widowControl/>
              <w:suppressLineNumbers w:val="0"/>
              <w:spacing w:before="0" w:beforeAutospacing="0" w:after="0" w:afterAutospacing="0"/>
              <w:ind w:left="0" w:right="0"/>
              <w:jc w:val="left"/>
              <w:rPr>
                <w:rFonts w:ascii="宋体" w:eastAsia="宋体" w:hAnsi="宋体" w:cs="宋体" w:hint="eastAsia"/>
                <w:sz w:val="21"/>
                <w:szCs w:val="21"/>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3</w:t>
            </w:r>
            <w:r>
              <w:rPr>
                <w:rFonts w:ascii="宋体" w:eastAsia="宋体" w:hAnsi="宋体" w:cs="宋体" w:hint="eastAsia"/>
                <w:sz w:val="21"/>
                <w:szCs w:val="21"/>
                <w:lang w:eastAsia="zh-CN"/>
              </w:rPr>
              <w:t>）</w:t>
            </w:r>
            <w:r>
              <w:rPr>
                <w:rFonts w:ascii="宋体" w:eastAsia="宋体" w:hAnsi="宋体" w:cs="宋体" w:hint="eastAsia"/>
                <w:sz w:val="21"/>
                <w:szCs w:val="21"/>
              </w:rPr>
              <w:t>产品包装运输方案；</w:t>
            </w:r>
          </w:p>
          <w:p>
            <w:pPr>
              <w:keepNext w:val="0"/>
              <w:keepLines w:val="0"/>
              <w:widowControl/>
              <w:suppressLineNumbers w:val="0"/>
              <w:spacing w:before="0" w:beforeAutospacing="0" w:after="0" w:afterAutospacing="0"/>
              <w:ind w:left="0" w:right="0"/>
              <w:jc w:val="left"/>
              <w:rPr>
                <w:rFonts w:ascii="宋体" w:eastAsia="宋体" w:hAnsi="宋体" w:cs="宋体" w:hint="eastAsia"/>
                <w:sz w:val="21"/>
                <w:szCs w:val="21"/>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4</w:t>
            </w:r>
            <w:r>
              <w:rPr>
                <w:rFonts w:ascii="宋体" w:eastAsia="宋体" w:hAnsi="宋体" w:cs="宋体" w:hint="eastAsia"/>
                <w:sz w:val="21"/>
                <w:szCs w:val="21"/>
                <w:lang w:eastAsia="zh-CN"/>
              </w:rPr>
              <w:t>）</w:t>
            </w:r>
            <w:r>
              <w:rPr>
                <w:rFonts w:ascii="宋体" w:eastAsia="宋体" w:hAnsi="宋体" w:cs="宋体" w:hint="eastAsia"/>
                <w:sz w:val="21"/>
                <w:szCs w:val="21"/>
              </w:rPr>
              <w:t>供货</w:t>
            </w:r>
            <w:r>
              <w:rPr>
                <w:rFonts w:ascii="宋体" w:eastAsia="宋体" w:hAnsi="宋体" w:cs="宋体" w:hint="eastAsia"/>
                <w:sz w:val="21"/>
                <w:szCs w:val="21"/>
                <w:lang w:eastAsia="zh-CN"/>
              </w:rPr>
              <w:t>、</w:t>
            </w:r>
            <w:r>
              <w:rPr>
                <w:rFonts w:ascii="宋体" w:eastAsia="宋体" w:hAnsi="宋体" w:cs="宋体" w:hint="eastAsia"/>
                <w:sz w:val="21"/>
                <w:szCs w:val="21"/>
              </w:rPr>
              <w:t>安装调试方案；</w:t>
            </w:r>
          </w:p>
          <w:p>
            <w:pPr>
              <w:keepNext w:val="0"/>
              <w:keepLines w:val="0"/>
              <w:widowControl/>
              <w:suppressLineNumbers w:val="0"/>
              <w:spacing w:before="0" w:beforeAutospacing="0" w:after="0" w:afterAutospacing="0"/>
              <w:ind w:left="0" w:right="0"/>
              <w:jc w:val="left"/>
              <w:rPr>
                <w:rFonts w:ascii="宋体" w:eastAsia="宋体" w:hAnsi="宋体" w:cs="宋体" w:hint="eastAsia"/>
                <w:sz w:val="21"/>
                <w:szCs w:val="21"/>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5</w:t>
            </w:r>
            <w:r>
              <w:rPr>
                <w:rFonts w:ascii="宋体" w:eastAsia="宋体" w:hAnsi="宋体" w:cs="宋体" w:hint="eastAsia"/>
                <w:sz w:val="21"/>
                <w:szCs w:val="21"/>
                <w:lang w:eastAsia="zh-CN"/>
              </w:rPr>
              <w:t>）</w:t>
            </w:r>
            <w:r>
              <w:rPr>
                <w:rFonts w:ascii="宋体" w:eastAsia="宋体" w:hAnsi="宋体" w:cs="宋体" w:hint="eastAsia"/>
                <w:sz w:val="21"/>
                <w:szCs w:val="21"/>
                <w:lang w:eastAsia="zh-CN"/>
              </w:rPr>
              <w:t>培训方案</w:t>
            </w:r>
            <w:r>
              <w:rPr>
                <w:rFonts w:ascii="宋体" w:eastAsia="宋体" w:hAnsi="宋体" w:cs="宋体" w:hint="eastAsia"/>
                <w:sz w:val="21"/>
                <w:szCs w:val="21"/>
              </w:rPr>
              <w:t>；</w:t>
            </w:r>
          </w:p>
          <w:p>
            <w:p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（二）评分依据：</w:t>
            </w:r>
          </w:p>
          <w:p>
            <w:p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技术保障措施包含以上任意一项内容得6%分，满足以上任意五项最多得30%分。</w:t>
            </w:r>
          </w:p>
          <w:p>
            <w:p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在此基础上，评标专家根据投标人具体响应内容作进一步评审：   </w:t>
            </w:r>
          </w:p>
          <w:p>
            <w:p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1、技术保障措施内容全面、具体，可行性高，加70%分；</w:t>
            </w:r>
          </w:p>
          <w:p>
            <w:pPr>
              <w:spacing w:line="240" w:lineRule="exac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2、技术保障措施全面性、可行性一般，加40%分；</w:t>
            </w:r>
          </w:p>
          <w:p>
            <w:pPr>
              <w:spacing w:line="240" w:lineRule="exac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3、技术保障措施不全，可行性低，加10%分；</w:t>
            </w:r>
          </w:p>
          <w:p>
            <w:pPr>
              <w:jc w:val="left"/>
              <w:rPr>
                <w:rFonts w:ascii="宋体" w:eastAsia="宋体" w:hAnsi="宋体" w:cs="宋体" w:hint="eastAsia"/>
                <w:sz w:val="21"/>
                <w:szCs w:val="21"/>
              </w:rPr>
            </w:pPr>
            <w:r>
              <w:rPr>
                <w:rFonts w:ascii="宋体" w:eastAsia="宋体" w:hAnsi="宋体" w:cs="宋体" w:hint="eastAsia"/>
                <w:kern w:val="2"/>
                <w:sz w:val="21"/>
                <w:szCs w:val="21"/>
                <w:lang w:eastAsia="zh-CN"/>
              </w:rPr>
              <w:t>4、未提供的不得分。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售后服务</w:t>
            </w:r>
          </w:p>
        </w:tc>
        <w:tc>
          <w:tcPr>
            <w:tcW w:w="1268"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10</w:t>
            </w:r>
          </w:p>
        </w:tc>
        <w:tc>
          <w:tcPr>
            <w:tcW w:w="4827" w:type="dxa"/>
            <w:noWrap w:val="0"/>
            <w:vAlign w:val="center"/>
          </w:tcPr>
          <w:p>
            <w:pPr>
              <w:numPr>
                <w:ilvl w:val="0"/>
                <w:numId w:val="1"/>
              </w:num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评分内容</w:t>
            </w:r>
          </w:p>
          <w:p>
            <w:pPr>
              <w:numPr>
                <w:ilvl w:val="0"/>
                <w:numId w:val="0"/>
              </w:numPr>
              <w:ind w:left="0" w:firstLine="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针对本项目制定的合理完善的售后服务方案（包括（1）产品的故障处理及响应时间；</w:t>
            </w:r>
          </w:p>
          <w:p>
            <w:pPr>
              <w:numPr>
                <w:ilvl w:val="0"/>
                <w:numId w:val="2"/>
              </w:num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验收程序；</w:t>
            </w:r>
          </w:p>
          <w:p>
            <w:pPr>
              <w:numPr>
                <w:ilvl w:val="0"/>
                <w:numId w:val="2"/>
              </w:num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质保期外服务方式；</w:t>
            </w:r>
          </w:p>
          <w:p>
            <w:pPr>
              <w:numPr>
                <w:ilvl w:val="0"/>
                <w:numId w:val="2"/>
              </w:num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优惠承诺及售后服务网点；</w:t>
            </w:r>
          </w:p>
          <w:p>
            <w:pPr>
              <w:numPr>
                <w:ilvl w:val="0"/>
                <w:numId w:val="2"/>
              </w:num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应急预案等；</w:t>
            </w:r>
          </w:p>
          <w:p>
            <w:p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（二）评分依据：</w:t>
            </w:r>
          </w:p>
          <w:p>
            <w:p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技术保障措施包含以上任意一项内容得6%分，满足以上任意五项最多得30%分。</w:t>
            </w:r>
          </w:p>
          <w:p>
            <w:p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在此基础上，评标专家根据投标人具体响应内容作进一步评审：   </w:t>
            </w:r>
          </w:p>
          <w:p>
            <w:pPr>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1、售后服务方案内容完善、全面、具体，可行性高，加70%分；</w:t>
            </w:r>
          </w:p>
          <w:p>
            <w:pPr>
              <w:spacing w:line="240" w:lineRule="exac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2、售后服务方案内容完善、全面、具体，可行性一般，加40%分；</w:t>
            </w:r>
          </w:p>
          <w:p>
            <w:pPr>
              <w:spacing w:line="240" w:lineRule="exac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3、售后服务方案内容完善、全面、具体，不全，可行性低，加10%分；</w:t>
            </w:r>
          </w:p>
          <w:p>
            <w:pPr>
              <w:spacing w:line="240" w:lineRule="exac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4、未提供的不得分。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技术规格偏离情况</w:t>
            </w:r>
          </w:p>
        </w:tc>
        <w:tc>
          <w:tcPr>
            <w:tcW w:w="1268"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28</w:t>
            </w:r>
          </w:p>
        </w:tc>
        <w:tc>
          <w:tcPr>
            <w:tcW w:w="4827" w:type="dxa"/>
            <w:noWrap w:val="0"/>
            <w:vAlign w:val="center"/>
          </w:tcPr>
          <w:p>
            <w:pPr>
              <w:numPr>
                <w:ilvl w:val="0"/>
                <w:numId w:val="0"/>
              </w:numPr>
              <w:spacing w:line="240" w:lineRule="exact"/>
              <w:ind w:left="0" w:firstLine="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（一）评分内容：</w:t>
            </w:r>
          </w:p>
          <w:p>
            <w:pPr>
              <w:numPr>
                <w:ilvl w:val="0"/>
                <w:numId w:val="0"/>
              </w:numPr>
              <w:spacing w:line="240" w:lineRule="auto"/>
              <w:ind w:left="0" w:firstLine="0"/>
              <w:rPr>
                <w:rFonts w:ascii="宋体" w:eastAsia="宋体" w:hAnsi="宋体" w:cs="宋体" w:hint="eastAsia"/>
                <w:color w:val="000000"/>
                <w:sz w:val="21"/>
                <w:szCs w:val="21"/>
              </w:rPr>
            </w:pPr>
            <w:r>
              <w:rPr>
                <w:rFonts w:ascii="宋体" w:eastAsia="宋体" w:hAnsi="宋体" w:cs="宋体" w:hint="eastAsia"/>
                <w:color w:val="000000"/>
                <w:sz w:val="21"/>
                <w:szCs w:val="21"/>
              </w:rPr>
              <w:t>评审小组根据《技术规格偏离表》（以下简称“偏离表”）响应情况进行打分，全部满足得</w:t>
            </w:r>
            <w:r>
              <w:rPr>
                <w:rFonts w:ascii="宋体" w:eastAsia="宋体" w:hAnsi="宋体" w:cs="宋体" w:hint="eastAsia"/>
                <w:color w:val="000000"/>
                <w:sz w:val="21"/>
                <w:szCs w:val="21"/>
                <w:lang w:eastAsia="zh-CN"/>
              </w:rPr>
              <w:t>100%</w:t>
            </w:r>
            <w:r>
              <w:rPr>
                <w:rFonts w:ascii="宋体" w:eastAsia="宋体" w:hAnsi="宋体" w:cs="宋体" w:hint="eastAsia"/>
                <w:color w:val="000000"/>
                <w:sz w:val="21"/>
                <w:szCs w:val="21"/>
              </w:rPr>
              <w:t>分，一般参数负偏离一项扣</w:t>
            </w:r>
            <w:r>
              <w:rPr>
                <w:rFonts w:ascii="宋体" w:eastAsia="宋体" w:hAnsi="宋体" w:cs="宋体" w:hint="eastAsia"/>
                <w:color w:val="000000"/>
                <w:sz w:val="21"/>
                <w:szCs w:val="21"/>
                <w:lang w:eastAsia="zh-CN"/>
              </w:rPr>
              <w:t>0.35%</w:t>
            </w:r>
            <w:r>
              <w:rPr>
                <w:rFonts w:ascii="宋体" w:eastAsia="宋体" w:hAnsi="宋体" w:cs="宋体" w:hint="eastAsia"/>
                <w:color w:val="000000"/>
                <w:sz w:val="21"/>
                <w:szCs w:val="21"/>
              </w:rPr>
              <w:t>分，重点技术参数</w:t>
            </w:r>
            <w:r>
              <w:rPr>
                <w:rFonts w:ascii="宋体" w:eastAsia="宋体" w:hAnsi="宋体" w:cs="宋体" w:hint="eastAsia"/>
                <w:color w:val="000000"/>
                <w:sz w:val="21"/>
                <w:szCs w:val="21"/>
                <w:lang w:eastAsia="zh-CN"/>
              </w:rPr>
              <w:t>带“</w:t>
            </w:r>
            <w:r>
              <w:rPr>
                <w:rFonts w:ascii="宋体" w:eastAsia="宋体" w:hAnsi="宋体" w:cs="宋体" w:hint="eastAsia"/>
                <w:color w:val="000000"/>
                <w:sz w:val="21"/>
                <w:szCs w:val="21"/>
              </w:rPr>
              <w:t>▲</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项负偏离一项扣</w:t>
            </w:r>
            <w:r>
              <w:rPr>
                <w:rFonts w:ascii="宋体" w:eastAsia="宋体" w:hAnsi="宋体" w:cs="宋体" w:hint="eastAsia"/>
                <w:color w:val="000000"/>
                <w:sz w:val="21"/>
                <w:szCs w:val="21"/>
                <w:lang w:eastAsia="zh-CN"/>
              </w:rPr>
              <w:t>4%</w:t>
            </w:r>
            <w:r>
              <w:rPr>
                <w:rFonts w:ascii="宋体" w:eastAsia="宋体" w:hAnsi="宋体" w:cs="宋体" w:hint="eastAsia"/>
                <w:color w:val="000000"/>
                <w:sz w:val="21"/>
                <w:szCs w:val="21"/>
              </w:rPr>
              <w:t>分。扣完为止。</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（二）评分标准：</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本项最高得100%分。</w:t>
            </w:r>
          </w:p>
          <w:p>
            <w:pPr>
              <w:spacing w:line="240" w:lineRule="exact"/>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重点技术参数</w:t>
            </w:r>
            <w:r>
              <w:rPr>
                <w:rFonts w:ascii="宋体" w:eastAsia="宋体" w:hAnsi="宋体" w:cs="宋体" w:hint="eastAsia"/>
                <w:color w:val="000000"/>
                <w:sz w:val="21"/>
                <w:szCs w:val="21"/>
                <w:lang w:eastAsia="zh-CN"/>
              </w:rPr>
              <w:t>带“</w:t>
            </w:r>
            <w:r>
              <w:rPr>
                <w:rFonts w:ascii="宋体" w:eastAsia="宋体" w:hAnsi="宋体" w:cs="宋体" w:hint="eastAsia"/>
                <w:color w:val="000000"/>
                <w:sz w:val="21"/>
                <w:szCs w:val="21"/>
              </w:rPr>
              <w:t>▲</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项</w:t>
            </w:r>
            <w:r>
              <w:rPr>
                <w:rFonts w:ascii="宋体" w:eastAsia="宋体" w:hAnsi="宋体" w:cs="宋体" w:hint="eastAsia"/>
                <w:color w:val="000000"/>
                <w:sz w:val="21"/>
                <w:szCs w:val="21"/>
                <w:lang w:eastAsia="zh-CN"/>
              </w:rPr>
              <w:t>共计10项，每</w:t>
            </w:r>
            <w:r>
              <w:rPr>
                <w:rFonts w:ascii="宋体" w:eastAsia="宋体" w:hAnsi="宋体" w:cs="宋体" w:hint="eastAsia"/>
                <w:color w:val="000000"/>
                <w:sz w:val="21"/>
                <w:szCs w:val="21"/>
              </w:rPr>
              <w:t>负偏离一项扣</w:t>
            </w:r>
            <w:r>
              <w:rPr>
                <w:rFonts w:ascii="宋体" w:eastAsia="宋体" w:hAnsi="宋体" w:cs="宋体" w:hint="eastAsia"/>
                <w:color w:val="000000"/>
                <w:sz w:val="21"/>
                <w:szCs w:val="21"/>
                <w:lang w:eastAsia="zh-CN"/>
              </w:rPr>
              <w:t>4%</w:t>
            </w:r>
            <w:r>
              <w:rPr>
                <w:rFonts w:ascii="宋体" w:eastAsia="宋体" w:hAnsi="宋体" w:cs="宋体" w:hint="eastAsia"/>
                <w:color w:val="000000"/>
                <w:sz w:val="21"/>
                <w:szCs w:val="21"/>
              </w:rPr>
              <w:t>分。</w:t>
            </w:r>
            <w:r>
              <w:rPr>
                <w:rFonts w:ascii="宋体" w:eastAsia="宋体" w:hAnsi="宋体" w:cs="宋体" w:hint="eastAsia"/>
                <w:color w:val="000000"/>
                <w:sz w:val="21"/>
                <w:szCs w:val="21"/>
                <w:lang w:eastAsia="zh-CN"/>
              </w:rPr>
              <w:t>一般技术参数每负偏离一项扣0.35%分，扣完为止。</w:t>
            </w:r>
          </w:p>
          <w:p>
            <w:pPr>
              <w:spacing w:line="240" w:lineRule="exact"/>
              <w:rPr>
                <w:rFonts w:ascii="宋体" w:eastAsia="宋体" w:hAnsi="宋体" w:cs="宋体" w:hint="eastAsia"/>
                <w:sz w:val="21"/>
                <w:szCs w:val="21"/>
              </w:rPr>
            </w:pPr>
            <w:r>
              <w:rPr>
                <w:rFonts w:ascii="宋体" w:eastAsia="宋体" w:hAnsi="宋体" w:cs="宋体" w:hint="eastAsia"/>
                <w:sz w:val="21"/>
                <w:szCs w:val="21"/>
              </w:rPr>
              <w:t>偏离表应如实对应填写所投产品的具体参数。</w:t>
            </w:r>
            <w:r>
              <w:rPr>
                <w:rFonts w:ascii="宋体" w:eastAsia="宋体" w:hAnsi="宋体" w:cs="宋体" w:hint="eastAsia"/>
                <w:color w:val="000000"/>
                <w:sz w:val="21"/>
                <w:szCs w:val="21"/>
              </w:rPr>
              <w:t>注：供应商必须按《采购要求》中各项技术参数及要求提供相关证明资料，不按要求提供或不提供视为不满足扣除响应分数。同时必须对所提供资料的真实性负责，如虚假应标，按无效标处理并追究供应商法律责任。</w:t>
            </w:r>
            <w:r>
              <w:rPr>
                <w:rFonts w:ascii="宋体" w:eastAsia="宋体" w:hAnsi="宋体" w:cs="宋体" w:hint="eastAsia"/>
                <w:sz w:val="21"/>
                <w:szCs w:val="21"/>
              </w:rPr>
              <w:t>提供的证明资料与所填写内容不一致的，以证明资料为准，原件备查。</w:t>
            </w:r>
          </w:p>
        </w:tc>
      </w:tr>
      <w:tr>
        <w:tblPrEx>
          <w:tblW w:w="5000" w:type="pct"/>
          <w:jc w:val="center"/>
          <w:tblLayout w:type="fixed"/>
          <w:tblCellMar>
            <w:top w:w="0" w:type="dxa"/>
            <w:left w:w="108" w:type="dxa"/>
            <w:bottom w:w="0" w:type="dxa"/>
            <w:right w:w="108" w:type="dxa"/>
          </w:tblCellMar>
        </w:tblPrEx>
        <w:trPr>
          <w:trHeight w:val="198"/>
          <w:jc w:val="center"/>
        </w:trPr>
        <w:tc>
          <w:tcPr>
            <w:tcW w:w="392" w:type="dxa"/>
            <w:noWrap w:val="0"/>
            <w:vAlign w:val="center"/>
          </w:tcPr>
          <w:p>
            <w:pPr>
              <w:spacing w:line="240" w:lineRule="exact"/>
              <w:jc w:val="center"/>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332" w:type="dxa"/>
            <w:gridSpan w:val="3"/>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功能演示</w:t>
            </w:r>
          </w:p>
        </w:tc>
        <w:tc>
          <w:tcPr>
            <w:tcW w:w="1268" w:type="dxa"/>
            <w:noWrap w:val="0"/>
            <w:vAlign w:val="center"/>
          </w:tcPr>
          <w:p>
            <w:pPr>
              <w:spacing w:line="240" w:lineRule="exact"/>
              <w:jc w:val="center"/>
              <w:rPr>
                <w:rFonts w:ascii="宋体" w:eastAsia="宋体" w:hAnsi="宋体" w:cs="宋体" w:hint="eastAsia"/>
                <w:color w:val="000000"/>
                <w:sz w:val="21"/>
                <w:szCs w:val="21"/>
                <w:lang w:eastAsia="zh-CN" w:bidi="ar"/>
              </w:rPr>
            </w:pPr>
            <w:r>
              <w:rPr>
                <w:rFonts w:ascii="宋体" w:eastAsia="宋体" w:hAnsi="宋体" w:cs="宋体" w:hint="eastAsia"/>
                <w:sz w:val="21"/>
                <w:szCs w:val="21"/>
                <w:lang w:eastAsia="zh-CN"/>
              </w:rPr>
              <w:t>10</w:t>
            </w:r>
          </w:p>
        </w:tc>
        <w:tc>
          <w:tcPr>
            <w:tcW w:w="4827" w:type="dxa"/>
            <w:noWrap w:val="0"/>
            <w:vAlign w:val="center"/>
          </w:tcPr>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（一）评分内容：需现场演示虚拟仿真幼儿园、人工智能+教育与体育赛道备赛指导平台、托幼机构保教环境创设虚拟仿真平台、学龄前儿童保教技能大赛学习题库产品参数。</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除符合清单所有功能以外，</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还需额外提供以下功能演示：</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1、虚拟仿真幼儿园：</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w:t>
            </w:r>
            <w:r>
              <w:rPr>
                <w:rFonts w:ascii="宋体" w:eastAsia="宋体" w:hAnsi="宋体" w:cs="宋体" w:hint="eastAsia"/>
                <w:bCs/>
                <w:sz w:val="21"/>
                <w:szCs w:val="21"/>
              </w:rPr>
              <w:t>实训模块三：急救技术</w:t>
            </w:r>
            <w:r>
              <w:rPr>
                <w:rFonts w:ascii="宋体" w:eastAsia="宋体" w:hAnsi="宋体" w:cs="宋体" w:hint="eastAsia"/>
                <w:bCs/>
                <w:sz w:val="21"/>
                <w:szCs w:val="21"/>
                <w:lang w:eastAsia="zh-CN"/>
              </w:rPr>
              <w:t>内心肺复苏急救处理功能。</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2、人工智能+教育与体育赛道备赛指导平台功能：</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（1）人工智能辅助备赛</w:t>
            </w:r>
            <w:r>
              <w:rPr>
                <w:rFonts w:ascii="宋体" w:eastAsia="宋体" w:hAnsi="宋体" w:cs="宋体" w:hint="eastAsia"/>
                <w:bCs/>
                <w:sz w:val="21"/>
                <w:szCs w:val="21"/>
              </w:rPr>
              <w:t>，结合定制化专业知识库，精准生成符合地方文化特色的高质量指导方案。</w:t>
            </w:r>
            <w:r>
              <w:rPr>
                <w:rFonts w:ascii="宋体" w:eastAsia="宋体" w:hAnsi="宋体" w:cs="宋体" w:hint="eastAsia"/>
                <w:color w:val="000000"/>
                <w:sz w:val="21"/>
                <w:szCs w:val="21"/>
                <w:lang w:eastAsia="zh-CN" w:bidi="ar"/>
              </w:rPr>
              <w:t>系统提供智能方案方向推荐与个性化方案指导，生成世校赛指导方案。</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3、托幼机构保教环境创设虚拟仿真平台：</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w:t>
            </w:r>
            <w:r>
              <w:rPr>
                <w:rFonts w:ascii="宋体" w:eastAsia="宋体" w:hAnsi="宋体" w:cs="宋体" w:hint="eastAsia"/>
                <w:bCs/>
                <w:sz w:val="21"/>
                <w:szCs w:val="21"/>
              </w:rPr>
              <w:t>赛题覆盖</w:t>
            </w:r>
            <w:r>
              <w:rPr>
                <w:rFonts w:ascii="宋体" w:eastAsia="宋体" w:hAnsi="宋体" w:cs="宋体" w:hint="eastAsia"/>
                <w:bCs/>
                <w:sz w:val="21"/>
                <w:szCs w:val="21"/>
                <w:lang w:eastAsia="zh-CN"/>
              </w:rPr>
              <w:t>，</w:t>
            </w:r>
            <w:r>
              <w:rPr>
                <w:rFonts w:ascii="宋体" w:eastAsia="宋体" w:hAnsi="宋体" w:cs="宋体" w:hint="eastAsia"/>
                <w:bCs/>
                <w:sz w:val="21"/>
                <w:szCs w:val="21"/>
              </w:rPr>
              <w:t>全面覆盖大赛中职组、高职组及教师组的所有赛题</w:t>
            </w:r>
            <w:r>
              <w:rPr>
                <w:rFonts w:ascii="宋体" w:eastAsia="宋体" w:hAnsi="宋体" w:cs="宋体" w:hint="eastAsia"/>
                <w:bCs/>
                <w:sz w:val="21"/>
                <w:szCs w:val="21"/>
                <w:lang w:eastAsia="zh-CN"/>
              </w:rPr>
              <w:t>。</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（2）具备</w:t>
            </w:r>
            <w:r>
              <w:rPr>
                <w:rFonts w:ascii="宋体" w:eastAsia="宋体" w:hAnsi="宋体" w:cs="宋体" w:hint="eastAsia"/>
                <w:bCs/>
                <w:sz w:val="21"/>
                <w:szCs w:val="21"/>
              </w:rPr>
              <w:t>中秋节</w:t>
            </w:r>
            <w:r>
              <w:rPr>
                <w:rFonts w:ascii="宋体" w:eastAsia="宋体" w:hAnsi="宋体" w:cs="宋体" w:hint="eastAsia"/>
                <w:bCs/>
                <w:sz w:val="21"/>
                <w:szCs w:val="21"/>
                <w:lang w:eastAsia="zh-CN"/>
              </w:rPr>
              <w:t>、</w:t>
            </w:r>
            <w:r>
              <w:rPr>
                <w:rFonts w:ascii="宋体" w:eastAsia="宋体" w:hAnsi="宋体" w:cs="宋体" w:hint="eastAsia"/>
                <w:bCs/>
                <w:sz w:val="21"/>
                <w:szCs w:val="21"/>
              </w:rPr>
              <w:t>我的小手</w:t>
            </w:r>
            <w:r>
              <w:rPr>
                <w:rFonts w:ascii="宋体" w:eastAsia="宋体" w:hAnsi="宋体" w:cs="宋体" w:hint="eastAsia"/>
                <w:bCs/>
                <w:sz w:val="21"/>
                <w:szCs w:val="21"/>
                <w:lang w:eastAsia="zh-CN"/>
              </w:rPr>
              <w:t>、</w:t>
            </w:r>
            <w:r>
              <w:rPr>
                <w:rFonts w:ascii="宋体" w:eastAsia="宋体" w:hAnsi="宋体" w:cs="宋体" w:hint="eastAsia"/>
                <w:bCs/>
                <w:sz w:val="21"/>
                <w:szCs w:val="21"/>
              </w:rPr>
              <w:t>美丽的春天</w:t>
            </w:r>
            <w:r>
              <w:rPr>
                <w:rFonts w:ascii="宋体" w:eastAsia="宋体" w:hAnsi="宋体" w:cs="宋体" w:hint="eastAsia"/>
                <w:bCs/>
                <w:sz w:val="21"/>
                <w:szCs w:val="21"/>
                <w:lang w:eastAsia="zh-CN"/>
              </w:rPr>
              <w:t>、</w:t>
            </w:r>
            <w:r>
              <w:rPr>
                <w:rFonts w:ascii="宋体" w:eastAsia="宋体" w:hAnsi="宋体" w:cs="宋体" w:hint="eastAsia"/>
                <w:bCs/>
                <w:sz w:val="21"/>
                <w:szCs w:val="21"/>
              </w:rPr>
              <w:t>颜色变变变</w:t>
            </w:r>
            <w:r>
              <w:rPr>
                <w:rFonts w:ascii="宋体" w:eastAsia="宋体" w:hAnsi="宋体" w:cs="宋体" w:hint="eastAsia"/>
                <w:bCs/>
                <w:sz w:val="21"/>
                <w:szCs w:val="21"/>
                <w:lang w:eastAsia="zh-CN"/>
              </w:rPr>
              <w:t>、</w:t>
            </w:r>
            <w:r>
              <w:rPr>
                <w:rFonts w:ascii="宋体" w:eastAsia="宋体" w:hAnsi="宋体" w:cs="宋体" w:hint="eastAsia"/>
                <w:bCs/>
                <w:sz w:val="21"/>
                <w:szCs w:val="21"/>
              </w:rPr>
              <w:t>蚂蚁王国</w:t>
            </w:r>
            <w:r>
              <w:rPr>
                <w:rFonts w:ascii="宋体" w:eastAsia="宋体" w:hAnsi="宋体" w:cs="宋体" w:hint="eastAsia"/>
                <w:bCs/>
                <w:sz w:val="21"/>
                <w:szCs w:val="21"/>
                <w:lang w:eastAsia="zh-CN"/>
              </w:rPr>
              <w:t>、</w:t>
            </w:r>
            <w:r>
              <w:rPr>
                <w:rFonts w:ascii="宋体" w:eastAsia="宋体" w:hAnsi="宋体" w:cs="宋体" w:hint="eastAsia"/>
                <w:bCs/>
                <w:sz w:val="21"/>
                <w:szCs w:val="21"/>
              </w:rPr>
              <w:t>祖国祖国我爱你</w:t>
            </w:r>
            <w:r>
              <w:rPr>
                <w:rFonts w:ascii="宋体" w:eastAsia="宋体" w:hAnsi="宋体" w:cs="宋体" w:hint="eastAsia"/>
                <w:bCs/>
                <w:sz w:val="21"/>
                <w:szCs w:val="21"/>
                <w:lang w:eastAsia="zh-CN"/>
              </w:rPr>
              <w:t>、</w:t>
            </w:r>
            <w:r>
              <w:rPr>
                <w:rFonts w:ascii="宋体" w:eastAsia="宋体" w:hAnsi="宋体" w:cs="宋体" w:hint="eastAsia"/>
                <w:bCs/>
                <w:sz w:val="21"/>
                <w:szCs w:val="21"/>
              </w:rPr>
              <w:t>树叶沙沙沙</w:t>
            </w:r>
            <w:r>
              <w:rPr>
                <w:rFonts w:ascii="宋体" w:eastAsia="宋体" w:hAnsi="宋体" w:cs="宋体" w:hint="eastAsia"/>
                <w:bCs/>
                <w:sz w:val="21"/>
                <w:szCs w:val="21"/>
                <w:lang w:eastAsia="zh-CN"/>
              </w:rPr>
              <w:t>、</w:t>
            </w:r>
            <w:r>
              <w:rPr>
                <w:rFonts w:ascii="宋体" w:eastAsia="宋体" w:hAnsi="宋体" w:cs="宋体" w:hint="eastAsia"/>
                <w:bCs/>
                <w:sz w:val="21"/>
                <w:szCs w:val="21"/>
              </w:rPr>
              <w:t>多样的纸</w:t>
            </w:r>
            <w:r>
              <w:rPr>
                <w:rFonts w:ascii="宋体" w:eastAsia="宋体" w:hAnsi="宋体" w:cs="宋体" w:hint="eastAsia"/>
                <w:bCs/>
                <w:sz w:val="21"/>
                <w:szCs w:val="21"/>
                <w:lang w:eastAsia="zh-CN"/>
              </w:rPr>
              <w:t>、</w:t>
            </w:r>
            <w:r>
              <w:rPr>
                <w:rFonts w:ascii="宋体" w:eastAsia="宋体" w:hAnsi="宋体" w:cs="宋体" w:hint="eastAsia"/>
                <w:bCs/>
                <w:sz w:val="21"/>
                <w:szCs w:val="21"/>
              </w:rPr>
              <w:t>好玩的车</w:t>
            </w:r>
            <w:r>
              <w:rPr>
                <w:rFonts w:ascii="宋体" w:eastAsia="宋体" w:hAnsi="宋体" w:cs="宋体" w:hint="eastAsia"/>
                <w:bCs/>
                <w:sz w:val="21"/>
                <w:szCs w:val="21"/>
                <w:lang w:eastAsia="zh-CN"/>
              </w:rPr>
              <w:t>、</w:t>
            </w:r>
            <w:r>
              <w:rPr>
                <w:rFonts w:ascii="宋体" w:eastAsia="宋体" w:hAnsi="宋体" w:cs="宋体" w:hint="eastAsia"/>
                <w:bCs/>
                <w:sz w:val="21"/>
                <w:szCs w:val="21"/>
              </w:rPr>
              <w:t>有趣的篮球</w:t>
            </w:r>
            <w:r>
              <w:rPr>
                <w:rFonts w:ascii="宋体" w:eastAsia="宋体" w:hAnsi="宋体" w:cs="宋体" w:hint="eastAsia"/>
                <w:bCs/>
                <w:sz w:val="21"/>
                <w:szCs w:val="21"/>
                <w:lang w:eastAsia="zh-CN"/>
              </w:rPr>
              <w:t>十个主题内容。</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4、学龄前儿童保教技能大赛学习题库：软件内</w:t>
            </w:r>
            <w:r>
              <w:rPr>
                <w:rFonts w:ascii="宋体" w:eastAsia="宋体" w:hAnsi="宋体" w:cs="宋体" w:hint="eastAsia"/>
                <w:bCs/>
                <w:sz w:val="21"/>
                <w:szCs w:val="21"/>
              </w:rPr>
              <w:t>人工智能助手</w:t>
            </w:r>
            <w:r>
              <w:rPr>
                <w:rFonts w:ascii="宋体" w:eastAsia="宋体" w:hAnsi="宋体" w:cs="宋体" w:hint="eastAsia"/>
                <w:bCs/>
                <w:sz w:val="21"/>
                <w:szCs w:val="21"/>
                <w:lang w:eastAsia="zh-CN"/>
              </w:rPr>
              <w:t>具备</w:t>
            </w:r>
            <w:r>
              <w:rPr>
                <w:rFonts w:ascii="宋体" w:eastAsia="宋体" w:hAnsi="宋体" w:cs="宋体" w:hint="eastAsia"/>
                <w:bCs/>
                <w:sz w:val="21"/>
                <w:szCs w:val="21"/>
              </w:rPr>
              <w:t>智能问答模块</w:t>
            </w:r>
            <w:r>
              <w:rPr>
                <w:rFonts w:ascii="宋体" w:eastAsia="宋体" w:hAnsi="宋体" w:cs="宋体" w:hint="eastAsia"/>
                <w:bCs/>
                <w:sz w:val="21"/>
                <w:szCs w:val="21"/>
                <w:lang w:eastAsia="zh-CN"/>
              </w:rPr>
              <w:t>、</w:t>
            </w:r>
            <w:r>
              <w:rPr>
                <w:rFonts w:ascii="宋体" w:eastAsia="宋体" w:hAnsi="宋体" w:cs="宋体" w:hint="eastAsia"/>
                <w:bCs/>
                <w:sz w:val="21"/>
                <w:szCs w:val="21"/>
              </w:rPr>
              <w:t>知识库关联</w:t>
            </w:r>
            <w:r>
              <w:rPr>
                <w:rFonts w:ascii="宋体" w:eastAsia="宋体" w:hAnsi="宋体" w:cs="宋体" w:hint="eastAsia"/>
                <w:bCs/>
                <w:sz w:val="21"/>
                <w:szCs w:val="21"/>
                <w:lang w:eastAsia="zh-CN"/>
              </w:rPr>
              <w:t>、</w:t>
            </w:r>
            <w:r>
              <w:rPr>
                <w:rFonts w:ascii="宋体" w:eastAsia="宋体" w:hAnsi="宋体" w:cs="宋体" w:hint="eastAsia"/>
                <w:bCs/>
                <w:sz w:val="21"/>
                <w:szCs w:val="21"/>
              </w:rPr>
              <w:t>图片生成</w:t>
            </w:r>
            <w:r>
              <w:rPr>
                <w:rFonts w:ascii="宋体" w:eastAsia="宋体" w:hAnsi="宋体" w:cs="宋体" w:hint="eastAsia"/>
                <w:bCs/>
                <w:sz w:val="21"/>
                <w:szCs w:val="21"/>
                <w:lang w:eastAsia="zh-CN"/>
              </w:rPr>
              <w:t>、</w:t>
            </w:r>
            <w:r>
              <w:rPr>
                <w:rFonts w:ascii="宋体" w:eastAsia="宋体" w:hAnsi="宋体" w:cs="宋体" w:hint="eastAsia"/>
                <w:bCs/>
                <w:sz w:val="21"/>
                <w:szCs w:val="21"/>
              </w:rPr>
              <w:t>AI写作助手</w:t>
            </w:r>
            <w:r>
              <w:rPr>
                <w:rFonts w:ascii="宋体" w:eastAsia="宋体" w:hAnsi="宋体" w:cs="宋体" w:hint="eastAsia"/>
                <w:bCs/>
                <w:sz w:val="21"/>
                <w:szCs w:val="21"/>
                <w:lang w:eastAsia="zh-CN"/>
              </w:rPr>
              <w:t>、</w:t>
            </w:r>
            <w:r>
              <w:rPr>
                <w:rFonts w:ascii="宋体" w:eastAsia="宋体" w:hAnsi="宋体" w:cs="宋体" w:hint="eastAsia"/>
                <w:bCs/>
                <w:sz w:val="21"/>
                <w:szCs w:val="21"/>
              </w:rPr>
              <w:t>文件智能分析</w:t>
            </w:r>
            <w:r>
              <w:rPr>
                <w:rFonts w:ascii="宋体" w:eastAsia="宋体" w:hAnsi="宋体" w:cs="宋体" w:hint="eastAsia"/>
                <w:bCs/>
                <w:sz w:val="21"/>
                <w:szCs w:val="21"/>
                <w:lang w:eastAsia="zh-CN"/>
              </w:rPr>
              <w:t>功能。</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（二）评分标准：</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本项最高得100%分。</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以上四项功能全部完整演示得100%分，有一项不演示或者演示不完整扣25%分，扣完为止。</w:t>
            </w:r>
          </w:p>
          <w:p>
            <w:pPr>
              <w:spacing w:line="240" w:lineRule="exact"/>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评委根据功能演示情况与采购需求匹配程度，业务逻辑，完整性，关键点的把握程度进行评分，每家投标人总演示时间不超过10分钟。</w:t>
            </w:r>
          </w:p>
        </w:tc>
      </w:tr>
      <w:tr>
        <w:tblPrEx>
          <w:tblW w:w="5000" w:type="pct"/>
          <w:jc w:val="center"/>
          <w:tblLayout w:type="fixed"/>
          <w:tblCellMar>
            <w:top w:w="0" w:type="dxa"/>
            <w:left w:w="108" w:type="dxa"/>
            <w:bottom w:w="0" w:type="dxa"/>
            <w:right w:w="108" w:type="dxa"/>
          </w:tblCellMar>
        </w:tblPrEx>
        <w:trPr>
          <w:trHeight w:val="20"/>
          <w:jc w:val="center"/>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3309"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商务部分</w:t>
            </w:r>
          </w:p>
        </w:tc>
        <w:tc>
          <w:tcPr>
            <w:tcW w:w="4827" w:type="dxa"/>
            <w:noWrap w:val="0"/>
            <w:vAlign w:val="center"/>
          </w:tcPr>
          <w:p>
            <w:pPr>
              <w:spacing w:line="240" w:lineRule="exact"/>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10</w:t>
            </w:r>
            <w:r>
              <w:rPr>
                <w:rFonts w:ascii="宋体" w:eastAsia="宋体" w:hAnsi="宋体" w:cs="宋体" w:hint="eastAsia"/>
                <w:b/>
                <w:bCs/>
                <w:color w:val="0000FF"/>
                <w:sz w:val="21"/>
                <w:szCs w:val="21"/>
              </w:rPr>
              <w:t>分</w:t>
            </w:r>
          </w:p>
        </w:tc>
      </w:tr>
      <w:tr>
        <w:tblPrEx>
          <w:tblW w:w="5000" w:type="pct"/>
          <w:jc w:val="center"/>
          <w:tblLayout w:type="fixed"/>
          <w:tblCellMar>
            <w:top w:w="0" w:type="dxa"/>
            <w:left w:w="108" w:type="dxa"/>
            <w:bottom w:w="0" w:type="dxa"/>
            <w:right w:w="108" w:type="dxa"/>
          </w:tblCellMar>
        </w:tblPrEx>
        <w:trPr>
          <w:trHeight w:val="367"/>
          <w:jc w:val="center"/>
        </w:trPr>
        <w:tc>
          <w:tcPr>
            <w:tcW w:w="392" w:type="dxa"/>
            <w:vMerge w:val="restart"/>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121"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466" w:type="dxa"/>
            <w:gridSpan w:val="2"/>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27"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121"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商务条款偏离情况</w:t>
            </w:r>
          </w:p>
        </w:tc>
        <w:tc>
          <w:tcPr>
            <w:tcW w:w="1466" w:type="dxa"/>
            <w:gridSpan w:val="2"/>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4827" w:type="dxa"/>
            <w:noWrap w:val="0"/>
            <w:vAlign w:val="center"/>
          </w:tcPr>
          <w:p>
            <w:pPr>
              <w:rPr>
                <w:rFonts w:ascii="宋体" w:eastAsia="宋体" w:hAnsi="宋体" w:cs="宋体" w:hint="eastAsia"/>
                <w:sz w:val="21"/>
                <w:szCs w:val="21"/>
              </w:rPr>
            </w:pPr>
            <w:r>
              <w:rPr>
                <w:rFonts w:ascii="宋体" w:eastAsia="宋体" w:hAnsi="宋体" w:cs="宋体" w:hint="eastAsia"/>
                <w:sz w:val="21"/>
                <w:szCs w:val="21"/>
              </w:rPr>
              <w:t>投标人应如实填写《商务条款偏离情况》，评审小组根据响应情况进行打分，</w:t>
            </w:r>
            <w:r>
              <w:rPr>
                <w:rFonts w:ascii="宋体" w:eastAsia="宋体" w:hAnsi="宋体" w:cs="宋体" w:hint="eastAsia"/>
                <w:sz w:val="21"/>
                <w:szCs w:val="21"/>
                <w:lang w:eastAsia="zh-CN"/>
              </w:rPr>
              <w:t>商务条款</w:t>
            </w:r>
            <w:r>
              <w:rPr>
                <w:rFonts w:ascii="宋体" w:eastAsia="宋体" w:hAnsi="宋体" w:cs="宋体" w:hint="eastAsia"/>
                <w:sz w:val="21"/>
                <w:szCs w:val="21"/>
              </w:rPr>
              <w:t>全部满足要求的得</w:t>
            </w:r>
            <w:r>
              <w:rPr>
                <w:rFonts w:ascii="宋体" w:eastAsia="宋体" w:hAnsi="宋体" w:cs="宋体" w:hint="eastAsia"/>
                <w:sz w:val="21"/>
                <w:szCs w:val="21"/>
                <w:lang w:eastAsia="zh-CN"/>
              </w:rPr>
              <w:t>100%</w:t>
            </w:r>
            <w:r>
              <w:rPr>
                <w:rFonts w:ascii="宋体" w:eastAsia="宋体" w:hAnsi="宋体" w:cs="宋体" w:hint="eastAsia"/>
                <w:sz w:val="21"/>
                <w:szCs w:val="21"/>
              </w:rPr>
              <w:t>分，条款每负偏离一项扣</w:t>
            </w:r>
            <w:r>
              <w:rPr>
                <w:rFonts w:ascii="宋体" w:eastAsia="宋体" w:hAnsi="宋体" w:cs="宋体" w:hint="eastAsia"/>
                <w:sz w:val="21"/>
                <w:szCs w:val="21"/>
                <w:lang w:eastAsia="zh-CN"/>
              </w:rPr>
              <w:t>10%</w:t>
            </w:r>
            <w:r>
              <w:rPr>
                <w:rFonts w:ascii="宋体" w:eastAsia="宋体" w:hAnsi="宋体" w:cs="宋体" w:hint="eastAsia"/>
                <w:sz w:val="21"/>
                <w:szCs w:val="21"/>
              </w:rPr>
              <w:t>分</w:t>
            </w:r>
            <w:r>
              <w:rPr>
                <w:rFonts w:ascii="宋体" w:eastAsia="宋体" w:hAnsi="宋体" w:cs="宋体" w:hint="eastAsia"/>
                <w:sz w:val="21"/>
                <w:szCs w:val="21"/>
                <w:lang w:eastAsia="zh-CN"/>
              </w:rPr>
              <w:t>，</w:t>
            </w:r>
            <w:r>
              <w:rPr>
                <w:rFonts w:ascii="宋体" w:eastAsia="宋体" w:hAnsi="宋体" w:cs="宋体" w:hint="eastAsia"/>
                <w:color w:val="000000"/>
                <w:sz w:val="21"/>
                <w:szCs w:val="21"/>
                <w:lang w:eastAsia="zh-CN" w:bidi="ar"/>
              </w:rPr>
              <w:t>扣完为止。</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1121"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同类项目业绩</w:t>
            </w:r>
          </w:p>
        </w:tc>
        <w:tc>
          <w:tcPr>
            <w:tcW w:w="1466" w:type="dxa"/>
            <w:gridSpan w:val="2"/>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4827" w:type="dxa"/>
            <w:noWrap w:val="0"/>
            <w:vAlign w:val="center"/>
          </w:tcPr>
          <w:p>
            <w:pPr>
              <w:snapToGrid w:val="0"/>
              <w:spacing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投标人自2022年1月1日（近三年）至投标截止日止（以合同签订合同时间</w:t>
            </w:r>
            <w:r>
              <w:rPr>
                <w:rFonts w:ascii="宋体" w:eastAsia="宋体" w:hAnsi="宋体" w:cs="宋体" w:hint="eastAsia"/>
                <w:color w:val="000000"/>
                <w:sz w:val="21"/>
                <w:szCs w:val="21"/>
                <w:lang w:eastAsia="zh-CN"/>
              </w:rPr>
              <w:t>或中标通知书落款日期为准</w:t>
            </w:r>
            <w:r>
              <w:rPr>
                <w:rFonts w:ascii="宋体" w:eastAsia="宋体" w:hAnsi="宋体" w:cs="宋体" w:hint="eastAsia"/>
                <w:color w:val="000000"/>
                <w:sz w:val="21"/>
                <w:szCs w:val="21"/>
              </w:rPr>
              <w:t>）同类型项目的销售业绩</w:t>
            </w:r>
            <w:r>
              <w:rPr>
                <w:rFonts w:ascii="宋体" w:eastAsia="宋体" w:hAnsi="宋体" w:cs="宋体" w:hint="eastAsia"/>
                <w:color w:val="000000"/>
                <w:sz w:val="21"/>
                <w:szCs w:val="21"/>
                <w:lang w:eastAsia="zh-CN"/>
              </w:rPr>
              <w:t>。</w:t>
            </w:r>
          </w:p>
          <w:p>
            <w:pPr>
              <w:snapToGrid w:val="0"/>
              <w:spacing w:line="300" w:lineRule="auto"/>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每提供一个同类项目业绩得50%分，本项最高得100%分。</w:t>
            </w:r>
          </w:p>
          <w:p>
            <w:pPr>
              <w:snapToGrid w:val="0"/>
              <w:spacing w:line="30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注：同一项目续签合同不重复计分；</w:t>
            </w:r>
          </w:p>
          <w:p>
            <w:pPr>
              <w:snapToGrid w:val="0"/>
              <w:spacing w:line="300" w:lineRule="auto"/>
              <w:rPr>
                <w:rFonts w:ascii="宋体" w:eastAsia="宋体" w:hAnsi="宋体" w:cs="宋体" w:hint="eastAsia"/>
                <w:sz w:val="21"/>
                <w:szCs w:val="21"/>
                <w:lang w:eastAsia="zh-CN"/>
              </w:rPr>
            </w:pPr>
            <w:r>
              <w:rPr>
                <w:rFonts w:ascii="宋体" w:eastAsia="宋体" w:hAnsi="宋体" w:cs="宋体" w:hint="eastAsia"/>
                <w:sz w:val="21"/>
                <w:szCs w:val="21"/>
              </w:rPr>
              <w:t>提供中标通知书</w:t>
            </w:r>
            <w:r>
              <w:rPr>
                <w:rFonts w:ascii="宋体" w:eastAsia="宋体" w:hAnsi="宋体" w:cs="宋体" w:hint="eastAsia"/>
                <w:sz w:val="21"/>
                <w:szCs w:val="21"/>
                <w:lang w:eastAsia="zh-CN"/>
              </w:rPr>
              <w:t>及</w:t>
            </w:r>
            <w:r>
              <w:rPr>
                <w:rFonts w:ascii="宋体" w:eastAsia="宋体" w:hAnsi="宋体" w:cs="宋体" w:hint="eastAsia"/>
                <w:sz w:val="21"/>
                <w:szCs w:val="21"/>
              </w:rPr>
              <w:t>合同关键页</w:t>
            </w:r>
            <w:r>
              <w:rPr>
                <w:rFonts w:ascii="宋体" w:eastAsia="宋体" w:hAnsi="宋体" w:cs="宋体" w:hint="eastAsia"/>
                <w:color w:val="000000"/>
                <w:kern w:val="2"/>
                <w:sz w:val="21"/>
                <w:szCs w:val="21"/>
                <w:lang w:eastAsia="zh-CN"/>
              </w:rPr>
              <w:t>(包含但不限于合同首页、采购内容、签订时间、双方全称及公章</w:t>
            </w:r>
            <w:r>
              <w:rPr>
                <w:rFonts w:ascii="宋体" w:eastAsia="宋体" w:hAnsi="宋体" w:cs="宋体" w:hint="eastAsia"/>
                <w:sz w:val="21"/>
                <w:szCs w:val="21"/>
                <w:lang w:eastAsia="zh-CN"/>
              </w:rPr>
              <w:t>）</w:t>
            </w:r>
            <w:r>
              <w:rPr>
                <w:rFonts w:ascii="宋体" w:eastAsia="宋体" w:hAnsi="宋体" w:cs="宋体" w:hint="eastAsia"/>
                <w:sz w:val="21"/>
                <w:szCs w:val="21"/>
              </w:rPr>
              <w:t>扫描件，原件备查。未提供或提供的不符合或提供不清晰导致无法判断的均不得分</w:t>
            </w:r>
            <w:r>
              <w:rPr>
                <w:rFonts w:ascii="宋体" w:eastAsia="宋体" w:hAnsi="宋体" w:cs="宋体" w:hint="eastAsia"/>
                <w:sz w:val="21"/>
                <w:szCs w:val="21"/>
                <w:lang w:eastAsia="zh-CN"/>
              </w:rPr>
              <w:t>。</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1121"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lang w:bidi="ar"/>
              </w:rPr>
              <w:t>诚信</w:t>
            </w:r>
          </w:p>
        </w:tc>
        <w:tc>
          <w:tcPr>
            <w:tcW w:w="1466" w:type="dxa"/>
            <w:gridSpan w:val="2"/>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w:t>
            </w:r>
          </w:p>
        </w:tc>
        <w:tc>
          <w:tcPr>
            <w:tcW w:w="4827" w:type="dxa"/>
            <w:noWrap w:val="0"/>
            <w:vAlign w:val="top"/>
          </w:tcPr>
          <w:p>
            <w:pPr>
              <w:numPr>
                <w:ilvl w:val="0"/>
                <w:numId w:val="0"/>
              </w:numPr>
              <w:ind w:left="0" w:firstLine="0"/>
              <w:jc w:val="left"/>
              <w:rPr>
                <w:rFonts w:ascii="宋体" w:eastAsia="宋体" w:hAnsi="宋体" w:cs="宋体" w:hint="eastAsia"/>
                <w:sz w:val="21"/>
                <w:szCs w:val="21"/>
              </w:rPr>
            </w:pPr>
            <w:r>
              <w:rPr>
                <w:rFonts w:ascii="宋体" w:eastAsia="宋体" w:hAnsi="宋体" w:cs="宋体" w:hint="eastAsia"/>
                <w:kern w:val="2"/>
                <w:sz w:val="21"/>
                <w:szCs w:val="21"/>
                <w:lang w:eastAsia="zh-CN"/>
              </w:rPr>
              <w:t>投标人存在《深圳市财政局政府采购供应商信用信息管理办法》（深财规〔2023〕3号）列明的一般行政处罚信息、一般违法失信记录信息的，本项不得分，不存在上述情形的本项得</w:t>
            </w:r>
            <w:r>
              <w:rPr>
                <w:rFonts w:ascii="宋体" w:eastAsia="宋体" w:hAnsi="宋体" w:cs="宋体" w:hint="eastAsia"/>
                <w:kern w:val="2"/>
                <w:sz w:val="21"/>
                <w:szCs w:val="21"/>
                <w:lang w:eastAsia="zh-CN"/>
              </w:rPr>
              <w:t>100%</w:t>
            </w:r>
            <w:r>
              <w:rPr>
                <w:rFonts w:ascii="宋体" w:eastAsia="宋体" w:hAnsi="宋体" w:cs="宋体" w:hint="eastAsia"/>
                <w:kern w:val="2"/>
                <w:sz w:val="21"/>
                <w:szCs w:val="21"/>
                <w:lang w:eastAsia="zh-CN"/>
              </w:rPr>
              <w:t>分。投标人无需提供任何证明材料，评标过程中由工作人员向评审委员会提供有关供应商诚信查询结果。</w:t>
            </w:r>
          </w:p>
        </w:tc>
      </w:tr>
    </w:tbl>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hint="eastAsia"/>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rPr>
          <w:rFonts w:ascii="宋体" w:eastAsia="宋体" w:hAnsi="宋体" w:cs="宋体" w:hint="eastAsia"/>
          <w:color w:val="000000"/>
          <w:lang w:eastAsia="zh-CN"/>
        </w:rPr>
      </w:pPr>
    </w:p>
    <w:p>
      <w:pPr>
        <w:widowControl w:val="0"/>
        <w:snapToGrid w:val="0"/>
        <w:spacing w:line="360" w:lineRule="exact"/>
        <w:rPr>
          <w:rFonts w:ascii="宋体" w:eastAsia="宋体" w:hAnsi="宋体" w:cs="宋体" w:hint="eastAsia"/>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1、具有独立法人资格或具有独立承担民事责任的能力的其它组织（提供营业执照或事业单位法人证等法人证明扫描件，原件备查）。</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2、参与本项目投标前三年内，在经营活动中没有重大违法记录（由供应商在《龙华区教育局自行采购投标及履约承诺函》中作出声明）。</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3、参与本项目政府采购活动时不存在被有关部门禁止参与政府采购活动且在有效期内的情况（由供应商在《龙华区教育局自行采购投标及履约承诺函》中作出声明）。</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4、具备《中华人民共和国政府采购法》第二十二条第一款的条件（由供应商在《龙华区教育局自行采购投标及履约承诺函》中作出声明）。</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5、参与本项目政府采购活动时未被列入失信被执行人、重大税收违法失信主体、政府采购严重违法失信行为记录名单（由供应商在《龙华区教育局自行采购投标及履约承诺函》中作出承诺）。</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6、为采购项目提供整体设计、规范编制或者项目管理、监理、检测等服务的供应商，不得再参加该采购项目同一合同项下的其他采购活动。（由供应商在《龙华区教育局自行采购投标及履约承诺函》中作出承诺）；</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7、单位负责人为同一人或者存在直接控股、管理关系的不同供应商，不得参加同一合同项下的政府采购活动。（由供应商在《龙华区教育局自行采购投标及履约承诺函》中作出承诺）；</w:t>
      </w:r>
    </w:p>
    <w:p>
      <w:pPr>
        <w:widowControl w:val="0"/>
        <w:spacing w:after="60" w:afterLines="25"/>
        <w:jc w:val="both"/>
        <w:rPr>
          <w:rFonts w:ascii="宋体" w:eastAsia="宋体" w:hAnsi="宋体" w:hint="eastAsia"/>
          <w:b/>
          <w:bCs/>
          <w:color w:val="FF0000"/>
          <w:kern w:val="2"/>
          <w:sz w:val="21"/>
          <w:szCs w:val="20"/>
          <w:lang w:eastAsia="zh-CN"/>
        </w:rPr>
      </w:pPr>
      <w:r>
        <w:rPr>
          <w:rFonts w:ascii="宋体" w:eastAsia="宋体" w:hAnsi="宋体" w:hint="eastAsia"/>
          <w:kern w:val="2"/>
          <w:sz w:val="21"/>
          <w:szCs w:val="20"/>
          <w:lang w:eastAsia="zh-CN"/>
        </w:rPr>
        <w:t>8、</w:t>
      </w:r>
      <w:r>
        <w:rPr>
          <w:rFonts w:ascii="宋体" w:eastAsia="宋体" w:hAnsi="宋体" w:hint="eastAsia"/>
          <w:b/>
          <w:bCs/>
          <w:kern w:val="2"/>
          <w:sz w:val="21"/>
          <w:szCs w:val="20"/>
          <w:lang w:eastAsia="zh-C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p>
      <w:pPr>
        <w:widowControl w:val="0"/>
        <w:spacing w:after="60" w:afterLines="25"/>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9、本项目不接受联合体投标，不接受进口产品参与投标，不允许转包、分包。（由供应商在《龙华区教育局自行采购投标及履约承诺函》中作出承诺）；</w:t>
      </w:r>
    </w:p>
    <w:p>
      <w:pPr>
        <w:widowControl w:val="0"/>
        <w:spacing w:after="60" w:afterLines="25"/>
        <w:jc w:val="both"/>
        <w:rPr>
          <w:rFonts w:ascii="宋体" w:eastAsia="宋体" w:hAnsi="宋体"/>
          <w:kern w:val="2"/>
          <w:sz w:val="21"/>
          <w:szCs w:val="20"/>
          <w:lang w:eastAsia="zh-CN"/>
        </w:rPr>
      </w:pPr>
      <w:r>
        <w:rPr>
          <w:rFonts w:ascii="宋体" w:eastAsia="宋体" w:hAnsi="宋体" w:hint="eastAsia"/>
          <w:kern w:val="2"/>
          <w:sz w:val="21"/>
          <w:szCs w:val="20"/>
          <w:lang w:eastAsia="zh-CN"/>
        </w:rPr>
        <w:t>10、</w:t>
      </w:r>
      <w:r>
        <w:rPr>
          <w:rFonts w:ascii="宋体" w:eastAsia="宋体" w:hAnsi="宋体" w:cs="宋体" w:hint="eastAsia"/>
          <w:kern w:val="2"/>
          <w:sz w:val="21"/>
          <w:szCs w:val="21"/>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w:t>
      </w:r>
      <w:bookmarkStart w:id="3" w:name="_Hlk71926094"/>
      <w:r>
        <w:rPr>
          <w:rFonts w:ascii="宋体" w:eastAsia="宋体" w:hAnsi="宋体" w:hint="eastAsia"/>
          <w:b/>
          <w:bCs/>
          <w:sz w:val="28"/>
          <w:szCs w:val="28"/>
          <w:lang w:eastAsia="zh-CN"/>
        </w:rPr>
        <w:t xml:space="preserve">  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bookmarkStart w:id="4" w:name="_Toc60631620"/>
      <w:bookmarkStart w:id="5" w:name="_Toc73521635"/>
      <w:bookmarkStart w:id="6" w:name="_Toc101074876"/>
      <w:bookmarkStart w:id="7" w:name="_Toc60560625"/>
      <w:bookmarkStart w:id="8" w:name="_Toc73521547"/>
      <w:bookmarkStart w:id="9" w:name="_Toc73518117"/>
      <w:bookmarkStart w:id="10" w:name="_Toc73517639"/>
      <w:bookmarkStart w:id="11" w:name="_Toc100052364"/>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深圳市龙华职业技术学校</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“有”</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hint="eastAsia"/>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hint="eastAsia"/>
          <w:bCs/>
          <w:kern w:val="2"/>
          <w:sz w:val="21"/>
          <w:szCs w:val="21"/>
          <w:lang w:eastAsia="zh-CN"/>
        </w:rPr>
      </w:pP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widowControl w:val="0"/>
        <w:ind w:firstLine="420" w:firstLineChars="200"/>
        <w:jc w:val="both"/>
        <w:rPr>
          <w:rFonts w:ascii="Calibri" w:eastAsia="宋体" w:hAnsi="Calibri" w:hint="eastAsia"/>
          <w:kern w:val="2"/>
          <w:sz w:val="21"/>
          <w:szCs w:val="22"/>
          <w:lang w:eastAsia="zh-CN"/>
        </w:rPr>
      </w:pPr>
      <w:r>
        <w:rPr>
          <w:rFonts w:ascii="宋体" w:eastAsia="宋体" w:hAnsi="宋体" w:cs="宋体" w:hint="eastAsia"/>
          <w:sz w:val="21"/>
          <w:szCs w:val="21"/>
          <w:lang w:eastAsia="zh-CN"/>
        </w:rPr>
        <w:t>（1）专门面向中小企业采购的项目，不再执行价格扣除比例。</w:t>
      </w:r>
    </w:p>
    <w:p>
      <w:pPr>
        <w:widowControl w:val="0"/>
        <w:ind w:firstLine="420" w:firstLineChars="20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w:t>
      </w:r>
      <w:r>
        <w:rPr>
          <w:rFonts w:ascii="宋体" w:eastAsia="宋体" w:hAnsi="宋体" w:cs="宋体" w:hint="eastAsia"/>
          <w:kern w:val="2"/>
          <w:sz w:val="21"/>
          <w:szCs w:val="22"/>
          <w:lang w:eastAsia="zh-CN"/>
        </w:rPr>
        <w:t>2</w:t>
      </w:r>
      <w:r>
        <w:rPr>
          <w:rFonts w:ascii="宋体" w:eastAsia="宋体" w:hAnsi="宋体" w:cs="宋体" w:hint="eastAsia"/>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2"/>
          <w:lang w:eastAsia="zh-CN"/>
        </w:rPr>
        <w:t>（</w:t>
      </w:r>
      <w:r>
        <w:rPr>
          <w:rFonts w:ascii="宋体" w:eastAsia="宋体" w:hAnsi="宋体" w:cs="宋体" w:hint="eastAsia"/>
          <w:kern w:val="2"/>
          <w:sz w:val="21"/>
          <w:szCs w:val="22"/>
          <w:lang w:eastAsia="zh-CN"/>
        </w:rPr>
        <w:t>3</w:t>
      </w:r>
      <w:r>
        <w:rPr>
          <w:rFonts w:ascii="宋体" w:eastAsia="宋体" w:hAnsi="宋体" w:cs="宋体" w:hint="eastAsia"/>
          <w:kern w:val="2"/>
          <w:sz w:val="21"/>
          <w:szCs w:val="22"/>
          <w:lang w:eastAsia="zh-CN"/>
        </w:rPr>
        <w:t>）</w:t>
      </w:r>
      <w:r>
        <w:rPr>
          <w:rFonts w:ascii="宋体" w:eastAsia="宋体" w:hAnsi="宋体" w:cs="宋体" w:hint="eastAsia"/>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hint="eastAsia"/>
          <w:b/>
          <w:bCs/>
          <w:color w:val="FF0000"/>
          <w:kern w:val="2"/>
          <w:sz w:val="21"/>
          <w:szCs w:val="21"/>
          <w:lang w:eastAsia="zh-CN"/>
        </w:rPr>
        <w:t>《中小企业声明函》中相关企业所属行业应当与采购标的所属行业相一致。</w:t>
      </w:r>
      <w:r>
        <w:rPr>
          <w:rFonts w:ascii="宋体" w:eastAsia="宋体" w:hAnsi="宋体" w:cs="宋体" w:hint="eastAsia"/>
          <w:kern w:val="2"/>
          <w:sz w:val="21"/>
          <w:szCs w:val="21"/>
          <w:lang w:eastAsia="zh-CN"/>
        </w:rPr>
        <w:t>本项目采购标的（服务需求）对应的中小企业划分标准所属行业为</w:t>
      </w:r>
      <w:r>
        <w:rPr>
          <w:rFonts w:ascii="宋体" w:eastAsia="宋体" w:hAnsi="宋体" w:cs="宋体" w:hint="eastAsia"/>
          <w:b/>
          <w:bCs/>
          <w:color w:val="FF0000"/>
          <w:kern w:val="2"/>
          <w:sz w:val="21"/>
          <w:szCs w:val="21"/>
          <w:u w:val="single"/>
          <w:lang w:eastAsia="zh-CN"/>
        </w:rPr>
        <w:t>工业</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）小型企业、微</w:t>
      </w:r>
      <w:r>
        <w:rPr>
          <w:rFonts w:ascii="宋体" w:eastAsia="宋体" w:hAnsi="宋体" w:cs="宋体" w:hint="eastAsia"/>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pPr>
        <w:widowControl w:val="0"/>
        <w:tabs>
          <w:tab w:val="left" w:pos="720"/>
        </w:tabs>
        <w:ind w:firstLine="420" w:firstLineChars="200"/>
        <w:jc w:val="both"/>
        <w:rPr>
          <w:rFonts w:ascii="宋体" w:eastAsia="宋体" w:hAnsi="宋体" w:cs="宋体" w:hint="eastAsia"/>
          <w:kern w:val="2"/>
          <w:szCs w:val="22"/>
          <w:lang w:eastAsia="zh-CN"/>
        </w:rPr>
      </w:pPr>
      <w:r>
        <w:rPr>
          <w:rFonts w:ascii="宋体" w:eastAsia="宋体" w:hAnsi="宋体" w:cs="宋体" w:hint="eastAsia"/>
          <w:kern w:val="2"/>
          <w:sz w:val="21"/>
          <w:szCs w:val="22"/>
          <w:lang w:eastAsia="zh-CN"/>
        </w:rPr>
        <w:t>（5）享受价格扣除获得政府采购合同的，小微企业不得将合同分包给大中型企业。</w:t>
      </w:r>
    </w:p>
    <w:p>
      <w:pPr>
        <w:widowControl w:val="0"/>
        <w:spacing w:line="360" w:lineRule="auto"/>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hint="eastAsia"/>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hint="eastAsia"/>
          <w:kern w:val="2"/>
          <w:szCs w:val="22"/>
          <w:lang w:eastAsia="zh-CN"/>
        </w:rPr>
      </w:pPr>
    </w:p>
    <w:p>
      <w:pPr>
        <w:widowControl w:val="0"/>
        <w:tabs>
          <w:tab w:val="left" w:pos="720"/>
        </w:tabs>
        <w:jc w:val="both"/>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ordWrap w:val="0"/>
        <w:autoSpaceDE w:val="0"/>
        <w:autoSpaceDN w:val="0"/>
        <w:spacing w:line="400" w:lineRule="exact"/>
        <w:ind w:right="808" w:firstLine="420" w:firstLineChars="200"/>
        <w:jc w:val="both"/>
        <w:rPr>
          <w:rFonts w:eastAsia="宋体"/>
          <w:lang w:eastAsia="zh-CN"/>
        </w:rPr>
      </w:pPr>
      <w:r>
        <w:rPr>
          <w:rFonts w:eastAsia="宋体" w:hint="eastAsia"/>
          <w:kern w:val="2"/>
          <w:sz w:val="21"/>
          <w:lang w:eastAsia="zh-CN"/>
        </w:rPr>
        <w:t>（2）</w:t>
      </w:r>
      <w:r>
        <w:rPr>
          <w:rFonts w:eastAsia="宋体" w:hint="eastAsia"/>
          <w:lang w:eastAsia="zh-CN"/>
        </w:rPr>
        <w:t>招标代理服务费</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亿元（含）以</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w:t>
      </w:r>
      <w:r>
        <w:rPr>
          <w:rFonts w:ascii="宋体" w:eastAsia="宋体" w:hAnsi="宋体" w:cs="宋体" w:hint="eastAsia"/>
          <w:kern w:val="2"/>
          <w:sz w:val="21"/>
          <w:szCs w:val="21"/>
          <w:lang w:eastAsia="zh-CN"/>
        </w:rPr>
        <w:t>7</w:t>
      </w:r>
      <w:r>
        <w:rPr>
          <w:rFonts w:ascii="宋体" w:eastAsia="宋体" w:hAnsi="宋体" w:cs="宋体" w:hint="eastAsia"/>
          <w:kern w:val="2"/>
          <w:sz w:val="21"/>
          <w:szCs w:val="21"/>
          <w:lang w:eastAsia="zh-CN"/>
        </w:rPr>
        <w:t>000元。代理服务费用超过</w:t>
      </w:r>
      <w:r>
        <w:rPr>
          <w:rFonts w:ascii="宋体" w:eastAsia="宋体" w:hAnsi="宋体" w:cs="宋体" w:hint="eastAsia"/>
          <w:kern w:val="2"/>
          <w:sz w:val="21"/>
          <w:szCs w:val="21"/>
          <w:lang w:eastAsia="zh-CN"/>
        </w:rPr>
        <w:t>7</w:t>
      </w:r>
      <w:r>
        <w:rPr>
          <w:rFonts w:ascii="宋体" w:eastAsia="宋体" w:hAnsi="宋体" w:cs="宋体" w:hint="eastAsia"/>
          <w:kern w:val="2"/>
          <w:sz w:val="21"/>
          <w:szCs w:val="21"/>
          <w:lang w:eastAsia="zh-CN"/>
        </w:rPr>
        <w:t>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spacing w:line="360" w:lineRule="auto"/>
        <w:ind w:firstLine="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rPr>
          <w:rFonts w:ascii="宋体" w:eastAsia="黑体" w:hAnsi="宋体" w:hint="eastAsia"/>
          <w:bCs/>
          <w:kern w:val="44"/>
          <w:sz w:val="28"/>
          <w:szCs w:val="44"/>
          <w:lang w:eastAsia="zh-CN"/>
        </w:rPr>
      </w:pPr>
      <w:r>
        <w:rPr>
          <w:rFonts w:ascii="宋体" w:eastAsia="黑体" w:hAnsi="宋体"/>
          <w:bCs/>
          <w:kern w:val="44"/>
          <w:sz w:val="28"/>
          <w:szCs w:val="44"/>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一、项目基本信息</w:t>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项目背景</w:t>
      </w:r>
      <w:r>
        <w:rPr>
          <w:rFonts w:ascii="宋体" w:eastAsia="宋体" w:hAnsi="宋体" w:cs="宋体" w:hint="eastAsia"/>
          <w:sz w:val="21"/>
          <w:szCs w:val="21"/>
          <w:lang w:eastAsia="zh-CN"/>
        </w:rPr>
        <w:t>:</w:t>
      </w:r>
      <w:r>
        <w:rPr>
          <w:rFonts w:ascii="宋体" w:eastAsia="宋体" w:hAnsi="宋体" w:cs="宋体" w:hint="eastAsia"/>
          <w:sz w:val="21"/>
          <w:szCs w:val="21"/>
          <w:lang w:eastAsia="zh-CN"/>
        </w:rPr>
        <w:t>随着社会对幼儿教育重视程度的提高，对高素质保育人才的需求日益增长。然而，传统的课堂教学已难以满足学生的实践需要，实训室的建设成为我校必要之举。实训室能模拟真实工作场景，通过数字化模拟保育实训室的建设，为幼儿保育专业的学生提供了更好的实践平台和学习机会。有助于推动我校“幼儿保育专业”的发展，提升保育服务的质量和水平，为培养更多优秀的保育从业人员做出积极贡献。</w:t>
      </w:r>
    </w:p>
    <w:p>
      <w:pPr>
        <w:rPr>
          <w:rFonts w:hint="eastAsia"/>
          <w:lang w:eastAsia="zh-CN"/>
        </w:rPr>
      </w:pPr>
      <w:r>
        <w:rPr>
          <w:rFonts w:ascii="宋体" w:eastAsia="宋体" w:hAnsi="宋体" w:cs="宋体" w:hint="eastAsia"/>
          <w:sz w:val="21"/>
          <w:szCs w:val="21"/>
          <w:lang w:eastAsia="zh-CN"/>
        </w:rPr>
        <w:t>2、</w:t>
      </w:r>
      <w:r>
        <w:rPr>
          <w:rFonts w:ascii="宋体" w:eastAsia="宋体" w:hAnsi="宋体" w:cs="宋体" w:hint="eastAsia"/>
          <w:sz w:val="21"/>
          <w:szCs w:val="21"/>
          <w:lang w:eastAsia="zh-CN"/>
        </w:rPr>
        <w:t>货物用途、功能说明</w:t>
      </w:r>
      <w:r>
        <w:rPr>
          <w:rFonts w:ascii="宋体" w:eastAsia="宋体" w:hAnsi="宋体" w:cs="宋体" w:hint="eastAsia"/>
          <w:sz w:val="21"/>
          <w:szCs w:val="21"/>
          <w:lang w:eastAsia="zh-CN"/>
        </w:rPr>
        <w:t>:</w:t>
      </w:r>
      <w:r>
        <w:rPr>
          <w:rFonts w:ascii="宋体" w:eastAsia="宋体" w:hAnsi="宋体" w:cs="宋体" w:hint="eastAsia"/>
          <w:sz w:val="21"/>
          <w:szCs w:val="21"/>
          <w:lang w:eastAsia="zh-CN"/>
        </w:rPr>
        <w:t>保育实训室通过集成虚拟仿真幼儿园、人工智能教育平台、VR设备及技能大赛题库等功能模块，构建了集技能训练、理论考核与教学创新于一体的综合实训体系，主要用于幼儿保育专业学生实训、实践教学、大赛备赛等。</w:t>
      </w:r>
    </w:p>
    <w:tbl>
      <w:tblPr>
        <w:tblStyle w:val="TableNormal"/>
        <w:tblW w:w="5000" w:type="pct"/>
        <w:tblInd w:w="-149" w:type="dxa"/>
        <w:tblLayout w:type="fixed"/>
        <w:tblCellMar>
          <w:top w:w="15" w:type="dxa"/>
          <w:left w:w="15" w:type="dxa"/>
          <w:bottom w:w="15" w:type="dxa"/>
          <w:right w:w="15" w:type="dxa"/>
        </w:tblCellMar>
      </w:tblPr>
      <w:tblGrid>
        <w:gridCol w:w="797"/>
        <w:gridCol w:w="2510"/>
        <w:gridCol w:w="2859"/>
        <w:gridCol w:w="2504"/>
      </w:tblGrid>
      <w:tr>
        <w:tblPrEx>
          <w:tblW w:w="5000" w:type="pct"/>
          <w:tblInd w:w="-149" w:type="dxa"/>
          <w:tblLayout w:type="fixed"/>
          <w:tblCellMar>
            <w:top w:w="15" w:type="dxa"/>
            <w:left w:w="15" w:type="dxa"/>
            <w:bottom w:w="15" w:type="dxa"/>
            <w:right w:w="15" w:type="dxa"/>
          </w:tblCellMar>
        </w:tblPrEx>
        <w:trPr>
          <w:trHeight w:val="552"/>
        </w:trPr>
        <w:tc>
          <w:tcPr>
            <w:tcW w:w="806"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538"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28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5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tblInd w:w="-149" w:type="dxa"/>
          <w:tblLayout w:type="fixed"/>
          <w:tblCellMar>
            <w:top w:w="15" w:type="dxa"/>
            <w:left w:w="15" w:type="dxa"/>
            <w:bottom w:w="15" w:type="dxa"/>
            <w:right w:w="15" w:type="dxa"/>
          </w:tblCellMar>
        </w:tblPrEx>
        <w:trPr>
          <w:trHeight w:val="485"/>
        </w:trPr>
        <w:tc>
          <w:tcPr>
            <w:tcW w:w="806"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p>
        </w:tc>
        <w:tc>
          <w:tcPr>
            <w:tcW w:w="2538"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kern w:val="2"/>
                <w:sz w:val="21"/>
                <w:szCs w:val="21"/>
                <w:lang w:eastAsia="zh-CN"/>
              </w:rPr>
            </w:pPr>
            <w:r>
              <w:rPr>
                <w:rFonts w:ascii="宋体" w:eastAsia="宋体" w:hAnsi="宋体"/>
                <w:kern w:val="2"/>
                <w:sz w:val="21"/>
                <w:szCs w:val="21"/>
                <w:lang w:eastAsia="zh-CN"/>
              </w:rPr>
              <w:t>LHAZXDL-2025-00353</w:t>
            </w:r>
          </w:p>
        </w:tc>
        <w:tc>
          <w:tcPr>
            <w:tcW w:w="2892"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幼儿保育虚拟仿真教学系统采购</w:t>
            </w:r>
          </w:p>
        </w:tc>
        <w:tc>
          <w:tcPr>
            <w:tcW w:w="2532"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976</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984.00</w:t>
            </w:r>
          </w:p>
        </w:tc>
      </w:tr>
    </w:tbl>
    <w:p>
      <w:pPr>
        <w:keepNext/>
        <w:keepLines/>
        <w:widowControl w:val="0"/>
        <w:tabs>
          <w:tab w:val="left" w:pos="1680"/>
        </w:tabs>
        <w:spacing w:before="260" w:after="60" w:afterLines="25"/>
        <w:jc w:val="center"/>
        <w:outlineLvl w:val="2"/>
        <w:rPr>
          <w:rFonts w:ascii="宋体" w:eastAsia="宋体" w:hAnsi="宋体" w:hint="eastAsia"/>
          <w:b/>
          <w:color w:val="000000"/>
          <w:sz w:val="21"/>
          <w:szCs w:val="21"/>
          <w:lang w:eastAsia="zh-CN"/>
        </w:rPr>
      </w:pPr>
      <w:r>
        <w:rPr>
          <w:rFonts w:ascii="Arial" w:eastAsia="宋体" w:hAnsi="Arial" w:hint="eastAsia"/>
          <w:b/>
          <w:kern w:val="2"/>
          <w:sz w:val="32"/>
          <w:szCs w:val="32"/>
          <w:lang w:eastAsia="zh-CN"/>
        </w:rPr>
        <w:t>二、货物需求明细</w:t>
      </w:r>
      <w:bookmarkStart w:id="13" w:name="_Toc128884461"/>
    </w:p>
    <w:tbl>
      <w:tblPr>
        <w:tblStyle w:val="TableNormal"/>
        <w:tblpPr w:leftFromText="180" w:rightFromText="180" w:vertAnchor="text" w:horzAnchor="page" w:tblpX="1800" w:tblpY="450"/>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8"/>
        <w:gridCol w:w="1849"/>
        <w:gridCol w:w="737"/>
        <w:gridCol w:w="754"/>
        <w:gridCol w:w="1168"/>
        <w:gridCol w:w="1506"/>
        <w:gridCol w:w="835"/>
        <w:gridCol w:w="128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66"/>
        </w:trPr>
        <w:tc>
          <w:tcPr>
            <w:tcW w:w="708"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82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货物名称</w:t>
            </w:r>
          </w:p>
        </w:tc>
        <w:tc>
          <w:tcPr>
            <w:tcW w:w="727"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数量</w:t>
            </w:r>
          </w:p>
        </w:tc>
        <w:tc>
          <w:tcPr>
            <w:tcW w:w="74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单位</w:t>
            </w:r>
          </w:p>
        </w:tc>
        <w:tc>
          <w:tcPr>
            <w:tcW w:w="2638" w:type="dxa"/>
            <w:gridSpan w:val="2"/>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单价限额（元）</w:t>
            </w:r>
          </w:p>
        </w:tc>
        <w:tc>
          <w:tcPr>
            <w:tcW w:w="824" w:type="dxa"/>
            <w:vMerge w:val="restart"/>
            <w:noWrap w:val="0"/>
            <w:vAlign w:val="center"/>
          </w:tcPr>
          <w:p>
            <w:pPr>
              <w:jc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rPr>
              <w:t>备注</w:t>
            </w:r>
          </w:p>
        </w:tc>
        <w:tc>
          <w:tcPr>
            <w:tcW w:w="1272" w:type="dxa"/>
            <w:vMerge w:val="restart"/>
            <w:noWrap w:val="0"/>
            <w:vAlign w:val="center"/>
          </w:tcPr>
          <w:p>
            <w:pPr>
              <w:jc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rPr>
              <w:t>财政预算限额（元）</w:t>
            </w:r>
          </w:p>
        </w:tc>
      </w:tr>
      <w:tr>
        <w:tblPrEx>
          <w:tblW w:w="5000" w:type="pct"/>
          <w:tblInd w:w="0" w:type="dxa"/>
          <w:tblLayout w:type="fixed"/>
          <w:tblCellMar>
            <w:top w:w="0" w:type="dxa"/>
            <w:left w:w="108" w:type="dxa"/>
            <w:bottom w:w="0" w:type="dxa"/>
            <w:right w:w="108" w:type="dxa"/>
          </w:tblCellMar>
        </w:tblPrEx>
        <w:trPr>
          <w:trHeight w:val="566"/>
        </w:trPr>
        <w:tc>
          <w:tcPr>
            <w:tcW w:w="708" w:type="dxa"/>
            <w:vMerge/>
            <w:noWrap w:val="0"/>
            <w:vAlign w:val="center"/>
          </w:tcPr>
          <w:p>
            <w:pPr>
              <w:jc w:val="center"/>
              <w:rPr>
                <w:rFonts w:ascii="宋体" w:eastAsia="宋体" w:hAnsi="宋体" w:cs="宋体" w:hint="eastAsia"/>
                <w:b/>
                <w:sz w:val="21"/>
                <w:szCs w:val="21"/>
              </w:rPr>
            </w:pPr>
          </w:p>
        </w:tc>
        <w:tc>
          <w:tcPr>
            <w:tcW w:w="1824" w:type="dxa"/>
            <w:vMerge/>
            <w:noWrap w:val="0"/>
            <w:vAlign w:val="center"/>
          </w:tcPr>
          <w:p>
            <w:pPr>
              <w:jc w:val="center"/>
              <w:rPr>
                <w:rFonts w:ascii="宋体" w:eastAsia="宋体" w:hAnsi="宋体" w:cs="宋体" w:hint="eastAsia"/>
                <w:b/>
                <w:sz w:val="21"/>
                <w:szCs w:val="21"/>
              </w:rPr>
            </w:pPr>
          </w:p>
        </w:tc>
        <w:tc>
          <w:tcPr>
            <w:tcW w:w="727" w:type="dxa"/>
            <w:vMerge/>
            <w:noWrap w:val="0"/>
            <w:vAlign w:val="center"/>
          </w:tcPr>
          <w:p>
            <w:pPr>
              <w:jc w:val="center"/>
              <w:rPr>
                <w:rFonts w:ascii="宋体" w:eastAsia="宋体" w:hAnsi="宋体" w:cs="宋体" w:hint="eastAsia"/>
                <w:b/>
                <w:sz w:val="21"/>
                <w:szCs w:val="21"/>
              </w:rPr>
            </w:pPr>
          </w:p>
        </w:tc>
        <w:tc>
          <w:tcPr>
            <w:tcW w:w="744" w:type="dxa"/>
            <w:vMerge/>
            <w:noWrap w:val="0"/>
            <w:vAlign w:val="center"/>
          </w:tcPr>
          <w:p>
            <w:pPr>
              <w:jc w:val="center"/>
              <w:rPr>
                <w:rFonts w:ascii="宋体" w:eastAsia="宋体" w:hAnsi="宋体" w:cs="宋体" w:hint="eastAsia"/>
                <w:b/>
                <w:sz w:val="21"/>
                <w:szCs w:val="21"/>
              </w:rPr>
            </w:pPr>
          </w:p>
        </w:tc>
        <w:tc>
          <w:tcPr>
            <w:tcW w:w="1152"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单价</w:t>
            </w:r>
          </w:p>
        </w:tc>
        <w:tc>
          <w:tcPr>
            <w:tcW w:w="1486"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单项总额（单价乘以数量）</w:t>
            </w:r>
          </w:p>
        </w:tc>
        <w:tc>
          <w:tcPr>
            <w:tcW w:w="824" w:type="dxa"/>
            <w:vMerge/>
            <w:noWrap w:val="0"/>
            <w:vAlign w:val="center"/>
          </w:tcPr>
          <w:p>
            <w:pPr>
              <w:jc w:val="center"/>
              <w:rPr>
                <w:rFonts w:ascii="宋体" w:eastAsia="宋体" w:hAnsi="宋体" w:cs="宋体" w:hint="eastAsia"/>
                <w:b/>
                <w:bCs/>
                <w:color w:val="FF0000"/>
                <w:sz w:val="21"/>
                <w:szCs w:val="21"/>
              </w:rPr>
            </w:pPr>
          </w:p>
        </w:tc>
        <w:tc>
          <w:tcPr>
            <w:tcW w:w="1272" w:type="dxa"/>
            <w:vMerge/>
            <w:noWrap w:val="0"/>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332"/>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182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 xml:space="preserve">虚拟仿真幼儿园 </w:t>
            </w:r>
            <w:r>
              <w:rPr>
                <w:rFonts w:ascii="宋体" w:eastAsia="宋体" w:hAnsi="宋体" w:cs="宋体" w:hint="eastAsia"/>
                <w:b/>
                <w:bCs/>
                <w:color w:val="000000"/>
                <w:sz w:val="21"/>
                <w:szCs w:val="21"/>
                <w:lang w:bidi="ar"/>
              </w:rPr>
              <w:t>（核心产品）</w:t>
            </w:r>
            <w:r>
              <w:rPr>
                <w:rFonts w:ascii="宋体" w:eastAsia="宋体" w:hAnsi="宋体" w:cs="宋体" w:hint="eastAsia"/>
                <w:color w:val="000000"/>
                <w:sz w:val="21"/>
                <w:szCs w:val="21"/>
                <w:lang w:bidi="ar"/>
              </w:rPr>
              <w:t xml:space="preserve">     </w:t>
            </w:r>
          </w:p>
        </w:tc>
        <w:tc>
          <w:tcPr>
            <w:tcW w:w="727"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1</w:t>
            </w:r>
          </w:p>
        </w:tc>
        <w:tc>
          <w:tcPr>
            <w:tcW w:w="74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套</w:t>
            </w:r>
          </w:p>
        </w:tc>
        <w:tc>
          <w:tcPr>
            <w:tcW w:w="1152" w:type="dxa"/>
            <w:noWrap w:val="0"/>
            <w:vAlign w:val="center"/>
          </w:tcPr>
          <w:p>
            <w:pPr>
              <w:widowControl/>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bidi="ar"/>
              </w:rPr>
              <w:t>59800</w:t>
            </w:r>
            <w:r>
              <w:rPr>
                <w:rFonts w:ascii="宋体" w:eastAsia="宋体" w:hAnsi="宋体" w:cs="宋体" w:hint="eastAsia"/>
                <w:color w:val="000000"/>
                <w:sz w:val="21"/>
                <w:szCs w:val="21"/>
                <w:lang w:eastAsia="zh-CN" w:bidi="ar"/>
              </w:rPr>
              <w:t>0</w:t>
            </w:r>
          </w:p>
        </w:tc>
        <w:tc>
          <w:tcPr>
            <w:tcW w:w="1486" w:type="dxa"/>
            <w:noWrap w:val="0"/>
            <w:vAlign w:val="center"/>
          </w:tcPr>
          <w:p>
            <w:pPr>
              <w:widowControl/>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bidi="ar"/>
              </w:rPr>
              <w:t>59800</w:t>
            </w:r>
            <w:r>
              <w:rPr>
                <w:rFonts w:ascii="宋体" w:eastAsia="宋体" w:hAnsi="宋体" w:cs="宋体" w:hint="eastAsia"/>
                <w:color w:val="000000"/>
                <w:sz w:val="21"/>
                <w:szCs w:val="21"/>
                <w:lang w:eastAsia="zh-CN" w:bidi="ar"/>
              </w:rPr>
              <w:t>0</w:t>
            </w:r>
          </w:p>
        </w:tc>
        <w:tc>
          <w:tcPr>
            <w:tcW w:w="824" w:type="dxa"/>
            <w:vMerge w:val="restart"/>
            <w:noWrap w:val="0"/>
            <w:vAlign w:val="center"/>
          </w:tcPr>
          <w:p>
            <w:pPr>
              <w:jc w:val="center"/>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拒绝进口</w:t>
            </w:r>
          </w:p>
        </w:tc>
        <w:tc>
          <w:tcPr>
            <w:tcW w:w="1272" w:type="dxa"/>
            <w:vMerge w:val="restart"/>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976984.00</w:t>
            </w:r>
          </w:p>
        </w:tc>
      </w:tr>
      <w:tr>
        <w:tblPrEx>
          <w:tblW w:w="5000" w:type="pct"/>
          <w:tblInd w:w="0" w:type="dxa"/>
          <w:tblLayout w:type="fixed"/>
          <w:tblCellMar>
            <w:top w:w="0" w:type="dxa"/>
            <w:left w:w="108" w:type="dxa"/>
            <w:bottom w:w="0" w:type="dxa"/>
            <w:right w:w="108" w:type="dxa"/>
          </w:tblCellMar>
        </w:tblPrEx>
        <w:trPr>
          <w:trHeight w:val="288"/>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2</w:t>
            </w:r>
          </w:p>
        </w:tc>
        <w:tc>
          <w:tcPr>
            <w:tcW w:w="182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 xml:space="preserve">人工智能+教育与体育赛道备赛指导平台 </w:t>
            </w:r>
          </w:p>
        </w:tc>
        <w:tc>
          <w:tcPr>
            <w:tcW w:w="727"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1</w:t>
            </w:r>
          </w:p>
        </w:tc>
        <w:tc>
          <w:tcPr>
            <w:tcW w:w="74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套</w:t>
            </w:r>
          </w:p>
        </w:tc>
        <w:tc>
          <w:tcPr>
            <w:tcW w:w="1152"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49800</w:t>
            </w:r>
          </w:p>
        </w:tc>
        <w:tc>
          <w:tcPr>
            <w:tcW w:w="1486"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49800</w:t>
            </w:r>
          </w:p>
        </w:tc>
        <w:tc>
          <w:tcPr>
            <w:tcW w:w="824" w:type="dxa"/>
            <w:vMerge/>
            <w:noWrap w:val="0"/>
            <w:vAlign w:val="center"/>
          </w:tcPr>
          <w:p>
            <w:pPr>
              <w:jc w:val="center"/>
              <w:rPr>
                <w:rFonts w:ascii="宋体" w:eastAsia="宋体" w:hAnsi="宋体" w:cs="宋体" w:hint="eastAsia"/>
                <w:b/>
                <w:bCs/>
                <w:color w:val="FF0000"/>
                <w:sz w:val="21"/>
                <w:szCs w:val="21"/>
              </w:rPr>
            </w:pPr>
          </w:p>
        </w:tc>
        <w:tc>
          <w:tcPr>
            <w:tcW w:w="1272" w:type="dxa"/>
            <w:vMerge/>
            <w:noWrap w:val="0"/>
            <w:vAlign w:val="center"/>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288"/>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182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VR眼镜</w:t>
            </w:r>
          </w:p>
        </w:tc>
        <w:tc>
          <w:tcPr>
            <w:tcW w:w="727"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6</w:t>
            </w:r>
          </w:p>
        </w:tc>
        <w:tc>
          <w:tcPr>
            <w:tcW w:w="74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套</w:t>
            </w:r>
          </w:p>
        </w:tc>
        <w:tc>
          <w:tcPr>
            <w:tcW w:w="1152"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7000</w:t>
            </w:r>
          </w:p>
        </w:tc>
        <w:tc>
          <w:tcPr>
            <w:tcW w:w="1486"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42000</w:t>
            </w:r>
          </w:p>
        </w:tc>
        <w:tc>
          <w:tcPr>
            <w:tcW w:w="824" w:type="dxa"/>
            <w:vMerge/>
            <w:noWrap w:val="0"/>
            <w:vAlign w:val="center"/>
          </w:tcPr>
          <w:p>
            <w:pPr>
              <w:jc w:val="center"/>
              <w:rPr>
                <w:rFonts w:ascii="宋体" w:eastAsia="宋体" w:hAnsi="宋体" w:cs="宋体" w:hint="eastAsia"/>
                <w:b/>
                <w:bCs/>
                <w:color w:val="FF0000"/>
                <w:sz w:val="21"/>
                <w:szCs w:val="21"/>
              </w:rPr>
            </w:pPr>
          </w:p>
        </w:tc>
        <w:tc>
          <w:tcPr>
            <w:tcW w:w="1272" w:type="dxa"/>
            <w:vMerge/>
            <w:noWrap w:val="0"/>
            <w:vAlign w:val="center"/>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288"/>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w:t>
            </w:r>
          </w:p>
        </w:tc>
        <w:tc>
          <w:tcPr>
            <w:tcW w:w="182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充电柜</w:t>
            </w:r>
          </w:p>
        </w:tc>
        <w:tc>
          <w:tcPr>
            <w:tcW w:w="727"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1</w:t>
            </w:r>
          </w:p>
        </w:tc>
        <w:tc>
          <w:tcPr>
            <w:tcW w:w="74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套</w:t>
            </w:r>
          </w:p>
        </w:tc>
        <w:tc>
          <w:tcPr>
            <w:tcW w:w="1152"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8000</w:t>
            </w:r>
          </w:p>
        </w:tc>
        <w:tc>
          <w:tcPr>
            <w:tcW w:w="1486"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8000</w:t>
            </w:r>
          </w:p>
        </w:tc>
        <w:tc>
          <w:tcPr>
            <w:tcW w:w="824" w:type="dxa"/>
            <w:vMerge/>
            <w:noWrap w:val="0"/>
            <w:vAlign w:val="center"/>
          </w:tcPr>
          <w:p>
            <w:pPr>
              <w:jc w:val="center"/>
              <w:rPr>
                <w:rFonts w:ascii="宋体" w:eastAsia="宋体" w:hAnsi="宋体" w:cs="宋体" w:hint="eastAsia"/>
                <w:b/>
                <w:bCs/>
                <w:color w:val="FF0000"/>
                <w:sz w:val="21"/>
                <w:szCs w:val="21"/>
              </w:rPr>
            </w:pPr>
          </w:p>
        </w:tc>
        <w:tc>
          <w:tcPr>
            <w:tcW w:w="1272" w:type="dxa"/>
            <w:vMerge/>
            <w:noWrap w:val="0"/>
            <w:vAlign w:val="center"/>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288"/>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5</w:t>
            </w:r>
          </w:p>
        </w:tc>
        <w:tc>
          <w:tcPr>
            <w:tcW w:w="182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托幼机构保教环境创设</w:t>
            </w:r>
          </w:p>
        </w:tc>
        <w:tc>
          <w:tcPr>
            <w:tcW w:w="727"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1</w:t>
            </w:r>
          </w:p>
        </w:tc>
        <w:tc>
          <w:tcPr>
            <w:tcW w:w="74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套</w:t>
            </w:r>
          </w:p>
        </w:tc>
        <w:tc>
          <w:tcPr>
            <w:tcW w:w="1152"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158000</w:t>
            </w:r>
          </w:p>
        </w:tc>
        <w:tc>
          <w:tcPr>
            <w:tcW w:w="1486"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158000</w:t>
            </w:r>
          </w:p>
        </w:tc>
        <w:tc>
          <w:tcPr>
            <w:tcW w:w="824" w:type="dxa"/>
            <w:vMerge/>
            <w:noWrap w:val="0"/>
            <w:vAlign w:val="center"/>
          </w:tcPr>
          <w:p>
            <w:pPr>
              <w:jc w:val="center"/>
              <w:rPr>
                <w:rFonts w:ascii="宋体" w:eastAsia="宋体" w:hAnsi="宋体" w:cs="宋体" w:hint="eastAsia"/>
                <w:b/>
                <w:bCs/>
                <w:color w:val="FF0000"/>
                <w:sz w:val="21"/>
                <w:szCs w:val="21"/>
              </w:rPr>
            </w:pPr>
          </w:p>
        </w:tc>
        <w:tc>
          <w:tcPr>
            <w:tcW w:w="1272" w:type="dxa"/>
            <w:vMerge/>
            <w:noWrap w:val="0"/>
            <w:vAlign w:val="center"/>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288"/>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6</w:t>
            </w:r>
          </w:p>
        </w:tc>
        <w:tc>
          <w:tcPr>
            <w:tcW w:w="182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学龄前儿童保教技能大赛学习题库</w:t>
            </w:r>
          </w:p>
        </w:tc>
        <w:tc>
          <w:tcPr>
            <w:tcW w:w="727"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1</w:t>
            </w:r>
          </w:p>
        </w:tc>
        <w:tc>
          <w:tcPr>
            <w:tcW w:w="74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套</w:t>
            </w:r>
          </w:p>
        </w:tc>
        <w:tc>
          <w:tcPr>
            <w:tcW w:w="1152"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119800</w:t>
            </w:r>
          </w:p>
        </w:tc>
        <w:tc>
          <w:tcPr>
            <w:tcW w:w="1486"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119800</w:t>
            </w:r>
          </w:p>
        </w:tc>
        <w:tc>
          <w:tcPr>
            <w:tcW w:w="824" w:type="dxa"/>
            <w:vMerge/>
            <w:noWrap w:val="0"/>
            <w:vAlign w:val="center"/>
          </w:tcPr>
          <w:p>
            <w:pPr>
              <w:jc w:val="center"/>
              <w:rPr>
                <w:rFonts w:ascii="宋体" w:eastAsia="宋体" w:hAnsi="宋体" w:cs="宋体" w:hint="eastAsia"/>
                <w:b/>
                <w:bCs/>
                <w:color w:val="FF0000"/>
                <w:sz w:val="21"/>
                <w:szCs w:val="21"/>
              </w:rPr>
            </w:pPr>
          </w:p>
        </w:tc>
        <w:tc>
          <w:tcPr>
            <w:tcW w:w="1272" w:type="dxa"/>
            <w:vMerge/>
            <w:noWrap w:val="0"/>
            <w:vAlign w:val="center"/>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288"/>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7</w:t>
            </w:r>
          </w:p>
        </w:tc>
        <w:tc>
          <w:tcPr>
            <w:tcW w:w="182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物料包</w:t>
            </w:r>
          </w:p>
        </w:tc>
        <w:tc>
          <w:tcPr>
            <w:tcW w:w="727"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1</w:t>
            </w:r>
          </w:p>
        </w:tc>
        <w:tc>
          <w:tcPr>
            <w:tcW w:w="74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套</w:t>
            </w:r>
          </w:p>
        </w:tc>
        <w:tc>
          <w:tcPr>
            <w:tcW w:w="1152"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934</w:t>
            </w:r>
          </w:p>
        </w:tc>
        <w:tc>
          <w:tcPr>
            <w:tcW w:w="1486"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934</w:t>
            </w:r>
          </w:p>
        </w:tc>
        <w:tc>
          <w:tcPr>
            <w:tcW w:w="824" w:type="dxa"/>
            <w:vMerge/>
            <w:noWrap w:val="0"/>
            <w:vAlign w:val="center"/>
          </w:tcPr>
          <w:p>
            <w:pPr>
              <w:jc w:val="center"/>
              <w:rPr>
                <w:rFonts w:ascii="宋体" w:eastAsia="宋体" w:hAnsi="宋体" w:cs="宋体" w:hint="eastAsia"/>
                <w:b/>
                <w:bCs/>
                <w:color w:val="FF0000"/>
                <w:sz w:val="21"/>
                <w:szCs w:val="21"/>
              </w:rPr>
            </w:pPr>
          </w:p>
        </w:tc>
        <w:tc>
          <w:tcPr>
            <w:tcW w:w="1272" w:type="dxa"/>
            <w:vMerge/>
            <w:noWrap w:val="0"/>
            <w:vAlign w:val="center"/>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288"/>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8</w:t>
            </w:r>
          </w:p>
        </w:tc>
        <w:tc>
          <w:tcPr>
            <w:tcW w:w="182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模拟幼儿盥洗水池</w:t>
            </w:r>
          </w:p>
        </w:tc>
        <w:tc>
          <w:tcPr>
            <w:tcW w:w="727"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1</w:t>
            </w:r>
          </w:p>
        </w:tc>
        <w:tc>
          <w:tcPr>
            <w:tcW w:w="744" w:type="dxa"/>
            <w:noWrap w:val="0"/>
            <w:vAlign w:val="center"/>
          </w:tcPr>
          <w:p>
            <w:pPr>
              <w:widowControl/>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bidi="ar"/>
              </w:rPr>
              <w:t>个</w:t>
            </w:r>
          </w:p>
        </w:tc>
        <w:tc>
          <w:tcPr>
            <w:tcW w:w="1152"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450</w:t>
            </w:r>
          </w:p>
        </w:tc>
        <w:tc>
          <w:tcPr>
            <w:tcW w:w="1486" w:type="dxa"/>
            <w:noWrap w:val="0"/>
            <w:vAlign w:val="center"/>
          </w:tcPr>
          <w:p>
            <w:pPr>
              <w:widowControl/>
              <w:jc w:val="center"/>
              <w:textAlignment w:val="center"/>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450</w:t>
            </w:r>
          </w:p>
        </w:tc>
        <w:tc>
          <w:tcPr>
            <w:tcW w:w="824" w:type="dxa"/>
            <w:vMerge/>
            <w:noWrap w:val="0"/>
            <w:vAlign w:val="center"/>
          </w:tcPr>
          <w:p>
            <w:pPr>
              <w:jc w:val="center"/>
              <w:rPr>
                <w:rFonts w:ascii="宋体" w:eastAsia="宋体" w:hAnsi="宋体" w:cs="宋体" w:hint="eastAsia"/>
                <w:b/>
                <w:bCs/>
                <w:color w:val="FF0000"/>
                <w:sz w:val="21"/>
                <w:szCs w:val="21"/>
              </w:rPr>
            </w:pPr>
          </w:p>
        </w:tc>
        <w:tc>
          <w:tcPr>
            <w:tcW w:w="1272" w:type="dxa"/>
            <w:vMerge/>
            <w:noWrap w:val="0"/>
            <w:vAlign w:val="center"/>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323"/>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合计</w:t>
            </w:r>
          </w:p>
        </w:tc>
        <w:tc>
          <w:tcPr>
            <w:tcW w:w="182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w:t>
            </w:r>
          </w:p>
        </w:tc>
        <w:tc>
          <w:tcPr>
            <w:tcW w:w="727"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w:t>
            </w:r>
          </w:p>
        </w:tc>
        <w:tc>
          <w:tcPr>
            <w:tcW w:w="74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w:t>
            </w:r>
          </w:p>
        </w:tc>
        <w:tc>
          <w:tcPr>
            <w:tcW w:w="1152"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w:t>
            </w:r>
          </w:p>
        </w:tc>
        <w:tc>
          <w:tcPr>
            <w:tcW w:w="1486" w:type="dxa"/>
            <w:noWrap w:val="0"/>
            <w:vAlign w:val="center"/>
          </w:tcPr>
          <w:p>
            <w:pPr>
              <w:jc w:val="center"/>
              <w:rPr>
                <w:rFonts w:ascii="宋体" w:eastAsia="宋体" w:hAnsi="宋体" w:cs="宋体" w:hint="eastAsia"/>
                <w:bCs/>
                <w:sz w:val="21"/>
                <w:szCs w:val="21"/>
              </w:rPr>
            </w:pPr>
            <w:r>
              <w:rPr>
                <w:rFonts w:ascii="宋体" w:eastAsia="宋体" w:hAnsi="宋体" w:cs="宋体" w:hint="eastAsia"/>
                <w:color w:val="000000"/>
                <w:sz w:val="21"/>
                <w:szCs w:val="21"/>
                <w:lang w:bidi="ar"/>
              </w:rPr>
              <w:t>976984</w:t>
            </w:r>
          </w:p>
        </w:tc>
        <w:tc>
          <w:tcPr>
            <w:tcW w:w="824" w:type="dxa"/>
            <w:noWrap w:val="0"/>
            <w:vAlign w:val="center"/>
          </w:tcPr>
          <w:p>
            <w:pPr>
              <w:jc w:val="center"/>
              <w:rPr>
                <w:rFonts w:ascii="宋体" w:eastAsia="宋体" w:hAnsi="宋体" w:cs="宋体" w:hint="eastAsia"/>
                <w:bCs/>
                <w:sz w:val="21"/>
                <w:szCs w:val="21"/>
              </w:rPr>
            </w:pPr>
          </w:p>
        </w:tc>
        <w:tc>
          <w:tcPr>
            <w:tcW w:w="1272" w:type="dxa"/>
            <w:vMerge/>
            <w:noWrap w:val="0"/>
            <w:vAlign w:val="center"/>
          </w:tcPr>
          <w:p>
            <w:pPr>
              <w:jc w:val="center"/>
              <w:rPr>
                <w:rFonts w:ascii="宋体" w:eastAsia="宋体" w:hAnsi="宋体" w:cs="宋体" w:hint="eastAsia"/>
                <w:bCs/>
                <w:sz w:val="21"/>
                <w:szCs w:val="21"/>
              </w:rPr>
            </w:pPr>
          </w:p>
        </w:tc>
      </w:tr>
    </w:tbl>
    <w:p>
      <w:pPr>
        <w:spacing w:after="120" w:line="360" w:lineRule="auto"/>
        <w:ind w:firstLine="480" w:firstLineChars="200"/>
        <w:rPr>
          <w:rFonts w:ascii="宋体" w:hAnsi="宋体"/>
          <w:b/>
          <w:color w:val="000000"/>
          <w:szCs w:val="21"/>
        </w:rPr>
      </w:pPr>
    </w:p>
    <w:p>
      <w:pPr>
        <w:spacing w:after="120" w:line="360" w:lineRule="auto"/>
        <w:ind w:firstLine="420" w:firstLineChars="200"/>
        <w:rPr>
          <w:rFonts w:ascii="宋体" w:hAnsi="宋体"/>
          <w:b/>
          <w:color w:val="000000"/>
          <w:sz w:val="21"/>
          <w:szCs w:val="21"/>
          <w:lang w:eastAsia="zh-CN"/>
        </w:rPr>
      </w:pPr>
      <w:r>
        <w:rPr>
          <w:rFonts w:ascii="宋体" w:hAnsi="宋体" w:hint="eastAsia"/>
          <w:b/>
          <w:color w:val="000000"/>
          <w:sz w:val="21"/>
          <w:szCs w:val="21"/>
          <w:lang w:eastAsia="zh-CN"/>
        </w:rPr>
        <w:t>1、本项目总预算为976984.00元。投标总价不得超过项目总预算限额，分项报价不得超过相应单价限额。</w:t>
      </w:r>
    </w:p>
    <w:p>
      <w:pPr>
        <w:spacing w:after="120" w:line="360" w:lineRule="auto"/>
        <w:ind w:firstLine="420" w:firstLineChars="200"/>
        <w:rPr>
          <w:rFonts w:ascii="宋体" w:hAnsi="宋体"/>
          <w:b/>
          <w:color w:val="000000"/>
          <w:sz w:val="21"/>
          <w:szCs w:val="21"/>
          <w:lang w:eastAsia="zh-CN"/>
        </w:rPr>
      </w:pPr>
      <w:r>
        <w:rPr>
          <w:rFonts w:ascii="宋体" w:hAnsi="宋体" w:hint="eastAsia"/>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rPr>
          <w:b/>
          <w:sz w:val="21"/>
          <w:szCs w:val="21"/>
          <w:lang w:eastAsia="zh-CN"/>
        </w:rPr>
      </w:pPr>
      <w:r>
        <w:rPr>
          <w:rFonts w:ascii="宋体" w:hAnsi="宋体" w:hint="eastAsia"/>
          <w:color w:val="000000"/>
          <w:sz w:val="21"/>
          <w:szCs w:val="21"/>
          <w:lang w:eastAsia="zh-CN"/>
        </w:rPr>
        <w:t xml:space="preserve">    </w:t>
      </w:r>
      <w:r>
        <w:rPr>
          <w:rFonts w:ascii="宋体" w:hAnsi="宋体" w:hint="eastAsia"/>
          <w:b/>
          <w:color w:val="000000"/>
          <w:sz w:val="21"/>
          <w:szCs w:val="21"/>
          <w:lang w:eastAsia="zh-CN"/>
        </w:rPr>
        <w:t>3、核心产品：</w:t>
      </w:r>
      <w:r>
        <w:rPr>
          <w:rFonts w:ascii="宋体" w:hAnsi="宋体" w:hint="eastAsia"/>
          <w:b/>
          <w:color w:val="000000"/>
          <w:sz w:val="21"/>
          <w:szCs w:val="21"/>
          <w:u w:val="single"/>
          <w:lang w:eastAsia="zh-CN"/>
        </w:rPr>
        <w:t>虚拟仿真幼儿园</w:t>
      </w:r>
    </w:p>
    <w:p>
      <w:pPr>
        <w:widowControl w:val="0"/>
        <w:spacing w:after="120" w:line="360" w:lineRule="auto"/>
        <w:ind w:firstLine="420" w:firstLineChars="200"/>
        <w:jc w:val="both"/>
        <w:rPr>
          <w:rFonts w:ascii="宋体" w:eastAsia="宋体" w:hAnsi="宋体" w:hint="eastAsia"/>
          <w:b/>
          <w:color w:val="000000"/>
          <w:sz w:val="21"/>
          <w:szCs w:val="21"/>
          <w:u w:val="single"/>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6"/>
        <w:gridCol w:w="817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trPr>
        <w:tc>
          <w:tcPr>
            <w:tcW w:w="711"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序号</w:t>
            </w:r>
          </w:p>
        </w:tc>
        <w:tc>
          <w:tcPr>
            <w:tcW w:w="8614"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11"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w:t>
            </w:r>
          </w:p>
        </w:tc>
        <w:tc>
          <w:tcPr>
            <w:tcW w:w="8614"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67"/>
        <w:gridCol w:w="1629"/>
        <w:gridCol w:w="596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目录</w:t>
            </w:r>
          </w:p>
        </w:tc>
        <w:tc>
          <w:tcPr>
            <w:tcW w:w="5928"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采购商务需求</w:t>
            </w:r>
          </w:p>
        </w:tc>
      </w:tr>
      <w:tr>
        <w:tblPrEx>
          <w:tblW w:w="5000" w:type="pct"/>
          <w:tblInd w:w="0" w:type="dxa"/>
          <w:tblLayout w:type="fixed"/>
          <w:tblCellMar>
            <w:top w:w="0" w:type="dxa"/>
            <w:left w:w="108" w:type="dxa"/>
            <w:bottom w:w="0" w:type="dxa"/>
            <w:right w:w="108" w:type="dxa"/>
          </w:tblCellMar>
        </w:tblPrEx>
        <w:trPr>
          <w:trHeight w:val="280"/>
        </w:trPr>
        <w:tc>
          <w:tcPr>
            <w:tcW w:w="8808"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0" w:type="dxa"/>
          <w:tblLayout w:type="fixed"/>
          <w:tblCellMar>
            <w:top w:w="0" w:type="dxa"/>
            <w:left w:w="108" w:type="dxa"/>
            <w:bottom w:w="0" w:type="dxa"/>
            <w:right w:w="108" w:type="dxa"/>
          </w:tblCellMar>
        </w:tblPrEx>
        <w:trPr>
          <w:trHeight w:val="150"/>
        </w:trPr>
        <w:tc>
          <w:tcPr>
            <w:tcW w:w="126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1620" w:type="dxa"/>
            <w:noWrap w:val="0"/>
            <w:vAlign w:val="center"/>
          </w:tcPr>
          <w:p>
            <w:pPr>
              <w:rPr>
                <w:rFonts w:ascii="宋体" w:eastAsia="宋体" w:hAnsi="宋体" w:cs="宋体" w:hint="eastAsia"/>
                <w:sz w:val="21"/>
                <w:szCs w:val="21"/>
              </w:rPr>
            </w:pPr>
            <w:r>
              <w:rPr>
                <w:rFonts w:ascii="宋体" w:eastAsia="宋体" w:hAnsi="宋体" w:cs="宋体" w:hint="eastAsia"/>
                <w:sz w:val="21"/>
                <w:szCs w:val="21"/>
              </w:rPr>
              <w:t>免费保修期</w:t>
            </w:r>
          </w:p>
        </w:tc>
        <w:tc>
          <w:tcPr>
            <w:tcW w:w="5928"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w:t>
            </w:r>
            <w:r>
              <w:rPr>
                <w:rFonts w:ascii="宋体" w:eastAsia="宋体" w:hAnsi="宋体" w:cs="宋体" w:hint="eastAsia"/>
                <w:bCs/>
                <w:sz w:val="21"/>
                <w:szCs w:val="21"/>
              </w:rPr>
              <w:t>货物免费保修期至少</w:t>
            </w:r>
            <w:r>
              <w:rPr>
                <w:rFonts w:ascii="宋体" w:eastAsia="宋体" w:hAnsi="宋体" w:cs="宋体" w:hint="eastAsia"/>
                <w:bCs/>
                <w:sz w:val="21"/>
                <w:szCs w:val="21"/>
                <w:lang w:eastAsia="zh-CN"/>
              </w:rPr>
              <w:t>3</w:t>
            </w:r>
            <w:r>
              <w:rPr>
                <w:rFonts w:ascii="宋体" w:eastAsia="宋体" w:hAnsi="宋体" w:cs="宋体" w:hint="eastAsia"/>
                <w:bCs/>
                <w:sz w:val="21"/>
                <w:szCs w:val="21"/>
              </w:rPr>
              <w:t>年，时间自最终验收合格并交付使用之日起计算。</w:t>
            </w:r>
          </w:p>
        </w:tc>
      </w:tr>
      <w:tr>
        <w:tblPrEx>
          <w:tblW w:w="5000" w:type="pct"/>
          <w:tblInd w:w="0" w:type="dxa"/>
          <w:tblLayout w:type="fixed"/>
          <w:tblCellMar>
            <w:top w:w="0" w:type="dxa"/>
            <w:left w:w="108" w:type="dxa"/>
            <w:bottom w:w="0" w:type="dxa"/>
            <w:right w:w="108" w:type="dxa"/>
          </w:tblCellMar>
        </w:tblPrEx>
        <w:trPr>
          <w:trHeight w:val="320"/>
        </w:trPr>
        <w:tc>
          <w:tcPr>
            <w:tcW w:w="126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2</w:t>
            </w:r>
          </w:p>
        </w:tc>
        <w:tc>
          <w:tcPr>
            <w:tcW w:w="1620" w:type="dxa"/>
            <w:noWrap w:val="0"/>
            <w:vAlign w:val="top"/>
          </w:tcPr>
          <w:p>
            <w:pPr>
              <w:rPr>
                <w:rFonts w:ascii="宋体" w:eastAsia="宋体" w:hAnsi="宋体" w:cs="宋体" w:hint="eastAsia"/>
                <w:sz w:val="21"/>
                <w:szCs w:val="21"/>
              </w:rPr>
            </w:pPr>
            <w:r>
              <w:rPr>
                <w:rFonts w:ascii="宋体" w:eastAsia="宋体" w:hAnsi="宋体" w:cs="宋体" w:hint="eastAsia"/>
                <w:sz w:val="21"/>
                <w:szCs w:val="21"/>
              </w:rPr>
              <w:t>维修响应及故障解决时间</w:t>
            </w:r>
          </w:p>
        </w:tc>
        <w:tc>
          <w:tcPr>
            <w:tcW w:w="5928"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投标人承诺中标后，在保修期内，一旦发生质量问题，投标人保证在接到通知24小时内赶到现场进行修理或更换。</w:t>
            </w:r>
          </w:p>
        </w:tc>
      </w:tr>
      <w:tr>
        <w:tblPrEx>
          <w:tblW w:w="5000" w:type="pct"/>
          <w:tblInd w:w="0" w:type="dxa"/>
          <w:tblLayout w:type="fixed"/>
          <w:tblCellMar>
            <w:top w:w="0" w:type="dxa"/>
            <w:left w:w="108" w:type="dxa"/>
            <w:bottom w:w="0" w:type="dxa"/>
            <w:right w:w="108" w:type="dxa"/>
          </w:tblCellMar>
        </w:tblPrEx>
        <w:trPr>
          <w:trHeight w:val="523"/>
        </w:trPr>
        <w:tc>
          <w:tcPr>
            <w:tcW w:w="126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1620" w:type="dxa"/>
            <w:noWrap w:val="0"/>
            <w:vAlign w:val="center"/>
          </w:tcPr>
          <w:p>
            <w:pPr>
              <w:rPr>
                <w:rFonts w:ascii="宋体" w:eastAsia="宋体" w:hAnsi="宋体" w:cs="宋体" w:hint="eastAsia"/>
                <w:b/>
                <w:sz w:val="21"/>
                <w:szCs w:val="21"/>
              </w:rPr>
            </w:pPr>
            <w:r>
              <w:rPr>
                <w:rFonts w:ascii="宋体" w:eastAsia="宋体" w:hAnsi="宋体" w:cs="宋体" w:hint="eastAsia"/>
                <w:sz w:val="21"/>
                <w:szCs w:val="21"/>
              </w:rPr>
              <w:t>其他</w:t>
            </w:r>
          </w:p>
        </w:tc>
        <w:tc>
          <w:tcPr>
            <w:tcW w:w="5928" w:type="dxa"/>
            <w:noWrap w:val="0"/>
            <w:vAlign w:val="center"/>
          </w:tcPr>
          <w:p>
            <w:pPr>
              <w:rPr>
                <w:rFonts w:ascii="宋体" w:eastAsia="宋体" w:hAnsi="宋体" w:cs="宋体" w:hint="eastAsia"/>
                <w:b/>
                <w:sz w:val="21"/>
                <w:szCs w:val="21"/>
              </w:rPr>
            </w:pPr>
            <w:r>
              <w:rPr>
                <w:rFonts w:ascii="宋体" w:eastAsia="宋体" w:hAnsi="宋体" w:cs="宋体" w:hint="eastAsia"/>
                <w:bCs/>
                <w:sz w:val="21"/>
                <w:szCs w:val="21"/>
              </w:rPr>
              <w:t>投标人中标后，应按其投标文件中的承诺，进行其他售后服务工作。</w:t>
            </w:r>
          </w:p>
        </w:tc>
      </w:tr>
      <w:tr>
        <w:tblPrEx>
          <w:tblW w:w="5000" w:type="pct"/>
          <w:tblInd w:w="0" w:type="dxa"/>
          <w:tblLayout w:type="fixed"/>
          <w:tblCellMar>
            <w:top w:w="0" w:type="dxa"/>
            <w:left w:w="108" w:type="dxa"/>
            <w:bottom w:w="0" w:type="dxa"/>
            <w:right w:w="108" w:type="dxa"/>
          </w:tblCellMar>
        </w:tblPrEx>
        <w:trPr>
          <w:trHeight w:val="280"/>
        </w:trPr>
        <w:tc>
          <w:tcPr>
            <w:tcW w:w="8808"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（二）免费保修期外售后服务要求</w:t>
            </w:r>
          </w:p>
        </w:tc>
      </w:tr>
      <w:tr>
        <w:tblPrEx>
          <w:tblW w:w="5000" w:type="pct"/>
          <w:tblInd w:w="0"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1620" w:type="dxa"/>
            <w:noWrap w:val="0"/>
            <w:vAlign w:val="top"/>
          </w:tcPr>
          <w:p>
            <w:pPr>
              <w:rPr>
                <w:rFonts w:ascii="宋体" w:eastAsia="宋体" w:hAnsi="宋体" w:cs="宋体" w:hint="eastAsia"/>
                <w:sz w:val="21"/>
                <w:szCs w:val="21"/>
              </w:rPr>
            </w:pPr>
          </w:p>
          <w:p>
            <w:pPr>
              <w:rPr>
                <w:rFonts w:ascii="宋体" w:eastAsia="宋体" w:hAnsi="宋体" w:cs="宋体" w:hint="eastAsia"/>
                <w:b/>
                <w:sz w:val="21"/>
                <w:szCs w:val="21"/>
              </w:rPr>
            </w:pPr>
            <w:r>
              <w:rPr>
                <w:rFonts w:ascii="宋体" w:eastAsia="宋体" w:hAnsi="宋体" w:cs="宋体" w:hint="eastAsia"/>
                <w:sz w:val="21"/>
                <w:szCs w:val="21"/>
              </w:rPr>
              <w:t>上门维护服务</w:t>
            </w:r>
          </w:p>
        </w:tc>
        <w:tc>
          <w:tcPr>
            <w:tcW w:w="5928"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投标人提供终身有偿上门维护服务。保证保修期以后对用户的零配件供应。保修期后设备维修配件更换只收取成本费用。</w:t>
            </w:r>
          </w:p>
        </w:tc>
      </w:tr>
      <w:tr>
        <w:tblPrEx>
          <w:tblW w:w="5000" w:type="pct"/>
          <w:tblInd w:w="0"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2</w:t>
            </w:r>
          </w:p>
        </w:tc>
        <w:tc>
          <w:tcPr>
            <w:tcW w:w="1620" w:type="dxa"/>
            <w:noWrap w:val="0"/>
            <w:vAlign w:val="top"/>
          </w:tcPr>
          <w:p>
            <w:pPr>
              <w:rPr>
                <w:rFonts w:ascii="宋体" w:eastAsia="宋体" w:hAnsi="宋体" w:cs="宋体" w:hint="eastAsia"/>
                <w:b/>
                <w:sz w:val="21"/>
                <w:szCs w:val="21"/>
              </w:rPr>
            </w:pPr>
          </w:p>
          <w:p>
            <w:pPr>
              <w:rPr>
                <w:rFonts w:ascii="宋体" w:eastAsia="宋体" w:hAnsi="宋体" w:cs="宋体" w:hint="eastAsia"/>
                <w:b/>
                <w:sz w:val="21"/>
                <w:szCs w:val="21"/>
              </w:rPr>
            </w:pPr>
          </w:p>
          <w:p>
            <w:pPr>
              <w:rPr>
                <w:rFonts w:ascii="宋体" w:eastAsia="宋体" w:hAnsi="宋体" w:cs="宋体" w:hint="eastAsia"/>
                <w:b/>
                <w:sz w:val="21"/>
                <w:szCs w:val="21"/>
              </w:rPr>
            </w:pPr>
            <w:r>
              <w:rPr>
                <w:rFonts w:ascii="宋体" w:eastAsia="宋体" w:hAnsi="宋体" w:cs="宋体" w:hint="eastAsia"/>
                <w:sz w:val="21"/>
                <w:szCs w:val="21"/>
              </w:rPr>
              <w:t>关于知识产权</w:t>
            </w:r>
          </w:p>
        </w:tc>
        <w:tc>
          <w:tcPr>
            <w:tcW w:w="5928"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的同时不得耽误本项目供货。</w:t>
            </w:r>
          </w:p>
        </w:tc>
      </w:tr>
      <w:tr>
        <w:tblPrEx>
          <w:tblW w:w="5000" w:type="pct"/>
          <w:tblInd w:w="0" w:type="dxa"/>
          <w:tblLayout w:type="fixed"/>
          <w:tblCellMar>
            <w:top w:w="0" w:type="dxa"/>
            <w:left w:w="108" w:type="dxa"/>
            <w:bottom w:w="0" w:type="dxa"/>
            <w:right w:w="108" w:type="dxa"/>
          </w:tblCellMar>
        </w:tblPrEx>
        <w:trPr>
          <w:trHeight w:val="350"/>
        </w:trPr>
        <w:tc>
          <w:tcPr>
            <w:tcW w:w="8808"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tblInd w:w="0"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关于交货</w:t>
            </w:r>
          </w:p>
        </w:tc>
        <w:tc>
          <w:tcPr>
            <w:tcW w:w="5928"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1.1</w:t>
            </w:r>
            <w:r>
              <w:rPr>
                <w:rFonts w:ascii="宋体" w:eastAsia="宋体" w:hAnsi="宋体" w:cs="宋体" w:hint="eastAsia"/>
                <w:sz w:val="21"/>
                <w:szCs w:val="21"/>
              </w:rPr>
              <w:t>★</w:t>
            </w:r>
            <w:r>
              <w:rPr>
                <w:rFonts w:ascii="宋体" w:eastAsia="宋体" w:hAnsi="宋体" w:cs="宋体" w:hint="eastAsia"/>
                <w:bCs/>
                <w:sz w:val="21"/>
                <w:szCs w:val="21"/>
              </w:rPr>
              <w:t>签订合同后</w:t>
            </w:r>
            <w:r>
              <w:rPr>
                <w:rFonts w:ascii="宋体" w:eastAsia="宋体" w:hAnsi="宋体" w:cs="宋体" w:hint="eastAsia"/>
                <w:bCs/>
                <w:sz w:val="21"/>
                <w:szCs w:val="21"/>
                <w:lang w:eastAsia="zh-CN"/>
              </w:rPr>
              <w:t>15</w:t>
            </w:r>
            <w:r>
              <w:rPr>
                <w:rFonts w:ascii="宋体" w:eastAsia="宋体" w:hAnsi="宋体" w:cs="宋体" w:hint="eastAsia"/>
                <w:bCs/>
                <w:sz w:val="21"/>
                <w:szCs w:val="21"/>
              </w:rPr>
              <w:t>天（日历日）内。</w:t>
            </w:r>
          </w:p>
        </w:tc>
      </w:tr>
      <w:tr>
        <w:tblPrEx>
          <w:tblW w:w="5000" w:type="pct"/>
          <w:tblInd w:w="0" w:type="dxa"/>
          <w:tblLayout w:type="fixed"/>
          <w:tblCellMar>
            <w:top w:w="0" w:type="dxa"/>
            <w:left w:w="108" w:type="dxa"/>
            <w:bottom w:w="0" w:type="dxa"/>
            <w:right w:w="108" w:type="dxa"/>
          </w:tblCellMar>
        </w:tblPrEx>
        <w:trPr>
          <w:trHeight w:val="451"/>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sz w:val="21"/>
                <w:szCs w:val="21"/>
              </w:rPr>
            </w:pPr>
          </w:p>
        </w:tc>
        <w:tc>
          <w:tcPr>
            <w:tcW w:w="5928"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1.2投标人中标后，必须承担设备运输、安装调试、验收检测和提供设备操作说明书、图纸等其他类似的义务。</w:t>
            </w:r>
          </w:p>
        </w:tc>
      </w:tr>
      <w:tr>
        <w:tblPrEx>
          <w:tblW w:w="5000" w:type="pct"/>
          <w:tblInd w:w="0"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2</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关于验收</w:t>
            </w:r>
          </w:p>
        </w:tc>
        <w:tc>
          <w:tcPr>
            <w:tcW w:w="5928"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2.1投标人中标后，其货物经过双方检验认可后，签署验收报告，产品保修期自验收合格之日起算，由投标人提供产品保修文件。</w:t>
            </w:r>
          </w:p>
        </w:tc>
      </w:tr>
      <w:tr>
        <w:tblPrEx>
          <w:tblW w:w="5000" w:type="pct"/>
          <w:tblInd w:w="0"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
                <w:sz w:val="21"/>
                <w:szCs w:val="21"/>
              </w:rPr>
            </w:pPr>
          </w:p>
        </w:tc>
        <w:tc>
          <w:tcPr>
            <w:tcW w:w="1620" w:type="dxa"/>
            <w:vMerge/>
            <w:noWrap w:val="0"/>
            <w:vAlign w:val="top"/>
          </w:tcPr>
          <w:p>
            <w:pPr>
              <w:rPr>
                <w:rFonts w:ascii="宋体" w:eastAsia="宋体" w:hAnsi="宋体" w:cs="宋体" w:hint="eastAsia"/>
                <w:b/>
                <w:sz w:val="21"/>
                <w:szCs w:val="21"/>
              </w:rPr>
            </w:pPr>
          </w:p>
        </w:tc>
        <w:tc>
          <w:tcPr>
            <w:tcW w:w="5928"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2.2投标人中标后，当满足以下条件时，采购人才向投标人签发货物验收报告：</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a、投标人已按照合同规定提供了全部产品及完整的技术资料。</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b、货物符合采购文件技术规格书的要求，性能满足要求。</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c、货物具备产品合格证。</w:t>
            </w:r>
          </w:p>
        </w:tc>
      </w:tr>
      <w:tr>
        <w:tblPrEx>
          <w:tblW w:w="5000" w:type="pct"/>
          <w:tblInd w:w="0"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162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违约责任</w:t>
            </w:r>
          </w:p>
        </w:tc>
        <w:tc>
          <w:tcPr>
            <w:tcW w:w="5928"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sz w:val="21"/>
                <w:szCs w:val="21"/>
              </w:rPr>
              <w:t>3.1如</w:t>
            </w:r>
            <w:r>
              <w:rPr>
                <w:rFonts w:ascii="宋体" w:eastAsia="宋体" w:hAnsi="宋体" w:cs="宋体" w:hint="eastAsia"/>
                <w:bCs/>
                <w:sz w:val="21"/>
                <w:szCs w:val="21"/>
              </w:rPr>
              <w:t>投标人中标后</w:t>
            </w:r>
            <w:r>
              <w:rPr>
                <w:rFonts w:ascii="宋体" w:eastAsia="宋体" w:hAnsi="宋体" w:cs="宋体" w:hint="eastAsia"/>
                <w:sz w:val="21"/>
                <w:szCs w:val="21"/>
              </w:rPr>
              <w:t>未按照投标文件中承诺的时间交货或提供服务，</w:t>
            </w:r>
            <w:r>
              <w:rPr>
                <w:rFonts w:ascii="宋体" w:eastAsia="宋体" w:hAnsi="宋体" w:cs="宋体" w:hint="eastAsia"/>
                <w:bCs/>
                <w:sz w:val="21"/>
                <w:szCs w:val="21"/>
              </w:rPr>
              <w:t>投标人</w:t>
            </w:r>
            <w:r>
              <w:rPr>
                <w:rFonts w:ascii="宋体" w:eastAsia="宋体" w:hAnsi="宋体" w:cs="宋体" w:hint="eastAsia"/>
                <w:sz w:val="21"/>
                <w:szCs w:val="21"/>
              </w:rPr>
              <w:t>应承担延期交货和延期服务的违约责任，并赔偿采购人因此造成的实际经济损失，采购人有权终止合同。</w:t>
            </w:r>
          </w:p>
        </w:tc>
      </w:tr>
      <w:tr>
        <w:tblPrEx>
          <w:tblW w:w="5000" w:type="pct"/>
          <w:tblInd w:w="0"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928"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 xml:space="preserve">3.2投标人中标后所交设备的品种、型号、规格、质量、功能、技术参数等方面不能实质性满足采购文件要求的，采购人有权拒绝收货，投标人向采购人偿付项目采购金额【10】% （10%以上20%以下）的违约金并采取更换、补足等补救措施，致使逾期交付的，还应承担逾期交付的违约责任。 </w:t>
            </w:r>
          </w:p>
        </w:tc>
      </w:tr>
      <w:tr>
        <w:tblPrEx>
          <w:tblW w:w="5000" w:type="pct"/>
          <w:tblInd w:w="0"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928"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3.3投标人中标后不能交付设备的，投标人向采购人偿付项目采购金额【10】%（10%以上20%以下）的违约金。</w:t>
            </w:r>
          </w:p>
        </w:tc>
      </w:tr>
      <w:tr>
        <w:tblPrEx>
          <w:tblW w:w="5000" w:type="pct"/>
          <w:tblInd w:w="0"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928"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3.4投标人中标后逾期交付货物的，每逾期1天，投标人向采购人偿付项目采购金额的【1】‰（1‰以上5‰以下）的违约金。如投标人逾期交货达</w:t>
            </w:r>
            <w:r>
              <w:rPr>
                <w:rFonts w:ascii="宋体" w:eastAsia="宋体" w:hAnsi="宋体" w:cs="宋体" w:hint="eastAsia"/>
                <w:bCs/>
                <w:sz w:val="21"/>
                <w:szCs w:val="21"/>
                <w:u w:val="single"/>
              </w:rPr>
              <w:t xml:space="preserve">  20  </w:t>
            </w:r>
            <w:r>
              <w:rPr>
                <w:rFonts w:ascii="宋体" w:eastAsia="宋体" w:hAnsi="宋体" w:cs="宋体" w:hint="eastAsia"/>
                <w:bCs/>
                <w:sz w:val="21"/>
                <w:szCs w:val="21"/>
              </w:rPr>
              <w:t>天，采购人有权解除合同。</w:t>
            </w:r>
          </w:p>
        </w:tc>
      </w:tr>
      <w:tr>
        <w:tblPrEx>
          <w:tblW w:w="5000" w:type="pct"/>
          <w:tblInd w:w="0"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928"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3.5投标人中标后，在其承诺的或国家规定的质量保证期内（取两者中最长的期限），如经投标人两次维修或更换，货物仍不能达到采购文件要求及投标文件承诺的质量标准，采购人有权退货，投标人应退回全部货款并赔偿采购人因此遭受的损失。</w:t>
            </w:r>
          </w:p>
        </w:tc>
      </w:tr>
      <w:tr>
        <w:tblPrEx>
          <w:tblW w:w="5000" w:type="pct"/>
          <w:tblInd w:w="0"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928"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3.6投标人中标后在承担上述一项或多项违约责任后，仍应继续履行合同规定的义务（采购人解除合同的除外）。采购人未能及时追究投标人的任何一项违约责任并不表明采购人放弃追究投标人该项或其他违约责任。</w:t>
            </w:r>
          </w:p>
        </w:tc>
      </w:tr>
      <w:tr>
        <w:tblPrEx>
          <w:tblW w:w="5000" w:type="pct"/>
          <w:tblInd w:w="0"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p>
        </w:tc>
        <w:tc>
          <w:tcPr>
            <w:tcW w:w="1620" w:type="dxa"/>
            <w:noWrap w:val="0"/>
            <w:vAlign w:val="top"/>
          </w:tcPr>
          <w:p>
            <w:pPr>
              <w:jc w:val="center"/>
              <w:rPr>
                <w:rFonts w:ascii="宋体" w:eastAsia="宋体" w:hAnsi="宋体" w:cs="宋体" w:hint="eastAsia"/>
                <w:bCs/>
                <w:sz w:val="21"/>
                <w:szCs w:val="21"/>
                <w:lang w:eastAsia="zh-CN"/>
              </w:rPr>
            </w:pPr>
          </w:p>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包装和运输</w:t>
            </w:r>
          </w:p>
        </w:tc>
        <w:tc>
          <w:tcPr>
            <w:tcW w:w="5928" w:type="dxa"/>
            <w:noWrap w:val="0"/>
            <w:vAlign w:val="top"/>
          </w:tcPr>
          <w:p>
            <w:pPr>
              <w:rPr>
                <w:rFonts w:ascii="宋体" w:eastAsia="宋体" w:hAnsi="宋体" w:cs="宋体" w:hint="eastAsia"/>
                <w:sz w:val="21"/>
                <w:szCs w:val="21"/>
                <w:lang w:eastAsia="zh-CN"/>
              </w:rPr>
            </w:pPr>
            <w:r>
              <w:rPr>
                <w:rFonts w:ascii="宋体" w:eastAsia="宋体" w:hAnsi="宋体" w:cs="宋体" w:hint="eastAsia"/>
                <w:sz w:val="21"/>
                <w:szCs w:val="21"/>
              </w:rPr>
              <w:t>包装和运输（如适用，须满足《关于印发〈商品包装政府采购需求标准（试行）〉、〈快递包装政府采购需求标准（试行）〉的通知》（财办库﹝2020﹞123 号））</w:t>
            </w:r>
          </w:p>
        </w:tc>
      </w:tr>
      <w:tr>
        <w:tblPrEx>
          <w:tblW w:w="5000" w:type="pct"/>
          <w:tblInd w:w="0"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p>
        </w:tc>
        <w:tc>
          <w:tcPr>
            <w:tcW w:w="1620" w:type="dxa"/>
            <w:noWrap w:val="0"/>
            <w:vAlign w:val="top"/>
          </w:tcPr>
          <w:p>
            <w:pPr>
              <w:jc w:val="center"/>
              <w:rPr>
                <w:rFonts w:ascii="宋体" w:eastAsia="宋体" w:hAnsi="宋体" w:cs="宋体" w:hint="eastAsia"/>
                <w:bCs/>
                <w:sz w:val="21"/>
                <w:szCs w:val="21"/>
              </w:rPr>
            </w:pPr>
          </w:p>
          <w:p>
            <w:pPr>
              <w:jc w:val="center"/>
              <w:rPr>
                <w:rFonts w:ascii="宋体" w:eastAsia="宋体" w:hAnsi="宋体" w:cs="宋体" w:hint="eastAsia"/>
                <w:bCs/>
                <w:sz w:val="21"/>
                <w:szCs w:val="21"/>
              </w:rPr>
            </w:pPr>
          </w:p>
          <w:p>
            <w:pPr>
              <w:jc w:val="both"/>
              <w:rPr>
                <w:rFonts w:ascii="宋体" w:eastAsia="宋体" w:hAnsi="宋体" w:cs="宋体" w:hint="eastAsia"/>
                <w:bCs/>
                <w:sz w:val="21"/>
                <w:szCs w:val="21"/>
              </w:rPr>
            </w:pPr>
          </w:p>
          <w:p>
            <w:pPr>
              <w:jc w:val="center"/>
              <w:rPr>
                <w:rFonts w:ascii="宋体" w:eastAsia="宋体" w:hAnsi="宋体" w:cs="宋体" w:hint="eastAsia"/>
                <w:bCs/>
                <w:sz w:val="21"/>
                <w:szCs w:val="21"/>
              </w:rPr>
            </w:pPr>
          </w:p>
          <w:p>
            <w:pPr>
              <w:jc w:val="center"/>
              <w:rPr>
                <w:rFonts w:ascii="宋体" w:eastAsia="宋体" w:hAnsi="宋体" w:cs="宋体" w:hint="eastAsia"/>
                <w:bCs/>
                <w:sz w:val="21"/>
                <w:szCs w:val="21"/>
                <w:lang w:eastAsia="zh-CN"/>
              </w:rPr>
            </w:pPr>
            <w:r>
              <w:rPr>
                <w:rFonts w:ascii="宋体" w:eastAsia="宋体" w:hAnsi="宋体" w:cs="宋体" w:hint="eastAsia"/>
                <w:bCs/>
                <w:sz w:val="21"/>
                <w:szCs w:val="21"/>
              </w:rPr>
              <w:t>其他</w:t>
            </w:r>
          </w:p>
        </w:tc>
        <w:tc>
          <w:tcPr>
            <w:tcW w:w="5928" w:type="dxa"/>
            <w:noWrap w:val="0"/>
            <w:vAlign w:val="top"/>
          </w:tcPr>
          <w:p>
            <w:pPr>
              <w:rPr>
                <w:rFonts w:ascii="宋体" w:eastAsia="宋体" w:hAnsi="宋体" w:cs="宋体" w:hint="eastAsia"/>
                <w:sz w:val="21"/>
                <w:szCs w:val="21"/>
              </w:rPr>
            </w:pPr>
            <w:r>
              <w:rPr>
                <w:rFonts w:ascii="宋体" w:eastAsia="宋体" w:hAnsi="宋体" w:cs="宋体" w:hint="eastAsia"/>
                <w:sz w:val="21"/>
                <w:szCs w:val="21"/>
              </w:rPr>
              <w:t>本项目为“交钥匙工程”，从采购、运输、安装、调试直至项目能够正常运作，采购人不承担任何费用，工程使用的主要材料的品种、规格、数量，需经采购人认可。在交钥匙工程模式下，采购人只需要提出具体的需求和标准，供应商将一个完全符合要求、可以立即投入使用的项目交给采购人；项目设备安装和调试时，不能缺少的一切附属配件、零星工程等，由投标供应商考虑并承担供应和安装。对不履行供货、安装或服务义务等情况，采购人有权解除合同，并追究违约责任，同时将相关违约行为报送监管部门，记不良行为记录，实施信用惩戒。</w:t>
            </w:r>
          </w:p>
        </w:tc>
      </w:tr>
    </w:tbl>
    <w:p>
      <w:pPr>
        <w:widowControl w:val="0"/>
        <w:ind w:firstLine="420" w:firstLineChars="200"/>
        <w:jc w:val="both"/>
        <w:rPr>
          <w:rFonts w:ascii="Calibri" w:eastAsia="宋体" w:hAnsi="Calibri"/>
          <w:b/>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widowControl w:val="0"/>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w:t>
      </w:r>
      <w:r>
        <w:rPr>
          <w:rFonts w:ascii="宋体" w:eastAsia="宋体" w:hAnsi="宋体" w:cs="宋体" w:hint="eastAsia"/>
          <w:bCs/>
          <w:kern w:val="2"/>
          <w:sz w:val="21"/>
          <w:szCs w:val="22"/>
          <w:lang w:eastAsia="zh-CN"/>
        </w:rPr>
        <w:t>评分时，如对一项招标技术要求（以划分框为准）中的内容存在两处（或以上）负偏离的，在评分时只作一项负偏离扣分。</w:t>
      </w:r>
    </w:p>
    <w:p>
      <w:pPr>
        <w:widowControl w:val="0"/>
        <w:spacing w:line="360" w:lineRule="auto"/>
        <w:ind w:firstLine="420" w:firstLineChars="200"/>
        <w:jc w:val="both"/>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pPr w:leftFromText="180" w:rightFromText="180" w:vertAnchor="text" w:horzAnchor="page" w:tblpX="1885" w:tblpY="615"/>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7"/>
        <w:gridCol w:w="1264"/>
        <w:gridCol w:w="677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trPr>
        <w:tc>
          <w:tcPr>
            <w:tcW w:w="804"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243" w:type="dxa"/>
            <w:noWrap w:val="0"/>
            <w:vAlign w:val="center"/>
          </w:tcPr>
          <w:p>
            <w:pPr>
              <w:widowControl/>
              <w:jc w:val="center"/>
              <w:rPr>
                <w:rFonts w:ascii="宋体" w:eastAsia="宋体" w:hAnsi="宋体" w:cs="宋体" w:hint="eastAsia"/>
                <w:b/>
                <w:bCs/>
                <w:sz w:val="21"/>
                <w:szCs w:val="21"/>
              </w:rPr>
            </w:pPr>
            <w:r>
              <w:rPr>
                <w:rFonts w:ascii="宋体" w:eastAsia="宋体" w:hAnsi="宋体" w:cs="宋体" w:hint="eastAsia"/>
                <w:b/>
                <w:bCs/>
                <w:sz w:val="21"/>
                <w:szCs w:val="21"/>
              </w:rPr>
              <w:t>货物名称</w:t>
            </w:r>
          </w:p>
        </w:tc>
        <w:tc>
          <w:tcPr>
            <w:tcW w:w="6665"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招标技术要求</w:t>
            </w:r>
          </w:p>
        </w:tc>
      </w:tr>
      <w:tr>
        <w:tblPrEx>
          <w:tblW w:w="5000" w:type="pct"/>
          <w:tblInd w:w="0" w:type="dxa"/>
          <w:tblLayout w:type="fixed"/>
          <w:tblCellMar>
            <w:top w:w="0" w:type="dxa"/>
            <w:left w:w="108" w:type="dxa"/>
            <w:bottom w:w="0" w:type="dxa"/>
            <w:right w:w="108" w:type="dxa"/>
          </w:tblCellMar>
        </w:tblPrEx>
        <w:trPr>
          <w:trHeight w:val="536"/>
        </w:trPr>
        <w:tc>
          <w:tcPr>
            <w:tcW w:w="80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243" w:type="dxa"/>
            <w:vMerge w:val="restart"/>
            <w:noWrap w:val="0"/>
            <w:vAlign w:val="center"/>
          </w:tcPr>
          <w:p>
            <w:pPr>
              <w:widowControl/>
              <w:jc w:val="center"/>
              <w:textAlignment w:val="center"/>
              <w:rPr>
                <w:rFonts w:ascii="宋体" w:eastAsia="宋体" w:hAnsi="宋体" w:cs="宋体" w:hint="eastAsia"/>
                <w:b/>
                <w:sz w:val="21"/>
                <w:szCs w:val="21"/>
              </w:rPr>
            </w:pPr>
            <w:r>
              <w:rPr>
                <w:rFonts w:ascii="宋体" w:eastAsia="宋体" w:hAnsi="宋体" w:cs="宋体" w:hint="eastAsia"/>
                <w:color w:val="000000"/>
                <w:sz w:val="21"/>
                <w:szCs w:val="21"/>
                <w:lang w:bidi="ar"/>
              </w:rPr>
              <w:t xml:space="preserve">虚拟仿真幼儿园 </w:t>
            </w:r>
            <w:r>
              <w:rPr>
                <w:rFonts w:ascii="宋体" w:eastAsia="宋体" w:hAnsi="宋体" w:cs="宋体" w:hint="eastAsia"/>
                <w:b/>
                <w:bCs/>
                <w:color w:val="000000"/>
                <w:sz w:val="21"/>
                <w:szCs w:val="21"/>
                <w:lang w:bidi="ar"/>
              </w:rPr>
              <w:t xml:space="preserve">（核心产品） </w:t>
            </w:r>
            <w:r>
              <w:rPr>
                <w:rFonts w:ascii="宋体" w:eastAsia="宋体" w:hAnsi="宋体" w:cs="宋体" w:hint="eastAsia"/>
                <w:color w:val="000000"/>
                <w:sz w:val="21"/>
                <w:szCs w:val="21"/>
                <w:lang w:bidi="ar"/>
              </w:rPr>
              <w:t xml:space="preserve">    </w:t>
            </w: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rPr>
              <w:t>一、技术参数</w:t>
            </w:r>
            <w:r>
              <w:rPr>
                <w:rFonts w:ascii="宋体" w:eastAsia="宋体" w:hAnsi="宋体" w:cs="宋体" w:hint="eastAsia"/>
                <w:bCs/>
                <w:sz w:val="21"/>
                <w:szCs w:val="21"/>
              </w:rPr>
              <w:br/>
            </w:r>
            <w:r>
              <w:rPr>
                <w:rFonts w:ascii="宋体" w:eastAsia="宋体" w:hAnsi="宋体" w:cs="宋体" w:hint="eastAsia"/>
                <w:bCs/>
                <w:sz w:val="21"/>
                <w:szCs w:val="21"/>
              </w:rPr>
              <w:t>1、软件主体架构采用C/S模式进行部署</w:t>
            </w:r>
            <w:r>
              <w:rPr>
                <w:rFonts w:ascii="宋体" w:eastAsia="宋体" w:hAnsi="宋体" w:cs="宋体" w:hint="eastAsia"/>
                <w:bCs/>
                <w:sz w:val="21"/>
                <w:szCs w:val="21"/>
                <w:lang w:eastAsia="zh-CN"/>
              </w:rPr>
              <w:t>，</w:t>
            </w:r>
            <w:r>
              <w:rPr>
                <w:rFonts w:ascii="宋体" w:eastAsia="宋体" w:hAnsi="宋体" w:cs="宋体" w:hint="eastAsia"/>
                <w:bCs/>
                <w:sz w:val="21"/>
                <w:szCs w:val="21"/>
              </w:rPr>
              <w:t>采用Unity 3D引擎开发</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342"/>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2、复刻真实幼儿园场景，</w:t>
            </w:r>
            <w:r>
              <w:rPr>
                <w:rFonts w:ascii="宋体" w:eastAsia="宋体" w:hAnsi="宋体" w:cs="宋体" w:hint="eastAsia"/>
                <w:bCs/>
                <w:sz w:val="21"/>
                <w:szCs w:val="21"/>
              </w:rPr>
              <w:t>软件中的</w:t>
            </w:r>
            <w:r>
              <w:rPr>
                <w:rFonts w:ascii="宋体" w:eastAsia="宋体" w:hAnsi="宋体" w:cs="宋体" w:hint="eastAsia"/>
                <w:bCs/>
                <w:sz w:val="21"/>
                <w:szCs w:val="21"/>
                <w:lang w:eastAsia="zh-CN"/>
              </w:rPr>
              <w:t>人物模型和</w:t>
            </w:r>
            <w:r>
              <w:rPr>
                <w:rFonts w:ascii="宋体" w:eastAsia="宋体" w:hAnsi="宋体" w:cs="宋体" w:hint="eastAsia"/>
                <w:bCs/>
                <w:sz w:val="21"/>
                <w:szCs w:val="21"/>
              </w:rPr>
              <w:t>场景</w:t>
            </w:r>
            <w:r>
              <w:rPr>
                <w:rFonts w:ascii="宋体" w:eastAsia="宋体" w:hAnsi="宋体" w:cs="宋体" w:hint="eastAsia"/>
                <w:bCs/>
                <w:sz w:val="21"/>
                <w:szCs w:val="21"/>
                <w:lang w:eastAsia="zh-CN"/>
              </w:rPr>
              <w:t>设施仿真</w:t>
            </w:r>
            <w:r>
              <w:rPr>
                <w:rFonts w:ascii="宋体" w:eastAsia="宋体" w:hAnsi="宋体" w:cs="宋体" w:hint="eastAsia"/>
                <w:bCs/>
                <w:sz w:val="21"/>
                <w:szCs w:val="21"/>
              </w:rPr>
              <w:t>写实。</w:t>
            </w:r>
          </w:p>
        </w:tc>
      </w:tr>
      <w:tr>
        <w:tblPrEx>
          <w:tblW w:w="5000" w:type="pct"/>
          <w:tblInd w:w="0" w:type="dxa"/>
          <w:tblLayout w:type="fixed"/>
          <w:tblCellMar>
            <w:top w:w="0" w:type="dxa"/>
            <w:left w:w="108" w:type="dxa"/>
            <w:bottom w:w="0" w:type="dxa"/>
            <w:right w:w="108" w:type="dxa"/>
          </w:tblCellMar>
        </w:tblPrEx>
        <w:trPr>
          <w:trHeight w:val="33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r>
              <w:rPr>
                <w:rFonts w:ascii="宋体" w:eastAsia="宋体" w:hAnsi="宋体" w:cs="宋体" w:hint="eastAsia"/>
                <w:bCs/>
                <w:sz w:val="21"/>
                <w:szCs w:val="21"/>
              </w:rPr>
              <w:t>软件支持Windows系统及国产信创操作系统</w:t>
            </w:r>
            <w:r>
              <w:rPr>
                <w:rFonts w:ascii="宋体" w:eastAsia="宋体" w:hAnsi="宋体" w:cs="宋体" w:hint="eastAsia"/>
                <w:bCs/>
                <w:sz w:val="21"/>
                <w:szCs w:val="21"/>
                <w:lang w:eastAsia="zh-CN"/>
              </w:rPr>
              <w:t>，</w:t>
            </w:r>
            <w:r>
              <w:rPr>
                <w:rFonts w:ascii="宋体" w:eastAsia="宋体" w:hAnsi="宋体" w:cs="宋体" w:hint="eastAsia"/>
                <w:bCs/>
                <w:sz w:val="21"/>
                <w:szCs w:val="21"/>
              </w:rPr>
              <w:t>兼容国产数据库</w:t>
            </w:r>
            <w:r>
              <w:rPr>
                <w:rFonts w:ascii="宋体" w:eastAsia="宋体" w:hAnsi="宋体" w:cs="宋体" w:hint="eastAsia"/>
                <w:bCs/>
                <w:color w:val="0000FF"/>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r>
              <w:rPr>
                <w:rFonts w:ascii="宋体" w:eastAsia="宋体" w:hAnsi="宋体" w:cs="宋体" w:hint="eastAsia"/>
                <w:bCs/>
                <w:sz w:val="21"/>
                <w:szCs w:val="21"/>
              </w:rPr>
              <w:t>软件基于Windows操作系统平台开发PC端应用，支持鼠标键盘交互操作，具备分辨率自适应功能，默认帧率达到</w:t>
            </w:r>
            <w:r>
              <w:rPr>
                <w:rFonts w:ascii="宋体" w:eastAsia="宋体" w:hAnsi="宋体" w:cs="宋体" w:hint="eastAsia"/>
                <w:b/>
                <w:sz w:val="21"/>
                <w:szCs w:val="21"/>
              </w:rPr>
              <w:t>≥</w:t>
            </w:r>
            <w:r>
              <w:rPr>
                <w:rFonts w:ascii="宋体" w:eastAsia="宋体" w:hAnsi="宋体" w:cs="宋体" w:hint="eastAsia"/>
                <w:bCs/>
                <w:sz w:val="21"/>
                <w:szCs w:val="21"/>
              </w:rPr>
              <w:t>60fps</w:t>
            </w:r>
            <w:r>
              <w:rPr>
                <w:rFonts w:ascii="宋体" w:eastAsia="宋体" w:hAnsi="宋体" w:cs="宋体" w:hint="eastAsia"/>
                <w:bCs/>
                <w:sz w:val="21"/>
                <w:szCs w:val="21"/>
                <w:lang w:eastAsia="zh-CN"/>
              </w:rPr>
              <w:t>，</w:t>
            </w:r>
            <w:r>
              <w:rPr>
                <w:rFonts w:ascii="宋体" w:eastAsia="宋体" w:hAnsi="宋体" w:cs="宋体" w:hint="eastAsia"/>
                <w:bCs/>
                <w:sz w:val="21"/>
                <w:szCs w:val="21"/>
              </w:rPr>
              <w:t>三维</w:t>
            </w:r>
            <w:r>
              <w:rPr>
                <w:rFonts w:ascii="宋体" w:eastAsia="宋体" w:hAnsi="宋体" w:cs="宋体" w:hint="eastAsia"/>
                <w:bCs/>
                <w:sz w:val="21"/>
                <w:szCs w:val="21"/>
                <w:lang w:eastAsia="zh-CN"/>
              </w:rPr>
              <w:t>场景</w:t>
            </w:r>
            <w:r>
              <w:rPr>
                <w:rFonts w:ascii="宋体" w:eastAsia="宋体" w:hAnsi="宋体" w:cs="宋体" w:hint="eastAsia"/>
                <w:bCs/>
                <w:sz w:val="21"/>
                <w:szCs w:val="21"/>
              </w:rPr>
              <w:t>运行无卡顿。</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lang w:eastAsia="zh-CN"/>
              </w:rPr>
              <w:t>5、</w:t>
            </w:r>
            <w:r>
              <w:rPr>
                <w:rFonts w:ascii="宋体" w:eastAsia="宋体" w:hAnsi="宋体" w:cs="宋体" w:hint="eastAsia"/>
                <w:bCs/>
                <w:sz w:val="21"/>
                <w:szCs w:val="21"/>
              </w:rPr>
              <w:t>VR模式：</w:t>
            </w:r>
            <w:r>
              <w:rPr>
                <w:rFonts w:ascii="宋体" w:eastAsia="宋体" w:hAnsi="宋体" w:cs="宋体" w:hint="eastAsia"/>
                <w:bCs/>
                <w:sz w:val="21"/>
                <w:szCs w:val="21"/>
              </w:rPr>
              <w:br/>
            </w:r>
            <w:r>
              <w:rPr>
                <w:rFonts w:ascii="宋体" w:eastAsia="宋体" w:hAnsi="宋体" w:cs="宋体" w:hint="eastAsia"/>
                <w:bCs/>
                <w:sz w:val="21"/>
                <w:szCs w:val="21"/>
              </w:rPr>
              <w:t>软件交互模式支持VR运行</w:t>
            </w:r>
            <w:r>
              <w:rPr>
                <w:rFonts w:ascii="宋体" w:eastAsia="宋体" w:hAnsi="宋体" w:cs="宋体" w:hint="eastAsia"/>
                <w:bCs/>
                <w:sz w:val="21"/>
                <w:szCs w:val="21"/>
                <w:lang w:eastAsia="zh-CN"/>
              </w:rPr>
              <w:t>，</w:t>
            </w:r>
            <w:r>
              <w:rPr>
                <w:rFonts w:ascii="宋体" w:eastAsia="宋体" w:hAnsi="宋体" w:cs="宋体" w:hint="eastAsia"/>
                <w:bCs/>
                <w:sz w:val="21"/>
                <w:szCs w:val="21"/>
              </w:rPr>
              <w:t>兼容PICO设备。</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3"/>
              </w:numPr>
              <w:ind w:left="660" w:hanging="660" w:leftChars="0" w:firstLineChars="0"/>
              <w:rPr>
                <w:rFonts w:ascii="宋体" w:eastAsia="宋体" w:hAnsi="宋体" w:cs="宋体" w:hint="eastAsia"/>
                <w:bCs/>
                <w:sz w:val="21"/>
                <w:szCs w:val="21"/>
              </w:rPr>
            </w:pPr>
            <w:r>
              <w:rPr>
                <w:rFonts w:ascii="宋体" w:eastAsia="宋体" w:hAnsi="宋体" w:cs="宋体" w:hint="eastAsia"/>
                <w:bCs/>
                <w:sz w:val="21"/>
                <w:szCs w:val="21"/>
              </w:rPr>
              <w:t>功能参数</w:t>
            </w:r>
          </w:p>
          <w:p>
            <w:pPr>
              <w:numPr>
                <w:ilvl w:val="0"/>
                <w:numId w:val="0"/>
              </w:numPr>
              <w:ind w:left="0" w:firstLine="0" w:leftChars="0"/>
              <w:rPr>
                <w:rFonts w:ascii="宋体" w:eastAsia="宋体" w:hAnsi="宋体" w:cs="宋体" w:hint="eastAsia"/>
                <w:bCs/>
                <w:sz w:val="21"/>
                <w:szCs w:val="21"/>
              </w:rPr>
            </w:pPr>
            <w:r>
              <w:rPr>
                <w:rFonts w:ascii="宋体" w:eastAsia="宋体" w:hAnsi="宋体" w:cs="宋体" w:hint="eastAsia"/>
                <w:bCs/>
                <w:sz w:val="21"/>
                <w:szCs w:val="21"/>
                <w:lang w:eastAsia="zh-CN"/>
              </w:rPr>
              <w:t>1、</w:t>
            </w:r>
            <w:r>
              <w:rPr>
                <w:rFonts w:ascii="宋体" w:eastAsia="宋体" w:hAnsi="宋体" w:cs="宋体" w:hint="eastAsia"/>
                <w:bCs/>
                <w:sz w:val="21"/>
                <w:szCs w:val="21"/>
              </w:rPr>
              <w:t>融合实践教学与情景交互两大模块</w:t>
            </w:r>
            <w:r>
              <w:rPr>
                <w:rFonts w:ascii="宋体" w:eastAsia="宋体" w:hAnsi="宋体" w:cs="宋体" w:hint="eastAsia"/>
                <w:bCs/>
                <w:sz w:val="21"/>
                <w:szCs w:val="21"/>
              </w:rPr>
              <w:br/>
            </w:r>
            <w:r>
              <w:rPr>
                <w:rFonts w:ascii="宋体" w:eastAsia="宋体" w:hAnsi="宋体" w:cs="宋体" w:hint="eastAsia"/>
                <w:bCs/>
                <w:sz w:val="21"/>
                <w:szCs w:val="21"/>
              </w:rPr>
              <w:t>虚拟仿真幼儿园软件集成了虚拟仿真幼儿园实践教学系统与虚拟仿真情景交互任务模块，支持在练习模式下自由切换系统平台，确保学生能够在任何时间、任何地点灵活开展理论学习与技能仿真实训。</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r>
              <w:rPr>
                <w:rFonts w:ascii="宋体" w:eastAsia="宋体" w:hAnsi="宋体" w:cs="宋体" w:hint="eastAsia"/>
                <w:bCs/>
                <w:sz w:val="21"/>
                <w:szCs w:val="21"/>
              </w:rPr>
              <w:t>对标专业教学标准，构建专业化实训体系</w:t>
            </w:r>
            <w:r>
              <w:rPr>
                <w:rFonts w:ascii="宋体" w:eastAsia="宋体" w:hAnsi="宋体" w:cs="宋体" w:hint="eastAsia"/>
                <w:bCs/>
                <w:sz w:val="21"/>
                <w:szCs w:val="21"/>
              </w:rPr>
              <w:br/>
            </w:r>
            <w:r>
              <w:rPr>
                <w:rFonts w:ascii="宋体" w:eastAsia="宋体" w:hAnsi="宋体" w:cs="宋体" w:hint="eastAsia"/>
                <w:bCs/>
                <w:sz w:val="21"/>
                <w:szCs w:val="21"/>
              </w:rPr>
              <w:t>该软件对标职业院校学前教育、早期教育、幼儿保育、婴幼儿托育服务与管理等专业的教学标准与实训室建设规范，支持专业基础课程、专业核心课程、专业拓展课程</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322"/>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3、软件</w:t>
            </w:r>
            <w:r>
              <w:rPr>
                <w:rFonts w:ascii="宋体" w:eastAsia="宋体" w:hAnsi="宋体" w:cs="宋体" w:hint="eastAsia"/>
                <w:bCs/>
                <w:sz w:val="21"/>
                <w:szCs w:val="21"/>
              </w:rPr>
              <w:t>支持实践性教学环节，为教师提供</w:t>
            </w:r>
            <w:r>
              <w:rPr>
                <w:rFonts w:ascii="宋体" w:eastAsia="宋体" w:hAnsi="宋体" w:cs="宋体" w:hint="eastAsia"/>
                <w:bCs/>
                <w:sz w:val="21"/>
                <w:szCs w:val="21"/>
                <w:lang w:eastAsia="zh-CN"/>
              </w:rPr>
              <w:t>上百种</w:t>
            </w:r>
            <w:r>
              <w:rPr>
                <w:rFonts w:ascii="宋体" w:eastAsia="宋体" w:hAnsi="宋体" w:cs="宋体" w:hint="eastAsia"/>
                <w:bCs/>
                <w:sz w:val="21"/>
                <w:szCs w:val="21"/>
              </w:rPr>
              <w:t>教学资源</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258"/>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4、</w:t>
            </w:r>
            <w:r>
              <w:rPr>
                <w:rFonts w:ascii="宋体" w:eastAsia="宋体" w:hAnsi="宋体" w:cs="宋体" w:hint="eastAsia"/>
                <w:bCs/>
                <w:sz w:val="21"/>
                <w:szCs w:val="21"/>
              </w:rPr>
              <w:t>软件具备漫游模式和自由模式。</w:t>
            </w:r>
          </w:p>
        </w:tc>
      </w:tr>
      <w:tr>
        <w:tblPrEx>
          <w:tblW w:w="5000" w:type="pct"/>
          <w:tblInd w:w="0" w:type="dxa"/>
          <w:tblLayout w:type="fixed"/>
          <w:tblCellMar>
            <w:top w:w="0" w:type="dxa"/>
            <w:left w:w="108" w:type="dxa"/>
            <w:bottom w:w="0" w:type="dxa"/>
            <w:right w:w="108" w:type="dxa"/>
          </w:tblCellMar>
        </w:tblPrEx>
        <w:trPr>
          <w:trHeight w:val="554"/>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5、软件</w:t>
            </w:r>
            <w:r>
              <w:rPr>
                <w:rFonts w:ascii="宋体" w:eastAsia="宋体" w:hAnsi="宋体" w:cs="宋体" w:hint="eastAsia"/>
                <w:bCs/>
                <w:sz w:val="21"/>
                <w:szCs w:val="21"/>
              </w:rPr>
              <w:t>在漫游模式下，用户可跟随系统语音导览，快速了解教室的整体布局。</w:t>
            </w:r>
          </w:p>
        </w:tc>
      </w:tr>
      <w:tr>
        <w:tblPrEx>
          <w:tblW w:w="5000" w:type="pct"/>
          <w:tblInd w:w="0" w:type="dxa"/>
          <w:tblLayout w:type="fixed"/>
          <w:tblCellMar>
            <w:top w:w="0" w:type="dxa"/>
            <w:left w:w="108" w:type="dxa"/>
            <w:bottom w:w="0" w:type="dxa"/>
            <w:right w:w="108" w:type="dxa"/>
          </w:tblCellMar>
        </w:tblPrEx>
        <w:trPr>
          <w:trHeight w:val="68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6、软件在</w:t>
            </w:r>
            <w:r>
              <w:rPr>
                <w:rFonts w:ascii="宋体" w:eastAsia="宋体" w:hAnsi="宋体" w:cs="宋体" w:hint="eastAsia"/>
                <w:bCs/>
                <w:sz w:val="21"/>
                <w:szCs w:val="21"/>
              </w:rPr>
              <w:t>自由模式则允许操作者通过方位键自由移动，探索幼儿真实场景、区域布置及相关资料，支持教学活动。</w:t>
            </w:r>
          </w:p>
        </w:tc>
      </w:tr>
      <w:tr>
        <w:tblPrEx>
          <w:tblW w:w="5000" w:type="pct"/>
          <w:tblInd w:w="0" w:type="dxa"/>
          <w:tblLayout w:type="fixed"/>
          <w:tblCellMar>
            <w:top w:w="0" w:type="dxa"/>
            <w:left w:w="108" w:type="dxa"/>
            <w:bottom w:w="0" w:type="dxa"/>
            <w:right w:w="108" w:type="dxa"/>
          </w:tblCellMar>
        </w:tblPrEx>
        <w:trPr>
          <w:trHeight w:val="94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lang w:eastAsia="zh-CN"/>
              </w:rPr>
              <w:t>7、</w:t>
            </w:r>
            <w:r>
              <w:rPr>
                <w:rFonts w:ascii="宋体" w:eastAsia="宋体" w:hAnsi="宋体" w:cs="宋体" w:hint="eastAsia"/>
                <w:bCs/>
                <w:sz w:val="21"/>
                <w:szCs w:val="21"/>
              </w:rPr>
              <w:t>软件包含知识点学习、计划练习、模拟考试、结果评价四维教学模式，教师根据自身的教学计划开展教学活动</w:t>
            </w:r>
            <w:r>
              <w:rPr>
                <w:rFonts w:ascii="宋体" w:eastAsia="宋体" w:hAnsi="宋体" w:cs="宋体" w:hint="eastAsia"/>
                <w:bCs/>
                <w:sz w:val="21"/>
                <w:szCs w:val="21"/>
                <w:lang w:eastAsia="zh-CN"/>
              </w:rPr>
              <w:t>。</w:t>
            </w:r>
          </w:p>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lang w:eastAsia="zh-CN"/>
              </w:rPr>
              <w:t>8、</w:t>
            </w:r>
            <w:r>
              <w:rPr>
                <w:rFonts w:ascii="宋体" w:eastAsia="宋体" w:hAnsi="宋体" w:cs="宋体" w:hint="eastAsia"/>
                <w:bCs/>
                <w:sz w:val="21"/>
                <w:szCs w:val="21"/>
              </w:rPr>
              <w:t>软件支持训练模式下</w:t>
            </w:r>
            <w:r>
              <w:rPr>
                <w:rFonts w:ascii="宋体" w:eastAsia="宋体" w:hAnsi="宋体" w:cs="宋体" w:hint="eastAsia"/>
                <w:bCs/>
                <w:sz w:val="21"/>
                <w:szCs w:val="21"/>
                <w:lang w:eastAsia="zh-CN"/>
              </w:rPr>
              <w:t>，</w:t>
            </w:r>
            <w:r>
              <w:rPr>
                <w:rFonts w:ascii="宋体" w:eastAsia="宋体" w:hAnsi="宋体" w:cs="宋体" w:hint="eastAsia"/>
                <w:bCs/>
                <w:sz w:val="21"/>
                <w:szCs w:val="21"/>
              </w:rPr>
              <w:t>选择仿真训练任务进行仿真实训</w:t>
            </w:r>
            <w:r>
              <w:rPr>
                <w:rFonts w:ascii="宋体" w:eastAsia="宋体" w:hAnsi="宋体" w:cs="宋体" w:hint="eastAsia"/>
                <w:bCs/>
                <w:sz w:val="21"/>
                <w:szCs w:val="21"/>
                <w:lang w:eastAsia="zh-CN"/>
              </w:rPr>
              <w:t>操作</w:t>
            </w:r>
            <w:r>
              <w:rPr>
                <w:rFonts w:ascii="宋体" w:eastAsia="宋体" w:hAnsi="宋体" w:cs="宋体" w:hint="eastAsia"/>
                <w:bCs/>
                <w:sz w:val="21"/>
                <w:szCs w:val="21"/>
              </w:rPr>
              <w:t>。</w:t>
            </w:r>
          </w:p>
        </w:tc>
      </w:tr>
      <w:tr>
        <w:tblPrEx>
          <w:tblW w:w="5000" w:type="pct"/>
          <w:tblInd w:w="0" w:type="dxa"/>
          <w:tblLayout w:type="fixed"/>
          <w:tblCellMar>
            <w:top w:w="0" w:type="dxa"/>
            <w:left w:w="108" w:type="dxa"/>
            <w:bottom w:w="0" w:type="dxa"/>
            <w:right w:w="108" w:type="dxa"/>
          </w:tblCellMar>
        </w:tblPrEx>
        <w:trPr>
          <w:trHeight w:val="5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9、</w:t>
            </w:r>
            <w:r>
              <w:rPr>
                <w:rFonts w:ascii="宋体" w:eastAsia="宋体" w:hAnsi="宋体" w:cs="宋体" w:hint="eastAsia"/>
                <w:bCs/>
                <w:sz w:val="21"/>
                <w:szCs w:val="21"/>
                <w:lang w:eastAsia="zh-CN"/>
              </w:rPr>
              <w:t>通过AI功能为学前儿童提供保教活动指导方案，满足学前教育专业需求。</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3"/>
              </w:numPr>
              <w:ind w:left="660" w:hanging="660" w:leftChars="0" w:firstLineChars="0"/>
              <w:rPr>
                <w:rFonts w:ascii="宋体" w:eastAsia="宋体" w:hAnsi="宋体" w:cs="宋体" w:hint="eastAsia"/>
                <w:bCs/>
                <w:sz w:val="21"/>
                <w:szCs w:val="21"/>
              </w:rPr>
            </w:pPr>
            <w:r>
              <w:rPr>
                <w:rFonts w:ascii="宋体" w:eastAsia="宋体" w:hAnsi="宋体" w:cs="宋体" w:hint="eastAsia"/>
                <w:bCs/>
                <w:sz w:val="21"/>
                <w:szCs w:val="21"/>
              </w:rPr>
              <w:t>内容参数</w:t>
            </w:r>
          </w:p>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lang w:eastAsia="zh-CN"/>
              </w:rPr>
              <w:t>1、软件</w:t>
            </w:r>
            <w:r>
              <w:rPr>
                <w:rFonts w:ascii="宋体" w:eastAsia="宋体" w:hAnsi="宋体" w:cs="宋体" w:hint="eastAsia"/>
                <w:bCs/>
                <w:sz w:val="21"/>
                <w:szCs w:val="21"/>
              </w:rPr>
              <w:t>包含幼儿园户外、幼儿园大厅、保健室、大班教室、中班教室、小班教室、托大班、托小班、乳儿班、亲子早教、蒙台梭利教室、过程性艺术、奥尔夫音乐教室、感觉统合教室等≥11个。</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rPr>
              <w:t>2、</w:t>
            </w:r>
            <w:r>
              <w:rPr>
                <w:rFonts w:ascii="宋体" w:eastAsia="宋体" w:hAnsi="宋体" w:cs="宋体" w:hint="eastAsia"/>
                <w:bCs/>
                <w:sz w:val="21"/>
                <w:szCs w:val="21"/>
                <w:lang w:eastAsia="zh-CN"/>
              </w:rPr>
              <w:t>软件</w:t>
            </w:r>
            <w:r>
              <w:rPr>
                <w:rFonts w:ascii="宋体" w:eastAsia="宋体" w:hAnsi="宋体" w:cs="宋体" w:hint="eastAsia"/>
                <w:bCs/>
                <w:sz w:val="21"/>
                <w:szCs w:val="21"/>
              </w:rPr>
              <w:t>以教学视频、图片、文件三种形式呈现，教学视频共计≥300个，教学图片共计≥500个，PDF格式教学文件共计≥500个。</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w:t>
            </w:r>
            <w:r>
              <w:rPr>
                <w:rFonts w:ascii="宋体" w:eastAsia="宋体" w:hAnsi="宋体" w:cs="宋体" w:hint="eastAsia"/>
                <w:bCs/>
                <w:sz w:val="21"/>
                <w:szCs w:val="21"/>
              </w:rPr>
              <w:t>一楼大厅阅读区：教学视频共计≥50个，教学图片共计≥50个，教学文件共计≥50个。</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4、</w:t>
            </w:r>
            <w:r>
              <w:rPr>
                <w:rFonts w:ascii="宋体" w:eastAsia="宋体" w:hAnsi="宋体" w:cs="宋体" w:hint="eastAsia"/>
                <w:bCs/>
                <w:sz w:val="21"/>
                <w:szCs w:val="21"/>
              </w:rPr>
              <w:t>保健室：教学视频共计≥30个，教学图片共计≥10个，教学文件共计≥35个。</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r>
              <w:rPr>
                <w:rFonts w:ascii="宋体" w:eastAsia="宋体" w:hAnsi="宋体" w:cs="宋体" w:hint="eastAsia"/>
                <w:bCs/>
                <w:sz w:val="21"/>
                <w:szCs w:val="21"/>
              </w:rPr>
              <w:t>五大领域教室分三个班型：小班、中班、大班，内设置生活区、美工区、艺术区、益智区、建构区、科学区以及图书区。</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6、</w:t>
            </w:r>
            <w:r>
              <w:rPr>
                <w:rFonts w:ascii="宋体" w:eastAsia="宋体" w:hAnsi="宋体" w:cs="宋体" w:hint="eastAsia"/>
                <w:bCs/>
                <w:sz w:val="21"/>
                <w:szCs w:val="21"/>
              </w:rPr>
              <w:t>五大领域教室</w:t>
            </w:r>
            <w:r>
              <w:rPr>
                <w:rFonts w:ascii="宋体" w:eastAsia="宋体" w:hAnsi="宋体" w:cs="宋体" w:hint="eastAsia"/>
                <w:bCs/>
                <w:sz w:val="21"/>
                <w:szCs w:val="21"/>
                <w:lang w:eastAsia="zh-CN"/>
              </w:rPr>
              <w:t>包含</w:t>
            </w:r>
            <w:r>
              <w:rPr>
                <w:rFonts w:ascii="宋体" w:eastAsia="宋体" w:hAnsi="宋体" w:cs="宋体" w:hint="eastAsia"/>
                <w:bCs/>
                <w:sz w:val="21"/>
                <w:szCs w:val="21"/>
              </w:rPr>
              <w:t>教学视频共计≥30个，教学图片共计≥50个，教学文件共计≥150个。</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lang w:eastAsia="zh-CN"/>
              </w:rPr>
              <w:t>7、软件</w:t>
            </w:r>
            <w:r>
              <w:rPr>
                <w:rFonts w:ascii="宋体" w:eastAsia="宋体" w:hAnsi="宋体" w:cs="宋体" w:hint="eastAsia"/>
                <w:bCs/>
                <w:sz w:val="21"/>
                <w:szCs w:val="21"/>
              </w:rPr>
              <w:t>包含亲子早教室、蒙氏教室、过程性艺术教室、奥尔夫音乐教室、感觉统合教室</w:t>
            </w:r>
            <w:r>
              <w:rPr>
                <w:rFonts w:ascii="宋体" w:eastAsia="宋体" w:hAnsi="宋体" w:cs="宋体" w:hint="eastAsia"/>
                <w:bCs/>
                <w:sz w:val="21"/>
                <w:szCs w:val="21"/>
                <w:lang w:eastAsia="zh-CN"/>
              </w:rPr>
              <w:t>等特色教室</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其中</w:t>
            </w:r>
            <w:r>
              <w:rPr>
                <w:rFonts w:ascii="宋体" w:eastAsia="宋体" w:hAnsi="宋体" w:cs="宋体" w:hint="eastAsia"/>
                <w:bCs/>
                <w:sz w:val="21"/>
                <w:szCs w:val="21"/>
              </w:rPr>
              <w:t>教学视频共计≥100个，教学图片共计≥100个，教学文件共计≥100个。</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8、</w:t>
            </w:r>
            <w:r>
              <w:rPr>
                <w:rFonts w:ascii="宋体" w:eastAsia="宋体" w:hAnsi="宋体" w:cs="宋体" w:hint="eastAsia"/>
                <w:bCs/>
                <w:sz w:val="21"/>
                <w:szCs w:val="21"/>
              </w:rPr>
              <w:t>蒙台梭利教室</w:t>
            </w:r>
            <w:r>
              <w:rPr>
                <w:rFonts w:ascii="宋体" w:eastAsia="宋体" w:hAnsi="宋体" w:cs="宋体" w:hint="eastAsia"/>
                <w:bCs/>
                <w:sz w:val="21"/>
                <w:szCs w:val="21"/>
                <w:lang w:eastAsia="zh-CN"/>
              </w:rPr>
              <w:t>包含</w:t>
            </w:r>
            <w:r>
              <w:rPr>
                <w:rFonts w:ascii="宋体" w:eastAsia="宋体" w:hAnsi="宋体" w:cs="宋体" w:hint="eastAsia"/>
                <w:bCs/>
                <w:sz w:val="21"/>
                <w:szCs w:val="21"/>
              </w:rPr>
              <w:t>教学视频共计≥50个，教学图片共计≥50个，教学文件共计≥50个。</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9、</w:t>
            </w:r>
            <w:r>
              <w:rPr>
                <w:rFonts w:ascii="宋体" w:eastAsia="宋体" w:hAnsi="宋体" w:cs="宋体" w:hint="eastAsia"/>
                <w:bCs/>
                <w:sz w:val="21"/>
                <w:szCs w:val="21"/>
              </w:rPr>
              <w:t>过程性艺术教室</w:t>
            </w:r>
            <w:r>
              <w:rPr>
                <w:rFonts w:ascii="宋体" w:eastAsia="宋体" w:hAnsi="宋体" w:cs="宋体" w:hint="eastAsia"/>
                <w:bCs/>
                <w:sz w:val="21"/>
                <w:szCs w:val="21"/>
                <w:lang w:eastAsia="zh-CN"/>
              </w:rPr>
              <w:t>包含</w:t>
            </w:r>
            <w:r>
              <w:rPr>
                <w:rFonts w:ascii="宋体" w:eastAsia="宋体" w:hAnsi="宋体" w:cs="宋体" w:hint="eastAsia"/>
                <w:bCs/>
                <w:sz w:val="21"/>
                <w:szCs w:val="21"/>
              </w:rPr>
              <w:t xml:space="preserve">教学视频共计≥20个，教学图片共计≥20个，教学文件共计≥20个。 </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10、</w:t>
            </w:r>
            <w:r>
              <w:rPr>
                <w:rFonts w:ascii="宋体" w:eastAsia="宋体" w:hAnsi="宋体" w:cs="宋体" w:hint="eastAsia"/>
                <w:bCs/>
                <w:sz w:val="21"/>
                <w:szCs w:val="21"/>
              </w:rPr>
              <w:t>托班教室</w:t>
            </w:r>
            <w:r>
              <w:rPr>
                <w:rFonts w:ascii="宋体" w:eastAsia="宋体" w:hAnsi="宋体" w:cs="宋体" w:hint="eastAsia"/>
                <w:bCs/>
                <w:sz w:val="21"/>
                <w:szCs w:val="21"/>
                <w:lang w:eastAsia="zh-CN"/>
              </w:rPr>
              <w:t>包含</w:t>
            </w:r>
            <w:r>
              <w:rPr>
                <w:rFonts w:ascii="宋体" w:eastAsia="宋体" w:hAnsi="宋体" w:cs="宋体" w:hint="eastAsia"/>
                <w:bCs/>
                <w:sz w:val="21"/>
                <w:szCs w:val="21"/>
              </w:rPr>
              <w:t>视频共计≥20个，图片共计≥300个，文件共计≥100个。</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lang w:eastAsia="zh-CN"/>
              </w:rPr>
              <w:t>11、软件</w:t>
            </w:r>
            <w:r>
              <w:rPr>
                <w:rFonts w:ascii="宋体" w:eastAsia="宋体" w:hAnsi="宋体" w:cs="宋体" w:hint="eastAsia"/>
                <w:bCs/>
                <w:sz w:val="21"/>
                <w:szCs w:val="21"/>
              </w:rPr>
              <w:t>集成知识点学习、计划练习、模拟考试、结果评价四维教学模式，构建阶梯式学习路径。</w:t>
            </w:r>
          </w:p>
        </w:tc>
      </w:tr>
      <w:tr>
        <w:tblPrEx>
          <w:tblW w:w="5000" w:type="pct"/>
          <w:tblInd w:w="0" w:type="dxa"/>
          <w:tblLayout w:type="fixed"/>
          <w:tblCellMar>
            <w:top w:w="0" w:type="dxa"/>
            <w:left w:w="108" w:type="dxa"/>
            <w:bottom w:w="0" w:type="dxa"/>
            <w:right w:w="108" w:type="dxa"/>
          </w:tblCellMar>
        </w:tblPrEx>
        <w:trPr>
          <w:trHeight w:val="389"/>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12、软件设置选择题、VR技能互动及判断题等多题型考核。</w:t>
            </w:r>
            <w:r>
              <w:rPr>
                <w:rFonts w:ascii="宋体" w:eastAsia="宋体" w:hAnsi="宋体" w:cs="宋体" w:hint="eastAsia"/>
                <w:bCs/>
                <w:sz w:val="21"/>
                <w:szCs w:val="21"/>
                <w:lang w:eastAsia="zh-CN"/>
              </w:rPr>
              <w:br/>
            </w:r>
            <w:r>
              <w:rPr>
                <w:rFonts w:ascii="宋体" w:eastAsia="宋体" w:hAnsi="宋体" w:cs="宋体" w:hint="eastAsia"/>
                <w:bCs/>
                <w:sz w:val="21"/>
                <w:szCs w:val="21"/>
                <w:lang w:eastAsia="zh-CN"/>
              </w:rPr>
              <w:t xml:space="preserve">                                                                                                                             </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13、软件内置交互式实训模块，交互式实训场景任务共计≥31个，关键技能点共计≥100个。</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14、实训模块一：一日生活流程的组织与实施</w:t>
            </w:r>
            <w:r>
              <w:rPr>
                <w:rFonts w:ascii="宋体" w:eastAsia="宋体" w:hAnsi="宋体" w:cs="宋体" w:hint="eastAsia"/>
                <w:bCs/>
                <w:sz w:val="21"/>
                <w:szCs w:val="21"/>
                <w:lang w:eastAsia="zh-CN"/>
              </w:rPr>
              <w:br/>
            </w:r>
            <w:r>
              <w:rPr>
                <w:rFonts w:ascii="宋体" w:eastAsia="宋体" w:hAnsi="宋体" w:cs="宋体" w:hint="eastAsia"/>
                <w:bCs/>
                <w:sz w:val="21"/>
                <w:szCs w:val="21"/>
                <w:lang w:eastAsia="zh-CN"/>
              </w:rPr>
              <w:t xml:space="preserve"> 包含盥洗环节的组织要点、晨检环节的组织要点、饮水环节教师组织要点、户外活动的组织要点、幼儿盥洗环境创设规范≥5个实训任务，合计≥25个关键技能点，每个实训任务提供展示截图≥3张。</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▲15、实训模块二：幼儿安全照护</w:t>
            </w:r>
            <w:r>
              <w:rPr>
                <w:rFonts w:ascii="宋体" w:eastAsia="宋体" w:hAnsi="宋体" w:cs="宋体" w:hint="eastAsia"/>
                <w:bCs/>
                <w:sz w:val="21"/>
                <w:szCs w:val="21"/>
                <w:lang w:eastAsia="zh-CN"/>
              </w:rPr>
              <w:br/>
            </w:r>
            <w:r>
              <w:rPr>
                <w:rFonts w:ascii="宋体" w:eastAsia="宋体" w:hAnsi="宋体" w:cs="宋体" w:hint="eastAsia"/>
                <w:bCs/>
                <w:sz w:val="21"/>
                <w:szCs w:val="21"/>
                <w:lang w:eastAsia="zh-CN"/>
              </w:rPr>
              <w:t>包含烫伤应急处置、气道梗阻的应急处理（海姆立克）、火灾的应急处理、幼儿被冒领/走失的应急处理、急性中毒应急处置≥5个实训任务，合计≥25个关键技能点，每个实训任务提供展示截图≥3张。</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▲16、实训模块三：急救技术</w:t>
            </w:r>
            <w:r>
              <w:rPr>
                <w:rFonts w:ascii="宋体" w:eastAsia="宋体" w:hAnsi="宋体" w:cs="宋体" w:hint="eastAsia"/>
                <w:bCs/>
                <w:sz w:val="21"/>
                <w:szCs w:val="21"/>
                <w:lang w:eastAsia="zh-CN"/>
              </w:rPr>
              <w:br/>
            </w:r>
            <w:r>
              <w:rPr>
                <w:rFonts w:ascii="宋体" w:eastAsia="宋体" w:hAnsi="宋体" w:cs="宋体" w:hint="eastAsia"/>
                <w:bCs/>
                <w:sz w:val="21"/>
                <w:szCs w:val="21"/>
                <w:lang w:eastAsia="zh-CN"/>
              </w:rPr>
              <w:t>包含外伤出血应急处置、鼻出血的应急处理、心肺复苏的应急处理、高热惊厥应急处置、骨关节肌肉损伤的应急处理≥5个实训任务，合计≥25个关键技能点，每个实训任务提供展示截图≥3张。</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▲17、实训模块四：幼儿生活照护</w:t>
            </w:r>
            <w:r>
              <w:rPr>
                <w:rFonts w:ascii="宋体" w:eastAsia="宋体" w:hAnsi="宋体" w:cs="宋体" w:hint="eastAsia"/>
                <w:bCs/>
                <w:sz w:val="21"/>
                <w:szCs w:val="21"/>
                <w:lang w:eastAsia="zh-CN"/>
              </w:rPr>
              <w:br/>
            </w:r>
            <w:r>
              <w:rPr>
                <w:rFonts w:ascii="宋体" w:eastAsia="宋体" w:hAnsi="宋体" w:cs="宋体" w:hint="eastAsia"/>
                <w:bCs/>
                <w:sz w:val="21"/>
                <w:szCs w:val="21"/>
                <w:lang w:eastAsia="zh-CN"/>
              </w:rPr>
              <w:t>包含毛巾的清洁与消毒、毛巾的管理与摆放、水杯的清洁与消毒、水杯的管理与摆放、桌面的清洁与消毒、餐具的清洁与消毒、餐后地面的清洁与消毒、卧具整理、头发梳理、奶粉冲调≥10个实训任务，合计≥50个关键技能点，每个实训任务提供展示截图≥3张。</w:t>
            </w:r>
          </w:p>
        </w:tc>
      </w:tr>
      <w:tr>
        <w:tblPrEx>
          <w:tblW w:w="5000" w:type="pct"/>
          <w:tblInd w:w="0" w:type="dxa"/>
          <w:tblLayout w:type="fixed"/>
          <w:tblCellMar>
            <w:top w:w="0" w:type="dxa"/>
            <w:left w:w="108" w:type="dxa"/>
            <w:bottom w:w="0" w:type="dxa"/>
            <w:right w:w="108" w:type="dxa"/>
          </w:tblCellMar>
        </w:tblPrEx>
        <w:trPr>
          <w:trHeight w:val="450"/>
        </w:trPr>
        <w:tc>
          <w:tcPr>
            <w:tcW w:w="804" w:type="dxa"/>
            <w:vMerge/>
            <w:noWrap w:val="0"/>
            <w:vAlign w:val="center"/>
          </w:tcPr>
          <w:p>
            <w:pPr>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 xml:space="preserve"> </w:t>
            </w: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▲18、实训模块五：幼儿健康照护</w:t>
            </w:r>
            <w:r>
              <w:rPr>
                <w:rFonts w:ascii="宋体" w:eastAsia="宋体" w:hAnsi="宋体" w:cs="宋体" w:hint="eastAsia"/>
                <w:bCs/>
                <w:sz w:val="21"/>
                <w:szCs w:val="21"/>
                <w:lang w:eastAsia="zh-CN"/>
              </w:rPr>
              <w:br/>
            </w:r>
            <w:r>
              <w:rPr>
                <w:rFonts w:ascii="宋体" w:eastAsia="宋体" w:hAnsi="宋体" w:cs="宋体" w:hint="eastAsia"/>
                <w:bCs/>
                <w:sz w:val="21"/>
                <w:szCs w:val="21"/>
                <w:lang w:eastAsia="zh-CN"/>
              </w:rPr>
              <w:t>包含婴幼儿五官清洁、婴幼儿洗头、婴儿沐浴、婴儿体重测量、婴儿身长测量、婴幼儿胸围测量、婴幼儿头围测量≥7个实训任务，合计≥35个关键技能点，每个实训任务提供展示截图≥3张。</w:t>
            </w:r>
          </w:p>
        </w:tc>
      </w:tr>
      <w:tr>
        <w:tblPrEx>
          <w:tblW w:w="5000" w:type="pct"/>
          <w:tblInd w:w="0" w:type="dxa"/>
          <w:tblLayout w:type="fixed"/>
          <w:tblCellMar>
            <w:top w:w="0" w:type="dxa"/>
            <w:left w:w="108" w:type="dxa"/>
            <w:bottom w:w="0" w:type="dxa"/>
            <w:right w:w="108" w:type="dxa"/>
          </w:tblCellMar>
        </w:tblPrEx>
        <w:trPr>
          <w:trHeight w:val="90"/>
        </w:trPr>
        <w:tc>
          <w:tcPr>
            <w:tcW w:w="80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243" w:type="dxa"/>
            <w:vMerge w:val="restart"/>
            <w:noWrap w:val="0"/>
            <w:vAlign w:val="center"/>
          </w:tcPr>
          <w:p>
            <w:pPr>
              <w:rPr>
                <w:rFonts w:ascii="宋体" w:eastAsia="宋体" w:hAnsi="宋体" w:cs="宋体" w:hint="eastAsia"/>
                <w:bCs/>
                <w:sz w:val="21"/>
                <w:szCs w:val="21"/>
              </w:rPr>
            </w:pPr>
            <w:r>
              <w:rPr>
                <w:rFonts w:ascii="宋体" w:eastAsia="宋体" w:hAnsi="宋体" w:cs="宋体" w:hint="eastAsia"/>
                <w:bCs/>
                <w:sz w:val="21"/>
                <w:szCs w:val="21"/>
              </w:rPr>
              <w:t xml:space="preserve">人工智能+教育与体育赛道备赛指导平台 </w:t>
            </w: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一、技术参数</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rPr>
              <w:t>1、软件采用C/S架构</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使</w:t>
            </w:r>
            <w:r>
              <w:rPr>
                <w:rFonts w:ascii="宋体" w:eastAsia="宋体" w:hAnsi="宋体" w:cs="宋体" w:hint="eastAsia"/>
                <w:bCs/>
                <w:sz w:val="21"/>
                <w:szCs w:val="21"/>
              </w:rPr>
              <w:t>用SpringBoot与Vue等开发框架，深度融合Java与Web技术，</w:t>
            </w:r>
            <w:r>
              <w:rPr>
                <w:rFonts w:ascii="宋体" w:eastAsia="宋体" w:hAnsi="宋体" w:cs="宋体" w:hint="eastAsia"/>
                <w:bCs/>
                <w:sz w:val="21"/>
                <w:szCs w:val="21"/>
                <w:lang w:eastAsia="zh-CN"/>
              </w:rPr>
              <w:t>保障</w:t>
            </w:r>
            <w:r>
              <w:rPr>
                <w:rFonts w:ascii="宋体" w:eastAsia="宋体" w:hAnsi="宋体" w:cs="宋体" w:hint="eastAsia"/>
                <w:bCs/>
                <w:sz w:val="21"/>
                <w:szCs w:val="21"/>
              </w:rPr>
              <w:t>平台兼容性。</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2、</w:t>
            </w:r>
            <w:r>
              <w:rPr>
                <w:rFonts w:ascii="宋体" w:eastAsia="宋体" w:hAnsi="宋体" w:cs="宋体" w:hint="eastAsia"/>
                <w:bCs/>
                <w:sz w:val="21"/>
                <w:szCs w:val="21"/>
              </w:rPr>
              <w:t>软件支持Windows系统及国产信创操作系统。</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r>
              <w:rPr>
                <w:rFonts w:ascii="宋体" w:eastAsia="宋体" w:hAnsi="宋体" w:cs="宋体" w:hint="eastAsia"/>
                <w:bCs/>
                <w:sz w:val="21"/>
                <w:szCs w:val="21"/>
              </w:rPr>
              <w:t>数据库选用MySQL 5.7及以上版本</w:t>
            </w:r>
            <w:r>
              <w:rPr>
                <w:rFonts w:ascii="宋体" w:eastAsia="宋体" w:hAnsi="宋体" w:cs="宋体" w:hint="eastAsia"/>
                <w:bCs/>
                <w:sz w:val="21"/>
                <w:szCs w:val="21"/>
                <w:lang w:eastAsia="zh-CN"/>
              </w:rPr>
              <w:t>，</w:t>
            </w:r>
            <w:r>
              <w:rPr>
                <w:rFonts w:ascii="宋体" w:eastAsia="宋体" w:hAnsi="宋体" w:cs="宋体" w:hint="eastAsia"/>
                <w:bCs/>
                <w:sz w:val="21"/>
                <w:szCs w:val="21"/>
              </w:rPr>
              <w:t>兼容国产数据库</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4</w:t>
            </w:r>
            <w:r>
              <w:rPr>
                <w:rFonts w:ascii="宋体" w:eastAsia="宋体" w:hAnsi="宋体" w:cs="宋体" w:hint="eastAsia"/>
                <w:bCs/>
                <w:sz w:val="21"/>
                <w:szCs w:val="21"/>
              </w:rPr>
              <w:t>、</w:t>
            </w:r>
            <w:r>
              <w:rPr>
                <w:rFonts w:ascii="宋体" w:eastAsia="宋体" w:hAnsi="宋体" w:cs="宋体" w:hint="eastAsia"/>
                <w:bCs/>
                <w:sz w:val="21"/>
                <w:szCs w:val="21"/>
                <w:lang w:eastAsia="zh-CN"/>
              </w:rPr>
              <w:t>软件</w:t>
            </w:r>
            <w:r>
              <w:rPr>
                <w:rFonts w:ascii="宋体" w:eastAsia="宋体" w:hAnsi="宋体" w:cs="宋体" w:hint="eastAsia"/>
                <w:bCs/>
                <w:sz w:val="21"/>
                <w:szCs w:val="21"/>
              </w:rPr>
              <w:t>采用Unity3D引擎打造3D模拟考场，高度还原现实场景。</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5、软件</w:t>
            </w:r>
            <w:r>
              <w:rPr>
                <w:rFonts w:ascii="宋体" w:eastAsia="宋体" w:hAnsi="宋体" w:cs="宋体" w:hint="eastAsia"/>
                <w:bCs/>
                <w:sz w:val="21"/>
                <w:szCs w:val="21"/>
              </w:rPr>
              <w:t>支持Windows平台，通过鼠标键盘实现3D交互操作。</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6、软件支持</w:t>
            </w:r>
            <w:r>
              <w:rPr>
                <w:rFonts w:ascii="宋体" w:eastAsia="宋体" w:hAnsi="宋体" w:cs="宋体" w:hint="eastAsia"/>
                <w:bCs/>
                <w:sz w:val="21"/>
                <w:szCs w:val="21"/>
              </w:rPr>
              <w:t>PICO VR眼镜应用</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通过</w:t>
            </w:r>
            <w:r>
              <w:rPr>
                <w:rFonts w:ascii="宋体" w:eastAsia="宋体" w:hAnsi="宋体" w:cs="宋体" w:hint="eastAsia"/>
                <w:bCs/>
                <w:sz w:val="21"/>
                <w:szCs w:val="21"/>
              </w:rPr>
              <w:t>第一人称视角带来虚拟现实体验</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二、</w:t>
            </w:r>
            <w:r>
              <w:rPr>
                <w:rFonts w:ascii="宋体" w:eastAsia="宋体" w:hAnsi="宋体" w:cs="宋体" w:hint="eastAsia"/>
                <w:bCs/>
                <w:sz w:val="21"/>
                <w:szCs w:val="21"/>
              </w:rPr>
              <w:t>内容参数</w:t>
            </w:r>
          </w:p>
        </w:tc>
      </w:tr>
      <w:tr>
        <w:tblPrEx>
          <w:tblW w:w="5000" w:type="pct"/>
          <w:tblInd w:w="0" w:type="dxa"/>
          <w:tblLayout w:type="fixed"/>
          <w:tblCellMar>
            <w:top w:w="0" w:type="dxa"/>
            <w:left w:w="108" w:type="dxa"/>
            <w:bottom w:w="0" w:type="dxa"/>
            <w:right w:w="108" w:type="dxa"/>
          </w:tblCellMar>
        </w:tblPrEx>
        <w:trPr>
          <w:trHeight w:val="944"/>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w:t>
            </w:r>
            <w:r>
              <w:rPr>
                <w:rFonts w:ascii="宋体" w:eastAsia="宋体" w:hAnsi="宋体" w:cs="宋体" w:hint="eastAsia"/>
                <w:bCs/>
                <w:sz w:val="21"/>
                <w:szCs w:val="21"/>
              </w:rPr>
              <w:t>提供全国职业院校技能大赛婴幼儿保育赛项国赛模块一职业素养测评的十套在线练习</w:t>
            </w:r>
            <w:r>
              <w:rPr>
                <w:rFonts w:ascii="宋体" w:eastAsia="宋体" w:hAnsi="宋体" w:cs="宋体" w:hint="eastAsia"/>
                <w:bCs/>
                <w:sz w:val="21"/>
                <w:szCs w:val="21"/>
                <w:lang w:eastAsia="zh-CN"/>
              </w:rPr>
              <w:t>。</w:t>
            </w:r>
            <w:r>
              <w:rPr>
                <w:rFonts w:ascii="宋体" w:eastAsia="宋体" w:hAnsi="宋体" w:cs="宋体" w:hint="eastAsia"/>
                <w:bCs/>
                <w:sz w:val="21"/>
                <w:szCs w:val="21"/>
              </w:rPr>
              <w:t>每套练习题均附带详细的参考答案，帮助学生更好地理解和掌握知识点。</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2、数字化资源</w:t>
            </w:r>
            <w:r>
              <w:rPr>
                <w:rFonts w:ascii="宋体" w:eastAsia="宋体" w:hAnsi="宋体" w:cs="宋体" w:hint="eastAsia"/>
                <w:bCs/>
                <w:sz w:val="21"/>
                <w:szCs w:val="21"/>
                <w:lang w:eastAsia="zh-CN"/>
              </w:rPr>
              <w:t>中</w:t>
            </w:r>
            <w:r>
              <w:rPr>
                <w:rFonts w:ascii="宋体" w:eastAsia="宋体" w:hAnsi="宋体" w:cs="宋体" w:hint="eastAsia"/>
                <w:bCs/>
                <w:sz w:val="21"/>
                <w:szCs w:val="21"/>
              </w:rPr>
              <w:t>案例分析：提供婴幼儿保育赛项模块一的案例分析资源，帮助学生深入理解理论知识与实际应用的结合</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w:t>
            </w:r>
            <w:r>
              <w:rPr>
                <w:rFonts w:ascii="宋体" w:eastAsia="宋体" w:hAnsi="宋体" w:cs="宋体" w:hint="eastAsia"/>
                <w:bCs/>
                <w:sz w:val="21"/>
                <w:szCs w:val="21"/>
              </w:rPr>
              <w:t>微课讲解视频：提供模块二与模块三的微课讲解视频。</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rPr>
                <w:rFonts w:ascii="宋体" w:eastAsia="宋体" w:hAnsi="宋体" w:cs="宋体" w:hint="eastAsia"/>
                <w:bCs/>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4、</w:t>
            </w:r>
            <w:r>
              <w:rPr>
                <w:rFonts w:ascii="宋体" w:eastAsia="宋体" w:hAnsi="宋体" w:cs="宋体" w:hint="eastAsia"/>
                <w:bCs/>
                <w:sz w:val="21"/>
                <w:szCs w:val="21"/>
              </w:rPr>
              <w:t>▲示范操作视频：提供</w:t>
            </w:r>
            <w:r>
              <w:rPr>
                <w:rFonts w:ascii="宋体" w:eastAsia="宋体" w:hAnsi="宋体" w:cs="宋体" w:hint="eastAsia"/>
                <w:bCs/>
                <w:sz w:val="21"/>
                <w:szCs w:val="21"/>
                <w:lang w:eastAsia="zh-CN"/>
              </w:rPr>
              <w:t>≥</w:t>
            </w:r>
            <w:r>
              <w:rPr>
                <w:rFonts w:ascii="宋体" w:eastAsia="宋体" w:hAnsi="宋体" w:cs="宋体" w:hint="eastAsia"/>
                <w:bCs/>
                <w:sz w:val="21"/>
                <w:szCs w:val="21"/>
              </w:rPr>
              <w:t>10个国赛获奖选手的示范操作视频，</w:t>
            </w:r>
            <w:r>
              <w:rPr>
                <w:rFonts w:ascii="宋体" w:eastAsia="宋体" w:hAnsi="宋体" w:cs="宋体" w:hint="eastAsia"/>
                <w:bCs/>
                <w:sz w:val="21"/>
                <w:szCs w:val="21"/>
                <w:lang w:eastAsia="zh-CN"/>
              </w:rPr>
              <w:t>提供展示该内容截图≥10张</w:t>
            </w:r>
            <w:r>
              <w:rPr>
                <w:rFonts w:ascii="宋体" w:eastAsia="宋体" w:hAnsi="宋体" w:cs="宋体" w:hint="eastAsia"/>
                <w:bCs/>
                <w:sz w:val="21"/>
                <w:szCs w:val="21"/>
              </w:rPr>
              <w:t>。</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5、</w:t>
            </w:r>
            <w:r>
              <w:rPr>
                <w:rFonts w:ascii="宋体" w:eastAsia="宋体" w:hAnsi="宋体" w:cs="宋体" w:hint="eastAsia"/>
                <w:bCs/>
                <w:sz w:val="21"/>
                <w:szCs w:val="21"/>
              </w:rPr>
              <w:t>点评音频：提供</w:t>
            </w:r>
            <w:r>
              <w:rPr>
                <w:rFonts w:ascii="宋体" w:eastAsia="宋体" w:hAnsi="宋体" w:cs="宋体" w:hint="eastAsia"/>
                <w:bCs/>
                <w:sz w:val="21"/>
                <w:szCs w:val="21"/>
                <w:lang w:eastAsia="zh-CN"/>
              </w:rPr>
              <w:t>≥</w:t>
            </w:r>
            <w:r>
              <w:rPr>
                <w:rFonts w:ascii="宋体" w:eastAsia="宋体" w:hAnsi="宋体" w:cs="宋体" w:hint="eastAsia"/>
                <w:bCs/>
                <w:sz w:val="21"/>
                <w:szCs w:val="21"/>
              </w:rPr>
              <w:t>3条省级</w:t>
            </w:r>
            <w:r>
              <w:rPr>
                <w:rFonts w:ascii="宋体" w:eastAsia="宋体" w:hAnsi="宋体" w:cs="宋体" w:hint="eastAsia"/>
                <w:bCs/>
                <w:sz w:val="21"/>
                <w:szCs w:val="21"/>
                <w:lang w:eastAsia="zh-CN"/>
              </w:rPr>
              <w:t>或</w:t>
            </w:r>
            <w:r>
              <w:rPr>
                <w:rFonts w:ascii="宋体" w:eastAsia="宋体" w:hAnsi="宋体" w:cs="宋体" w:hint="eastAsia"/>
                <w:bCs/>
                <w:sz w:val="21"/>
                <w:szCs w:val="21"/>
              </w:rPr>
              <w:t>以上大赛的点评音频。</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6、▲世界职业院校技能大赛示范操作视频</w:t>
            </w:r>
            <w:r>
              <w:rPr>
                <w:rFonts w:ascii="宋体" w:eastAsia="宋体" w:hAnsi="宋体" w:cs="宋体" w:hint="eastAsia"/>
                <w:bCs/>
                <w:sz w:val="21"/>
                <w:szCs w:val="21"/>
                <w:lang w:eastAsia="zh-CN"/>
              </w:rPr>
              <w:br/>
            </w:r>
            <w:r>
              <w:rPr>
                <w:rFonts w:ascii="宋体" w:eastAsia="宋体" w:hAnsi="宋体" w:cs="宋体" w:hint="eastAsia"/>
                <w:bCs/>
                <w:sz w:val="21"/>
                <w:szCs w:val="21"/>
                <w:lang w:eastAsia="zh-CN"/>
              </w:rPr>
              <w:t>提供≥2个世界职业院校技能大赛教育与体育赛道中获奖选手的示范操作视频，提供展示该内容截图≥2张。</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7、▲世界职业院校技能大赛备赛指导视频</w:t>
            </w:r>
            <w:r>
              <w:rPr>
                <w:rFonts w:ascii="宋体" w:eastAsia="宋体" w:hAnsi="宋体" w:cs="宋体" w:hint="eastAsia"/>
                <w:bCs/>
                <w:sz w:val="21"/>
                <w:szCs w:val="21"/>
                <w:lang w:eastAsia="zh-CN"/>
              </w:rPr>
              <w:br/>
            </w:r>
            <w:r>
              <w:rPr>
                <w:rFonts w:ascii="宋体" w:eastAsia="宋体" w:hAnsi="宋体" w:cs="宋体" w:hint="eastAsia"/>
                <w:bCs/>
                <w:sz w:val="21"/>
                <w:szCs w:val="21"/>
                <w:lang w:eastAsia="zh-CN"/>
              </w:rPr>
              <w:t>提供≥4个参赛项目设计及备赛指导视频，提供展示该内容截图≥4张。</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三、功能参数</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color w:val="227ACB"/>
                <w:sz w:val="21"/>
                <w:szCs w:val="21"/>
              </w:rPr>
            </w:pPr>
            <w:r>
              <w:rPr>
                <w:rFonts w:ascii="宋体" w:eastAsia="宋体" w:hAnsi="宋体" w:cs="宋体" w:hint="eastAsia"/>
                <w:bCs/>
                <w:sz w:val="21"/>
                <w:szCs w:val="21"/>
                <w:lang w:eastAsia="zh-CN"/>
              </w:rPr>
              <w:t>1、</w:t>
            </w:r>
            <w:r>
              <w:rPr>
                <w:rFonts w:ascii="宋体" w:eastAsia="宋体" w:hAnsi="宋体" w:cs="宋体" w:hint="eastAsia"/>
                <w:bCs/>
                <w:sz w:val="21"/>
                <w:szCs w:val="21"/>
              </w:rPr>
              <w:t>系统内置管理员、教师、学生三大角色，各司其职，协同作业，有效管理教学资源与学习活动。</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color w:val="227ACB"/>
                <w:sz w:val="21"/>
                <w:szCs w:val="21"/>
              </w:rPr>
            </w:pPr>
            <w:r>
              <w:rPr>
                <w:rFonts w:ascii="宋体" w:eastAsia="宋体" w:hAnsi="宋体" w:cs="宋体" w:hint="eastAsia"/>
                <w:bCs/>
                <w:sz w:val="21"/>
                <w:szCs w:val="21"/>
                <w:lang w:eastAsia="zh-CN"/>
              </w:rPr>
              <w:t>2、</w:t>
            </w:r>
            <w:r>
              <w:rPr>
                <w:rFonts w:ascii="宋体" w:eastAsia="宋体" w:hAnsi="宋体" w:cs="宋体" w:hint="eastAsia"/>
                <w:bCs/>
                <w:sz w:val="21"/>
                <w:szCs w:val="21"/>
                <w:lang w:eastAsia="zh-CN"/>
              </w:rPr>
              <w:t>具备</w:t>
            </w:r>
            <w:r>
              <w:rPr>
                <w:rFonts w:ascii="宋体" w:eastAsia="宋体" w:hAnsi="宋体" w:cs="宋体" w:hint="eastAsia"/>
                <w:bCs/>
                <w:sz w:val="21"/>
                <w:szCs w:val="21"/>
              </w:rPr>
              <w:t>便捷的电脑端访问页面。</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color w:val="227ACB"/>
                <w:sz w:val="21"/>
                <w:szCs w:val="21"/>
                <w:lang w:eastAsia="zh-CN"/>
              </w:rPr>
            </w:pPr>
            <w:r>
              <w:rPr>
                <w:rFonts w:ascii="宋体" w:eastAsia="宋体" w:hAnsi="宋体" w:cs="宋体" w:hint="eastAsia"/>
                <w:bCs/>
                <w:sz w:val="21"/>
                <w:szCs w:val="21"/>
                <w:lang w:eastAsia="zh-CN"/>
              </w:rPr>
              <w:t>3、</w:t>
            </w:r>
            <w:r>
              <w:rPr>
                <w:rFonts w:ascii="宋体" w:eastAsia="宋体" w:hAnsi="宋体" w:cs="宋体" w:hint="eastAsia"/>
                <w:bCs/>
                <w:sz w:val="21"/>
                <w:szCs w:val="21"/>
              </w:rPr>
              <w:t>提供全国职业院校技能大赛婴幼儿保育赛项国赛模块一职业素养测评十套题的在线练习，并附带详细参考答案</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color w:val="227ACB"/>
                <w:sz w:val="21"/>
                <w:szCs w:val="21"/>
              </w:rPr>
            </w:pPr>
            <w:r>
              <w:rPr>
                <w:rFonts w:ascii="宋体" w:eastAsia="宋体" w:hAnsi="宋体" w:cs="宋体" w:hint="eastAsia"/>
                <w:bCs/>
                <w:sz w:val="21"/>
                <w:szCs w:val="21"/>
                <w:lang w:eastAsia="zh-CN"/>
              </w:rPr>
              <w:t>4</w:t>
            </w:r>
            <w:r>
              <w:rPr>
                <w:rFonts w:ascii="宋体" w:eastAsia="宋体" w:hAnsi="宋体" w:cs="宋体" w:hint="eastAsia"/>
                <w:bCs/>
                <w:sz w:val="21"/>
                <w:szCs w:val="21"/>
              </w:rPr>
              <w:t>、视频学习</w:t>
            </w:r>
            <w:r>
              <w:rPr>
                <w:rFonts w:ascii="宋体" w:eastAsia="宋体" w:hAnsi="宋体" w:cs="宋体" w:hint="eastAsia"/>
                <w:bCs/>
                <w:sz w:val="21"/>
                <w:szCs w:val="21"/>
                <w:lang w:eastAsia="zh-CN"/>
              </w:rPr>
              <w:t>数字化</w:t>
            </w:r>
            <w:r>
              <w:rPr>
                <w:rFonts w:ascii="宋体" w:eastAsia="宋体" w:hAnsi="宋体" w:cs="宋体" w:hint="eastAsia"/>
                <w:bCs/>
                <w:sz w:val="21"/>
                <w:szCs w:val="21"/>
              </w:rPr>
              <w:t>资源</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r>
              <w:rPr>
                <w:rFonts w:ascii="宋体" w:eastAsia="宋体" w:hAnsi="宋体" w:cs="宋体" w:hint="eastAsia"/>
                <w:bCs/>
                <w:sz w:val="21"/>
                <w:szCs w:val="21"/>
              </w:rPr>
              <w:t>智能记录练习中的错题，帮助学生精准定位知识盲点，提升学习效率。</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6、</w:t>
            </w:r>
            <w:r>
              <w:rPr>
                <w:rFonts w:ascii="宋体" w:eastAsia="宋体" w:hAnsi="宋体" w:cs="宋体" w:hint="eastAsia"/>
                <w:bCs/>
                <w:sz w:val="21"/>
                <w:szCs w:val="21"/>
              </w:rPr>
              <w:t>支持题目收藏，方便随时回顾与巩固</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7、</w:t>
            </w:r>
            <w:r>
              <w:rPr>
                <w:rFonts w:ascii="宋体" w:eastAsia="宋体" w:hAnsi="宋体" w:cs="宋体" w:hint="eastAsia"/>
                <w:bCs/>
                <w:sz w:val="21"/>
                <w:szCs w:val="21"/>
              </w:rPr>
              <w:t>考评分为统一训练与随机考试两种模式，助力市赛、省赛校内参赛选手的选拔</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8、</w:t>
            </w:r>
            <w:r>
              <w:rPr>
                <w:rFonts w:ascii="宋体" w:eastAsia="宋体" w:hAnsi="宋体" w:cs="宋体" w:hint="eastAsia"/>
                <w:bCs/>
                <w:sz w:val="21"/>
                <w:szCs w:val="21"/>
              </w:rPr>
              <w:t>教师统一配置试题，学生同步测评，系统自动评分，全面检验学习成果</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9、</w:t>
            </w:r>
            <w:r>
              <w:rPr>
                <w:rFonts w:ascii="宋体" w:eastAsia="宋体" w:hAnsi="宋体" w:cs="宋体" w:hint="eastAsia"/>
                <w:bCs/>
                <w:sz w:val="21"/>
                <w:szCs w:val="21"/>
              </w:rPr>
              <w:t>系统随机生成试题，每次提交后刷新，有效帮助学生查漏补缺，提升应试能力</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10、</w:t>
            </w:r>
            <w:r>
              <w:rPr>
                <w:rFonts w:ascii="宋体" w:eastAsia="宋体" w:hAnsi="宋体" w:cs="宋体" w:hint="eastAsia"/>
                <w:bCs/>
                <w:sz w:val="21"/>
                <w:szCs w:val="21"/>
              </w:rPr>
              <w:t>详细记录每次模拟考评的结果，便于学生查看历史成绩，持续进步</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11、软件支持</w:t>
            </w:r>
            <w:r>
              <w:rPr>
                <w:rFonts w:ascii="宋体" w:eastAsia="宋体" w:hAnsi="宋体" w:cs="宋体" w:hint="eastAsia"/>
                <w:bCs/>
                <w:sz w:val="21"/>
                <w:szCs w:val="21"/>
              </w:rPr>
              <w:t>3D模拟考场</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3D模拟考场</w:t>
            </w:r>
            <w:r>
              <w:rPr>
                <w:rFonts w:ascii="宋体" w:eastAsia="宋体" w:hAnsi="宋体" w:cs="宋体" w:hint="eastAsia"/>
                <w:bCs/>
                <w:sz w:val="21"/>
                <w:szCs w:val="21"/>
              </w:rPr>
              <w:t>严格按照全国职业院校技能大赛婴幼儿保育赛项规程开发，分为分组、赛场A、赛场B/C三大环节</w:t>
            </w:r>
          </w:p>
        </w:tc>
      </w:tr>
      <w:tr>
        <w:tblPrEx>
          <w:tblW w:w="5000" w:type="pct"/>
          <w:tblInd w:w="0" w:type="dxa"/>
          <w:tblLayout w:type="fixed"/>
          <w:tblCellMar>
            <w:top w:w="0" w:type="dxa"/>
            <w:left w:w="108" w:type="dxa"/>
            <w:bottom w:w="0" w:type="dxa"/>
            <w:right w:w="108" w:type="dxa"/>
          </w:tblCellMar>
        </w:tblPrEx>
        <w:trPr>
          <w:trHeight w:val="17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12、</w:t>
            </w:r>
            <w:r>
              <w:rPr>
                <w:rFonts w:ascii="宋体" w:eastAsia="宋体" w:hAnsi="宋体" w:cs="宋体" w:hint="eastAsia"/>
                <w:bCs/>
                <w:sz w:val="21"/>
                <w:szCs w:val="21"/>
              </w:rPr>
              <w:t>3D模拟考场包含多个模拟教室，如加密室、侯赛室、备赛室、A赛场竞赛室、B赛场竞赛室、C赛场竞赛室、休息室、保密室等，引导学生沉浸式熟悉赛场环境，提升综合能力</w:t>
            </w:r>
          </w:p>
        </w:tc>
      </w:tr>
      <w:tr>
        <w:tblPrEx>
          <w:tblW w:w="5000" w:type="pct"/>
          <w:tblInd w:w="0" w:type="dxa"/>
          <w:tblLayout w:type="fixed"/>
          <w:tblCellMar>
            <w:top w:w="0" w:type="dxa"/>
            <w:left w:w="108" w:type="dxa"/>
            <w:bottom w:w="0" w:type="dxa"/>
            <w:right w:w="108" w:type="dxa"/>
          </w:tblCellMar>
        </w:tblPrEx>
        <w:trPr>
          <w:trHeight w:val="272"/>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13、支持</w:t>
            </w:r>
            <w:r>
              <w:rPr>
                <w:rFonts w:ascii="宋体" w:eastAsia="宋体" w:hAnsi="宋体" w:cs="宋体" w:hint="eastAsia"/>
                <w:bCs/>
                <w:sz w:val="21"/>
                <w:szCs w:val="21"/>
              </w:rPr>
              <w:t>教师添加、修改试卷内容，精准配置模拟考评试题</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14、支持</w:t>
            </w:r>
            <w:r>
              <w:rPr>
                <w:rFonts w:ascii="宋体" w:eastAsia="宋体" w:hAnsi="宋体" w:cs="宋体" w:hint="eastAsia"/>
                <w:bCs/>
                <w:sz w:val="21"/>
                <w:szCs w:val="21"/>
              </w:rPr>
              <w:t>教师实时查看学生考评记录，包括交卷状态、完成时间、正确率等</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15、支持教师</w:t>
            </w:r>
            <w:r>
              <w:rPr>
                <w:rFonts w:ascii="宋体" w:eastAsia="宋体" w:hAnsi="宋体" w:cs="宋体" w:hint="eastAsia"/>
                <w:bCs/>
                <w:sz w:val="21"/>
                <w:szCs w:val="21"/>
              </w:rPr>
              <w:t>汇总学生错题，辅助教学</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16、支持教师</w:t>
            </w:r>
            <w:r>
              <w:rPr>
                <w:rFonts w:ascii="宋体" w:eastAsia="宋体" w:hAnsi="宋体" w:cs="宋体" w:hint="eastAsia"/>
                <w:bCs/>
                <w:sz w:val="21"/>
                <w:szCs w:val="21"/>
              </w:rPr>
              <w:t>创建、修改、删除班级与学生账号，高效管理教学资源</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17、支持管理员</w:t>
            </w:r>
            <w:r>
              <w:rPr>
                <w:rFonts w:ascii="宋体" w:eastAsia="宋体" w:hAnsi="宋体" w:cs="宋体" w:hint="eastAsia"/>
                <w:bCs/>
                <w:sz w:val="21"/>
                <w:szCs w:val="21"/>
              </w:rPr>
              <w:t>全面管理教师、学生账号，支持创建、修改、删除操作</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jc w:val="center"/>
              <w:rPr>
                <w:rFonts w:ascii="宋体" w:eastAsia="宋体" w:hAnsi="宋体" w:cs="宋体" w:hint="eastAsia"/>
                <w:b/>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18、支持管理员</w:t>
            </w:r>
            <w:r>
              <w:rPr>
                <w:rFonts w:ascii="宋体" w:eastAsia="宋体" w:hAnsi="宋体" w:cs="宋体" w:hint="eastAsia"/>
                <w:bCs/>
                <w:sz w:val="21"/>
                <w:szCs w:val="21"/>
              </w:rPr>
              <w:t>高效管理班级信息，包括创建、修改、删除班级</w:t>
            </w:r>
          </w:p>
        </w:tc>
      </w:tr>
      <w:tr>
        <w:tblPrEx>
          <w:tblW w:w="5000" w:type="pct"/>
          <w:tblInd w:w="0" w:type="dxa"/>
          <w:tblLayout w:type="fixed"/>
          <w:tblCellMar>
            <w:top w:w="0" w:type="dxa"/>
            <w:left w:w="108" w:type="dxa"/>
            <w:bottom w:w="0" w:type="dxa"/>
            <w:right w:w="108" w:type="dxa"/>
          </w:tblCellMar>
        </w:tblPrEx>
        <w:trPr>
          <w:trHeight w:val="2532"/>
        </w:trPr>
        <w:tc>
          <w:tcPr>
            <w:tcW w:w="80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243" w:type="dxa"/>
            <w:vMerge w:val="restart"/>
            <w:noWrap w:val="0"/>
            <w:vAlign w:val="center"/>
          </w:tcPr>
          <w:p>
            <w:pPr>
              <w:widowControl/>
              <w:jc w:val="center"/>
              <w:textAlignment w:val="center"/>
              <w:rPr>
                <w:rFonts w:ascii="宋体" w:eastAsia="宋体" w:hAnsi="宋体" w:cs="宋体" w:hint="eastAsia"/>
                <w:b/>
                <w:sz w:val="21"/>
                <w:szCs w:val="21"/>
              </w:rPr>
            </w:pPr>
            <w:r>
              <w:rPr>
                <w:rFonts w:ascii="宋体" w:eastAsia="宋体" w:hAnsi="宋体" w:cs="宋体" w:hint="eastAsia"/>
                <w:color w:val="000000"/>
                <w:sz w:val="21"/>
                <w:szCs w:val="21"/>
                <w:lang w:bidi="ar"/>
              </w:rPr>
              <w:t>VR眼镜</w:t>
            </w: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1、计算平台</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CPU：高通XR2，Kryo 585核心，≥8核64位，最高主频 ≥2.84GHz，≥7nm制程工艺</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GPU：Adreno 650，主频 587MHz</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内存：≥6GB RAM，LPDDR4X</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闪存：UFS3.0 256GB</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WIFI：2X2 MIMO WIFI6 802.11 b/g/n/ac/ax，≥2.4G/5G双频</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BT：≥5.1</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 xml:space="preserve">操作系统Android 10 </w:t>
            </w:r>
          </w:p>
        </w:tc>
      </w:tr>
      <w:tr>
        <w:tblPrEx>
          <w:tblW w:w="5000" w:type="pct"/>
          <w:tblInd w:w="0" w:type="dxa"/>
          <w:tblLayout w:type="fixed"/>
          <w:tblCellMar>
            <w:top w:w="0" w:type="dxa"/>
            <w:left w:w="108" w:type="dxa"/>
            <w:bottom w:w="0" w:type="dxa"/>
            <w:right w:w="108" w:type="dxa"/>
          </w:tblCellMar>
        </w:tblPrEx>
        <w:trPr>
          <w:trHeight w:val="912"/>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2、显示</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屏幕：≥5.5 inch x 1 SFR TFT</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分辨率：≥3664x1920，PPI：773</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刷新率：≥75Hz</w:t>
            </w:r>
          </w:p>
        </w:tc>
      </w:tr>
      <w:tr>
        <w:tblPrEx>
          <w:tblW w:w="5000" w:type="pct"/>
          <w:tblInd w:w="0" w:type="dxa"/>
          <w:tblLayout w:type="fixed"/>
          <w:tblCellMar>
            <w:top w:w="0" w:type="dxa"/>
            <w:left w:w="108" w:type="dxa"/>
            <w:bottom w:w="0" w:type="dxa"/>
            <w:right w:w="108" w:type="dxa"/>
          </w:tblCellMar>
        </w:tblPrEx>
        <w:trPr>
          <w:trHeight w:val="152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3、光学</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视场角：≥98°</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透镜：菲涅尔</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瞳距调节：支持物理瞳距调节，三档：≥58/63.5/69mm</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护眼模式：通过TUV低蓝光认证，可以在系统设置中开启该功能</w:t>
            </w:r>
          </w:p>
        </w:tc>
      </w:tr>
      <w:tr>
        <w:tblPrEx>
          <w:tblW w:w="5000" w:type="pct"/>
          <w:tblInd w:w="0" w:type="dxa"/>
          <w:tblLayout w:type="fixed"/>
          <w:tblCellMar>
            <w:top w:w="0" w:type="dxa"/>
            <w:left w:w="108" w:type="dxa"/>
            <w:bottom w:w="0" w:type="dxa"/>
            <w:right w:w="108" w:type="dxa"/>
          </w:tblCellMar>
        </w:tblPrEx>
        <w:trPr>
          <w:trHeight w:val="619"/>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4、传感器</w:t>
            </w:r>
          </w:p>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rPr>
              <w:t>9轴传感器：≥1KHz采样频率</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P-senor：人脸佩戴感应</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5、摄像头</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前置摄像头：鱼眼摄像头(≥640x480@120Hz, FOV:166°) x 4，支持头部6Dof定位</w:t>
            </w:r>
          </w:p>
        </w:tc>
      </w:tr>
      <w:tr>
        <w:tblPrEx>
          <w:tblW w:w="5000" w:type="pct"/>
          <w:tblInd w:w="0" w:type="dxa"/>
          <w:tblLayout w:type="fixed"/>
          <w:tblCellMar>
            <w:top w:w="0" w:type="dxa"/>
            <w:left w:w="108" w:type="dxa"/>
            <w:bottom w:w="0" w:type="dxa"/>
            <w:right w:w="108" w:type="dxa"/>
          </w:tblCellMar>
        </w:tblPrEx>
        <w:trPr>
          <w:trHeight w:val="91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6、交互</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手柄：6DoF体感手柄 x 2，支持光学定位，支持线性振动马达</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机身按键：电源键，APP键（返回键），确认键，Home键，音量加，音量减</w:t>
            </w:r>
          </w:p>
        </w:tc>
      </w:tr>
      <w:tr>
        <w:tblPrEx>
          <w:tblW w:w="5000" w:type="pct"/>
          <w:tblInd w:w="0" w:type="dxa"/>
          <w:tblLayout w:type="fixed"/>
          <w:tblCellMar>
            <w:top w:w="0" w:type="dxa"/>
            <w:left w:w="108" w:type="dxa"/>
            <w:bottom w:w="0" w:type="dxa"/>
            <w:right w:w="108" w:type="dxa"/>
          </w:tblCellMar>
        </w:tblPrEx>
        <w:trPr>
          <w:trHeight w:val="1218"/>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7、设计及人体工程</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重量</w:t>
            </w:r>
            <w:r>
              <w:rPr>
                <w:rFonts w:ascii="宋体" w:eastAsia="宋体" w:hAnsi="宋体" w:cs="宋体" w:hint="eastAsia"/>
                <w:bCs/>
                <w:sz w:val="21"/>
                <w:szCs w:val="21"/>
                <w:lang w:eastAsia="zh-CN"/>
              </w:rPr>
              <w:t>：</w:t>
            </w:r>
            <w:r>
              <w:rPr>
                <w:rFonts w:ascii="宋体" w:eastAsia="宋体" w:hAnsi="宋体" w:cs="宋体" w:hint="eastAsia"/>
                <w:bCs/>
                <w:sz w:val="21"/>
                <w:szCs w:val="21"/>
              </w:rPr>
              <w:t>≥395g（不含绑带部分机构）</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绑带：采用软头带设计</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人体工程设计：前置头盔和后置电池组成更为合理的力学分担设计，佩戴面部舒适。</w:t>
            </w:r>
          </w:p>
        </w:tc>
      </w:tr>
      <w:tr>
        <w:tblPrEx>
          <w:tblW w:w="5000" w:type="pct"/>
          <w:tblInd w:w="0" w:type="dxa"/>
          <w:tblLayout w:type="fixed"/>
          <w:tblCellMar>
            <w:top w:w="0" w:type="dxa"/>
            <w:left w:w="108" w:type="dxa"/>
            <w:bottom w:w="0" w:type="dxa"/>
            <w:right w:w="108" w:type="dxa"/>
          </w:tblCellMar>
        </w:tblPrEx>
        <w:trPr>
          <w:trHeight w:val="90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8.电源</w:t>
            </w:r>
          </w:p>
          <w:p>
            <w:pPr>
              <w:rPr>
                <w:rFonts w:ascii="宋体" w:eastAsia="宋体" w:hAnsi="宋体" w:cs="宋体" w:hint="eastAsia"/>
                <w:bCs/>
                <w:sz w:val="21"/>
                <w:szCs w:val="21"/>
                <w:lang w:eastAsia="zh-CN"/>
              </w:rPr>
            </w:pPr>
            <w:r>
              <w:rPr>
                <w:rFonts w:ascii="宋体" w:eastAsia="宋体" w:hAnsi="宋体" w:cs="宋体" w:hint="eastAsia"/>
                <w:bCs/>
                <w:sz w:val="21"/>
                <w:szCs w:val="21"/>
              </w:rPr>
              <w:t>充电：支持QC3.0快速充电</w:t>
            </w:r>
          </w:p>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rPr>
              <w:t>扬声器：内置双立体声喇叭</w:t>
            </w:r>
          </w:p>
          <w:p>
            <w:pPr>
              <w:rPr>
                <w:rFonts w:ascii="宋体" w:eastAsia="宋体" w:hAnsi="宋体" w:cs="宋体" w:hint="eastAsia"/>
                <w:bCs/>
                <w:sz w:val="21"/>
                <w:szCs w:val="21"/>
              </w:rPr>
            </w:pPr>
            <w:r>
              <w:rPr>
                <w:rFonts w:ascii="宋体" w:eastAsia="宋体" w:hAnsi="宋体" w:cs="宋体" w:hint="eastAsia"/>
                <w:bCs/>
                <w:sz w:val="21"/>
                <w:szCs w:val="21"/>
              </w:rPr>
              <w:t>电池容量：≥5300mAh</w:t>
            </w:r>
          </w:p>
          <w:p>
            <w:pPr>
              <w:rPr>
                <w:rFonts w:ascii="宋体" w:eastAsia="宋体" w:hAnsi="宋体" w:cs="宋体" w:hint="eastAsia"/>
                <w:bCs/>
                <w:sz w:val="21"/>
                <w:szCs w:val="21"/>
                <w:lang w:eastAsia="zh-CN"/>
              </w:rPr>
            </w:pPr>
            <w:r>
              <w:rPr>
                <w:rFonts w:ascii="宋体" w:eastAsia="宋体" w:hAnsi="宋体" w:cs="宋体" w:hint="eastAsia"/>
                <w:bCs/>
                <w:sz w:val="21"/>
                <w:szCs w:val="21"/>
              </w:rPr>
              <w:t>三色Led 显示开机，关机，充电状态。</w:t>
            </w:r>
          </w:p>
        </w:tc>
      </w:tr>
      <w:tr>
        <w:tblPrEx>
          <w:tblW w:w="5000" w:type="pct"/>
          <w:tblInd w:w="0" w:type="dxa"/>
          <w:tblLayout w:type="fixed"/>
          <w:tblCellMar>
            <w:top w:w="0" w:type="dxa"/>
            <w:left w:w="108" w:type="dxa"/>
            <w:bottom w:w="0" w:type="dxa"/>
            <w:right w:w="108" w:type="dxa"/>
          </w:tblCellMar>
        </w:tblPrEx>
        <w:trPr>
          <w:trHeight w:val="1523"/>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9、声学及传输</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麦克风：双麦克降噪，全指向麦克风</w:t>
            </w:r>
          </w:p>
          <w:p>
            <w:pPr>
              <w:rPr>
                <w:rFonts w:ascii="宋体" w:eastAsia="宋体" w:hAnsi="宋体" w:cs="宋体" w:hint="eastAsia"/>
                <w:bCs/>
                <w:sz w:val="21"/>
                <w:szCs w:val="21"/>
              </w:rPr>
            </w:pPr>
            <w:r>
              <w:rPr>
                <w:rFonts w:ascii="宋体" w:eastAsia="宋体" w:hAnsi="宋体" w:cs="宋体" w:hint="eastAsia"/>
                <w:bCs/>
                <w:sz w:val="21"/>
                <w:szCs w:val="21"/>
                <w:lang w:eastAsia="zh-CN"/>
              </w:rPr>
              <w:t>传输：</w:t>
            </w:r>
            <w:r>
              <w:rPr>
                <w:rFonts w:ascii="宋体" w:eastAsia="宋体" w:hAnsi="宋体" w:cs="宋体" w:hint="eastAsia"/>
                <w:bCs/>
                <w:sz w:val="21"/>
                <w:szCs w:val="21"/>
              </w:rPr>
              <w:t>USB Type-C 3.0</w:t>
            </w:r>
            <w:r>
              <w:rPr>
                <w:rFonts w:ascii="宋体" w:eastAsia="宋体" w:hAnsi="宋体" w:cs="宋体" w:hint="eastAsia"/>
                <w:bCs/>
                <w:sz w:val="21"/>
                <w:szCs w:val="21"/>
                <w:lang w:eastAsia="zh-CN"/>
              </w:rPr>
              <w:t>，</w:t>
            </w:r>
            <w:r>
              <w:rPr>
                <w:rFonts w:ascii="宋体" w:eastAsia="宋体" w:hAnsi="宋体" w:cs="宋体" w:hint="eastAsia"/>
                <w:bCs/>
                <w:sz w:val="21"/>
                <w:szCs w:val="21"/>
              </w:rPr>
              <w:t>USB3.0数据传输</w:t>
            </w:r>
            <w:r>
              <w:rPr>
                <w:rFonts w:ascii="宋体" w:eastAsia="宋体" w:hAnsi="宋体" w:cs="宋体" w:hint="eastAsia"/>
                <w:bCs/>
                <w:sz w:val="21"/>
                <w:szCs w:val="21"/>
                <w:lang w:eastAsia="zh-CN"/>
              </w:rPr>
              <w:t>、</w:t>
            </w:r>
            <w:r>
              <w:rPr>
                <w:rFonts w:ascii="宋体" w:eastAsia="宋体" w:hAnsi="宋体" w:cs="宋体" w:hint="eastAsia"/>
                <w:bCs/>
                <w:sz w:val="21"/>
                <w:szCs w:val="21"/>
              </w:rPr>
              <w:t>≥5V/1A OTG 扩展供电能力</w:t>
            </w:r>
            <w:r>
              <w:rPr>
                <w:rFonts w:ascii="宋体" w:eastAsia="宋体" w:hAnsi="宋体" w:cs="宋体" w:hint="eastAsia"/>
                <w:bCs/>
                <w:sz w:val="21"/>
                <w:szCs w:val="21"/>
                <w:lang w:eastAsia="zh-CN"/>
              </w:rPr>
              <w:t>、</w:t>
            </w:r>
            <w:r>
              <w:rPr>
                <w:rFonts w:ascii="宋体" w:eastAsia="宋体" w:hAnsi="宋体" w:cs="宋体" w:hint="eastAsia"/>
                <w:bCs/>
                <w:sz w:val="21"/>
                <w:szCs w:val="21"/>
              </w:rPr>
              <w:t>USB3.0 OTG扩展功能（需要转接线支持）</w:t>
            </w:r>
          </w:p>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≥3.5mm音频接口</w:t>
            </w:r>
            <w:r>
              <w:rPr>
                <w:rFonts w:ascii="宋体" w:eastAsia="宋体" w:hAnsi="宋体" w:cs="宋体" w:hint="eastAsia"/>
                <w:bCs/>
                <w:sz w:val="21"/>
                <w:szCs w:val="21"/>
                <w:lang w:eastAsia="zh-CN"/>
              </w:rPr>
              <w:t>：</w:t>
            </w:r>
            <w:r>
              <w:rPr>
                <w:rFonts w:ascii="宋体" w:eastAsia="宋体" w:hAnsi="宋体" w:cs="宋体" w:hint="eastAsia"/>
                <w:bCs/>
                <w:sz w:val="21"/>
                <w:szCs w:val="21"/>
              </w:rPr>
              <w:t xml:space="preserve">连接第三方立体声耳机使用 </w:t>
            </w:r>
          </w:p>
        </w:tc>
      </w:tr>
      <w:tr>
        <w:tblPrEx>
          <w:tblW w:w="5000" w:type="pct"/>
          <w:tblInd w:w="0" w:type="dxa"/>
          <w:tblLayout w:type="fixed"/>
          <w:tblCellMar>
            <w:top w:w="0" w:type="dxa"/>
            <w:left w:w="108" w:type="dxa"/>
            <w:bottom w:w="0" w:type="dxa"/>
            <w:right w:w="108" w:type="dxa"/>
          </w:tblCellMar>
        </w:tblPrEx>
        <w:trPr>
          <w:trHeight w:val="644"/>
        </w:trPr>
        <w:tc>
          <w:tcPr>
            <w:tcW w:w="804" w:type="dxa"/>
            <w:vMerge w:val="restart"/>
            <w:noWrap w:val="0"/>
            <w:vAlign w:val="center"/>
          </w:tcPr>
          <w:p>
            <w:pPr>
              <w:rPr>
                <w:rFonts w:ascii="宋体" w:eastAsia="宋体" w:hAnsi="宋体" w:cs="宋体" w:hint="eastAsia"/>
                <w:b/>
                <w:sz w:val="21"/>
                <w:szCs w:val="21"/>
              </w:rPr>
            </w:pPr>
            <w:r>
              <w:rPr>
                <w:rFonts w:ascii="宋体" w:eastAsia="宋体" w:hAnsi="宋体" w:cs="宋体" w:hint="eastAsia"/>
                <w:b/>
                <w:sz w:val="21"/>
                <w:szCs w:val="21"/>
              </w:rPr>
              <w:t xml:space="preserve">   4</w:t>
            </w:r>
          </w:p>
        </w:tc>
        <w:tc>
          <w:tcPr>
            <w:tcW w:w="1243" w:type="dxa"/>
            <w:vMerge w:val="restart"/>
            <w:noWrap w:val="0"/>
            <w:vAlign w:val="center"/>
          </w:tcPr>
          <w:p>
            <w:pPr>
              <w:widowControl/>
              <w:jc w:val="center"/>
              <w:textAlignment w:val="center"/>
              <w:rPr>
                <w:rFonts w:ascii="宋体" w:eastAsia="宋体" w:hAnsi="宋体" w:cs="宋体" w:hint="eastAsia"/>
                <w:b/>
                <w:sz w:val="21"/>
                <w:szCs w:val="21"/>
              </w:rPr>
            </w:pPr>
            <w:r>
              <w:rPr>
                <w:rFonts w:ascii="宋体" w:eastAsia="宋体" w:hAnsi="宋体" w:cs="宋体" w:hint="eastAsia"/>
                <w:color w:val="000000"/>
                <w:sz w:val="21"/>
                <w:szCs w:val="21"/>
                <w:lang w:bidi="ar"/>
              </w:rPr>
              <w:t>充电柜</w:t>
            </w: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w:t>
            </w:r>
            <w:r>
              <w:rPr>
                <w:rFonts w:ascii="宋体" w:eastAsia="宋体" w:hAnsi="宋体" w:cs="宋体" w:hint="eastAsia"/>
                <w:bCs/>
                <w:sz w:val="21"/>
                <w:szCs w:val="21"/>
              </w:rPr>
              <w:t>支持并兼容各类VR设备数量</w:t>
            </w:r>
            <w:r>
              <w:rPr>
                <w:rFonts w:ascii="宋体" w:eastAsia="宋体" w:hAnsi="宋体" w:cs="宋体" w:hint="eastAsia"/>
                <w:bCs/>
                <w:sz w:val="21"/>
                <w:szCs w:val="21"/>
                <w:lang w:eastAsia="zh-CN"/>
              </w:rPr>
              <w:t>≥</w:t>
            </w:r>
            <w:r>
              <w:rPr>
                <w:rFonts w:ascii="宋体" w:eastAsia="宋体" w:hAnsi="宋体" w:cs="宋体" w:hint="eastAsia"/>
                <w:bCs/>
                <w:sz w:val="21"/>
                <w:szCs w:val="21"/>
              </w:rPr>
              <w:t>20台，前置USB多功能充电口，具有、管理、储存、USB端口5V2.1A直流快速充电，免适配器。</w:t>
            </w:r>
          </w:p>
        </w:tc>
      </w:tr>
      <w:tr>
        <w:tblPrEx>
          <w:tblW w:w="5000" w:type="pct"/>
          <w:tblInd w:w="0" w:type="dxa"/>
          <w:tblLayout w:type="fixed"/>
          <w:tblCellMar>
            <w:top w:w="0" w:type="dxa"/>
            <w:left w:w="108" w:type="dxa"/>
            <w:bottom w:w="0" w:type="dxa"/>
            <w:right w:w="108" w:type="dxa"/>
          </w:tblCellMar>
        </w:tblPrEx>
        <w:trPr>
          <w:trHeight w:val="644"/>
        </w:trPr>
        <w:tc>
          <w:tcPr>
            <w:tcW w:w="804" w:type="dxa"/>
            <w:vMerge/>
            <w:noWrap w:val="0"/>
            <w:vAlign w:val="center"/>
          </w:tcPr>
          <w:p>
            <w:pPr>
              <w:rPr>
                <w:rFonts w:ascii="宋体" w:eastAsia="宋体" w:hAnsi="宋体" w:cs="宋体" w:hint="eastAsia"/>
                <w:sz w:val="21"/>
                <w:szCs w:val="21"/>
              </w:rPr>
            </w:pPr>
          </w:p>
        </w:tc>
        <w:tc>
          <w:tcPr>
            <w:tcW w:w="1243" w:type="dxa"/>
            <w:vMerge/>
            <w:noWrap w:val="0"/>
            <w:vAlign w:val="center"/>
          </w:tcPr>
          <w:p>
            <w:pPr>
              <w:rPr>
                <w:rFonts w:ascii="宋体" w:eastAsia="宋体" w:hAnsi="宋体" w:cs="宋体" w:hint="eastAsia"/>
                <w:sz w:val="21"/>
                <w:szCs w:val="21"/>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r>
              <w:rPr>
                <w:rFonts w:ascii="宋体" w:eastAsia="宋体" w:hAnsi="宋体" w:cs="宋体" w:hint="eastAsia"/>
                <w:bCs/>
                <w:sz w:val="21"/>
                <w:szCs w:val="21"/>
              </w:rPr>
              <w:t>前门带锁为双开门,全封闭式防盗结构，安全存管；侧舱为电源管理控制区域，可由专业管理人员控制。</w:t>
            </w:r>
          </w:p>
        </w:tc>
      </w:tr>
      <w:tr>
        <w:tblPrEx>
          <w:tblW w:w="5000" w:type="pct"/>
          <w:tblInd w:w="0" w:type="dxa"/>
          <w:tblLayout w:type="fixed"/>
          <w:tblCellMar>
            <w:top w:w="0" w:type="dxa"/>
            <w:left w:w="108" w:type="dxa"/>
            <w:bottom w:w="0" w:type="dxa"/>
            <w:right w:w="108" w:type="dxa"/>
          </w:tblCellMar>
        </w:tblPrEx>
        <w:trPr>
          <w:trHeight w:val="346"/>
        </w:trPr>
        <w:tc>
          <w:tcPr>
            <w:tcW w:w="804" w:type="dxa"/>
            <w:vMerge/>
            <w:noWrap w:val="0"/>
            <w:vAlign w:val="center"/>
          </w:tcPr>
          <w:p>
            <w:pPr>
              <w:rPr>
                <w:rFonts w:ascii="宋体" w:eastAsia="宋体" w:hAnsi="宋体" w:cs="宋体" w:hint="eastAsia"/>
                <w:bCs/>
                <w:sz w:val="21"/>
                <w:szCs w:val="21"/>
                <w:lang w:eastAsia="zh-CN"/>
              </w:rPr>
            </w:pPr>
          </w:p>
        </w:tc>
        <w:tc>
          <w:tcPr>
            <w:tcW w:w="1243" w:type="dxa"/>
            <w:vMerge/>
            <w:noWrap w:val="0"/>
            <w:vAlign w:val="center"/>
          </w:tcPr>
          <w:p>
            <w:pPr>
              <w:rPr>
                <w:rFonts w:ascii="宋体" w:eastAsia="宋体" w:hAnsi="宋体" w:cs="宋体" w:hint="eastAsia"/>
                <w:bCs/>
                <w:sz w:val="21"/>
                <w:szCs w:val="21"/>
                <w:lang w:eastAsia="zh-CN"/>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r>
              <w:rPr>
                <w:rFonts w:ascii="宋体" w:eastAsia="宋体" w:hAnsi="宋体" w:cs="宋体" w:hint="eastAsia"/>
                <w:bCs/>
                <w:sz w:val="21"/>
                <w:szCs w:val="21"/>
              </w:rPr>
              <w:t>智能识别IC芯片，能智能充电识别设备并分配所需电流,每路均有过流、过载、短路、漏电保护，采用单个独立变压供电，而非一个总变压器集中供电，充电更稳定更快速更安全更高效。</w:t>
            </w:r>
          </w:p>
        </w:tc>
      </w:tr>
      <w:tr>
        <w:tblPrEx>
          <w:tblW w:w="5000" w:type="pct"/>
          <w:tblInd w:w="0" w:type="dxa"/>
          <w:tblLayout w:type="fixed"/>
          <w:tblCellMar>
            <w:top w:w="0" w:type="dxa"/>
            <w:left w:w="108" w:type="dxa"/>
            <w:bottom w:w="0" w:type="dxa"/>
            <w:right w:w="108" w:type="dxa"/>
          </w:tblCellMar>
        </w:tblPrEx>
        <w:trPr>
          <w:trHeight w:val="644"/>
        </w:trPr>
        <w:tc>
          <w:tcPr>
            <w:tcW w:w="804" w:type="dxa"/>
            <w:vMerge/>
            <w:noWrap w:val="0"/>
            <w:vAlign w:val="center"/>
          </w:tcPr>
          <w:p>
            <w:pPr>
              <w:rPr>
                <w:rFonts w:ascii="宋体" w:eastAsia="宋体" w:hAnsi="宋体" w:cs="宋体" w:hint="eastAsia"/>
                <w:bCs/>
                <w:sz w:val="21"/>
                <w:szCs w:val="21"/>
                <w:lang w:eastAsia="zh-CN"/>
              </w:rPr>
            </w:pPr>
          </w:p>
        </w:tc>
        <w:tc>
          <w:tcPr>
            <w:tcW w:w="1243" w:type="dxa"/>
            <w:vMerge/>
            <w:noWrap w:val="0"/>
            <w:vAlign w:val="center"/>
          </w:tcPr>
          <w:p>
            <w:pPr>
              <w:rPr>
                <w:rFonts w:ascii="宋体" w:eastAsia="宋体" w:hAnsi="宋体" w:cs="宋体" w:hint="eastAsia"/>
                <w:bCs/>
                <w:sz w:val="21"/>
                <w:szCs w:val="21"/>
                <w:lang w:eastAsia="zh-CN"/>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r>
              <w:rPr>
                <w:rFonts w:ascii="宋体" w:eastAsia="宋体" w:hAnsi="宋体" w:cs="宋体" w:hint="eastAsia"/>
                <w:bCs/>
                <w:sz w:val="21"/>
                <w:szCs w:val="21"/>
              </w:rPr>
              <w:t>专用USB充电接口为2口一组式的模块化设置，方便后期维护和拓展，USB口输出直流5V2.1A；</w:t>
            </w:r>
          </w:p>
        </w:tc>
      </w:tr>
      <w:tr>
        <w:tblPrEx>
          <w:tblW w:w="5000" w:type="pct"/>
          <w:tblInd w:w="0" w:type="dxa"/>
          <w:tblLayout w:type="fixed"/>
          <w:tblCellMar>
            <w:top w:w="0" w:type="dxa"/>
            <w:left w:w="108" w:type="dxa"/>
            <w:bottom w:w="0" w:type="dxa"/>
            <w:right w:w="108" w:type="dxa"/>
          </w:tblCellMar>
        </w:tblPrEx>
        <w:trPr>
          <w:trHeight w:val="644"/>
        </w:trPr>
        <w:tc>
          <w:tcPr>
            <w:tcW w:w="804" w:type="dxa"/>
            <w:vMerge/>
            <w:noWrap w:val="0"/>
            <w:vAlign w:val="center"/>
          </w:tcPr>
          <w:p>
            <w:pPr>
              <w:rPr>
                <w:rFonts w:ascii="宋体" w:eastAsia="宋体" w:hAnsi="宋体" w:cs="宋体" w:hint="eastAsia"/>
                <w:bCs/>
                <w:sz w:val="21"/>
                <w:szCs w:val="21"/>
                <w:lang w:eastAsia="zh-CN"/>
              </w:rPr>
            </w:pPr>
          </w:p>
        </w:tc>
        <w:tc>
          <w:tcPr>
            <w:tcW w:w="1243" w:type="dxa"/>
            <w:vMerge/>
            <w:noWrap w:val="0"/>
            <w:vAlign w:val="center"/>
          </w:tcPr>
          <w:p>
            <w:pPr>
              <w:rPr>
                <w:rFonts w:ascii="宋体" w:eastAsia="宋体" w:hAnsi="宋体" w:cs="宋体" w:hint="eastAsia"/>
                <w:bCs/>
                <w:sz w:val="21"/>
                <w:szCs w:val="21"/>
                <w:lang w:eastAsia="zh-CN"/>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r>
              <w:rPr>
                <w:rFonts w:ascii="宋体" w:eastAsia="宋体" w:hAnsi="宋体" w:cs="宋体" w:hint="eastAsia"/>
                <w:bCs/>
                <w:sz w:val="21"/>
                <w:szCs w:val="21"/>
              </w:rPr>
              <w:t>配备4个</w:t>
            </w:r>
            <w:r>
              <w:rPr>
                <w:rFonts w:ascii="宋体" w:eastAsia="宋体" w:hAnsi="宋体" w:cs="宋体" w:hint="eastAsia"/>
                <w:bCs/>
                <w:sz w:val="21"/>
                <w:szCs w:val="21"/>
                <w:lang w:eastAsia="zh-CN"/>
              </w:rPr>
              <w:t>≥</w:t>
            </w:r>
            <w:r>
              <w:rPr>
                <w:rFonts w:ascii="宋体" w:eastAsia="宋体" w:hAnsi="宋体" w:cs="宋体" w:hint="eastAsia"/>
                <w:bCs/>
                <w:sz w:val="21"/>
                <w:szCs w:val="21"/>
              </w:rPr>
              <w:t>3寸万向轮（带刹车功能），ABS人体工学把手，顶盖边角圆弧(≥R10)设计,全方位安全呵护，具有抗静电和防划伤，具备温控感应双降温风扇降温。</w:t>
            </w:r>
          </w:p>
        </w:tc>
      </w:tr>
      <w:tr>
        <w:tblPrEx>
          <w:tblW w:w="5000" w:type="pct"/>
          <w:tblInd w:w="0" w:type="dxa"/>
          <w:tblLayout w:type="fixed"/>
          <w:tblCellMar>
            <w:top w:w="0" w:type="dxa"/>
            <w:left w:w="108" w:type="dxa"/>
            <w:bottom w:w="0" w:type="dxa"/>
            <w:right w:w="108" w:type="dxa"/>
          </w:tblCellMar>
        </w:tblPrEx>
        <w:trPr>
          <w:trHeight w:val="644"/>
        </w:trPr>
        <w:tc>
          <w:tcPr>
            <w:tcW w:w="804" w:type="dxa"/>
            <w:vMerge/>
            <w:noWrap w:val="0"/>
            <w:vAlign w:val="center"/>
          </w:tcPr>
          <w:p>
            <w:pPr>
              <w:rPr>
                <w:rFonts w:ascii="宋体" w:eastAsia="宋体" w:hAnsi="宋体" w:cs="宋体" w:hint="eastAsia"/>
                <w:bCs/>
                <w:sz w:val="21"/>
                <w:szCs w:val="21"/>
                <w:lang w:eastAsia="zh-CN"/>
              </w:rPr>
            </w:pPr>
          </w:p>
        </w:tc>
        <w:tc>
          <w:tcPr>
            <w:tcW w:w="1243" w:type="dxa"/>
            <w:vMerge/>
            <w:noWrap w:val="0"/>
            <w:vAlign w:val="center"/>
          </w:tcPr>
          <w:p>
            <w:pPr>
              <w:rPr>
                <w:rFonts w:ascii="宋体" w:eastAsia="宋体" w:hAnsi="宋体" w:cs="宋体" w:hint="eastAsia"/>
                <w:bCs/>
                <w:sz w:val="21"/>
                <w:szCs w:val="21"/>
                <w:lang w:eastAsia="zh-CN"/>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6、</w:t>
            </w:r>
            <w:r>
              <w:rPr>
                <w:rFonts w:ascii="宋体" w:eastAsia="宋体" w:hAnsi="宋体" w:cs="宋体" w:hint="eastAsia"/>
                <w:bCs/>
                <w:sz w:val="21"/>
                <w:szCs w:val="21"/>
              </w:rPr>
              <w:t>充电柜专用防漏电保护电源线，从源头保护设备和使用人员安全。</w:t>
            </w:r>
          </w:p>
        </w:tc>
      </w:tr>
      <w:tr>
        <w:tblPrEx>
          <w:tblW w:w="5000" w:type="pct"/>
          <w:tblInd w:w="0" w:type="dxa"/>
          <w:tblLayout w:type="fixed"/>
          <w:tblCellMar>
            <w:top w:w="0" w:type="dxa"/>
            <w:left w:w="108" w:type="dxa"/>
            <w:bottom w:w="0" w:type="dxa"/>
            <w:right w:w="108" w:type="dxa"/>
          </w:tblCellMar>
        </w:tblPrEx>
        <w:trPr>
          <w:trHeight w:val="644"/>
        </w:trPr>
        <w:tc>
          <w:tcPr>
            <w:tcW w:w="804" w:type="dxa"/>
            <w:vMerge/>
            <w:noWrap w:val="0"/>
            <w:vAlign w:val="center"/>
          </w:tcPr>
          <w:p>
            <w:pPr>
              <w:rPr>
                <w:rFonts w:ascii="宋体" w:eastAsia="宋体" w:hAnsi="宋体" w:cs="宋体" w:hint="eastAsia"/>
                <w:bCs/>
                <w:sz w:val="21"/>
                <w:szCs w:val="21"/>
                <w:lang w:eastAsia="zh-CN"/>
              </w:rPr>
            </w:pPr>
          </w:p>
        </w:tc>
        <w:tc>
          <w:tcPr>
            <w:tcW w:w="1243" w:type="dxa"/>
            <w:vMerge/>
            <w:noWrap w:val="0"/>
            <w:vAlign w:val="center"/>
          </w:tcPr>
          <w:p>
            <w:pPr>
              <w:rPr>
                <w:rFonts w:ascii="宋体" w:eastAsia="宋体" w:hAnsi="宋体" w:cs="宋体" w:hint="eastAsia"/>
                <w:bCs/>
                <w:sz w:val="21"/>
                <w:szCs w:val="21"/>
                <w:lang w:eastAsia="zh-CN"/>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7、</w:t>
            </w:r>
            <w:r>
              <w:rPr>
                <w:rFonts w:ascii="宋体" w:eastAsia="宋体" w:hAnsi="宋体" w:cs="宋体" w:hint="eastAsia"/>
                <w:bCs/>
                <w:sz w:val="21"/>
                <w:szCs w:val="21"/>
              </w:rPr>
              <w:t>配有≥2路备用电源接口，便于连接其他设备；输入宽频交流电110V-240V。</w:t>
            </w:r>
          </w:p>
        </w:tc>
      </w:tr>
      <w:tr>
        <w:tblPrEx>
          <w:tblW w:w="5000" w:type="pct"/>
          <w:tblInd w:w="0" w:type="dxa"/>
          <w:tblLayout w:type="fixed"/>
          <w:tblCellMar>
            <w:top w:w="0" w:type="dxa"/>
            <w:left w:w="108" w:type="dxa"/>
            <w:bottom w:w="0" w:type="dxa"/>
            <w:right w:w="108" w:type="dxa"/>
          </w:tblCellMar>
        </w:tblPrEx>
        <w:trPr>
          <w:trHeight w:val="644"/>
        </w:trPr>
        <w:tc>
          <w:tcPr>
            <w:tcW w:w="804" w:type="dxa"/>
            <w:vMerge/>
            <w:noWrap w:val="0"/>
            <w:vAlign w:val="center"/>
          </w:tcPr>
          <w:p>
            <w:pPr>
              <w:rPr>
                <w:rFonts w:ascii="宋体" w:eastAsia="宋体" w:hAnsi="宋体" w:cs="宋体" w:hint="eastAsia"/>
                <w:bCs/>
                <w:sz w:val="21"/>
                <w:szCs w:val="21"/>
                <w:lang w:eastAsia="zh-CN"/>
              </w:rPr>
            </w:pPr>
          </w:p>
        </w:tc>
        <w:tc>
          <w:tcPr>
            <w:tcW w:w="1243" w:type="dxa"/>
            <w:vMerge/>
            <w:noWrap w:val="0"/>
            <w:vAlign w:val="center"/>
          </w:tcPr>
          <w:p>
            <w:pPr>
              <w:rPr>
                <w:rFonts w:ascii="宋体" w:eastAsia="宋体" w:hAnsi="宋体" w:cs="宋体" w:hint="eastAsia"/>
                <w:bCs/>
                <w:sz w:val="21"/>
                <w:szCs w:val="21"/>
                <w:lang w:eastAsia="zh-CN"/>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8、</w:t>
            </w:r>
            <w:r>
              <w:rPr>
                <w:rFonts w:ascii="宋体" w:eastAsia="宋体" w:hAnsi="宋体" w:cs="宋体" w:hint="eastAsia"/>
                <w:bCs/>
                <w:sz w:val="21"/>
                <w:szCs w:val="21"/>
              </w:rPr>
              <w:t>柜内VR头盔/眼镜垂直放置，设有ABS工业阻燃级塑料隔层，所有塑料隔层均有卡槽，方便规整充电电源线；</w:t>
            </w:r>
          </w:p>
        </w:tc>
      </w:tr>
      <w:tr>
        <w:tblPrEx>
          <w:tblW w:w="5000" w:type="pct"/>
          <w:tblInd w:w="0" w:type="dxa"/>
          <w:tblLayout w:type="fixed"/>
          <w:tblCellMar>
            <w:top w:w="0" w:type="dxa"/>
            <w:left w:w="108" w:type="dxa"/>
            <w:bottom w:w="0" w:type="dxa"/>
            <w:right w:w="108" w:type="dxa"/>
          </w:tblCellMar>
        </w:tblPrEx>
        <w:trPr>
          <w:trHeight w:val="2483"/>
        </w:trPr>
        <w:tc>
          <w:tcPr>
            <w:tcW w:w="804" w:type="dxa"/>
            <w:vMerge/>
            <w:noWrap w:val="0"/>
            <w:vAlign w:val="center"/>
          </w:tcPr>
          <w:p>
            <w:pPr>
              <w:rPr>
                <w:rFonts w:ascii="宋体" w:eastAsia="宋体" w:hAnsi="宋体" w:cs="宋体" w:hint="eastAsia"/>
                <w:bCs/>
                <w:sz w:val="21"/>
                <w:szCs w:val="21"/>
                <w:lang w:eastAsia="zh-CN"/>
              </w:rPr>
            </w:pPr>
          </w:p>
        </w:tc>
        <w:tc>
          <w:tcPr>
            <w:tcW w:w="1243" w:type="dxa"/>
            <w:vMerge/>
            <w:noWrap w:val="0"/>
            <w:vAlign w:val="center"/>
          </w:tcPr>
          <w:p>
            <w:pPr>
              <w:rPr>
                <w:rFonts w:ascii="宋体" w:eastAsia="宋体" w:hAnsi="宋体" w:cs="宋体" w:hint="eastAsia"/>
                <w:bCs/>
                <w:sz w:val="21"/>
                <w:szCs w:val="21"/>
                <w:lang w:eastAsia="zh-CN"/>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9、柜体规格：</w:t>
            </w:r>
          </w:p>
          <w:p>
            <w:pPr>
              <w:rPr>
                <w:rFonts w:ascii="宋体" w:eastAsia="宋体" w:hAnsi="宋体" w:cs="宋体" w:hint="eastAsia"/>
                <w:bCs/>
                <w:sz w:val="21"/>
                <w:szCs w:val="21"/>
                <w:lang w:eastAsia="zh-CN"/>
              </w:rPr>
            </w:pPr>
            <w:r>
              <w:rPr>
                <w:rFonts w:ascii="宋体" w:eastAsia="宋体" w:hAnsi="宋体" w:cs="宋体" w:hint="eastAsia"/>
                <w:bCs/>
                <w:sz w:val="21"/>
                <w:szCs w:val="21"/>
              </w:rPr>
              <w:t>所有边角均是R角设计，避免碰伤;</w:t>
            </w:r>
          </w:p>
          <w:p>
            <w:pPr>
              <w:rPr>
                <w:rFonts w:ascii="宋体" w:eastAsia="宋体" w:hAnsi="宋体" w:cs="宋体" w:hint="eastAsia"/>
                <w:bCs/>
                <w:sz w:val="21"/>
                <w:szCs w:val="21"/>
                <w:lang w:eastAsia="zh-CN"/>
              </w:rPr>
            </w:pPr>
            <w:r>
              <w:rPr>
                <w:rFonts w:ascii="宋体" w:eastAsia="宋体" w:hAnsi="宋体" w:cs="宋体" w:hint="eastAsia"/>
                <w:bCs/>
                <w:sz w:val="21"/>
                <w:szCs w:val="21"/>
              </w:rPr>
              <w:t>柜门采用≥1.5mm厚钢结构；</w:t>
            </w:r>
          </w:p>
          <w:p>
            <w:pPr>
              <w:rPr>
                <w:rFonts w:ascii="宋体" w:eastAsia="宋体" w:hAnsi="宋体" w:cs="宋体" w:hint="eastAsia"/>
                <w:bCs/>
                <w:sz w:val="21"/>
                <w:szCs w:val="21"/>
                <w:lang w:eastAsia="zh-CN"/>
              </w:rPr>
            </w:pPr>
            <w:r>
              <w:rPr>
                <w:rFonts w:ascii="宋体" w:eastAsia="宋体" w:hAnsi="宋体" w:cs="宋体" w:hint="eastAsia"/>
                <w:bCs/>
                <w:sz w:val="21"/>
                <w:szCs w:val="21"/>
              </w:rPr>
              <w:t>柜体采用对角鼓风流道设计，确保排气通畅；</w:t>
            </w:r>
          </w:p>
          <w:p>
            <w:pPr>
              <w:rPr>
                <w:rFonts w:ascii="宋体" w:eastAsia="宋体" w:hAnsi="宋体" w:cs="宋体" w:hint="eastAsia"/>
                <w:bCs/>
                <w:sz w:val="21"/>
                <w:szCs w:val="21"/>
              </w:rPr>
            </w:pPr>
            <w:r>
              <w:rPr>
                <w:rFonts w:ascii="宋体" w:eastAsia="宋体" w:hAnsi="宋体" w:cs="宋体" w:hint="eastAsia"/>
                <w:bCs/>
                <w:sz w:val="21"/>
                <w:szCs w:val="21"/>
              </w:rPr>
              <w:t>柜体设置防呆结构，确保柜子无论如何放置，都不会阻挡排气出口。有效避免充电柜背靠环境物（如墙体）而阻挡排气出口顺利排气；</w:t>
            </w:r>
          </w:p>
          <w:p>
            <w:pPr>
              <w:rPr>
                <w:rFonts w:ascii="宋体" w:eastAsia="宋体" w:hAnsi="宋体" w:cs="宋体" w:hint="eastAsia"/>
                <w:bCs/>
                <w:sz w:val="21"/>
                <w:szCs w:val="21"/>
                <w:lang w:eastAsia="zh-CN"/>
              </w:rPr>
            </w:pPr>
            <w:r>
              <w:rPr>
                <w:rFonts w:ascii="宋体" w:eastAsia="宋体" w:hAnsi="宋体" w:cs="宋体" w:hint="eastAsia"/>
                <w:bCs/>
                <w:sz w:val="21"/>
                <w:szCs w:val="21"/>
              </w:rPr>
              <w:t>依据人机工程学原理，推车手柄采用空间3维角度设计，有效保护使用者推动充电柜时肌肉不疲劳；手柄离地高度≥0.65~1.1米，符合中国人平均身高的使用习惯。</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rPr>
                <w:rFonts w:ascii="宋体" w:eastAsia="宋体" w:hAnsi="宋体" w:cs="宋体" w:hint="eastAsia"/>
                <w:bCs/>
                <w:sz w:val="21"/>
                <w:szCs w:val="21"/>
                <w:lang w:eastAsia="zh-CN"/>
              </w:rPr>
            </w:pPr>
          </w:p>
        </w:tc>
        <w:tc>
          <w:tcPr>
            <w:tcW w:w="1243" w:type="dxa"/>
            <w:vMerge/>
            <w:noWrap w:val="0"/>
            <w:vAlign w:val="center"/>
          </w:tcPr>
          <w:p>
            <w:pPr>
              <w:rPr>
                <w:rFonts w:ascii="宋体" w:eastAsia="宋体" w:hAnsi="宋体" w:cs="宋体" w:hint="eastAsia"/>
                <w:bCs/>
                <w:sz w:val="21"/>
                <w:szCs w:val="21"/>
                <w:lang w:eastAsia="zh-CN"/>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10、</w:t>
            </w:r>
            <w:r>
              <w:rPr>
                <w:rFonts w:ascii="宋体" w:eastAsia="宋体" w:hAnsi="宋体" w:cs="宋体" w:hint="eastAsia"/>
                <w:bCs/>
                <w:sz w:val="21"/>
                <w:szCs w:val="21"/>
              </w:rPr>
              <w:t>柜子自带消毒功能，配置单独开关，控制UV消毒灯。</w:t>
            </w:r>
          </w:p>
        </w:tc>
      </w:tr>
      <w:tr>
        <w:tblPrEx>
          <w:tblW w:w="5000" w:type="pct"/>
          <w:tblInd w:w="0" w:type="dxa"/>
          <w:tblLayout w:type="fixed"/>
          <w:tblCellMar>
            <w:top w:w="0" w:type="dxa"/>
            <w:left w:w="108" w:type="dxa"/>
            <w:bottom w:w="0" w:type="dxa"/>
            <w:right w:w="108" w:type="dxa"/>
          </w:tblCellMar>
        </w:tblPrEx>
        <w:trPr>
          <w:trHeight w:val="644"/>
        </w:trPr>
        <w:tc>
          <w:tcPr>
            <w:tcW w:w="804" w:type="dxa"/>
            <w:vMerge/>
            <w:noWrap w:val="0"/>
            <w:vAlign w:val="center"/>
          </w:tcPr>
          <w:p>
            <w:pPr>
              <w:rPr>
                <w:rFonts w:ascii="宋体" w:eastAsia="宋体" w:hAnsi="宋体" w:cs="宋体" w:hint="eastAsia"/>
                <w:bCs/>
                <w:sz w:val="21"/>
                <w:szCs w:val="21"/>
                <w:lang w:eastAsia="zh-CN"/>
              </w:rPr>
            </w:pPr>
          </w:p>
        </w:tc>
        <w:tc>
          <w:tcPr>
            <w:tcW w:w="1243" w:type="dxa"/>
            <w:vMerge/>
            <w:noWrap w:val="0"/>
            <w:vAlign w:val="center"/>
          </w:tcPr>
          <w:p>
            <w:pPr>
              <w:rPr>
                <w:rFonts w:ascii="宋体" w:eastAsia="宋体" w:hAnsi="宋体" w:cs="宋体" w:hint="eastAsia"/>
                <w:bCs/>
                <w:sz w:val="21"/>
                <w:szCs w:val="21"/>
                <w:lang w:eastAsia="zh-CN"/>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11、</w:t>
            </w:r>
            <w:r>
              <w:rPr>
                <w:rFonts w:ascii="宋体" w:eastAsia="宋体" w:hAnsi="宋体" w:cs="宋体" w:hint="eastAsia"/>
                <w:bCs/>
                <w:sz w:val="21"/>
                <w:szCs w:val="21"/>
              </w:rPr>
              <w:t>设备配置定时开关，配置数码显像管，可以通过显像管设置充电时间，方便管理</w:t>
            </w:r>
          </w:p>
        </w:tc>
      </w:tr>
      <w:tr>
        <w:tblPrEx>
          <w:tblW w:w="5000" w:type="pct"/>
          <w:tblInd w:w="0" w:type="dxa"/>
          <w:tblLayout w:type="fixed"/>
          <w:tblCellMar>
            <w:top w:w="0" w:type="dxa"/>
            <w:left w:w="108" w:type="dxa"/>
            <w:bottom w:w="0" w:type="dxa"/>
            <w:right w:w="108" w:type="dxa"/>
          </w:tblCellMar>
        </w:tblPrEx>
        <w:trPr>
          <w:trHeight w:val="395"/>
        </w:trPr>
        <w:tc>
          <w:tcPr>
            <w:tcW w:w="804" w:type="dxa"/>
            <w:vMerge w:val="restart"/>
            <w:noWrap w:val="0"/>
            <w:vAlign w:val="center"/>
          </w:tcPr>
          <w:p>
            <w:pPr>
              <w:jc w:val="center"/>
              <w:rPr>
                <w:rFonts w:ascii="宋体" w:eastAsia="宋体" w:hAnsi="宋体" w:cs="宋体" w:hint="eastAsia"/>
                <w:b/>
                <w:sz w:val="21"/>
                <w:szCs w:val="21"/>
              </w:rPr>
            </w:pPr>
          </w:p>
          <w:p>
            <w:pPr>
              <w:jc w:val="center"/>
              <w:rPr>
                <w:rFonts w:ascii="宋体" w:eastAsia="宋体" w:hAnsi="宋体" w:cs="宋体" w:hint="eastAsia"/>
                <w:b/>
                <w:sz w:val="21"/>
                <w:szCs w:val="21"/>
              </w:rPr>
            </w:pPr>
          </w:p>
          <w:p>
            <w:pPr>
              <w:jc w:val="center"/>
              <w:rPr>
                <w:rFonts w:ascii="宋体" w:eastAsia="宋体" w:hAnsi="宋体" w:cs="宋体" w:hint="eastAsia"/>
                <w:b/>
                <w:sz w:val="21"/>
                <w:szCs w:val="21"/>
              </w:rPr>
            </w:pPr>
          </w:p>
          <w:p>
            <w:pPr>
              <w:jc w:val="center"/>
              <w:rPr>
                <w:rFonts w:ascii="宋体" w:eastAsia="宋体" w:hAnsi="宋体" w:cs="宋体" w:hint="eastAsia"/>
                <w:b/>
                <w:sz w:val="21"/>
                <w:szCs w:val="21"/>
              </w:rPr>
            </w:pPr>
          </w:p>
          <w:p>
            <w:pPr>
              <w:jc w:val="center"/>
              <w:rPr>
                <w:rFonts w:ascii="宋体" w:eastAsia="宋体" w:hAnsi="宋体" w:cs="宋体" w:hint="eastAsia"/>
                <w:b/>
                <w:sz w:val="21"/>
                <w:szCs w:val="21"/>
              </w:rPr>
            </w:pPr>
          </w:p>
          <w:p>
            <w:pPr>
              <w:jc w:val="center"/>
              <w:rPr>
                <w:rFonts w:ascii="宋体" w:eastAsia="宋体" w:hAnsi="宋体" w:cs="宋体" w:hint="eastAsia"/>
                <w:b/>
                <w:sz w:val="21"/>
                <w:szCs w:val="21"/>
              </w:rPr>
            </w:pPr>
          </w:p>
          <w:p>
            <w:pPr>
              <w:jc w:val="center"/>
              <w:rPr>
                <w:rFonts w:ascii="宋体" w:eastAsia="宋体" w:hAnsi="宋体" w:cs="宋体" w:hint="eastAsia"/>
                <w:b/>
                <w:sz w:val="21"/>
                <w:szCs w:val="21"/>
              </w:rPr>
            </w:pPr>
            <w:r>
              <w:rPr>
                <w:rFonts w:ascii="宋体" w:eastAsia="宋体" w:hAnsi="宋体" w:cs="宋体" w:hint="eastAsia"/>
                <w:b/>
                <w:sz w:val="21"/>
                <w:szCs w:val="21"/>
              </w:rPr>
              <w:t>5</w:t>
            </w:r>
          </w:p>
        </w:tc>
        <w:tc>
          <w:tcPr>
            <w:tcW w:w="1243" w:type="dxa"/>
            <w:vMerge w:val="restart"/>
            <w:noWrap w:val="0"/>
            <w:vAlign w:val="center"/>
          </w:tcPr>
          <w:p>
            <w:pPr>
              <w:widowControl/>
              <w:jc w:val="center"/>
              <w:textAlignment w:val="center"/>
              <w:rPr>
                <w:rFonts w:ascii="宋体" w:eastAsia="宋体" w:hAnsi="宋体" w:cs="宋体" w:hint="eastAsia"/>
                <w:color w:val="000000"/>
                <w:sz w:val="21"/>
                <w:szCs w:val="21"/>
                <w:lang w:bidi="ar"/>
              </w:rPr>
            </w:pPr>
          </w:p>
          <w:p>
            <w:pPr>
              <w:widowControl/>
              <w:jc w:val="center"/>
              <w:textAlignment w:val="center"/>
              <w:rPr>
                <w:rFonts w:ascii="宋体" w:eastAsia="宋体" w:hAnsi="宋体" w:cs="宋体" w:hint="eastAsia"/>
                <w:color w:val="000000"/>
                <w:sz w:val="21"/>
                <w:szCs w:val="21"/>
                <w:lang w:bidi="ar"/>
              </w:rPr>
            </w:pPr>
          </w:p>
          <w:p>
            <w:pPr>
              <w:widowControl/>
              <w:jc w:val="center"/>
              <w:textAlignment w:val="center"/>
              <w:rPr>
                <w:rFonts w:ascii="宋体" w:eastAsia="宋体" w:hAnsi="宋体" w:cs="宋体" w:hint="eastAsia"/>
                <w:color w:val="000000"/>
                <w:sz w:val="21"/>
                <w:szCs w:val="21"/>
                <w:lang w:bidi="ar"/>
              </w:rPr>
            </w:pPr>
          </w:p>
          <w:p>
            <w:pPr>
              <w:widowControl/>
              <w:jc w:val="center"/>
              <w:textAlignment w:val="center"/>
              <w:rPr>
                <w:rFonts w:ascii="宋体" w:eastAsia="宋体" w:hAnsi="宋体" w:cs="宋体" w:hint="eastAsia"/>
                <w:color w:val="000000"/>
                <w:sz w:val="21"/>
                <w:szCs w:val="21"/>
                <w:lang w:bidi="ar"/>
              </w:rPr>
            </w:pPr>
          </w:p>
          <w:p>
            <w:pPr>
              <w:widowControl/>
              <w:jc w:val="center"/>
              <w:textAlignment w:val="center"/>
              <w:rPr>
                <w:rFonts w:ascii="宋体" w:eastAsia="宋体" w:hAnsi="宋体" w:cs="宋体" w:hint="eastAsia"/>
                <w:color w:val="000000"/>
                <w:sz w:val="21"/>
                <w:szCs w:val="21"/>
                <w:lang w:bidi="ar"/>
              </w:rPr>
            </w:pPr>
          </w:p>
          <w:p>
            <w:pPr>
              <w:widowControl/>
              <w:jc w:val="center"/>
              <w:textAlignment w:val="center"/>
              <w:rPr>
                <w:rFonts w:ascii="宋体" w:eastAsia="宋体" w:hAnsi="宋体" w:cs="宋体" w:hint="eastAsia"/>
                <w:b/>
                <w:sz w:val="21"/>
                <w:szCs w:val="21"/>
              </w:rPr>
            </w:pPr>
            <w:r>
              <w:rPr>
                <w:rFonts w:ascii="宋体" w:eastAsia="宋体" w:hAnsi="宋体" w:cs="宋体" w:hint="eastAsia"/>
                <w:color w:val="000000"/>
                <w:sz w:val="21"/>
                <w:szCs w:val="21"/>
                <w:lang w:bidi="ar"/>
              </w:rPr>
              <w:t>托幼机构保教环境创设虚拟仿真平台</w:t>
            </w:r>
          </w:p>
        </w:tc>
        <w:tc>
          <w:tcPr>
            <w:tcW w:w="6665" w:type="dxa"/>
            <w:noWrap w:val="0"/>
            <w:vAlign w:val="top"/>
          </w:tcPr>
          <w:p>
            <w:pPr>
              <w:numPr>
                <w:ilvl w:val="0"/>
                <w:numId w:val="4"/>
              </w:numPr>
              <w:rPr>
                <w:rFonts w:ascii="宋体" w:eastAsia="宋体" w:hAnsi="宋体" w:cs="宋体" w:hint="eastAsia"/>
                <w:bCs/>
                <w:sz w:val="21"/>
                <w:szCs w:val="21"/>
              </w:rPr>
            </w:pPr>
            <w:r>
              <w:rPr>
                <w:rFonts w:ascii="宋体" w:eastAsia="宋体" w:hAnsi="宋体" w:cs="宋体" w:hint="eastAsia"/>
                <w:bCs/>
                <w:sz w:val="21"/>
                <w:szCs w:val="21"/>
              </w:rPr>
              <w:t>技术参数</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rPr>
              <w:t>1、软件采用C/S模式部署</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使</w:t>
            </w:r>
            <w:r>
              <w:rPr>
                <w:rFonts w:ascii="宋体" w:eastAsia="宋体" w:hAnsi="宋体" w:cs="宋体" w:hint="eastAsia"/>
                <w:bCs/>
                <w:sz w:val="21"/>
                <w:szCs w:val="21"/>
              </w:rPr>
              <w:t>用Unity 3D引擎开发</w:t>
            </w:r>
            <w:r>
              <w:rPr>
                <w:rFonts w:ascii="宋体" w:eastAsia="宋体" w:hAnsi="宋体" w:cs="宋体" w:hint="eastAsia"/>
                <w:bCs/>
                <w:sz w:val="21"/>
                <w:szCs w:val="21"/>
                <w:lang w:eastAsia="zh-CN"/>
              </w:rPr>
              <w:t>，</w:t>
            </w:r>
            <w:r>
              <w:rPr>
                <w:rFonts w:ascii="宋体" w:eastAsia="宋体" w:hAnsi="宋体" w:cs="宋体" w:hint="eastAsia"/>
                <w:bCs/>
                <w:sz w:val="21"/>
                <w:szCs w:val="21"/>
              </w:rPr>
              <w:t>依托PC端系统操作平台打造，支持通过鼠标与键盘交互操作</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r>
              <w:rPr>
                <w:rFonts w:ascii="宋体" w:eastAsia="宋体" w:hAnsi="宋体" w:cs="宋体" w:hint="eastAsia"/>
                <w:bCs/>
                <w:sz w:val="21"/>
                <w:szCs w:val="21"/>
              </w:rPr>
              <w:t>软件支持Windows或信创两大主流操作系统</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r>
              <w:rPr>
                <w:rFonts w:ascii="宋体" w:eastAsia="宋体" w:hAnsi="宋体" w:cs="宋体" w:hint="eastAsia"/>
                <w:bCs/>
                <w:sz w:val="21"/>
                <w:szCs w:val="21"/>
              </w:rPr>
              <w:t>数据库选用MySQL 5.7及以上版本</w:t>
            </w:r>
            <w:r>
              <w:rPr>
                <w:rFonts w:ascii="宋体" w:eastAsia="宋体" w:hAnsi="宋体" w:cs="宋体" w:hint="eastAsia"/>
                <w:bCs/>
                <w:sz w:val="21"/>
                <w:szCs w:val="21"/>
                <w:lang w:eastAsia="zh-CN"/>
              </w:rPr>
              <w:t>。</w:t>
            </w:r>
            <w:r>
              <w:rPr>
                <w:rFonts w:ascii="宋体" w:eastAsia="宋体" w:hAnsi="宋体" w:cs="宋体" w:hint="eastAsia"/>
                <w:bCs/>
                <w:sz w:val="21"/>
                <w:szCs w:val="21"/>
              </w:rPr>
              <w:t>兼容国产数据库。</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二、功能参数</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1、标准遵循</w:t>
            </w:r>
            <w:r>
              <w:rPr>
                <w:rFonts w:ascii="宋体" w:eastAsia="宋体" w:hAnsi="宋体" w:cs="宋体" w:hint="eastAsia"/>
                <w:bCs/>
                <w:sz w:val="21"/>
                <w:szCs w:val="21"/>
              </w:rPr>
              <w:br/>
            </w:r>
            <w:r>
              <w:rPr>
                <w:rFonts w:ascii="宋体" w:eastAsia="宋体" w:hAnsi="宋体" w:cs="宋体" w:hint="eastAsia"/>
                <w:bCs/>
                <w:sz w:val="21"/>
                <w:szCs w:val="21"/>
              </w:rPr>
              <w:t>遵循学前教育、早期教育、幼儿保育、婴幼儿托育服务与管理及教育类相关专业教学标准</w:t>
            </w:r>
            <w:r>
              <w:rPr>
                <w:rFonts w:ascii="宋体" w:eastAsia="宋体" w:hAnsi="宋体" w:cs="宋体" w:hint="eastAsia"/>
                <w:bCs/>
                <w:sz w:val="21"/>
                <w:szCs w:val="21"/>
                <w:lang w:eastAsia="zh-CN"/>
              </w:rPr>
              <w:t>，</w:t>
            </w:r>
            <w:r>
              <w:rPr>
                <w:rFonts w:ascii="宋体" w:eastAsia="宋体" w:hAnsi="宋体" w:cs="宋体" w:hint="eastAsia"/>
                <w:bCs/>
                <w:sz w:val="21"/>
                <w:szCs w:val="21"/>
              </w:rPr>
              <w:t>对标“一带一路”暨金砖国家技能发展与技术创新大赛首届学龄前儿童保教技能赛项规程。</w:t>
            </w:r>
          </w:p>
        </w:tc>
      </w:tr>
      <w:tr>
        <w:tblPrEx>
          <w:tblW w:w="5000" w:type="pct"/>
          <w:tblInd w:w="0" w:type="dxa"/>
          <w:tblLayout w:type="fixed"/>
          <w:tblCellMar>
            <w:top w:w="0" w:type="dxa"/>
            <w:left w:w="108" w:type="dxa"/>
            <w:bottom w:w="0" w:type="dxa"/>
            <w:right w:w="108" w:type="dxa"/>
          </w:tblCellMar>
        </w:tblPrEx>
        <w:trPr>
          <w:trHeight w:val="685"/>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2、功能定位</w:t>
            </w:r>
            <w:r>
              <w:rPr>
                <w:rFonts w:ascii="宋体" w:eastAsia="宋体" w:hAnsi="宋体" w:cs="宋体" w:hint="eastAsia"/>
                <w:bCs/>
                <w:sz w:val="21"/>
                <w:szCs w:val="21"/>
                <w:lang w:eastAsia="zh-CN"/>
              </w:rPr>
              <w:t>：</w:t>
            </w:r>
            <w:r>
              <w:rPr>
                <w:rFonts w:ascii="宋体" w:eastAsia="宋体" w:hAnsi="宋体" w:cs="宋体" w:hint="eastAsia"/>
                <w:bCs/>
                <w:sz w:val="21"/>
                <w:szCs w:val="21"/>
              </w:rPr>
              <w:t>为使用者提供练习和考核功能，分为练习模式和考试模式</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w:t>
            </w:r>
            <w:r>
              <w:rPr>
                <w:rFonts w:ascii="宋体" w:eastAsia="宋体" w:hAnsi="宋体" w:cs="宋体" w:hint="eastAsia"/>
                <w:bCs/>
                <w:sz w:val="21"/>
                <w:szCs w:val="21"/>
              </w:rPr>
              <w:t>功能定位</w:t>
            </w:r>
            <w:r>
              <w:rPr>
                <w:rFonts w:ascii="宋体" w:eastAsia="宋体" w:hAnsi="宋体" w:cs="宋体" w:hint="eastAsia"/>
                <w:bCs/>
                <w:sz w:val="21"/>
                <w:szCs w:val="21"/>
                <w:lang w:eastAsia="zh-CN"/>
              </w:rPr>
              <w:t>：</w:t>
            </w:r>
            <w:r>
              <w:rPr>
                <w:rFonts w:ascii="宋体" w:eastAsia="宋体" w:hAnsi="宋体" w:cs="宋体" w:hint="eastAsia"/>
                <w:bCs/>
                <w:sz w:val="21"/>
                <w:szCs w:val="21"/>
              </w:rPr>
              <w:t>助力学生提升保教环境创设能力。</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4</w:t>
            </w:r>
            <w:r>
              <w:rPr>
                <w:rFonts w:ascii="宋体" w:eastAsia="宋体" w:hAnsi="宋体" w:cs="宋体" w:hint="eastAsia"/>
                <w:bCs/>
                <w:sz w:val="21"/>
                <w:szCs w:val="21"/>
              </w:rPr>
              <w:t>、赛题覆盖</w:t>
            </w:r>
            <w:r>
              <w:rPr>
                <w:rFonts w:ascii="宋体" w:eastAsia="宋体" w:hAnsi="宋体" w:cs="宋体" w:hint="eastAsia"/>
                <w:bCs/>
                <w:sz w:val="21"/>
                <w:szCs w:val="21"/>
                <w:lang w:eastAsia="zh-CN"/>
              </w:rPr>
              <w:t>：</w:t>
            </w:r>
            <w:r>
              <w:rPr>
                <w:rFonts w:ascii="宋体" w:eastAsia="宋体" w:hAnsi="宋体" w:cs="宋体" w:hint="eastAsia"/>
                <w:bCs/>
                <w:sz w:val="21"/>
                <w:szCs w:val="21"/>
              </w:rPr>
              <w:t>全面覆盖大赛中职组、高职组及教师组的所有赛题</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5</w:t>
            </w:r>
            <w:r>
              <w:rPr>
                <w:rFonts w:ascii="宋体" w:eastAsia="宋体" w:hAnsi="宋体" w:cs="宋体" w:hint="eastAsia"/>
                <w:bCs/>
                <w:sz w:val="21"/>
                <w:szCs w:val="21"/>
              </w:rPr>
              <w:t>、技术应用</w:t>
            </w:r>
            <w:r>
              <w:rPr>
                <w:rFonts w:ascii="宋体" w:eastAsia="宋体" w:hAnsi="宋体" w:cs="宋体" w:hint="eastAsia"/>
                <w:bCs/>
                <w:sz w:val="21"/>
                <w:szCs w:val="21"/>
                <w:lang w:eastAsia="zh-CN"/>
              </w:rPr>
              <w:t>：</w:t>
            </w:r>
            <w:r>
              <w:rPr>
                <w:rFonts w:ascii="宋体" w:eastAsia="宋体" w:hAnsi="宋体" w:cs="宋体" w:hint="eastAsia"/>
                <w:bCs/>
                <w:sz w:val="21"/>
                <w:szCs w:val="21"/>
              </w:rPr>
              <w:t>运用前沿的三维虚拟仿真技术，依据大赛评分标准与细则，精心构建托幼机构真实工作场景及内容。</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6、</w:t>
            </w:r>
            <w:r>
              <w:rPr>
                <w:rFonts w:ascii="宋体" w:eastAsia="宋体" w:hAnsi="宋体" w:cs="宋体" w:hint="eastAsia"/>
                <w:bCs/>
                <w:sz w:val="21"/>
                <w:szCs w:val="21"/>
              </w:rPr>
              <w:t>功能效果</w:t>
            </w:r>
            <w:r>
              <w:rPr>
                <w:rFonts w:ascii="宋体" w:eastAsia="宋体" w:hAnsi="宋体" w:cs="宋体" w:hint="eastAsia"/>
                <w:bCs/>
                <w:sz w:val="21"/>
                <w:szCs w:val="21"/>
                <w:lang w:eastAsia="zh-CN"/>
              </w:rPr>
              <w:t>：</w:t>
            </w:r>
            <w:r>
              <w:rPr>
                <w:rFonts w:ascii="宋体" w:eastAsia="宋体" w:hAnsi="宋体" w:cs="宋体" w:hint="eastAsia"/>
                <w:bCs/>
                <w:sz w:val="21"/>
                <w:szCs w:val="21"/>
              </w:rPr>
              <w:t>助力选手精准把握大赛要求。</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7、</w:t>
            </w:r>
            <w:r>
              <w:rPr>
                <w:rFonts w:ascii="宋体" w:eastAsia="宋体" w:hAnsi="宋体" w:cs="宋体" w:hint="eastAsia"/>
                <w:bCs/>
                <w:sz w:val="21"/>
                <w:szCs w:val="21"/>
              </w:rPr>
              <w:t>功能效果</w:t>
            </w:r>
            <w:r>
              <w:rPr>
                <w:rFonts w:ascii="宋体" w:eastAsia="宋体" w:hAnsi="宋体" w:cs="宋体" w:hint="eastAsia"/>
                <w:bCs/>
                <w:sz w:val="21"/>
                <w:szCs w:val="21"/>
                <w:lang w:eastAsia="zh-CN"/>
              </w:rPr>
              <w:t xml:space="preserve">:  </w:t>
            </w:r>
            <w:r>
              <w:rPr>
                <w:rFonts w:ascii="宋体" w:eastAsia="宋体" w:hAnsi="宋体" w:cs="宋体" w:hint="eastAsia"/>
                <w:bCs/>
                <w:sz w:val="21"/>
                <w:szCs w:val="21"/>
              </w:rPr>
              <w:t>高效开展环境创设练习。</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8、</w:t>
            </w:r>
            <w:r>
              <w:rPr>
                <w:rFonts w:ascii="宋体" w:eastAsia="宋体" w:hAnsi="宋体" w:cs="宋体" w:hint="eastAsia"/>
                <w:bCs/>
                <w:sz w:val="21"/>
                <w:szCs w:val="21"/>
              </w:rPr>
              <w:t>功能效果</w:t>
            </w:r>
            <w:r>
              <w:rPr>
                <w:rFonts w:ascii="宋体" w:eastAsia="宋体" w:hAnsi="宋体" w:cs="宋体" w:hint="eastAsia"/>
                <w:bCs/>
                <w:sz w:val="21"/>
                <w:szCs w:val="21"/>
                <w:lang w:eastAsia="zh-CN"/>
              </w:rPr>
              <w:t xml:space="preserve">:  </w:t>
            </w:r>
            <w:r>
              <w:rPr>
                <w:rFonts w:ascii="宋体" w:eastAsia="宋体" w:hAnsi="宋体" w:cs="宋体" w:hint="eastAsia"/>
                <w:bCs/>
                <w:sz w:val="21"/>
                <w:szCs w:val="21"/>
              </w:rPr>
              <w:t>帮助使用者规避常见误区。</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9、</w:t>
            </w:r>
            <w:r>
              <w:rPr>
                <w:rFonts w:ascii="宋体" w:eastAsia="宋体" w:hAnsi="宋体" w:cs="宋体" w:hint="eastAsia"/>
                <w:bCs/>
                <w:sz w:val="21"/>
                <w:szCs w:val="21"/>
              </w:rPr>
              <w:t>练习模式</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 xml:space="preserve"> </w:t>
            </w:r>
            <w:r>
              <w:rPr>
                <w:rFonts w:ascii="宋体" w:eastAsia="宋体" w:hAnsi="宋体" w:cs="宋体" w:hint="eastAsia"/>
                <w:bCs/>
                <w:sz w:val="21"/>
                <w:szCs w:val="21"/>
              </w:rPr>
              <w:t>学生可以根据主题内容，结合平台提供的丰富素材，使用计算机，利用虚拟仿真技术，进行托幼机构保教环境的创设、创新和调整</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10、</w:t>
            </w:r>
            <w:r>
              <w:rPr>
                <w:rFonts w:ascii="宋体" w:eastAsia="宋体" w:hAnsi="宋体" w:cs="宋体" w:hint="eastAsia"/>
                <w:bCs/>
                <w:sz w:val="21"/>
                <w:szCs w:val="21"/>
              </w:rPr>
              <w:t>练习模式</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 xml:space="preserve"> </w:t>
            </w:r>
            <w:r>
              <w:rPr>
                <w:rFonts w:ascii="宋体" w:eastAsia="宋体" w:hAnsi="宋体" w:cs="宋体" w:hint="eastAsia"/>
                <w:bCs/>
                <w:sz w:val="21"/>
                <w:szCs w:val="21"/>
              </w:rPr>
              <w:t>通过练习模式，提升应用型、技能型、专业型人才培养的质量与水平</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11、</w:t>
            </w:r>
            <w:r>
              <w:rPr>
                <w:rFonts w:ascii="宋体" w:eastAsia="宋体" w:hAnsi="宋体" w:cs="宋体" w:hint="eastAsia"/>
                <w:bCs/>
                <w:sz w:val="21"/>
                <w:szCs w:val="21"/>
              </w:rPr>
              <w:t>考试模式</w:t>
            </w:r>
            <w:r>
              <w:rPr>
                <w:rFonts w:ascii="宋体" w:eastAsia="宋体" w:hAnsi="宋体" w:cs="宋体" w:hint="eastAsia"/>
                <w:bCs/>
                <w:sz w:val="21"/>
                <w:szCs w:val="21"/>
                <w:lang w:eastAsia="zh-CN"/>
              </w:rPr>
              <w:t>：</w:t>
            </w:r>
            <w:r>
              <w:rPr>
                <w:rFonts w:ascii="宋体" w:eastAsia="宋体" w:hAnsi="宋体" w:cs="宋体" w:hint="eastAsia"/>
                <w:bCs/>
                <w:sz w:val="21"/>
                <w:szCs w:val="21"/>
              </w:rPr>
              <w:t>以“规定主题”为设计范围，根据给定的素材和幼儿年龄段，在充分理解任务描述的基础上，学生需在电脑端虚拟仿真平台进行保教环境创设工作</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12、</w:t>
            </w:r>
            <w:r>
              <w:rPr>
                <w:rFonts w:ascii="宋体" w:eastAsia="宋体" w:hAnsi="宋体" w:cs="宋体" w:hint="eastAsia"/>
                <w:bCs/>
                <w:sz w:val="21"/>
                <w:szCs w:val="21"/>
              </w:rPr>
              <w:t>考试模式检验学生对保教环境创设知识和技能的掌握程度，确保其能够按照大赛标准和要求，高效、准确地完成任务</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210" w:firstLineChars="100"/>
              <w:rPr>
                <w:rFonts w:ascii="宋体" w:eastAsia="宋体" w:hAnsi="宋体" w:cs="宋体" w:hint="eastAsia"/>
                <w:bCs/>
                <w:sz w:val="21"/>
                <w:szCs w:val="21"/>
                <w:lang w:eastAsia="zh-CN"/>
              </w:rPr>
            </w:pPr>
            <w:r>
              <w:rPr>
                <w:rFonts w:ascii="宋体" w:eastAsia="宋体" w:hAnsi="宋体" w:cs="宋体" w:hint="eastAsia"/>
                <w:bCs/>
                <w:sz w:val="21"/>
                <w:szCs w:val="21"/>
              </w:rPr>
              <w:t xml:space="preserve">三、内容参数 </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1、</w:t>
            </w:r>
            <w:r>
              <w:rPr>
                <w:rFonts w:ascii="宋体" w:eastAsia="宋体" w:hAnsi="宋体" w:cs="宋体" w:hint="eastAsia"/>
                <w:bCs/>
                <w:sz w:val="21"/>
                <w:szCs w:val="21"/>
              </w:rPr>
              <w:t>提供大量的3D模型、贴图、材质等素材，方便学生根据需要进行选择和搭配。</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r>
              <w:rPr>
                <w:rFonts w:ascii="宋体" w:eastAsia="宋体" w:hAnsi="宋体" w:cs="宋体" w:hint="eastAsia"/>
                <w:bCs/>
                <w:sz w:val="21"/>
                <w:szCs w:val="21"/>
              </w:rPr>
              <w:t>素材可以根据实际的教学需求进行自定义更改和调整</w:t>
            </w:r>
            <w:r>
              <w:rPr>
                <w:rFonts w:ascii="宋体" w:eastAsia="宋体" w:hAnsi="宋体" w:cs="宋体" w:hint="eastAsia"/>
                <w:bCs/>
                <w:sz w:val="21"/>
                <w:szCs w:val="21"/>
                <w:lang w:eastAsia="zh-CN"/>
              </w:rPr>
              <w:t>区域大小</w:t>
            </w:r>
            <w:r>
              <w:rPr>
                <w:rFonts w:ascii="宋体" w:eastAsia="宋体" w:hAnsi="宋体" w:cs="宋体" w:hint="eastAsia"/>
                <w:bCs/>
                <w:sz w:val="21"/>
                <w:szCs w:val="21"/>
              </w:rPr>
              <w:t>，以满足不同主题的需求</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r>
              <w:rPr>
                <w:rFonts w:ascii="宋体" w:eastAsia="宋体" w:hAnsi="宋体" w:cs="宋体" w:hint="eastAsia"/>
                <w:bCs/>
                <w:sz w:val="21"/>
                <w:szCs w:val="21"/>
              </w:rPr>
              <w:t>托幼机构保教环境创设平台包含≥10个经典主题，≥1700种素材，便于操作者进行班级环境创设或区角环境创设</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lang w:eastAsia="zh-CN"/>
              </w:rPr>
            </w:pPr>
            <w:r>
              <w:rPr>
                <w:rFonts w:ascii="宋体" w:eastAsia="宋体" w:hAnsi="宋体" w:cs="宋体" w:hint="eastAsia"/>
                <w:bCs/>
                <w:sz w:val="21"/>
                <w:szCs w:val="21"/>
                <w:lang w:eastAsia="zh-CN"/>
              </w:rPr>
              <w:t>4、至少包含以下主题：</w:t>
            </w:r>
          </w:p>
          <w:p>
            <w:pPr>
              <w:ind w:left="240" w:firstLine="0" w:leftChars="100" w:firstLineChars="0"/>
              <w:rPr>
                <w:rFonts w:ascii="宋体" w:eastAsia="宋体" w:hAnsi="宋体" w:cs="宋体" w:hint="eastAsia"/>
                <w:bCs/>
                <w:sz w:val="21"/>
                <w:szCs w:val="21"/>
              </w:rPr>
            </w:pPr>
            <w:r>
              <w:rPr>
                <w:rFonts w:ascii="宋体" w:eastAsia="宋体" w:hAnsi="宋体" w:cs="宋体" w:hint="eastAsia"/>
                <w:bCs/>
                <w:sz w:val="21"/>
                <w:szCs w:val="21"/>
              </w:rPr>
              <w:t>（1）中秋节</w:t>
            </w:r>
            <w:r>
              <w:rPr>
                <w:rFonts w:ascii="宋体" w:eastAsia="宋体" w:hAnsi="宋体" w:cs="宋体" w:hint="eastAsia"/>
                <w:bCs/>
                <w:sz w:val="21"/>
                <w:szCs w:val="21"/>
              </w:rPr>
              <w:br/>
            </w:r>
            <w:r>
              <w:rPr>
                <w:rFonts w:ascii="宋体" w:eastAsia="宋体" w:hAnsi="宋体" w:cs="宋体" w:hint="eastAsia"/>
                <w:bCs/>
                <w:sz w:val="21"/>
                <w:szCs w:val="21"/>
              </w:rPr>
              <w:t>（2）我的小手</w:t>
            </w:r>
            <w:r>
              <w:rPr>
                <w:rFonts w:ascii="宋体" w:eastAsia="宋体" w:hAnsi="宋体" w:cs="宋体" w:hint="eastAsia"/>
                <w:bCs/>
                <w:sz w:val="21"/>
                <w:szCs w:val="21"/>
              </w:rPr>
              <w:br/>
            </w:r>
            <w:r>
              <w:rPr>
                <w:rFonts w:ascii="宋体" w:eastAsia="宋体" w:hAnsi="宋体" w:cs="宋体" w:hint="eastAsia"/>
                <w:bCs/>
                <w:sz w:val="21"/>
                <w:szCs w:val="21"/>
              </w:rPr>
              <w:t>（3）美丽的春天</w:t>
            </w:r>
            <w:r>
              <w:rPr>
                <w:rFonts w:ascii="宋体" w:eastAsia="宋体" w:hAnsi="宋体" w:cs="宋体" w:hint="eastAsia"/>
                <w:bCs/>
                <w:sz w:val="21"/>
                <w:szCs w:val="21"/>
              </w:rPr>
              <w:br/>
            </w:r>
            <w:r>
              <w:rPr>
                <w:rFonts w:ascii="宋体" w:eastAsia="宋体" w:hAnsi="宋体" w:cs="宋体" w:hint="eastAsia"/>
                <w:bCs/>
                <w:sz w:val="21"/>
                <w:szCs w:val="21"/>
              </w:rPr>
              <w:t>（4）颜色变变变</w:t>
            </w:r>
            <w:r>
              <w:rPr>
                <w:rFonts w:ascii="宋体" w:eastAsia="宋体" w:hAnsi="宋体" w:cs="宋体" w:hint="eastAsia"/>
                <w:bCs/>
                <w:sz w:val="21"/>
                <w:szCs w:val="21"/>
              </w:rPr>
              <w:br/>
            </w:r>
            <w:r>
              <w:rPr>
                <w:rFonts w:ascii="宋体" w:eastAsia="宋体" w:hAnsi="宋体" w:cs="宋体" w:hint="eastAsia"/>
                <w:bCs/>
                <w:sz w:val="21"/>
                <w:szCs w:val="21"/>
              </w:rPr>
              <w:t>（5）蚂蚁王国</w:t>
            </w:r>
            <w:r>
              <w:rPr>
                <w:rFonts w:ascii="宋体" w:eastAsia="宋体" w:hAnsi="宋体" w:cs="宋体" w:hint="eastAsia"/>
                <w:bCs/>
                <w:sz w:val="21"/>
                <w:szCs w:val="21"/>
              </w:rPr>
              <w:br/>
            </w:r>
            <w:r>
              <w:rPr>
                <w:rFonts w:ascii="宋体" w:eastAsia="宋体" w:hAnsi="宋体" w:cs="宋体" w:hint="eastAsia"/>
                <w:bCs/>
                <w:sz w:val="21"/>
                <w:szCs w:val="21"/>
              </w:rPr>
              <w:t>（6）祖国祖国我爱你</w:t>
            </w:r>
            <w:r>
              <w:rPr>
                <w:rFonts w:ascii="宋体" w:eastAsia="宋体" w:hAnsi="宋体" w:cs="宋体" w:hint="eastAsia"/>
                <w:bCs/>
                <w:sz w:val="21"/>
                <w:szCs w:val="21"/>
              </w:rPr>
              <w:br/>
            </w:r>
            <w:r>
              <w:rPr>
                <w:rFonts w:ascii="宋体" w:eastAsia="宋体" w:hAnsi="宋体" w:cs="宋体" w:hint="eastAsia"/>
                <w:bCs/>
                <w:sz w:val="21"/>
                <w:szCs w:val="21"/>
              </w:rPr>
              <w:t>（7）树叶沙沙沙</w:t>
            </w:r>
            <w:r>
              <w:rPr>
                <w:rFonts w:ascii="宋体" w:eastAsia="宋体" w:hAnsi="宋体" w:cs="宋体" w:hint="eastAsia"/>
                <w:bCs/>
                <w:sz w:val="21"/>
                <w:szCs w:val="21"/>
              </w:rPr>
              <w:br/>
            </w:r>
            <w:r>
              <w:rPr>
                <w:rFonts w:ascii="宋体" w:eastAsia="宋体" w:hAnsi="宋体" w:cs="宋体" w:hint="eastAsia"/>
                <w:bCs/>
                <w:sz w:val="21"/>
                <w:szCs w:val="21"/>
              </w:rPr>
              <w:t>（8）多样的纸</w:t>
            </w:r>
            <w:r>
              <w:rPr>
                <w:rFonts w:ascii="宋体" w:eastAsia="宋体" w:hAnsi="宋体" w:cs="宋体" w:hint="eastAsia"/>
                <w:bCs/>
                <w:sz w:val="21"/>
                <w:szCs w:val="21"/>
              </w:rPr>
              <w:br/>
            </w:r>
            <w:r>
              <w:rPr>
                <w:rFonts w:ascii="宋体" w:eastAsia="宋体" w:hAnsi="宋体" w:cs="宋体" w:hint="eastAsia"/>
                <w:bCs/>
                <w:sz w:val="21"/>
                <w:szCs w:val="21"/>
              </w:rPr>
              <w:t>（9）好玩的车</w:t>
            </w:r>
            <w:r>
              <w:rPr>
                <w:rFonts w:ascii="宋体" w:eastAsia="宋体" w:hAnsi="宋体" w:cs="宋体" w:hint="eastAsia"/>
                <w:bCs/>
                <w:sz w:val="21"/>
                <w:szCs w:val="21"/>
              </w:rPr>
              <w:br/>
            </w:r>
            <w:r>
              <w:rPr>
                <w:rFonts w:ascii="宋体" w:eastAsia="宋体" w:hAnsi="宋体" w:cs="宋体" w:hint="eastAsia"/>
                <w:bCs/>
                <w:sz w:val="21"/>
                <w:szCs w:val="21"/>
              </w:rPr>
              <w:t>（10）有趣的篮球</w:t>
            </w:r>
            <w:r>
              <w:rPr>
                <w:rFonts w:ascii="宋体" w:eastAsia="宋体" w:hAnsi="宋体" w:cs="宋体" w:hint="eastAsia"/>
                <w:bCs/>
                <w:sz w:val="21"/>
                <w:szCs w:val="21"/>
              </w:rPr>
              <w:br/>
            </w:r>
            <w:r>
              <w:rPr>
                <w:rFonts w:ascii="宋体" w:eastAsia="宋体" w:hAnsi="宋体" w:cs="宋体" w:hint="eastAsia"/>
                <w:bCs/>
                <w:sz w:val="21"/>
                <w:szCs w:val="21"/>
              </w:rPr>
              <w:t>▲每个主题需提供≥10 张展示该内容的截图。</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ind w:left="210" w:hanging="210" w:hangingChars="100"/>
              <w:rPr>
                <w:rFonts w:ascii="宋体" w:eastAsia="宋体" w:hAnsi="宋体" w:cs="宋体" w:hint="eastAsia"/>
                <w:bCs/>
                <w:sz w:val="21"/>
                <w:szCs w:val="21"/>
              </w:rPr>
            </w:pPr>
            <w:r>
              <w:rPr>
                <w:rFonts w:ascii="宋体" w:eastAsia="宋体" w:hAnsi="宋体" w:cs="宋体" w:hint="eastAsia"/>
                <w:bCs/>
                <w:sz w:val="21"/>
                <w:szCs w:val="21"/>
                <w:lang w:eastAsia="zh-CN"/>
              </w:rPr>
              <w:t>5、</w:t>
            </w:r>
            <w:r>
              <w:rPr>
                <w:rFonts w:ascii="宋体" w:eastAsia="宋体" w:hAnsi="宋体" w:cs="宋体" w:hint="eastAsia"/>
                <w:bCs/>
                <w:sz w:val="21"/>
                <w:szCs w:val="21"/>
              </w:rPr>
              <w:t>学生可以在虚拟场景中进行环境创设交互操作</w:t>
            </w:r>
          </w:p>
        </w:tc>
      </w:tr>
      <w:tr>
        <w:tblPrEx>
          <w:tblW w:w="5000" w:type="pct"/>
          <w:tblInd w:w="0" w:type="dxa"/>
          <w:tblLayout w:type="fixed"/>
          <w:tblCellMar>
            <w:top w:w="0" w:type="dxa"/>
            <w:left w:w="108" w:type="dxa"/>
            <w:bottom w:w="0" w:type="dxa"/>
            <w:right w:w="108" w:type="dxa"/>
          </w:tblCellMar>
        </w:tblPrEx>
        <w:trPr>
          <w:trHeight w:val="64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6、</w:t>
            </w:r>
            <w:r>
              <w:rPr>
                <w:rFonts w:ascii="宋体" w:eastAsia="宋体" w:hAnsi="宋体" w:cs="宋体" w:hint="eastAsia"/>
                <w:bCs/>
                <w:sz w:val="21"/>
                <w:szCs w:val="21"/>
              </w:rPr>
              <w:t>帮助学生理解环境创设的原理和方法，提高</w:t>
            </w:r>
            <w:r>
              <w:rPr>
                <w:rFonts w:ascii="宋体" w:eastAsia="宋体" w:hAnsi="宋体" w:cs="宋体" w:hint="eastAsia"/>
                <w:bCs/>
                <w:sz w:val="21"/>
                <w:szCs w:val="21"/>
                <w:lang w:eastAsia="zh-CN"/>
              </w:rPr>
              <w:t>学生</w:t>
            </w:r>
            <w:r>
              <w:rPr>
                <w:rFonts w:ascii="宋体" w:eastAsia="宋体" w:hAnsi="宋体" w:cs="宋体" w:hint="eastAsia"/>
                <w:bCs/>
                <w:sz w:val="21"/>
                <w:szCs w:val="21"/>
              </w:rPr>
              <w:t>实践能力和创新思维</w:t>
            </w:r>
          </w:p>
        </w:tc>
      </w:tr>
      <w:tr>
        <w:tblPrEx>
          <w:tblW w:w="5000" w:type="pct"/>
          <w:tblInd w:w="0" w:type="dxa"/>
          <w:tblLayout w:type="fixed"/>
          <w:tblCellMar>
            <w:top w:w="0" w:type="dxa"/>
            <w:left w:w="108" w:type="dxa"/>
            <w:bottom w:w="0" w:type="dxa"/>
            <w:right w:w="108" w:type="dxa"/>
          </w:tblCellMar>
        </w:tblPrEx>
        <w:trPr>
          <w:trHeight w:val="292"/>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7、</w:t>
            </w:r>
            <w:r>
              <w:rPr>
                <w:rFonts w:ascii="宋体" w:eastAsia="宋体" w:hAnsi="宋体" w:cs="宋体" w:hint="eastAsia"/>
                <w:bCs/>
                <w:sz w:val="21"/>
                <w:szCs w:val="21"/>
              </w:rPr>
              <w:t>在虚拟场景中选择模型进行拖动、摆放，调整位置与大小。</w:t>
            </w:r>
          </w:p>
        </w:tc>
      </w:tr>
      <w:tr>
        <w:tblPrEx>
          <w:tblW w:w="5000" w:type="pct"/>
          <w:tblInd w:w="0" w:type="dxa"/>
          <w:tblLayout w:type="fixed"/>
          <w:tblCellMar>
            <w:top w:w="0" w:type="dxa"/>
            <w:left w:w="108" w:type="dxa"/>
            <w:bottom w:w="0" w:type="dxa"/>
            <w:right w:w="108" w:type="dxa"/>
          </w:tblCellMar>
        </w:tblPrEx>
        <w:trPr>
          <w:trHeight w:val="273"/>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8、</w:t>
            </w:r>
            <w:r>
              <w:rPr>
                <w:rFonts w:ascii="宋体" w:eastAsia="宋体" w:hAnsi="宋体" w:cs="宋体" w:hint="eastAsia"/>
                <w:bCs/>
                <w:sz w:val="21"/>
                <w:szCs w:val="21"/>
              </w:rPr>
              <w:t>选择装饰物对周围环境进行装点，提升环境创设效果。</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lang w:eastAsia="zh-CN"/>
              </w:rPr>
              <w:t>9、</w:t>
            </w:r>
            <w:r>
              <w:rPr>
                <w:rFonts w:ascii="宋体" w:eastAsia="宋体" w:hAnsi="宋体" w:cs="宋体" w:hint="eastAsia"/>
                <w:bCs/>
                <w:sz w:val="21"/>
                <w:szCs w:val="21"/>
              </w:rPr>
              <w:t>柜子上摆放的教具，可跟随柜子进行整体移动。</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numPr>
                <w:ilvl w:val="0"/>
                <w:numId w:val="0"/>
              </w:numPr>
              <w:ind w:left="0" w:firstLine="0"/>
              <w:rPr>
                <w:rFonts w:ascii="宋体" w:eastAsia="宋体" w:hAnsi="宋体" w:cs="宋体" w:hint="eastAsia"/>
                <w:bCs/>
                <w:sz w:val="21"/>
                <w:szCs w:val="21"/>
              </w:rPr>
            </w:pPr>
            <w:r>
              <w:rPr>
                <w:rFonts w:ascii="宋体" w:eastAsia="宋体" w:hAnsi="宋体" w:cs="宋体" w:hint="eastAsia"/>
                <w:bCs/>
                <w:sz w:val="21"/>
                <w:szCs w:val="21"/>
                <w:lang w:eastAsia="zh-CN"/>
              </w:rPr>
              <w:t>10、</w:t>
            </w:r>
            <w:r>
              <w:rPr>
                <w:rFonts w:ascii="宋体" w:eastAsia="宋体" w:hAnsi="宋体" w:cs="宋体" w:hint="eastAsia"/>
                <w:bCs/>
                <w:sz w:val="21"/>
                <w:szCs w:val="21"/>
              </w:rPr>
              <w:t>日常教学、练习中教师可根据学生操作提供实时反馈与评分。</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ind w:left="210" w:hanging="210" w:hangingChars="100"/>
              <w:rPr>
                <w:rFonts w:ascii="宋体" w:eastAsia="宋体" w:hAnsi="宋体" w:cs="宋体" w:hint="eastAsia"/>
                <w:bCs/>
                <w:sz w:val="21"/>
                <w:szCs w:val="21"/>
              </w:rPr>
            </w:pPr>
            <w:r>
              <w:rPr>
                <w:rFonts w:ascii="宋体" w:eastAsia="宋体" w:hAnsi="宋体" w:cs="宋体" w:hint="eastAsia"/>
                <w:bCs/>
                <w:sz w:val="21"/>
                <w:szCs w:val="21"/>
                <w:lang w:eastAsia="zh-CN"/>
              </w:rPr>
              <w:t>11、</w:t>
            </w:r>
            <w:r>
              <w:rPr>
                <w:rFonts w:ascii="宋体" w:eastAsia="宋体" w:hAnsi="宋体" w:cs="宋体" w:hint="eastAsia"/>
                <w:bCs/>
                <w:sz w:val="21"/>
                <w:szCs w:val="21"/>
              </w:rPr>
              <w:t>环境创设后可截图拍照，附上文字解读。</w:t>
            </w:r>
          </w:p>
        </w:tc>
      </w:tr>
      <w:tr>
        <w:tblPrEx>
          <w:tblW w:w="5000" w:type="pct"/>
          <w:tblInd w:w="0" w:type="dxa"/>
          <w:tblLayout w:type="fixed"/>
          <w:tblCellMar>
            <w:top w:w="0" w:type="dxa"/>
            <w:left w:w="108" w:type="dxa"/>
            <w:bottom w:w="0" w:type="dxa"/>
            <w:right w:w="108" w:type="dxa"/>
          </w:tblCellMar>
        </w:tblPrEx>
        <w:trPr>
          <w:trHeight w:val="37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ind w:left="210" w:hanging="210" w:hangingChars="100"/>
              <w:rPr>
                <w:rFonts w:ascii="宋体" w:eastAsia="宋体" w:hAnsi="宋体" w:cs="宋体" w:hint="eastAsia"/>
                <w:bCs/>
                <w:sz w:val="21"/>
                <w:szCs w:val="21"/>
                <w:lang w:eastAsia="zh-CN"/>
              </w:rPr>
            </w:pPr>
            <w:r>
              <w:rPr>
                <w:rFonts w:ascii="宋体" w:eastAsia="宋体" w:hAnsi="宋体" w:cs="宋体" w:hint="eastAsia"/>
                <w:bCs/>
                <w:sz w:val="21"/>
                <w:szCs w:val="21"/>
                <w:lang w:eastAsia="zh-CN"/>
              </w:rPr>
              <w:t>12、</w:t>
            </w:r>
            <w:r>
              <w:rPr>
                <w:rFonts w:ascii="宋体" w:eastAsia="宋体" w:hAnsi="宋体" w:cs="宋体" w:hint="eastAsia"/>
                <w:bCs/>
                <w:sz w:val="21"/>
                <w:szCs w:val="21"/>
              </w:rPr>
              <w:t>生成3D全景效果图：保存生成3D全景效果图，便于日常教学中交流学习或匹配到大赛中，评委对最终效果进行评分。</w:t>
            </w:r>
          </w:p>
        </w:tc>
      </w:tr>
      <w:tr>
        <w:tblPrEx>
          <w:tblW w:w="5000" w:type="pct"/>
          <w:tblInd w:w="0" w:type="dxa"/>
          <w:tblLayout w:type="fixed"/>
          <w:tblCellMar>
            <w:top w:w="0" w:type="dxa"/>
            <w:left w:w="108" w:type="dxa"/>
            <w:bottom w:w="0" w:type="dxa"/>
            <w:right w:w="108" w:type="dxa"/>
          </w:tblCellMar>
        </w:tblPrEx>
        <w:trPr>
          <w:trHeight w:val="90"/>
        </w:trPr>
        <w:tc>
          <w:tcPr>
            <w:tcW w:w="80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6</w:t>
            </w:r>
          </w:p>
        </w:tc>
        <w:tc>
          <w:tcPr>
            <w:tcW w:w="1243" w:type="dxa"/>
            <w:vMerge w:val="restart"/>
            <w:noWrap w:val="0"/>
            <w:vAlign w:val="center"/>
          </w:tcPr>
          <w:p>
            <w:pPr>
              <w:widowControl/>
              <w:jc w:val="center"/>
              <w:textAlignment w:val="center"/>
              <w:rPr>
                <w:rFonts w:ascii="宋体" w:eastAsia="宋体" w:hAnsi="宋体" w:cs="宋体" w:hint="eastAsia"/>
                <w:b/>
                <w:sz w:val="21"/>
                <w:szCs w:val="21"/>
              </w:rPr>
            </w:pPr>
            <w:r>
              <w:rPr>
                <w:rFonts w:ascii="宋体" w:eastAsia="宋体" w:hAnsi="宋体" w:cs="宋体" w:hint="eastAsia"/>
                <w:color w:val="000000"/>
                <w:sz w:val="21"/>
                <w:szCs w:val="21"/>
                <w:lang w:bidi="ar"/>
              </w:rPr>
              <w:t>学龄前儿童保教技能大赛学习题库</w:t>
            </w: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一、</w:t>
            </w:r>
            <w:r>
              <w:rPr>
                <w:rFonts w:ascii="宋体" w:eastAsia="宋体" w:hAnsi="宋体" w:cs="宋体" w:hint="eastAsia"/>
                <w:bCs/>
                <w:sz w:val="21"/>
                <w:szCs w:val="21"/>
              </w:rPr>
              <w:t>技术参数</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1、</w:t>
            </w:r>
            <w:r>
              <w:rPr>
                <w:rFonts w:ascii="宋体" w:eastAsia="宋体" w:hAnsi="宋体" w:cs="宋体" w:hint="eastAsia"/>
                <w:bCs/>
                <w:sz w:val="21"/>
                <w:szCs w:val="21"/>
              </w:rPr>
              <w:t>软件为 C/S 架构，采用 java/web 技术</w:t>
            </w:r>
            <w:r>
              <w:rPr>
                <w:rFonts w:ascii="宋体" w:eastAsia="宋体" w:hAnsi="宋体" w:cs="宋体" w:hint="eastAsia"/>
                <w:bCs/>
                <w:sz w:val="21"/>
                <w:szCs w:val="21"/>
                <w:lang w:eastAsia="zh-CN"/>
              </w:rPr>
              <w:t>，</w:t>
            </w:r>
            <w:r>
              <w:rPr>
                <w:rFonts w:ascii="宋体" w:eastAsia="宋体" w:hAnsi="宋体" w:cs="宋体" w:hint="eastAsia"/>
                <w:bCs/>
                <w:sz w:val="21"/>
                <w:szCs w:val="21"/>
              </w:rPr>
              <w:t>采用 SpringBoot 和 Vue 等开发框架。</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r>
              <w:rPr>
                <w:rFonts w:ascii="宋体" w:eastAsia="宋体" w:hAnsi="宋体" w:cs="宋体" w:hint="eastAsia"/>
                <w:bCs/>
                <w:sz w:val="21"/>
                <w:szCs w:val="21"/>
              </w:rPr>
              <w:t>软件支持 Windows 系统及国产信创操作系统</w:t>
            </w:r>
            <w:r>
              <w:rPr>
                <w:rFonts w:ascii="宋体" w:eastAsia="宋体" w:hAnsi="宋体" w:cs="宋体" w:hint="eastAsia"/>
                <w:bCs/>
                <w:sz w:val="21"/>
                <w:szCs w:val="21"/>
                <w:lang w:eastAsia="zh-CN"/>
              </w:rPr>
              <w:t>等</w:t>
            </w:r>
            <w:r>
              <w:rPr>
                <w:rFonts w:ascii="宋体" w:eastAsia="宋体" w:hAnsi="宋体" w:cs="宋体" w:hint="eastAsia"/>
                <w:bCs/>
                <w:sz w:val="21"/>
                <w:szCs w:val="21"/>
              </w:rPr>
              <w:t>。</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3、采用MySQL5.7 及以上数据库；</w:t>
            </w:r>
            <w:r>
              <w:rPr>
                <w:rFonts w:ascii="宋体" w:eastAsia="宋体" w:hAnsi="宋体" w:cs="宋体" w:hint="eastAsia"/>
                <w:bCs/>
                <w:sz w:val="21"/>
                <w:szCs w:val="21"/>
              </w:rPr>
              <w:t>兼容国产数据库</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r>
              <w:rPr>
                <w:rFonts w:ascii="宋体" w:eastAsia="宋体" w:hAnsi="宋体" w:cs="宋体" w:hint="eastAsia"/>
                <w:bCs/>
                <w:sz w:val="21"/>
                <w:szCs w:val="21"/>
              </w:rPr>
              <w:t>软件采用Unity3D 引擎开发，软件中出现的人物，设备都</w:t>
            </w:r>
            <w:r>
              <w:rPr>
                <w:rFonts w:ascii="宋体" w:eastAsia="宋体" w:hAnsi="宋体" w:cs="宋体" w:hint="eastAsia"/>
                <w:bCs/>
                <w:sz w:val="21"/>
                <w:szCs w:val="21"/>
                <w:lang w:eastAsia="zh-CN"/>
              </w:rPr>
              <w:t>符合</w:t>
            </w:r>
            <w:r>
              <w:rPr>
                <w:rFonts w:ascii="宋体" w:eastAsia="宋体" w:hAnsi="宋体" w:cs="宋体" w:hint="eastAsia"/>
                <w:bCs/>
                <w:sz w:val="21"/>
                <w:szCs w:val="21"/>
              </w:rPr>
              <w:t>写实画风</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5、软件可</w:t>
            </w:r>
            <w:r>
              <w:rPr>
                <w:rFonts w:ascii="宋体" w:eastAsia="宋体" w:hAnsi="宋体" w:cs="宋体" w:hint="eastAsia"/>
                <w:bCs/>
                <w:sz w:val="21"/>
                <w:szCs w:val="21"/>
              </w:rPr>
              <w:t>基于Windows 平台</w:t>
            </w:r>
            <w:r>
              <w:rPr>
                <w:rFonts w:ascii="宋体" w:eastAsia="宋体" w:hAnsi="宋体" w:cs="宋体" w:hint="eastAsia"/>
                <w:bCs/>
                <w:sz w:val="21"/>
                <w:szCs w:val="21"/>
                <w:lang w:eastAsia="zh-CN"/>
              </w:rPr>
              <w:t>，</w:t>
            </w:r>
            <w:r>
              <w:rPr>
                <w:rFonts w:ascii="宋体" w:eastAsia="宋体" w:hAnsi="宋体" w:cs="宋体" w:hint="eastAsia"/>
                <w:bCs/>
                <w:sz w:val="21"/>
                <w:szCs w:val="21"/>
              </w:rPr>
              <w:t>使用鼠标键盘</w:t>
            </w:r>
            <w:r>
              <w:rPr>
                <w:rFonts w:ascii="宋体" w:eastAsia="宋体" w:hAnsi="宋体" w:cs="宋体" w:hint="eastAsia"/>
                <w:bCs/>
                <w:sz w:val="21"/>
                <w:szCs w:val="21"/>
                <w:lang w:eastAsia="zh-CN"/>
              </w:rPr>
              <w:t>进行交互操作。</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6、软件支持</w:t>
            </w:r>
            <w:r>
              <w:rPr>
                <w:rFonts w:ascii="宋体" w:eastAsia="宋体" w:hAnsi="宋体" w:cs="宋体" w:hint="eastAsia"/>
                <w:bCs/>
                <w:sz w:val="21"/>
                <w:szCs w:val="21"/>
              </w:rPr>
              <w:t xml:space="preserve"> VR 眼镜进行交互操作（VR 支持 3D 考场模拟环节），采用第一人称视角展现、沉浸式的虚拟现实体验感。</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二、功能参数</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w:t>
            </w:r>
            <w:r>
              <w:rPr>
                <w:rFonts w:ascii="宋体" w:eastAsia="宋体" w:hAnsi="宋体" w:cs="宋体" w:hint="eastAsia"/>
                <w:bCs/>
                <w:sz w:val="21"/>
                <w:szCs w:val="21"/>
              </w:rPr>
              <w:t>学生端功能：</w:t>
            </w:r>
            <w:r>
              <w:rPr>
                <w:rFonts w:ascii="宋体" w:eastAsia="宋体" w:hAnsi="宋体" w:cs="宋体" w:hint="eastAsia"/>
                <w:bCs/>
                <w:sz w:val="21"/>
                <w:szCs w:val="21"/>
              </w:rPr>
              <w:br/>
            </w:r>
            <w:r>
              <w:rPr>
                <w:rFonts w:ascii="宋体" w:eastAsia="宋体" w:hAnsi="宋体" w:cs="宋体" w:hint="eastAsia"/>
                <w:bCs/>
                <w:sz w:val="21"/>
                <w:szCs w:val="21"/>
              </w:rPr>
              <w:t>提供一带一路暨金砖国家技能发展与技术创新大赛－学龄前儿童保教技能赛项模块一职业素养测评中学生中职组、学生高校组、教师组三个组别的保教技能知识测评机考题全部的在线练习，平台提供试题参考答案、详细答案解析。</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2</w:t>
            </w:r>
            <w:r>
              <w:rPr>
                <w:rFonts w:ascii="宋体" w:eastAsia="宋体" w:hAnsi="宋体" w:cs="宋体" w:hint="eastAsia"/>
                <w:bCs/>
                <w:sz w:val="21"/>
                <w:szCs w:val="21"/>
              </w:rPr>
              <w:t>、</w:t>
            </w:r>
            <w:r>
              <w:rPr>
                <w:rFonts w:ascii="宋体" w:eastAsia="宋体" w:hAnsi="宋体" w:cs="宋体" w:hint="eastAsia"/>
                <w:bCs/>
                <w:sz w:val="21"/>
                <w:szCs w:val="21"/>
              </w:rPr>
              <w:t>▲提</w:t>
            </w:r>
            <w:r>
              <w:rPr>
                <w:rFonts w:ascii="宋体" w:eastAsia="宋体" w:hAnsi="宋体" w:cs="宋体" w:hint="eastAsia"/>
                <w:bCs/>
                <w:sz w:val="21"/>
                <w:szCs w:val="21"/>
              </w:rPr>
              <w:t>供学龄前儿童保教技能赛项四个模块的备赛微课讲解视频，即：模块一职业素养测评、模块二保育技能实操、模块三教育活动设计及模拟教学、模块四托幼机构保教环境创设的微课讲解视频，重点讲解备赛需要注意的关键点</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提供展示该内的截图≥4张</w:t>
            </w:r>
            <w:r>
              <w:rPr>
                <w:rFonts w:ascii="宋体" w:eastAsia="宋体" w:hAnsi="宋体" w:cs="宋体" w:hint="eastAsia"/>
                <w:bCs/>
                <w:sz w:val="21"/>
                <w:szCs w:val="21"/>
              </w:rPr>
              <w:t>。</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w:t>
            </w:r>
            <w:r>
              <w:rPr>
                <w:rFonts w:ascii="宋体" w:eastAsia="宋体" w:hAnsi="宋体" w:cs="宋体" w:hint="eastAsia"/>
                <w:bCs/>
                <w:sz w:val="21"/>
                <w:szCs w:val="21"/>
              </w:rPr>
              <w:t>、深度融合阿里云计算AI大模型与DeepSeek R1 Pro 增强版大模型的深度推理能力，结合定制化专业知识库，精准生成符合地方文化特色的高质量备赛方案。系统提供智能备赛方向推荐与个性化备赛指导，显著提升备赛效率与成果竞争力，助力院校高效备战大赛。</w:t>
            </w:r>
          </w:p>
        </w:tc>
      </w:tr>
      <w:tr>
        <w:tblPrEx>
          <w:tblW w:w="5000" w:type="pct"/>
          <w:tblInd w:w="0" w:type="dxa"/>
          <w:tblLayout w:type="fixed"/>
          <w:tblCellMar>
            <w:top w:w="0" w:type="dxa"/>
            <w:left w:w="108" w:type="dxa"/>
            <w:bottom w:w="0" w:type="dxa"/>
            <w:right w:w="108" w:type="dxa"/>
          </w:tblCellMar>
        </w:tblPrEx>
        <w:trPr>
          <w:trHeight w:val="31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4</w:t>
            </w:r>
            <w:r>
              <w:rPr>
                <w:rFonts w:ascii="宋体" w:eastAsia="宋体" w:hAnsi="宋体" w:cs="宋体" w:hint="eastAsia"/>
                <w:bCs/>
                <w:sz w:val="21"/>
                <w:szCs w:val="21"/>
              </w:rPr>
              <w:t>、能够利用人工智能+人才方案，生成备赛方案。</w:t>
            </w:r>
          </w:p>
        </w:tc>
      </w:tr>
      <w:tr>
        <w:tblPrEx>
          <w:tblW w:w="5000" w:type="pct"/>
          <w:tblInd w:w="0" w:type="dxa"/>
          <w:tblLayout w:type="fixed"/>
          <w:tblCellMar>
            <w:top w:w="0" w:type="dxa"/>
            <w:left w:w="108" w:type="dxa"/>
            <w:bottom w:w="0" w:type="dxa"/>
            <w:right w:w="108" w:type="dxa"/>
          </w:tblCellMar>
        </w:tblPrEx>
        <w:trPr>
          <w:trHeight w:val="595"/>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r>
              <w:rPr>
                <w:rFonts w:ascii="宋体" w:eastAsia="宋体" w:hAnsi="宋体" w:cs="宋体" w:hint="eastAsia"/>
                <w:bCs/>
                <w:sz w:val="21"/>
                <w:szCs w:val="21"/>
              </w:rPr>
              <w:t>、可以记录题目练习过程中出现的错题，帮助学生更好地学习。</w:t>
            </w:r>
          </w:p>
          <w:p>
            <w:pPr>
              <w:rPr>
                <w:rFonts w:ascii="宋体" w:eastAsia="宋体" w:hAnsi="宋体" w:cs="宋体" w:hint="eastAsia"/>
                <w:bCs/>
                <w:color w:val="227ACB"/>
                <w:sz w:val="21"/>
                <w:szCs w:val="21"/>
              </w:rPr>
            </w:pPr>
            <w:r>
              <w:rPr>
                <w:rFonts w:ascii="宋体" w:eastAsia="宋体" w:hAnsi="宋体" w:cs="宋体" w:hint="eastAsia"/>
                <w:bCs/>
                <w:sz w:val="21"/>
                <w:szCs w:val="21"/>
              </w:rPr>
              <w:t>收藏夹功能：在练习过程中可以收藏题目，方便随时查看。</w:t>
            </w:r>
          </w:p>
        </w:tc>
      </w:tr>
      <w:tr>
        <w:tblPrEx>
          <w:tblW w:w="5000" w:type="pct"/>
          <w:tblInd w:w="0" w:type="dxa"/>
          <w:tblLayout w:type="fixed"/>
          <w:tblCellMar>
            <w:top w:w="0" w:type="dxa"/>
            <w:left w:w="108" w:type="dxa"/>
            <w:bottom w:w="0" w:type="dxa"/>
            <w:right w:w="108" w:type="dxa"/>
          </w:tblCellMar>
        </w:tblPrEx>
        <w:trPr>
          <w:trHeight w:val="91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6、支持</w:t>
            </w:r>
            <w:r>
              <w:rPr>
                <w:rFonts w:ascii="宋体" w:eastAsia="宋体" w:hAnsi="宋体" w:cs="宋体" w:hint="eastAsia"/>
                <w:bCs/>
                <w:sz w:val="21"/>
                <w:szCs w:val="21"/>
              </w:rPr>
              <w:t>教师或指定工作人员统一配置考试试题，所有参与者进行相同试题的测评，后台可配置赛项所有考试试题，客观题在线作答后，平台自动计算分数</w:t>
            </w:r>
          </w:p>
        </w:tc>
      </w:tr>
      <w:tr>
        <w:tblPrEx>
          <w:tblW w:w="5000" w:type="pct"/>
          <w:tblInd w:w="0" w:type="dxa"/>
          <w:tblLayout w:type="fixed"/>
          <w:tblCellMar>
            <w:top w:w="0" w:type="dxa"/>
            <w:left w:w="108" w:type="dxa"/>
            <w:bottom w:w="0" w:type="dxa"/>
            <w:right w:w="108" w:type="dxa"/>
          </w:tblCellMar>
        </w:tblPrEx>
        <w:trPr>
          <w:trHeight w:val="91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7、支持</w:t>
            </w:r>
            <w:r>
              <w:rPr>
                <w:rFonts w:ascii="宋体" w:eastAsia="宋体" w:hAnsi="宋体" w:cs="宋体" w:hint="eastAsia"/>
                <w:bCs/>
                <w:sz w:val="21"/>
                <w:szCs w:val="21"/>
              </w:rPr>
              <w:t>系统随机生成考试试题，每次完成提交后，下次进入为全新试题，方便客观题的学习与练习，帮助学生找到薄弱点、易错题，提高学生的自信心与考试时的时间把握能力</w:t>
            </w:r>
          </w:p>
        </w:tc>
      </w:tr>
      <w:tr>
        <w:tblPrEx>
          <w:tblW w:w="5000" w:type="pct"/>
          <w:tblInd w:w="0" w:type="dxa"/>
          <w:tblLayout w:type="fixed"/>
          <w:tblCellMar>
            <w:top w:w="0" w:type="dxa"/>
            <w:left w:w="108" w:type="dxa"/>
            <w:bottom w:w="0" w:type="dxa"/>
            <w:right w:w="108" w:type="dxa"/>
          </w:tblCellMar>
        </w:tblPrEx>
        <w:trPr>
          <w:trHeight w:val="60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8、支持</w:t>
            </w:r>
            <w:r>
              <w:rPr>
                <w:rFonts w:ascii="宋体" w:eastAsia="宋体" w:hAnsi="宋体" w:cs="宋体" w:hint="eastAsia"/>
                <w:bCs/>
                <w:sz w:val="21"/>
                <w:szCs w:val="21"/>
              </w:rPr>
              <w:t>记录模拟考评记录并显示完成情况，记录多次模拟成绩并能生成图表，方便查看测评记录，分析原因，优化备赛</w:t>
            </w:r>
          </w:p>
        </w:tc>
      </w:tr>
      <w:tr>
        <w:tblPrEx>
          <w:tblW w:w="5000" w:type="pct"/>
          <w:tblInd w:w="0" w:type="dxa"/>
          <w:tblLayout w:type="fixed"/>
          <w:tblCellMar>
            <w:top w:w="0" w:type="dxa"/>
            <w:left w:w="108" w:type="dxa"/>
            <w:bottom w:w="0" w:type="dxa"/>
            <w:right w:w="108" w:type="dxa"/>
          </w:tblCellMar>
        </w:tblPrEx>
        <w:trPr>
          <w:trHeight w:val="91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9、</w:t>
            </w:r>
            <w:r>
              <w:rPr>
                <w:rFonts w:ascii="宋体" w:eastAsia="宋体" w:hAnsi="宋体" w:cs="宋体" w:hint="eastAsia"/>
                <w:bCs/>
                <w:sz w:val="21"/>
                <w:szCs w:val="21"/>
              </w:rPr>
              <w:t>系统完全按照一带一路暨金砖国家技能发展与技术创新大赛-学龄前儿童保教技能赛项规程开发，根据赛项规程时间流程，以动线的形式展示整个竞赛流程</w:t>
            </w:r>
          </w:p>
        </w:tc>
      </w:tr>
      <w:tr>
        <w:tblPrEx>
          <w:tblW w:w="5000" w:type="pct"/>
          <w:tblInd w:w="0" w:type="dxa"/>
          <w:tblLayout w:type="fixed"/>
          <w:tblCellMar>
            <w:top w:w="0" w:type="dxa"/>
            <w:left w:w="108" w:type="dxa"/>
            <w:bottom w:w="0" w:type="dxa"/>
            <w:right w:w="108" w:type="dxa"/>
          </w:tblCellMar>
        </w:tblPrEx>
        <w:trPr>
          <w:trHeight w:val="617"/>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10、支持</w:t>
            </w:r>
            <w:r>
              <w:rPr>
                <w:rFonts w:ascii="宋体" w:eastAsia="宋体" w:hAnsi="宋体" w:cs="宋体" w:hint="eastAsia"/>
                <w:bCs/>
                <w:sz w:val="21"/>
                <w:szCs w:val="21"/>
              </w:rPr>
              <w:t>电子系统随机分组，抽取各队选手比赛场次及顺序 号并讲解比赛场次和顺序号的含义，让选手和领队更易理解分组和顺序号。</w:t>
            </w:r>
          </w:p>
        </w:tc>
      </w:tr>
      <w:tr>
        <w:tblPrEx>
          <w:tblW w:w="5000" w:type="pct"/>
          <w:tblInd w:w="0" w:type="dxa"/>
          <w:tblLayout w:type="fixed"/>
          <w:tblCellMar>
            <w:top w:w="0" w:type="dxa"/>
            <w:left w:w="108" w:type="dxa"/>
            <w:bottom w:w="0" w:type="dxa"/>
            <w:right w:w="108" w:type="dxa"/>
          </w:tblCellMar>
        </w:tblPrEx>
        <w:trPr>
          <w:trHeight w:val="916"/>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11、</w:t>
            </w:r>
            <w:r>
              <w:rPr>
                <w:rFonts w:ascii="宋体" w:eastAsia="宋体" w:hAnsi="宋体" w:cs="宋体" w:hint="eastAsia"/>
                <w:bCs/>
                <w:sz w:val="21"/>
                <w:szCs w:val="21"/>
              </w:rPr>
              <w:t>虚拟仿真竞赛模拟系统按照竞赛流程顺序包含一次加密室、二次加密室、候赛室、备赛室（模块二备赛室、模块三备赛室）、A 赛场竞赛室（模块一、模块四竞赛机房）、B 赛场竞赛室（保育技能实操）、C 赛场竞赛室、休息室、保密室等多个模拟教室，选手可以跟随系统熟悉、参观赛场环境，按照大赛时间引导参选选手逐一操作，使其熟悉赛场环境，适应赛场环境。</w:t>
            </w:r>
          </w:p>
        </w:tc>
      </w:tr>
      <w:tr>
        <w:tblPrEx>
          <w:tblW w:w="5000" w:type="pct"/>
          <w:tblInd w:w="0" w:type="dxa"/>
          <w:tblLayout w:type="fixed"/>
          <w:tblCellMar>
            <w:top w:w="0" w:type="dxa"/>
            <w:left w:w="108" w:type="dxa"/>
            <w:bottom w:w="0" w:type="dxa"/>
            <w:right w:w="108" w:type="dxa"/>
          </w:tblCellMar>
        </w:tblPrEx>
        <w:trPr>
          <w:trHeight w:val="64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12、支持教师</w:t>
            </w:r>
            <w:r>
              <w:rPr>
                <w:rFonts w:ascii="宋体" w:eastAsia="宋体" w:hAnsi="宋体" w:cs="宋体" w:hint="eastAsia"/>
                <w:bCs/>
                <w:sz w:val="21"/>
                <w:szCs w:val="21"/>
              </w:rPr>
              <w:t>为模拟考评的统一考试添加修改试卷，在题库中选择需要考评的试题，进行训练</w:t>
            </w:r>
          </w:p>
        </w:tc>
      </w:tr>
      <w:tr>
        <w:tblPrEx>
          <w:tblW w:w="5000" w:type="pct"/>
          <w:tblInd w:w="0" w:type="dxa"/>
          <w:tblLayout w:type="fixed"/>
          <w:tblCellMar>
            <w:top w:w="0" w:type="dxa"/>
            <w:left w:w="108" w:type="dxa"/>
            <w:bottom w:w="0" w:type="dxa"/>
            <w:right w:w="108" w:type="dxa"/>
          </w:tblCellMar>
        </w:tblPrEx>
        <w:trPr>
          <w:trHeight w:val="308"/>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13、支持教师</w:t>
            </w:r>
            <w:r>
              <w:rPr>
                <w:rFonts w:ascii="宋体" w:eastAsia="宋体" w:hAnsi="宋体" w:cs="宋体" w:hint="eastAsia"/>
                <w:bCs/>
                <w:sz w:val="21"/>
                <w:szCs w:val="21"/>
              </w:rPr>
              <w:t>根据需求，例如校赛选拔，集体测评等配置统一考试试卷</w:t>
            </w:r>
          </w:p>
        </w:tc>
      </w:tr>
      <w:tr>
        <w:tblPrEx>
          <w:tblW w:w="5000" w:type="pct"/>
          <w:tblInd w:w="0" w:type="dxa"/>
          <w:tblLayout w:type="fixed"/>
          <w:tblCellMar>
            <w:top w:w="0" w:type="dxa"/>
            <w:left w:w="108" w:type="dxa"/>
            <w:bottom w:w="0" w:type="dxa"/>
            <w:right w:w="108" w:type="dxa"/>
          </w:tblCellMar>
        </w:tblPrEx>
        <w:trPr>
          <w:trHeight w:val="64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14、支持教师</w:t>
            </w:r>
            <w:r>
              <w:rPr>
                <w:rFonts w:ascii="宋体" w:eastAsia="宋体" w:hAnsi="宋体" w:cs="宋体" w:hint="eastAsia"/>
                <w:bCs/>
                <w:sz w:val="21"/>
                <w:szCs w:val="21"/>
              </w:rPr>
              <w:t>查看所有使用者的考评记录，可以查看记录的交卷状态、完成时间、正确率、回答率等</w:t>
            </w:r>
          </w:p>
        </w:tc>
      </w:tr>
      <w:tr>
        <w:tblPrEx>
          <w:tblW w:w="5000" w:type="pct"/>
          <w:tblInd w:w="0" w:type="dxa"/>
          <w:tblLayout w:type="fixed"/>
          <w:tblCellMar>
            <w:top w:w="0" w:type="dxa"/>
            <w:left w:w="108" w:type="dxa"/>
            <w:bottom w:w="0" w:type="dxa"/>
            <w:right w:w="108" w:type="dxa"/>
          </w:tblCellMar>
        </w:tblPrEx>
        <w:trPr>
          <w:trHeight w:val="629"/>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15、支持教师</w:t>
            </w:r>
            <w:r>
              <w:rPr>
                <w:rFonts w:ascii="宋体" w:eastAsia="宋体" w:hAnsi="宋体" w:cs="宋体" w:hint="eastAsia"/>
                <w:bCs/>
                <w:sz w:val="21"/>
                <w:szCs w:val="21"/>
              </w:rPr>
              <w:t>查看所有所属学生在学习过程中产生的错题，辅助教学活动的开展</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16、支持教师</w:t>
            </w:r>
            <w:r>
              <w:rPr>
                <w:rFonts w:ascii="宋体" w:eastAsia="宋体" w:hAnsi="宋体" w:cs="宋体" w:hint="eastAsia"/>
                <w:bCs/>
                <w:sz w:val="21"/>
                <w:szCs w:val="21"/>
              </w:rPr>
              <w:t>通过智能图标直观展示参与人数、练习回答率、客观题正确率等。并能够统计分析使用者的多次分数记录，生成相应图表，为记录、统计、分析、优化提供有效数据和参考。</w:t>
            </w:r>
          </w:p>
        </w:tc>
      </w:tr>
      <w:tr>
        <w:tblPrEx>
          <w:tblW w:w="5000" w:type="pct"/>
          <w:tblInd w:w="0" w:type="dxa"/>
          <w:tblLayout w:type="fixed"/>
          <w:tblCellMar>
            <w:top w:w="0" w:type="dxa"/>
            <w:left w:w="108" w:type="dxa"/>
            <w:bottom w:w="0" w:type="dxa"/>
            <w:right w:w="108" w:type="dxa"/>
          </w:tblCellMar>
        </w:tblPrEx>
        <w:trPr>
          <w:trHeight w:val="323"/>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color w:val="227ACB"/>
                <w:sz w:val="21"/>
                <w:szCs w:val="21"/>
              </w:rPr>
            </w:pPr>
            <w:r>
              <w:rPr>
                <w:rFonts w:ascii="宋体" w:eastAsia="宋体" w:hAnsi="宋体" w:cs="宋体" w:hint="eastAsia"/>
                <w:bCs/>
                <w:sz w:val="21"/>
                <w:szCs w:val="21"/>
                <w:lang w:eastAsia="zh-CN"/>
              </w:rPr>
              <w:t>17、支持教师</w:t>
            </w:r>
            <w:r>
              <w:rPr>
                <w:rFonts w:ascii="宋体" w:eastAsia="宋体" w:hAnsi="宋体" w:cs="宋体" w:hint="eastAsia"/>
                <w:bCs/>
                <w:sz w:val="21"/>
                <w:szCs w:val="21"/>
              </w:rPr>
              <w:t>进行班级/团队管理，可以创建修改删除班级/团队。</w:t>
            </w:r>
          </w:p>
        </w:tc>
      </w:tr>
      <w:tr>
        <w:tblPrEx>
          <w:tblW w:w="5000" w:type="pct"/>
          <w:tblInd w:w="0" w:type="dxa"/>
          <w:tblLayout w:type="fixed"/>
          <w:tblCellMar>
            <w:top w:w="0" w:type="dxa"/>
            <w:left w:w="108" w:type="dxa"/>
            <w:bottom w:w="0" w:type="dxa"/>
            <w:right w:w="108" w:type="dxa"/>
          </w:tblCellMar>
        </w:tblPrEx>
        <w:trPr>
          <w:trHeight w:val="304"/>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color w:val="227ACB"/>
                <w:sz w:val="21"/>
                <w:szCs w:val="21"/>
              </w:rPr>
            </w:pPr>
            <w:r>
              <w:rPr>
                <w:rFonts w:ascii="宋体" w:eastAsia="宋体" w:hAnsi="宋体" w:cs="宋体" w:hint="eastAsia"/>
                <w:bCs/>
                <w:sz w:val="21"/>
                <w:szCs w:val="21"/>
                <w:lang w:eastAsia="zh-CN"/>
              </w:rPr>
              <w:t>18、支持教师</w:t>
            </w:r>
            <w:r>
              <w:rPr>
                <w:rFonts w:ascii="宋体" w:eastAsia="宋体" w:hAnsi="宋体" w:cs="宋体" w:hint="eastAsia"/>
                <w:bCs/>
                <w:sz w:val="21"/>
                <w:szCs w:val="21"/>
              </w:rPr>
              <w:t>进行学生账号管理，可以创建修改删除学生账号。</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19、支持管理员</w:t>
            </w:r>
            <w:r>
              <w:rPr>
                <w:rFonts w:ascii="宋体" w:eastAsia="宋体" w:hAnsi="宋体" w:cs="宋体" w:hint="eastAsia"/>
                <w:bCs/>
                <w:sz w:val="21"/>
                <w:szCs w:val="21"/>
              </w:rPr>
              <w:t>进行教师账号管理，可以创建修改删除教师账号</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20、支持管理员</w:t>
            </w:r>
            <w:r>
              <w:rPr>
                <w:rFonts w:ascii="宋体" w:eastAsia="宋体" w:hAnsi="宋体" w:cs="宋体" w:hint="eastAsia"/>
                <w:bCs/>
                <w:sz w:val="21"/>
                <w:szCs w:val="21"/>
              </w:rPr>
              <w:t>进行班级管理，可以创建修改删除班级。</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21、支持管理员</w:t>
            </w:r>
            <w:r>
              <w:rPr>
                <w:rFonts w:ascii="宋体" w:eastAsia="宋体" w:hAnsi="宋体" w:cs="宋体" w:hint="eastAsia"/>
                <w:bCs/>
                <w:sz w:val="21"/>
                <w:szCs w:val="21"/>
              </w:rPr>
              <w:t>进行学生管理，可以创建修改删除学生账号。</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22、</w:t>
            </w:r>
            <w:r>
              <w:rPr>
                <w:rFonts w:ascii="宋体" w:eastAsia="宋体" w:hAnsi="宋体" w:cs="宋体" w:hint="eastAsia"/>
                <w:bCs/>
                <w:sz w:val="21"/>
                <w:szCs w:val="21"/>
              </w:rPr>
              <w:t>AI模型千亿级别参数的超大规模语言模型，支持中文、英文等不同语言输入，支持流式输出，响应延迟低于200ms。</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23、</w:t>
            </w:r>
            <w:r>
              <w:rPr>
                <w:rFonts w:ascii="宋体" w:eastAsia="宋体" w:hAnsi="宋体" w:cs="宋体" w:hint="eastAsia"/>
                <w:bCs/>
                <w:sz w:val="21"/>
                <w:szCs w:val="21"/>
              </w:rPr>
              <w:t>AI模型根据用户身份与班级绑定的知识库，提供针对性答案，如：幼儿教育、课程设计、教学方法、家园共育建议等</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24、AI模型支持</w:t>
            </w:r>
            <w:r>
              <w:rPr>
                <w:rFonts w:ascii="宋体" w:eastAsia="宋体" w:hAnsi="宋体" w:cs="宋体" w:hint="eastAsia"/>
                <w:bCs/>
                <w:sz w:val="21"/>
                <w:szCs w:val="21"/>
              </w:rPr>
              <w:t>处理专业性问题</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例</w:t>
            </w:r>
            <w:r>
              <w:rPr>
                <w:rFonts w:ascii="宋体" w:eastAsia="宋体" w:hAnsi="宋体" w:cs="宋体" w:hint="eastAsia"/>
                <w:bCs/>
                <w:sz w:val="21"/>
                <w:szCs w:val="21"/>
              </w:rPr>
              <w:t>如“如何设计幼儿园区域活动？”“如何处理儿童分离焦虑？</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25、AI模型支持</w:t>
            </w:r>
            <w:r>
              <w:rPr>
                <w:rFonts w:ascii="宋体" w:eastAsia="宋体" w:hAnsi="宋体" w:cs="宋体" w:hint="eastAsia"/>
                <w:bCs/>
                <w:sz w:val="21"/>
                <w:szCs w:val="21"/>
              </w:rPr>
              <w:t>深度思考与精准搜索</w:t>
            </w:r>
            <w:r>
              <w:rPr>
                <w:rFonts w:ascii="宋体" w:eastAsia="宋体" w:hAnsi="宋体" w:cs="宋体" w:hint="eastAsia"/>
                <w:bCs/>
                <w:sz w:val="21"/>
                <w:szCs w:val="21"/>
                <w:lang w:eastAsia="zh-CN"/>
              </w:rPr>
              <w:t>，</w:t>
            </w:r>
            <w:r>
              <w:rPr>
                <w:rFonts w:ascii="宋体" w:eastAsia="宋体" w:hAnsi="宋体" w:cs="宋体" w:hint="eastAsia"/>
                <w:bCs/>
                <w:sz w:val="21"/>
                <w:szCs w:val="21"/>
                <w:lang w:eastAsia="zh-CN"/>
              </w:rPr>
              <w:t>支持复杂问题分析，支持语义搜索，支持跨库检索，支持结果推荐</w:t>
            </w:r>
          </w:p>
        </w:tc>
      </w:tr>
      <w:tr>
        <w:tblPrEx>
          <w:tblW w:w="5000" w:type="pct"/>
          <w:tblInd w:w="0" w:type="dxa"/>
          <w:tblLayout w:type="fixed"/>
          <w:tblCellMar>
            <w:top w:w="0" w:type="dxa"/>
            <w:left w:w="108" w:type="dxa"/>
            <w:bottom w:w="0" w:type="dxa"/>
            <w:right w:w="108" w:type="dxa"/>
          </w:tblCellMar>
        </w:tblPrEx>
        <w:trPr>
          <w:trHeight w:val="58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26、AI模型</w:t>
            </w:r>
            <w:r>
              <w:rPr>
                <w:rFonts w:ascii="宋体" w:eastAsia="宋体" w:hAnsi="宋体" w:cs="宋体" w:hint="eastAsia"/>
                <w:bCs/>
                <w:sz w:val="21"/>
                <w:szCs w:val="21"/>
              </w:rPr>
              <w:t>支持批量图片生成：支持单次生成 1~4张 图片（可自定义数量），满足不同创作需求。</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27、AI模型</w:t>
            </w:r>
            <w:r>
              <w:rPr>
                <w:rFonts w:ascii="宋体" w:eastAsia="宋体" w:hAnsi="宋体" w:cs="宋体" w:hint="eastAsia"/>
                <w:bCs/>
                <w:sz w:val="21"/>
                <w:szCs w:val="21"/>
              </w:rPr>
              <w:t>内置多种精选风格模板（如卡通、动漫、3D、赛博朋克、水墨风等），一键应用，快速生成高质量作品。</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28、AI模型</w:t>
            </w:r>
            <w:r>
              <w:rPr>
                <w:rFonts w:ascii="宋体" w:eastAsia="宋体" w:hAnsi="宋体" w:cs="宋体" w:hint="eastAsia"/>
                <w:bCs/>
                <w:sz w:val="21"/>
                <w:szCs w:val="21"/>
              </w:rPr>
              <w:t>支持无损放大查看，确保细节清晰。</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29、AI模型</w:t>
            </w:r>
            <w:r>
              <w:rPr>
                <w:rFonts w:ascii="宋体" w:eastAsia="宋体" w:hAnsi="宋体" w:cs="宋体" w:hint="eastAsia"/>
                <w:bCs/>
                <w:sz w:val="21"/>
                <w:szCs w:val="21"/>
              </w:rPr>
              <w:t>生成后的图片支持顺时、逆时、水平、垂直旋转。</w:t>
            </w:r>
          </w:p>
        </w:tc>
      </w:tr>
      <w:tr>
        <w:tblPrEx>
          <w:tblW w:w="5000" w:type="pct"/>
          <w:tblInd w:w="0" w:type="dxa"/>
          <w:tblLayout w:type="fixed"/>
          <w:tblCellMar>
            <w:top w:w="0" w:type="dxa"/>
            <w:left w:w="108" w:type="dxa"/>
            <w:bottom w:w="0" w:type="dxa"/>
            <w:right w:w="108" w:type="dxa"/>
          </w:tblCellMar>
        </w:tblPrEx>
        <w:trPr>
          <w:trHeight w:val="311"/>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30、AI模型</w:t>
            </w:r>
            <w:r>
              <w:rPr>
                <w:rFonts w:ascii="宋体" w:eastAsia="宋体" w:hAnsi="宋体" w:cs="宋体" w:hint="eastAsia"/>
                <w:bCs/>
                <w:sz w:val="21"/>
                <w:szCs w:val="21"/>
              </w:rPr>
              <w:t>多张生成时支持循环放映功能。</w:t>
            </w:r>
          </w:p>
        </w:tc>
      </w:tr>
      <w:tr>
        <w:tblPrEx>
          <w:tblW w:w="5000" w:type="pct"/>
          <w:tblInd w:w="0" w:type="dxa"/>
          <w:tblLayout w:type="fixed"/>
          <w:tblCellMar>
            <w:top w:w="0" w:type="dxa"/>
            <w:left w:w="108" w:type="dxa"/>
            <w:bottom w:w="0" w:type="dxa"/>
            <w:right w:w="108" w:type="dxa"/>
          </w:tblCellMar>
        </w:tblPrEx>
        <w:trPr>
          <w:trHeight w:val="9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31、AI模型</w:t>
            </w:r>
            <w:r>
              <w:rPr>
                <w:rFonts w:ascii="宋体" w:eastAsia="宋体" w:hAnsi="宋体" w:cs="宋体" w:hint="eastAsia"/>
                <w:bCs/>
                <w:sz w:val="21"/>
                <w:szCs w:val="21"/>
              </w:rPr>
              <w:t>支持点击下载功能。</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32、AI模型</w:t>
            </w:r>
            <w:r>
              <w:rPr>
                <w:rFonts w:ascii="宋体" w:eastAsia="宋体" w:hAnsi="宋体" w:cs="宋体" w:hint="eastAsia"/>
                <w:bCs/>
                <w:sz w:val="21"/>
                <w:szCs w:val="21"/>
              </w:rPr>
              <w:t>内置十几个专业模板，覆盖教育场景需求（如：环创方案设计、幼儿园教案设计、学术论文、工作计划、说课、Ai出题等）</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33、AI模型</w:t>
            </w:r>
            <w:r>
              <w:rPr>
                <w:rFonts w:ascii="宋体" w:eastAsia="宋体" w:hAnsi="宋体" w:cs="宋体" w:hint="eastAsia"/>
                <w:bCs/>
                <w:sz w:val="21"/>
                <w:szCs w:val="21"/>
              </w:rPr>
              <w:t>内置十几个专业模板，覆盖教育场景需求（如：环创方案设计、幼儿园教案设计、学术论文、工作计划、说课、Ai出题等）</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34、AI模型</w:t>
            </w:r>
            <w:r>
              <w:rPr>
                <w:rFonts w:ascii="宋体" w:eastAsia="宋体" w:hAnsi="宋体" w:cs="宋体" w:hint="eastAsia"/>
                <w:bCs/>
                <w:sz w:val="21"/>
                <w:szCs w:val="21"/>
              </w:rPr>
              <w:t>自动识别上传试卷中的题目与答案，支持多题型（选择题、填空题等）自动阅卷。</w:t>
            </w:r>
          </w:p>
        </w:tc>
      </w:tr>
      <w:tr>
        <w:tblPrEx>
          <w:tblW w:w="5000" w:type="pct"/>
          <w:tblInd w:w="0" w:type="dxa"/>
          <w:tblLayout w:type="fixed"/>
          <w:tblCellMar>
            <w:top w:w="0" w:type="dxa"/>
            <w:left w:w="108" w:type="dxa"/>
            <w:bottom w:w="0" w:type="dxa"/>
            <w:right w:w="108" w:type="dxa"/>
          </w:tblCellMar>
        </w:tblPrEx>
        <w:trPr>
          <w:trHeight w:val="339"/>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35、AI模型</w:t>
            </w:r>
            <w:r>
              <w:rPr>
                <w:rFonts w:ascii="宋体" w:eastAsia="宋体" w:hAnsi="宋体" w:cs="宋体" w:hint="eastAsia"/>
                <w:bCs/>
                <w:sz w:val="21"/>
                <w:szCs w:val="21"/>
              </w:rPr>
              <w:t>上传教案、论文等文本，自动生成关键点摘要。</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36、AI模型</w:t>
            </w:r>
            <w:r>
              <w:rPr>
                <w:rFonts w:ascii="宋体" w:eastAsia="宋体" w:hAnsi="宋体" w:cs="宋体" w:hint="eastAsia"/>
                <w:bCs/>
                <w:sz w:val="21"/>
                <w:szCs w:val="21"/>
              </w:rPr>
              <w:t>支持上传多个文件，自动分析对比各文件之间的优劣差异。</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ind w:left="210" w:hanging="210" w:hangingChars="100"/>
              <w:rPr>
                <w:rFonts w:ascii="宋体" w:eastAsia="宋体" w:hAnsi="宋体" w:cs="宋体" w:hint="eastAsia"/>
                <w:bCs/>
                <w:sz w:val="21"/>
                <w:szCs w:val="21"/>
              </w:rPr>
            </w:pPr>
            <w:r>
              <w:rPr>
                <w:rFonts w:ascii="宋体" w:eastAsia="宋体" w:hAnsi="宋体" w:cs="宋体" w:hint="eastAsia"/>
                <w:bCs/>
                <w:sz w:val="21"/>
                <w:szCs w:val="21"/>
                <w:lang w:eastAsia="zh-CN"/>
              </w:rPr>
              <w:t>37、AI模型兼容格式</w:t>
            </w:r>
            <w:r>
              <w:rPr>
                <w:rFonts w:ascii="宋体" w:eastAsia="宋体" w:hAnsi="宋体" w:cs="宋体" w:hint="eastAsia"/>
                <w:bCs/>
                <w:sz w:val="21"/>
                <w:szCs w:val="21"/>
              </w:rPr>
              <w:t>：.doc,.docx,.wps,.ppt,.pptx,.xls,.xlsx,.md,.txt,.pdf；</w:t>
            </w:r>
            <w:r>
              <w:rPr>
                <w:rFonts w:ascii="宋体" w:eastAsia="宋体" w:hAnsi="宋体" w:cs="宋体" w:hint="eastAsia"/>
                <w:bCs/>
                <w:sz w:val="21"/>
                <w:szCs w:val="21"/>
              </w:rPr>
              <w:br/>
            </w:r>
            <w:r>
              <w:rPr>
                <w:rFonts w:ascii="宋体" w:eastAsia="宋体" w:hAnsi="宋体" w:cs="宋体" w:hint="eastAsia"/>
                <w:bCs/>
                <w:sz w:val="21"/>
                <w:szCs w:val="21"/>
                <w:lang w:eastAsia="zh-CN"/>
              </w:rPr>
              <w:t>兼容</w:t>
            </w:r>
            <w:r>
              <w:rPr>
                <w:rFonts w:ascii="宋体" w:eastAsia="宋体" w:hAnsi="宋体" w:cs="宋体" w:hint="eastAsia"/>
                <w:bCs/>
                <w:sz w:val="21"/>
                <w:szCs w:val="21"/>
              </w:rPr>
              <w:t>图片</w:t>
            </w:r>
            <w:r>
              <w:rPr>
                <w:rFonts w:ascii="宋体" w:eastAsia="宋体" w:hAnsi="宋体" w:cs="宋体" w:hint="eastAsia"/>
                <w:bCs/>
                <w:sz w:val="21"/>
                <w:szCs w:val="21"/>
                <w:lang w:eastAsia="zh-CN"/>
              </w:rPr>
              <w:t>格式</w:t>
            </w:r>
            <w:r>
              <w:rPr>
                <w:rFonts w:ascii="宋体" w:eastAsia="宋体" w:hAnsi="宋体" w:cs="宋体" w:hint="eastAsia"/>
                <w:bCs/>
                <w:sz w:val="21"/>
                <w:szCs w:val="21"/>
              </w:rPr>
              <w:t>：.png,.jpg,.jpeg,.bmp,.gif；</w:t>
            </w:r>
          </w:p>
        </w:tc>
      </w:tr>
      <w:tr>
        <w:tblPrEx>
          <w:tblW w:w="5000" w:type="pct"/>
          <w:tblInd w:w="0" w:type="dxa"/>
          <w:tblLayout w:type="fixed"/>
          <w:tblCellMar>
            <w:top w:w="0" w:type="dxa"/>
            <w:left w:w="108" w:type="dxa"/>
            <w:bottom w:w="0" w:type="dxa"/>
            <w:right w:w="108" w:type="dxa"/>
          </w:tblCellMar>
        </w:tblPrEx>
        <w:trPr>
          <w:trHeight w:val="304"/>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lang w:eastAsia="zh-CN"/>
              </w:rPr>
            </w:pPr>
            <w:r>
              <w:rPr>
                <w:rFonts w:ascii="宋体" w:eastAsia="宋体" w:hAnsi="宋体" w:cs="宋体" w:hint="eastAsia"/>
                <w:bCs/>
                <w:sz w:val="21"/>
                <w:szCs w:val="21"/>
                <w:lang w:eastAsia="zh-CN"/>
              </w:rPr>
              <w:t>38、AI模型</w:t>
            </w:r>
            <w:r>
              <w:rPr>
                <w:rFonts w:ascii="宋体" w:eastAsia="宋体" w:hAnsi="宋体" w:cs="宋体" w:hint="eastAsia"/>
                <w:bCs/>
                <w:sz w:val="21"/>
                <w:szCs w:val="21"/>
              </w:rPr>
              <w:t>新建/置顶/重命名/删除会话，支持按需管理对话记录</w:t>
            </w:r>
            <w:r>
              <w:rPr>
                <w:rFonts w:ascii="宋体" w:eastAsia="宋体" w:hAnsi="宋体" w:cs="宋体" w:hint="eastAsia"/>
                <w:bCs/>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338"/>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39、AI模型</w:t>
            </w:r>
            <w:r>
              <w:rPr>
                <w:rFonts w:ascii="宋体" w:eastAsia="宋体" w:hAnsi="宋体" w:cs="宋体" w:hint="eastAsia"/>
                <w:bCs/>
                <w:sz w:val="21"/>
                <w:szCs w:val="21"/>
              </w:rPr>
              <w:t>复制、重新发送对话内容。</w:t>
            </w:r>
          </w:p>
        </w:tc>
      </w:tr>
      <w:tr>
        <w:tblPrEx>
          <w:tblW w:w="5000" w:type="pct"/>
          <w:tblInd w:w="0" w:type="dxa"/>
          <w:tblLayout w:type="fixed"/>
          <w:tblCellMar>
            <w:top w:w="0" w:type="dxa"/>
            <w:left w:w="108" w:type="dxa"/>
            <w:bottom w:w="0" w:type="dxa"/>
            <w:right w:w="108" w:type="dxa"/>
          </w:tblCellMar>
        </w:tblPrEx>
        <w:trPr>
          <w:trHeight w:val="28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40、AI模型</w:t>
            </w:r>
            <w:r>
              <w:rPr>
                <w:rFonts w:ascii="宋体" w:eastAsia="宋体" w:hAnsi="宋体" w:cs="宋体" w:hint="eastAsia"/>
                <w:bCs/>
                <w:sz w:val="21"/>
                <w:szCs w:val="21"/>
              </w:rPr>
              <w:t>保留对话历史。</w:t>
            </w:r>
          </w:p>
        </w:tc>
      </w:tr>
      <w:tr>
        <w:tblPrEx>
          <w:tblW w:w="5000" w:type="pct"/>
          <w:tblInd w:w="0" w:type="dxa"/>
          <w:tblLayout w:type="fixed"/>
          <w:tblCellMar>
            <w:top w:w="0" w:type="dxa"/>
            <w:left w:w="108" w:type="dxa"/>
            <w:bottom w:w="0" w:type="dxa"/>
            <w:right w:w="108" w:type="dxa"/>
          </w:tblCellMar>
        </w:tblPrEx>
        <w:trPr>
          <w:trHeight w:val="510"/>
        </w:trPr>
        <w:tc>
          <w:tcPr>
            <w:tcW w:w="804" w:type="dxa"/>
            <w:vMerge/>
            <w:noWrap w:val="0"/>
            <w:vAlign w:val="center"/>
          </w:tcPr>
          <w:p>
            <w:pPr>
              <w:jc w:val="center"/>
              <w:rPr>
                <w:rFonts w:ascii="宋体" w:eastAsia="宋体" w:hAnsi="宋体" w:cs="宋体" w:hint="eastAsia"/>
                <w:b/>
                <w:sz w:val="21"/>
                <w:szCs w:val="21"/>
              </w:rPr>
            </w:pPr>
          </w:p>
        </w:tc>
        <w:tc>
          <w:tcPr>
            <w:tcW w:w="1243" w:type="dxa"/>
            <w:vMerge/>
            <w:noWrap w:val="0"/>
            <w:vAlign w:val="center"/>
          </w:tcPr>
          <w:p>
            <w:pPr>
              <w:widowControl/>
              <w:jc w:val="center"/>
              <w:textAlignment w:val="center"/>
              <w:rPr>
                <w:rFonts w:ascii="宋体" w:eastAsia="宋体" w:hAnsi="宋体" w:cs="宋体" w:hint="eastAsia"/>
                <w:color w:val="000000"/>
                <w:sz w:val="21"/>
                <w:szCs w:val="21"/>
                <w:lang w:bidi="ar"/>
              </w:rPr>
            </w:pPr>
          </w:p>
        </w:tc>
        <w:tc>
          <w:tcPr>
            <w:tcW w:w="6665"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41、</w:t>
            </w:r>
            <w:r>
              <w:rPr>
                <w:rFonts w:ascii="宋体" w:eastAsia="宋体" w:hAnsi="宋体" w:cs="宋体" w:hint="eastAsia"/>
                <w:bCs/>
                <w:color w:val="000000"/>
                <w:sz w:val="21"/>
                <w:szCs w:val="21"/>
              </w:rPr>
              <w:t>▲</w:t>
            </w:r>
            <w:r>
              <w:rPr>
                <w:rFonts w:ascii="宋体" w:eastAsia="宋体" w:hAnsi="宋体" w:cs="宋体" w:hint="eastAsia"/>
                <w:bCs/>
                <w:sz w:val="21"/>
                <w:szCs w:val="21"/>
              </w:rPr>
              <w:t>需提供2024 一带一路暨金砖国家技能发展与技术创新大赛之竞赛平台使用证明。</w:t>
            </w:r>
          </w:p>
        </w:tc>
      </w:tr>
      <w:tr>
        <w:tblPrEx>
          <w:tblW w:w="5000" w:type="pct"/>
          <w:tblInd w:w="0" w:type="dxa"/>
          <w:tblLayout w:type="fixed"/>
          <w:tblCellMar>
            <w:top w:w="0" w:type="dxa"/>
            <w:left w:w="108" w:type="dxa"/>
            <w:bottom w:w="0" w:type="dxa"/>
            <w:right w:w="108" w:type="dxa"/>
          </w:tblCellMar>
        </w:tblPrEx>
        <w:trPr>
          <w:trHeight w:val="207"/>
        </w:trPr>
        <w:tc>
          <w:tcPr>
            <w:tcW w:w="80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7</w:t>
            </w:r>
          </w:p>
        </w:tc>
        <w:tc>
          <w:tcPr>
            <w:tcW w:w="1243" w:type="dxa"/>
            <w:vMerge w:val="restart"/>
            <w:noWrap w:val="0"/>
            <w:vAlign w:val="center"/>
          </w:tcPr>
          <w:p>
            <w:pPr>
              <w:widowControl/>
              <w:jc w:val="center"/>
              <w:textAlignment w:val="center"/>
              <w:rPr>
                <w:rFonts w:ascii="宋体" w:eastAsia="宋体" w:hAnsi="宋体" w:cs="宋体" w:hint="eastAsia"/>
                <w:b/>
                <w:sz w:val="21"/>
                <w:szCs w:val="21"/>
              </w:rPr>
            </w:pPr>
            <w:r>
              <w:rPr>
                <w:rFonts w:ascii="宋体" w:eastAsia="宋体" w:hAnsi="宋体" w:cs="宋体" w:hint="eastAsia"/>
                <w:color w:val="000000"/>
                <w:sz w:val="21"/>
                <w:szCs w:val="21"/>
                <w:lang w:bidi="ar"/>
              </w:rPr>
              <w:t>物料包</w:t>
            </w: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bidi="ar"/>
              </w:rPr>
              <w:t>医用免洗洗手液</w:t>
            </w:r>
            <w:r>
              <w:rPr>
                <w:rFonts w:ascii="宋体" w:eastAsia="宋体" w:hAnsi="宋体" w:cs="宋体" w:hint="eastAsia"/>
                <w:color w:val="000000"/>
                <w:sz w:val="21"/>
                <w:szCs w:val="21"/>
                <w:lang w:eastAsia="zh-CN" w:bidi="ar"/>
              </w:rPr>
              <w:t xml:space="preserve">  ≥500ml</w:t>
            </w:r>
          </w:p>
        </w:tc>
      </w:tr>
      <w:tr>
        <w:tblPrEx>
          <w:tblW w:w="5000" w:type="pct"/>
          <w:tblInd w:w="0" w:type="dxa"/>
          <w:tblLayout w:type="fixed"/>
          <w:tblCellMar>
            <w:top w:w="0" w:type="dxa"/>
            <w:left w:w="108" w:type="dxa"/>
            <w:bottom w:w="0" w:type="dxa"/>
            <w:right w:w="108" w:type="dxa"/>
          </w:tblCellMar>
        </w:tblPrEx>
        <w:trPr>
          <w:trHeight w:val="303"/>
        </w:trPr>
        <w:tc>
          <w:tcPr>
            <w:tcW w:w="804" w:type="dxa"/>
            <w:vMerge/>
            <w:noWrap w:val="0"/>
            <w:vAlign w:val="center"/>
          </w:tcPr>
          <w:p>
            <w:pPr>
              <w:rPr>
                <w:rFonts w:ascii="宋体" w:eastAsia="宋体" w:hAnsi="宋体" w:cs="宋体" w:hint="eastAsia"/>
                <w:sz w:val="21"/>
                <w:szCs w:val="21"/>
              </w:rPr>
            </w:pPr>
          </w:p>
        </w:tc>
        <w:tc>
          <w:tcPr>
            <w:tcW w:w="1243" w:type="dxa"/>
            <w:vMerge/>
            <w:noWrap w:val="0"/>
            <w:vAlign w:val="center"/>
          </w:tcPr>
          <w:p>
            <w:pPr>
              <w:rPr>
                <w:rFonts w:ascii="宋体" w:eastAsia="宋体" w:hAnsi="宋体" w:cs="宋体" w:hint="eastAsia"/>
                <w:sz w:val="21"/>
                <w:szCs w:val="21"/>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r>
              <w:rPr>
                <w:rFonts w:ascii="宋体" w:eastAsia="宋体" w:hAnsi="宋体" w:cs="宋体" w:hint="eastAsia"/>
                <w:color w:val="000000"/>
                <w:sz w:val="21"/>
                <w:szCs w:val="21"/>
                <w:lang w:bidi="ar"/>
              </w:rPr>
              <w:t>按压式洗手液</w:t>
            </w:r>
            <w:r>
              <w:rPr>
                <w:rFonts w:ascii="宋体" w:eastAsia="宋体" w:hAnsi="宋体" w:cs="宋体" w:hint="eastAsia"/>
                <w:color w:val="000000"/>
                <w:sz w:val="21"/>
                <w:szCs w:val="21"/>
                <w:lang w:eastAsia="zh-CN" w:bidi="ar"/>
              </w:rPr>
              <w:t xml:space="preserve">   ≥300ml</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w:t>
            </w:r>
            <w:r>
              <w:rPr>
                <w:rFonts w:ascii="宋体" w:eastAsia="宋体" w:hAnsi="宋体" w:cs="宋体" w:hint="eastAsia"/>
                <w:color w:val="000000"/>
                <w:sz w:val="21"/>
                <w:szCs w:val="21"/>
                <w:lang w:bidi="ar"/>
              </w:rPr>
              <w:t>纸巾</w:t>
            </w:r>
            <w:r>
              <w:rPr>
                <w:rFonts w:ascii="宋体" w:eastAsia="宋体" w:hAnsi="宋体" w:cs="宋体" w:hint="eastAsia"/>
                <w:color w:val="000000"/>
                <w:sz w:val="21"/>
                <w:szCs w:val="21"/>
                <w:lang w:eastAsia="zh-CN" w:bidi="ar"/>
              </w:rPr>
              <w:t xml:space="preserve"> ≥120抽，6包1提</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w:t>
            </w:r>
            <w:r>
              <w:rPr>
                <w:rFonts w:ascii="宋体" w:eastAsia="宋体" w:hAnsi="宋体" w:cs="宋体" w:hint="eastAsia"/>
                <w:color w:val="000000"/>
                <w:sz w:val="21"/>
                <w:szCs w:val="21"/>
                <w:lang w:bidi="ar"/>
              </w:rPr>
              <w:t>治疗盘</w:t>
            </w:r>
            <w:r>
              <w:rPr>
                <w:rFonts w:ascii="宋体" w:eastAsia="宋体" w:hAnsi="宋体" w:cs="宋体" w:hint="eastAsia"/>
                <w:color w:val="000000"/>
                <w:sz w:val="21"/>
                <w:szCs w:val="21"/>
                <w:lang w:eastAsia="zh-CN" w:bidi="ar"/>
              </w:rPr>
              <w:t xml:space="preserve">  不锈钢、</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5、</w:t>
            </w:r>
            <w:r>
              <w:rPr>
                <w:rFonts w:ascii="宋体" w:eastAsia="宋体" w:hAnsi="宋体" w:cs="宋体" w:hint="eastAsia"/>
                <w:color w:val="000000"/>
                <w:sz w:val="21"/>
                <w:szCs w:val="21"/>
                <w:lang w:bidi="ar"/>
              </w:rPr>
              <w:t>弯盘</w:t>
            </w:r>
            <w:r>
              <w:rPr>
                <w:rFonts w:ascii="宋体" w:eastAsia="宋体" w:hAnsi="宋体" w:cs="宋体" w:hint="eastAsia"/>
                <w:color w:val="000000"/>
                <w:sz w:val="21"/>
                <w:szCs w:val="21"/>
                <w:lang w:eastAsia="zh-CN" w:bidi="ar"/>
              </w:rPr>
              <w:t xml:space="preserve"> 不锈钢</w:t>
            </w:r>
            <w:r>
              <w:rPr>
                <w:rFonts w:ascii="宋体" w:eastAsia="宋体" w:hAnsi="宋体" w:cs="宋体" w:hint="eastAsia"/>
                <w:color w:val="000000"/>
                <w:sz w:val="21"/>
                <w:szCs w:val="21"/>
                <w:lang w:bidi="ar"/>
              </w:rPr>
              <w:t>、</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6、</w:t>
            </w:r>
            <w:r>
              <w:rPr>
                <w:rFonts w:ascii="宋体" w:eastAsia="宋体" w:hAnsi="宋体" w:cs="宋体" w:hint="eastAsia"/>
                <w:color w:val="000000"/>
                <w:sz w:val="21"/>
                <w:szCs w:val="21"/>
                <w:lang w:bidi="ar"/>
              </w:rPr>
              <w:t>纱布卷</w:t>
            </w:r>
            <w:r>
              <w:rPr>
                <w:rFonts w:ascii="宋体" w:eastAsia="宋体" w:hAnsi="宋体" w:cs="宋体" w:hint="eastAsia"/>
                <w:color w:val="000000"/>
                <w:sz w:val="21"/>
                <w:szCs w:val="21"/>
                <w:lang w:eastAsia="zh-CN" w:bidi="ar"/>
              </w:rPr>
              <w:t xml:space="preserve"> 医用无菌纱布绑带 ≥4.8cm宽</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7、</w:t>
            </w:r>
            <w:r>
              <w:rPr>
                <w:rFonts w:ascii="宋体" w:eastAsia="宋体" w:hAnsi="宋体" w:cs="宋体" w:hint="eastAsia"/>
                <w:color w:val="000000"/>
                <w:sz w:val="21"/>
                <w:szCs w:val="21"/>
                <w:lang w:bidi="ar"/>
              </w:rPr>
              <w:t>小毛毯</w:t>
            </w:r>
            <w:r>
              <w:rPr>
                <w:rFonts w:ascii="宋体" w:eastAsia="宋体" w:hAnsi="宋体" w:cs="宋体" w:hint="eastAsia"/>
                <w:color w:val="000000"/>
                <w:sz w:val="21"/>
                <w:szCs w:val="21"/>
                <w:lang w:eastAsia="zh-CN" w:bidi="ar"/>
              </w:rPr>
              <w:t xml:space="preserve"> 身长≥50㎝婴儿的浴巾</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8、</w:t>
            </w:r>
            <w:r>
              <w:rPr>
                <w:rFonts w:ascii="宋体" w:eastAsia="宋体" w:hAnsi="宋体" w:cs="宋体" w:hint="eastAsia"/>
                <w:color w:val="000000"/>
                <w:sz w:val="21"/>
                <w:szCs w:val="21"/>
                <w:lang w:bidi="ar"/>
              </w:rPr>
              <w:t>医用纱布</w:t>
            </w:r>
            <w:r>
              <w:rPr>
                <w:rFonts w:ascii="宋体" w:eastAsia="宋体" w:hAnsi="宋体" w:cs="宋体" w:hint="eastAsia"/>
                <w:color w:val="000000"/>
                <w:sz w:val="21"/>
                <w:szCs w:val="21"/>
                <w:lang w:eastAsia="zh-CN" w:bidi="ar"/>
              </w:rPr>
              <w:t xml:space="preserve">  一盒是30包,1包2片</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9、</w:t>
            </w:r>
            <w:r>
              <w:rPr>
                <w:rFonts w:ascii="宋体" w:eastAsia="宋体" w:hAnsi="宋体" w:cs="宋体" w:hint="eastAsia"/>
                <w:color w:val="000000"/>
                <w:sz w:val="21"/>
                <w:szCs w:val="21"/>
                <w:lang w:bidi="ar"/>
              </w:rPr>
              <w:t>一次性呼吸膜</w:t>
            </w:r>
            <w:r>
              <w:rPr>
                <w:rFonts w:ascii="宋体" w:eastAsia="宋体" w:hAnsi="宋体" w:cs="宋体" w:hint="eastAsia"/>
                <w:color w:val="000000"/>
                <w:sz w:val="21"/>
                <w:szCs w:val="21"/>
                <w:lang w:eastAsia="zh-CN" w:bidi="ar"/>
              </w:rPr>
              <w:t xml:space="preserve"> CPR急救一次性呼吸面罩≥50片/盒</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10、</w:t>
            </w:r>
            <w:r>
              <w:rPr>
                <w:rFonts w:ascii="宋体" w:eastAsia="宋体" w:hAnsi="宋体" w:cs="宋体" w:hint="eastAsia"/>
                <w:color w:val="000000"/>
                <w:sz w:val="21"/>
                <w:szCs w:val="21"/>
                <w:lang w:bidi="ar"/>
              </w:rPr>
              <w:t>笔式手电筒</w:t>
            </w:r>
            <w:r>
              <w:rPr>
                <w:rFonts w:ascii="宋体" w:eastAsia="宋体" w:hAnsi="宋体" w:cs="宋体" w:hint="eastAsia"/>
                <w:color w:val="000000"/>
                <w:sz w:val="21"/>
                <w:szCs w:val="21"/>
                <w:lang w:eastAsia="zh-CN" w:bidi="ar"/>
              </w:rPr>
              <w:t xml:space="preserve"> ≥12.5*1cm</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11、</w:t>
            </w:r>
            <w:r>
              <w:rPr>
                <w:rFonts w:ascii="宋体" w:eastAsia="宋体" w:hAnsi="宋体" w:cs="宋体" w:hint="eastAsia"/>
                <w:color w:val="000000"/>
                <w:sz w:val="21"/>
                <w:szCs w:val="21"/>
                <w:lang w:bidi="ar"/>
              </w:rPr>
              <w:t>收纳筐</w:t>
            </w:r>
            <w:r>
              <w:rPr>
                <w:rFonts w:ascii="宋体" w:eastAsia="宋体" w:hAnsi="宋体" w:cs="宋体" w:hint="eastAsia"/>
                <w:color w:val="000000"/>
                <w:sz w:val="21"/>
                <w:szCs w:val="21"/>
                <w:lang w:eastAsia="zh-CN" w:bidi="ar"/>
              </w:rPr>
              <w:t xml:space="preserve"> ≥32*26.5*13.3cm</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12、</w:t>
            </w:r>
            <w:r>
              <w:rPr>
                <w:rFonts w:ascii="宋体" w:eastAsia="宋体" w:hAnsi="宋体" w:cs="宋体" w:hint="eastAsia"/>
                <w:color w:val="000000"/>
                <w:sz w:val="21"/>
                <w:szCs w:val="21"/>
                <w:lang w:bidi="ar"/>
              </w:rPr>
              <w:t>白色毛巾/抹布</w:t>
            </w:r>
            <w:r>
              <w:rPr>
                <w:rFonts w:ascii="宋体" w:eastAsia="宋体" w:hAnsi="宋体" w:cs="宋体" w:hint="eastAsia"/>
                <w:color w:val="000000"/>
                <w:sz w:val="21"/>
                <w:szCs w:val="21"/>
                <w:lang w:eastAsia="zh-CN" w:bidi="ar"/>
              </w:rPr>
              <w:t xml:space="preserve"> ≥30*30cm</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13、</w:t>
            </w:r>
            <w:r>
              <w:rPr>
                <w:rFonts w:ascii="宋体" w:eastAsia="宋体" w:hAnsi="宋体" w:cs="宋体" w:hint="eastAsia"/>
                <w:color w:val="000000"/>
                <w:sz w:val="21"/>
                <w:szCs w:val="21"/>
                <w:lang w:bidi="ar"/>
              </w:rPr>
              <w:t>84 消毒液</w:t>
            </w:r>
            <w:r>
              <w:rPr>
                <w:rFonts w:ascii="宋体" w:eastAsia="宋体" w:hAnsi="宋体" w:cs="宋体" w:hint="eastAsia"/>
                <w:color w:val="000000"/>
                <w:sz w:val="21"/>
                <w:szCs w:val="21"/>
                <w:lang w:eastAsia="zh-CN" w:bidi="ar"/>
              </w:rPr>
              <w:t xml:space="preserve"> ≥518ml</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14、</w:t>
            </w:r>
            <w:r>
              <w:rPr>
                <w:rFonts w:ascii="宋体" w:eastAsia="宋体" w:hAnsi="宋体" w:cs="宋体" w:hint="eastAsia"/>
                <w:color w:val="000000"/>
                <w:sz w:val="21"/>
                <w:szCs w:val="21"/>
                <w:lang w:bidi="ar"/>
              </w:rPr>
              <w:t>健之素</w:t>
            </w:r>
            <w:r>
              <w:rPr>
                <w:rFonts w:ascii="宋体" w:eastAsia="宋体" w:hAnsi="宋体" w:cs="宋体" w:hint="eastAsia"/>
                <w:color w:val="000000"/>
                <w:sz w:val="21"/>
                <w:szCs w:val="21"/>
                <w:lang w:eastAsia="zh-CN" w:bidi="ar"/>
              </w:rPr>
              <w:t xml:space="preserve"> ≥100片</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15、容量≥</w:t>
            </w:r>
            <w:r>
              <w:rPr>
                <w:rFonts w:ascii="宋体" w:eastAsia="宋体" w:hAnsi="宋体" w:cs="宋体" w:hint="eastAsia"/>
                <w:color w:val="000000"/>
                <w:sz w:val="21"/>
                <w:szCs w:val="21"/>
                <w:lang w:bidi="ar"/>
              </w:rPr>
              <w:t>500毫升量杯</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16、容量≥</w:t>
            </w:r>
            <w:r>
              <w:rPr>
                <w:rFonts w:ascii="宋体" w:eastAsia="宋体" w:hAnsi="宋体" w:cs="宋体" w:hint="eastAsia"/>
                <w:color w:val="000000"/>
                <w:sz w:val="21"/>
                <w:szCs w:val="21"/>
                <w:lang w:bidi="ar"/>
              </w:rPr>
              <w:t>100毫升量杯</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17、</w:t>
            </w:r>
            <w:r>
              <w:rPr>
                <w:rFonts w:ascii="宋体" w:eastAsia="宋体" w:hAnsi="宋体" w:cs="宋体" w:hint="eastAsia"/>
                <w:color w:val="000000"/>
                <w:sz w:val="21"/>
                <w:szCs w:val="21"/>
                <w:lang w:bidi="ar"/>
              </w:rPr>
              <w:t>橡胶手套</w:t>
            </w:r>
            <w:r>
              <w:rPr>
                <w:rFonts w:ascii="宋体" w:eastAsia="宋体" w:hAnsi="宋体" w:cs="宋体" w:hint="eastAsia"/>
                <w:color w:val="000000"/>
                <w:sz w:val="21"/>
                <w:szCs w:val="21"/>
                <w:lang w:eastAsia="zh-CN" w:bidi="ar"/>
              </w:rPr>
              <w:t xml:space="preserve"> ≥M码</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18、</w:t>
            </w:r>
            <w:r>
              <w:rPr>
                <w:rFonts w:ascii="宋体" w:eastAsia="宋体" w:hAnsi="宋体" w:cs="宋体" w:hint="eastAsia"/>
                <w:color w:val="000000"/>
                <w:sz w:val="21"/>
                <w:szCs w:val="21"/>
                <w:lang w:bidi="ar"/>
              </w:rPr>
              <w:t>A4板夹</w:t>
            </w:r>
            <w:r>
              <w:rPr>
                <w:rFonts w:ascii="宋体" w:eastAsia="宋体" w:hAnsi="宋体" w:cs="宋体" w:hint="eastAsia"/>
                <w:color w:val="000000"/>
                <w:sz w:val="21"/>
                <w:szCs w:val="21"/>
                <w:lang w:eastAsia="zh-CN" w:bidi="ar"/>
              </w:rPr>
              <w:t xml:space="preserve"> ≥225*315mm</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19、</w:t>
            </w:r>
            <w:r>
              <w:rPr>
                <w:rFonts w:ascii="宋体" w:eastAsia="宋体" w:hAnsi="宋体" w:cs="宋体" w:hint="eastAsia"/>
                <w:color w:val="000000"/>
                <w:sz w:val="21"/>
                <w:szCs w:val="21"/>
                <w:lang w:bidi="ar"/>
              </w:rPr>
              <w:t>专用消毒桶</w:t>
            </w:r>
            <w:r>
              <w:rPr>
                <w:rFonts w:ascii="宋体" w:eastAsia="宋体" w:hAnsi="宋体" w:cs="宋体" w:hint="eastAsia"/>
                <w:color w:val="000000"/>
                <w:sz w:val="21"/>
                <w:szCs w:val="21"/>
                <w:lang w:eastAsia="zh-CN" w:bidi="ar"/>
              </w:rPr>
              <w:t>≥10L</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20、</w:t>
            </w:r>
            <w:r>
              <w:rPr>
                <w:rFonts w:ascii="宋体" w:eastAsia="宋体" w:hAnsi="宋体" w:cs="宋体" w:hint="eastAsia"/>
                <w:color w:val="000000"/>
                <w:sz w:val="21"/>
                <w:szCs w:val="21"/>
                <w:lang w:bidi="ar"/>
              </w:rPr>
              <w:t>普通水桶</w:t>
            </w:r>
            <w:r>
              <w:rPr>
                <w:rFonts w:ascii="宋体" w:eastAsia="宋体" w:hAnsi="宋体" w:cs="宋体" w:hint="eastAsia"/>
                <w:color w:val="000000"/>
                <w:sz w:val="21"/>
                <w:szCs w:val="21"/>
                <w:lang w:eastAsia="zh-CN" w:bidi="ar"/>
              </w:rPr>
              <w:t>≥20L</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21、</w:t>
            </w:r>
            <w:r>
              <w:rPr>
                <w:rFonts w:ascii="宋体" w:eastAsia="宋体" w:hAnsi="宋体" w:cs="宋体" w:hint="eastAsia"/>
                <w:color w:val="000000"/>
                <w:sz w:val="21"/>
                <w:szCs w:val="21"/>
                <w:lang w:bidi="ar"/>
              </w:rPr>
              <w:t>被子</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120cm  *  150cm ，被芯为 2斤棉絮</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22、</w:t>
            </w:r>
            <w:r>
              <w:rPr>
                <w:rFonts w:ascii="宋体" w:eastAsia="宋体" w:hAnsi="宋体" w:cs="宋体" w:hint="eastAsia"/>
                <w:color w:val="000000"/>
                <w:sz w:val="21"/>
                <w:szCs w:val="21"/>
                <w:lang w:bidi="ar"/>
              </w:rPr>
              <w:t>枕头</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40cm * 25cm ，带枕套</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23、</w:t>
            </w:r>
            <w:r>
              <w:rPr>
                <w:rFonts w:ascii="宋体" w:eastAsia="宋体" w:hAnsi="宋体" w:cs="宋体" w:hint="eastAsia"/>
                <w:color w:val="000000"/>
                <w:sz w:val="21"/>
                <w:szCs w:val="21"/>
                <w:lang w:bidi="ar"/>
              </w:rPr>
              <w:t>垫絮(均含芯及罩）</w:t>
            </w:r>
            <w:r>
              <w:rPr>
                <w:rFonts w:ascii="宋体" w:eastAsia="宋体" w:hAnsi="宋体" w:cs="宋体" w:hint="eastAsia"/>
                <w:color w:val="000000"/>
                <w:sz w:val="21"/>
                <w:szCs w:val="21"/>
                <w:lang w:eastAsia="zh-CN" w:bidi="ar"/>
              </w:rPr>
              <w:t>≥128cm * 57cm</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24、</w:t>
            </w:r>
            <w:r>
              <w:rPr>
                <w:rFonts w:ascii="宋体" w:eastAsia="宋体" w:hAnsi="宋体" w:cs="宋体" w:hint="eastAsia"/>
                <w:color w:val="000000"/>
                <w:sz w:val="21"/>
                <w:szCs w:val="21"/>
                <w:lang w:bidi="ar"/>
              </w:rPr>
              <w:t>生活垃圾桶</w:t>
            </w:r>
            <w:r>
              <w:rPr>
                <w:rFonts w:ascii="宋体" w:eastAsia="宋体" w:hAnsi="宋体" w:cs="宋体" w:hint="eastAsia"/>
                <w:color w:val="000000"/>
                <w:sz w:val="21"/>
                <w:szCs w:val="21"/>
                <w:lang w:eastAsia="zh-CN" w:bidi="ar"/>
              </w:rPr>
              <w:t xml:space="preserve"> 方形脚踏式塑料制</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25、</w:t>
            </w:r>
            <w:r>
              <w:rPr>
                <w:rFonts w:ascii="宋体" w:eastAsia="宋体" w:hAnsi="宋体" w:cs="宋体" w:hint="eastAsia"/>
                <w:color w:val="000000"/>
                <w:sz w:val="21"/>
                <w:szCs w:val="21"/>
                <w:lang w:bidi="ar"/>
              </w:rPr>
              <w:t>医疗垃圾桶</w:t>
            </w:r>
            <w:r>
              <w:rPr>
                <w:rFonts w:ascii="宋体" w:eastAsia="宋体" w:hAnsi="宋体" w:cs="宋体" w:hint="eastAsia"/>
                <w:color w:val="000000"/>
                <w:sz w:val="21"/>
                <w:szCs w:val="21"/>
                <w:lang w:eastAsia="zh-CN" w:bidi="ar"/>
              </w:rPr>
              <w:t xml:space="preserve"> ≥30L</w:t>
            </w:r>
          </w:p>
        </w:tc>
      </w:tr>
      <w:tr>
        <w:tblPrEx>
          <w:tblW w:w="5000" w:type="pct"/>
          <w:tblInd w:w="0" w:type="dxa"/>
          <w:tblLayout w:type="fixed"/>
          <w:tblCellMar>
            <w:top w:w="0" w:type="dxa"/>
            <w:left w:w="108" w:type="dxa"/>
            <w:bottom w:w="0" w:type="dxa"/>
            <w:right w:w="108" w:type="dxa"/>
          </w:tblCellMar>
        </w:tblPrEx>
        <w:trPr>
          <w:trHeight w:val="207"/>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numPr>
                <w:ilvl w:val="0"/>
                <w:numId w:val="0"/>
              </w:numPr>
              <w:ind w:left="0" w:firstLine="0" w:leftChars="0" w:firstLineChars="0"/>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26、</w:t>
            </w:r>
            <w:r>
              <w:rPr>
                <w:rFonts w:ascii="宋体" w:eastAsia="宋体" w:hAnsi="宋体" w:cs="宋体" w:hint="eastAsia"/>
                <w:color w:val="000000"/>
                <w:sz w:val="21"/>
                <w:szCs w:val="21"/>
                <w:lang w:bidi="ar"/>
              </w:rPr>
              <w:t>床刷</w:t>
            </w:r>
            <w:r>
              <w:rPr>
                <w:rFonts w:ascii="宋体" w:eastAsia="宋体" w:hAnsi="宋体" w:cs="宋体" w:hint="eastAsia"/>
                <w:color w:val="000000"/>
                <w:sz w:val="21"/>
                <w:szCs w:val="21"/>
                <w:lang w:eastAsia="zh-CN" w:bidi="ar"/>
              </w:rPr>
              <w:t>≥37cm</w:t>
            </w:r>
          </w:p>
        </w:tc>
      </w:tr>
      <w:tr>
        <w:tblPrEx>
          <w:tblW w:w="5000" w:type="pct"/>
          <w:tblInd w:w="0" w:type="dxa"/>
          <w:tblLayout w:type="fixed"/>
          <w:tblCellMar>
            <w:top w:w="0" w:type="dxa"/>
            <w:left w:w="108" w:type="dxa"/>
            <w:bottom w:w="0" w:type="dxa"/>
            <w:right w:w="108" w:type="dxa"/>
          </w:tblCellMar>
        </w:tblPrEx>
        <w:trPr>
          <w:trHeight w:val="255"/>
        </w:trPr>
        <w:tc>
          <w:tcPr>
            <w:tcW w:w="80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8</w:t>
            </w:r>
          </w:p>
        </w:tc>
        <w:tc>
          <w:tcPr>
            <w:tcW w:w="1243" w:type="dxa"/>
            <w:vMerge w:val="restart"/>
            <w:noWrap w:val="0"/>
            <w:vAlign w:val="center"/>
          </w:tcPr>
          <w:p>
            <w:pPr>
              <w:widowControl/>
              <w:jc w:val="center"/>
              <w:textAlignment w:val="center"/>
              <w:rPr>
                <w:rFonts w:ascii="宋体" w:eastAsia="宋体" w:hAnsi="宋体" w:cs="宋体" w:hint="eastAsia"/>
                <w:b/>
                <w:sz w:val="21"/>
                <w:szCs w:val="21"/>
              </w:rPr>
            </w:pPr>
            <w:r>
              <w:rPr>
                <w:rFonts w:ascii="宋体" w:eastAsia="宋体" w:hAnsi="宋体" w:cs="宋体" w:hint="eastAsia"/>
                <w:color w:val="000000"/>
                <w:sz w:val="21"/>
                <w:szCs w:val="21"/>
                <w:lang w:bidi="ar"/>
              </w:rPr>
              <w:t>模拟幼儿盥洗水池</w:t>
            </w:r>
          </w:p>
        </w:tc>
        <w:tc>
          <w:tcPr>
            <w:tcW w:w="6665" w:type="dxa"/>
            <w:noWrap w:val="0"/>
            <w:vAlign w:val="top"/>
          </w:tcPr>
          <w:p>
            <w:pPr>
              <w:numPr>
                <w:ilvl w:val="0"/>
                <w:numId w:val="0"/>
              </w:numPr>
              <w:ind w:left="0" w:firstLine="0"/>
              <w:rPr>
                <w:rFonts w:ascii="宋体" w:eastAsia="宋体" w:hAnsi="宋体" w:cs="宋体" w:hint="eastAsia"/>
                <w:color w:val="000000"/>
                <w:sz w:val="21"/>
                <w:szCs w:val="21"/>
                <w:lang w:eastAsia="zh-CN" w:bidi="ar"/>
              </w:rPr>
            </w:pPr>
            <w:r>
              <w:rPr>
                <w:rFonts w:ascii="宋体" w:eastAsia="宋体" w:hAnsi="宋体" w:cs="宋体" w:hint="eastAsia"/>
                <w:bCs/>
                <w:sz w:val="21"/>
                <w:szCs w:val="21"/>
                <w:lang w:eastAsia="zh-CN"/>
              </w:rPr>
              <w:t>1、</w:t>
            </w:r>
            <w:r>
              <w:rPr>
                <w:rFonts w:ascii="宋体" w:eastAsia="宋体" w:hAnsi="宋体" w:cs="宋体" w:hint="eastAsia"/>
                <w:color w:val="000000"/>
                <w:sz w:val="21"/>
                <w:szCs w:val="21"/>
                <w:lang w:bidi="ar"/>
              </w:rPr>
              <w:t>单位重量:</w:t>
            </w:r>
            <w:r>
              <w:rPr>
                <w:rFonts w:ascii="宋体" w:eastAsia="宋体" w:hAnsi="宋体" w:cs="宋体" w:hint="eastAsia"/>
                <w:bCs/>
                <w:sz w:val="21"/>
                <w:szCs w:val="21"/>
              </w:rPr>
              <w:t>≥</w:t>
            </w:r>
            <w:r>
              <w:rPr>
                <w:rFonts w:ascii="宋体" w:eastAsia="宋体" w:hAnsi="宋体" w:cs="宋体" w:hint="eastAsia"/>
                <w:color w:val="000000"/>
                <w:sz w:val="21"/>
                <w:szCs w:val="21"/>
                <w:lang w:bidi="ar"/>
              </w:rPr>
              <w:t>4.5kg</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产品体积:</w:t>
            </w:r>
            <w:r>
              <w:rPr>
                <w:rFonts w:ascii="宋体" w:eastAsia="宋体" w:hAnsi="宋体" w:cs="宋体" w:hint="eastAsia"/>
                <w:bCs/>
                <w:sz w:val="21"/>
                <w:szCs w:val="21"/>
              </w:rPr>
              <w:t>≥</w:t>
            </w:r>
            <w:r>
              <w:rPr>
                <w:rFonts w:ascii="宋体" w:eastAsia="宋体" w:hAnsi="宋体" w:cs="宋体" w:hint="eastAsia"/>
                <w:color w:val="000000"/>
                <w:sz w:val="21"/>
                <w:szCs w:val="21"/>
                <w:lang w:bidi="ar"/>
              </w:rPr>
              <w:t>44*36.5*36.5cm</w:t>
            </w:r>
          </w:p>
        </w:tc>
      </w:tr>
      <w:tr>
        <w:tblPrEx>
          <w:tblW w:w="5000" w:type="pct"/>
          <w:tblInd w:w="0" w:type="dxa"/>
          <w:tblLayout w:type="fixed"/>
          <w:tblCellMar>
            <w:top w:w="0" w:type="dxa"/>
            <w:left w:w="108" w:type="dxa"/>
            <w:bottom w:w="0" w:type="dxa"/>
            <w:right w:w="108" w:type="dxa"/>
          </w:tblCellMar>
        </w:tblPrEx>
        <w:trPr>
          <w:trHeight w:val="255"/>
        </w:trPr>
        <w:tc>
          <w:tcPr>
            <w:tcW w:w="804" w:type="dxa"/>
            <w:vMerge/>
            <w:noWrap w:val="0"/>
            <w:vAlign w:val="center"/>
          </w:tcPr>
          <w:p>
            <w:pPr>
              <w:rPr>
                <w:rFonts w:ascii="宋体" w:eastAsia="宋体" w:hAnsi="宋体" w:cs="宋体" w:hint="eastAsia"/>
                <w:sz w:val="21"/>
                <w:szCs w:val="21"/>
              </w:rPr>
            </w:pPr>
          </w:p>
        </w:tc>
        <w:tc>
          <w:tcPr>
            <w:tcW w:w="1243" w:type="dxa"/>
            <w:vMerge/>
            <w:noWrap w:val="0"/>
            <w:vAlign w:val="center"/>
          </w:tcPr>
          <w:p>
            <w:pPr>
              <w:rPr>
                <w:rFonts w:ascii="宋体" w:eastAsia="宋体" w:hAnsi="宋体" w:cs="宋体" w:hint="eastAsia"/>
                <w:sz w:val="21"/>
                <w:szCs w:val="21"/>
              </w:rPr>
            </w:pPr>
          </w:p>
        </w:tc>
        <w:tc>
          <w:tcPr>
            <w:tcW w:w="6665" w:type="dxa"/>
            <w:noWrap w:val="0"/>
            <w:vAlign w:val="top"/>
          </w:tcPr>
          <w:p>
            <w:pP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r>
              <w:rPr>
                <w:rFonts w:ascii="宋体" w:eastAsia="宋体" w:hAnsi="宋体" w:cs="宋体" w:hint="eastAsia"/>
                <w:color w:val="000000"/>
                <w:sz w:val="21"/>
                <w:szCs w:val="21"/>
                <w:lang w:bidi="ar"/>
              </w:rPr>
              <w:t>配置:洗手台+污水盒</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规格:</w:t>
            </w:r>
            <w:r>
              <w:rPr>
                <w:rFonts w:ascii="宋体" w:eastAsia="宋体" w:hAnsi="宋体" w:cs="宋体" w:hint="eastAsia"/>
                <w:bCs/>
                <w:sz w:val="21"/>
                <w:szCs w:val="21"/>
              </w:rPr>
              <w:t>≥</w:t>
            </w:r>
            <w:r>
              <w:rPr>
                <w:rFonts w:ascii="宋体" w:eastAsia="宋体" w:hAnsi="宋体" w:cs="宋体" w:hint="eastAsia"/>
                <w:color w:val="000000"/>
                <w:sz w:val="21"/>
                <w:szCs w:val="21"/>
                <w:lang w:bidi="ar"/>
              </w:rPr>
              <w:t xml:space="preserve">51*53*32.5cm </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污水盒规格:</w:t>
            </w:r>
            <w:r>
              <w:rPr>
                <w:rFonts w:ascii="宋体" w:eastAsia="宋体" w:hAnsi="宋体" w:cs="宋体" w:hint="eastAsia"/>
                <w:bCs/>
                <w:sz w:val="21"/>
                <w:szCs w:val="21"/>
              </w:rPr>
              <w:t>≥</w:t>
            </w:r>
            <w:r>
              <w:rPr>
                <w:rFonts w:ascii="宋体" w:eastAsia="宋体" w:hAnsi="宋体" w:cs="宋体" w:hint="eastAsia"/>
                <w:color w:val="000000"/>
                <w:sz w:val="21"/>
                <w:szCs w:val="21"/>
                <w:lang w:bidi="ar"/>
              </w:rPr>
              <w:t>33.5*18*6cm</w:t>
            </w:r>
          </w:p>
        </w:tc>
      </w:tr>
      <w:tr>
        <w:tblPrEx>
          <w:tblW w:w="5000" w:type="pct"/>
          <w:tblInd w:w="0" w:type="dxa"/>
          <w:tblLayout w:type="fixed"/>
          <w:tblCellMar>
            <w:top w:w="0" w:type="dxa"/>
            <w:left w:w="108" w:type="dxa"/>
            <w:bottom w:w="0" w:type="dxa"/>
            <w:right w:w="108" w:type="dxa"/>
          </w:tblCellMar>
        </w:tblPrEx>
        <w:trPr>
          <w:trHeight w:val="255"/>
        </w:trPr>
        <w:tc>
          <w:tcPr>
            <w:tcW w:w="804" w:type="dxa"/>
            <w:vMerge/>
            <w:noWrap w:val="0"/>
            <w:vAlign w:val="center"/>
          </w:tcPr>
          <w:p>
            <w:pPr>
              <w:rPr>
                <w:rFonts w:ascii="宋体" w:eastAsia="宋体" w:hAnsi="宋体" w:cs="宋体" w:hint="eastAsia"/>
                <w:color w:val="000000"/>
                <w:sz w:val="21"/>
                <w:szCs w:val="21"/>
                <w:lang w:eastAsia="zh-CN" w:bidi="ar"/>
              </w:rPr>
            </w:pPr>
          </w:p>
        </w:tc>
        <w:tc>
          <w:tcPr>
            <w:tcW w:w="1243" w:type="dxa"/>
            <w:vMerge/>
            <w:noWrap w:val="0"/>
            <w:vAlign w:val="center"/>
          </w:tcPr>
          <w:p>
            <w:pPr>
              <w:rPr>
                <w:rFonts w:ascii="宋体" w:eastAsia="宋体" w:hAnsi="宋体" w:cs="宋体" w:hint="eastAsia"/>
                <w:color w:val="000000"/>
                <w:sz w:val="21"/>
                <w:szCs w:val="21"/>
                <w:lang w:eastAsia="zh-CN" w:bidi="ar"/>
              </w:rPr>
            </w:pPr>
          </w:p>
        </w:tc>
        <w:tc>
          <w:tcPr>
            <w:tcW w:w="6665" w:type="dxa"/>
            <w:noWrap w:val="0"/>
            <w:vAlign w:val="top"/>
          </w:tcPr>
          <w:p>
            <w:pP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w:t>
            </w:r>
            <w:r>
              <w:rPr>
                <w:rFonts w:ascii="宋体" w:eastAsia="宋体" w:hAnsi="宋体" w:cs="宋体" w:hint="eastAsia"/>
                <w:color w:val="000000"/>
                <w:sz w:val="21"/>
                <w:szCs w:val="21"/>
                <w:lang w:bidi="ar"/>
              </w:rPr>
              <w:t>材质:塑料PP</w:t>
            </w:r>
            <w:r>
              <w:rPr>
                <w:rFonts w:ascii="宋体" w:eastAsia="宋体" w:hAnsi="宋体" w:cs="宋体" w:hint="eastAsia"/>
                <w:color w:val="000000"/>
                <w:sz w:val="21"/>
                <w:szCs w:val="21"/>
                <w:lang w:eastAsia="zh-CN" w:bidi="ar"/>
              </w:rPr>
              <w:t>，</w:t>
            </w:r>
            <w:r>
              <w:rPr>
                <w:rFonts w:ascii="宋体" w:eastAsia="宋体" w:hAnsi="宋体" w:cs="宋体" w:hint="eastAsia"/>
                <w:color w:val="000000"/>
                <w:sz w:val="21"/>
                <w:szCs w:val="21"/>
                <w:lang w:bidi="ar"/>
              </w:rPr>
              <w:t>颜色:白色</w:t>
            </w:r>
          </w:p>
        </w:tc>
      </w:tr>
    </w:tbl>
    <w:p>
      <w:pPr>
        <w:widowControl w:val="0"/>
        <w:jc w:val="both"/>
        <w:rPr>
          <w:rFonts w:ascii="Calibri" w:eastAsia="宋体" w:hAnsi="Calibri"/>
          <w:bCs/>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highlight w:val="yellow"/>
          <w:lang w:eastAsia="zh-CN"/>
        </w:rPr>
      </w:pPr>
      <w:r>
        <w:rPr>
          <w:rFonts w:ascii="宋体" w:eastAsia="宋体" w:hAnsi="宋体" w:cstheme="minorBidi" w:hint="eastAsia"/>
          <w:b/>
          <w:bCs/>
          <w:kern w:val="2"/>
          <w:sz w:val="28"/>
          <w:szCs w:val="28"/>
          <w:lang w:eastAsia="zh-CN"/>
        </w:rPr>
        <w:t>六、付款方式</w:t>
      </w:r>
    </w:p>
    <w:p>
      <w:pPr>
        <w:spacing w:before="60" w:beforeLines="25" w:after="60" w:afterLines="25" w:line="360" w:lineRule="auto"/>
        <w:ind w:firstLine="393" w:firstLineChars="187"/>
        <w:rPr>
          <w:rFonts w:ascii="宋体" w:hAnsi="宋体" w:cs="宋体" w:hint="eastAsia"/>
          <w:sz w:val="21"/>
          <w:szCs w:val="21"/>
          <w:lang w:eastAsia="zh-CN" w:bidi="ar"/>
        </w:rPr>
      </w:pPr>
      <w:r>
        <w:rPr>
          <w:rFonts w:ascii="宋体" w:hAnsi="宋体" w:cs="宋体" w:hint="eastAsia"/>
          <w:sz w:val="21"/>
          <w:szCs w:val="21"/>
          <w:lang w:eastAsia="zh-CN" w:bidi="ar"/>
        </w:rPr>
        <w:t>1、合同签订后 15 个工作日内，采购人向中标供应商支付合同总价【50】%的款项；</w:t>
      </w:r>
    </w:p>
    <w:p>
      <w:pPr>
        <w:spacing w:before="60" w:beforeLines="25" w:after="60" w:afterLines="25" w:line="360" w:lineRule="auto"/>
        <w:ind w:firstLine="393" w:firstLineChars="187"/>
        <w:rPr>
          <w:rFonts w:ascii="宋体" w:hAnsi="宋体" w:cs="宋体" w:hint="eastAsia"/>
          <w:sz w:val="21"/>
          <w:szCs w:val="21"/>
          <w:lang w:eastAsia="zh-CN" w:bidi="ar"/>
        </w:rPr>
      </w:pPr>
      <w:r>
        <w:rPr>
          <w:rFonts w:ascii="宋体" w:hAnsi="宋体" w:cs="宋体" w:hint="eastAsia"/>
          <w:sz w:val="21"/>
          <w:szCs w:val="21"/>
          <w:lang w:eastAsia="zh-CN" w:bidi="ar"/>
        </w:rPr>
        <w:t>2、全部货物送到采购人指定地点、完成安装并验收合格后  15  个工作日内，采购人向中标供应商支付合同总价【50】%的款项；</w:t>
      </w:r>
    </w:p>
    <w:p>
      <w:pPr>
        <w:spacing w:before="60" w:beforeLines="25" w:after="60" w:afterLines="25" w:line="360" w:lineRule="auto"/>
        <w:ind w:firstLine="393" w:firstLineChars="187"/>
        <w:rPr>
          <w:rFonts w:ascii="宋体" w:hAnsi="宋体" w:cs="宋体" w:hint="eastAsia"/>
          <w:sz w:val="21"/>
          <w:szCs w:val="21"/>
          <w:lang w:eastAsia="zh-CN" w:bidi="ar"/>
        </w:rPr>
      </w:pPr>
      <w:r>
        <w:rPr>
          <w:rFonts w:ascii="宋体" w:hAnsi="宋体" w:cs="宋体" w:hint="eastAsia"/>
          <w:sz w:val="21"/>
          <w:szCs w:val="21"/>
          <w:lang w:eastAsia="zh-CN" w:bidi="ar"/>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spacing w:before="60" w:beforeLines="25" w:after="60" w:afterLines="25" w:line="360" w:lineRule="auto"/>
        <w:ind w:firstLine="393" w:firstLineChars="187"/>
        <w:rPr>
          <w:rFonts w:ascii="宋体" w:hAnsi="宋体" w:cs="宋体" w:hint="eastAsia"/>
          <w:sz w:val="21"/>
          <w:szCs w:val="21"/>
          <w:lang w:eastAsia="zh-CN" w:bidi="ar"/>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七、投标报价要求</w:t>
      </w:r>
    </w:p>
    <w:p>
      <w:pPr>
        <w:spacing w:line="360" w:lineRule="auto"/>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spacing w:line="360" w:lineRule="auto"/>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spacing w:line="360" w:lineRule="auto"/>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3、投标人的投标报价不得超过财政预算限额，如设投标最高限价的，报价不得超过最高限价；</w:t>
      </w:r>
    </w:p>
    <w:p>
      <w:pPr>
        <w:spacing w:line="360" w:lineRule="auto"/>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4、投标人的投标报价，应是本项目采购范围和采购文件及合同条款上所列的各项内容中所述的全部，不得以任何理由予以重复，并以投标人在中提出的综合单价或总价为依据；</w:t>
      </w:r>
    </w:p>
    <w:p>
      <w:pPr>
        <w:spacing w:line="360" w:lineRule="auto"/>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5、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line="360" w:lineRule="auto"/>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6、投标人应先到项目地点踏勘以充分了解项目的位置、情况、道路及任何其它足以影响投标报价的情况，任何因忽视或误解项目情况而导致的索赔或服务期限延长申请将不获批准；</w:t>
      </w:r>
    </w:p>
    <w:p>
      <w:pPr>
        <w:spacing w:line="360" w:lineRule="auto"/>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7、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spacing w:before="60" w:beforeLines="25" w:after="60" w:afterLines="25"/>
        <w:ind w:firstLine="393" w:firstLineChars="187"/>
        <w:rPr>
          <w:rFonts w:ascii="宋体" w:hAnsi="宋体" w:cs="宋体"/>
          <w:sz w:val="21"/>
          <w:szCs w:val="21"/>
          <w:lang w:eastAsia="zh-CN" w:bidi="ar"/>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八、注意事项</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1、中标供应商不得将项目非法分包或转包给任何单位和个人。否则，采购单位有权即刻终止合同，并要求中标供应商赔偿相应损失。</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2、投标人使用的标准必须是国际公认或国家、或地方政府颁布的同等或更高的标准，如投标人使用的标准低于上述标准,评审委员会将有权不予接受，投标人必须列表将明显的差异详细说明。</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3、供应商须在质疑期内一次性提出针对同一采购程序环节的质疑。</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4、本项目按照深圳市龙华区教育局的相关采购规定执行，招标文件未明确的事项，参照政府采购有关法律法规执行。</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九、现场演示要求</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（一）总体要求：</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演示供应商签到时间：投标供应商授权委托人需在本项目开标当天2025年</w:t>
      </w:r>
      <w:r>
        <w:rPr>
          <w:rFonts w:ascii="宋体" w:hAnsi="宋体" w:hint="eastAsia"/>
          <w:sz w:val="21"/>
          <w:szCs w:val="21"/>
          <w:lang w:eastAsia="zh-CN"/>
        </w:rPr>
        <w:t>7</w:t>
      </w:r>
      <w:r>
        <w:rPr>
          <w:rFonts w:ascii="宋体" w:hAnsi="宋体" w:hint="eastAsia"/>
          <w:sz w:val="21"/>
          <w:szCs w:val="21"/>
          <w:lang w:eastAsia="zh-CN"/>
        </w:rPr>
        <w:t>月</w:t>
      </w:r>
      <w:r>
        <w:rPr>
          <w:rFonts w:ascii="宋体" w:hAnsi="宋体" w:hint="eastAsia"/>
          <w:sz w:val="21"/>
          <w:szCs w:val="21"/>
          <w:lang w:eastAsia="zh-CN"/>
        </w:rPr>
        <w:t>16</w:t>
      </w:r>
      <w:r>
        <w:rPr>
          <w:rFonts w:ascii="宋体" w:hAnsi="宋体" w:hint="eastAsia"/>
          <w:sz w:val="21"/>
          <w:szCs w:val="21"/>
          <w:lang w:eastAsia="zh-CN"/>
        </w:rPr>
        <w:t>日</w:t>
      </w:r>
      <w:r>
        <w:rPr>
          <w:rFonts w:ascii="宋体" w:hAnsi="宋体" w:hint="eastAsia"/>
          <w:sz w:val="21"/>
          <w:szCs w:val="21"/>
          <w:lang w:eastAsia="zh-CN"/>
        </w:rPr>
        <w:t>10</w:t>
      </w:r>
      <w:r>
        <w:rPr>
          <w:rFonts w:ascii="宋体" w:hAnsi="宋体" w:hint="eastAsia"/>
          <w:sz w:val="21"/>
          <w:szCs w:val="21"/>
          <w:lang w:eastAsia="zh-CN"/>
        </w:rPr>
        <w:t>点</w:t>
      </w:r>
      <w:r>
        <w:rPr>
          <w:rFonts w:ascii="宋体" w:hAnsi="宋体" w:hint="eastAsia"/>
          <w:sz w:val="21"/>
          <w:szCs w:val="21"/>
          <w:lang w:eastAsia="zh-CN"/>
        </w:rPr>
        <w:t>00</w:t>
      </w:r>
      <w:r>
        <w:rPr>
          <w:rFonts w:ascii="宋体" w:hAnsi="宋体" w:hint="eastAsia"/>
          <w:sz w:val="21"/>
          <w:szCs w:val="21"/>
          <w:lang w:eastAsia="zh-CN"/>
        </w:rPr>
        <w:t>分（北京时间）前。</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签到地点：深圳市千里招标代理有限公司（地址：深圳市龙华区和平路21号振华时代广场8层802 ），按现场工作人员指引填写《现场演示签到表》。</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演示设备：</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深圳市千里招标代理有限公司仅提供演示场地、电源接口。</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演示电脑和电源线、U 盘等存储设备、投影转换接头等及其它能完成演示操作的设备（具体以自身实际需要为准）由投标供应商授权委托人自行携带，因设备无法演示的由供应商自行负责，由于场地有限，建议不携带过大设备。</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演示时间、人员要求：每个投标供应商现场演示时间不超过10分钟（期间评委可能会进行提问，并有权酌情延长时间）。现场演示人员不得超过2人。</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（二）具体程序：</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 xml:space="preserve">1、投标供应商需在现场演示签到截止时间前，携带法定代表人证明书（加盖公章）、法定代表人（负责人）授权委托书（加盖公章）和授权委托人身份证原件（港澳台居民可提供来往通行证；非中国国籍管辖范围人员，可提供公安部门认可的身份证明材料），到达深圳市龙华区和平路21号振华时代广场8层802，按工作人员指引进行签到。 </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特别注意事项：（1）资料提供不齐全的，不予签到；（2）招标公告规定的截止时间后，不再受理签到；（3）未进行签到的人员，不能参与现场演示；</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2、签到截止时间后正式进行现场演示。现场演示正式开始前将进行身份核对；核对内容为现场演示人员提供的“法定代表人证明书（加盖公章）、法定代表人（负责人）授权委托书（加盖公章）、授权委托人身份证原件”。资料不齐全的人员，不得参与现场演示。</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（三）其它现场演示规则：</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A.参加本次现场演示的各投标供应商，均认为本次现场演示的程序和环境能够满足现场演示基本条件，并对本现场演示方案要求内的各项规定不做事后异议，且能够严格遵守相关规定。</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B.现场演示在评审中进行。现场演示原则上按签到顺序依次进行（经评委同意，可以酌情进行调整）。一个供应商一次性现场演示完毕。一个供应商在进行现场演示时，其他供应商不得进入现场。现场演示期间，评委可视情况对讲解人员进行提问。</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C.投标人对本次现场演示条件的不确定性疑虑应在开始前做书面表达，若所有疑虑不能完全消除，并认为现场演示结果仍会产生误判，则可以退出现场演示。</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D.由于现场演示时间有限，投标人同意承担其现场演示结果不确定性的风险，即同意专家以方案讲解情况的判定结论。</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E.本次现场演示的结果，仅对本项目评审委员会（谈判小组）负责，无义务向其余各方出具方案讲解结果。</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F.风险及费用说明：各项费用由供应商自理、风险自负。</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（四）演示内容：</w:t>
      </w:r>
    </w:p>
    <w:p>
      <w:pPr>
        <w:spacing w:line="360" w:lineRule="auto"/>
        <w:ind w:firstLine="393" w:firstLineChars="187"/>
        <w:rPr>
          <w:rFonts w:ascii="宋体" w:hAnsi="宋体" w:hint="eastAsia"/>
          <w:sz w:val="21"/>
          <w:szCs w:val="21"/>
          <w:lang w:eastAsia="zh-CN"/>
        </w:rPr>
      </w:pPr>
      <w:r>
        <w:rPr>
          <w:rFonts w:ascii="宋体" w:hAnsi="宋体" w:hint="eastAsia"/>
          <w:sz w:val="21"/>
          <w:szCs w:val="21"/>
          <w:lang w:eastAsia="zh-CN"/>
        </w:rPr>
        <w:t>按照评标信息中的现场演示内容要求执行。</w:t>
      </w:r>
    </w:p>
    <w:p>
      <w:pPr>
        <w:spacing w:line="360" w:lineRule="auto"/>
        <w:ind w:firstLine="560" w:firstLineChars="200"/>
        <w:jc w:val="left"/>
        <w:rPr>
          <w:rFonts w:ascii="宋体" w:eastAsia="宋体" w:hAnsi="宋体" w:hint="eastAsia"/>
          <w:b/>
          <w:bCs/>
          <w:kern w:val="2"/>
          <w:sz w:val="28"/>
          <w:szCs w:val="28"/>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spacing w:line="320" w:lineRule="atLeas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ind w:firstLine="960" w:firstLineChars="400"/>
        <w:rPr>
          <w:lang w:eastAsia="zh-CN"/>
        </w:rPr>
      </w:pPr>
      <w:bookmarkStart w:id="15" w:name="_Hlk194503600"/>
      <w:bookmarkStart w:id="16" w:name="_Hlk72257771"/>
      <w:r>
        <w:rPr>
          <w:rFonts w:hint="eastAsia"/>
          <w:lang w:eastAsia="zh-CN"/>
        </w:rPr>
        <w:t>（</w:t>
      </w:r>
      <w:bookmarkStart w:id="17" w:name="_Hlk194504074"/>
      <w:r>
        <w:rPr>
          <w:rFonts w:hint="eastAsia"/>
          <w:lang w:eastAsia="zh-CN"/>
        </w:rPr>
        <w:t>1）投标函</w:t>
      </w:r>
    </w:p>
    <w:p>
      <w:pPr>
        <w:ind w:firstLine="960" w:firstLineChars="400"/>
        <w:rPr>
          <w:lang w:eastAsia="zh-CN"/>
        </w:rPr>
      </w:pPr>
      <w:r>
        <w:rPr>
          <w:rFonts w:hint="eastAsia"/>
          <w:lang w:eastAsia="zh-CN"/>
        </w:rPr>
        <w:t>（2）龙华区教育局自行采购投标及履约承诺函</w:t>
      </w:r>
    </w:p>
    <w:p>
      <w:pPr>
        <w:ind w:firstLine="960" w:firstLineChars="400"/>
        <w:rPr>
          <w:lang w:eastAsia="zh-CN"/>
        </w:rPr>
      </w:pPr>
      <w:r>
        <w:rPr>
          <w:rFonts w:hint="eastAsia"/>
          <w:lang w:eastAsia="zh-CN"/>
        </w:rPr>
        <w:t>（3）投标人情况及资格证明文件</w:t>
      </w:r>
    </w:p>
    <w:p>
      <w:pPr>
        <w:ind w:firstLine="960" w:firstLineChars="400"/>
        <w:rPr>
          <w:rFonts w:eastAsia="宋体"/>
          <w:lang w:eastAsia="zh-CN"/>
        </w:rPr>
      </w:pPr>
      <w:r>
        <w:rPr>
          <w:rFonts w:eastAsia="宋体" w:hint="eastAsia"/>
          <w:lang w:eastAsia="zh-CN"/>
        </w:rPr>
        <w:t>（4）供应商基本情况表</w:t>
      </w:r>
    </w:p>
    <w:p>
      <w:pPr>
        <w:ind w:firstLine="960" w:firstLineChars="400"/>
        <w:rPr>
          <w:lang w:eastAsia="zh-CN"/>
        </w:rPr>
      </w:pPr>
      <w:r>
        <w:rPr>
          <w:rFonts w:hint="eastAsia"/>
          <w:lang w:eastAsia="zh-CN"/>
        </w:rPr>
        <w:t>（</w:t>
      </w:r>
      <w:r>
        <w:rPr>
          <w:rFonts w:eastAsia="宋体" w:hint="eastAsia"/>
          <w:lang w:eastAsia="zh-CN"/>
        </w:rPr>
        <w:t>5</w:t>
      </w:r>
      <w:r>
        <w:rPr>
          <w:rFonts w:hint="eastAsia"/>
          <w:lang w:eastAsia="zh-CN"/>
        </w:rPr>
        <w:t>）分项报价清单</w:t>
      </w:r>
    </w:p>
    <w:p>
      <w:pPr>
        <w:ind w:firstLine="960" w:firstLineChars="400"/>
        <w:rPr>
          <w:lang w:eastAsia="zh-CN"/>
        </w:rPr>
      </w:pPr>
      <w:r>
        <w:rPr>
          <w:rFonts w:hint="eastAsia"/>
          <w:lang w:eastAsia="zh-CN"/>
        </w:rPr>
        <w:t>（</w:t>
      </w:r>
      <w:r>
        <w:rPr>
          <w:rFonts w:eastAsia="宋体" w:hint="eastAsia"/>
          <w:lang w:eastAsia="zh-CN"/>
        </w:rPr>
        <w:t>6</w:t>
      </w:r>
      <w:r>
        <w:rPr>
          <w:rFonts w:hint="eastAsia"/>
          <w:lang w:eastAsia="zh-CN"/>
        </w:rPr>
        <w:t>）股东构成审查表</w:t>
      </w:r>
    </w:p>
    <w:p>
      <w:pPr>
        <w:ind w:firstLine="960" w:firstLineChars="400"/>
        <w:rPr>
          <w:lang w:eastAsia="zh-CN"/>
        </w:rPr>
      </w:pPr>
      <w:r>
        <w:rPr>
          <w:rFonts w:hint="eastAsia"/>
          <w:lang w:eastAsia="zh-CN"/>
        </w:rPr>
        <w:t>（</w:t>
      </w:r>
      <w:r>
        <w:rPr>
          <w:rFonts w:eastAsia="宋体" w:hint="eastAsia"/>
          <w:lang w:eastAsia="zh-CN"/>
        </w:rPr>
        <w:t>7</w:t>
      </w:r>
      <w:r>
        <w:rPr>
          <w:rFonts w:hint="eastAsia"/>
          <w:lang w:eastAsia="zh-CN"/>
        </w:rPr>
        <w:t>）法定代表人（负责人）证明书</w:t>
      </w:r>
    </w:p>
    <w:p>
      <w:pPr>
        <w:ind w:firstLine="960" w:firstLineChars="400"/>
        <w:rPr>
          <w:lang w:eastAsia="zh-CN"/>
        </w:rPr>
      </w:pPr>
      <w:r>
        <w:rPr>
          <w:rFonts w:hint="eastAsia"/>
          <w:lang w:eastAsia="zh-CN"/>
        </w:rPr>
        <w:t>（</w:t>
      </w:r>
      <w:r>
        <w:rPr>
          <w:rFonts w:eastAsia="宋体" w:hint="eastAsia"/>
          <w:lang w:eastAsia="zh-CN"/>
        </w:rPr>
        <w:t>8</w:t>
      </w:r>
      <w:r>
        <w:rPr>
          <w:rFonts w:hint="eastAsia"/>
          <w:lang w:eastAsia="zh-CN"/>
        </w:rPr>
        <w:t>）投标文件签署授权委托书</w:t>
      </w:r>
    </w:p>
    <w:p>
      <w:pPr>
        <w:ind w:firstLine="960" w:firstLineChars="400"/>
        <w:rPr>
          <w:lang w:eastAsia="zh-CN"/>
        </w:rPr>
      </w:pPr>
      <w:r>
        <w:rPr>
          <w:rFonts w:hint="eastAsia"/>
          <w:lang w:eastAsia="zh-CN"/>
        </w:rPr>
        <w:t>（</w:t>
      </w:r>
      <w:r>
        <w:rPr>
          <w:rFonts w:eastAsia="宋体" w:hint="eastAsia"/>
          <w:lang w:eastAsia="zh-CN"/>
        </w:rPr>
        <w:t>9</w:t>
      </w:r>
      <w:r>
        <w:rPr>
          <w:rFonts w:hint="eastAsia"/>
          <w:lang w:eastAsia="zh-CN"/>
        </w:rPr>
        <w:t>）实质性条款响应情况表</w:t>
      </w:r>
    </w:p>
    <w:p>
      <w:pPr>
        <w:ind w:firstLine="960" w:firstLineChars="400"/>
        <w:rPr>
          <w:lang w:eastAsia="zh-CN"/>
        </w:rPr>
      </w:pPr>
      <w:r>
        <w:rPr>
          <w:rFonts w:hint="eastAsia"/>
          <w:lang w:eastAsia="zh-CN"/>
        </w:rPr>
        <w:t>（</w:t>
      </w:r>
      <w:r>
        <w:rPr>
          <w:rFonts w:eastAsia="宋体" w:hint="eastAsia"/>
          <w:lang w:eastAsia="zh-CN"/>
        </w:rPr>
        <w:t>10</w:t>
      </w:r>
      <w:r>
        <w:rPr>
          <w:rFonts w:hint="eastAsia"/>
          <w:lang w:eastAsia="zh-CN"/>
        </w:rPr>
        <w:t>）技术要求偏离表</w:t>
      </w:r>
    </w:p>
    <w:p>
      <w:pPr>
        <w:ind w:firstLine="960" w:firstLineChars="400"/>
        <w:rPr>
          <w:lang w:eastAsia="zh-CN"/>
        </w:rPr>
      </w:pPr>
      <w:r>
        <w:rPr>
          <w:rFonts w:hint="eastAsia"/>
          <w:lang w:eastAsia="zh-CN"/>
        </w:rPr>
        <w:t>（</w:t>
      </w:r>
      <w:r>
        <w:rPr>
          <w:rFonts w:eastAsia="宋体" w:hint="eastAsia"/>
          <w:lang w:eastAsia="zh-CN"/>
        </w:rPr>
        <w:t>11</w:t>
      </w:r>
      <w:r>
        <w:rPr>
          <w:rFonts w:hint="eastAsia"/>
          <w:lang w:eastAsia="zh-CN"/>
        </w:rPr>
        <w:t>）商务要求偏离表</w:t>
      </w:r>
    </w:p>
    <w:p>
      <w:pPr>
        <w:ind w:firstLine="960" w:firstLineChars="400"/>
        <w:rPr>
          <w:lang w:eastAsia="zh-CN"/>
        </w:rPr>
      </w:pPr>
      <w:r>
        <w:rPr>
          <w:rFonts w:hint="eastAsia"/>
          <w:lang w:eastAsia="zh-CN"/>
        </w:rPr>
        <w:t>（</w:t>
      </w:r>
      <w:r>
        <w:rPr>
          <w:rFonts w:eastAsia="宋体" w:hint="eastAsia"/>
          <w:lang w:eastAsia="zh-CN"/>
        </w:rPr>
        <w:t>12</w:t>
      </w:r>
      <w:r>
        <w:rPr>
          <w:rFonts w:hint="eastAsia"/>
          <w:lang w:eastAsia="zh-CN"/>
        </w:rPr>
        <w:t>）技术保障措施</w:t>
      </w:r>
    </w:p>
    <w:p>
      <w:pPr>
        <w:ind w:firstLine="960" w:firstLineChars="400"/>
        <w:rPr>
          <w:lang w:eastAsia="zh-CN"/>
        </w:rPr>
      </w:pPr>
      <w:r>
        <w:rPr>
          <w:rFonts w:hint="eastAsia"/>
          <w:lang w:eastAsia="zh-CN"/>
        </w:rPr>
        <w:t>（</w:t>
      </w:r>
      <w:r>
        <w:rPr>
          <w:rFonts w:eastAsia="宋体" w:hint="eastAsia"/>
          <w:lang w:eastAsia="zh-CN"/>
        </w:rPr>
        <w:t>13</w:t>
      </w:r>
      <w:r>
        <w:rPr>
          <w:rFonts w:hint="eastAsia"/>
          <w:lang w:eastAsia="zh-CN"/>
        </w:rPr>
        <w:t>）售后服务</w:t>
      </w:r>
    </w:p>
    <w:p>
      <w:pPr>
        <w:ind w:firstLine="960" w:firstLineChars="400"/>
        <w:rPr>
          <w:lang w:eastAsia="zh-CN"/>
        </w:rPr>
      </w:pPr>
      <w:r>
        <w:rPr>
          <w:rFonts w:hint="eastAsia"/>
          <w:lang w:eastAsia="zh-CN"/>
        </w:rPr>
        <w:t>（</w:t>
      </w:r>
      <w:r>
        <w:rPr>
          <w:rFonts w:eastAsia="宋体" w:hint="eastAsia"/>
          <w:lang w:eastAsia="zh-CN"/>
        </w:rPr>
        <w:t>14</w:t>
      </w:r>
      <w:r>
        <w:rPr>
          <w:rFonts w:hint="eastAsia"/>
          <w:lang w:eastAsia="zh-CN"/>
        </w:rPr>
        <w:t>）功能演示</w:t>
      </w:r>
    </w:p>
    <w:p>
      <w:pPr>
        <w:ind w:firstLine="960" w:firstLineChars="400"/>
        <w:rPr>
          <w:rFonts w:ascii="宋体" w:hAnsi="宋体" w:cs="宋体"/>
          <w:lang w:eastAsia="zh-CN"/>
        </w:rPr>
      </w:pPr>
      <w:r>
        <w:rPr>
          <w:rFonts w:hint="eastAsia"/>
          <w:lang w:eastAsia="zh-CN"/>
        </w:rPr>
        <w:t>（</w:t>
      </w:r>
      <w:r>
        <w:rPr>
          <w:rFonts w:eastAsia="宋体" w:hint="eastAsia"/>
          <w:lang w:eastAsia="zh-CN"/>
        </w:rPr>
        <w:t>15</w:t>
      </w:r>
      <w:r>
        <w:rPr>
          <w:rFonts w:hint="eastAsia"/>
          <w:lang w:eastAsia="zh-CN"/>
        </w:rPr>
        <w:t>）同类项目业绩</w:t>
      </w:r>
    </w:p>
    <w:p>
      <w:pPr>
        <w:ind w:firstLine="960" w:firstLineChars="400"/>
        <w:rPr>
          <w:lang w:eastAsia="zh-CN"/>
        </w:rPr>
      </w:pPr>
      <w:r>
        <w:rPr>
          <w:rFonts w:hint="eastAsia"/>
          <w:lang w:eastAsia="zh-CN"/>
        </w:rPr>
        <w:t>（</w:t>
      </w:r>
      <w:r>
        <w:rPr>
          <w:rFonts w:eastAsia="宋体" w:hint="eastAsia"/>
          <w:lang w:eastAsia="zh-CN"/>
        </w:rPr>
        <w:t>16</w:t>
      </w:r>
      <w:r>
        <w:rPr>
          <w:rFonts w:hint="eastAsia"/>
          <w:lang w:eastAsia="zh-CN"/>
        </w:rPr>
        <w:t>）投标人认为需要加以说明的其他内容</w:t>
      </w:r>
    </w:p>
    <w:bookmarkEnd w:id="15"/>
    <w:bookmarkEnd w:id="17"/>
    <w:p>
      <w:pPr>
        <w:widowControl w:val="0"/>
        <w:spacing w:line="320" w:lineRule="atLeast"/>
        <w:jc w:val="both"/>
        <w:rPr>
          <w:rFonts w:ascii="宋体" w:eastAsia="宋体" w:hAnsi="宋体" w:hint="eastAsia"/>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hint="eastAsia"/>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hint="eastAsia"/>
          <w:bCs/>
          <w:kern w:val="44"/>
          <w:sz w:val="32"/>
          <w:szCs w:val="32"/>
          <w:lang w:eastAsia="zh-CN"/>
        </w:rPr>
      </w:pPr>
      <w:bookmarkStart w:id="18" w:name="_Hlk72263559"/>
      <w:r>
        <w:rPr>
          <w:rFonts w:ascii="宋体" w:eastAsia="宋体" w:hAnsi="宋体" w:cstheme="minorBidi" w:hint="eastAsia"/>
          <w:b/>
          <w:kern w:val="2"/>
          <w:lang w:eastAsia="zh-CN"/>
        </w:rPr>
        <w:t>2.关于填写“开标一览表”的说明：“开标一览表”中除“投标总价”外，其他信息不作评审依据。</w:t>
      </w:r>
      <w:bookmarkEnd w:id="16"/>
      <w:bookmarkEnd w:id="18"/>
      <w:r>
        <w:rPr>
          <w:rFonts w:ascii="宋体" w:eastAsia="黑体" w:hAnsi="宋体"/>
          <w:bCs/>
          <w:kern w:val="44"/>
          <w:sz w:val="32"/>
          <w:szCs w:val="32"/>
          <w:lang w:eastAsia="zh-CN"/>
        </w:rPr>
        <w:br w:type="page"/>
      </w: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hint="eastAsia"/>
          <w:kern w:val="2"/>
          <w:sz w:val="21"/>
          <w:szCs w:val="21"/>
          <w:lang w:eastAsia="zh-CN"/>
        </w:rPr>
      </w:pPr>
      <w:bookmarkStart w:id="19"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hint="eastAsia"/>
          <w:kern w:val="2"/>
          <w:sz w:val="21"/>
          <w:szCs w:val="21"/>
          <w:lang w:eastAsia="zh-CN"/>
        </w:rPr>
      </w:pPr>
      <w:bookmarkStart w:id="20"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single"/>
          <w:lang w:eastAsia="zh-CN"/>
        </w:rPr>
        <w:t>LHAZXDL-2025-00353</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幼儿保育虚拟仿真教学系统采购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1" w:name="_Hlk72263588"/>
      <w:r>
        <w:rPr>
          <w:rFonts w:ascii="Calibri" w:eastAsia="宋体" w:hAnsi="Calibri" w:cstheme="minorBidi" w:hint="eastAsia"/>
          <w:kern w:val="2"/>
          <w:sz w:val="21"/>
          <w:szCs w:val="21"/>
          <w:lang w:eastAsia="zh-CN"/>
        </w:rPr>
        <w:t>愿意按照招标文件要求承包上述项目并修补其任何缺陷。</w:t>
      </w:r>
      <w:bookmarkEnd w:id="21"/>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2"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2"/>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0"/>
    </w:p>
    <w:p>
      <w:pPr>
        <w:widowControl w:val="0"/>
        <w:spacing w:line="360" w:lineRule="auto"/>
        <w:ind w:left="480" w:left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bookmarkEnd w:id="19"/>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hint="eastAsia"/>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hint="eastAsia"/>
          <w:b/>
          <w:bCs/>
          <w:color w:val="FF0000"/>
          <w:kern w:val="2"/>
          <w:sz w:val="21"/>
          <w:szCs w:val="21"/>
          <w:lang w:eastAsia="zh-CN"/>
        </w:rPr>
      </w:pPr>
    </w:p>
    <w:p>
      <w:pPr>
        <w:widowControl w:val="0"/>
        <w:jc w:val="both"/>
        <w:rPr>
          <w:rFonts w:ascii="宋体" w:eastAsia="宋体" w:hAnsi="宋体" w:hint="eastAsia"/>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hint="eastAsia"/>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hint="eastAsia"/>
          <w:bCs/>
          <w:szCs w:val="32"/>
          <w:lang w:eastAsia="zh-CN"/>
        </w:rPr>
      </w:pPr>
      <w:bookmarkStart w:id="23"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hint="eastAsia"/>
          <w:bCs/>
          <w:szCs w:val="32"/>
          <w:lang w:eastAsia="zh-CN"/>
        </w:rPr>
      </w:pPr>
      <w:bookmarkStart w:id="24" w:name="_Hlk72257908"/>
      <w:r>
        <w:rPr>
          <w:rFonts w:ascii="黑体" w:eastAsia="黑体" w:hAnsi="宋体" w:cstheme="minorBidi" w:hint="eastAsia"/>
          <w:bCs/>
          <w:szCs w:val="32"/>
          <w:lang w:eastAsia="zh-CN"/>
        </w:rPr>
        <w:t>（二）中小企业声明函、残疾人福利性单位声明函及监狱企业声明函</w:t>
      </w:r>
    </w:p>
    <w:bookmarkEnd w:id="23"/>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5"/>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5"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5"/>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6" w:name="_Hlk73562331"/>
      <w:bookmarkStart w:id="27"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6"/>
    </w:p>
    <w:bookmarkEnd w:id="27"/>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4"/>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jc w:val="both"/>
        <w:rPr>
          <w:rFonts w:ascii="宋体" w:eastAsia="宋体" w:hAnsi="宋体" w:hint="eastAsia"/>
          <w:kern w:val="2"/>
          <w:sz w:val="21"/>
          <w:szCs w:val="21"/>
          <w:lang w:eastAsia="zh-CN"/>
        </w:rPr>
      </w:pPr>
    </w:p>
    <w:p>
      <w:pPr>
        <w:keepNext/>
        <w:keepLines/>
        <w:spacing w:before="120" w:after="120"/>
        <w:jc w:val="center"/>
        <w:outlineLvl w:val="2"/>
        <w:rPr>
          <w:rFonts w:ascii="黑体" w:eastAsia="黑体" w:hAnsi="宋体" w:hint="eastAsia"/>
          <w:bCs/>
          <w:kern w:val="2"/>
          <w:szCs w:val="32"/>
        </w:rPr>
      </w:pPr>
      <w:r>
        <w:rPr>
          <w:rFonts w:ascii="黑体" w:eastAsia="黑体" w:hAnsi="宋体" w:hint="eastAsia"/>
          <w:bCs/>
          <w:kern w:val="2"/>
          <w:szCs w:val="32"/>
          <w:lang w:eastAsia="zh-CN"/>
        </w:rPr>
        <w:t>四</w:t>
      </w:r>
      <w:r>
        <w:rPr>
          <w:rFonts w:ascii="黑体" w:eastAsia="黑体" w:hAnsi="宋体" w:hint="eastAsia"/>
          <w:bCs/>
          <w:kern w:val="2"/>
          <w:szCs w:val="32"/>
        </w:rPr>
        <w:t>、供应商基本情况表</w:t>
      </w:r>
    </w:p>
    <w:tbl>
      <w:tblPr>
        <w:tblStyle w:val="TableNormal"/>
        <w:tblW w:w="5000" w:type="pct"/>
        <w:tblInd w:w="0" w:type="dxa"/>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项目名称及编号</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劳动合同</w:t>
            </w:r>
          </w:p>
          <w:p>
            <w:pPr>
              <w:spacing w:line="360" w:lineRule="auto"/>
              <w:rPr>
                <w:b/>
                <w:bCs/>
                <w:kern w:val="2"/>
              </w:rPr>
            </w:pPr>
            <w:r>
              <w:rPr>
                <w:b/>
                <w:bCs/>
                <w:kern w:val="2"/>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缴纳社会</w:t>
            </w:r>
          </w:p>
          <w:p>
            <w:pPr>
              <w:spacing w:line="360" w:lineRule="auto"/>
              <w:rPr>
                <w:b/>
                <w:bCs/>
                <w:kern w:val="2"/>
              </w:rPr>
            </w:pPr>
            <w:r>
              <w:rPr>
                <w:b/>
                <w:bCs/>
                <w:kern w:val="2"/>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rPr>
          <w:trHeight w:val="789"/>
        </w:trPr>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rPr>
          <w:trHeight w:val="455"/>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五、分项报价清单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填写说明：</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1.本表可根据实际需要增加相关内容，但原有的格式内容不得删减；</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4.“原产地”是指该货物的实际生产加工地，而非品牌所在地。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6.以上分项报价表的投标总价应当与开标一览表的投标总价一致。</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ind w:left="480" w:firstLine="420" w:leftChars="200" w:firstLineChars="200"/>
        <w:jc w:val="both"/>
        <w:rPr>
          <w:rFonts w:eastAsia="宋体"/>
          <w:kern w:val="2"/>
          <w:sz w:val="21"/>
          <w:lang w:eastAsia="zh-CN"/>
        </w:rPr>
      </w:pPr>
    </w:p>
    <w:p>
      <w:pPr>
        <w:widowControl w:val="0"/>
        <w:spacing w:after="120"/>
        <w:jc w:val="both"/>
        <w:rPr>
          <w:rFonts w:eastAsia="宋体"/>
          <w:kern w:val="2"/>
          <w:sz w:val="21"/>
          <w:lang w:eastAsia="zh-CN"/>
        </w:rPr>
      </w:pPr>
    </w:p>
    <w:p>
      <w:pPr>
        <w:widowControl w:val="0"/>
        <w:spacing w:after="12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（二）核心产品品牌</w:t>
      </w: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ind w:firstLine="480" w:firstLineChars="200"/>
        <w:jc w:val="both"/>
        <w:rPr>
          <w:rFonts w:ascii="宋体" w:eastAsia="宋体" w:hAnsi="宋体" w:hint="eastAsia"/>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（三）可选配件报价清单（非项目需求要求的必备配件，此部分不包括在总报价内）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（四）供应商认为需要涉及的其他内容报价清单</w:t>
      </w: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keepNext/>
        <w:keepLines/>
        <w:spacing w:before="260" w:after="260"/>
        <w:jc w:val="center"/>
        <w:outlineLvl w:val="2"/>
        <w:rPr>
          <w:rFonts w:ascii="黑体" w:eastAsia="黑体" w:hAnsi="宋体" w:hint="eastAsia"/>
          <w:b/>
          <w:kern w:val="2"/>
          <w:sz w:val="30"/>
          <w:szCs w:val="30"/>
          <w:lang w:eastAsia="zh-CN"/>
        </w:rPr>
      </w:pPr>
      <w:r>
        <w:rPr>
          <w:rFonts w:ascii="黑体" w:eastAsia="黑体" w:hAnsi="宋体" w:hint="eastAsia"/>
          <w:b/>
          <w:kern w:val="2"/>
          <w:sz w:val="30"/>
          <w:szCs w:val="30"/>
          <w:lang w:eastAsia="zh-CN"/>
        </w:rPr>
        <w:t>六、股东构成审查表</w:t>
      </w:r>
    </w:p>
    <w:p>
      <w:pPr>
        <w:keepNext/>
        <w:keepLines/>
        <w:widowControl w:val="0"/>
        <w:numPr>
          <w:ilvl w:val="0"/>
          <w:numId w:val="6"/>
        </w:numPr>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spacing w:line="360" w:lineRule="auto"/>
        <w:jc w:val="both"/>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spacing w:line="360" w:lineRule="auto"/>
        <w:ind w:firstLine="480" w:firstLineChars="200"/>
        <w:rPr>
          <w:rFonts w:ascii="宋体" w:eastAsia="宋体" w:hAnsi="宋体" w:hint="eastAsia"/>
          <w:bCs/>
          <w:kern w:val="2"/>
          <w:sz w:val="21"/>
          <w:szCs w:val="21"/>
          <w:lang w:eastAsia="zh-CN"/>
        </w:rPr>
      </w:pPr>
      <w:r>
        <w:rPr>
          <w:rFonts w:ascii="宋体" w:eastAsia="宋体" w:hAnsi="宋体"/>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rPr>
          <w:rFonts w:ascii="Calibri" w:eastAsia="宋体" w:hAnsi="Calibri"/>
          <w:kern w:val="2"/>
          <w:sz w:val="21"/>
          <w:szCs w:val="22"/>
          <w:lang w:eastAsia="zh-CN"/>
        </w:rPr>
      </w:pPr>
      <w:r>
        <w:rPr>
          <w:rFonts w:ascii="宋体" w:eastAsia="宋体" w:hAnsi="宋体"/>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rPr>
          <w:rFonts w:ascii="宋体" w:eastAsia="宋体" w:hAnsi="宋体" w:cs="宋体" w:hint="eastAsia"/>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spacing w:line="360" w:lineRule="auto"/>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jc w:val="both"/>
        <w:rPr>
          <w:rFonts w:ascii="宋体" w:eastAsia="宋体" w:hAnsi="宋体" w:cs="宋体" w:hint="eastAsia"/>
          <w:kern w:val="2"/>
          <w:sz w:val="21"/>
          <w:szCs w:val="22"/>
          <w:lang w:eastAsia="zh-CN"/>
        </w:rPr>
      </w:pPr>
    </w:p>
    <w:p>
      <w:pPr>
        <w:keepNext/>
        <w:keepLines/>
        <w:widowControl w:val="0"/>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spacing w:line="360" w:lineRule="auto"/>
        <w:rPr>
          <w:rFonts w:ascii="宋体" w:eastAsia="宋体" w:hAnsi="宋体" w:cs="宋体" w:hint="eastAsia"/>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七、</w:t>
      </w:r>
      <w:bookmarkStart w:id="28" w:name="_Hlk72092499"/>
      <w:r>
        <w:rPr>
          <w:rFonts w:ascii="黑体" w:eastAsia="黑体" w:hAnsi="宋体" w:cstheme="minorBidi" w:hint="eastAsia"/>
          <w:b/>
          <w:kern w:val="2"/>
          <w:sz w:val="30"/>
          <w:szCs w:val="30"/>
          <w:lang w:eastAsia="zh-CN"/>
        </w:rPr>
        <w:t>法定代表人（负责人）证明书</w:t>
      </w:r>
      <w:bookmarkEnd w:id="28"/>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7"/>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7"/>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7"/>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p>
      <w:pPr>
        <w:widowControl w:val="0"/>
        <w:spacing w:line="360" w:lineRule="auto"/>
        <w:jc w:val="both"/>
        <w:rPr>
          <w:rFonts w:ascii="Calibri" w:eastAsia="宋体" w:hAnsi="Calibri"/>
          <w:kern w:val="2"/>
          <w:sz w:val="21"/>
          <w:szCs w:val="21"/>
          <w:lang w:eastAsia="zh-CN"/>
        </w:rPr>
      </w:pPr>
      <w:r>
        <w:rPr>
          <w:rFonts w:hint="eastAsia"/>
          <w:b/>
          <w:color w:val="FF0000"/>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keepNext/>
        <w:keepLines/>
        <w:widowControl w:val="0"/>
        <w:spacing w:before="120" w:after="120"/>
        <w:jc w:val="center"/>
        <w:outlineLvl w:val="2"/>
        <w:rPr>
          <w:rFonts w:ascii="黑体" w:eastAsia="黑体"/>
          <w:b/>
          <w:bCs/>
          <w:kern w:val="2"/>
          <w:sz w:val="30"/>
          <w:szCs w:val="22"/>
          <w:lang w:eastAsia="zh-CN"/>
        </w:rPr>
      </w:pPr>
      <w:bookmarkStart w:id="29" w:name="_GoBack"/>
      <w:bookmarkEnd w:id="29"/>
      <w:r>
        <w:rPr>
          <w:rFonts w:ascii="黑体" w:eastAsia="黑体" w:hint="eastAsia"/>
          <w:b/>
          <w:bCs/>
          <w:kern w:val="2"/>
          <w:sz w:val="30"/>
          <w:szCs w:val="22"/>
          <w:lang w:eastAsia="zh-CN"/>
        </w:rPr>
        <w:t>八、投标文件签署授权委托书</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kern w:val="2"/>
          <w:sz w:val="21"/>
          <w:szCs w:val="21"/>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ind w:firstLine="420" w:firstLineChars="200"/>
        <w:rPr>
          <w:rFonts w:ascii="宋体" w:eastAsia="宋体" w:hAnsi="宋体" w:cs="Arial" w:hint="eastAsia"/>
          <w:b/>
          <w:bCs/>
          <w:sz w:val="21"/>
          <w:szCs w:val="21"/>
          <w:lang w:eastAsia="zh-CN"/>
        </w:rPr>
      </w:pPr>
      <w:r>
        <w:rPr>
          <w:rFonts w:hint="eastAsia"/>
          <w:sz w:val="21"/>
          <w:szCs w:val="21"/>
          <w:lang w:eastAsia="zh-CN"/>
        </w:rPr>
        <w:t>2、</w:t>
      </w:r>
      <w:r>
        <w:rPr>
          <w:rFonts w:ascii="宋体" w:eastAsia="宋体" w:hAnsi="宋体" w:cs="Arial" w:hint="eastAsia"/>
          <w:b/>
          <w:bCs/>
          <w:sz w:val="21"/>
          <w:szCs w:val="21"/>
          <w:lang w:eastAsia="zh-CN"/>
        </w:rPr>
        <w:t>投标时提供项目投标授权代表人近三个月（含开标当月）中的任意一个月的社会保险证明。</w:t>
      </w:r>
    </w:p>
    <w:p>
      <w:pPr>
        <w:ind w:firstLine="420" w:firstLineChars="200"/>
        <w:rPr>
          <w:rFonts w:ascii="宋体" w:eastAsia="宋体" w:hAnsi="宋体" w:cs="Arial" w:hint="eastAsia"/>
          <w:bCs/>
          <w:sz w:val="21"/>
          <w:szCs w:val="21"/>
          <w:lang w:eastAsia="zh-CN"/>
        </w:rPr>
      </w:pPr>
      <w:r>
        <w:rPr>
          <w:rFonts w:ascii="宋体" w:eastAsia="宋体" w:hAnsi="宋体" w:cs="Arial" w:hint="eastAsia"/>
          <w:bCs/>
          <w:sz w:val="21"/>
          <w:szCs w:val="21"/>
          <w:lang w:eastAsia="zh-CN"/>
        </w:rPr>
        <w:t>注：</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（1）</w:t>
      </w:r>
      <w:r>
        <w:rPr>
          <w:rFonts w:ascii="宋体" w:eastAsia="宋体" w:hAnsi="宋体" w:cs="Arial" w:hint="eastAsia"/>
          <w:bCs/>
          <w:sz w:val="21"/>
          <w:szCs w:val="21"/>
          <w:lang w:eastAsia="zh-CN"/>
        </w:rPr>
        <w:t>投标人应如实提供上述人员的社会保险证明，如上述人员的社会保险未由投标人缴纳，亦须提供相应单位为其缴纳的社会保险证明。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（2）</w:t>
      </w:r>
      <w:r>
        <w:rPr>
          <w:rFonts w:ascii="宋体" w:eastAsia="宋体" w:hAnsi="宋体" w:cs="Arial" w:hint="eastAsia"/>
          <w:bCs/>
          <w:sz w:val="21"/>
          <w:szCs w:val="21"/>
          <w:lang w:eastAsia="zh-CN"/>
        </w:rPr>
        <w:t>投标人为新成立企业且成立时间不足一个月可提供加盖投标人公章的情况说明或者证明材料亦视为符合。</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（3）</w:t>
      </w:r>
      <w:r>
        <w:rPr>
          <w:rFonts w:ascii="宋体" w:eastAsia="宋体" w:hAnsi="宋体" w:cs="Arial" w:hint="eastAsia"/>
          <w:bCs/>
          <w:sz w:val="21"/>
          <w:szCs w:val="21"/>
          <w:lang w:eastAsia="zh-CN"/>
        </w:rPr>
        <w:t>若为退休人员，提供退休证明。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（4）</w:t>
      </w:r>
      <w:r>
        <w:rPr>
          <w:rFonts w:ascii="宋体" w:eastAsia="宋体" w:hAnsi="宋体" w:cs="Arial" w:hint="eastAsia"/>
          <w:bCs/>
          <w:sz w:val="21"/>
          <w:szCs w:val="21"/>
          <w:lang w:eastAsia="zh-CN"/>
        </w:rPr>
        <w:t>如依法不需要缴纳社会保险的，应提供相应文件证明。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（5）</w:t>
      </w:r>
      <w:r>
        <w:rPr>
          <w:rFonts w:ascii="宋体" w:eastAsia="宋体" w:hAnsi="宋体" w:cs="Arial" w:hint="eastAsia"/>
          <w:bCs/>
          <w:sz w:val="21"/>
          <w:szCs w:val="21"/>
          <w:lang w:eastAsia="zh-CN"/>
        </w:rPr>
        <w:t>若因为社保部门或税务部门原因无法提供的，需提供劳动合同及社保部门或税务部门官方通知证明（或官网公告截图）。</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（6）</w:t>
      </w:r>
      <w:r>
        <w:rPr>
          <w:rFonts w:ascii="宋体" w:eastAsia="宋体" w:hAnsi="宋体" w:cs="Arial" w:hint="eastAsia"/>
          <w:bCs/>
          <w:sz w:val="21"/>
          <w:szCs w:val="21"/>
          <w:lang w:eastAsia="zh-CN"/>
        </w:rPr>
        <w:t>如本项目未安排项目投标授权代表人的，无需提供投标授权代表人的社保。</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九、</w:t>
      </w:r>
      <w:bookmarkStart w:id="30" w:name="_Hlk72092634"/>
      <w:r>
        <w:rPr>
          <w:rFonts w:ascii="黑体" w:eastAsia="黑体" w:hAnsi="Calibri" w:cstheme="minorBidi" w:hint="eastAsia"/>
          <w:b/>
          <w:kern w:val="2"/>
          <w:sz w:val="30"/>
          <w:szCs w:val="22"/>
          <w:lang w:eastAsia="zh-CN"/>
        </w:rPr>
        <w:t>实质性条款响应情况表</w:t>
      </w:r>
      <w:bookmarkEnd w:id="30"/>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hint="eastAsia"/>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hint="eastAsia"/>
                <w:b/>
                <w:color w:val="FF0000"/>
                <w:sz w:val="21"/>
                <w:szCs w:val="21"/>
                <w:lang w:eastAsia="zh-CN"/>
              </w:rPr>
            </w:pPr>
          </w:p>
        </w:tc>
      </w:tr>
    </w:tbl>
    <w:p>
      <w:pPr>
        <w:widowControl w:val="0"/>
        <w:snapToGrid w:val="0"/>
        <w:jc w:val="both"/>
        <w:rPr>
          <w:rFonts w:ascii="宋体" w:eastAsia="宋体" w:hAnsi="宋体" w:hint="eastAsia"/>
          <w:kern w:val="2"/>
          <w:lang w:eastAsia="zh-CN"/>
        </w:rPr>
      </w:pPr>
    </w:p>
    <w:p>
      <w:pPr>
        <w:widowControl w:val="0"/>
        <w:snapToGrid w:val="0"/>
        <w:jc w:val="both"/>
        <w:rPr>
          <w:rFonts w:ascii="宋体" w:eastAsia="宋体" w:hAnsi="宋体" w:hint="eastAsia"/>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十、技术要求偏离表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numPr>
          <w:ilvl w:val="0"/>
          <w:numId w:val="7"/>
        </w:num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带★号条款为不可偏离条款，如未响应或出现负偏离的，将作投标无效处理。</w:t>
      </w: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十二、技术保障措施</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十三、售后服务</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十四、功能演示</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十五、同类项目业绩</w:t>
      </w: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w:t>
      </w:r>
      <w:bookmarkStart w:id="31" w:name="_Hlk72062872"/>
      <w:r>
        <w:rPr>
          <w:rFonts w:ascii="黑体" w:eastAsia="黑体" w:hAnsi="宋体" w:cstheme="minorBidi" w:hint="eastAsia"/>
          <w:b/>
          <w:bCs/>
          <w:kern w:val="2"/>
          <w:sz w:val="30"/>
          <w:szCs w:val="30"/>
          <w:lang w:eastAsia="zh-CN"/>
        </w:rPr>
        <w:t>投标人认为需要加以说明的其他内容</w:t>
      </w:r>
      <w:bookmarkEnd w:id="31"/>
    </w:p>
    <w:p>
      <w:pPr>
        <w:jc w:val="center"/>
        <w:rPr>
          <w:rFonts w:ascii="黑体" w:eastAsia="黑体" w:hAnsi="宋体" w:hint="eastAsia"/>
          <w:szCs w:val="20"/>
          <w:lang w:eastAsia="zh-CN"/>
        </w:rPr>
      </w:pPr>
      <w:r>
        <w:rPr>
          <w:rFonts w:ascii="黑体" w:eastAsia="黑体" w:hAnsi="宋体" w:cstheme="minorBidi" w:hint="eastAsia"/>
          <w:szCs w:val="20"/>
          <w:lang w:eastAsia="zh-CN"/>
        </w:rPr>
        <w:t>（一）政府采购违法行为风险知悉确认书</w:t>
      </w:r>
    </w:p>
    <w:p>
      <w:pPr>
        <w:jc w:val="center"/>
        <w:rPr>
          <w:rFonts w:ascii="黑体" w:eastAsia="黑体" w:hAnsi="宋体" w:hint="eastAsia"/>
          <w:szCs w:val="20"/>
          <w:lang w:eastAsia="zh-CN"/>
        </w:rPr>
      </w:pPr>
    </w:p>
    <w:p>
      <w:pPr>
        <w:spacing w:after="120" w:afterLines="50" w:line="360" w:lineRule="exact"/>
        <w:ind w:firstLine="480" w:firstLineChars="200"/>
        <w:rPr>
          <w:rFonts w:ascii="宋体" w:eastAsia="宋体" w:hAnsi="宋体" w:cs="宋体" w:hint="eastAsia"/>
          <w:b/>
          <w:bCs/>
          <w:lang w:eastAsia="zh-CN"/>
        </w:rPr>
      </w:pPr>
      <w:r>
        <w:rPr>
          <w:rFonts w:ascii="宋体" w:eastAsia="宋体" w:hAnsi="宋体" w:cs="宋体" w:hint="eastAsia"/>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hint="eastAsia"/>
              </w:rPr>
            </w:pPr>
            <w:r>
              <w:rPr>
                <w:rFonts w:ascii="宋体" w:hAnsi="宋体" w:cs="宋体" w:hint="eastAsia"/>
              </w:rPr>
              <w:t>序号</w:t>
            </w:r>
          </w:p>
        </w:tc>
        <w:tc>
          <w:tcPr>
            <w:tcW w:w="7811" w:type="dxa"/>
          </w:tcPr>
          <w:p>
            <w:pPr>
              <w:spacing w:line="400" w:lineRule="exact"/>
              <w:jc w:val="center"/>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1</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2</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3</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4</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5</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6</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擅自将投标密钥或电子营业执照出借他人使用或未妥善保管。</w:t>
            </w:r>
          </w:p>
        </w:tc>
      </w:tr>
    </w:tbl>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hint="eastAsia"/>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hint="eastAsia"/>
          <w:kern w:val="2"/>
          <w:u w:val="single"/>
          <w:lang w:eastAsia="zh-CN"/>
        </w:rPr>
      </w:pP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jc w:val="center"/>
        <w:rPr>
          <w:rFonts w:ascii="黑体" w:eastAsia="黑体" w:hAnsi="宋体" w:hint="eastAsia"/>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jc w:val="center"/>
        <w:rPr>
          <w:rFonts w:ascii="宋体" w:eastAsia="宋体" w:hAnsi="宋体" w:cs="宋体" w:hint="eastAsia"/>
          <w:b/>
          <w:sz w:val="21"/>
          <w:szCs w:val="21"/>
        </w:rPr>
      </w:pPr>
      <w:r>
        <w:rPr>
          <w:rFonts w:ascii="宋体" w:eastAsia="宋体" w:hAnsi="宋体" w:cs="宋体" w:hint="eastAsia"/>
          <w:b/>
          <w:sz w:val="21"/>
          <w:szCs w:val="21"/>
        </w:rPr>
        <w:t>有专业类别的格式合同范本请选择相应的合同</w:t>
      </w:r>
    </w:p>
    <w:p>
      <w:pPr>
        <w:jc w:val="center"/>
        <w:rPr>
          <w:rFonts w:ascii="宋体" w:eastAsia="宋体" w:hAnsi="宋体" w:cs="宋体" w:hint="eastAsia"/>
          <w:b/>
          <w:sz w:val="21"/>
          <w:szCs w:val="21"/>
        </w:rPr>
      </w:pPr>
      <w:r>
        <w:rPr>
          <w:rFonts w:ascii="宋体" w:eastAsia="宋体" w:hAnsi="宋体" w:cs="宋体" w:hint="eastAsia"/>
          <w:b/>
          <w:sz w:val="21"/>
          <w:szCs w:val="21"/>
        </w:rPr>
        <w:t>（仅供参考，采购单位需填写项目关键信息和违约责任条款）</w:t>
      </w:r>
    </w:p>
    <w:p>
      <w:pPr>
        <w:jc w:val="left"/>
        <w:rPr>
          <w:rFonts w:ascii="宋体" w:eastAsia="宋体" w:hAnsi="宋体" w:cs="宋体" w:hint="eastAsia"/>
          <w:sz w:val="21"/>
          <w:szCs w:val="21"/>
        </w:rPr>
      </w:pPr>
      <w:r>
        <w:rPr>
          <w:rFonts w:ascii="宋体" w:eastAsia="宋体" w:hAnsi="宋体" w:cs="宋体" w:hint="eastAsia"/>
          <w:sz w:val="21"/>
          <w:szCs w:val="21"/>
        </w:rPr>
        <w:t>采购人：</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供应商：</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根据深圳市****</w:t>
      </w:r>
      <w:r>
        <w:rPr>
          <w:rFonts w:ascii="宋体" w:eastAsia="宋体" w:hAnsi="宋体" w:cs="宋体" w:hint="eastAsia"/>
          <w:sz w:val="21"/>
          <w:szCs w:val="21"/>
          <w:u w:val="single"/>
        </w:rPr>
        <w:t xml:space="preserve">        </w:t>
      </w:r>
      <w:r>
        <w:rPr>
          <w:rFonts w:ascii="宋体" w:eastAsia="宋体" w:hAnsi="宋体" w:cs="宋体" w:hint="eastAsia"/>
          <w:sz w:val="21"/>
          <w:szCs w:val="21"/>
        </w:rPr>
        <w:t>号采购项目的投标结果，由</w:t>
      </w:r>
      <w:r>
        <w:rPr>
          <w:rFonts w:ascii="宋体" w:eastAsia="宋体" w:hAnsi="宋体" w:cs="宋体" w:hint="eastAsia"/>
          <w:sz w:val="21"/>
          <w:szCs w:val="21"/>
          <w:u w:val="single"/>
        </w:rPr>
        <w:t xml:space="preserve">       </w:t>
      </w:r>
      <w:r>
        <w:rPr>
          <w:rFonts w:ascii="宋体" w:eastAsia="宋体" w:hAnsi="宋体" w:cs="宋体" w:hint="eastAsia"/>
          <w:sz w:val="21"/>
          <w:szCs w:val="21"/>
        </w:rPr>
        <w:t>单位为中标方。按照有关规定，经深圳市</w:t>
      </w:r>
      <w:r>
        <w:rPr>
          <w:rFonts w:ascii="宋体" w:eastAsia="宋体" w:hAnsi="宋体" w:cs="宋体" w:hint="eastAsia"/>
          <w:sz w:val="21"/>
          <w:szCs w:val="21"/>
          <w:u w:val="single"/>
        </w:rPr>
        <w:t xml:space="preserve">           </w:t>
      </w:r>
      <w:r>
        <w:rPr>
          <w:rFonts w:ascii="宋体" w:eastAsia="宋体" w:hAnsi="宋体" w:cs="宋体" w:hint="eastAsia"/>
          <w:sz w:val="21"/>
          <w:szCs w:val="21"/>
        </w:rPr>
        <w:t>（以下简称甲方）和</w:t>
      </w:r>
      <w:r>
        <w:rPr>
          <w:rFonts w:ascii="宋体" w:eastAsia="宋体" w:hAnsi="宋体" w:cs="宋体" w:hint="eastAsia"/>
          <w:sz w:val="21"/>
          <w:szCs w:val="21"/>
          <w:u w:val="single"/>
        </w:rPr>
        <w:t xml:space="preserve">           </w:t>
      </w:r>
      <w:r>
        <w:rPr>
          <w:rFonts w:ascii="宋体" w:eastAsia="宋体" w:hAnsi="宋体" w:cs="宋体" w:hint="eastAsia"/>
          <w:sz w:val="21"/>
          <w:szCs w:val="21"/>
        </w:rPr>
        <w:t>单位（以下简称乙方）协商，达成以下合同条款：</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第一条  合同标的</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乙方根据甲方需求提供下列货物：</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货物名称、规格及数量详见</w:t>
      </w:r>
      <w:r>
        <w:rPr>
          <w:rFonts w:ascii="宋体" w:eastAsia="宋体" w:hAnsi="宋体" w:cs="宋体" w:hint="eastAsia"/>
          <w:b/>
          <w:sz w:val="21"/>
          <w:szCs w:val="21"/>
          <w:u w:val="single"/>
        </w:rPr>
        <w:t xml:space="preserve">                  </w:t>
      </w:r>
      <w:r>
        <w:rPr>
          <w:rFonts w:ascii="宋体" w:eastAsia="宋体" w:hAnsi="宋体" w:cs="宋体" w:hint="eastAsia"/>
          <w:sz w:val="21"/>
          <w:szCs w:val="21"/>
        </w:rPr>
        <w:t>。</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第二条  合同价款</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本合同项下总价款为</w:t>
      </w:r>
      <w:r>
        <w:rPr>
          <w:rFonts w:ascii="宋体" w:eastAsia="宋体" w:hAnsi="宋体" w:cs="宋体" w:hint="eastAsia"/>
          <w:sz w:val="21"/>
          <w:szCs w:val="21"/>
          <w:u w:val="single"/>
        </w:rPr>
        <w:t xml:space="preserve">              </w:t>
      </w:r>
      <w:r>
        <w:rPr>
          <w:rFonts w:ascii="宋体" w:eastAsia="宋体" w:hAnsi="宋体" w:cs="宋体" w:hint="eastAsia"/>
          <w:sz w:val="21"/>
          <w:szCs w:val="21"/>
        </w:rPr>
        <w:t>（大写）人民币，分项价款详见</w:t>
      </w:r>
      <w:r>
        <w:rPr>
          <w:rFonts w:ascii="宋体" w:eastAsia="宋体" w:hAnsi="宋体" w:cs="宋体" w:hint="eastAsia"/>
          <w:b/>
          <w:sz w:val="21"/>
          <w:szCs w:val="21"/>
          <w:u w:val="single"/>
        </w:rPr>
        <w:t xml:space="preserve">          </w:t>
      </w:r>
      <w:r>
        <w:rPr>
          <w:rFonts w:ascii="宋体" w:eastAsia="宋体" w:hAnsi="宋体" w:cs="宋体" w:hint="eastAsia"/>
          <w:sz w:val="21"/>
          <w:szCs w:val="21"/>
        </w:rPr>
        <w:t>。本合同总价款已包括乙方为履行本合同义务所发生的一切费用，系固定不变价格，且不随通货膨胀的影响而波动。</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第三条  权利保证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第四条  质量保证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1、乙方所提供的货物的技术规格符合采购文件规定的技术规格，货物符合中华人民共和国的设计和制造生产标准或行业标准。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2、乙方应保证货物是全新、未使用过的原装合格正品（包括零部件），并完全符合甲方要求的质量、规格和性能的要求。如货物安装或配置了软件的，乙方保证相关软件均为正版软件。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3、乙方保证交货时一并提供货物的质量合格凭证或文件。</w:t>
      </w:r>
    </w:p>
    <w:p>
      <w:pPr>
        <w:spacing w:line="360" w:lineRule="auto"/>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第五条  交货和验收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1、乙方应按照本合同或招投标文件规定的时间和方式向甲方交付货物，交货地点由甲方指定。因交货产生的费用由乙方自行承担。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2、乙方交付的货物应当完全符合招投标文件所规定的货物、数量、质量和规格要求。乙方提供的货物不符合招投标文件和合同规定的，甲方有权拒收货物，由此引起的风险，由乙方承担。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4、甲方应当在到货后的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个工作日内对货物进行验收；需要乙方对货物或系统进行安装调试的，甲方应在货物安装调试完毕后的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个工作日内进行质量验收。</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第六条  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1、乙方应按照国家有关法律法规规章和“三包”规定和采购文件的要求及乙方在投标文件的相关承诺提供保修及其他服务。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第七条  履约保证金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1、乙方应在签订本合同之日，向甲方或甲方指定的机构提交履约保证金_________元。</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2、如乙方未能履行合同规定的义务，甲方有权从履约保证金中取得补偿。</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3、甲方在乙方履行完毕本合同项下全部义务后______天内无息退还乙方。</w:t>
      </w:r>
    </w:p>
    <w:p>
      <w:pPr>
        <w:spacing w:line="360" w:lineRule="auto"/>
        <w:ind w:firstLine="560"/>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第八条   付款方式</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按照招标文件规定的付款方式进行支付。</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第九条    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１、甲方无正当理由拒收货物、拒付货物款的，由甲方向乙方偿付合同总价的【】%违约金。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２、甲方未按合同规定的期限向乙方支付货款的，每逾期1天甲方向乙方偿付欠款总额的【】‰滞纳金，但累计滞纳金总额不超过欠款总额的【】%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３、乙方逾期交付货物的，每逾期1天，乙方向甲方偿付逾期交货部分货款总额的【】‰的滞纳金。如乙方逾期交货达</w:t>
      </w:r>
      <w:r>
        <w:rPr>
          <w:rFonts w:ascii="宋体" w:eastAsia="宋体" w:hAnsi="宋体" w:cs="宋体" w:hint="eastAsia"/>
          <w:sz w:val="21"/>
          <w:szCs w:val="21"/>
          <w:u w:val="single"/>
        </w:rPr>
        <w:t xml:space="preserve">    </w:t>
      </w:r>
      <w:r>
        <w:rPr>
          <w:rFonts w:ascii="宋体" w:eastAsia="宋体" w:hAnsi="宋体" w:cs="宋体" w:hint="eastAsia"/>
          <w:sz w:val="21"/>
          <w:szCs w:val="21"/>
        </w:rPr>
        <w:t>天，甲方有权解除合同，履约保证金不予退回，同时乙方应向甲方支付合同总价【】％的违约金。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4、乙方所交付的货物品种、型号、规格不符合合同规定的，甲方有权拒收。甲方拒收的，乙方应向甲方支付货款总额【】%的违约金。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5、在乙方承诺的或国家规定的质量保证期内（取两者中最长的期限），如经乙方两次维修或更换，货物仍不能达到合同约定的质量标准，甲方有权退货，乙方应退回全部货款并赔偿甲方因此遭受的损失。</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6、乙方未履行本合同项下的其他义务或违反其在投标文件中的相关承诺的，应按合同总价款的【】%向甲方承担违约责任。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第十条    合同的变更和终止</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除《中华人民共和国政府采购法》第４９条、第５０条第二款规定的情形外，本合同一经签订，甲乙双方不得擅自变更、</w:t>
      </w:r>
      <w:r>
        <w:rPr>
          <w:rFonts w:ascii="宋体" w:eastAsia="宋体" w:hAnsi="宋体" w:cs="宋体" w:hint="eastAsia"/>
          <w:sz w:val="21"/>
          <w:szCs w:val="21"/>
          <w:highlight w:val="yellow"/>
        </w:rPr>
        <w:t>中止</w:t>
      </w:r>
      <w:r>
        <w:rPr>
          <w:rFonts w:ascii="宋体" w:eastAsia="宋体" w:hAnsi="宋体" w:cs="宋体" w:hint="eastAsia"/>
          <w:sz w:val="21"/>
          <w:szCs w:val="21"/>
        </w:rPr>
        <w:t>或终止合同。</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第十一条   争议的解决</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1、因货物的质量问题发生争议的，应当邀请国家认可的质量检测机构对货物质量进行鉴定。货物符合标准的，鉴定费由甲方承担；货物不符合质量标准的，鉴定费由乙方承担。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2、因履行本合同引起的或与本合同有关的争议，甲、乙双方应首先通过友好协商解决，如果协商不能解决争议，则向甲方所在地有管辖权的人民法院提起诉讼；</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第十二条   合同生效及其他</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1、下列文件均为本合同的重要组成部分：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（1）本项目的采购文件、答疑及补充通知；</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（2）本项目中标的投标文件；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（3）本合同执行中共同签署的补充与修正文件。</w:t>
      </w:r>
    </w:p>
    <w:p>
      <w:pPr>
        <w:spacing w:line="360" w:lineRule="auto"/>
        <w:rPr>
          <w:rFonts w:ascii="宋体" w:eastAsia="宋体" w:hAnsi="宋体" w:cs="宋体" w:hint="eastAsia"/>
          <w:b/>
          <w:bCs/>
          <w:kern w:val="2"/>
          <w:sz w:val="21"/>
          <w:szCs w:val="21"/>
        </w:rPr>
      </w:pPr>
      <w:r>
        <w:rPr>
          <w:rFonts w:ascii="宋体" w:eastAsia="宋体" w:hAnsi="宋体" w:cs="宋体" w:hint="eastAsia"/>
          <w:b/>
          <w:bCs/>
          <w:kern w:val="2"/>
          <w:sz w:val="21"/>
          <w:szCs w:val="21"/>
        </w:rPr>
        <w:t xml:space="preserve">   </w:t>
      </w:r>
      <w:r>
        <w:rPr>
          <w:rFonts w:ascii="宋体" w:eastAsia="宋体" w:hAnsi="宋体" w:cs="宋体" w:hint="eastAsia"/>
          <w:bCs/>
          <w:kern w:val="2"/>
          <w:sz w:val="21"/>
          <w:szCs w:val="21"/>
        </w:rPr>
        <w:t xml:space="preserve"> 以上文件互为补充，如果出现内容冲突的情况，为准的优先顺序为（2）、（1）、（3）。</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2、本合同一式___份，甲、乙方双方各执份，具有同等法律效力。本合同自双方法人代表签字（盖章）认可之日起生效。</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甲方（采购人）：   （盖章）       乙方（供应商）：    （盖章）</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 xml:space="preserve">法定代表人：                     法定代表人：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委托代理人：                     委托代理人：</w:t>
      </w:r>
    </w:p>
    <w:p>
      <w:pPr>
        <w:ind w:firstLine="525" w:firstLineChars="250"/>
        <w:rPr>
          <w:rFonts w:ascii="宋体" w:eastAsia="宋体" w:hAnsi="宋体" w:cs="宋体" w:hint="eastAsia"/>
          <w:sz w:val="21"/>
          <w:szCs w:val="21"/>
        </w:rPr>
      </w:pPr>
      <w:r>
        <w:rPr>
          <w:rFonts w:ascii="宋体" w:eastAsia="宋体" w:hAnsi="宋体" w:cs="宋体" w:hint="eastAsia"/>
          <w:sz w:val="21"/>
          <w:szCs w:val="21"/>
        </w:rPr>
        <w:t>日期：   年     月    日         日期：   年     月    日</w:t>
      </w:r>
    </w:p>
    <w:p>
      <w:pPr>
        <w:widowControl w:val="0"/>
        <w:spacing w:line="360" w:lineRule="auto"/>
        <w:ind w:firstLine="630" w:firstLineChars="300"/>
        <w:jc w:val="both"/>
        <w:rPr>
          <w:rFonts w:ascii="宋体" w:eastAsia="宋体" w:hAnsi="宋体" w:cs="宋体" w:hint="eastAsia"/>
          <w:kern w:val="2"/>
          <w:sz w:val="21"/>
          <w:szCs w:val="21"/>
          <w:lang w:eastAsia="zh-CN"/>
        </w:rPr>
      </w:pPr>
    </w:p>
    <w:p>
      <w:pPr>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注：本合同样本仅供参考，具体条款内容由采购单位和中标单位协商确定。</w:t>
      </w: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2" w:name="_Toc1312"/>
      <w:r>
        <w:rPr>
          <w:rFonts w:ascii="Arial" w:eastAsia="宋体" w:hAnsi="Arial" w:hint="eastAsia"/>
          <w:b/>
          <w:kern w:val="2"/>
          <w:sz w:val="32"/>
          <w:lang w:eastAsia="zh-CN"/>
        </w:rPr>
        <w:t>第一章  总则</w:t>
      </w:r>
      <w:bookmarkEnd w:id="32"/>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5．投标人参加政府采购的条件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6．政策导向</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7.本项目若涉及采购货物，则合格的货物及相应服务应满足以下要求：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8．投标费用</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9．踏勘现场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10．标前会议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696"/>
      <w:r>
        <w:rPr>
          <w:rFonts w:ascii="Arial" w:eastAsia="宋体" w:hAnsi="Arial" w:hint="eastAsia"/>
          <w:b/>
          <w:kern w:val="2"/>
          <w:sz w:val="32"/>
          <w:lang w:eastAsia="zh-CN"/>
        </w:rPr>
        <w:t>第二章</w:t>
      </w:r>
      <w:bookmarkStart w:id="34" w:name="_Toc25500"/>
      <w:bookmarkStart w:id="35" w:name="_Toc16272"/>
      <w:bookmarkStart w:id="36" w:name="_Toc4237"/>
      <w:r>
        <w:rPr>
          <w:rFonts w:ascii="Arial" w:eastAsia="宋体" w:hAnsi="Arial" w:hint="eastAsia"/>
          <w:b/>
          <w:kern w:val="2"/>
          <w:sz w:val="32"/>
          <w:lang w:eastAsia="zh-CN"/>
        </w:rPr>
        <w:t xml:space="preserve">  招标文件</w:t>
      </w:r>
      <w:bookmarkEnd w:id="33"/>
      <w:bookmarkEnd w:id="34"/>
      <w:bookmarkEnd w:id="35"/>
      <w:bookmarkEnd w:id="3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7" w:name="_Hlk72399819"/>
      <w:r>
        <w:rPr>
          <w:rFonts w:eastAsia="宋体" w:hint="eastAsia"/>
          <w:kern w:val="2"/>
          <w:sz w:val="21"/>
          <w:lang w:eastAsia="zh-CN"/>
        </w:rPr>
        <w:t>招标文件的编制与组成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hint="eastAsia"/>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第十一章  质疑处理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7"/>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8" w:name="_Toc13741"/>
      <w:bookmarkStart w:id="39" w:name="_Toc17279"/>
      <w:bookmarkStart w:id="40" w:name="_Toc18814"/>
      <w:bookmarkStart w:id="41" w:name="_Toc31413"/>
      <w:r>
        <w:rPr>
          <w:rFonts w:ascii="Arial" w:eastAsia="宋体" w:hAnsi="Arial" w:hint="eastAsia"/>
          <w:b/>
          <w:kern w:val="2"/>
          <w:sz w:val="32"/>
          <w:lang w:eastAsia="zh-CN"/>
        </w:rPr>
        <w:t>第三章  投标文件的编制</w:t>
      </w:r>
      <w:bookmarkEnd w:id="38"/>
      <w:bookmarkEnd w:id="39"/>
      <w:bookmarkEnd w:id="40"/>
      <w:bookmarkEnd w:id="4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2" w:name="_Hlk72400236"/>
      <w:r>
        <w:rPr>
          <w:rFonts w:eastAsia="宋体" w:hint="eastAsia"/>
          <w:kern w:val="2"/>
          <w:sz w:val="21"/>
          <w:lang w:eastAsia="zh-CN"/>
        </w:rPr>
        <w:t>投标文件的语言及度量单位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2"/>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3" w:name="_Hlk72401567"/>
      <w:r>
        <w:rPr>
          <w:rFonts w:eastAsia="宋体" w:hint="eastAsia"/>
          <w:kern w:val="2"/>
          <w:sz w:val="21"/>
          <w:lang w:eastAsia="zh-CN"/>
        </w:rPr>
        <w:t>投标文件的组成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3"/>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4" w:name="_Hlk72401735"/>
      <w:r>
        <w:rPr>
          <w:rFonts w:eastAsia="宋体" w:hint="eastAsia"/>
          <w:kern w:val="2"/>
          <w:sz w:val="21"/>
          <w:lang w:eastAsia="zh-CN"/>
        </w:rPr>
        <w:t>证明投标文件投标技术方案的合格性和符合招标文件规定的文件要求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5" w:name="_Hlk72402034"/>
      <w:r>
        <w:rPr>
          <w:rFonts w:eastAsia="宋体" w:hint="eastAsia"/>
          <w:kern w:val="2"/>
          <w:sz w:val="21"/>
          <w:lang w:eastAsia="zh-CN"/>
        </w:rPr>
        <w:t>投标文件其他证明文件的要求</w:t>
      </w:r>
    </w:p>
    <w:p>
      <w:pPr>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6"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6"/>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5"/>
    <w:p>
      <w:pPr>
        <w:wordWrap w:val="0"/>
        <w:autoSpaceDE w:val="0"/>
        <w:autoSpaceDN w:val="0"/>
        <w:spacing w:line="400" w:lineRule="exact"/>
        <w:ind w:right="808" w:firstLine="420" w:firstLineChars="200"/>
        <w:jc w:val="both"/>
        <w:rPr>
          <w:rFonts w:eastAsia="宋体"/>
          <w:kern w:val="2"/>
          <w:sz w:val="21"/>
          <w:lang w:eastAsia="zh-CN"/>
        </w:rPr>
      </w:pPr>
      <w:bookmarkStart w:id="47"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8" w:name="_Hlk72402325"/>
      <w:r>
        <w:rPr>
          <w:rFonts w:eastAsia="宋体" w:hint="eastAsia"/>
          <w:kern w:val="2"/>
          <w:sz w:val="21"/>
          <w:lang w:eastAsia="zh-CN"/>
        </w:rPr>
        <w:t>关于投标保证金</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8"/>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9"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9"/>
    </w:p>
    <w:p>
      <w:pPr>
        <w:wordWrap w:val="0"/>
        <w:autoSpaceDE w:val="0"/>
        <w:autoSpaceDN w:val="0"/>
        <w:spacing w:line="360" w:lineRule="auto"/>
        <w:ind w:right="808" w:firstLine="480" w:firstLineChars="200"/>
        <w:jc w:val="both"/>
        <w:rPr>
          <w:rFonts w:eastAsia="宋体"/>
          <w:b/>
          <w:kern w:val="2"/>
          <w:lang w:eastAsia="zh-CN"/>
        </w:rPr>
      </w:pP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0" w:name="_Toc18062"/>
      <w:bookmarkStart w:id="51" w:name="_Toc26761"/>
      <w:bookmarkStart w:id="52" w:name="_Toc28552"/>
      <w:bookmarkStart w:id="53" w:name="_Toc21427"/>
      <w:r>
        <w:rPr>
          <w:rFonts w:ascii="Arial" w:eastAsia="宋体" w:hAnsi="Arial" w:hint="eastAsia"/>
          <w:b/>
          <w:kern w:val="2"/>
          <w:sz w:val="32"/>
          <w:lang w:eastAsia="zh-CN"/>
        </w:rPr>
        <w:t>第四章</w:t>
      </w:r>
      <w:bookmarkStart w:id="54" w:name="_Toc30105"/>
      <w:r>
        <w:rPr>
          <w:rFonts w:ascii="Arial" w:eastAsia="宋体" w:hAnsi="Arial" w:hint="eastAsia"/>
          <w:b/>
          <w:kern w:val="2"/>
          <w:sz w:val="32"/>
          <w:lang w:eastAsia="zh-CN"/>
        </w:rPr>
        <w:t xml:space="preserve">  投标文件的</w:t>
      </w:r>
      <w:bookmarkEnd w:id="50"/>
      <w:r>
        <w:rPr>
          <w:rFonts w:ascii="Arial" w:eastAsia="宋体" w:hAnsi="Arial" w:hint="eastAsia"/>
          <w:b/>
          <w:kern w:val="2"/>
          <w:sz w:val="32"/>
          <w:lang w:eastAsia="zh-CN"/>
        </w:rPr>
        <w:t>递交</w:t>
      </w:r>
      <w:bookmarkEnd w:id="51"/>
      <w:bookmarkEnd w:id="52"/>
      <w:bookmarkEnd w:id="53"/>
      <w:bookmarkEnd w:id="54"/>
    </w:p>
    <w:p>
      <w:pPr>
        <w:wordWrap w:val="0"/>
        <w:autoSpaceDE w:val="0"/>
        <w:autoSpaceDN w:val="0"/>
        <w:spacing w:line="400" w:lineRule="exact"/>
        <w:ind w:right="808" w:firstLine="420" w:firstLineChars="200"/>
        <w:jc w:val="both"/>
        <w:rPr>
          <w:rFonts w:eastAsia="宋体"/>
          <w:kern w:val="2"/>
          <w:sz w:val="21"/>
          <w:lang w:eastAsia="zh-CN"/>
        </w:rPr>
      </w:pPr>
      <w:bookmarkStart w:id="55" w:name="_Hlk72405459"/>
      <w:r>
        <w:rPr>
          <w:rFonts w:eastAsia="宋体" w:hint="eastAsia"/>
          <w:kern w:val="2"/>
          <w:sz w:val="21"/>
          <w:lang w:eastAsia="zh-CN"/>
        </w:rPr>
        <w:t>24．投标文件的保密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bookmarkStart w:id="56"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6"/>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7" w:name="第五章1"/>
      <w:bookmarkEnd w:id="57"/>
      <w:bookmarkStart w:id="58" w:name="_Toc2041"/>
      <w:bookmarkStart w:id="59" w:name="_Toc73518144"/>
      <w:bookmarkStart w:id="60" w:name="_Toc101074881"/>
      <w:bookmarkStart w:id="61" w:name="_Toc13806"/>
      <w:bookmarkStart w:id="62" w:name="_Toc73517666"/>
      <w:bookmarkStart w:id="63" w:name="_Toc100052391"/>
      <w:bookmarkStart w:id="64" w:name="_Toc1658"/>
      <w:bookmarkStart w:id="65" w:name="_Toc14713"/>
      <w:r>
        <w:rPr>
          <w:rFonts w:ascii="Arial" w:eastAsia="宋体" w:hAnsi="Arial" w:hint="eastAsia"/>
          <w:b/>
          <w:kern w:val="2"/>
          <w:sz w:val="32"/>
          <w:lang w:eastAsia="zh-CN"/>
        </w:rPr>
        <w:t>第五章</w:t>
      </w:r>
      <w:bookmarkStart w:id="66" w:name="_Toc4434"/>
      <w:r>
        <w:rPr>
          <w:rFonts w:ascii="Arial" w:eastAsia="宋体" w:hAnsi="Arial" w:hint="eastAsia"/>
          <w:b/>
          <w:kern w:val="2"/>
          <w:sz w:val="32"/>
          <w:lang w:eastAsia="zh-CN"/>
        </w:rPr>
        <w:t xml:space="preserve">  开标</w:t>
      </w:r>
      <w:bookmarkEnd w:id="58"/>
      <w:bookmarkEnd w:id="59"/>
      <w:bookmarkEnd w:id="60"/>
      <w:bookmarkEnd w:id="61"/>
      <w:bookmarkEnd w:id="62"/>
      <w:bookmarkEnd w:id="63"/>
      <w:bookmarkEnd w:id="64"/>
      <w:bookmarkEnd w:id="65"/>
      <w:bookmarkEnd w:id="66"/>
    </w:p>
    <w:p>
      <w:pPr>
        <w:wordWrap w:val="0"/>
        <w:autoSpaceDE w:val="0"/>
        <w:autoSpaceDN w:val="0"/>
        <w:spacing w:line="400" w:lineRule="exact"/>
        <w:ind w:right="808" w:firstLine="420" w:firstLineChars="200"/>
        <w:jc w:val="both"/>
        <w:rPr>
          <w:rFonts w:eastAsia="宋体"/>
          <w:kern w:val="2"/>
          <w:sz w:val="21"/>
          <w:lang w:eastAsia="zh-CN"/>
        </w:rPr>
      </w:pPr>
      <w:bookmarkStart w:id="67" w:name="_Toc73518146"/>
      <w:bookmarkStart w:id="68" w:name="_Toc73517668"/>
      <w:bookmarkStart w:id="69" w:name="_Toc100052393"/>
      <w:bookmarkStart w:id="70" w:name="_Toc101074882"/>
      <w:r>
        <w:rPr>
          <w:rFonts w:eastAsia="宋体" w:hint="eastAsia"/>
          <w:kern w:val="2"/>
          <w:sz w:val="21"/>
          <w:lang w:eastAsia="zh-CN"/>
        </w:rPr>
        <w:t>28．开标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ordWrap w:val="0"/>
        <w:autoSpaceDE w:val="0"/>
        <w:autoSpaceDN w:val="0"/>
        <w:spacing w:line="360" w:lineRule="auto"/>
        <w:ind w:right="808" w:firstLine="480" w:firstLineChars="200"/>
        <w:jc w:val="both"/>
        <w:rPr>
          <w:rFonts w:eastAsia="宋体"/>
          <w:b/>
          <w:kern w:val="2"/>
          <w:lang w:eastAsia="zh-CN"/>
        </w:rPr>
      </w:pPr>
    </w:p>
    <w:bookmarkEnd w:id="67"/>
    <w:bookmarkEnd w:id="68"/>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1" w:name="第六章1"/>
      <w:bookmarkEnd w:id="71"/>
      <w:bookmarkStart w:id="72" w:name="_Toc20179"/>
      <w:bookmarkStart w:id="73" w:name="_Toc7319"/>
      <w:bookmarkStart w:id="74" w:name="_Toc29197"/>
      <w:bookmarkStart w:id="75" w:name="_Toc27869"/>
      <w:r>
        <w:rPr>
          <w:rFonts w:ascii="Arial" w:eastAsia="宋体" w:hAnsi="Arial" w:hint="eastAsia"/>
          <w:b/>
          <w:kern w:val="2"/>
          <w:sz w:val="32"/>
          <w:lang w:eastAsia="zh-CN"/>
        </w:rPr>
        <w:t>第六章</w:t>
      </w:r>
      <w:bookmarkStart w:id="76" w:name="_Toc29225"/>
      <w:r>
        <w:rPr>
          <w:rFonts w:ascii="Arial" w:eastAsia="宋体" w:hAnsi="Arial" w:hint="eastAsia"/>
          <w:b/>
          <w:kern w:val="2"/>
          <w:sz w:val="32"/>
          <w:lang w:eastAsia="zh-CN"/>
        </w:rPr>
        <w:t xml:space="preserve">  评审要求</w:t>
      </w:r>
      <w:bookmarkEnd w:id="69"/>
      <w:bookmarkEnd w:id="70"/>
      <w:bookmarkEnd w:id="72"/>
      <w:bookmarkEnd w:id="73"/>
      <w:bookmarkEnd w:id="74"/>
      <w:bookmarkEnd w:id="75"/>
      <w:bookmarkEnd w:id="76"/>
    </w:p>
    <w:p>
      <w:pPr>
        <w:wordWrap w:val="0"/>
        <w:autoSpaceDE w:val="0"/>
        <w:autoSpaceDN w:val="0"/>
        <w:spacing w:line="400" w:lineRule="exact"/>
        <w:ind w:right="808" w:firstLine="420" w:firstLineChars="200"/>
        <w:jc w:val="both"/>
        <w:rPr>
          <w:rFonts w:eastAsia="宋体"/>
          <w:kern w:val="2"/>
          <w:sz w:val="21"/>
          <w:lang w:eastAsia="zh-CN"/>
        </w:rPr>
      </w:pPr>
      <w:bookmarkStart w:id="77" w:name="第七章1"/>
      <w:bookmarkEnd w:id="77"/>
      <w:bookmarkStart w:id="78" w:name="_Toc19125"/>
      <w:bookmarkStart w:id="79" w:name="_Toc1296"/>
      <w:bookmarkStart w:id="80" w:name="_Toc100052397"/>
      <w:bookmarkStart w:id="81" w:name="_Toc101074883"/>
      <w:bookmarkStart w:id="82" w:name="_Toc20125"/>
      <w:r>
        <w:rPr>
          <w:rFonts w:eastAsia="宋体" w:hint="eastAsia"/>
          <w:kern w:val="2"/>
          <w:sz w:val="21"/>
          <w:lang w:eastAsia="zh-CN"/>
        </w:rPr>
        <w:t>29．评审委员会组成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ordWrap w:val="0"/>
        <w:autoSpaceDE w:val="0"/>
        <w:autoSpaceDN w:val="0"/>
        <w:spacing w:line="400" w:lineRule="exact"/>
        <w:ind w:right="808" w:firstLine="420" w:firstLineChars="200"/>
        <w:jc w:val="both"/>
        <w:rPr>
          <w:rFonts w:eastAsia="宋体"/>
          <w:kern w:val="2"/>
          <w:sz w:val="21"/>
          <w:lang w:eastAsia="zh-CN"/>
        </w:rPr>
      </w:pPr>
      <w:bookmarkStart w:id="83"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3"/>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4" w:name="_Toc18761"/>
      <w:r>
        <w:rPr>
          <w:rFonts w:ascii="Arial" w:eastAsia="宋体" w:hAnsi="Arial" w:hint="eastAsia"/>
          <w:b/>
          <w:kern w:val="2"/>
          <w:sz w:val="32"/>
          <w:lang w:eastAsia="zh-CN"/>
        </w:rPr>
        <w:t>第七章</w:t>
      </w:r>
      <w:bookmarkStart w:id="85" w:name="_Toc26636"/>
      <w:r>
        <w:rPr>
          <w:rFonts w:ascii="Arial" w:eastAsia="宋体" w:hAnsi="Arial" w:hint="eastAsia"/>
          <w:b/>
          <w:kern w:val="2"/>
          <w:sz w:val="32"/>
          <w:lang w:eastAsia="zh-CN"/>
        </w:rPr>
        <w:t xml:space="preserve">  评审程序</w:t>
      </w:r>
      <w:bookmarkStart w:id="86" w:name="_Toc73517671"/>
      <w:bookmarkStart w:id="87" w:name="_Toc73518149"/>
      <w:r>
        <w:rPr>
          <w:rFonts w:ascii="Arial" w:eastAsia="宋体" w:hAnsi="Arial" w:hint="eastAsia"/>
          <w:b/>
          <w:kern w:val="2"/>
          <w:sz w:val="32"/>
          <w:lang w:eastAsia="zh-CN"/>
        </w:rPr>
        <w:t>及评审方法</w:t>
      </w:r>
      <w:bookmarkEnd w:id="78"/>
      <w:bookmarkEnd w:id="79"/>
      <w:bookmarkEnd w:id="80"/>
      <w:bookmarkEnd w:id="81"/>
      <w:bookmarkEnd w:id="82"/>
      <w:bookmarkEnd w:id="84"/>
      <w:bookmarkEnd w:id="85"/>
    </w:p>
    <w:bookmarkEnd w:id="86"/>
    <w:bookmarkEnd w:id="8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ordWrap w:val="0"/>
        <w:autoSpaceDE w:val="0"/>
        <w:autoSpaceDN w:val="0"/>
        <w:spacing w:line="400" w:lineRule="exact"/>
        <w:ind w:right="808" w:firstLine="420" w:firstLineChars="200"/>
        <w:jc w:val="both"/>
        <w:rPr>
          <w:rFonts w:eastAsia="宋体"/>
          <w:kern w:val="2"/>
          <w:sz w:val="21"/>
          <w:lang w:eastAsia="zh-CN"/>
        </w:rPr>
      </w:pPr>
      <w:bookmarkStart w:id="88"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8"/>
    </w:p>
    <w:p>
      <w:pPr>
        <w:wordWrap w:val="0"/>
        <w:autoSpaceDE w:val="0"/>
        <w:autoSpaceDN w:val="0"/>
        <w:spacing w:line="400" w:lineRule="exact"/>
        <w:ind w:right="808"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ordWrap w:val="0"/>
        <w:autoSpaceDE w:val="0"/>
        <w:autoSpaceDN w:val="0"/>
        <w:spacing w:line="400" w:lineRule="exact"/>
        <w:ind w:right="808" w:firstLine="420" w:firstLineChars="200"/>
        <w:jc w:val="both"/>
        <w:rPr>
          <w:rFonts w:eastAsia="宋体"/>
          <w:kern w:val="2"/>
          <w:sz w:val="21"/>
          <w:lang w:eastAsia="zh-CN"/>
        </w:rPr>
      </w:pPr>
      <w:bookmarkStart w:id="89" w:name="_Toc73521669"/>
      <w:bookmarkStart w:id="90" w:name="_Toc100052400"/>
      <w:bookmarkStart w:id="91" w:name="_Toc73518151"/>
      <w:bookmarkStart w:id="92" w:name="_Toc73521581"/>
      <w:bookmarkStart w:id="93" w:name="_Toc73517673"/>
      <w:r>
        <w:rPr>
          <w:rFonts w:eastAsia="宋体" w:hint="eastAsia"/>
          <w:kern w:val="2"/>
          <w:sz w:val="21"/>
          <w:lang w:eastAsia="zh-CN"/>
        </w:rPr>
        <w:t>34．错误的修正</w:t>
      </w:r>
      <w:bookmarkEnd w:id="89"/>
      <w:bookmarkEnd w:id="90"/>
      <w:bookmarkEnd w:id="91"/>
      <w:bookmarkEnd w:id="92"/>
      <w:bookmarkEnd w:id="9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ordWrap w:val="0"/>
        <w:autoSpaceDE w:val="0"/>
        <w:autoSpaceDN w:val="0"/>
        <w:spacing w:line="400" w:lineRule="exact"/>
        <w:ind w:right="808" w:firstLine="420" w:firstLineChars="200"/>
        <w:jc w:val="both"/>
        <w:rPr>
          <w:rFonts w:eastAsia="宋体"/>
          <w:kern w:val="2"/>
          <w:sz w:val="21"/>
          <w:lang w:eastAsia="zh-CN"/>
        </w:rPr>
      </w:pPr>
      <w:bookmarkStart w:id="94" w:name="_Hlk72438142"/>
      <w:r>
        <w:rPr>
          <w:rFonts w:eastAsia="宋体" w:hint="eastAsia"/>
          <w:kern w:val="2"/>
          <w:sz w:val="21"/>
          <w:lang w:eastAsia="zh-CN"/>
        </w:rPr>
        <w:t>37.1.1最低价法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5" w:name="第八章1"/>
      <w:bookmarkEnd w:id="95"/>
      <w:bookmarkStart w:id="96" w:name="_Toc26094"/>
      <w:bookmarkStart w:id="97" w:name="_Toc1513"/>
      <w:bookmarkStart w:id="98" w:name="_Toc30568"/>
      <w:bookmarkStart w:id="99" w:name="_Toc13341"/>
      <w:r>
        <w:rPr>
          <w:rFonts w:ascii="Arial" w:eastAsia="宋体" w:hAnsi="Arial" w:hint="eastAsia"/>
          <w:b/>
          <w:kern w:val="2"/>
          <w:sz w:val="32"/>
          <w:lang w:eastAsia="zh-CN"/>
        </w:rPr>
        <w:t>第八章</w:t>
      </w:r>
      <w:bookmarkStart w:id="100" w:name="_Toc24537"/>
      <w:r>
        <w:rPr>
          <w:rFonts w:ascii="Arial" w:eastAsia="宋体" w:hAnsi="Arial" w:hint="eastAsia"/>
          <w:b/>
          <w:kern w:val="2"/>
          <w:sz w:val="32"/>
          <w:lang w:eastAsia="zh-CN"/>
        </w:rPr>
        <w:t xml:space="preserve">  定标及公示</w:t>
      </w:r>
      <w:bookmarkEnd w:id="96"/>
      <w:bookmarkEnd w:id="97"/>
      <w:bookmarkEnd w:id="98"/>
      <w:bookmarkEnd w:id="99"/>
      <w:bookmarkEnd w:id="10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ordWrap w:val="0"/>
        <w:autoSpaceDE w:val="0"/>
        <w:autoSpaceDN w:val="0"/>
        <w:spacing w:line="400" w:lineRule="exact"/>
        <w:ind w:right="808" w:firstLine="420" w:firstLineChars="200"/>
        <w:jc w:val="both"/>
        <w:rPr>
          <w:rFonts w:eastAsia="宋体"/>
          <w:kern w:val="2"/>
          <w:sz w:val="21"/>
          <w:lang w:eastAsia="zh-CN"/>
        </w:rPr>
      </w:pPr>
      <w:bookmarkStart w:id="101" w:name="_Hlk73782795"/>
      <w:r>
        <w:rPr>
          <w:rFonts w:eastAsia="宋体" w:hint="eastAsia"/>
          <w:kern w:val="2"/>
          <w:sz w:val="21"/>
          <w:lang w:eastAsia="zh-CN"/>
        </w:rPr>
        <w:t>38.1非评定分离项目定标方法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2"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3"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2"/>
      <w:bookmarkEnd w:id="103"/>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4"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4"/>
      <w:bookmarkStart w:id="105"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6"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ordWrap w:val="0"/>
        <w:autoSpaceDE w:val="0"/>
        <w:autoSpaceDN w:val="0"/>
        <w:spacing w:line="400" w:lineRule="exact"/>
        <w:ind w:right="808" w:firstLine="420" w:firstLineChars="200"/>
        <w:jc w:val="both"/>
        <w:rPr>
          <w:rFonts w:eastAsia="宋体"/>
          <w:kern w:val="2"/>
          <w:sz w:val="21"/>
          <w:lang w:eastAsia="zh-CN"/>
        </w:rPr>
      </w:pPr>
      <w:bookmarkStart w:id="107" w:name="_Hlk71407340"/>
      <w:r>
        <w:rPr>
          <w:rFonts w:eastAsia="宋体" w:hint="eastAsia"/>
          <w:kern w:val="2"/>
          <w:sz w:val="21"/>
          <w:lang w:eastAsia="zh-CN"/>
        </w:rPr>
        <w:t>41.3因质疑投诉或其它原因导致项目结果变更或采购终止的，采购代理机构有权吊销中标通知书。</w:t>
      </w:r>
    </w:p>
    <w:bookmarkEnd w:id="107"/>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8" w:name="第九章1"/>
      <w:bookmarkEnd w:id="108"/>
      <w:bookmarkStart w:id="109" w:name="_Toc20277"/>
      <w:bookmarkStart w:id="110" w:name="_Toc17412"/>
      <w:bookmarkStart w:id="111" w:name="_Toc25733"/>
      <w:bookmarkStart w:id="112" w:name="_Toc24474"/>
      <w:bookmarkStart w:id="113" w:name="_Toc11736"/>
      <w:bookmarkStart w:id="114" w:name="_Toc73517678"/>
      <w:bookmarkStart w:id="115" w:name="_Toc100052407"/>
      <w:bookmarkStart w:id="116" w:name="_Toc101074884"/>
      <w:r>
        <w:rPr>
          <w:rFonts w:ascii="Arial" w:eastAsia="宋体" w:hAnsi="Arial" w:hint="eastAsia"/>
          <w:b/>
          <w:kern w:val="2"/>
          <w:sz w:val="32"/>
          <w:lang w:eastAsia="zh-CN"/>
        </w:rPr>
        <w:t>第九章  公开采购失败的后续处理</w:t>
      </w:r>
      <w:bookmarkEnd w:id="109"/>
      <w:bookmarkEnd w:id="110"/>
      <w:bookmarkEnd w:id="111"/>
      <w:bookmarkEnd w:id="112"/>
      <w:bookmarkEnd w:id="11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ordWrap w:val="0"/>
        <w:autoSpaceDE w:val="0"/>
        <w:autoSpaceDN w:val="0"/>
        <w:spacing w:line="360" w:lineRule="auto"/>
        <w:ind w:right="808" w:firstLine="480" w:firstLineChars="200"/>
        <w:jc w:val="both"/>
        <w:rPr>
          <w:rFonts w:eastAsia="宋体"/>
          <w:b/>
          <w:kern w:val="2"/>
          <w:lang w:eastAsia="zh-CN"/>
        </w:rPr>
      </w:pPr>
    </w:p>
    <w:bookmarkEnd w:id="114"/>
    <w:bookmarkEnd w:id="115"/>
    <w:bookmarkEnd w:id="116"/>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7" w:name="第十章1"/>
      <w:bookmarkEnd w:id="117"/>
      <w:bookmarkStart w:id="118" w:name="_Toc27904"/>
      <w:bookmarkStart w:id="119" w:name="_Toc26814"/>
      <w:bookmarkStart w:id="120" w:name="_Toc13677"/>
      <w:bookmarkStart w:id="121" w:name="_Toc9122"/>
      <w:bookmarkStart w:id="122" w:name="_Toc26432"/>
      <w:r>
        <w:rPr>
          <w:rFonts w:ascii="Arial" w:eastAsia="宋体" w:hAnsi="Arial" w:hint="eastAsia"/>
          <w:b/>
          <w:kern w:val="2"/>
          <w:sz w:val="32"/>
          <w:lang w:eastAsia="zh-CN"/>
        </w:rPr>
        <w:t>第十章  合同的授予与备案</w:t>
      </w:r>
      <w:bookmarkEnd w:id="118"/>
      <w:bookmarkEnd w:id="119"/>
      <w:bookmarkEnd w:id="120"/>
      <w:bookmarkEnd w:id="121"/>
      <w:bookmarkEnd w:id="122"/>
    </w:p>
    <w:p>
      <w:pPr>
        <w:wordWrap w:val="0"/>
        <w:autoSpaceDE w:val="0"/>
        <w:autoSpaceDN w:val="0"/>
        <w:spacing w:line="400" w:lineRule="exact"/>
        <w:ind w:right="808" w:firstLine="420" w:firstLineChars="200"/>
        <w:jc w:val="both"/>
        <w:rPr>
          <w:rFonts w:eastAsia="宋体"/>
          <w:kern w:val="2"/>
          <w:sz w:val="21"/>
          <w:lang w:eastAsia="zh-CN"/>
        </w:rPr>
      </w:pPr>
      <w:bookmarkStart w:id="123" w:name="_33._合同授予标准"/>
      <w:bookmarkEnd w:id="123"/>
      <w:bookmarkStart w:id="124" w:name="_Toc73521586"/>
      <w:bookmarkStart w:id="125" w:name="_Toc73518157"/>
      <w:bookmarkStart w:id="126" w:name="_Toc73517679"/>
      <w:bookmarkStart w:id="127" w:name="_Toc100052408"/>
      <w:bookmarkStart w:id="128" w:name="_Toc73521674"/>
      <w:bookmarkStart w:id="129" w:name="_Hlk72439088"/>
      <w:r>
        <w:rPr>
          <w:rFonts w:eastAsia="宋体" w:hint="eastAsia"/>
          <w:kern w:val="2"/>
          <w:sz w:val="21"/>
          <w:lang w:eastAsia="zh-CN"/>
        </w:rPr>
        <w:t>43．合同授予标准</w:t>
      </w:r>
      <w:bookmarkEnd w:id="124"/>
      <w:bookmarkEnd w:id="125"/>
      <w:bookmarkEnd w:id="126"/>
      <w:bookmarkEnd w:id="127"/>
      <w:bookmarkEnd w:id="128"/>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ordWrap w:val="0"/>
        <w:autoSpaceDE w:val="0"/>
        <w:autoSpaceDN w:val="0"/>
        <w:spacing w:line="400" w:lineRule="exact"/>
        <w:ind w:right="808" w:firstLine="420" w:firstLineChars="200"/>
        <w:jc w:val="both"/>
        <w:rPr>
          <w:rFonts w:eastAsia="宋体"/>
          <w:kern w:val="2"/>
          <w:sz w:val="21"/>
          <w:lang w:eastAsia="zh-CN"/>
        </w:rPr>
      </w:pPr>
      <w:bookmarkStart w:id="130" w:name="_Toc73521587"/>
      <w:bookmarkStart w:id="131" w:name="_Toc73521675"/>
      <w:bookmarkStart w:id="132" w:name="_Toc73517680"/>
      <w:bookmarkStart w:id="133" w:name="_Toc100052409"/>
      <w:bookmarkStart w:id="134" w:name="_Toc73518158"/>
      <w:r>
        <w:rPr>
          <w:rFonts w:eastAsia="宋体" w:hint="eastAsia"/>
          <w:kern w:val="2"/>
          <w:sz w:val="21"/>
          <w:lang w:eastAsia="zh-CN"/>
        </w:rPr>
        <w:t>44．</w:t>
      </w:r>
      <w:bookmarkEnd w:id="130"/>
      <w:bookmarkEnd w:id="131"/>
      <w:bookmarkEnd w:id="132"/>
      <w:bookmarkEnd w:id="133"/>
      <w:bookmarkEnd w:id="134"/>
      <w:r>
        <w:rPr>
          <w:rFonts w:eastAsia="宋体" w:hint="eastAsia"/>
          <w:kern w:val="2"/>
          <w:sz w:val="21"/>
          <w:lang w:eastAsia="zh-CN"/>
        </w:rPr>
        <w:t>接受和拒绝任何或所有投标的权力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ordWrap w:val="0"/>
        <w:autoSpaceDE w:val="0"/>
        <w:autoSpaceDN w:val="0"/>
        <w:spacing w:line="400" w:lineRule="exact"/>
        <w:ind w:right="808" w:firstLine="420" w:firstLineChars="200"/>
        <w:jc w:val="both"/>
        <w:rPr>
          <w:rFonts w:eastAsia="宋体"/>
          <w:kern w:val="2"/>
          <w:sz w:val="21"/>
          <w:lang w:eastAsia="zh-CN"/>
        </w:rPr>
      </w:pPr>
      <w:bookmarkStart w:id="135" w:name="_Toc73521589"/>
      <w:bookmarkStart w:id="136" w:name="_Toc73521677"/>
      <w:bookmarkStart w:id="137" w:name="_Toc73517682"/>
      <w:bookmarkStart w:id="138" w:name="_Toc100052410"/>
      <w:bookmarkStart w:id="139" w:name="_Toc73518160"/>
      <w:r>
        <w:rPr>
          <w:rFonts w:eastAsia="宋体" w:hint="eastAsia"/>
          <w:kern w:val="2"/>
          <w:sz w:val="21"/>
          <w:lang w:eastAsia="zh-CN"/>
        </w:rPr>
        <w:t>45．合同的签订</w:t>
      </w:r>
      <w:bookmarkEnd w:id="135"/>
      <w:bookmarkEnd w:id="136"/>
      <w:bookmarkEnd w:id="137"/>
      <w:bookmarkEnd w:id="138"/>
      <w:bookmarkEnd w:id="139"/>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ordWrap w:val="0"/>
        <w:autoSpaceDE w:val="0"/>
        <w:autoSpaceDN w:val="0"/>
        <w:spacing w:line="400" w:lineRule="exact"/>
        <w:ind w:right="808" w:firstLine="420" w:firstLineChars="200"/>
        <w:jc w:val="both"/>
        <w:rPr>
          <w:rFonts w:eastAsia="宋体"/>
          <w:kern w:val="2"/>
          <w:sz w:val="21"/>
          <w:lang w:eastAsia="zh-CN"/>
        </w:rPr>
      </w:pPr>
      <w:bookmarkStart w:id="140" w:name="_Toc73518161"/>
      <w:bookmarkStart w:id="141" w:name="_Toc73517683"/>
      <w:bookmarkStart w:id="142" w:name="_Toc100052411"/>
      <w:bookmarkStart w:id="143" w:name="_Toc73521678"/>
      <w:bookmarkStart w:id="144" w:name="_Toc73521590"/>
      <w:r>
        <w:rPr>
          <w:rFonts w:eastAsia="宋体" w:hint="eastAsia"/>
          <w:kern w:val="2"/>
          <w:sz w:val="21"/>
          <w:lang w:eastAsia="zh-CN"/>
        </w:rPr>
        <w:t>46．履约担保</w:t>
      </w:r>
      <w:bookmarkEnd w:id="140"/>
      <w:bookmarkEnd w:id="141"/>
      <w:bookmarkEnd w:id="142"/>
      <w:bookmarkEnd w:id="143"/>
      <w:bookmarkEnd w:id="144"/>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5" w:name="_Hlk72440769"/>
      <w:r>
        <w:rPr>
          <w:rFonts w:eastAsia="宋体" w:hint="eastAsia"/>
          <w:kern w:val="2"/>
          <w:sz w:val="21"/>
          <w:lang w:eastAsia="zh-CN"/>
        </w:rPr>
        <w:t>采购代理机构或采购人不予退还其交纳的谈判保证金，情节严重的，并由主管部门</w:t>
      </w:r>
      <w:bookmarkEnd w:id="145"/>
      <w:r>
        <w:rPr>
          <w:rFonts w:eastAsia="宋体" w:hint="eastAsia"/>
          <w:kern w:val="2"/>
          <w:sz w:val="21"/>
          <w:lang w:eastAsia="zh-CN"/>
        </w:rPr>
        <w:t>记入供应商诚信档案，予以通报：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9"/>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6" w:name="_Toc19433"/>
      <w:r>
        <w:rPr>
          <w:rFonts w:ascii="Arial" w:eastAsia="宋体" w:hAnsi="Arial" w:hint="eastAsia"/>
          <w:b/>
          <w:kern w:val="2"/>
          <w:sz w:val="32"/>
          <w:lang w:eastAsia="zh-CN"/>
        </w:rPr>
        <w:t>第十一章  质疑处理</w:t>
      </w:r>
      <w:bookmarkEnd w:id="14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7" w:name="_Hlk75374941"/>
      <w:r>
        <w:rPr>
          <w:rFonts w:eastAsia="宋体" w:hint="eastAsia"/>
          <w:kern w:val="2"/>
          <w:sz w:val="21"/>
          <w:lang w:eastAsia="zh-CN"/>
        </w:rPr>
        <w:t>以联合体形式参与的，质疑应当由组成联合体的所有成员共同提出</w:t>
      </w:r>
      <w:bookmarkEnd w:id="147"/>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ordWrap w:val="0"/>
        <w:autoSpaceDE w:val="0"/>
        <w:autoSpaceDN w:val="0"/>
        <w:spacing w:line="400" w:lineRule="exact"/>
        <w:ind w:right="808" w:firstLine="420" w:firstLineChars="200"/>
        <w:jc w:val="both"/>
        <w:rPr>
          <w:rFonts w:ascii="仿宋" w:eastAsia="仿宋" w:hAnsi="仿宋" w:hint="eastAsia"/>
          <w:kern w:val="2"/>
          <w:sz w:val="28"/>
          <w:szCs w:val="28"/>
          <w:lang w:eastAsia="zh-CN"/>
        </w:rPr>
      </w:pPr>
      <w:r>
        <w:rPr>
          <w:rFonts w:eastAsia="宋体" w:hint="eastAsia"/>
          <w:kern w:val="2"/>
          <w:sz w:val="21"/>
          <w:lang w:eastAsia="zh-CN"/>
        </w:rPr>
        <w:t>52.6.2供应商提交的质疑材料不符合质疑条件的，视情况处理：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ordWrap w:val="0"/>
        <w:autoSpaceDE w:val="0"/>
        <w:autoSpaceDN w:val="0"/>
        <w:spacing w:line="400" w:lineRule="exact"/>
        <w:ind w:right="808" w:firstLine="420" w:firstLineChars="200"/>
        <w:jc w:val="both"/>
        <w:rPr>
          <w:rFonts w:ascii="微软雅黑" w:eastAsia="微软雅黑" w:hAnsi="微软雅黑" w:cs="微软雅黑" w:hint="eastAsia"/>
          <w:color w:val="333333"/>
          <w:lang w:val="en" w:eastAsia="zh-CN"/>
        </w:rPr>
        <w:sectPr>
          <w:headerReference w:type="default" r:id="rId9"/>
          <w:footerReference w:type="default" r:id="rId10"/>
          <w:pgSz w:w="12240" w:h="1584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left w:val="single" w:sz="6" w:space="0" w:color="DDDDDD"/>
          <w:right w:val="single" w:sz="6" w:space="0" w:color="DDDDDD"/>
        </w:pBdr>
        <w:spacing w:line="648" w:lineRule="atLeast"/>
        <w:ind w:left="15" w:right="15"/>
        <w:jc w:val="center"/>
        <w:outlineLvl w:val="0"/>
        <w:rPr>
          <w:rFonts w:ascii="仿宋" w:eastAsia="仿宋" w:hAnsi="仿宋" w:cs="仿宋" w:hint="eastAsia"/>
          <w:b/>
          <w:bCs/>
          <w:color w:val="000000"/>
          <w:sz w:val="48"/>
          <w:szCs w:val="48"/>
          <w:lang w:val="en" w:eastAsia="zh-CN"/>
        </w:rPr>
      </w:pPr>
      <w:r>
        <w:rPr>
          <w:rFonts w:ascii="仿宋" w:eastAsia="仿宋" w:hAnsi="仿宋" w:cs="仿宋"/>
          <w:b/>
          <w:bCs/>
          <w:color w:val="000000"/>
          <w:sz w:val="48"/>
          <w:szCs w:val="48"/>
          <w:lang w:val="en" w:eastAsia="zh-CN"/>
        </w:rPr>
        <w:t>投标文件格式</w:t>
      </w:r>
    </w:p>
    <w:p>
      <w:pPr>
        <w:spacing w:line="504" w:lineRule="atLeast"/>
        <w:ind w:left="15" w:right="15"/>
        <w:jc w:val="center"/>
        <w:rPr>
          <w:rFonts w:ascii="仿宋" w:eastAsia="仿宋" w:hAnsi="仿宋" w:cs="仿宋" w:hint="eastAsia"/>
          <w:b/>
          <w:bCs/>
          <w:color w:val="333333"/>
          <w:sz w:val="28"/>
          <w:szCs w:val="28"/>
          <w:lang w:val="en" w:eastAsia="zh-CN"/>
        </w:rPr>
      </w:pPr>
      <w:r>
        <w:rPr>
          <w:rFonts w:ascii="仿宋" w:eastAsia="仿宋" w:hAnsi="仿宋" w:cs="仿宋" w:hint="eastAsia"/>
          <w:b/>
          <w:bCs/>
          <w:color w:val="333333"/>
          <w:sz w:val="28"/>
          <w:szCs w:val="28"/>
          <w:lang w:val="en" w:eastAsia="zh-CN"/>
        </w:rPr>
        <w:t>幼儿保育虚拟仿真教学系统采购</w:t>
      </w:r>
      <w:r>
        <w:rPr>
          <w:rFonts w:ascii="仿宋" w:eastAsia="仿宋" w:hAnsi="仿宋" w:cs="仿宋"/>
          <w:b/>
          <w:bCs/>
          <w:color w:val="333333"/>
          <w:sz w:val="28"/>
          <w:szCs w:val="28"/>
          <w:lang w:val="en" w:eastAsia="zh-CN"/>
        </w:rPr>
        <w:t>-A</w:t>
      </w:r>
    </w:p>
    <w:tbl>
      <w:tblPr>
        <w:tblStyle w:val="typotable"/>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微软雅黑" w:eastAsia="微软雅黑" w:hAnsi="微软雅黑" w:cs="微软雅黑" w:hint="eastAsia"/>
                <w:color w:val="666666"/>
                <w:lang w:val="en" w:eastAsia="en"/>
              </w:rPr>
            </w:pPr>
            <w:r>
              <w:rPr>
                <w:rFonts w:ascii="仿宋" w:eastAsia="仿宋" w:hAnsi="仿宋" w:cs="仿宋"/>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spacing w:line="432" w:lineRule="atLeast"/>
              <w:jc w:val="center"/>
              <w:rPr>
                <w:rFonts w:ascii="微软雅黑" w:eastAsia="微软雅黑" w:hAnsi="微软雅黑" w:cs="微软雅黑" w:hint="eastAsia"/>
                <w:color w:val="666666"/>
                <w:lang w:val="en" w:eastAsia="en"/>
              </w:rPr>
            </w:pPr>
            <w:r>
              <w:rPr>
                <w:rFonts w:ascii="仿宋" w:eastAsia="仿宋" w:hAnsi="仿宋" w:cs="仿宋"/>
                <w:color w:val="666666"/>
                <w:lang w:val="en" w:eastAsia="en"/>
              </w:rPr>
              <w:t>文件夹/文件名称</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color w:val="666666"/>
                <w:lang w:val="en" w:eastAsia="en"/>
              </w:rPr>
              <w:t>投标函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2</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龙华区教育局自行采购投标及履约承诺函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3</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投标人情况及资格证明文件</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4</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hint="eastAsia"/>
                <w:color w:val="666666"/>
                <w:lang w:val="en" w:eastAsia="en"/>
              </w:rPr>
              <w:t>供应商基本情况表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5</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hint="eastAsia"/>
                <w:color w:val="666666"/>
                <w:lang w:val="en" w:eastAsia="en"/>
              </w:rPr>
              <w:t>分项报价清单</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6</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en"/>
              </w:rPr>
              <w:t>股东构成审查表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7</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法定代表人（负责人）证明书</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8</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投标文件签署授权委托书</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9</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color w:val="666666"/>
                <w:lang w:val="en" w:eastAsia="zh-CN"/>
              </w:rPr>
              <w:t>实质性条款响应情况表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10</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color w:val="666666"/>
                <w:lang w:val="en" w:eastAsia="en"/>
              </w:rPr>
              <w:t>技术要求偏离表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11</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color w:val="666666"/>
                <w:lang w:val="en" w:eastAsia="en"/>
              </w:rPr>
              <w:t>商务要求偏离表</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12</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en"/>
              </w:rPr>
            </w:pPr>
            <w:r>
              <w:rPr>
                <w:rFonts w:ascii="仿宋" w:eastAsia="仿宋" w:hAnsi="仿宋" w:cs="仿宋"/>
                <w:color w:val="666666"/>
                <w:lang w:val="en" w:eastAsia="en"/>
              </w:rPr>
              <w:t>技术保障措施</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13</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hint="eastAsia"/>
                <w:color w:val="666666"/>
                <w:lang w:val="en" w:eastAsia="zh-CN"/>
              </w:rPr>
              <w:t>售后服务</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en"/>
              </w:rPr>
            </w:pPr>
            <w:r>
              <w:rPr>
                <w:rFonts w:ascii="仿宋" w:eastAsia="仿宋" w:hAnsi="仿宋" w:cs="仿宋"/>
                <w:color w:val="666666"/>
                <w:lang w:val="en" w:eastAsia="en"/>
              </w:rPr>
              <w:t>14</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hint="eastAsia"/>
                <w:color w:val="666666"/>
                <w:lang w:val="en" w:eastAsia="zh-CN"/>
              </w:rPr>
              <w:t>功能演示</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zh-CN"/>
              </w:rPr>
            </w:pPr>
            <w:r>
              <w:rPr>
                <w:rFonts w:ascii="仿宋" w:eastAsia="仿宋" w:hAnsi="仿宋" w:cs="仿宋" w:hint="eastAsia"/>
                <w:color w:val="666666"/>
                <w:lang w:val="en" w:eastAsia="zh-CN"/>
              </w:rPr>
              <w:t>15</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hint="eastAsia"/>
                <w:color w:val="666666"/>
                <w:lang w:val="en" w:eastAsia="zh-CN"/>
              </w:rPr>
              <w:t>同类项目业绩</w:t>
            </w:r>
          </w:p>
        </w:tc>
      </w:tr>
      <w:tr>
        <w:tblPrEx>
          <w:tblW w:w="5000" w:type="pct"/>
          <w:tblInd w:w="15" w:type="dxa"/>
          <w:tblLayout w:type="fixed"/>
          <w:tblCellMar>
            <w:top w:w="0" w:type="dxa"/>
            <w:left w:w="0" w:type="dxa"/>
            <w:bottom w:w="0" w:type="dxa"/>
            <w:right w:w="0" w:type="dxa"/>
          </w:tblCellMar>
        </w:tblPrEx>
        <w:tc>
          <w:tcPr>
            <w:tcW w:w="9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jc w:val="center"/>
              <w:rPr>
                <w:rFonts w:ascii="仿宋" w:eastAsia="仿宋" w:hAnsi="仿宋" w:cs="仿宋" w:hint="eastAsia"/>
                <w:color w:val="666666"/>
                <w:lang w:val="en" w:eastAsia="zh-CN"/>
              </w:rPr>
            </w:pPr>
            <w:r>
              <w:rPr>
                <w:rFonts w:ascii="仿宋" w:eastAsia="仿宋" w:hAnsi="仿宋" w:cs="仿宋"/>
                <w:color w:val="666666"/>
                <w:lang w:val="en" w:eastAsia="en"/>
              </w:rPr>
              <w:t>1</w:t>
            </w:r>
            <w:r>
              <w:rPr>
                <w:rFonts w:ascii="仿宋" w:eastAsia="仿宋" w:hAnsi="仿宋" w:cs="仿宋" w:hint="eastAsia"/>
                <w:color w:val="666666"/>
                <w:lang w:val="en" w:eastAsia="zh-CN"/>
              </w:rPr>
              <w:t>6</w:t>
            </w:r>
          </w:p>
        </w:tc>
        <w:tc>
          <w:tcPr>
            <w:tcW w:w="41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spacing w:line="240" w:lineRule="atLeast"/>
              <w:rPr>
                <w:rFonts w:ascii="仿宋" w:eastAsia="仿宋" w:hAnsi="仿宋" w:cs="仿宋" w:hint="eastAsia"/>
                <w:color w:val="666666"/>
                <w:lang w:val="en" w:eastAsia="zh-CN"/>
              </w:rPr>
            </w:pPr>
            <w:r>
              <w:rPr>
                <w:rFonts w:ascii="仿宋" w:eastAsia="仿宋" w:hAnsi="仿宋" w:cs="仿宋" w:hint="eastAsia"/>
                <w:color w:val="666666"/>
                <w:lang w:val="en" w:eastAsia="zh-CN"/>
              </w:rPr>
              <w:t>投标人认为需要加以说明的其他内容</w:t>
            </w:r>
          </w:p>
        </w:tc>
      </w:tr>
    </w:tbl>
    <w:p>
      <w:pPr>
        <w:spacing w:line="432" w:lineRule="atLeast"/>
        <w:rPr>
          <w:rFonts w:ascii="仿宋" w:eastAsia="仿宋" w:hAnsi="仿宋" w:cs="仿宋" w:hint="eastAsia"/>
          <w:b/>
          <w:bCs/>
          <w:color w:val="333333"/>
          <w:lang w:val="en" w:eastAsia="zh-CN"/>
        </w:rPr>
        <w:sectPr>
          <w:pgSz w:w="12240" w:h="15840"/>
          <w:pgMar w:top="1440" w:right="1800" w:bottom="1440" w:left="1800" w:header="708" w:footer="708" w:gutter="0"/>
          <w:cols w:num="1"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幼儿保育虚拟仿真教学系统采购-A</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功能演示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LHAZXDL-2025-00353-001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幼儿保育虚拟仿真教学系统采购-A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6、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6、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8、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9、本项目不接受联合体投标，不接受进口产品参与投标，不允许转包、分包。（由供应商在《龙华区教育局自行采购投标及履约承诺函》中作出承诺）；：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9、本项目不接受联合体投标，不接受进口产品参与投标，不允许转包、分包。（由供应商在《龙华区教育局自行采购投标及履约承诺函》中作出承诺）；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（一）评分内容：根据招标文件的需求，制定贴切本项目的技术保障措施，内容包括但不限于： （1）整体实施方案； （2）项目实施人员配置方案； （3）产品包装运输方案； （4）供货、安装调试方案； （5）培训方案； （二）评分依据： 技术保障措施包含以上任意一项内容得6%分，满足以上任意五项最多得30%分。 在此基础上，评标专家根据投标人具体响应内容作进一步评审： 1、技术保障措施内容全面、具体，可行性高，加70%分； 2、技术保障措施全面性、可行性一般，加40%分； 3、技术保障措施不全，可行性低，加10%分； 4、未提供的不得分。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针对本项目制定的合理完善的售后服务方案（包括（1）产品的故障处理及响应时间； （2）验收程序； （3）质保期外服务方式； （4）优惠承诺及售后服务网点； （5）应急预案等； （二）评分依据： 技术保障措施包含以上任意一项内容得6%分，满足以上任意五项最多得30%分。 在此基础上，评标专家根据投标人具体响应内容作进一步评审： 1、售后服务方案内容完善、全面、具体，可行性高，加70%分； 2、售后服务方案内容完善、全面、具体，可行性一般，加40%分； 3、售后服务方案内容完善、全面、具体，不全，可行性低，加10%分； 4、未提供的不得分。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评审小组根据《技术规格偏离表》（以下简称“偏离表”）响应情况进行打分，全部满足得100%分，一般参数负偏离一项扣0.35%分，重点技术参数带“▲”项负偏离一项扣4%分。扣完为止。 （二）评分标准： 本项最高得100%分。 重点技术参数带“▲”项共计10项，每负偏离一项扣4%分。一般技术参数每负偏离一项扣0.35%分，扣完为止。 偏离表应如实对应填写所投产品的具体参数。注：供应商必须按《采购要求》中各项技术参数及要求提供相关证明资料，不按要求提供或不提供视为不满足扣除响应分数。同时必须对所提供资料的真实性负责，如虚假应标，按无效标处理并追究供应商法律责任。提供的证明资料与所填写内容不一致的，以证明资料为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功能演示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（一）评分内容：需现场演示虚拟仿真幼儿园、人工智能+教育与体育赛道备赛指导平台、托幼机构保教环境创设虚拟仿真平台、学龄前儿童保教技能大赛学习题库产品参数。 除符合清单所有功能以外， 还需额外提供以下功能演示： 1、虚拟仿真幼儿园： （1）实训模块三：急救技术内心肺复苏急救处理功能。 2、人工智能+教育与体育赛道备赛指导平台功能： （1）人工智能辅助备赛，结合定制化专业知识库，精准生成符合地方文化特色的高质量指导方案。系统提供智能方案方向推荐与个性化方案指导，生成世校赛指导方案。 3、托幼机构保教环境创设虚拟仿真平台： （1）赛题覆盖，全面覆盖大赛中职组、高职组及教师组的所有赛题。 （2）具备中秋节、我的小手、美丽的春天、颜色变变变、蚂蚁王国、祖国祖国我爱你、树叶沙沙沙、多样的纸、好玩的车、有趣的篮球十个主题内容。 4、学龄前儿童保教技能大赛学习题库：软件内人工智能助手具备智能问答模块、知识库关联、图片生成、AI写作助手、文件智能分析功能。 （二）评分标准： 本项最高得100%分。 以上四项功能全部完整演示得100%分，有一项不演示或者演示不完整扣25%分，扣完为止。 评委根据功能演示情况与采购需求匹配程度，业务逻辑，完整性，关键点的把握程度进行评分，每家投标人总演示时间不超过10分钟。</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投标人自2022年1月1日（近三年）至投标截止日止（以合同签订合同时间或中标通知书落款日期为准）同类型项目的销售业绩。 每提供一个同类项目业绩得50%分，本项最高得100%分。 注：同一项目续签合同不重复计分； 提供中标通知书及合同关键页(包含但不限于合同首页、采购内容、签订时间、双方全称及公章）扫描件，原件备查。未提供或提供的不符合或提供不清晰导致无法判断的均不得分。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948BC1"/>
    <w:multiLevelType w:val="singleLevel"/>
    <w:tmpl w:val="A8948BC1"/>
    <w:lvl w:ilvl="0">
      <w:start w:val="2"/>
      <w:numFmt w:val="decimal"/>
      <w:suff w:val="nothing"/>
      <w:lvlText w:val="（%1）"/>
      <w:lvlJc w:val="left"/>
    </w:lvl>
  </w:abstractNum>
  <w:abstractNum w:abstractNumId="1">
    <w:nsid w:val="B609221C"/>
    <w:multiLevelType w:val="singleLevel"/>
    <w:tmpl w:val="B609221C"/>
    <w:lvl w:ilvl="0">
      <w:start w:val="1"/>
      <w:numFmt w:val="decimal"/>
      <w:suff w:val="nothing"/>
      <w:lvlText w:val="%1、"/>
      <w:lvlJc w:val="left"/>
    </w:lvl>
  </w:abstractNum>
  <w:abstractNum w:abstractNumId="2">
    <w:nsid w:val="B9358C2E"/>
    <w:multiLevelType w:val="singleLevel"/>
    <w:tmpl w:val="B9358C2E"/>
    <w:lvl w:ilvl="0">
      <w:start w:val="2"/>
      <w:numFmt w:val="decimal"/>
      <w:suff w:val="nothing"/>
      <w:lvlText w:val="%1、"/>
      <w:lvlJc w:val="left"/>
    </w:lvl>
  </w:abstractNum>
  <w:abstractNum w:abstractNumId="3">
    <w:nsid w:val="2F87E800"/>
    <w:multiLevelType w:val="singleLevel"/>
    <w:tmpl w:val="2F87E800"/>
    <w:lvl w:ilvl="0">
      <w:start w:val="1"/>
      <w:numFmt w:val="chineseCounting"/>
      <w:suff w:val="nothing"/>
      <w:lvlText w:val="%1、"/>
      <w:lvlJc w:val="left"/>
      <w:rPr>
        <w:rFonts w:hint="eastAsia"/>
      </w:rPr>
    </w:lvl>
  </w:abstractNum>
  <w:abstractNum w:abstractNumId="4">
    <w:nsid w:val="3B125ABF"/>
    <w:multiLevelType w:val="multilevel"/>
    <w:tmpl w:val="3B125ABF"/>
    <w:lvl w:ilvl="0">
      <w:start w:val="1"/>
      <w:numFmt w:val="japaneseCounting"/>
      <w:lvlText w:val="%1、"/>
      <w:lvlJc w:val="left"/>
      <w:pPr>
        <w:ind w:left="660" w:hanging="6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69047C28"/>
    <w:multiLevelType w:val="singleLevel"/>
    <w:tmpl w:val="69047C28"/>
    <w:lvl w:ilvl="0">
      <w:start w:val="1"/>
      <w:numFmt w:val="chineseCounting"/>
      <w:suff w:val="nothing"/>
      <w:lvlText w:val="（%1）"/>
      <w:lvlJc w:val="left"/>
      <w:rPr>
        <w:rFonts w:hint="eastAsia"/>
      </w:rPr>
    </w:lvl>
  </w:abstractNum>
  <w:abstractNum w:abstractNumId="6">
    <w:nsid w:val="721CBBE0"/>
    <w:multiLevelType w:val="singleLevel"/>
    <w:tmpl w:val="721CBBE0"/>
    <w:lvl w:ilvl="0">
      <w:start w:val="1"/>
      <w:numFmt w:val="decimal"/>
      <w:suff w:val="nothing"/>
      <w:lvlText w:val="%1、"/>
      <w:lvlJc w:val="left"/>
    </w:lvl>
  </w:abstractNum>
  <w:num w:numId="1">
    <w:abstractNumId w:val="5"/>
  </w:num>
  <w:num w:numId="2">
    <w:abstractNumId w:val="0"/>
  </w:num>
  <w:num w:numId="3">
    <w:abstractNumId w:val="4"/>
  </w:num>
  <w:num w:numId="4">
    <w:abstractNumId w:val="3"/>
  </w:num>
  <w:num w:numId="5">
    <w:abstractNumId w:val="1"/>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
    <w:name w:val="页眉 字符"/>
    <w:basedOn w:val="DefaultParagraphFont"/>
    <w:link w:val="Header"/>
    <w:uiPriority w:val="99"/>
    <w:qFormat/>
    <w:rPr>
      <w:rFonts w:eastAsia="宋体"/>
      <w:sz w:val="18"/>
      <w:szCs w:val="18"/>
    </w:rPr>
  </w:style>
  <w:style w:type="paragraph" w:styleId="Footer">
    <w:name w:val="footer"/>
    <w:basedOn w:val="Normal"/>
    <w:link w:val="a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0">
    <w:name w:val="页脚 字符"/>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qFormat/>
  </w:style>
  <w:style w:type="paragraph" w:styleId="BodyText">
    <w:name w:val="Body Text"/>
    <w:basedOn w:val="Normal"/>
    <w:qFormat/>
    <w:pPr>
      <w:spacing w:line="360" w:lineRule="auto"/>
    </w:pPr>
    <w:rPr>
      <w:b/>
      <w:bCs/>
      <w:kern w:val="2"/>
    </w:rPr>
  </w:style>
  <w:style w:type="table" w:customStyle="1" w:styleId="typotable">
    <w:name w:val="typo_table"/>
    <w:basedOn w:val="TableNormal"/>
    <w:qFormat/>
    <w:rPr>
      <w:rFonts w:eastAsia="宋体"/>
    </w:rPr>
    <w:tblPr>
      <w:tblInd w:w="0" w:type="dxa"/>
    </w:tblPr>
  </w:style>
  <w:style w:type="table" w:customStyle="1" w:styleId="typotable0">
    <w:name w:val="typo_table_0"/>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1">
    <w:name w:val="typo_table_1"/>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