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ind w:firstLine="320"/>
        <w:jc w:val="center"/>
        <w:rPr>
          <w:b/>
          <w:bCs/>
          <w:color w:val="FF0000"/>
          <w:kern w:val="2"/>
          <w:sz w:val="32"/>
          <w:szCs w:val="32"/>
          <w:lang w:eastAsia="zh-CN"/>
        </w:rPr>
      </w:pPr>
      <w:r>
        <w:rPr>
          <w:rFonts w:hint="eastAsia"/>
          <w:b/>
          <w:bCs/>
          <w:color w:val="FF0000"/>
          <w:kern w:val="2"/>
          <w:sz w:val="32"/>
          <w:szCs w:val="32"/>
          <w:lang w:eastAsia="zh-CN"/>
        </w:rPr>
        <w:t>特别警示条款</w:t>
      </w:r>
    </w:p>
    <w:p>
      <w:pPr>
        <w:rPr>
          <w:lang w:eastAsia="zh-CN"/>
        </w:rPr>
      </w:pPr>
    </w:p>
    <w:p>
      <w:pPr>
        <w:spacing w:line="360" w:lineRule="auto"/>
        <w:rPr>
          <w:b/>
          <w:bCs/>
          <w:color w:val="FF0000"/>
          <w:kern w:val="2"/>
          <w:lang w:eastAsia="zh-CN"/>
        </w:rPr>
      </w:pPr>
      <w:r>
        <w:rPr>
          <w:rFonts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1"/>
        <w:gridCol w:w="8235"/>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序号</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lang w:eastAsia="zh-CN"/>
              </w:rPr>
            </w:pPr>
            <w:r>
              <w:rPr>
                <w:rFonts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1</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与其他投标供应商的法定代表人、主要经营负责人、投标授权代表人、项目负责人、主要技术人员为</w:t>
            </w:r>
            <w:r>
              <w:rPr>
                <w:rFonts w:hint="eastAsia"/>
                <w:b/>
                <w:bCs/>
                <w:color w:val="FF0000"/>
                <w:lang w:eastAsia="zh-CN"/>
              </w:rPr>
              <w:t>同一人、属同一单位或者在同一单位缴纳社会保险</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2</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参与本项目政府采购活动时，与其他投标供应商存在单位负责人为</w:t>
            </w:r>
            <w:r>
              <w:rPr>
                <w:rFonts w:hint="eastAsia"/>
                <w:b/>
                <w:bCs/>
                <w:color w:val="FF0000"/>
                <w:lang w:eastAsia="zh-CN"/>
              </w:rPr>
              <w:t>同一人或直接控股、管理关系</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3</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与其他投标供应商的投标文件或部分投标文件</w:t>
            </w:r>
            <w:r>
              <w:rPr>
                <w:rFonts w:hint="eastAsia"/>
                <w:b/>
                <w:bCs/>
                <w:color w:val="FF0000"/>
                <w:lang w:eastAsia="zh-CN"/>
              </w:rPr>
              <w:t>相互混装或存在非正常一致</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2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4</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与其他投标供应商的投标文件由</w:t>
            </w:r>
            <w:r>
              <w:rPr>
                <w:rFonts w:hint="eastAsia"/>
                <w:b/>
                <w:bCs/>
                <w:color w:val="FF0000"/>
                <w:lang w:eastAsia="zh-CN"/>
              </w:rPr>
              <w:t>同一单位或者同一人编制</w:t>
            </w:r>
            <w:r>
              <w:rPr>
                <w:rFonts w:hint="eastAsia"/>
                <w:color w:val="FF0000"/>
                <w:lang w:eastAsia="zh-CN"/>
              </w:rPr>
              <w:t>，或者使用</w:t>
            </w:r>
            <w:r>
              <w:rPr>
                <w:rFonts w:hint="eastAsia"/>
                <w:b/>
                <w:bCs/>
                <w:color w:val="FF0000"/>
                <w:lang w:eastAsia="zh-CN"/>
              </w:rPr>
              <w:t>同一设备编制</w:t>
            </w:r>
            <w:r>
              <w:rPr>
                <w:rFonts w:hint="eastAsia"/>
                <w:color w:val="FF0000"/>
                <w:lang w:eastAsia="zh-CN"/>
              </w:rPr>
              <w:t>（“文件制作机器码”“文件创建标识码”一致）。</w:t>
            </w:r>
          </w:p>
        </w:tc>
      </w:tr>
      <w:tr>
        <w:tblPrEx>
          <w:tblW w:w="5000" w:type="pct"/>
          <w:tblInd w:w="250" w:type="dxa"/>
          <w:tblLayout w:type="fixed"/>
          <w:tblCellMar>
            <w:top w:w="0" w:type="dxa"/>
            <w:left w:w="108" w:type="dxa"/>
            <w:bottom w:w="0" w:type="dxa"/>
            <w:right w:w="108" w:type="dxa"/>
          </w:tblCellMar>
        </w:tblPrEx>
        <w:trPr>
          <w:trHeight w:val="98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5</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提供</w:t>
            </w:r>
            <w:r>
              <w:rPr>
                <w:rFonts w:hint="eastAsia"/>
                <w:b/>
                <w:bCs/>
                <w:color w:val="FF0000"/>
                <w:lang w:eastAsia="zh-CN"/>
              </w:rPr>
              <w:t>未经出具机构核实</w:t>
            </w:r>
            <w:r>
              <w:rPr>
                <w:rFonts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588"/>
        </w:trPr>
        <w:tc>
          <w:tcPr>
            <w:tcW w:w="561" w:type="dxa"/>
            <w:tcBorders>
              <w:top w:val="single" w:sz="4" w:space="0" w:color="auto"/>
              <w:left w:val="single" w:sz="4" w:space="0" w:color="auto"/>
              <w:bottom w:val="single" w:sz="4" w:space="0" w:color="auto"/>
              <w:right w:val="single" w:sz="4" w:space="0" w:color="auto"/>
            </w:tcBorders>
            <w:vAlign w:val="center"/>
          </w:tcPr>
          <w:p>
            <w:pPr>
              <w:widowControl/>
              <w:rPr>
                <w:color w:val="FF0000"/>
              </w:rPr>
            </w:pPr>
            <w:r>
              <w:rPr>
                <w:rFonts w:hint="eastAsia"/>
                <w:color w:val="FF0000"/>
              </w:rPr>
              <w:t>6</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擅自将投标密钥或电子营业执照出借他人使用或未妥善保管。</w:t>
            </w:r>
          </w:p>
        </w:tc>
      </w:tr>
    </w:tbl>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spacing w:beforeAutospacing="1"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rPr>
          <w:rFonts w:eastAsia="黑体" w:hint="eastAsia"/>
        </w:rPr>
      </w:pPr>
    </w:p>
    <w:p>
      <w:pPr>
        <w:widowControl w:val="0"/>
        <w:tabs>
          <w:tab w:val="left" w:pos="2790"/>
        </w:tabs>
        <w:snapToGrid w:val="0"/>
        <w:jc w:val="both"/>
        <w:outlineLvl w:val="0"/>
        <w:rPr>
          <w:rFonts w:ascii="宋体" w:eastAsia="宋体" w:hAnsi="宋体" w:cs="宋体"/>
          <w:kern w:val="2"/>
          <w:sz w:val="32"/>
          <w:szCs w:val="32"/>
          <w:highlight w:val="yellow"/>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LHAZXDL-2025-00685</w:t>
      </w:r>
    </w:p>
    <w:p>
      <w:pPr>
        <w:widowControl w:val="0"/>
        <w:tabs>
          <w:tab w:val="left" w:pos="2790"/>
        </w:tabs>
        <w:snapToGrid w:val="0"/>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幼儿园家私采购</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spacing w:line="360" w:lineRule="auto"/>
        <w:jc w:val="both"/>
        <w:rPr>
          <w:rFonts w:ascii="Calibri" w:eastAsia="宋体" w:hAnsi="Calibri"/>
          <w:b/>
          <w:bCs/>
          <w:kern w:val="2"/>
          <w:szCs w:val="22"/>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bookmarkStart w:id="0" w:name="OLE_LINK1"/>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hint="eastAsia"/>
          <w:kern w:val="2"/>
          <w:sz w:val="40"/>
          <w:szCs w:val="40"/>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1" w:name="_Hlk71832186"/>
            <w:r>
              <w:rPr>
                <w:rFonts w:ascii="宋体" w:eastAsia="宋体" w:hAnsi="宋体" w:cstheme="minorBidi" w:hint="eastAsia"/>
                <w:kern w:val="2"/>
                <w:sz w:val="21"/>
                <w:szCs w:val="21"/>
                <w:lang w:eastAsia="zh-CN"/>
              </w:rPr>
              <w:t>相应预算金额（或设定的预算金额下的最高限价）</w:t>
            </w:r>
            <w:bookmarkEnd w:id="1"/>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trHeight w:val="298"/>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spacing w:before="100" w:beforeAutospacing="1" w:afterAutospacing="1"/>
        <w:jc w:val="center"/>
        <w:outlineLvl w:val="0"/>
        <w:rPr>
          <w:rFonts w:ascii="黑体" w:eastAsia="黑体" w:hAnsi="宋体" w:hint="eastAsia"/>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8730"/>
      </w:tblGrid>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10583" w:type="dxa"/>
            <w:shd w:val="clear" w:color="auto" w:fill="auto"/>
            <w:vAlign w:val="center"/>
          </w:tcPr>
          <w:p>
            <w:pPr>
              <w:widowControl w:val="0"/>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10583" w:type="dxa"/>
            <w:shd w:val="clear" w:color="auto" w:fill="auto"/>
            <w:vAlign w:val="center"/>
          </w:tcPr>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综合评分法，是指投标文件满足采购文件全部实质性要求，且按照评审因素的量化指标评审得分最高的投标人为中标候选人的评审方法。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方式确定，其他投标无效。</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价格分计算方法：</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采用低价优先法计算，即满足采购文件要求且投标价格最低的投标报价为评审基准价，其价格分为满分。其他投标人的价格分统一按照下列公式计算：</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投标报价得分=(评审基准价／投标报价)×100 </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评审总得分＝F1×A1＋F2×A2＋……＋Fn×An </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F1、F2……Fn分别为各项评审因素的得分；</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A1、A2、……An 分别为各项评审因素所占的权重(A1＋A2＋……＋An＝1)。</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评审过程中，不得去掉报价中的最高报价和最低报价。</w:t>
            </w:r>
          </w:p>
          <w:p>
            <w:pPr>
              <w:spacing w:before="100"/>
              <w:ind w:left="420"/>
              <w:rPr>
                <w:rFonts w:ascii="宋体" w:eastAsia="宋体" w:hAnsi="宋体" w:hint="eastAsia"/>
                <w:kern w:val="2"/>
                <w:lang w:eastAsia="zh-CN"/>
              </w:rPr>
            </w:pPr>
            <w:r>
              <w:rPr>
                <w:rFonts w:ascii="宋体" w:eastAsia="宋体" w:hAnsi="宋体" w:hint="eastAsia"/>
                <w:kern w:val="2"/>
                <w:sz w:val="21"/>
                <w:szCs w:val="21"/>
                <w:lang w:eastAsia="zh-CN"/>
              </w:rPr>
              <w:t>此方法适用于货物类、服务类、工程服务类项目。</w:t>
            </w:r>
          </w:p>
        </w:tc>
      </w:tr>
    </w:tbl>
    <w:p>
      <w:pPr>
        <w:widowControl w:val="0"/>
        <w:jc w:val="both"/>
        <w:rPr>
          <w:rFonts w:ascii="Calibri" w:eastAsia="宋体" w:hAnsi="Calibri"/>
          <w:kern w:val="2"/>
          <w:sz w:val="21"/>
          <w:szCs w:val="22"/>
          <w:lang w:eastAsia="zh-CN"/>
        </w:rPr>
      </w:pPr>
    </w:p>
    <w:bookmarkEnd w:id="0"/>
    <w:tbl>
      <w:tblPr>
        <w:tblStyle w:val="TableNormal"/>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61"/>
        <w:gridCol w:w="616"/>
        <w:gridCol w:w="11"/>
        <w:gridCol w:w="947"/>
        <w:gridCol w:w="160"/>
        <w:gridCol w:w="1065"/>
        <w:gridCol w:w="5696"/>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jc w:val="center"/>
        </w:trPr>
        <w:tc>
          <w:tcPr>
            <w:tcW w:w="392"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3309" w:type="dxa"/>
            <w:gridSpan w:val="5"/>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7037"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r>
      <w:tr>
        <w:tblPrEx>
          <w:tblW w:w="5000" w:type="pct"/>
          <w:jc w:val="center"/>
          <w:tblLayout w:type="fixed"/>
          <w:tblCellMar>
            <w:top w:w="0" w:type="dxa"/>
            <w:left w:w="108" w:type="dxa"/>
            <w:bottom w:w="0" w:type="dxa"/>
            <w:right w:w="108" w:type="dxa"/>
          </w:tblCellMar>
        </w:tblPrEx>
        <w:trPr>
          <w:trHeight w:val="326"/>
          <w:jc w:val="center"/>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w:t>
            </w:r>
          </w:p>
        </w:tc>
        <w:tc>
          <w:tcPr>
            <w:tcW w:w="3309"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价格</w:t>
            </w:r>
          </w:p>
        </w:tc>
        <w:tc>
          <w:tcPr>
            <w:tcW w:w="7037"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30</w:t>
            </w:r>
          </w:p>
        </w:tc>
      </w:tr>
      <w:tr>
        <w:tblPrEx>
          <w:tblW w:w="5000" w:type="pct"/>
          <w:jc w:val="center"/>
          <w:tblLayout w:type="fixed"/>
          <w:tblCellMar>
            <w:top w:w="0" w:type="dxa"/>
            <w:left w:w="108" w:type="dxa"/>
            <w:bottom w:w="0" w:type="dxa"/>
            <w:right w:w="108" w:type="dxa"/>
          </w:tblCellMar>
        </w:tblPrEx>
        <w:trPr>
          <w:trHeight w:val="366"/>
          <w:jc w:val="center"/>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2</w:t>
            </w:r>
          </w:p>
        </w:tc>
        <w:tc>
          <w:tcPr>
            <w:tcW w:w="3309"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技术部分</w:t>
            </w:r>
          </w:p>
        </w:tc>
        <w:tc>
          <w:tcPr>
            <w:tcW w:w="7037"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57</w:t>
            </w:r>
          </w:p>
        </w:tc>
      </w:tr>
      <w:tr>
        <w:tblPrEx>
          <w:tblW w:w="5000" w:type="pct"/>
          <w:jc w:val="center"/>
          <w:tblLayout w:type="fixed"/>
          <w:tblCellMar>
            <w:top w:w="0" w:type="dxa"/>
            <w:left w:w="108" w:type="dxa"/>
            <w:bottom w:w="0" w:type="dxa"/>
            <w:right w:w="108" w:type="dxa"/>
          </w:tblCellMar>
        </w:tblPrEx>
        <w:trPr>
          <w:trHeight w:val="339"/>
          <w:jc w:val="center"/>
        </w:trPr>
        <w:tc>
          <w:tcPr>
            <w:tcW w:w="392" w:type="dxa"/>
            <w:vMerge w:val="restart"/>
            <w:noWrap w:val="0"/>
            <w:vAlign w:val="center"/>
          </w:tcPr>
          <w:p>
            <w:pPr>
              <w:spacing w:line="240" w:lineRule="exact"/>
              <w:jc w:val="center"/>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332" w:type="dxa"/>
            <w:gridSpan w:val="3"/>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268"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7037"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技术保障措施</w:t>
            </w:r>
          </w:p>
        </w:tc>
        <w:tc>
          <w:tcPr>
            <w:tcW w:w="1268"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5</w:t>
            </w:r>
          </w:p>
        </w:tc>
        <w:tc>
          <w:tcPr>
            <w:tcW w:w="7037" w:type="dxa"/>
            <w:noWrap w:val="0"/>
            <w:vAlign w:val="center"/>
          </w:tcPr>
          <w:p>
            <w:pPr>
              <w:snapToGrid w:val="0"/>
              <w:rPr>
                <w:rFonts w:ascii="宋体" w:eastAsia="宋体" w:hAnsi="宋体" w:cs="宋体" w:hint="eastAsia"/>
                <w:sz w:val="21"/>
                <w:szCs w:val="21"/>
              </w:rPr>
            </w:pPr>
            <w:r>
              <w:rPr>
                <w:rFonts w:ascii="宋体" w:eastAsia="宋体" w:hAnsi="宋体" w:cs="宋体" w:hint="eastAsia"/>
                <w:sz w:val="21"/>
                <w:szCs w:val="21"/>
              </w:rPr>
              <w:t>（一）评审内容：</w:t>
            </w:r>
          </w:p>
          <w:p>
            <w:pPr>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在投标文件中详细说明技术保障措施,内容须包括：</w:t>
            </w:r>
          </w:p>
          <w:p>
            <w:pPr>
              <w:numPr>
                <w:ilvl w:val="0"/>
                <w:numId w:val="1"/>
              </w:numPr>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技术团队（应包含组织架构、项目负责人和分项技术人员配置等）；</w:t>
            </w:r>
          </w:p>
          <w:p>
            <w:pPr>
              <w:numPr>
                <w:ilvl w:val="0"/>
                <w:numId w:val="1"/>
              </w:numPr>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技术方案（包括前期项目分析、产品制作安装工艺流程与规范标准、包含清单中的货物规格、材质及安全措施等）；</w:t>
            </w:r>
          </w:p>
          <w:p>
            <w:pPr>
              <w:numPr>
                <w:ilvl w:val="0"/>
                <w:numId w:val="1"/>
              </w:numPr>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场地（应包含符合项目实际场地情况的人员、车辆及货物进出、现场环境保护等内容）；</w:t>
            </w:r>
          </w:p>
          <w:p>
            <w:pPr>
              <w:numPr>
                <w:ilvl w:val="0"/>
                <w:numId w:val="1"/>
              </w:numPr>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车辆（计划实施的车辆使用信息）。</w:t>
            </w:r>
          </w:p>
          <w:p>
            <w:pPr>
              <w:snapToGrid w:val="0"/>
              <w:rPr>
                <w:rFonts w:ascii="宋体" w:eastAsia="宋体" w:hAnsi="宋体" w:cs="宋体" w:hint="eastAsia"/>
                <w:sz w:val="21"/>
                <w:szCs w:val="21"/>
              </w:rPr>
            </w:pPr>
            <w:r>
              <w:rPr>
                <w:rFonts w:ascii="宋体" w:eastAsia="宋体" w:hAnsi="宋体" w:cs="宋体" w:hint="eastAsia"/>
                <w:sz w:val="21"/>
                <w:szCs w:val="21"/>
              </w:rPr>
              <w:t>（二）评审标准：</w:t>
            </w:r>
          </w:p>
          <w:p>
            <w:pPr>
              <w:snapToGrid w:val="0"/>
              <w:rPr>
                <w:rFonts w:ascii="宋体" w:eastAsia="宋体" w:hAnsi="宋体" w:cs="宋体" w:hint="eastAsia"/>
                <w:sz w:val="21"/>
                <w:szCs w:val="21"/>
              </w:rPr>
            </w:pPr>
            <w:r>
              <w:rPr>
                <w:rFonts w:ascii="宋体" w:eastAsia="宋体" w:hAnsi="宋体" w:cs="宋体" w:hint="eastAsia"/>
                <w:sz w:val="21"/>
                <w:szCs w:val="21"/>
              </w:rPr>
              <w:t>方案中含有上述一个内容得</w:t>
            </w:r>
            <w:r>
              <w:rPr>
                <w:rFonts w:ascii="宋体" w:eastAsia="宋体" w:hAnsi="宋体" w:cs="宋体" w:hint="eastAsia"/>
                <w:sz w:val="21"/>
                <w:szCs w:val="21"/>
                <w:lang w:eastAsia="zh-CN"/>
              </w:rPr>
              <w:t>10</w:t>
            </w:r>
            <w:r>
              <w:rPr>
                <w:rFonts w:ascii="宋体" w:eastAsia="宋体" w:hAnsi="宋体" w:cs="宋体" w:hint="eastAsia"/>
                <w:sz w:val="21"/>
                <w:szCs w:val="21"/>
              </w:rPr>
              <w:t>分，总计</w:t>
            </w:r>
            <w:r>
              <w:rPr>
                <w:rFonts w:ascii="宋体" w:eastAsia="宋体" w:hAnsi="宋体" w:cs="宋体" w:hint="eastAsia"/>
                <w:sz w:val="21"/>
                <w:szCs w:val="21"/>
                <w:lang w:eastAsia="zh-CN"/>
              </w:rPr>
              <w:t>4</w:t>
            </w:r>
            <w:r>
              <w:rPr>
                <w:rFonts w:ascii="宋体" w:eastAsia="宋体" w:hAnsi="宋体" w:cs="宋体" w:hint="eastAsia"/>
                <w:sz w:val="21"/>
                <w:szCs w:val="21"/>
              </w:rPr>
              <w:t>0分。在此基础上，对方案的合理性、可行性进行打分。</w:t>
            </w:r>
          </w:p>
          <w:p>
            <w:pPr>
              <w:spacing w:line="320" w:lineRule="exact"/>
              <w:ind w:firstLine="0"/>
              <w:rPr>
                <w:rFonts w:ascii="宋体" w:eastAsia="宋体" w:hAnsi="宋体" w:cs="宋体" w:hint="eastAsia"/>
                <w:sz w:val="21"/>
                <w:szCs w:val="21"/>
                <w:lang w:eastAsia="zh-CN"/>
              </w:rPr>
            </w:pPr>
            <w:r>
              <w:rPr>
                <w:rFonts w:ascii="宋体" w:eastAsia="宋体" w:hAnsi="宋体" w:cs="宋体" w:hint="eastAsia"/>
                <w:sz w:val="21"/>
                <w:szCs w:val="21"/>
                <w:lang w:eastAsia="zh-CN"/>
              </w:rPr>
              <w:t>优：实施方案科学可行、合理、先进，保证措施具体，工期计划目标明确，得60分。</w:t>
            </w:r>
          </w:p>
          <w:p>
            <w:pPr>
              <w:spacing w:line="320" w:lineRule="exact"/>
              <w:ind w:firstLine="0"/>
              <w:rPr>
                <w:rFonts w:ascii="宋体" w:eastAsia="宋体" w:hAnsi="宋体" w:cs="宋体" w:hint="eastAsia"/>
                <w:sz w:val="21"/>
                <w:szCs w:val="21"/>
                <w:lang w:eastAsia="zh-CN"/>
              </w:rPr>
            </w:pPr>
            <w:r>
              <w:rPr>
                <w:rFonts w:ascii="宋体" w:eastAsia="宋体" w:hAnsi="宋体" w:cs="宋体" w:hint="eastAsia"/>
                <w:sz w:val="21"/>
                <w:szCs w:val="21"/>
                <w:lang w:eastAsia="zh-CN"/>
              </w:rPr>
              <w:t>良：实施方案可行、较合理、较先进、保证措施一般，工期计划目标较明确，得20分。</w:t>
            </w:r>
          </w:p>
          <w:p>
            <w:pPr>
              <w:spacing w:line="320" w:lineRule="exact"/>
              <w:ind w:firstLine="0"/>
              <w:rPr>
                <w:rFonts w:ascii="宋体" w:eastAsia="宋体" w:hAnsi="宋体" w:cs="宋体" w:hint="eastAsia"/>
                <w:sz w:val="21"/>
                <w:szCs w:val="21"/>
                <w:lang w:eastAsia="zh-CN"/>
              </w:rPr>
            </w:pPr>
            <w:r>
              <w:rPr>
                <w:rFonts w:ascii="宋体" w:eastAsia="宋体" w:hAnsi="宋体" w:cs="宋体" w:hint="eastAsia"/>
                <w:sz w:val="21"/>
                <w:szCs w:val="21"/>
                <w:lang w:eastAsia="zh-CN"/>
              </w:rPr>
              <w:t>中：实施方案满足招标文件要求，进度计划较可行、较合理、保证措施较差，得10分。</w:t>
            </w:r>
          </w:p>
          <w:p>
            <w:pPr>
              <w:spacing w:line="240" w:lineRule="exact"/>
              <w:jc w:val="left"/>
              <w:rPr>
                <w:rFonts w:ascii="宋体" w:eastAsia="宋体" w:hAnsi="宋体" w:cs="宋体" w:hint="eastAsia"/>
                <w:sz w:val="21"/>
                <w:szCs w:val="21"/>
              </w:rPr>
            </w:pPr>
            <w:r>
              <w:rPr>
                <w:rFonts w:ascii="宋体" w:eastAsia="宋体" w:hAnsi="宋体" w:cs="宋体" w:hint="eastAsia"/>
                <w:sz w:val="21"/>
                <w:szCs w:val="21"/>
              </w:rPr>
              <w:t>差：未提供实施方案，得0分。</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技术规格偏离情况</w:t>
            </w:r>
          </w:p>
        </w:tc>
        <w:tc>
          <w:tcPr>
            <w:tcW w:w="1268"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rPr>
              <w:t>3</w:t>
            </w:r>
            <w:r>
              <w:rPr>
                <w:rFonts w:ascii="宋体" w:eastAsia="宋体" w:hAnsi="宋体" w:cs="宋体" w:hint="eastAsia"/>
                <w:sz w:val="21"/>
                <w:szCs w:val="21"/>
                <w:lang w:eastAsia="zh-CN"/>
              </w:rPr>
              <w:t>1</w:t>
            </w:r>
          </w:p>
        </w:tc>
        <w:tc>
          <w:tcPr>
            <w:tcW w:w="7037" w:type="dxa"/>
            <w:noWrap w:val="0"/>
            <w:vAlign w:val="center"/>
          </w:tcPr>
          <w:p>
            <w:pPr>
              <w:jc w:val="left"/>
              <w:rPr>
                <w:rFonts w:ascii="宋体" w:eastAsia="宋体" w:hAnsi="宋体" w:cs="宋体" w:hint="eastAsia"/>
                <w:sz w:val="21"/>
                <w:szCs w:val="21"/>
              </w:rPr>
            </w:pPr>
            <w:r>
              <w:rPr>
                <w:rFonts w:ascii="宋体" w:eastAsia="宋体" w:hAnsi="宋体" w:cs="宋体" w:hint="eastAsia"/>
                <w:sz w:val="21"/>
                <w:szCs w:val="21"/>
              </w:rPr>
              <w:t>评审小组根据《技术规格偏离表》（以下简称“偏离表”）响应情况进行打分，全部满足的得100分。除实质性条款外，一般参数负偏离一项扣0.0</w:t>
            </w:r>
            <w:r>
              <w:rPr>
                <w:rFonts w:ascii="宋体" w:eastAsia="宋体" w:hAnsi="宋体" w:cs="宋体" w:hint="eastAsia"/>
                <w:sz w:val="21"/>
                <w:szCs w:val="21"/>
                <w:lang w:eastAsia="zh-CN"/>
              </w:rPr>
              <w:t>4</w:t>
            </w:r>
            <w:r>
              <w:rPr>
                <w:rFonts w:ascii="宋体" w:eastAsia="宋体" w:hAnsi="宋体" w:cs="宋体" w:hint="eastAsia"/>
                <w:sz w:val="21"/>
                <w:szCs w:val="21"/>
              </w:rPr>
              <w:t>分，重点技术参数▲项负偏离一项扣</w:t>
            </w:r>
            <w:r>
              <w:rPr>
                <w:rFonts w:ascii="宋体" w:eastAsia="宋体" w:hAnsi="宋体" w:cs="宋体" w:hint="eastAsia"/>
                <w:sz w:val="21"/>
                <w:szCs w:val="21"/>
                <w:lang w:eastAsia="zh-CN"/>
              </w:rPr>
              <w:t>18</w:t>
            </w:r>
            <w:r>
              <w:rPr>
                <w:rFonts w:ascii="宋体" w:eastAsia="宋体" w:hAnsi="宋体" w:cs="宋体" w:hint="eastAsia"/>
                <w:sz w:val="21"/>
                <w:szCs w:val="21"/>
              </w:rPr>
              <w:t>分，扣完为止。</w:t>
            </w:r>
          </w:p>
          <w:p>
            <w:pPr>
              <w:spacing w:line="240" w:lineRule="exact"/>
              <w:jc w:val="left"/>
              <w:rPr>
                <w:rFonts w:ascii="宋体" w:eastAsia="宋体" w:hAnsi="宋体" w:cs="宋体" w:hint="eastAsia"/>
                <w:sz w:val="21"/>
                <w:szCs w:val="21"/>
              </w:rPr>
            </w:pPr>
            <w:r>
              <w:rPr>
                <w:rFonts w:ascii="宋体" w:eastAsia="宋体" w:hAnsi="宋体" w:cs="宋体" w:hint="eastAsia"/>
                <w:sz w:val="21"/>
                <w:szCs w:val="21"/>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r>
      <w:tr>
        <w:tblPrEx>
          <w:tblW w:w="5000" w:type="pct"/>
          <w:jc w:val="center"/>
          <w:tblLayout w:type="fixed"/>
          <w:tblCellMar>
            <w:top w:w="0" w:type="dxa"/>
            <w:left w:w="108" w:type="dxa"/>
            <w:bottom w:w="0" w:type="dxa"/>
            <w:right w:w="108" w:type="dxa"/>
          </w:tblCellMar>
        </w:tblPrEx>
        <w:trPr>
          <w:trHeight w:val="1377"/>
          <w:jc w:val="center"/>
        </w:trPr>
        <w:tc>
          <w:tcPr>
            <w:tcW w:w="392" w:type="dxa"/>
            <w:vMerge/>
            <w:noWrap w:val="0"/>
            <w:vAlign w:val="center"/>
          </w:tcPr>
          <w:p>
            <w:pPr>
              <w:spacing w:line="240" w:lineRule="exact"/>
              <w:jc w:val="center"/>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效果图</w:t>
            </w:r>
          </w:p>
        </w:tc>
        <w:tc>
          <w:tcPr>
            <w:tcW w:w="1268"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10</w:t>
            </w:r>
          </w:p>
        </w:tc>
        <w:tc>
          <w:tcPr>
            <w:tcW w:w="7037" w:type="dxa"/>
            <w:noWrap w:val="0"/>
            <w:vAlign w:val="center"/>
          </w:tcPr>
          <w:p>
            <w:pPr>
              <w:jc w:val="left"/>
              <w:rPr>
                <w:rFonts w:ascii="宋体" w:eastAsia="宋体" w:hAnsi="宋体" w:cs="宋体" w:hint="eastAsia"/>
                <w:b/>
                <w:bCs/>
                <w:sz w:val="21"/>
                <w:szCs w:val="21"/>
              </w:rPr>
            </w:pPr>
            <w:r>
              <w:rPr>
                <w:rFonts w:ascii="宋体" w:eastAsia="宋体" w:hAnsi="宋体" w:cs="宋体" w:hint="eastAsia"/>
                <w:b/>
                <w:bCs/>
                <w:sz w:val="21"/>
                <w:szCs w:val="21"/>
              </w:rPr>
              <w:t>考察内容：</w:t>
            </w:r>
          </w:p>
          <w:p>
            <w:pPr>
              <w:jc w:val="left"/>
              <w:rPr>
                <w:rFonts w:ascii="宋体" w:eastAsia="宋体" w:hAnsi="宋体" w:cs="宋体" w:hint="eastAsia"/>
                <w:sz w:val="21"/>
                <w:szCs w:val="21"/>
              </w:rPr>
            </w:pPr>
            <w:r>
              <w:rPr>
                <w:rFonts w:ascii="宋体" w:eastAsia="宋体" w:hAnsi="宋体" w:cs="宋体" w:hint="eastAsia"/>
                <w:sz w:val="21"/>
                <w:szCs w:val="21"/>
              </w:rPr>
              <w:t>投标人参考招标文件平面图（详见招标文相应章节件）提供以下内容：</w:t>
            </w:r>
          </w:p>
          <w:p>
            <w:pPr>
              <w:jc w:val="left"/>
              <w:rPr>
                <w:rFonts w:ascii="宋体" w:eastAsia="宋体" w:hAnsi="宋体" w:cs="宋体" w:hint="eastAsia"/>
                <w:sz w:val="21"/>
                <w:szCs w:val="21"/>
              </w:rPr>
            </w:pPr>
            <w:r>
              <w:rPr>
                <w:rFonts w:ascii="宋体" w:eastAsia="宋体" w:hAnsi="宋体" w:cs="宋体" w:hint="eastAsia"/>
                <w:sz w:val="21"/>
                <w:szCs w:val="21"/>
              </w:rPr>
              <w:t>根据货物清单明细中要求的货物及所在的空间提供相应的平面布局图及室内设计效果图，具体要求如下：</w:t>
            </w:r>
          </w:p>
          <w:p>
            <w:pPr>
              <w:jc w:val="left"/>
              <w:rPr>
                <w:rFonts w:ascii="宋体" w:eastAsia="宋体" w:hAnsi="宋体" w:cs="宋体" w:hint="eastAsia"/>
                <w:sz w:val="21"/>
                <w:szCs w:val="21"/>
              </w:rPr>
            </w:pPr>
            <w:r>
              <w:rPr>
                <w:rFonts w:ascii="宋体" w:eastAsia="宋体" w:hAnsi="宋体" w:cs="宋体" w:hint="eastAsia"/>
                <w:sz w:val="21"/>
                <w:szCs w:val="21"/>
              </w:rPr>
              <w:t>1.投标人根据技术要求“序号1-序号80”提供</w:t>
            </w:r>
            <w:r>
              <w:rPr>
                <w:rFonts w:ascii="宋体" w:eastAsia="宋体" w:hAnsi="宋体" w:cs="宋体" w:hint="eastAsia"/>
                <w:b/>
                <w:bCs/>
                <w:sz w:val="21"/>
                <w:szCs w:val="21"/>
              </w:rPr>
              <w:t>小班、中班、大班3个空间的</w:t>
            </w:r>
            <w:r>
              <w:rPr>
                <w:rFonts w:ascii="宋体" w:eastAsia="宋体" w:hAnsi="宋体" w:cs="宋体" w:hint="eastAsia"/>
                <w:sz w:val="21"/>
                <w:szCs w:val="21"/>
              </w:rPr>
              <w:t>幼儿教室区域摆放平面布置图和效果图 ，合计</w:t>
            </w:r>
            <w:r>
              <w:rPr>
                <w:rFonts w:ascii="宋体" w:eastAsia="宋体" w:hAnsi="宋体" w:cs="宋体" w:hint="eastAsia"/>
                <w:sz w:val="21"/>
                <w:szCs w:val="21"/>
                <w:lang w:eastAsia="zh-CN"/>
              </w:rPr>
              <w:t>不少于</w:t>
            </w:r>
            <w:r>
              <w:rPr>
                <w:rFonts w:ascii="宋体" w:eastAsia="宋体" w:hAnsi="宋体" w:cs="宋体" w:hint="eastAsia"/>
                <w:sz w:val="21"/>
                <w:szCs w:val="21"/>
              </w:rPr>
              <w:t>12张图。</w:t>
            </w:r>
          </w:p>
          <w:p>
            <w:pPr>
              <w:jc w:val="left"/>
              <w:rPr>
                <w:rFonts w:ascii="宋体" w:eastAsia="宋体" w:hAnsi="宋体" w:cs="宋体" w:hint="eastAsia"/>
                <w:sz w:val="21"/>
                <w:szCs w:val="21"/>
              </w:rPr>
            </w:pPr>
            <w:r>
              <w:rPr>
                <w:rFonts w:ascii="宋体" w:eastAsia="宋体" w:hAnsi="宋体" w:cs="宋体" w:hint="eastAsia"/>
                <w:sz w:val="21"/>
                <w:szCs w:val="21"/>
              </w:rPr>
              <w:t>2.投标人根据技术要求“序号81-序号92”提供</w:t>
            </w:r>
            <w:r>
              <w:rPr>
                <w:rFonts w:ascii="宋体" w:eastAsia="宋体" w:hAnsi="宋体" w:cs="宋体" w:hint="eastAsia"/>
                <w:b/>
                <w:bCs/>
                <w:sz w:val="21"/>
                <w:szCs w:val="21"/>
              </w:rPr>
              <w:t>美术室空间</w:t>
            </w:r>
            <w:r>
              <w:rPr>
                <w:rFonts w:ascii="宋体" w:eastAsia="宋体" w:hAnsi="宋体" w:cs="宋体" w:hint="eastAsia"/>
                <w:sz w:val="21"/>
                <w:szCs w:val="21"/>
              </w:rPr>
              <w:t>的区域摆放平面布置图和效果图，合计</w:t>
            </w:r>
            <w:r>
              <w:rPr>
                <w:rFonts w:ascii="宋体" w:eastAsia="宋体" w:hAnsi="宋体" w:cs="宋体" w:hint="eastAsia"/>
                <w:sz w:val="21"/>
                <w:szCs w:val="21"/>
                <w:lang w:eastAsia="zh-CN"/>
              </w:rPr>
              <w:t>不少于</w:t>
            </w:r>
            <w:r>
              <w:rPr>
                <w:rFonts w:ascii="宋体" w:eastAsia="宋体" w:hAnsi="宋体" w:cs="宋体" w:hint="eastAsia"/>
                <w:sz w:val="21"/>
                <w:szCs w:val="21"/>
              </w:rPr>
              <w:t>4张图。</w:t>
            </w:r>
          </w:p>
          <w:p>
            <w:pPr>
              <w:jc w:val="left"/>
              <w:rPr>
                <w:rFonts w:ascii="宋体" w:eastAsia="宋体" w:hAnsi="宋体" w:cs="宋体" w:hint="eastAsia"/>
                <w:sz w:val="21"/>
                <w:szCs w:val="21"/>
              </w:rPr>
            </w:pPr>
            <w:r>
              <w:rPr>
                <w:rFonts w:ascii="宋体" w:eastAsia="宋体" w:hAnsi="宋体" w:cs="宋体" w:hint="eastAsia"/>
                <w:sz w:val="21"/>
                <w:szCs w:val="21"/>
              </w:rPr>
              <w:t>3.投标人根据技术要求“序号93--序号153”提供</w:t>
            </w:r>
            <w:r>
              <w:rPr>
                <w:rFonts w:ascii="宋体" w:eastAsia="宋体" w:hAnsi="宋体" w:cs="宋体" w:hint="eastAsia"/>
                <w:b/>
                <w:bCs/>
                <w:sz w:val="21"/>
                <w:szCs w:val="21"/>
              </w:rPr>
              <w:t>园长办公室（2间）、副园长+安全主任办公室（1间）、</w:t>
            </w:r>
            <w:r>
              <w:rPr>
                <w:rFonts w:ascii="宋体" w:eastAsia="宋体" w:hAnsi="宋体" w:cs="宋体" w:hint="eastAsia"/>
                <w:b/>
                <w:bCs/>
                <w:sz w:val="21"/>
                <w:szCs w:val="21"/>
                <w:lang w:eastAsia="zh-CN"/>
              </w:rPr>
              <w:t>财务室（1间）、</w:t>
            </w:r>
            <w:r>
              <w:rPr>
                <w:rFonts w:ascii="宋体" w:eastAsia="宋体" w:hAnsi="宋体" w:cs="宋体" w:hint="eastAsia"/>
                <w:b/>
                <w:bCs/>
                <w:sz w:val="21"/>
                <w:szCs w:val="21"/>
              </w:rPr>
              <w:t>教师办公室（</w:t>
            </w:r>
            <w:r>
              <w:rPr>
                <w:rFonts w:ascii="宋体" w:eastAsia="宋体" w:hAnsi="宋体" w:cs="宋体" w:hint="eastAsia"/>
                <w:b/>
                <w:bCs/>
                <w:sz w:val="21"/>
                <w:szCs w:val="21"/>
                <w:lang w:eastAsia="zh-CN"/>
              </w:rPr>
              <w:t>2</w:t>
            </w:r>
            <w:r>
              <w:rPr>
                <w:rFonts w:ascii="宋体" w:eastAsia="宋体" w:hAnsi="宋体" w:cs="宋体" w:hint="eastAsia"/>
                <w:b/>
                <w:bCs/>
                <w:sz w:val="21"/>
                <w:szCs w:val="21"/>
              </w:rPr>
              <w:t>间）、保健室（1间）、会议室（1间）</w:t>
            </w:r>
            <w:r>
              <w:rPr>
                <w:rFonts w:ascii="宋体" w:eastAsia="宋体" w:hAnsi="宋体" w:cs="宋体" w:hint="eastAsia"/>
                <w:sz w:val="21"/>
                <w:szCs w:val="21"/>
              </w:rPr>
              <w:t>等</w:t>
            </w:r>
            <w:r>
              <w:rPr>
                <w:rFonts w:ascii="宋体" w:eastAsia="宋体" w:hAnsi="宋体" w:cs="宋体" w:hint="eastAsia"/>
                <w:sz w:val="21"/>
                <w:szCs w:val="21"/>
                <w:lang w:eastAsia="zh-CN"/>
              </w:rPr>
              <w:t>8</w:t>
            </w:r>
            <w:r>
              <w:rPr>
                <w:rFonts w:ascii="宋体" w:eastAsia="宋体" w:hAnsi="宋体" w:cs="宋体" w:hint="eastAsia"/>
                <w:sz w:val="21"/>
                <w:szCs w:val="21"/>
              </w:rPr>
              <w:t>个空间的区域摆放平面布置图和效果图，合计不少于</w:t>
            </w:r>
            <w:r>
              <w:rPr>
                <w:rFonts w:ascii="宋体" w:eastAsia="宋体" w:hAnsi="宋体" w:cs="宋体" w:hint="eastAsia"/>
                <w:sz w:val="21"/>
                <w:szCs w:val="21"/>
                <w:lang w:eastAsia="zh-CN"/>
              </w:rPr>
              <w:t>14</w:t>
            </w:r>
            <w:r>
              <w:rPr>
                <w:rFonts w:ascii="宋体" w:eastAsia="宋体" w:hAnsi="宋体" w:cs="宋体" w:hint="eastAsia"/>
                <w:sz w:val="21"/>
                <w:szCs w:val="21"/>
              </w:rPr>
              <w:t>张图。</w:t>
            </w:r>
          </w:p>
          <w:p>
            <w:pPr>
              <w:jc w:val="left"/>
              <w:rPr>
                <w:rFonts w:ascii="宋体" w:eastAsia="宋体" w:hAnsi="宋体" w:cs="宋体" w:hint="eastAsia"/>
                <w:sz w:val="21"/>
                <w:szCs w:val="21"/>
              </w:rPr>
            </w:pPr>
            <w:r>
              <w:rPr>
                <w:rFonts w:ascii="宋体" w:eastAsia="宋体" w:hAnsi="宋体" w:cs="宋体" w:hint="eastAsia"/>
                <w:sz w:val="21"/>
                <w:szCs w:val="21"/>
              </w:rPr>
              <w:t>4.投标人根据技术要求“序号156--序号167”提供</w:t>
            </w:r>
            <w:r>
              <w:rPr>
                <w:rFonts w:ascii="宋体" w:eastAsia="宋体" w:hAnsi="宋体" w:cs="宋体" w:hint="eastAsia"/>
                <w:b/>
                <w:bCs/>
                <w:sz w:val="21"/>
                <w:szCs w:val="21"/>
              </w:rPr>
              <w:t>教职工餐厅</w:t>
            </w:r>
            <w:r>
              <w:rPr>
                <w:rFonts w:ascii="宋体" w:eastAsia="宋体" w:hAnsi="宋体" w:cs="宋体" w:hint="eastAsia"/>
                <w:sz w:val="21"/>
                <w:szCs w:val="21"/>
              </w:rPr>
              <w:t>空间的区域摆放平面布置图和效果图，合计不少于4张图。</w:t>
            </w:r>
          </w:p>
          <w:p>
            <w:pPr>
              <w:jc w:val="left"/>
              <w:rPr>
                <w:rFonts w:ascii="宋体" w:eastAsia="宋体" w:hAnsi="宋体" w:cs="宋体" w:hint="eastAsia"/>
                <w:b/>
                <w:bCs/>
                <w:sz w:val="21"/>
                <w:szCs w:val="21"/>
              </w:rPr>
            </w:pPr>
            <w:r>
              <w:rPr>
                <w:rFonts w:ascii="宋体" w:eastAsia="宋体" w:hAnsi="宋体" w:cs="宋体" w:hint="eastAsia"/>
                <w:b/>
                <w:bCs/>
                <w:sz w:val="21"/>
                <w:szCs w:val="21"/>
              </w:rPr>
              <w:t>评审标准：</w:t>
            </w:r>
          </w:p>
          <w:p>
            <w:pPr>
              <w:jc w:val="left"/>
              <w:rPr>
                <w:rFonts w:ascii="宋体" w:eastAsia="宋体" w:hAnsi="宋体" w:cs="宋体" w:hint="eastAsia"/>
                <w:sz w:val="21"/>
                <w:szCs w:val="21"/>
              </w:rPr>
            </w:pPr>
            <w:r>
              <w:rPr>
                <w:rFonts w:ascii="宋体" w:eastAsia="宋体" w:hAnsi="宋体" w:cs="宋体" w:hint="eastAsia"/>
                <w:sz w:val="21"/>
                <w:szCs w:val="21"/>
              </w:rPr>
              <w:t>1.提供以上空间（需包含空间内提到的所有货物）的平面布局图及室内设计效果图，每提供一个空间可得</w:t>
            </w:r>
            <w:r>
              <w:rPr>
                <w:rFonts w:ascii="宋体" w:eastAsia="宋体" w:hAnsi="宋体" w:cs="宋体" w:hint="eastAsia"/>
                <w:sz w:val="21"/>
                <w:szCs w:val="21"/>
                <w:lang w:eastAsia="zh-CN"/>
              </w:rPr>
              <w:t>2.3</w:t>
            </w:r>
            <w:r>
              <w:rPr>
                <w:rFonts w:ascii="宋体" w:eastAsia="宋体" w:hAnsi="宋体" w:cs="宋体" w:hint="eastAsia"/>
                <w:sz w:val="21"/>
                <w:szCs w:val="21"/>
              </w:rPr>
              <w:t>分，最高可得</w:t>
            </w:r>
            <w:r>
              <w:rPr>
                <w:rFonts w:ascii="宋体" w:eastAsia="宋体" w:hAnsi="宋体" w:cs="宋体" w:hint="eastAsia"/>
                <w:sz w:val="21"/>
                <w:szCs w:val="21"/>
                <w:lang w:eastAsia="zh-CN"/>
              </w:rPr>
              <w:t>3</w:t>
            </w:r>
            <w:r>
              <w:rPr>
                <w:rFonts w:ascii="宋体" w:eastAsia="宋体" w:hAnsi="宋体" w:cs="宋体" w:hint="eastAsia"/>
                <w:sz w:val="21"/>
                <w:szCs w:val="21"/>
              </w:rPr>
              <w:t>0分。</w:t>
            </w:r>
          </w:p>
          <w:p>
            <w:pPr>
              <w:jc w:val="left"/>
              <w:rPr>
                <w:rFonts w:ascii="宋体" w:eastAsia="宋体" w:hAnsi="宋体" w:cs="宋体" w:hint="eastAsia"/>
                <w:sz w:val="21"/>
                <w:szCs w:val="21"/>
              </w:rPr>
            </w:pPr>
            <w:r>
              <w:rPr>
                <w:rFonts w:ascii="宋体" w:eastAsia="宋体" w:hAnsi="宋体" w:cs="宋体" w:hint="eastAsia"/>
                <w:sz w:val="21"/>
                <w:szCs w:val="21"/>
              </w:rPr>
              <w:t>2.在此基础上，评标委员会根据具体响应内容进一步评审:</w:t>
            </w:r>
          </w:p>
          <w:p>
            <w:pPr>
              <w:jc w:val="left"/>
              <w:rPr>
                <w:rFonts w:ascii="宋体" w:eastAsia="宋体" w:hAnsi="宋体" w:cs="宋体" w:hint="eastAsia"/>
                <w:sz w:val="21"/>
                <w:szCs w:val="21"/>
              </w:rPr>
            </w:pPr>
            <w:r>
              <w:rPr>
                <w:rFonts w:ascii="宋体" w:eastAsia="宋体" w:hAnsi="宋体" w:cs="宋体" w:hint="eastAsia"/>
                <w:sz w:val="21"/>
                <w:szCs w:val="21"/>
              </w:rPr>
              <w:t>（1）评价为优（内容完整，家具摆放设计合理、实用性强，家具设计美观、图片清晰、整体效果完全符合场景环境实际需求）的加</w:t>
            </w:r>
            <w:r>
              <w:rPr>
                <w:rFonts w:ascii="宋体" w:eastAsia="宋体" w:hAnsi="宋体" w:cs="宋体" w:hint="eastAsia"/>
                <w:sz w:val="21"/>
                <w:szCs w:val="21"/>
                <w:lang w:eastAsia="zh-CN"/>
              </w:rPr>
              <w:t>7</w:t>
            </w:r>
            <w:r>
              <w:rPr>
                <w:rFonts w:ascii="宋体" w:eastAsia="宋体" w:hAnsi="宋体" w:cs="宋体" w:hint="eastAsia"/>
                <w:sz w:val="21"/>
                <w:szCs w:val="21"/>
              </w:rPr>
              <w:t>0分；</w:t>
            </w:r>
          </w:p>
          <w:p>
            <w:pPr>
              <w:jc w:val="left"/>
              <w:rPr>
                <w:rFonts w:ascii="宋体" w:eastAsia="宋体" w:hAnsi="宋体" w:cs="宋体" w:hint="eastAsia"/>
                <w:sz w:val="21"/>
                <w:szCs w:val="21"/>
              </w:rPr>
            </w:pPr>
            <w:r>
              <w:rPr>
                <w:rFonts w:ascii="宋体" w:eastAsia="宋体" w:hAnsi="宋体" w:cs="宋体" w:hint="eastAsia"/>
                <w:sz w:val="21"/>
                <w:szCs w:val="21"/>
              </w:rPr>
              <w:t>（2）评价为良（内容完整，家具摆放设计较为合理、实用性较好，家具设计较好、图片清晰、整体效果基本符合场景环境实际需求）的加</w:t>
            </w:r>
            <w:r>
              <w:rPr>
                <w:rFonts w:ascii="宋体" w:eastAsia="宋体" w:hAnsi="宋体" w:cs="宋体" w:hint="eastAsia"/>
                <w:sz w:val="21"/>
                <w:szCs w:val="21"/>
                <w:lang w:eastAsia="zh-CN"/>
              </w:rPr>
              <w:t>3</w:t>
            </w:r>
            <w:r>
              <w:rPr>
                <w:rFonts w:ascii="宋体" w:eastAsia="宋体" w:hAnsi="宋体" w:cs="宋体" w:hint="eastAsia"/>
                <w:sz w:val="21"/>
                <w:szCs w:val="21"/>
              </w:rPr>
              <w:t>0分；</w:t>
            </w:r>
          </w:p>
          <w:p>
            <w:pPr>
              <w:jc w:val="left"/>
              <w:rPr>
                <w:rFonts w:ascii="宋体" w:eastAsia="宋体" w:hAnsi="宋体" w:cs="宋体" w:hint="eastAsia"/>
                <w:sz w:val="21"/>
                <w:szCs w:val="21"/>
              </w:rPr>
            </w:pPr>
            <w:r>
              <w:rPr>
                <w:rFonts w:ascii="宋体" w:eastAsia="宋体" w:hAnsi="宋体" w:cs="宋体" w:hint="eastAsia"/>
                <w:sz w:val="21"/>
                <w:szCs w:val="21"/>
              </w:rPr>
              <w:t>（3）评价为中（内容基本完整，家具摆放设计合理性一般、实用性一般，家具设计一般、图片清晰、整体效果不完全符合场景环境实际需求）的加10分；</w:t>
            </w:r>
          </w:p>
          <w:p>
            <w:pPr>
              <w:jc w:val="left"/>
              <w:rPr>
                <w:rFonts w:ascii="宋体" w:eastAsia="宋体" w:hAnsi="宋体" w:cs="宋体" w:hint="eastAsia"/>
                <w:sz w:val="21"/>
                <w:szCs w:val="21"/>
              </w:rPr>
            </w:pPr>
            <w:r>
              <w:rPr>
                <w:rFonts w:ascii="宋体" w:eastAsia="宋体" w:hAnsi="宋体" w:cs="宋体" w:hint="eastAsia"/>
                <w:sz w:val="21"/>
                <w:szCs w:val="21"/>
              </w:rPr>
              <w:t>（4）评价为差（内容不完整，家具摆放设计合理性较差、实用性较差，家具设计较差、图片不清晰、整体效果不符合场景环境实际需求）的不加分。</w:t>
            </w:r>
          </w:p>
          <w:p>
            <w:pPr>
              <w:rPr>
                <w:rFonts w:ascii="宋体" w:eastAsia="宋体" w:hAnsi="宋体" w:cs="宋体" w:hint="eastAsia"/>
                <w:sz w:val="21"/>
                <w:szCs w:val="21"/>
              </w:rPr>
            </w:pPr>
            <w:r>
              <w:rPr>
                <w:rFonts w:ascii="宋体" w:eastAsia="宋体" w:hAnsi="宋体" w:cs="宋体" w:hint="eastAsia"/>
                <w:sz w:val="21"/>
                <w:szCs w:val="21"/>
              </w:rPr>
              <w:t>以上2项累计得分，最高得100分。</w:t>
            </w:r>
          </w:p>
        </w:tc>
      </w:tr>
      <w:tr>
        <w:tblPrEx>
          <w:tblW w:w="5000" w:type="pct"/>
          <w:jc w:val="center"/>
          <w:tblLayout w:type="fixed"/>
          <w:tblCellMar>
            <w:top w:w="0" w:type="dxa"/>
            <w:left w:w="108" w:type="dxa"/>
            <w:bottom w:w="0" w:type="dxa"/>
            <w:right w:w="108" w:type="dxa"/>
          </w:tblCellMar>
        </w:tblPrEx>
        <w:trPr>
          <w:trHeight w:val="2160"/>
          <w:jc w:val="center"/>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1332" w:type="dxa"/>
            <w:gridSpan w:val="3"/>
            <w:noWrap w:val="0"/>
            <w:vAlign w:val="center"/>
          </w:tcPr>
          <w:p>
            <w:pPr>
              <w:snapToGrid w:val="0"/>
              <w:jc w:val="center"/>
              <w:rPr>
                <w:rFonts w:ascii="宋体" w:eastAsia="宋体" w:hAnsi="宋体" w:cs="宋体" w:hint="eastAsia"/>
                <w:sz w:val="21"/>
                <w:szCs w:val="21"/>
              </w:rPr>
            </w:pPr>
            <w:r>
              <w:rPr>
                <w:rFonts w:ascii="宋体" w:eastAsia="宋体" w:hAnsi="宋体" w:cs="宋体" w:hint="eastAsia"/>
                <w:sz w:val="21"/>
                <w:szCs w:val="21"/>
              </w:rPr>
              <w:t>售后服务评价</w:t>
            </w:r>
          </w:p>
        </w:tc>
        <w:tc>
          <w:tcPr>
            <w:tcW w:w="1268" w:type="dxa"/>
            <w:noWrap w:val="0"/>
            <w:vAlign w:val="center"/>
          </w:tcPr>
          <w:p>
            <w:pPr>
              <w:widowControl/>
              <w:wordWrap w:val="0"/>
              <w:jc w:val="center"/>
              <w:textAlignment w:val="top"/>
              <w:rPr>
                <w:rFonts w:ascii="宋体" w:eastAsia="宋体" w:hAnsi="宋体" w:cs="宋体" w:hint="eastAsia"/>
                <w:sz w:val="21"/>
                <w:szCs w:val="21"/>
                <w:lang w:eastAsia="zh-CN"/>
              </w:rPr>
            </w:pPr>
            <w:r>
              <w:rPr>
                <w:rFonts w:ascii="宋体" w:eastAsia="宋体" w:hAnsi="宋体" w:cs="宋体" w:hint="eastAsia"/>
                <w:sz w:val="21"/>
                <w:szCs w:val="21"/>
                <w:lang w:eastAsia="zh-CN"/>
              </w:rPr>
              <w:t>5</w:t>
            </w:r>
          </w:p>
        </w:tc>
        <w:tc>
          <w:tcPr>
            <w:tcW w:w="7037" w:type="dxa"/>
            <w:noWrap w:val="0"/>
            <w:vAlign w:val="top"/>
          </w:tcPr>
          <w:p>
            <w:pPr>
              <w:snapToGrid w:val="0"/>
              <w:rPr>
                <w:rFonts w:ascii="宋体" w:eastAsia="宋体" w:hAnsi="宋体" w:cs="宋体" w:hint="eastAsia"/>
                <w:sz w:val="21"/>
                <w:szCs w:val="21"/>
              </w:rPr>
            </w:pPr>
            <w:r>
              <w:rPr>
                <w:rFonts w:ascii="宋体" w:eastAsia="宋体" w:hAnsi="宋体" w:cs="宋体" w:hint="eastAsia"/>
                <w:sz w:val="21"/>
                <w:szCs w:val="21"/>
              </w:rPr>
              <w:t>（一）评审内容：</w:t>
            </w:r>
          </w:p>
          <w:p>
            <w:pPr>
              <w:snapToGrid w:val="0"/>
              <w:rPr>
                <w:rFonts w:ascii="宋体" w:eastAsia="宋体" w:hAnsi="宋体" w:cs="宋体" w:hint="eastAsia"/>
                <w:sz w:val="21"/>
                <w:szCs w:val="21"/>
              </w:rPr>
            </w:pPr>
            <w:r>
              <w:rPr>
                <w:rFonts w:ascii="宋体" w:eastAsia="宋体" w:hAnsi="宋体" w:cs="宋体" w:hint="eastAsia"/>
                <w:sz w:val="21"/>
                <w:szCs w:val="21"/>
              </w:rPr>
              <w:t>投标人提供本项目的售后服务方案，方案中包含：</w:t>
            </w:r>
          </w:p>
          <w:p>
            <w:pPr>
              <w:snapToGrid w:val="0"/>
              <w:rPr>
                <w:rFonts w:ascii="宋体" w:eastAsia="宋体" w:hAnsi="宋体" w:cs="宋体" w:hint="eastAsia"/>
                <w:sz w:val="21"/>
                <w:szCs w:val="21"/>
              </w:rPr>
            </w:pPr>
            <w:r>
              <w:rPr>
                <w:rFonts w:ascii="宋体" w:eastAsia="宋体" w:hAnsi="宋体" w:cs="宋体" w:hint="eastAsia"/>
                <w:sz w:val="21"/>
                <w:szCs w:val="21"/>
              </w:rPr>
              <w:t>1、服务内容；</w:t>
            </w:r>
          </w:p>
          <w:p>
            <w:pPr>
              <w:snapToGrid w:val="0"/>
              <w:rPr>
                <w:rFonts w:ascii="宋体" w:eastAsia="宋体" w:hAnsi="宋体" w:cs="宋体" w:hint="eastAsia"/>
                <w:sz w:val="21"/>
                <w:szCs w:val="21"/>
              </w:rPr>
            </w:pPr>
            <w:r>
              <w:rPr>
                <w:rFonts w:ascii="宋体" w:eastAsia="宋体" w:hAnsi="宋体" w:cs="宋体" w:hint="eastAsia"/>
                <w:sz w:val="21"/>
                <w:szCs w:val="21"/>
              </w:rPr>
              <w:t>2、维修应急方案；</w:t>
            </w:r>
          </w:p>
          <w:p>
            <w:pPr>
              <w:snapToGrid w:val="0"/>
              <w:rPr>
                <w:rFonts w:ascii="宋体" w:eastAsia="宋体" w:hAnsi="宋体" w:cs="宋体" w:hint="eastAsia"/>
                <w:sz w:val="21"/>
                <w:szCs w:val="21"/>
              </w:rPr>
            </w:pPr>
            <w:r>
              <w:rPr>
                <w:rFonts w:ascii="宋体" w:eastAsia="宋体" w:hAnsi="宋体" w:cs="宋体" w:hint="eastAsia"/>
                <w:sz w:val="21"/>
                <w:szCs w:val="21"/>
              </w:rPr>
              <w:t>3、培训计划；</w:t>
            </w:r>
          </w:p>
          <w:p>
            <w:pPr>
              <w:snapToGrid w:val="0"/>
              <w:rPr>
                <w:rFonts w:ascii="宋体" w:eastAsia="宋体" w:hAnsi="宋体" w:cs="宋体" w:hint="eastAsia"/>
                <w:sz w:val="21"/>
                <w:szCs w:val="21"/>
              </w:rPr>
            </w:pPr>
            <w:r>
              <w:rPr>
                <w:rFonts w:ascii="宋体" w:eastAsia="宋体" w:hAnsi="宋体" w:cs="宋体" w:hint="eastAsia"/>
                <w:sz w:val="21"/>
                <w:szCs w:val="21"/>
              </w:rPr>
              <w:t>4、其他特色服务。</w:t>
            </w:r>
          </w:p>
          <w:p>
            <w:pPr>
              <w:snapToGrid w:val="0"/>
              <w:rPr>
                <w:rFonts w:ascii="宋体" w:eastAsia="宋体" w:hAnsi="宋体" w:cs="宋体" w:hint="eastAsia"/>
                <w:sz w:val="21"/>
                <w:szCs w:val="21"/>
              </w:rPr>
            </w:pPr>
            <w:r>
              <w:rPr>
                <w:rFonts w:ascii="宋体" w:eastAsia="宋体" w:hAnsi="宋体" w:cs="宋体" w:hint="eastAsia"/>
                <w:sz w:val="21"/>
                <w:szCs w:val="21"/>
              </w:rPr>
              <w:t>（二）评审标准：</w:t>
            </w:r>
          </w:p>
          <w:p>
            <w:pPr>
              <w:snapToGrid w:val="0"/>
              <w:rPr>
                <w:rFonts w:ascii="宋体" w:eastAsia="宋体" w:hAnsi="宋体" w:cs="宋体" w:hint="eastAsia"/>
                <w:sz w:val="21"/>
                <w:szCs w:val="21"/>
              </w:rPr>
            </w:pPr>
            <w:r>
              <w:rPr>
                <w:rFonts w:ascii="宋体" w:eastAsia="宋体" w:hAnsi="宋体" w:cs="宋体" w:hint="eastAsia"/>
                <w:sz w:val="21"/>
                <w:szCs w:val="21"/>
              </w:rPr>
              <w:t>方案中含有上述一个内容得</w:t>
            </w:r>
            <w:r>
              <w:rPr>
                <w:rFonts w:ascii="宋体" w:eastAsia="宋体" w:hAnsi="宋体" w:cs="宋体" w:hint="eastAsia"/>
                <w:sz w:val="21"/>
                <w:szCs w:val="21"/>
                <w:lang w:eastAsia="zh-CN"/>
              </w:rPr>
              <w:t>10</w:t>
            </w:r>
            <w:r>
              <w:rPr>
                <w:rFonts w:ascii="宋体" w:eastAsia="宋体" w:hAnsi="宋体" w:cs="宋体" w:hint="eastAsia"/>
                <w:sz w:val="21"/>
                <w:szCs w:val="21"/>
              </w:rPr>
              <w:t>分，总计</w:t>
            </w:r>
            <w:r>
              <w:rPr>
                <w:rFonts w:ascii="宋体" w:eastAsia="宋体" w:hAnsi="宋体" w:cs="宋体" w:hint="eastAsia"/>
                <w:sz w:val="21"/>
                <w:szCs w:val="21"/>
                <w:lang w:eastAsia="zh-CN"/>
              </w:rPr>
              <w:t>4</w:t>
            </w:r>
            <w:r>
              <w:rPr>
                <w:rFonts w:ascii="宋体" w:eastAsia="宋体" w:hAnsi="宋体" w:cs="宋体" w:hint="eastAsia"/>
                <w:sz w:val="21"/>
                <w:szCs w:val="21"/>
              </w:rPr>
              <w:t>0分。在此基础上，对方案的合理性、可行性进行打分。</w:t>
            </w:r>
          </w:p>
          <w:p>
            <w:pPr>
              <w:snapToGrid w:val="0"/>
              <w:rPr>
                <w:rFonts w:ascii="宋体" w:eastAsia="宋体" w:hAnsi="宋体" w:cs="宋体" w:hint="eastAsia"/>
                <w:sz w:val="21"/>
                <w:szCs w:val="21"/>
              </w:rPr>
            </w:pPr>
            <w:r>
              <w:rPr>
                <w:rFonts w:ascii="宋体" w:eastAsia="宋体" w:hAnsi="宋体" w:cs="宋体" w:hint="eastAsia"/>
                <w:sz w:val="21"/>
                <w:szCs w:val="21"/>
              </w:rPr>
              <w:t>1、售后服务方案非常详细，保障措施完善可行，得</w:t>
            </w:r>
            <w:r>
              <w:rPr>
                <w:rFonts w:ascii="宋体" w:eastAsia="宋体" w:hAnsi="宋体" w:cs="宋体" w:hint="eastAsia"/>
                <w:sz w:val="21"/>
                <w:szCs w:val="21"/>
                <w:lang w:eastAsia="zh-CN"/>
              </w:rPr>
              <w:t>6</w:t>
            </w:r>
            <w:r>
              <w:rPr>
                <w:rFonts w:ascii="宋体" w:eastAsia="宋体" w:hAnsi="宋体" w:cs="宋体" w:hint="eastAsia"/>
                <w:sz w:val="21"/>
                <w:szCs w:val="21"/>
              </w:rPr>
              <w:t>0分；</w:t>
            </w:r>
          </w:p>
          <w:p>
            <w:pPr>
              <w:snapToGrid w:val="0"/>
              <w:rPr>
                <w:rFonts w:ascii="宋体" w:eastAsia="宋体" w:hAnsi="宋体" w:cs="宋体" w:hint="eastAsia"/>
                <w:sz w:val="21"/>
                <w:szCs w:val="21"/>
              </w:rPr>
            </w:pPr>
            <w:r>
              <w:rPr>
                <w:rFonts w:ascii="宋体" w:eastAsia="宋体" w:hAnsi="宋体" w:cs="宋体" w:hint="eastAsia"/>
                <w:sz w:val="21"/>
                <w:szCs w:val="21"/>
              </w:rPr>
              <w:t>2、售后服务方案比较具体，保障措施比较完善可行的得20分；</w:t>
            </w:r>
          </w:p>
          <w:p>
            <w:pPr>
              <w:snapToGrid w:val="0"/>
              <w:rPr>
                <w:rFonts w:ascii="宋体" w:eastAsia="宋体" w:hAnsi="宋体" w:cs="宋体" w:hint="eastAsia"/>
                <w:sz w:val="21"/>
                <w:szCs w:val="21"/>
              </w:rPr>
            </w:pPr>
            <w:r>
              <w:rPr>
                <w:rFonts w:ascii="宋体" w:eastAsia="宋体" w:hAnsi="宋体" w:cs="宋体" w:hint="eastAsia"/>
                <w:sz w:val="21"/>
                <w:szCs w:val="21"/>
              </w:rPr>
              <w:t>3、未提供售后服务方案或售后服务方案不详细、可行性较差的得0分。</w:t>
            </w:r>
          </w:p>
        </w:tc>
      </w:tr>
      <w:tr>
        <w:tblPrEx>
          <w:tblW w:w="5000" w:type="pct"/>
          <w:jc w:val="center"/>
          <w:tblLayout w:type="fixed"/>
          <w:tblCellMar>
            <w:top w:w="0" w:type="dxa"/>
            <w:left w:w="108" w:type="dxa"/>
            <w:bottom w:w="0" w:type="dxa"/>
            <w:right w:w="108" w:type="dxa"/>
          </w:tblCellMar>
        </w:tblPrEx>
        <w:trPr>
          <w:trHeight w:val="545"/>
          <w:jc w:val="center"/>
        </w:trPr>
        <w:tc>
          <w:tcPr>
            <w:tcW w:w="392" w:type="dxa"/>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5</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样品</w:t>
            </w:r>
          </w:p>
        </w:tc>
        <w:tc>
          <w:tcPr>
            <w:tcW w:w="1268"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6</w:t>
            </w:r>
          </w:p>
        </w:tc>
        <w:tc>
          <w:tcPr>
            <w:tcW w:w="7037" w:type="dxa"/>
            <w:noWrap w:val="0"/>
            <w:vAlign w:val="center"/>
          </w:tcPr>
          <w:p>
            <w:pPr>
              <w:rPr>
                <w:rFonts w:ascii="宋体" w:eastAsia="宋体" w:hAnsi="宋体" w:cs="宋体" w:hint="eastAsia"/>
                <w:b/>
                <w:sz w:val="21"/>
                <w:szCs w:val="21"/>
              </w:rPr>
            </w:pPr>
            <w:r>
              <w:rPr>
                <w:rFonts w:ascii="宋体" w:eastAsia="宋体" w:hAnsi="宋体" w:cs="宋体" w:hint="eastAsia"/>
                <w:b/>
                <w:sz w:val="21"/>
                <w:szCs w:val="21"/>
              </w:rPr>
              <w:t>（一）评分内容</w:t>
            </w:r>
          </w:p>
          <w:p>
            <w:pPr>
              <w:rPr>
                <w:rFonts w:ascii="宋体" w:eastAsia="宋体" w:hAnsi="宋体" w:cs="宋体" w:hint="eastAsia"/>
                <w:bCs/>
                <w:sz w:val="21"/>
                <w:szCs w:val="21"/>
              </w:rPr>
            </w:pPr>
            <w:r>
              <w:rPr>
                <w:rFonts w:ascii="宋体" w:eastAsia="宋体" w:hAnsi="宋体" w:cs="宋体" w:hint="eastAsia"/>
                <w:bCs/>
                <w:sz w:val="21"/>
                <w:szCs w:val="21"/>
              </w:rPr>
              <w:t>投标人需以</w:t>
            </w:r>
            <w:r>
              <w:rPr>
                <w:rFonts w:ascii="宋体" w:eastAsia="宋体" w:hAnsi="宋体" w:cs="宋体" w:hint="eastAsia"/>
                <w:b/>
                <w:sz w:val="21"/>
                <w:szCs w:val="21"/>
              </w:rPr>
              <w:t>视频形式</w:t>
            </w:r>
            <w:r>
              <w:rPr>
                <w:rFonts w:ascii="宋体" w:eastAsia="宋体" w:hAnsi="宋体" w:cs="宋体" w:hint="eastAsia"/>
                <w:bCs/>
                <w:sz w:val="21"/>
                <w:szCs w:val="21"/>
              </w:rPr>
              <w:t>对样品清单中“原木5格分区矮柜.可拆黑白板”的产品按照以下内容进行视频演示。视频具备声音及字幕配合，能直观展示样品，如收纳、调节等的动态演示，每个产品动态视频不少于2分钟。</w:t>
            </w:r>
          </w:p>
          <w:p>
            <w:pPr>
              <w:rPr>
                <w:rFonts w:ascii="宋体" w:eastAsia="宋体" w:hAnsi="宋体" w:cs="宋体" w:hint="eastAsia"/>
                <w:bCs/>
                <w:sz w:val="21"/>
                <w:szCs w:val="21"/>
              </w:rPr>
            </w:pPr>
            <w:r>
              <w:rPr>
                <w:rFonts w:ascii="宋体" w:eastAsia="宋体" w:hAnsi="宋体" w:cs="宋体" w:hint="eastAsia"/>
                <w:bCs/>
                <w:sz w:val="21"/>
                <w:szCs w:val="21"/>
              </w:rPr>
              <w:t>1.按照样品清单要求尺寸对视频中所提供的实物“原木5格分区矮柜.可拆黑白板”进行测量，完全满足得 25 分，其他情况不得分;</w:t>
            </w:r>
          </w:p>
          <w:p>
            <w:pPr>
              <w:rPr>
                <w:rFonts w:ascii="宋体" w:eastAsia="宋体" w:hAnsi="宋体" w:cs="宋体" w:hint="eastAsia"/>
                <w:bCs/>
                <w:sz w:val="21"/>
                <w:szCs w:val="21"/>
              </w:rPr>
            </w:pPr>
            <w:r>
              <w:rPr>
                <w:rFonts w:ascii="宋体" w:eastAsia="宋体" w:hAnsi="宋体" w:cs="宋体" w:hint="eastAsia"/>
                <w:bCs/>
                <w:sz w:val="21"/>
                <w:szCs w:val="21"/>
              </w:rPr>
              <w:t>2.按照样品清单要求的功能设计对视频中所提供的实物“原木5格分区矮柜.可拆黑白板”进行演示讲解，完全满足得 25 分，其他情况不得分;</w:t>
            </w:r>
          </w:p>
          <w:p>
            <w:pPr>
              <w:rPr>
                <w:rFonts w:ascii="宋体" w:eastAsia="宋体" w:hAnsi="宋体" w:cs="宋体" w:hint="eastAsia"/>
                <w:bCs/>
                <w:sz w:val="21"/>
                <w:szCs w:val="21"/>
              </w:rPr>
            </w:pPr>
            <w:r>
              <w:rPr>
                <w:rFonts w:ascii="宋体" w:eastAsia="宋体" w:hAnsi="宋体" w:cs="宋体" w:hint="eastAsia"/>
                <w:bCs/>
                <w:sz w:val="21"/>
                <w:szCs w:val="21"/>
              </w:rPr>
              <w:t>3.按照样品清单要求的外观结构对视频中所提供的实物“原木5格分区矮柜.可拆黑白板”进行演示讲解，完全满足得 25 分，其他情况不得分;</w:t>
            </w:r>
          </w:p>
          <w:p>
            <w:pPr>
              <w:rPr>
                <w:rFonts w:ascii="宋体" w:eastAsia="宋体" w:hAnsi="宋体" w:cs="宋体" w:hint="eastAsia"/>
                <w:bCs/>
                <w:sz w:val="21"/>
                <w:szCs w:val="21"/>
              </w:rPr>
            </w:pPr>
            <w:r>
              <w:rPr>
                <w:rFonts w:ascii="宋体" w:eastAsia="宋体" w:hAnsi="宋体" w:cs="宋体" w:hint="eastAsia"/>
                <w:bCs/>
                <w:sz w:val="21"/>
                <w:szCs w:val="21"/>
              </w:rPr>
              <w:t>4.按照样品清单要求的材质用料对视频中所提供的实物“原木5格分区矮柜.可拆黑白板”进行演示讲解，完全满足得 25 分，其他情况不得分;</w:t>
            </w:r>
          </w:p>
          <w:p>
            <w:pPr>
              <w:rPr>
                <w:rFonts w:ascii="宋体" w:eastAsia="宋体" w:hAnsi="宋体" w:cs="宋体" w:hint="eastAsia"/>
                <w:bCs/>
                <w:sz w:val="21"/>
                <w:szCs w:val="21"/>
              </w:rPr>
            </w:pPr>
            <w:r>
              <w:rPr>
                <w:rFonts w:ascii="宋体" w:eastAsia="宋体" w:hAnsi="宋体" w:cs="宋体" w:hint="eastAsia"/>
                <w:bCs/>
                <w:sz w:val="21"/>
                <w:szCs w:val="21"/>
              </w:rPr>
              <w:t>以上各小项累计加分，最高得 100 分。</w:t>
            </w:r>
          </w:p>
          <w:p>
            <w:pPr>
              <w:rPr>
                <w:rFonts w:ascii="宋体" w:eastAsia="宋体" w:hAnsi="宋体" w:cs="宋体" w:hint="eastAsia"/>
                <w:b/>
                <w:sz w:val="21"/>
                <w:szCs w:val="21"/>
              </w:rPr>
            </w:pPr>
            <w:r>
              <w:rPr>
                <w:rFonts w:ascii="宋体" w:eastAsia="宋体" w:hAnsi="宋体" w:cs="宋体" w:hint="eastAsia"/>
                <w:b/>
                <w:sz w:val="21"/>
                <w:szCs w:val="21"/>
              </w:rPr>
              <w:t>（二）评分依据</w:t>
            </w:r>
          </w:p>
          <w:p>
            <w:pPr>
              <w:rPr>
                <w:rFonts w:ascii="宋体" w:eastAsia="宋体" w:hAnsi="宋体" w:cs="宋体" w:hint="eastAsia"/>
                <w:b/>
                <w:bCs/>
                <w:color w:val="000000"/>
                <w:sz w:val="21"/>
                <w:szCs w:val="21"/>
                <w:lang w:bidi="ar"/>
              </w:rPr>
            </w:pPr>
            <w:r>
              <w:rPr>
                <w:rFonts w:ascii="宋体" w:eastAsia="宋体" w:hAnsi="宋体" w:cs="宋体" w:hint="eastAsia"/>
                <w:sz w:val="21"/>
                <w:szCs w:val="21"/>
              </w:rPr>
              <w:t>评审委员会根据</w:t>
            </w:r>
            <w:r>
              <w:rPr>
                <w:rFonts w:ascii="宋体" w:eastAsia="宋体" w:hAnsi="宋体" w:cs="宋体" w:hint="eastAsia"/>
                <w:sz w:val="21"/>
                <w:szCs w:val="21"/>
                <w:lang w:eastAsia="zh-CN"/>
              </w:rPr>
              <w:t>以上</w:t>
            </w:r>
            <w:r>
              <w:rPr>
                <w:rFonts w:ascii="宋体" w:eastAsia="宋体" w:hAnsi="宋体" w:cs="宋体" w:hint="eastAsia"/>
                <w:sz w:val="21"/>
                <w:szCs w:val="21"/>
              </w:rPr>
              <w:t>“视频演示”</w:t>
            </w:r>
            <w:r>
              <w:rPr>
                <w:rFonts w:ascii="宋体" w:eastAsia="宋体" w:hAnsi="宋体" w:cs="宋体" w:hint="eastAsia"/>
                <w:sz w:val="21"/>
                <w:szCs w:val="21"/>
                <w:lang w:eastAsia="zh-CN"/>
              </w:rPr>
              <w:t>内容</w:t>
            </w:r>
            <w:r>
              <w:rPr>
                <w:rFonts w:ascii="宋体" w:eastAsia="宋体" w:hAnsi="宋体" w:cs="宋体" w:hint="eastAsia"/>
                <w:sz w:val="21"/>
                <w:szCs w:val="21"/>
              </w:rPr>
              <w:t>和具体的演示情况进行打分，未按照</w:t>
            </w:r>
            <w:r>
              <w:rPr>
                <w:rFonts w:ascii="宋体" w:eastAsia="宋体" w:hAnsi="宋体" w:cs="宋体" w:hint="eastAsia"/>
                <w:sz w:val="21"/>
                <w:szCs w:val="21"/>
                <w:lang w:eastAsia="zh-CN"/>
              </w:rPr>
              <w:t>以上</w:t>
            </w:r>
            <w:r>
              <w:rPr>
                <w:rFonts w:ascii="宋体" w:eastAsia="宋体" w:hAnsi="宋体" w:cs="宋体" w:hint="eastAsia"/>
                <w:sz w:val="21"/>
                <w:szCs w:val="21"/>
              </w:rPr>
              <w:t>“视频演示”</w:t>
            </w:r>
            <w:r>
              <w:rPr>
                <w:rFonts w:ascii="宋体" w:eastAsia="宋体" w:hAnsi="宋体" w:cs="宋体" w:hint="eastAsia"/>
                <w:sz w:val="21"/>
                <w:szCs w:val="21"/>
                <w:lang w:eastAsia="zh-CN"/>
              </w:rPr>
              <w:t>内容</w:t>
            </w:r>
            <w:r>
              <w:rPr>
                <w:rFonts w:ascii="宋体" w:eastAsia="宋体" w:hAnsi="宋体" w:cs="宋体" w:hint="eastAsia"/>
                <w:sz w:val="21"/>
                <w:szCs w:val="21"/>
              </w:rPr>
              <w:t>进行演示的或演示视频无法证明是否得分的，均不得相应分数。若视频演示无法打开，则视同演示不成功，不得分。</w:t>
            </w:r>
          </w:p>
        </w:tc>
      </w:tr>
      <w:tr>
        <w:tblPrEx>
          <w:tblW w:w="5000" w:type="pct"/>
          <w:jc w:val="center"/>
          <w:tblLayout w:type="fixed"/>
          <w:tblCellMar>
            <w:top w:w="0" w:type="dxa"/>
            <w:left w:w="108" w:type="dxa"/>
            <w:bottom w:w="0" w:type="dxa"/>
            <w:right w:w="108" w:type="dxa"/>
          </w:tblCellMar>
        </w:tblPrEx>
        <w:trPr>
          <w:trHeight w:val="20"/>
          <w:jc w:val="center"/>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w:t>
            </w:r>
          </w:p>
        </w:tc>
        <w:tc>
          <w:tcPr>
            <w:tcW w:w="3309"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商务部分</w:t>
            </w:r>
          </w:p>
        </w:tc>
        <w:tc>
          <w:tcPr>
            <w:tcW w:w="7037"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13</w:t>
            </w:r>
          </w:p>
        </w:tc>
      </w:tr>
      <w:tr>
        <w:tblPrEx>
          <w:tblW w:w="5000" w:type="pct"/>
          <w:jc w:val="center"/>
          <w:tblLayout w:type="fixed"/>
          <w:tblCellMar>
            <w:top w:w="0" w:type="dxa"/>
            <w:left w:w="108" w:type="dxa"/>
            <w:bottom w:w="0" w:type="dxa"/>
            <w:right w:w="108" w:type="dxa"/>
          </w:tblCellMar>
        </w:tblPrEx>
        <w:trPr>
          <w:trHeight w:val="367"/>
          <w:jc w:val="center"/>
        </w:trPr>
        <w:tc>
          <w:tcPr>
            <w:tcW w:w="392" w:type="dxa"/>
            <w:vMerge w:val="restart"/>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121"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466" w:type="dxa"/>
            <w:gridSpan w:val="2"/>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7037"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90"/>
          <w:jc w:val="center"/>
        </w:trPr>
        <w:tc>
          <w:tcPr>
            <w:tcW w:w="392" w:type="dxa"/>
            <w:vMerge/>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1121"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其他商务条款偏离情况</w:t>
            </w:r>
          </w:p>
        </w:tc>
        <w:tc>
          <w:tcPr>
            <w:tcW w:w="1466"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7037" w:type="dxa"/>
            <w:noWrap w:val="0"/>
            <w:vAlign w:val="center"/>
          </w:tcPr>
          <w:p>
            <w:pPr>
              <w:snapToGrid w:val="0"/>
              <w:spacing w:line="300" w:lineRule="auto"/>
              <w:rPr>
                <w:rFonts w:ascii="宋体" w:eastAsia="宋体" w:hAnsi="宋体" w:cs="宋体" w:hint="eastAsia"/>
                <w:sz w:val="21"/>
                <w:szCs w:val="21"/>
              </w:rPr>
            </w:pPr>
            <w:r>
              <w:rPr>
                <w:rFonts w:ascii="宋体" w:eastAsia="宋体" w:hAnsi="宋体" w:cs="宋体" w:hint="eastAsia"/>
                <w:sz w:val="21"/>
                <w:szCs w:val="21"/>
              </w:rPr>
              <w:t>响应供应商应如实填写《其他商务条款偏离表》，评审小组根据响应情况进行打分，全部满足要求的得满分</w:t>
            </w:r>
            <w:r>
              <w:rPr>
                <w:rFonts w:ascii="宋体" w:eastAsia="宋体" w:hAnsi="宋体" w:cs="宋体" w:hint="eastAsia"/>
                <w:sz w:val="21"/>
                <w:szCs w:val="21"/>
                <w:lang w:eastAsia="zh-CN"/>
              </w:rPr>
              <w:t>100</w:t>
            </w:r>
            <w:r>
              <w:rPr>
                <w:rFonts w:ascii="宋体" w:eastAsia="宋体" w:hAnsi="宋体" w:cs="宋体" w:hint="eastAsia"/>
                <w:sz w:val="21"/>
                <w:szCs w:val="21"/>
              </w:rPr>
              <w:t>分，除实质性条款外，每负偏离一项扣</w:t>
            </w:r>
            <w:r>
              <w:rPr>
                <w:rFonts w:ascii="宋体" w:eastAsia="宋体" w:hAnsi="宋体" w:cs="宋体" w:hint="eastAsia"/>
                <w:sz w:val="21"/>
                <w:szCs w:val="21"/>
                <w:lang w:eastAsia="zh-CN"/>
              </w:rPr>
              <w:t>10</w:t>
            </w:r>
            <w:r>
              <w:rPr>
                <w:rFonts w:ascii="宋体" w:eastAsia="宋体" w:hAnsi="宋体" w:cs="宋体" w:hint="eastAsia"/>
                <w:sz w:val="21"/>
                <w:szCs w:val="21"/>
              </w:rPr>
              <w:t>分，扣完为止。</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1121"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同类项目业绩</w:t>
            </w:r>
          </w:p>
        </w:tc>
        <w:tc>
          <w:tcPr>
            <w:tcW w:w="1466"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7037" w:type="dxa"/>
            <w:noWrap w:val="0"/>
            <w:vAlign w:val="center"/>
          </w:tcPr>
          <w:p>
            <w:pPr>
              <w:snapToGrid w:val="0"/>
              <w:jc w:val="left"/>
              <w:rPr>
                <w:rFonts w:ascii="宋体" w:eastAsia="宋体" w:hAnsi="宋体" w:cs="宋体" w:hint="eastAsia"/>
                <w:sz w:val="21"/>
                <w:szCs w:val="21"/>
              </w:rPr>
            </w:pPr>
            <w:r>
              <w:rPr>
                <w:rFonts w:ascii="宋体" w:eastAsia="宋体" w:hAnsi="宋体" w:cs="宋体" w:hint="eastAsia"/>
                <w:sz w:val="21"/>
                <w:szCs w:val="21"/>
              </w:rPr>
              <w:t>（一）评分内容：</w:t>
            </w:r>
          </w:p>
          <w:p>
            <w:pPr>
              <w:snapToGrid w:val="0"/>
              <w:jc w:val="left"/>
              <w:rPr>
                <w:rFonts w:ascii="宋体" w:eastAsia="宋体" w:hAnsi="宋体" w:cs="宋体" w:hint="eastAsia"/>
                <w:sz w:val="21"/>
                <w:szCs w:val="21"/>
              </w:rPr>
            </w:pPr>
            <w:r>
              <w:rPr>
                <w:rFonts w:ascii="宋体" w:eastAsia="宋体" w:hAnsi="宋体" w:cs="宋体" w:hint="eastAsia"/>
                <w:sz w:val="21"/>
                <w:szCs w:val="21"/>
              </w:rPr>
              <w:t>2022年1月1日以后（以合同签定日期为准），投标人每提供一个“家具</w:t>
            </w:r>
            <w:r>
              <w:rPr>
                <w:rFonts w:ascii="宋体" w:eastAsia="宋体" w:hAnsi="宋体" w:cs="宋体" w:hint="eastAsia"/>
                <w:sz w:val="21"/>
                <w:szCs w:val="21"/>
                <w:lang w:eastAsia="zh-CN"/>
              </w:rPr>
              <w:t>类</w:t>
            </w:r>
            <w:r>
              <w:rPr>
                <w:rFonts w:ascii="宋体" w:eastAsia="宋体" w:hAnsi="宋体" w:cs="宋体" w:hint="eastAsia"/>
                <w:sz w:val="21"/>
                <w:szCs w:val="21"/>
              </w:rPr>
              <w:t>”业绩的得50分，最高得100分。</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注：续签（或补充）合同不重复计算；</w:t>
            </w:r>
          </w:p>
          <w:p>
            <w:pPr>
              <w:snapToGrid w:val="0"/>
              <w:jc w:val="left"/>
              <w:rPr>
                <w:rFonts w:ascii="宋体" w:eastAsia="宋体" w:hAnsi="宋体" w:cs="宋体" w:hint="eastAsia"/>
                <w:sz w:val="21"/>
                <w:szCs w:val="21"/>
              </w:rPr>
            </w:pPr>
            <w:r>
              <w:rPr>
                <w:rFonts w:ascii="宋体" w:eastAsia="宋体" w:hAnsi="宋体" w:cs="宋体" w:hint="eastAsia"/>
                <w:sz w:val="21"/>
                <w:szCs w:val="21"/>
              </w:rPr>
              <w:t>（二）评分依据：</w:t>
            </w:r>
          </w:p>
          <w:p>
            <w:pPr>
              <w:snapToGrid w:val="0"/>
              <w:jc w:val="left"/>
              <w:rPr>
                <w:rFonts w:ascii="宋体" w:eastAsia="宋体" w:hAnsi="宋体" w:cs="宋体" w:hint="eastAsia"/>
                <w:sz w:val="21"/>
                <w:szCs w:val="21"/>
              </w:rPr>
            </w:pPr>
            <w:r>
              <w:rPr>
                <w:rFonts w:ascii="宋体" w:eastAsia="宋体" w:hAnsi="宋体" w:cs="宋体" w:hint="eastAsia"/>
                <w:sz w:val="21"/>
                <w:szCs w:val="21"/>
              </w:rPr>
              <w:t>1、投标人提供的每项业绩须按以下要求同时提供完整准确的证明文件，如未按以下要求提供完整证明文件的业绩不计分：</w:t>
            </w:r>
          </w:p>
          <w:p>
            <w:pPr>
              <w:snapToGrid w:val="0"/>
              <w:jc w:val="left"/>
              <w:rPr>
                <w:rFonts w:ascii="宋体" w:eastAsia="宋体" w:hAnsi="宋体" w:cs="宋体" w:hint="eastAsia"/>
                <w:sz w:val="21"/>
                <w:szCs w:val="21"/>
              </w:rPr>
            </w:pPr>
            <w:r>
              <w:rPr>
                <w:rFonts w:ascii="宋体" w:eastAsia="宋体" w:hAnsi="宋体" w:cs="宋体" w:hint="eastAsia"/>
                <w:sz w:val="21"/>
                <w:szCs w:val="21"/>
              </w:rPr>
              <w:t>（1）提供合同关键信息（含签订合同双方的单位名称、合同项目名称、签订合同双方的落款盖章、签订日期的关键页、合同清单）；</w:t>
            </w:r>
          </w:p>
          <w:p>
            <w:pPr>
              <w:snapToGrid w:val="0"/>
              <w:jc w:val="left"/>
              <w:rPr>
                <w:rFonts w:ascii="宋体" w:eastAsia="宋体" w:hAnsi="宋体" w:cs="宋体" w:hint="eastAsia"/>
                <w:sz w:val="21"/>
                <w:szCs w:val="21"/>
              </w:rPr>
            </w:pPr>
            <w:r>
              <w:rPr>
                <w:rFonts w:ascii="宋体" w:eastAsia="宋体" w:hAnsi="宋体" w:cs="宋体" w:hint="eastAsia"/>
                <w:sz w:val="21"/>
                <w:szCs w:val="21"/>
              </w:rPr>
              <w:t>（2）验收报告，需加盖采购单位或被服务单位公章（或业务章）；</w:t>
            </w:r>
          </w:p>
          <w:p>
            <w:pPr>
              <w:snapToGrid w:val="0"/>
              <w:jc w:val="left"/>
              <w:rPr>
                <w:rFonts w:ascii="宋体" w:eastAsia="宋体" w:hAnsi="宋体" w:cs="宋体" w:hint="eastAsia"/>
                <w:sz w:val="21"/>
                <w:szCs w:val="21"/>
              </w:rPr>
            </w:pPr>
            <w:r>
              <w:rPr>
                <w:rFonts w:ascii="宋体" w:eastAsia="宋体" w:hAnsi="宋体" w:cs="宋体" w:hint="eastAsia"/>
                <w:sz w:val="21"/>
                <w:szCs w:val="21"/>
              </w:rPr>
              <w:t>（3）中标通知书或项目合同发票。</w:t>
            </w:r>
          </w:p>
          <w:p>
            <w:pPr>
              <w:snapToGrid w:val="0"/>
              <w:jc w:val="left"/>
              <w:rPr>
                <w:rFonts w:ascii="宋体" w:eastAsia="宋体" w:hAnsi="宋体" w:cs="宋体" w:hint="eastAsia"/>
                <w:sz w:val="21"/>
                <w:szCs w:val="21"/>
              </w:rPr>
            </w:pPr>
            <w:r>
              <w:rPr>
                <w:rFonts w:ascii="宋体" w:eastAsia="宋体" w:hAnsi="宋体" w:cs="宋体" w:hint="eastAsia"/>
                <w:sz w:val="21"/>
                <w:szCs w:val="21"/>
              </w:rPr>
              <w:t>2、未提供有效证明材料的或者提供的证明材料不符合要求的或者提供的证明材料不清晰导致评审专家无法辨认的，一律作不得分处理。</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1121"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环保产品</w:t>
            </w:r>
          </w:p>
        </w:tc>
        <w:tc>
          <w:tcPr>
            <w:tcW w:w="1466"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7037" w:type="dxa"/>
            <w:noWrap w:val="0"/>
            <w:vAlign w:val="center"/>
          </w:tcPr>
          <w:p>
            <w:pPr>
              <w:numPr>
                <w:ilvl w:val="0"/>
                <w:numId w:val="2"/>
              </w:numPr>
              <w:tabs>
                <w:tab w:val="left" w:pos="312"/>
              </w:tabs>
              <w:jc w:val="left"/>
              <w:rPr>
                <w:rFonts w:ascii="宋体" w:eastAsia="宋体" w:hAnsi="宋体" w:cs="宋体" w:hint="eastAsia"/>
                <w:sz w:val="21"/>
                <w:szCs w:val="21"/>
              </w:rPr>
            </w:pPr>
            <w:r>
              <w:rPr>
                <w:rFonts w:ascii="宋体" w:eastAsia="宋体" w:hAnsi="宋体" w:cs="宋体" w:hint="eastAsia"/>
                <w:sz w:val="21"/>
                <w:szCs w:val="21"/>
              </w:rPr>
              <w:t>投标人或核心产品制造商提供第三方机构颁发的《儿童安全级产品认证证书》，认证单元包含：实木家具、板木家具等，产品符合CTS 08001-2020《家具产品儿童安全级评价技术规范》的要求，其认证产品包含但不限于桌台类、柜类、椅类等，满足得20分，否则不得分。                              2.投标人或核心产品制造商提供第三方机构颁发的《低甲醛家具产品认证证书》（符合GB/T 35607-2024），认证单元包含：木家具；金属家具；软体家具，满足得20分，否则不得分。</w:t>
            </w:r>
          </w:p>
          <w:p>
            <w:pPr>
              <w:jc w:val="left"/>
              <w:rPr>
                <w:rFonts w:ascii="宋体" w:eastAsia="宋体" w:hAnsi="宋体" w:cs="宋体" w:hint="eastAsia"/>
                <w:sz w:val="21"/>
                <w:szCs w:val="21"/>
              </w:rPr>
            </w:pPr>
            <w:r>
              <w:rPr>
                <w:rFonts w:ascii="宋体" w:eastAsia="宋体" w:hAnsi="宋体" w:cs="宋体" w:hint="eastAsia"/>
                <w:sz w:val="21"/>
                <w:szCs w:val="21"/>
              </w:rPr>
              <w:t>3.投标人或核心产品制造商提供第三方机构颁发的《产品抗菌认证证书》（认证依据：QB/T 4371-2012）。认证单元包含：木家具；金属家具；软体家具，满足得20分，否则不得分。</w:t>
            </w:r>
          </w:p>
          <w:p>
            <w:pPr>
              <w:jc w:val="left"/>
              <w:rPr>
                <w:rFonts w:ascii="宋体" w:eastAsia="宋体" w:hAnsi="宋体" w:cs="宋体" w:hint="eastAsia"/>
                <w:sz w:val="21"/>
                <w:szCs w:val="21"/>
              </w:rPr>
            </w:pPr>
            <w:r>
              <w:rPr>
                <w:rFonts w:ascii="宋体" w:eastAsia="宋体" w:hAnsi="宋体" w:cs="宋体" w:hint="eastAsia"/>
                <w:sz w:val="21"/>
                <w:szCs w:val="21"/>
              </w:rPr>
              <w:t>4.投标人或其核心产品制造商具有通过第三方机构颁发的《有害物质过程控制管理体系认证证书》，认证范围包含但不限于幼儿家具、儿童户外游乐设施的设计开发、生产和销售所涉及的有害物质管理活动。满足得20分，否则不得分。</w:t>
            </w:r>
          </w:p>
          <w:p>
            <w:pPr>
              <w:jc w:val="left"/>
              <w:rPr>
                <w:rFonts w:ascii="宋体" w:eastAsia="宋体" w:hAnsi="宋体" w:cs="宋体" w:hint="eastAsia"/>
                <w:sz w:val="21"/>
                <w:szCs w:val="21"/>
              </w:rPr>
            </w:pPr>
            <w:r>
              <w:rPr>
                <w:rFonts w:ascii="宋体" w:eastAsia="宋体" w:hAnsi="宋体" w:cs="宋体" w:hint="eastAsia"/>
                <w:sz w:val="21"/>
                <w:szCs w:val="21"/>
              </w:rPr>
              <w:t>5.投标人或其核心产品制造商具有第三方认证机构颁发的《产品阻燃等级认证证书》（产品标准：GB 20286-2006），认证单元包含：木家具；软体家具，满足得20分，否则不得分。</w:t>
            </w:r>
          </w:p>
          <w:p>
            <w:pPr>
              <w:jc w:val="left"/>
              <w:rPr>
                <w:rFonts w:ascii="宋体" w:eastAsia="宋体" w:hAnsi="宋体" w:cs="宋体" w:hint="eastAsia"/>
                <w:sz w:val="21"/>
                <w:szCs w:val="21"/>
              </w:rPr>
            </w:pPr>
            <w:r>
              <w:rPr>
                <w:rFonts w:ascii="宋体" w:eastAsia="宋体" w:hAnsi="宋体" w:cs="宋体" w:hint="eastAsia"/>
                <w:b/>
                <w:bCs/>
                <w:sz w:val="21"/>
                <w:szCs w:val="21"/>
              </w:rPr>
              <w:t>注：提供以上有效期内认证证书复印件以及国家认可监督管理委员会（网址：http://www.cnca.gov.cn/）查询的截图并加盖投标人公章，否则不得分。原件备查。</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1121"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lang w:bidi="ar"/>
              </w:rPr>
              <w:t>诚信承诺函</w:t>
            </w:r>
          </w:p>
        </w:tc>
        <w:tc>
          <w:tcPr>
            <w:tcW w:w="1466"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5</w:t>
            </w:r>
          </w:p>
        </w:tc>
        <w:tc>
          <w:tcPr>
            <w:tcW w:w="7037" w:type="dxa"/>
            <w:noWrap w:val="0"/>
            <w:vAlign w:val="top"/>
          </w:tcPr>
          <w:p>
            <w:pPr>
              <w:rPr>
                <w:rFonts w:ascii="宋体" w:eastAsia="宋体" w:hAnsi="宋体" w:cs="宋体" w:hint="eastAsia"/>
                <w:sz w:val="21"/>
                <w:szCs w:val="21"/>
              </w:rPr>
            </w:pPr>
            <w:r>
              <w:rPr>
                <w:rFonts w:ascii="宋体" w:eastAsia="宋体" w:hAnsi="宋体" w:cs="宋体" w:hint="eastAsia"/>
                <w:sz w:val="21"/>
                <w:szCs w:val="21"/>
              </w:rPr>
              <w:t>投标人承诺在参与龙华区教育局自行采购活动中未出现诚信或安全相关问题且不在相关主管部门处理措施实施期限内的本项得满分100分，否则不得分。须提供加盖投标人公章的《诚信承诺函》，按采购文件格式要求提供，不提供或提供的不符合要求或提供不清晰导致专家无法判断的均不得分。如被认定提供的陈述与事实不符受到行政处罚的，依法追究其责任。</w:t>
            </w:r>
          </w:p>
        </w:tc>
      </w:tr>
    </w:tbl>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spacing w:line="360" w:lineRule="auto"/>
        <w:rPr>
          <w:rFonts w:ascii="Calibri" w:eastAsia="宋体" w:hAnsi="Calibri"/>
          <w:b/>
          <w:bCs/>
          <w:kern w:val="2"/>
          <w:sz w:val="84"/>
          <w:szCs w:val="84"/>
          <w:lang w:eastAsia="zh-CN"/>
        </w:rPr>
      </w:pPr>
    </w:p>
    <w:p>
      <w:pPr>
        <w:spacing w:line="360" w:lineRule="auto"/>
        <w:rPr>
          <w:rFonts w:ascii="Calibri" w:eastAsia="宋体" w:hAnsi="Calibri"/>
          <w:b/>
          <w:bCs/>
          <w:kern w:val="2"/>
          <w:sz w:val="84"/>
          <w:szCs w:val="84"/>
          <w:lang w:eastAsia="zh-CN"/>
        </w:rPr>
      </w:pPr>
    </w:p>
    <w:p>
      <w:pPr>
        <w:spacing w:line="360" w:lineRule="auto"/>
        <w:rPr>
          <w:rFonts w:ascii="Calibri" w:eastAsia="宋体" w:hAnsi="Calibri"/>
          <w:b/>
          <w:bCs/>
          <w:kern w:val="2"/>
          <w:sz w:val="84"/>
          <w:szCs w:val="84"/>
          <w:lang w:eastAsia="zh-CN"/>
        </w:rPr>
      </w:pPr>
    </w:p>
    <w:p>
      <w:pPr>
        <w:spacing w:line="360" w:lineRule="auto"/>
        <w:rPr>
          <w:rFonts w:ascii="Calibri" w:eastAsia="宋体" w:hAnsi="Calibri"/>
          <w:b/>
          <w:bCs/>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hint="eastAsia"/>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rPr>
          <w:rFonts w:ascii="宋体" w:eastAsia="宋体" w:hAnsi="宋体" w:cs="宋体" w:hint="eastAsia"/>
          <w:color w:val="000000"/>
          <w:lang w:eastAsia="zh-CN"/>
        </w:rPr>
      </w:pPr>
    </w:p>
    <w:p>
      <w:pPr>
        <w:widowControl w:val="0"/>
        <w:snapToGrid w:val="0"/>
        <w:spacing w:line="360" w:lineRule="exact"/>
        <w:rPr>
          <w:rFonts w:ascii="宋体" w:eastAsia="宋体" w:hAnsi="宋体" w:cs="宋体" w:hint="eastAsia"/>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第一章招标公告</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第一章总则</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第二章招标文件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第五章开标</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第六章评审要求</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spacing w:line="360" w:lineRule="auto"/>
        <w:ind w:firstLine="1050" w:firstLineChars="5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line="360" w:lineRule="auto"/>
        <w:jc w:val="center"/>
        <w:textAlignment w:val="baseline"/>
        <w:outlineLvl w:val="1"/>
        <w:rPr>
          <w:rFonts w:ascii="宋体" w:eastAsia="宋体" w:hAnsi="宋体" w:hint="eastAsia"/>
          <w:b/>
          <w:bCs/>
          <w:sz w:val="28"/>
          <w:szCs w:val="28"/>
          <w:lang w:eastAsia="zh-CN"/>
        </w:rPr>
      </w:pPr>
      <w:bookmarkStart w:id="3" w:name="_GoBack"/>
      <w:bookmarkEnd w:id="3"/>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申请人的资格要求：</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w:t>
      </w:r>
      <w:r>
        <w:rPr>
          <w:rFonts w:ascii="宋体" w:eastAsia="宋体" w:hAnsi="宋体" w:cs="宋体" w:hint="eastAsia"/>
          <w:color w:val="000000"/>
          <w:sz w:val="21"/>
          <w:szCs w:val="21"/>
          <w:lang w:eastAsia="zh-CN"/>
        </w:rPr>
        <w:t>、具有独立法人资格或具有独立承担民事责任的能力的其它组织（提供营业执照或事业单位法人证等法人证明扫描件，原件备查）。</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2、参与本项目投标前三年内，在经营活动中没有重大违法记录（由供应商在《龙华区教育局自行采购投标及履约承诺函》中作出声明）。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3、参与本项目政府采购活动时不存在被有关部门禁止参与政府采购活动且在有效期内的情况（由供应商在《龙华区教育局自行采购投标及履约承诺函》中作出声明）。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4、具备《中华人民共和国政府采购法》第二十二条第一款的条件（由供应商在《龙华区教育局自行采购投标及履约承诺函》中作出声明）。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5、参与本项目政府采购活动时未被列入失信被执行人、重大税收违法失信主体、政府采购严重违法失信行为记录名单（由供应商在《龙华区教育局自行采购投标及履约承诺函》中作出承诺）。</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6、投标人不存在《深圳市财政局政府采购供应商信用信息管理办法》（深财规〔2023〕3 号）列明的严重违法失信行为（由供应商在</w:t>
      </w:r>
      <w:r>
        <w:rPr>
          <w:rFonts w:ascii="宋体" w:eastAsia="宋体" w:hAnsi="宋体" w:cs="宋体" w:hint="eastAsia"/>
          <w:bCs/>
          <w:color w:val="000000"/>
          <w:sz w:val="21"/>
          <w:szCs w:val="21"/>
          <w:lang w:eastAsia="zh-CN"/>
        </w:rPr>
        <w:t>《龙华区教育局自行采购投标及履约承诺函》</w:t>
      </w:r>
      <w:r>
        <w:rPr>
          <w:rFonts w:ascii="宋体" w:eastAsia="宋体" w:hAnsi="宋体" w:cs="宋体" w:hint="eastAsia"/>
          <w:color w:val="000000"/>
          <w:sz w:val="21"/>
          <w:szCs w:val="21"/>
          <w:lang w:eastAsia="zh-CN"/>
        </w:rPr>
        <w:t>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7、为采购项目提供整体设计、规范编制或者项目管理、监理、检测等服务的供应商，不得再参加该采购项目同一合同项下的其他采购活动。（由供应商在《龙华区教育局自行采购投标及履约承诺函》中作出承诺）。</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8、单位负责人为同一人或者存在直接控股、管理关系的不同供应商，不得参加同一合同项下的政府采购活动。（由供应商在《龙华区教育局自行采购投标及履约承诺函》中作出承诺）。</w:t>
      </w:r>
    </w:p>
    <w:p>
      <w:pPr>
        <w:spacing w:after="60" w:afterLines="25" w:line="300" w:lineRule="auto"/>
        <w:rPr>
          <w:rFonts w:ascii="宋体" w:eastAsia="宋体" w:hAnsi="宋体" w:cs="宋体" w:hint="eastAsia"/>
          <w:b/>
          <w:bCs/>
          <w:color w:val="000000"/>
          <w:sz w:val="21"/>
          <w:szCs w:val="21"/>
          <w:lang w:eastAsia="zh-CN"/>
        </w:rPr>
      </w:pPr>
      <w:r>
        <w:rPr>
          <w:rFonts w:ascii="宋体" w:eastAsia="宋体" w:hAnsi="宋体" w:cs="宋体" w:hint="eastAsia"/>
          <w:b/>
          <w:bCs/>
          <w:color w:val="000000"/>
          <w:sz w:val="21"/>
          <w:szCs w:val="21"/>
          <w:lang w:eastAsia="zh-CN"/>
        </w:rPr>
        <w:t>9、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10、本项目不接受联合体投标，不接受进口产品参与投标，不允许转包、分包。（由供应商在《龙华区教育局自行采购投标及履约承诺函》中作出承诺）。</w:t>
      </w:r>
    </w:p>
    <w:p>
      <w:pPr>
        <w:widowControl w:val="0"/>
        <w:spacing w:after="60" w:afterLines="25"/>
        <w:jc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ascii="宋体" w:eastAsia="宋体" w:hAnsi="宋体" w:cs="宋体" w:hint="eastAsia"/>
          <w:b/>
          <w:bCs/>
          <w:color w:val="000000"/>
          <w:sz w:val="21"/>
          <w:szCs w:val="21"/>
          <w:lang w:eastAsia="zh-CN"/>
        </w:rPr>
        <w:t>提供《供应商基本情况表》及相关人员近3个月内的任意一个月社保缴交凭证证明（由供应商填写《供应商基本情况表》相关信息）（社保放至“投标人认为需要加以说明的其他内容”即可）。</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第二章</w:t>
      </w:r>
      <w:bookmarkStart w:id="4" w:name="_Hlk71926094"/>
      <w:r>
        <w:rPr>
          <w:rFonts w:ascii="宋体" w:eastAsia="宋体" w:hAnsi="宋体" w:hint="eastAsia"/>
          <w:b/>
          <w:bCs/>
          <w:sz w:val="28"/>
          <w:szCs w:val="28"/>
          <w:lang w:eastAsia="zh-CN"/>
        </w:rPr>
        <w:t xml:space="preserve">  对通用条款的补充内容及其他关键信息</w:t>
      </w:r>
      <w:bookmarkEnd w:id="4"/>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bookmarkStart w:id="5" w:name="_Toc60631620"/>
      <w:bookmarkStart w:id="6" w:name="_Toc101074876"/>
      <w:bookmarkStart w:id="7" w:name="_Toc73521635"/>
      <w:bookmarkStart w:id="8" w:name="_Toc73518117"/>
      <w:bookmarkStart w:id="9" w:name="_Toc73521547"/>
      <w:bookmarkStart w:id="10" w:name="_Toc100052364"/>
      <w:bookmarkStart w:id="11" w:name="_Toc73517639"/>
      <w:bookmarkStart w:id="12" w:name="_Toc60560625"/>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深圳市龙华区民治幼教集团博誉府幼儿园</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rPr>
                <w:rFonts w:ascii="宋体" w:eastAsia="宋体" w:hAnsi="宋体" w:hint="eastAsia"/>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bookmarkStart w:id="13" w:name="_Hlk71664860"/>
            <w:r>
              <w:rPr>
                <w:rFonts w:ascii="宋体" w:eastAsia="宋体" w:hAnsi="宋体" w:cstheme="minorBidi" w:hint="eastAsia"/>
                <w:kern w:val="2"/>
                <w:sz w:val="21"/>
                <w:szCs w:val="21"/>
                <w:lang w:eastAsia="zh-CN"/>
              </w:rPr>
              <w:t>样品、现场演示、方案讲解</w:t>
            </w:r>
            <w:bookmarkEnd w:id="13"/>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不需要</w:t>
            </w:r>
          </w:p>
        </w:tc>
      </w:tr>
      <w:bookmarkEnd w:id="5"/>
      <w:bookmarkEnd w:id="6"/>
      <w:bookmarkEnd w:id="7"/>
      <w:bookmarkEnd w:id="8"/>
      <w:bookmarkEnd w:id="9"/>
      <w:bookmarkEnd w:id="10"/>
      <w:bookmarkEnd w:id="11"/>
      <w:bookmarkEnd w:id="12"/>
    </w:tbl>
    <w:p>
      <w:pPr>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hint="eastAsia"/>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hint="eastAsia"/>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hint="eastAsia"/>
          <w:bCs/>
          <w:kern w:val="2"/>
          <w:sz w:val="21"/>
          <w:szCs w:val="21"/>
          <w:lang w:eastAsia="zh-CN"/>
        </w:rPr>
      </w:pP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非专门面向中小企业采购的项目，应执行价格扣除比例：投标人提供的货物（以招标文件用户需求书“货物需求明细”的“货物名称”一栏为准）全部均由优惠主体制造的，对其投标总价给予10%的扣除，用扣除后的价格参与评审。满足多项优惠政策的企业，不重复享受多项价格扣除政策。政策调整后价格仅作为评审依据，不作为中标价格。</w:t>
      </w:r>
    </w:p>
    <w:p>
      <w:pPr>
        <w:widowControl w:val="0"/>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2"/>
          <w:lang w:eastAsia="zh-CN"/>
        </w:rPr>
        <w:t>（2）</w:t>
      </w: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《中小企业声明函》中相关企业所属行业应当与采购标的所属行业相一致。</w:t>
      </w:r>
      <w:r>
        <w:rPr>
          <w:rFonts w:ascii="Calibri" w:eastAsia="宋体" w:hAnsi="Calibri" w:cstheme="minorBidi" w:hint="eastAsia"/>
          <w:kern w:val="2"/>
          <w:sz w:val="21"/>
          <w:szCs w:val="21"/>
          <w:lang w:eastAsia="zh-CN"/>
        </w:rPr>
        <w:t>本项目采购标的（</w:t>
      </w:r>
      <w:r>
        <w:rPr>
          <w:rFonts w:eastAsia="宋体" w:hAnsi="Calibri" w:cstheme="minorBidi" w:hint="eastAsia"/>
          <w:kern w:val="2"/>
          <w:sz w:val="21"/>
          <w:szCs w:val="21"/>
          <w:lang w:eastAsia="zh-CN"/>
        </w:rPr>
        <w:t>服务需求</w:t>
      </w:r>
      <w:r>
        <w:rPr>
          <w:rFonts w:ascii="Calibri" w:eastAsia="宋体" w:hAnsi="Calibri" w:cstheme="minorBidi" w:hint="eastAsia"/>
          <w:kern w:val="2"/>
          <w:sz w:val="21"/>
          <w:szCs w:val="21"/>
          <w:lang w:eastAsia="zh-CN"/>
        </w:rPr>
        <w:t>）对应的中小企业划分标准所属行业为</w:t>
      </w:r>
      <w:r>
        <w:rPr>
          <w:rFonts w:ascii="Calibri" w:eastAsia="宋体" w:hAnsi="Calibri" w:cstheme="minorBidi" w:hint="eastAsia"/>
          <w:b/>
          <w:bCs/>
          <w:color w:val="FF0000"/>
          <w:kern w:val="2"/>
          <w:sz w:val="21"/>
          <w:szCs w:val="21"/>
          <w:u w:val="single"/>
          <w:lang w:eastAsia="zh-CN"/>
        </w:rPr>
        <w:t>工业</w:t>
      </w:r>
      <w:r>
        <w:rPr>
          <w:rFonts w:ascii="Calibri" w:eastAsia="宋体" w:hAnsi="Calibri" w:cstheme="minorBidi" w:hint="eastAsia"/>
          <w:kern w:val="2"/>
          <w:sz w:val="21"/>
          <w:szCs w:val="21"/>
          <w:lang w:eastAsia="zh-CN"/>
        </w:rPr>
        <w:t>。</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1"/>
          <w:lang w:eastAsia="zh-CN"/>
        </w:rPr>
        <w:t>（3）小型企业、微</w:t>
      </w:r>
      <w:r>
        <w:rPr>
          <w:rFonts w:ascii="Calibri" w:eastAsia="宋体" w:hAnsi="Calibri" w:cstheme="minorBidi" w:hint="eastAsia"/>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详见采购文件相应章节）。</w:t>
      </w:r>
    </w:p>
    <w:p>
      <w:pPr>
        <w:widowControl w:val="0"/>
        <w:tabs>
          <w:tab w:val="left" w:pos="720"/>
        </w:tabs>
        <w:ind w:firstLine="420" w:firstLineChars="200"/>
        <w:jc w:val="both"/>
        <w:rPr>
          <w:rFonts w:ascii="黑体" w:eastAsia="黑体" w:hAnsi="宋体" w:hint="eastAsia"/>
          <w:kern w:val="2"/>
          <w:szCs w:val="22"/>
          <w:lang w:eastAsia="zh-CN"/>
        </w:rPr>
      </w:pPr>
      <w:r>
        <w:rPr>
          <w:rFonts w:ascii="Calibri" w:eastAsia="宋体" w:hAnsi="Calibri" w:cstheme="minorBidi" w:hint="eastAsia"/>
          <w:kern w:val="2"/>
          <w:sz w:val="21"/>
          <w:szCs w:val="22"/>
          <w:lang w:eastAsia="zh-CN"/>
        </w:rPr>
        <w:t>（5）享受价格扣除获得政府采购合同的，小微企业不得将合同分包给大中型企业。</w:t>
      </w:r>
    </w:p>
    <w:p>
      <w:pPr>
        <w:widowControl w:val="0"/>
        <w:spacing w:line="360" w:lineRule="auto"/>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hint="eastAsia"/>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hint="eastAsia"/>
          <w:kern w:val="2"/>
          <w:szCs w:val="22"/>
          <w:lang w:eastAsia="zh-CN"/>
        </w:rPr>
      </w:pPr>
    </w:p>
    <w:p>
      <w:pPr>
        <w:widowControl w:val="0"/>
        <w:tabs>
          <w:tab w:val="left" w:pos="720"/>
        </w:tabs>
        <w:jc w:val="both"/>
        <w:rPr>
          <w:rFonts w:ascii="宋体" w:eastAsia="宋体" w:hAnsi="宋体" w:hint="eastAsia"/>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ordWrap w:val="0"/>
        <w:autoSpaceDE w:val="0"/>
        <w:autoSpaceDN w:val="0"/>
        <w:spacing w:line="400" w:lineRule="exact"/>
        <w:ind w:right="808" w:firstLine="420" w:firstLineChars="200"/>
        <w:jc w:val="both"/>
        <w:rPr>
          <w:rFonts w:eastAsia="宋体"/>
          <w:lang w:eastAsia="zh-CN"/>
        </w:rPr>
      </w:pPr>
      <w:r>
        <w:rPr>
          <w:rFonts w:eastAsia="宋体" w:hint="eastAsia"/>
          <w:kern w:val="2"/>
          <w:sz w:val="21"/>
          <w:lang w:eastAsia="zh-CN"/>
        </w:rPr>
        <w:t>（2）</w:t>
      </w:r>
      <w:r>
        <w:rPr>
          <w:rFonts w:eastAsia="宋体" w:hint="eastAsia"/>
          <w:lang w:eastAsia="zh-CN"/>
        </w:rPr>
        <w:t>招标代理服务费</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万元（含）-500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 万元（含）-1000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0.45%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1000 万元（含）-5000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5000 万元（含）-1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0.1%</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 亿元（含）-5 亿</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color w:val="333333"/>
                <w:kern w:val="2"/>
                <w:sz w:val="21"/>
                <w:szCs w:val="21"/>
                <w:lang w:eastAsia="zh-CN"/>
              </w:rPr>
              <w:t>5 亿元（含）-10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 亿元（含）-50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 亿元（含）-100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亿元（含）以</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r>
    </w:tbl>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（2）招标代理服务收费按差额定率累进法计算。</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100万元×1.5%=1.5万元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（500-100）万元×0.8%=3.2万元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（600-500）万元×0.45%=0.45万元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合计收费=1.5+3.2+0.45=5.15万元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备注：最低收费不低于人民币</w:t>
      </w: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000元。代理服务费用超过</w:t>
      </w: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000元，则按国家计费规定收取代理服务费。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收款单位：深圳市千里招标代理有限公司</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开户银行：中国平安银行深圳创业路支行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中标人须在中标公告公示期结束后，领取《中标通知书》前，向招标（采购）代理机构缴纳招标代理服务费。</w:t>
      </w:r>
    </w:p>
    <w:p>
      <w:pPr>
        <w:spacing w:line="360" w:lineRule="auto"/>
        <w:ind w:firstLine="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招标代理服务费以转账、银行汇票形式交付。</w:t>
      </w:r>
    </w:p>
    <w:p>
      <w:pPr>
        <w:rPr>
          <w:rFonts w:ascii="宋体" w:eastAsia="黑体" w:hAnsi="宋体" w:hint="eastAsia"/>
          <w:bCs/>
          <w:kern w:val="44"/>
          <w:sz w:val="28"/>
          <w:szCs w:val="44"/>
          <w:lang w:eastAsia="zh-CN"/>
        </w:rPr>
      </w:pPr>
      <w:r>
        <w:rPr>
          <w:rFonts w:ascii="宋体" w:eastAsia="黑体" w:hAnsi="宋体"/>
          <w:bCs/>
          <w:kern w:val="44"/>
          <w:sz w:val="28"/>
          <w:szCs w:val="44"/>
          <w:lang w:eastAsia="zh-CN"/>
        </w:rPr>
        <w:br w:type="page"/>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tblInd w:w="-986" w:type="dxa"/>
        <w:tblLayout w:type="fixed"/>
        <w:tblCellMar>
          <w:top w:w="15" w:type="dxa"/>
          <w:left w:w="15" w:type="dxa"/>
          <w:bottom w:w="15" w:type="dxa"/>
          <w:right w:w="15" w:type="dxa"/>
        </w:tblCellMar>
      </w:tblPr>
      <w:tblGrid>
        <w:gridCol w:w="660"/>
        <w:gridCol w:w="2957"/>
        <w:gridCol w:w="2892"/>
        <w:gridCol w:w="2161"/>
      </w:tblGrid>
      <w:tr>
        <w:tblPrEx>
          <w:tblW w:w="5000" w:type="pct"/>
          <w:tblInd w:w="-986" w:type="dxa"/>
          <w:tblLayout w:type="fixed"/>
          <w:tblCellMar>
            <w:top w:w="15" w:type="dxa"/>
            <w:left w:w="15" w:type="dxa"/>
            <w:bottom w:w="15" w:type="dxa"/>
            <w:right w:w="15" w:type="dxa"/>
          </w:tblCellMar>
        </w:tblPrEx>
        <w:trPr>
          <w:trHeight w:val="552"/>
        </w:trPr>
        <w:tc>
          <w:tcPr>
            <w:tcW w:w="757"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3423"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33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25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财政预算限额（元）</w:t>
            </w:r>
          </w:p>
        </w:tc>
      </w:tr>
      <w:tr>
        <w:tblPrEx>
          <w:tblW w:w="5000" w:type="pct"/>
          <w:tblInd w:w="-986" w:type="dxa"/>
          <w:tblLayout w:type="fixed"/>
          <w:tblCellMar>
            <w:top w:w="15" w:type="dxa"/>
            <w:left w:w="15" w:type="dxa"/>
            <w:bottom w:w="15" w:type="dxa"/>
            <w:right w:w="15" w:type="dxa"/>
          </w:tblCellMar>
        </w:tblPrEx>
        <w:trPr>
          <w:trHeight w:val="485"/>
        </w:trPr>
        <w:tc>
          <w:tcPr>
            <w:tcW w:w="757"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p>
        </w:tc>
        <w:tc>
          <w:tcPr>
            <w:tcW w:w="3423"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LHAZXDL-2025-00685</w:t>
            </w:r>
          </w:p>
        </w:tc>
        <w:tc>
          <w:tcPr>
            <w:tcW w:w="3348"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幼儿园家私采购</w:t>
            </w:r>
          </w:p>
        </w:tc>
        <w:tc>
          <w:tcPr>
            <w:tcW w:w="2500"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861059.00</w:t>
            </w:r>
          </w:p>
        </w:tc>
      </w:tr>
    </w:tbl>
    <w:p>
      <w:pPr>
        <w:keepNext/>
        <w:keepLines/>
        <w:widowControl w:val="0"/>
        <w:tabs>
          <w:tab w:val="left" w:pos="1680"/>
        </w:tabs>
        <w:spacing w:before="260" w:after="60" w:afterLines="25"/>
        <w:jc w:val="center"/>
        <w:outlineLvl w:val="2"/>
        <w:rPr>
          <w:rFonts w:ascii="宋体" w:eastAsia="宋体" w:hAnsi="宋体" w:hint="eastAsia"/>
          <w:b/>
          <w:color w:val="000000"/>
          <w:sz w:val="21"/>
          <w:szCs w:val="21"/>
          <w:lang w:eastAsia="zh-CN"/>
        </w:rPr>
      </w:pPr>
      <w:r>
        <w:rPr>
          <w:rFonts w:ascii="Arial" w:eastAsia="宋体" w:hAnsi="Arial" w:hint="eastAsia"/>
          <w:b/>
          <w:kern w:val="2"/>
          <w:sz w:val="32"/>
          <w:szCs w:val="32"/>
          <w:lang w:eastAsia="zh-CN"/>
        </w:rPr>
        <w:t>二、货物需求明细</w:t>
      </w:r>
      <w:bookmarkStart w:id="14" w:name="_Toc128884461"/>
    </w:p>
    <w:tbl>
      <w:tblPr>
        <w:tblStyle w:val="TableNormal"/>
        <w:tblW w:w="5000" w:type="pct"/>
        <w:tblInd w:w="-906" w:type="dxa"/>
        <w:tblLayout w:type="fixed"/>
        <w:tblCellMar>
          <w:top w:w="0" w:type="dxa"/>
          <w:left w:w="108" w:type="dxa"/>
          <w:bottom w:w="0" w:type="dxa"/>
          <w:right w:w="108" w:type="dxa"/>
        </w:tblCellMar>
      </w:tblPr>
      <w:tblGrid>
        <w:gridCol w:w="663"/>
        <w:gridCol w:w="2019"/>
        <w:gridCol w:w="598"/>
        <w:gridCol w:w="777"/>
        <w:gridCol w:w="841"/>
        <w:gridCol w:w="1161"/>
        <w:gridCol w:w="1085"/>
        <w:gridCol w:w="1712"/>
      </w:tblGrid>
      <w:tr>
        <w:tblPrEx>
          <w:tblW w:w="5000" w:type="pct"/>
          <w:tblInd w:w="-906" w:type="dxa"/>
          <w:tblLayout w:type="fixed"/>
          <w:tblCellMar>
            <w:top w:w="0" w:type="dxa"/>
            <w:left w:w="108" w:type="dxa"/>
            <w:bottom w:w="0" w:type="dxa"/>
            <w:right w:w="108" w:type="dxa"/>
          </w:tblCellMar>
        </w:tblPrEx>
        <w:trPr>
          <w:trHeight w:val="523"/>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序号</w:t>
            </w:r>
          </w:p>
        </w:tc>
        <w:tc>
          <w:tcPr>
            <w:tcW w:w="2325"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货物名称</w:t>
            </w:r>
          </w:p>
        </w:tc>
        <w:tc>
          <w:tcPr>
            <w:tcW w:w="660"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数量</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单位</w:t>
            </w:r>
          </w:p>
        </w:tc>
        <w:tc>
          <w:tcPr>
            <w:tcW w:w="226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单价限额（元）</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备注</w:t>
            </w:r>
          </w:p>
        </w:tc>
        <w:tc>
          <w:tcPr>
            <w:tcW w:w="1965"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财政预算限额（元）</w:t>
            </w:r>
          </w:p>
        </w:tc>
      </w:tr>
      <w:tr>
        <w:tblPrEx>
          <w:tblW w:w="5000" w:type="pct"/>
          <w:tblInd w:w="-906" w:type="dxa"/>
          <w:tblLayout w:type="fixed"/>
          <w:tblCellMar>
            <w:top w:w="0" w:type="dxa"/>
            <w:left w:w="108" w:type="dxa"/>
            <w:bottom w:w="0" w:type="dxa"/>
            <w:right w:w="108" w:type="dxa"/>
          </w:tblCellMar>
        </w:tblPrEx>
        <w:trPr>
          <w:trHeight w:val="561"/>
        </w:trPr>
        <w:tc>
          <w:tcPr>
            <w:tcW w:w="73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c>
          <w:tcPr>
            <w:tcW w:w="232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c>
          <w:tcPr>
            <w:tcW w:w="660"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c>
          <w:tcPr>
            <w:tcW w:w="870"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c>
          <w:tcPr>
            <w:tcW w:w="94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center"/>
              <w:textAlignment w:val="center"/>
              <w:rPr>
                <w:rFonts w:ascii="宋体" w:eastAsia="宋体" w:hAnsi="宋体" w:cs="宋体" w:hint="eastAsia"/>
                <w:b/>
                <w:bCs/>
                <w:color w:val="000000"/>
                <w:sz w:val="21"/>
                <w:szCs w:val="21"/>
                <w:lang w:eastAsia="zh-CN"/>
              </w:rPr>
            </w:pPr>
            <w:r>
              <w:rPr>
                <w:rFonts w:ascii="宋体" w:eastAsia="宋体" w:hAnsi="宋体" w:cs="宋体" w:hint="eastAsia"/>
                <w:b/>
                <w:bCs/>
                <w:color w:val="000000"/>
                <w:sz w:val="21"/>
                <w:szCs w:val="21"/>
                <w:lang w:bidi="ar"/>
              </w:rPr>
              <w:t>单价</w:t>
            </w:r>
            <w:r>
              <w:rPr>
                <w:rFonts w:ascii="宋体" w:eastAsia="宋体" w:hAnsi="宋体" w:cs="宋体" w:hint="eastAsia"/>
                <w:b/>
                <w:bCs/>
                <w:color w:val="000000"/>
                <w:sz w:val="21"/>
                <w:szCs w:val="21"/>
                <w:lang w:eastAsia="zh-CN" w:bidi="ar"/>
              </w:rPr>
              <w:t>限额</w:t>
            </w:r>
          </w:p>
        </w:tc>
        <w:tc>
          <w:tcPr>
            <w:tcW w:w="1320" w:type="dxa"/>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单价总额（单价乘以数量）</w:t>
            </w:r>
          </w:p>
        </w:tc>
        <w:tc>
          <w:tcPr>
            <w:tcW w:w="1230"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8"/>
        </w:trPr>
        <w:tc>
          <w:tcPr>
            <w:tcW w:w="8085" w:type="dxa"/>
            <w:gridSpan w:val="7"/>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华越幼儿园</w:t>
            </w:r>
          </w:p>
        </w:tc>
        <w:tc>
          <w:tcPr>
            <w:tcW w:w="1965"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861059.00</w:t>
            </w: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山形靠背椅1/</w:t>
            </w:r>
            <w:r>
              <w:rPr>
                <w:rFonts w:ascii="宋体" w:eastAsia="宋体" w:hAnsi="宋体" w:cs="宋体" w:hint="eastAsia"/>
                <w:b/>
                <w:bCs/>
                <w:color w:val="FF0000"/>
                <w:sz w:val="21"/>
                <w:szCs w:val="21"/>
                <w:lang w:bidi="ar"/>
              </w:rPr>
              <w:t>核心产品</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山形靠背椅2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15600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山形靠背椅3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18200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一体成型可叠椅</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3300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原木6人桌1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792</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7920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原木6人桌2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792</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6336</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原木6人桌3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792</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7920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原木圆桌1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1040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原木圆桌2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1040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原木圆桌3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1040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原木4人桌1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原木4人桌2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原木4人桌3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月亮桌.可调节</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4640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4层分类书柜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2360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互动化妆台</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套</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1440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互动小厨房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2120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4240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rPr>
              <w:t>简约书架（图书柜）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简约衣帽饰品柜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2240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8960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林中屋综合互动小厨房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2400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美术材料分类收纳柜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1920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11520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美术纸筒柜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992</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3968</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美术作品晾干柜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6960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秘密游戏树洞</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2920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三层教具篮收纳柜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套</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5200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涂色书架</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1440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蜗牛造型柜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戏曲木偶台</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2160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4320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仙人掌透明画板柜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30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雪糕筒造型书屋</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套</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6625</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6625</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31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雪松造型双面书架.可展开</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2200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4400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32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语言区私密角1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3498</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3498</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33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语言区私密角2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3200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3200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34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原木2层90°弧形矮柜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2160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35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原木2层矮柜.可调节.无背板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840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3360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36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原木3层矮柜.可调节.无背板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984</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5904</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37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原木3层高柜.全背板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1120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8960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38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4层可调柜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5120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39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原木5格分区矮柜.无背板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984</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9840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40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原木6格分区矮柜.无背板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1040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12480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41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原木阶梯组合柜.无背板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1304</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5216</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42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阅读书屋</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4600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43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生活区柜子</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4718</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28308</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44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塑料叠床</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230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41400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45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塑料床配托盘</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46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杯架</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4080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47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纱窗门</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件</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48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地垫收纳架(不含垫子）</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套</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49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3220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3220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50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语言区桌子1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51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语言区沙发1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915</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915</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52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语言区桌子2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972</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972</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53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语言区沙发2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972</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1944</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54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诱导桌1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55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诱导桌2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385</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385</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56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2360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2360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57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转角架1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1086</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1086</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58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语言区桌子3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168</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168</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59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语言区沙发3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316</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632</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60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诱导桌3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230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61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2420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2420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62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转角架2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768</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768</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63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特色区域柜4</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1832</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1832</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64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转角架3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240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240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65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屏风+陈列</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件</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66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圆桌</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67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巴比伦沙发椅</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1500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1500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68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天鹅蛋沙发</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910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910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69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诱导桌4</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395</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395</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70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私密小屋</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套</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5445</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5445</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71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特色区域柜5</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590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590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72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语言区桌子4</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套</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73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摇摇椅</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74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单椅</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75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诱导桌5</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185</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185</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76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特色区域柜6</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77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语言区桌子5</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990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990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78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主椅</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890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890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79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蒲团</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置物架</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2160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沙画桌</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10.46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18828</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洞洞板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树枝屏风</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件</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3200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美术桌</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3500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美术凳</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398</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7960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圆凳</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15</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398</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5970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9900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甘蔗板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520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1092</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软木板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520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1092</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十五格玩具柜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件</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1390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1390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材料展示抽屉桌</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4260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4260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树枝灯</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盏</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510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办公桌1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非进口/单价不超过4000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办公桌2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套</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非进口/单价不超过4000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办公桌3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7680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非进口/单价不超过4000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办公桌4</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8880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非进口/单价不超过4000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90"/>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音控桌</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非进口/单价不超过4000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活动柜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套</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12100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办公椅1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非进口/单价不超过1320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办公椅2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7700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非进口/单价不超过1320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办公椅3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420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7560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非进口/单价不超过1320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实木椅</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非进口/单价不超过1320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水台柜1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长茶几</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二人位沙发</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2480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4960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圆茶几</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沙发椅（单人位）</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1500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非进口/单价不超过1500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茶几</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茶台矮柜1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4200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茶台矮柜2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储物柜4</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书柜4</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会议桌</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非进口/单价不超过12000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会议椅</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27</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17550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非进口/单价不超过1200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水台柜2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2200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2200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储物柜5</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储物柜6</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诊断床</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隔离床</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床垫</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180 </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沙发（三人位）</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沙发（单人位）</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1500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1500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非进口/单价不超过1500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茶几</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非进口非进口/单价不超过1000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杂志刊</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件</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1420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文件柜4</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2650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2650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90"/>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储物柜7</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储物柜8</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文件柜5</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2200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4400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书柜6</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2850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储物柜9</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储物柜10</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大板桌1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4800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大板桌2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5355</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5355</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水台柜3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文件柜6</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储物柜11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储物柜12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办公桌5</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非进口非进口/单价不超过4000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办公椅4</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2200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非进口非进口/单价不超过1320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转角柜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1571</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1571</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洞洞板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块</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文件矮柜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1420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文件柜7</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5920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书柜7</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2960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5920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非进口非进口/单价不超过3000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折叠桌（挡板白色）</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5760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非进口非进口/单价不超过1000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折叠椅</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非进口非进口/单价不超过200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长餐桌1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4380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方餐桌</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935</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1870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158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圆桌</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3900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3900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159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餐椅1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12480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160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长餐桌2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1805</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3610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161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餐椅2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162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洞洞板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块</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163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磁吸白板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块</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719</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719</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164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置物柜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3.75</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4125</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165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储物柜体</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8250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166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洗碗池</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2600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10920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167 </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组合隔断洞洞板</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3.9</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1500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5850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8085"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博誉府幼儿园</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168</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7920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169</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储物高柜1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6.16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6776</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170</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840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171</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2016</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172</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21.66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23826</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173</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储物高柜2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9240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174</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18.9</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5292</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175</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7920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176</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幼儿家私顶柜装饰板4</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4.8</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1344</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177</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木制洞洞板1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5.76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178</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3960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179</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幼儿家私顶柜装饰板5</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672</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180</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幼儿家私顶柜4</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3.63</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3993</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181</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幼儿家私顶柜装饰板6</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1008</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182</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木制洞洞板2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2.51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1255</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183</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幼儿家私顶柜5</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5.11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5621</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184</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幼儿家私顶柜装饰板7</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2856</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185</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6.16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6776</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186</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储物高柜3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8360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561"/>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187</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幼儿家私顶柜装饰板7</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12.8</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3584</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188</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木制洞洞板3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4.5</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2250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189</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原木6人桌.49cm</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792</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3168</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190</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4人书包鞋柜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800 </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191</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幼儿床</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192</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床托</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1350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193</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原木拱桥椅.25cm</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194</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原木6人桌.52cm</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792</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3168</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195</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4层分类书柜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个</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1180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196</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原木6人桌.55cm</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792</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4752</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197</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书桌储物柜1</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6.16</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6776</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198</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书桌储物柜2</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7.74</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8514</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199</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书桌储物柜3</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8.88</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9768</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802"/>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200</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书桌储物柜4</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5.8</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1100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6380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85"/>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201</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办公椅</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12</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张</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550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非进口/单价不超过1320</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94"/>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202</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960</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960</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非进口</w:t>
            </w:r>
          </w:p>
        </w:tc>
        <w:tc>
          <w:tcPr>
            <w:tcW w:w="1965"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r>
        <w:tblPrEx>
          <w:tblW w:w="5000" w:type="pct"/>
          <w:tblInd w:w="-906" w:type="dxa"/>
          <w:tblLayout w:type="fixed"/>
          <w:tblCellMar>
            <w:top w:w="0" w:type="dxa"/>
            <w:left w:w="108" w:type="dxa"/>
            <w:bottom w:w="0" w:type="dxa"/>
            <w:right w:w="108" w:type="dxa"/>
          </w:tblCellMar>
        </w:tblPrEx>
        <w:trPr>
          <w:trHeight w:val="294"/>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0"/>
            <w:vAlign w:val="top"/>
          </w:tcPr>
          <w:p>
            <w:pPr>
              <w:jc w:val="center"/>
              <w:rPr>
                <w:rFonts w:ascii="宋体" w:eastAsia="宋体" w:hAnsi="宋体" w:cs="宋体" w:hint="eastAsia"/>
                <w:color w:val="000000"/>
                <w:sz w:val="21"/>
                <w:szCs w:val="21"/>
                <w:lang w:bidi="ar"/>
              </w:rPr>
            </w:pPr>
            <w:r>
              <w:rPr>
                <w:rFonts w:ascii="宋体" w:eastAsia="宋体" w:hAnsi="宋体" w:cs="宋体" w:hint="eastAsia"/>
                <w:bCs/>
                <w:sz w:val="21"/>
                <w:szCs w:val="21"/>
              </w:rPr>
              <w:t>合计</w:t>
            </w:r>
          </w:p>
        </w:tc>
        <w:tc>
          <w:tcPr>
            <w:tcW w:w="2325" w:type="dxa"/>
            <w:tcBorders>
              <w:top w:val="single" w:sz="4" w:space="0" w:color="000000"/>
              <w:left w:val="single" w:sz="4" w:space="0" w:color="000000"/>
              <w:bottom w:val="single" w:sz="4" w:space="0" w:color="000000"/>
              <w:right w:val="single" w:sz="4" w:space="0" w:color="000000"/>
            </w:tcBorders>
            <w:shd w:val="clear" w:color="auto" w:fill="auto"/>
            <w:noWrap w:val="0"/>
            <w:vAlign w:val="top"/>
          </w:tcPr>
          <w:p>
            <w:pPr>
              <w:jc w:val="center"/>
              <w:rPr>
                <w:rFonts w:ascii="宋体" w:eastAsia="宋体" w:hAnsi="宋体" w:cs="宋体" w:hint="eastAsia"/>
                <w:color w:val="000000"/>
                <w:sz w:val="21"/>
                <w:szCs w:val="21"/>
                <w:lang w:bidi="ar"/>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top"/>
          </w:tcPr>
          <w:p>
            <w:pPr>
              <w:jc w:val="center"/>
              <w:rPr>
                <w:rFonts w:ascii="宋体" w:eastAsia="宋体" w:hAnsi="宋体" w:cs="宋体" w:hint="eastAsia"/>
                <w:color w:val="000000"/>
                <w:sz w:val="21"/>
                <w:szCs w:val="21"/>
                <w:lang w:bidi="ar"/>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noWrap/>
            <w:vAlign w:val="top"/>
          </w:tcPr>
          <w:p>
            <w:pPr>
              <w:jc w:val="center"/>
              <w:rPr>
                <w:rFonts w:ascii="宋体" w:eastAsia="宋体" w:hAnsi="宋体" w:cs="宋体" w:hint="eastAsia"/>
                <w:color w:val="000000"/>
                <w:sz w:val="21"/>
                <w:szCs w:val="21"/>
                <w:lang w:bidi="ar"/>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top"/>
          </w:tcPr>
          <w:p>
            <w:pPr>
              <w:jc w:val="center"/>
              <w:rPr>
                <w:rFonts w:ascii="宋体" w:eastAsia="宋体" w:hAnsi="宋体" w:cs="宋体" w:hint="eastAsia"/>
                <w:color w:val="000000"/>
                <w:sz w:val="21"/>
                <w:szCs w:val="21"/>
                <w:lang w:bidi="ar"/>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top"/>
          </w:tcPr>
          <w:p>
            <w:pPr>
              <w:jc w:val="center"/>
              <w:rPr>
                <w:rFonts w:ascii="宋体" w:eastAsia="宋体" w:hAnsi="宋体" w:cs="宋体" w:hint="eastAsia"/>
                <w:color w:val="000000"/>
                <w:sz w:val="21"/>
                <w:szCs w:val="21"/>
                <w:lang w:bidi="ar"/>
              </w:rPr>
            </w:pPr>
            <w:r>
              <w:rPr>
                <w:rFonts w:ascii="宋体" w:eastAsia="宋体" w:hAnsi="宋体" w:cs="宋体" w:hint="eastAsia"/>
                <w:bCs/>
                <w:sz w:val="21"/>
                <w:szCs w:val="21"/>
              </w:rPr>
              <w:t>861059</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非进口</w:t>
            </w:r>
          </w:p>
        </w:tc>
        <w:tc>
          <w:tcPr>
            <w:tcW w:w="19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jc w:val="center"/>
              <w:rPr>
                <w:rFonts w:ascii="宋体" w:eastAsia="宋体" w:hAnsi="宋体" w:cs="宋体" w:hint="eastAsia"/>
                <w:color w:val="000000"/>
                <w:sz w:val="21"/>
                <w:szCs w:val="21"/>
              </w:rPr>
            </w:pPr>
          </w:p>
        </w:tc>
      </w:tr>
    </w:tbl>
    <w:p>
      <w:pPr>
        <w:spacing w:after="120" w:line="360" w:lineRule="auto"/>
        <w:ind w:firstLine="480" w:firstLineChars="200"/>
        <w:rPr>
          <w:rFonts w:ascii="宋体" w:hAnsi="宋体"/>
          <w:b/>
          <w:color w:val="000000"/>
          <w:szCs w:val="21"/>
        </w:rPr>
      </w:pPr>
    </w:p>
    <w:p>
      <w:pPr>
        <w:rPr>
          <w:rFonts w:ascii="宋体" w:eastAsia="宋体" w:hAnsi="宋体" w:cs="宋体" w:hint="eastAsia"/>
          <w:b/>
          <w:sz w:val="21"/>
          <w:szCs w:val="21"/>
          <w:lang w:eastAsia="zh-CN"/>
        </w:rPr>
      </w:pPr>
      <w:r>
        <w:rPr>
          <w:rFonts w:ascii="宋体" w:eastAsia="宋体" w:hAnsi="宋体" w:cs="宋体" w:hint="eastAsia"/>
          <w:b/>
          <w:sz w:val="21"/>
          <w:szCs w:val="21"/>
          <w:lang w:eastAsia="zh-CN"/>
        </w:rPr>
        <w:t>1、本项目总预算为861059.00元。投标总价不得超过项目总预算限额，分项报价不得超过相应单价限额。</w:t>
      </w:r>
    </w:p>
    <w:p>
      <w:pPr>
        <w:rPr>
          <w:rFonts w:ascii="宋体" w:eastAsia="宋体" w:hAnsi="宋体" w:cs="宋体" w:hint="eastAsia"/>
          <w:b/>
          <w:sz w:val="21"/>
          <w:szCs w:val="21"/>
          <w:lang w:eastAsia="zh-CN"/>
        </w:rPr>
      </w:pPr>
      <w:r>
        <w:rPr>
          <w:rFonts w:ascii="宋体" w:eastAsia="宋体" w:hAnsi="宋体" w:cs="宋体" w:hint="eastAsia"/>
          <w:b/>
          <w:sz w:val="21"/>
          <w:szCs w:val="21"/>
          <w:lang w:eastAsia="zh-CN"/>
        </w:rPr>
        <w:t>2、本项目备注栏注明“拒绝进口</w:t>
      </w:r>
      <w:r>
        <w:rPr>
          <w:rFonts w:ascii="宋体" w:eastAsia="宋体" w:hAnsi="宋体" w:cs="宋体" w:hint="eastAsia"/>
          <w:b/>
          <w:sz w:val="21"/>
          <w:szCs w:val="21"/>
          <w:lang w:eastAsia="zh-CN"/>
        </w:rPr>
        <w:t>/非进口</w:t>
      </w:r>
      <w:r>
        <w:rPr>
          <w:rFonts w:ascii="宋体" w:eastAsia="宋体" w:hAnsi="宋体" w:cs="宋体" w:hint="eastAsia"/>
          <w:b/>
          <w:sz w:val="21"/>
          <w:szCs w:val="21"/>
          <w:lang w:eastAsia="zh-CN"/>
        </w:rPr>
        <w:t>”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rPr>
          <w:rFonts w:ascii="宋体" w:eastAsia="宋体" w:hAnsi="宋体" w:cs="宋体" w:hint="eastAsia"/>
          <w:b/>
          <w:sz w:val="21"/>
          <w:szCs w:val="21"/>
          <w:u w:val="single"/>
          <w:lang w:eastAsia="zh-CN"/>
        </w:rPr>
      </w:pPr>
      <w:r>
        <w:rPr>
          <w:rFonts w:ascii="宋体" w:eastAsia="宋体" w:hAnsi="宋体" w:cs="宋体" w:hint="eastAsia"/>
          <w:b/>
          <w:sz w:val="21"/>
          <w:szCs w:val="21"/>
          <w:lang w:eastAsia="zh-CN"/>
        </w:rPr>
        <w:t>3、核心产品：</w:t>
      </w:r>
      <w:r>
        <w:rPr>
          <w:rFonts w:ascii="宋体" w:eastAsia="宋体" w:hAnsi="宋体" w:cs="宋体" w:hint="eastAsia"/>
          <w:b/>
          <w:sz w:val="21"/>
          <w:szCs w:val="21"/>
          <w:u w:val="single"/>
          <w:lang w:eastAsia="zh-CN"/>
        </w:rPr>
        <w:t>山形靠背椅1</w:t>
      </w:r>
    </w:p>
    <w:p>
      <w:pPr>
        <w:widowControl w:val="0"/>
        <w:spacing w:after="120" w:line="360" w:lineRule="auto"/>
        <w:ind w:firstLine="420" w:firstLineChars="200"/>
        <w:jc w:val="both"/>
        <w:rPr>
          <w:rFonts w:ascii="宋体" w:eastAsia="宋体" w:hAnsi="宋体" w:hint="eastAsia"/>
          <w:b/>
          <w:color w:val="000000"/>
          <w:sz w:val="21"/>
          <w:szCs w:val="21"/>
          <w:u w:val="single"/>
          <w:lang w:eastAsia="zh-CN"/>
        </w:rPr>
      </w:pP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24"/>
        <w:gridCol w:w="7432"/>
      </w:tblGrid>
      <w:tr>
        <w:tblPrEx>
          <w:tblW w:w="5000" w:type="pct"/>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trPr>
        <w:tc>
          <w:tcPr>
            <w:tcW w:w="1665" w:type="dxa"/>
            <w:vAlign w:val="center"/>
          </w:tcPr>
          <w:p>
            <w:pPr>
              <w:widowControl w:val="0"/>
              <w:jc w:val="center"/>
              <w:rPr>
                <w:rFonts w:ascii="宋体" w:eastAsia="宋体" w:hAnsi="宋体" w:hint="eastAsia"/>
                <w:b/>
                <w:kern w:val="2"/>
                <w:sz w:val="21"/>
                <w:szCs w:val="22"/>
                <w:lang w:eastAsia="zh-CN"/>
              </w:rPr>
            </w:pPr>
            <w:r>
              <w:rPr>
                <w:rFonts w:ascii="宋体" w:eastAsia="宋体" w:hAnsi="宋体" w:cstheme="minorBidi" w:hint="eastAsia"/>
                <w:b/>
                <w:kern w:val="2"/>
                <w:sz w:val="21"/>
                <w:szCs w:val="22"/>
                <w:lang w:eastAsia="zh-CN"/>
              </w:rPr>
              <w:t>序号</w:t>
            </w:r>
          </w:p>
        </w:tc>
        <w:tc>
          <w:tcPr>
            <w:tcW w:w="8892" w:type="dxa"/>
            <w:vAlign w:val="center"/>
          </w:tcPr>
          <w:p>
            <w:pPr>
              <w:widowControl w:val="0"/>
              <w:jc w:val="center"/>
              <w:rPr>
                <w:rFonts w:ascii="宋体" w:eastAsia="宋体" w:hAnsi="宋体" w:hint="eastAsia"/>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tblInd w:w="-979" w:type="dxa"/>
          <w:tblLayout w:type="fixed"/>
          <w:tblCellMar>
            <w:top w:w="0" w:type="dxa"/>
            <w:left w:w="108" w:type="dxa"/>
            <w:bottom w:w="0" w:type="dxa"/>
            <w:right w:w="108" w:type="dxa"/>
          </w:tblCellMar>
        </w:tblPrEx>
        <w:tc>
          <w:tcPr>
            <w:tcW w:w="1665" w:type="dxa"/>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1</w:t>
            </w:r>
          </w:p>
        </w:tc>
        <w:tc>
          <w:tcPr>
            <w:tcW w:w="8892" w:type="dxa"/>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4"/>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jc w:val="both"/>
        <w:rPr>
          <w:rFonts w:ascii="Calibri" w:eastAsia="宋体" w:hAnsi="Calibri"/>
          <w:b/>
          <w:color w:val="FF0000"/>
          <w:kern w:val="2"/>
          <w:sz w:val="21"/>
          <w:szCs w:val="22"/>
          <w:lang w:eastAsia="zh-CN"/>
        </w:rPr>
      </w:pP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四、商务条款要求</w:t>
      </w:r>
    </w:p>
    <w:p>
      <w:pPr>
        <w:widowControl w:val="0"/>
        <w:ind w:firstLine="420" w:firstLineChars="200"/>
        <w:jc w:val="both"/>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tblInd w:w="-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21"/>
        <w:gridCol w:w="1378"/>
        <w:gridCol w:w="5457"/>
      </w:tblGrid>
      <w:tr>
        <w:tblPrEx>
          <w:tblW w:w="5000" w:type="pct"/>
          <w:tblInd w:w="-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240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162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目录</w:t>
            </w:r>
          </w:p>
        </w:tc>
        <w:tc>
          <w:tcPr>
            <w:tcW w:w="6566"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采购商务需求</w:t>
            </w:r>
          </w:p>
        </w:tc>
      </w:tr>
      <w:tr>
        <w:tblPrEx>
          <w:tblW w:w="5000" w:type="pct"/>
          <w:tblInd w:w="-1032" w:type="dxa"/>
          <w:tblLayout w:type="fixed"/>
          <w:tblCellMar>
            <w:top w:w="0" w:type="dxa"/>
            <w:left w:w="108" w:type="dxa"/>
            <w:bottom w:w="0" w:type="dxa"/>
            <w:right w:w="108" w:type="dxa"/>
          </w:tblCellMar>
        </w:tblPrEx>
        <w:trPr>
          <w:trHeight w:val="280"/>
        </w:trPr>
        <w:tc>
          <w:tcPr>
            <w:tcW w:w="10586"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（一）免费保修期内售后服务要求</w:t>
            </w:r>
          </w:p>
        </w:tc>
      </w:tr>
      <w:tr>
        <w:tblPrEx>
          <w:tblW w:w="5000" w:type="pct"/>
          <w:tblInd w:w="-1032" w:type="dxa"/>
          <w:tblLayout w:type="fixed"/>
          <w:tblCellMar>
            <w:top w:w="0" w:type="dxa"/>
            <w:left w:w="108" w:type="dxa"/>
            <w:bottom w:w="0" w:type="dxa"/>
            <w:right w:w="108" w:type="dxa"/>
          </w:tblCellMar>
        </w:tblPrEx>
        <w:trPr>
          <w:trHeight w:val="150"/>
        </w:trPr>
        <w:tc>
          <w:tcPr>
            <w:tcW w:w="240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noWrap w:val="0"/>
            <w:vAlign w:val="center"/>
          </w:tcPr>
          <w:p>
            <w:pPr>
              <w:rPr>
                <w:rFonts w:ascii="宋体" w:eastAsia="宋体" w:hAnsi="宋体" w:cs="宋体" w:hint="eastAsia"/>
                <w:b/>
                <w:sz w:val="21"/>
                <w:szCs w:val="21"/>
              </w:rPr>
            </w:pPr>
            <w:r>
              <w:rPr>
                <w:rFonts w:ascii="宋体" w:eastAsia="宋体" w:hAnsi="宋体" w:cs="宋体" w:hint="eastAsia"/>
                <w:b/>
                <w:sz w:val="21"/>
                <w:szCs w:val="21"/>
              </w:rPr>
              <w:t>免费保修期</w:t>
            </w:r>
          </w:p>
        </w:tc>
        <w:tc>
          <w:tcPr>
            <w:tcW w:w="6566"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w:t>
            </w:r>
            <w:r>
              <w:rPr>
                <w:rFonts w:ascii="宋体" w:eastAsia="宋体" w:hAnsi="宋体" w:cs="宋体" w:hint="eastAsia"/>
                <w:bCs/>
                <w:sz w:val="21"/>
                <w:szCs w:val="21"/>
              </w:rPr>
              <w:t>货物免费保修期至少</w:t>
            </w:r>
            <w:r>
              <w:rPr>
                <w:rFonts w:ascii="宋体" w:eastAsia="宋体" w:hAnsi="宋体" w:cs="宋体" w:hint="eastAsia"/>
                <w:bCs/>
                <w:sz w:val="21"/>
                <w:szCs w:val="21"/>
                <w:u w:val="single"/>
              </w:rPr>
              <w:t>三</w:t>
            </w:r>
            <w:r>
              <w:rPr>
                <w:rFonts w:ascii="宋体" w:eastAsia="宋体" w:hAnsi="宋体" w:cs="宋体" w:hint="eastAsia"/>
                <w:bCs/>
                <w:sz w:val="21"/>
                <w:szCs w:val="21"/>
              </w:rPr>
              <w:t>年，时间自最终验收合格并交付使用之日起计算。</w:t>
            </w:r>
          </w:p>
        </w:tc>
      </w:tr>
      <w:tr>
        <w:tblPrEx>
          <w:tblW w:w="5000" w:type="pct"/>
          <w:tblInd w:w="-1032" w:type="dxa"/>
          <w:tblLayout w:type="fixed"/>
          <w:tblCellMar>
            <w:top w:w="0" w:type="dxa"/>
            <w:left w:w="108" w:type="dxa"/>
            <w:bottom w:w="0" w:type="dxa"/>
            <w:right w:w="108" w:type="dxa"/>
          </w:tblCellMar>
        </w:tblPrEx>
        <w:trPr>
          <w:trHeight w:val="320"/>
        </w:trPr>
        <w:tc>
          <w:tcPr>
            <w:tcW w:w="240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noWrap w:val="0"/>
            <w:vAlign w:val="top"/>
          </w:tcPr>
          <w:p>
            <w:pPr>
              <w:rPr>
                <w:rFonts w:ascii="宋体" w:eastAsia="宋体" w:hAnsi="宋体" w:cs="宋体" w:hint="eastAsia"/>
                <w:b/>
                <w:sz w:val="21"/>
                <w:szCs w:val="21"/>
              </w:rPr>
            </w:pPr>
            <w:r>
              <w:rPr>
                <w:rFonts w:ascii="宋体" w:eastAsia="宋体" w:hAnsi="宋体" w:cs="宋体" w:hint="eastAsia"/>
                <w:b/>
                <w:sz w:val="21"/>
                <w:szCs w:val="21"/>
              </w:rPr>
              <w:t>维修响应及故障解决时间</w:t>
            </w:r>
          </w:p>
        </w:tc>
        <w:tc>
          <w:tcPr>
            <w:tcW w:w="656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投标人承诺中标后，在保修期内，一旦发生质量问题，投标人保证在接到通知24小时内赶到现场进行修理或更换。</w:t>
            </w:r>
          </w:p>
        </w:tc>
      </w:tr>
      <w:tr>
        <w:tblPrEx>
          <w:tblW w:w="5000" w:type="pct"/>
          <w:tblInd w:w="-1032" w:type="dxa"/>
          <w:tblLayout w:type="fixed"/>
          <w:tblCellMar>
            <w:top w:w="0" w:type="dxa"/>
            <w:left w:w="108" w:type="dxa"/>
            <w:bottom w:w="0" w:type="dxa"/>
            <w:right w:w="108" w:type="dxa"/>
          </w:tblCellMar>
        </w:tblPrEx>
        <w:trPr>
          <w:trHeight w:val="523"/>
        </w:trPr>
        <w:tc>
          <w:tcPr>
            <w:tcW w:w="240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1620" w:type="dxa"/>
            <w:noWrap w:val="0"/>
            <w:vAlign w:val="center"/>
          </w:tcPr>
          <w:p>
            <w:pPr>
              <w:rPr>
                <w:rFonts w:ascii="宋体" w:eastAsia="宋体" w:hAnsi="宋体" w:cs="宋体" w:hint="eastAsia"/>
                <w:b/>
                <w:sz w:val="21"/>
                <w:szCs w:val="21"/>
              </w:rPr>
            </w:pPr>
            <w:r>
              <w:rPr>
                <w:rFonts w:ascii="宋体" w:eastAsia="宋体" w:hAnsi="宋体" w:cs="宋体" w:hint="eastAsia"/>
                <w:sz w:val="21"/>
                <w:szCs w:val="21"/>
              </w:rPr>
              <w:t>其他</w:t>
            </w:r>
          </w:p>
        </w:tc>
        <w:tc>
          <w:tcPr>
            <w:tcW w:w="6566" w:type="dxa"/>
            <w:noWrap w:val="0"/>
            <w:vAlign w:val="center"/>
          </w:tcPr>
          <w:p>
            <w:pPr>
              <w:rPr>
                <w:rFonts w:ascii="宋体" w:eastAsia="宋体" w:hAnsi="宋体" w:cs="宋体" w:hint="eastAsia"/>
                <w:b/>
                <w:sz w:val="21"/>
                <w:szCs w:val="21"/>
              </w:rPr>
            </w:pPr>
            <w:r>
              <w:rPr>
                <w:rFonts w:ascii="宋体" w:eastAsia="宋体" w:hAnsi="宋体" w:cs="宋体" w:hint="eastAsia"/>
                <w:bCs/>
                <w:sz w:val="21"/>
                <w:szCs w:val="21"/>
              </w:rPr>
              <w:t>投标人中标后，应按其投标文件中的承诺，进行其他售后服务工作。</w:t>
            </w:r>
          </w:p>
        </w:tc>
      </w:tr>
      <w:tr>
        <w:tblPrEx>
          <w:tblW w:w="5000" w:type="pct"/>
          <w:tblInd w:w="-1032" w:type="dxa"/>
          <w:tblLayout w:type="fixed"/>
          <w:tblCellMar>
            <w:top w:w="0" w:type="dxa"/>
            <w:left w:w="108" w:type="dxa"/>
            <w:bottom w:w="0" w:type="dxa"/>
            <w:right w:w="108" w:type="dxa"/>
          </w:tblCellMar>
        </w:tblPrEx>
        <w:trPr>
          <w:trHeight w:val="350"/>
        </w:trPr>
        <w:tc>
          <w:tcPr>
            <w:tcW w:w="10586"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（二）其他商务要求</w:t>
            </w:r>
          </w:p>
        </w:tc>
      </w:tr>
      <w:tr>
        <w:tblPrEx>
          <w:tblW w:w="5000" w:type="pct"/>
          <w:tblInd w:w="-1032" w:type="dxa"/>
          <w:tblLayout w:type="fixed"/>
          <w:tblCellMar>
            <w:top w:w="0" w:type="dxa"/>
            <w:left w:w="108" w:type="dxa"/>
            <w:bottom w:w="0" w:type="dxa"/>
            <w:right w:w="108" w:type="dxa"/>
          </w:tblCellMar>
        </w:tblPrEx>
        <w:trPr>
          <w:trHeight w:val="350"/>
        </w:trPr>
        <w:tc>
          <w:tcPr>
            <w:tcW w:w="240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关于交货</w:t>
            </w:r>
          </w:p>
        </w:tc>
        <w:tc>
          <w:tcPr>
            <w:tcW w:w="656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1.1</w:t>
            </w:r>
            <w:r>
              <w:rPr>
                <w:rFonts w:ascii="宋体" w:eastAsia="宋体" w:hAnsi="宋体" w:cs="宋体" w:hint="eastAsia"/>
                <w:sz w:val="21"/>
                <w:szCs w:val="21"/>
              </w:rPr>
              <w:t>★</w:t>
            </w:r>
            <w:r>
              <w:rPr>
                <w:rFonts w:ascii="宋体" w:eastAsia="宋体" w:hAnsi="宋体" w:cs="宋体" w:hint="eastAsia"/>
                <w:bCs/>
                <w:sz w:val="21"/>
                <w:szCs w:val="21"/>
              </w:rPr>
              <w:t>签订合同后</w:t>
            </w:r>
            <w:r>
              <w:rPr>
                <w:rFonts w:ascii="宋体" w:eastAsia="宋体" w:hAnsi="宋体" w:cs="宋体" w:hint="eastAsia"/>
                <w:bCs/>
                <w:sz w:val="21"/>
                <w:szCs w:val="21"/>
                <w:u w:val="single"/>
              </w:rPr>
              <w:t>30</w:t>
            </w:r>
            <w:r>
              <w:rPr>
                <w:rFonts w:ascii="宋体" w:eastAsia="宋体" w:hAnsi="宋体" w:cs="宋体" w:hint="eastAsia"/>
                <w:bCs/>
                <w:sz w:val="21"/>
                <w:szCs w:val="21"/>
              </w:rPr>
              <w:t>天（日历日）内。</w:t>
            </w:r>
          </w:p>
        </w:tc>
      </w:tr>
      <w:tr>
        <w:tblPrEx>
          <w:tblW w:w="5000" w:type="pct"/>
          <w:tblInd w:w="-1032" w:type="dxa"/>
          <w:tblLayout w:type="fixed"/>
          <w:tblCellMar>
            <w:top w:w="0" w:type="dxa"/>
            <w:left w:w="108" w:type="dxa"/>
            <w:bottom w:w="0" w:type="dxa"/>
            <w:right w:w="108" w:type="dxa"/>
          </w:tblCellMar>
        </w:tblPrEx>
        <w:trPr>
          <w:trHeight w:val="451"/>
        </w:trPr>
        <w:tc>
          <w:tcPr>
            <w:tcW w:w="2400" w:type="dxa"/>
            <w:vMerge/>
            <w:noWrap w:val="0"/>
            <w:vAlign w:val="center"/>
          </w:tcPr>
          <w:p>
            <w:pPr>
              <w:jc w:val="center"/>
              <w:rPr>
                <w:rFonts w:ascii="宋体" w:eastAsia="宋体" w:hAnsi="宋体" w:cs="宋体" w:hint="eastAsia"/>
                <w:b/>
                <w:sz w:val="21"/>
                <w:szCs w:val="21"/>
              </w:rPr>
            </w:pPr>
          </w:p>
        </w:tc>
        <w:tc>
          <w:tcPr>
            <w:tcW w:w="1620" w:type="dxa"/>
            <w:vMerge/>
            <w:noWrap w:val="0"/>
            <w:vAlign w:val="center"/>
          </w:tcPr>
          <w:p>
            <w:pPr>
              <w:jc w:val="center"/>
              <w:rPr>
                <w:rFonts w:ascii="宋体" w:eastAsia="宋体" w:hAnsi="宋体" w:cs="宋体" w:hint="eastAsia"/>
                <w:b/>
                <w:sz w:val="21"/>
                <w:szCs w:val="21"/>
              </w:rPr>
            </w:pPr>
          </w:p>
        </w:tc>
        <w:tc>
          <w:tcPr>
            <w:tcW w:w="656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1.2投标人中标后，必须承担设备运输、安装调试、验收检测和提供设备操作说明书、图纸等其他类似的义务。</w:t>
            </w:r>
          </w:p>
        </w:tc>
      </w:tr>
      <w:tr>
        <w:tblPrEx>
          <w:tblW w:w="5000" w:type="pct"/>
          <w:tblInd w:w="-1032" w:type="dxa"/>
          <w:tblLayout w:type="fixed"/>
          <w:tblCellMar>
            <w:top w:w="0" w:type="dxa"/>
            <w:left w:w="108" w:type="dxa"/>
            <w:bottom w:w="0" w:type="dxa"/>
            <w:right w:w="108" w:type="dxa"/>
          </w:tblCellMar>
        </w:tblPrEx>
        <w:trPr>
          <w:trHeight w:val="350"/>
        </w:trPr>
        <w:tc>
          <w:tcPr>
            <w:tcW w:w="240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关于验收</w:t>
            </w:r>
          </w:p>
        </w:tc>
        <w:tc>
          <w:tcPr>
            <w:tcW w:w="656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2.1投标人中标后，其货物经过双方检验认可后，签署验收报告，产品保修期自验收合格之日起算，由投标人提供产品保修文件。</w:t>
            </w:r>
          </w:p>
        </w:tc>
      </w:tr>
      <w:tr>
        <w:tblPrEx>
          <w:tblW w:w="5000" w:type="pct"/>
          <w:tblInd w:w="-1032" w:type="dxa"/>
          <w:tblLayout w:type="fixed"/>
          <w:tblCellMar>
            <w:top w:w="0" w:type="dxa"/>
            <w:left w:w="108" w:type="dxa"/>
            <w:bottom w:w="0" w:type="dxa"/>
            <w:right w:w="108" w:type="dxa"/>
          </w:tblCellMar>
        </w:tblPrEx>
        <w:trPr>
          <w:trHeight w:val="350"/>
        </w:trPr>
        <w:tc>
          <w:tcPr>
            <w:tcW w:w="2400" w:type="dxa"/>
            <w:vMerge/>
            <w:noWrap w:val="0"/>
            <w:vAlign w:val="center"/>
          </w:tcPr>
          <w:p>
            <w:pPr>
              <w:jc w:val="center"/>
              <w:rPr>
                <w:rFonts w:ascii="宋体" w:eastAsia="宋体" w:hAnsi="宋体" w:cs="宋体" w:hint="eastAsia"/>
                <w:b/>
                <w:sz w:val="21"/>
                <w:szCs w:val="21"/>
              </w:rPr>
            </w:pPr>
          </w:p>
        </w:tc>
        <w:tc>
          <w:tcPr>
            <w:tcW w:w="1620" w:type="dxa"/>
            <w:vMerge/>
            <w:noWrap w:val="0"/>
            <w:vAlign w:val="top"/>
          </w:tcPr>
          <w:p>
            <w:pPr>
              <w:rPr>
                <w:rFonts w:ascii="宋体" w:eastAsia="宋体" w:hAnsi="宋体" w:cs="宋体" w:hint="eastAsia"/>
                <w:b/>
                <w:sz w:val="21"/>
                <w:szCs w:val="21"/>
              </w:rPr>
            </w:pPr>
          </w:p>
        </w:tc>
        <w:tc>
          <w:tcPr>
            <w:tcW w:w="656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2.2投标人中标后，当满足以下条件时，采购人才向投标人签发货物验收报告：</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a、投标人已按照合同规定提供了全部产品及完整的技术资料。</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b、货物符合采购文件技术规格书的要求，性能满足要求。</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c、货物具备产品合格证。</w:t>
            </w:r>
          </w:p>
        </w:tc>
      </w:tr>
      <w:tr>
        <w:tblPrEx>
          <w:tblW w:w="5000" w:type="pct"/>
          <w:tblInd w:w="-1032" w:type="dxa"/>
          <w:tblLayout w:type="fixed"/>
          <w:tblCellMar>
            <w:top w:w="0" w:type="dxa"/>
            <w:left w:w="108" w:type="dxa"/>
            <w:bottom w:w="0" w:type="dxa"/>
            <w:right w:w="108" w:type="dxa"/>
          </w:tblCellMar>
        </w:tblPrEx>
        <w:trPr>
          <w:trHeight w:val="350"/>
        </w:trPr>
        <w:tc>
          <w:tcPr>
            <w:tcW w:w="240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162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违约责任</w:t>
            </w:r>
          </w:p>
        </w:tc>
        <w:tc>
          <w:tcPr>
            <w:tcW w:w="656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sz w:val="21"/>
                <w:szCs w:val="21"/>
              </w:rPr>
              <w:t>3.1如</w:t>
            </w:r>
            <w:r>
              <w:rPr>
                <w:rFonts w:ascii="宋体" w:eastAsia="宋体" w:hAnsi="宋体" w:cs="宋体" w:hint="eastAsia"/>
                <w:bCs/>
                <w:sz w:val="21"/>
                <w:szCs w:val="21"/>
              </w:rPr>
              <w:t>投标人中标后</w:t>
            </w:r>
            <w:r>
              <w:rPr>
                <w:rFonts w:ascii="宋体" w:eastAsia="宋体" w:hAnsi="宋体" w:cs="宋体" w:hint="eastAsia"/>
                <w:sz w:val="21"/>
                <w:szCs w:val="21"/>
              </w:rPr>
              <w:t>未按照投标文件中承诺的时间交货或提供服务，</w:t>
            </w:r>
            <w:r>
              <w:rPr>
                <w:rFonts w:ascii="宋体" w:eastAsia="宋体" w:hAnsi="宋体" w:cs="宋体" w:hint="eastAsia"/>
                <w:bCs/>
                <w:sz w:val="21"/>
                <w:szCs w:val="21"/>
              </w:rPr>
              <w:t>投标人</w:t>
            </w:r>
            <w:r>
              <w:rPr>
                <w:rFonts w:ascii="宋体" w:eastAsia="宋体" w:hAnsi="宋体" w:cs="宋体" w:hint="eastAsia"/>
                <w:sz w:val="21"/>
                <w:szCs w:val="21"/>
              </w:rPr>
              <w:t>应承担延期交货和延期服务的违约责任，并赔偿采购人因此造成的实际经济损失，采购人有权终止合同。</w:t>
            </w:r>
          </w:p>
        </w:tc>
      </w:tr>
      <w:tr>
        <w:tblPrEx>
          <w:tblW w:w="5000" w:type="pct"/>
          <w:tblInd w:w="-1032" w:type="dxa"/>
          <w:tblLayout w:type="fixed"/>
          <w:tblCellMar>
            <w:top w:w="0" w:type="dxa"/>
            <w:left w:w="108" w:type="dxa"/>
            <w:bottom w:w="0" w:type="dxa"/>
            <w:right w:w="108" w:type="dxa"/>
          </w:tblCellMar>
        </w:tblPrEx>
        <w:trPr>
          <w:trHeight w:val="350"/>
        </w:trPr>
        <w:tc>
          <w:tcPr>
            <w:tcW w:w="240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656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 xml:space="preserve">3.2投标人中标后所交设备的品种、型号、规格、质量、功能、技术参数等方面不能实质性满足采购文件要求的，采购人有权拒绝收货，投标人向采购人偿付项目采购金额【20】% （10%以上20%以下）的违约金并采取更换、补足等补救措施，致使逾期交付的，还应承担逾期交付的违约责任。 </w:t>
            </w:r>
          </w:p>
        </w:tc>
      </w:tr>
      <w:tr>
        <w:tblPrEx>
          <w:tblW w:w="5000" w:type="pct"/>
          <w:tblInd w:w="-1032" w:type="dxa"/>
          <w:tblLayout w:type="fixed"/>
          <w:tblCellMar>
            <w:top w:w="0" w:type="dxa"/>
            <w:left w:w="108" w:type="dxa"/>
            <w:bottom w:w="0" w:type="dxa"/>
            <w:right w:w="108" w:type="dxa"/>
          </w:tblCellMar>
        </w:tblPrEx>
        <w:trPr>
          <w:trHeight w:val="350"/>
        </w:trPr>
        <w:tc>
          <w:tcPr>
            <w:tcW w:w="240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656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3.3投标人中标后不能交付设备的，投标人向采购人偿付项目采购金额【20】%（10%以上20%以下）的违约金。</w:t>
            </w:r>
          </w:p>
        </w:tc>
      </w:tr>
      <w:tr>
        <w:tblPrEx>
          <w:tblW w:w="5000" w:type="pct"/>
          <w:tblInd w:w="-1032" w:type="dxa"/>
          <w:tblLayout w:type="fixed"/>
          <w:tblCellMar>
            <w:top w:w="0" w:type="dxa"/>
            <w:left w:w="108" w:type="dxa"/>
            <w:bottom w:w="0" w:type="dxa"/>
            <w:right w:w="108" w:type="dxa"/>
          </w:tblCellMar>
        </w:tblPrEx>
        <w:trPr>
          <w:trHeight w:val="350"/>
        </w:trPr>
        <w:tc>
          <w:tcPr>
            <w:tcW w:w="240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656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3.4投标人中标后逾期交付货物的，每逾期1天，投标人向采购人偿付项目采购金额的【5】‰（1‰以上5‰以下）的违约金。如投标人逾期交货达</w:t>
            </w:r>
            <w:r>
              <w:rPr>
                <w:rFonts w:ascii="宋体" w:eastAsia="宋体" w:hAnsi="宋体" w:cs="宋体" w:hint="eastAsia"/>
                <w:bCs/>
                <w:sz w:val="21"/>
                <w:szCs w:val="21"/>
                <w:u w:val="single"/>
              </w:rPr>
              <w:t xml:space="preserve"> 30 </w:t>
            </w:r>
            <w:r>
              <w:rPr>
                <w:rFonts w:ascii="宋体" w:eastAsia="宋体" w:hAnsi="宋体" w:cs="宋体" w:hint="eastAsia"/>
                <w:bCs/>
                <w:sz w:val="21"/>
                <w:szCs w:val="21"/>
              </w:rPr>
              <w:t>天，采购人有权解除合同。</w:t>
            </w:r>
          </w:p>
        </w:tc>
      </w:tr>
      <w:tr>
        <w:tblPrEx>
          <w:tblW w:w="5000" w:type="pct"/>
          <w:tblInd w:w="-1032" w:type="dxa"/>
          <w:tblLayout w:type="fixed"/>
          <w:tblCellMar>
            <w:top w:w="0" w:type="dxa"/>
            <w:left w:w="108" w:type="dxa"/>
            <w:bottom w:w="0" w:type="dxa"/>
            <w:right w:w="108" w:type="dxa"/>
          </w:tblCellMar>
        </w:tblPrEx>
        <w:trPr>
          <w:trHeight w:val="350"/>
        </w:trPr>
        <w:tc>
          <w:tcPr>
            <w:tcW w:w="240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656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3.5投标人中标后，在其承诺的或国家规定的质量保证期内（取两者中最长的期限），如经投标人两次维修或更换，货物仍不能达到采购文件要求及投标文件承诺的质量标准，采购人有权退货，投标人应退回全部货款并赔偿采购人因此遭受的损失。</w:t>
            </w:r>
          </w:p>
        </w:tc>
      </w:tr>
      <w:tr>
        <w:tblPrEx>
          <w:tblW w:w="5000" w:type="pct"/>
          <w:tblInd w:w="-1032" w:type="dxa"/>
          <w:tblLayout w:type="fixed"/>
          <w:tblCellMar>
            <w:top w:w="0" w:type="dxa"/>
            <w:left w:w="108" w:type="dxa"/>
            <w:bottom w:w="0" w:type="dxa"/>
            <w:right w:w="108" w:type="dxa"/>
          </w:tblCellMar>
        </w:tblPrEx>
        <w:trPr>
          <w:trHeight w:val="350"/>
        </w:trPr>
        <w:tc>
          <w:tcPr>
            <w:tcW w:w="240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656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3.6投标人中标后在承担上述一项或多项违约责任后，仍应继续履行合同规定的义务（采购人解除合同的除外）。采购人未能及时追究投标人的任何一项违约责任并不表明采购人放弃追究投标人该项或其他违约责任。</w:t>
            </w:r>
          </w:p>
        </w:tc>
      </w:tr>
      <w:tr>
        <w:tblPrEx>
          <w:tblW w:w="5000" w:type="pct"/>
          <w:tblInd w:w="-1032" w:type="dxa"/>
          <w:tblLayout w:type="fixed"/>
          <w:tblCellMar>
            <w:top w:w="0" w:type="dxa"/>
            <w:left w:w="108" w:type="dxa"/>
            <w:bottom w:w="0" w:type="dxa"/>
            <w:right w:w="108" w:type="dxa"/>
          </w:tblCellMar>
        </w:tblPrEx>
        <w:trPr>
          <w:trHeight w:val="350"/>
        </w:trPr>
        <w:tc>
          <w:tcPr>
            <w:tcW w:w="240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4</w:t>
            </w:r>
          </w:p>
        </w:tc>
        <w:tc>
          <w:tcPr>
            <w:tcW w:w="162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其他</w:t>
            </w:r>
          </w:p>
        </w:tc>
        <w:tc>
          <w:tcPr>
            <w:tcW w:w="656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投标人中标后应按其投标文件中的承诺，进行其他售后服务工作。</w:t>
            </w:r>
          </w:p>
        </w:tc>
      </w:tr>
    </w:tbl>
    <w:p>
      <w:pPr>
        <w:widowControl w:val="0"/>
        <w:ind w:firstLine="420" w:firstLineChars="200"/>
        <w:jc w:val="both"/>
        <w:rPr>
          <w:rFonts w:ascii="Calibri" w:eastAsia="宋体" w:hAnsi="Calibri"/>
          <w:b/>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五、技术要求</w:t>
      </w:r>
    </w:p>
    <w:p>
      <w:pPr>
        <w:widowControl w:val="0"/>
        <w:jc w:val="both"/>
        <w:rPr>
          <w:rFonts w:ascii="Calibri" w:eastAsia="宋体" w:hAnsi="Calibri"/>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w:t>
      </w:r>
      <w:r>
        <w:rPr>
          <w:rFonts w:ascii="Calibri" w:eastAsia="宋体" w:hAnsi="Calibri" w:cstheme="minorBidi" w:hint="eastAsia"/>
          <w:bCs/>
          <w:kern w:val="2"/>
          <w:sz w:val="21"/>
          <w:szCs w:val="22"/>
          <w:lang w:eastAsia="zh-CN"/>
        </w:rPr>
        <w:t>评分时，如对一项招标技术要求（以划分框为准）中的内容存在两处（或以上）负偏离的，在评分时只作一项负偏离扣分。</w:t>
      </w:r>
    </w:p>
    <w:p>
      <w:pPr>
        <w:widowControl w:val="0"/>
        <w:spacing w:line="360" w:lineRule="auto"/>
        <w:ind w:firstLine="420" w:firstLineChars="200"/>
        <w:jc w:val="both"/>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tbl>
      <w:tblPr>
        <w:tblStyle w:val="TableNormal"/>
        <w:tblW w:w="5000" w:type="pct"/>
        <w:tblInd w:w="-1041" w:type="dxa"/>
        <w:tblLayout w:type="fixed"/>
        <w:tblCellMar>
          <w:top w:w="0" w:type="dxa"/>
          <w:left w:w="108" w:type="dxa"/>
          <w:bottom w:w="0" w:type="dxa"/>
          <w:right w:w="108" w:type="dxa"/>
        </w:tblCellMar>
      </w:tblPr>
      <w:tblGrid>
        <w:gridCol w:w="572"/>
        <w:gridCol w:w="1535"/>
        <w:gridCol w:w="6749"/>
      </w:tblGrid>
      <w:tr>
        <w:tblPrEx>
          <w:tblW w:w="5000" w:type="pct"/>
          <w:tblInd w:w="-1041" w:type="dxa"/>
          <w:tblLayout w:type="fixed"/>
          <w:tblCellMar>
            <w:top w:w="0" w:type="dxa"/>
            <w:left w:w="108" w:type="dxa"/>
            <w:bottom w:w="0" w:type="dxa"/>
            <w:right w:w="108" w:type="dxa"/>
          </w:tblCellMar>
        </w:tblPrEx>
        <w:trPr>
          <w:trHeight w:val="423"/>
        </w:trPr>
        <w:tc>
          <w:tcPr>
            <w:tcW w:w="645" w:type="dxa"/>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序号</w:t>
            </w:r>
          </w:p>
        </w:tc>
        <w:tc>
          <w:tcPr>
            <w:tcW w:w="1815" w:type="dxa"/>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货物名称</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招标技术要求</w:t>
            </w:r>
          </w:p>
        </w:tc>
      </w:tr>
      <w:tr>
        <w:tblPrEx>
          <w:tblW w:w="5000" w:type="pct"/>
          <w:tblInd w:w="-1041" w:type="dxa"/>
          <w:tblLayout w:type="fixed"/>
          <w:tblCellMar>
            <w:top w:w="0" w:type="dxa"/>
            <w:left w:w="108" w:type="dxa"/>
            <w:bottom w:w="0" w:type="dxa"/>
            <w:right w:w="108" w:type="dxa"/>
          </w:tblCellMar>
        </w:tblPrEx>
        <w:trPr>
          <w:trHeight w:val="423"/>
        </w:trPr>
        <w:tc>
          <w:tcPr>
            <w:tcW w:w="10613" w:type="dxa"/>
            <w:gridSpan w:val="3"/>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华越幼儿园</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1</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山形靠背椅1/</w:t>
            </w:r>
            <w:r>
              <w:rPr>
                <w:rFonts w:ascii="宋体" w:eastAsia="宋体" w:hAnsi="宋体" w:cs="宋体" w:hint="eastAsia"/>
                <w:b/>
                <w:bCs/>
                <w:color w:val="FF0000"/>
                <w:sz w:val="21"/>
                <w:szCs w:val="21"/>
                <w:lang w:bidi="ar"/>
              </w:rPr>
              <w:t>核心产品</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bidi="ar"/>
              </w:rPr>
              <w:t>规格：L36xW31.5xH49cm（座高：25cm）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eastAsia="zh-CN" w:bidi="ar"/>
              </w:rPr>
              <w:t>±2cm</w:t>
            </w:r>
            <w:r>
              <w:rPr>
                <w:rFonts w:ascii="宋体" w:eastAsia="宋体" w:hAnsi="宋体" w:cs="宋体" w:hint="eastAsia"/>
                <w:color w:val="000000"/>
                <w:sz w:val="21"/>
                <w:szCs w:val="21"/>
                <w:lang w:eastAsia="zh-CN" w:bidi="ar"/>
              </w:rPr>
              <w:t>）</w:t>
            </w:r>
          </w:p>
        </w:tc>
      </w:tr>
      <w:tr>
        <w:tblPrEx>
          <w:tblW w:w="5000" w:type="pct"/>
          <w:tblInd w:w="-1041" w:type="dxa"/>
          <w:tblLayout w:type="fixed"/>
          <w:tblCellMar>
            <w:top w:w="0" w:type="dxa"/>
            <w:left w:w="108" w:type="dxa"/>
            <w:bottom w:w="0" w:type="dxa"/>
            <w:right w:w="108" w:type="dxa"/>
          </w:tblCellMar>
        </w:tblPrEx>
        <w:trPr>
          <w:trHeight w:val="3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3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（1）框架采用榫卯工艺。</w:t>
            </w:r>
          </w:p>
        </w:tc>
      </w:tr>
      <w:tr>
        <w:tblPrEx>
          <w:tblW w:w="5000" w:type="pct"/>
          <w:tblInd w:w="-1041" w:type="dxa"/>
          <w:tblLayout w:type="fixed"/>
          <w:tblCellMar>
            <w:top w:w="0" w:type="dxa"/>
            <w:left w:w="108" w:type="dxa"/>
            <w:bottom w:w="0" w:type="dxa"/>
            <w:right w:w="108" w:type="dxa"/>
          </w:tblCellMar>
        </w:tblPrEx>
        <w:trPr>
          <w:trHeight w:val="3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（2）前后腿错落设计可满足叠放收纳。</w:t>
            </w:r>
          </w:p>
        </w:tc>
      </w:tr>
      <w:tr>
        <w:tblPrEx>
          <w:tblW w:w="5000" w:type="pct"/>
          <w:tblInd w:w="-1041" w:type="dxa"/>
          <w:tblLayout w:type="fixed"/>
          <w:tblCellMar>
            <w:top w:w="0" w:type="dxa"/>
            <w:left w:w="108" w:type="dxa"/>
            <w:bottom w:w="0" w:type="dxa"/>
            <w:right w:w="108" w:type="dxa"/>
          </w:tblCellMar>
        </w:tblPrEx>
        <w:trPr>
          <w:trHeight w:val="585"/>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w:t>
            </w:r>
          </w:p>
        </w:tc>
      </w:tr>
      <w:tr>
        <w:tblPrEx>
          <w:tblW w:w="5000" w:type="pct"/>
          <w:tblInd w:w="-1041" w:type="dxa"/>
          <w:tblLayout w:type="fixed"/>
          <w:tblCellMar>
            <w:top w:w="0" w:type="dxa"/>
            <w:left w:w="108" w:type="dxa"/>
            <w:bottom w:w="0" w:type="dxa"/>
            <w:right w:w="108" w:type="dxa"/>
          </w:tblCellMar>
        </w:tblPrEx>
        <w:trPr>
          <w:trHeight w:val="3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3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（1）座板：采用12mm(±1mm)橡胶木纹饰面实木多层板。</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（2）椅背：采用15mm(±2mm)橡胶木纹饰面实木多层板。外形采用山形高低设计，圆滑美观；弧形靠背贴合腰背，适应人体腰部曲线特点，呵护儿童脊椎发育；靠背向后倾斜5°，靠背弧形凹深20mm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eastAsia="zh-CN" w:bidi="ar"/>
              </w:rPr>
              <w:t>±2mm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，使坐姿靠背更舒适。</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（3）椅脚：采用厚度21mm(±1mm)橡胶木原木，纹理均匀细致。底部使用塑料脚套包裹，尺寸为L47xW20xH37mm(±1mm)，加厚耐磨，底部凹凸槽位设计抓地力更强，更好防滑保护地面刮花并降低噪音。</w:t>
            </w:r>
          </w:p>
        </w:tc>
      </w:tr>
      <w:tr>
        <w:tblPrEx>
          <w:tblW w:w="5000" w:type="pct"/>
          <w:tblInd w:w="-1041" w:type="dxa"/>
          <w:tblLayout w:type="fixed"/>
          <w:tblCellMar>
            <w:top w:w="0" w:type="dxa"/>
            <w:left w:w="108" w:type="dxa"/>
            <w:bottom w:w="0" w:type="dxa"/>
            <w:right w:w="108" w:type="dxa"/>
          </w:tblCellMar>
        </w:tblPrEx>
        <w:trPr>
          <w:trHeight w:val="3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（4）油漆：采用的水性漆，全封闭涂装工艺，漆面光泽高透，颜色均匀。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2537"/>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sz w:val="21"/>
                <w:szCs w:val="21"/>
              </w:rPr>
            </w:pPr>
            <w:r>
              <w:rPr>
                <w:rFonts w:ascii="宋体" w:eastAsia="宋体" w:hAnsi="宋体" w:cs="宋体" w:hint="eastAsia"/>
                <w:b/>
                <w:bCs/>
                <w:sz w:val="21"/>
                <w:szCs w:val="21"/>
                <w:lang w:bidi="ar"/>
              </w:rPr>
              <w:t>▲（5）提供成品幼儿椅符合GB18584-2024、GB/T17657-2022、GB/T43002-2023标准的合格检测报告，检测项目要求：外观要求（木制件外观、人造板件外观、塑料件外观、木工要求、漆膜外观要求）符合标准要求，椅凳类力学性能（强度试验、稳定性试验）符合标准要求，表面耐冷热循环后无开裂、无鼓泡，表面耐污染（污染物：可乐饮料、酒醋、用水稀释至 10%的碱溶液清洗剂，双氧水(3%的溶液)、指甲油、指甲油清洗剂、唇膏）≥4级，抗冲击性能后表面无开裂、剥落，甲醛、苯、甲苯、二甲苯、TVOC、可迁移有害元素（铅、镉、铬、汞、锑、钡、硒、砷）符合标准要求，邻苯二甲酸酯（DBP、BBP、DEHP、DNOP≤0.001%，DINP、DIDP≤0.005%），多环芳烃（18种多环芳烃(PAH)总量≤0.1mg/kg）。提供橡胶木拼板符合GB/T 31762-2015、GB/T 20284-2006、GB/T 8626-2007、GB 8624-2012、LY/T 2488-2015、GB/T 20285-2006、GB 18580-2017、GB/T 34722-2017、GB/T 39600-2021标准的合格检测报告，检测项目要求：外观质量要求符合标准要求；指接抗弯强度(气干密度＞0.47g/cm³：平均值≥35MPa，最小值≥28MPa）；侧拼抗剪强度（气干密度＞0.47g/cm³：最小的木破率≤70%：平均值≥8MPa，最小值≥5MPa）；甲醛释放量≤0.025mg/m³；表面耐划痕符合标准要求；表面耐磨磨耗值≤80mg/100r，磨100r之后留有花纹且不露底；表面耐干热、表面耐水蒸气、耐光色牢度、表面耐香烟灼烧≥4级；表面耐污染腐蚀、表面耐龟裂≥5级；苯酚释放量＜0.01mg/m³；燃烧性能（B1-C）、产烟特性（S1）、燃烧滴落物/微粒（d0)与烟气毒性（t1）符合标准要求。提供水性漆用GB/T23999-2009、GB/T 33394-2016、GB/T1741-2020、HG/T3950-2007标准的合格检测报告，检测项应满足：挥发性有机化合物（VOC）含量≤70g/L,甲醛含量≤5mg/kg，苯、甲苯、二甲苯、乙苯的总量≤50mg/kg，卤代烃≤100mg/kg，乙二醇醚及其酯类的总量≤50mg/kg，可溶性元素含量（锑、砷、铅、硒≤2mg/kg，钡、铬、汞≤1mg/kg，镉≤0.5mg/kg），烷基酚聚氧乙烯醚含量≤0.005%，防涂鸦性≤3级，不挥发物≥30%，通过耐冻融性测试不变质，耐水性、耐碱性、耐醇性符合标准要求，≥</w:t>
            </w:r>
            <w:r>
              <w:rPr>
                <w:rFonts w:ascii="宋体" w:eastAsia="宋体" w:hAnsi="宋体" w:cs="宋体" w:hint="eastAsia"/>
                <w:b/>
                <w:bCs/>
                <w:sz w:val="21"/>
                <w:szCs w:val="21"/>
                <w:lang w:eastAsia="zh-CN" w:bidi="ar"/>
              </w:rPr>
              <w:t>100</w:t>
            </w:r>
            <w:r>
              <w:rPr>
                <w:rFonts w:ascii="宋体" w:eastAsia="宋体" w:hAnsi="宋体" w:cs="宋体" w:hint="eastAsia"/>
                <w:b/>
                <w:bCs/>
                <w:sz w:val="21"/>
                <w:szCs w:val="21"/>
                <w:lang w:bidi="ar"/>
              </w:rPr>
              <w:t>H耐黄变性≤3级。上述需同时提供标注CMA标识的检测报告以及全国认证认可信息公共服务平台网站（http://cx.cnca.cn/CertECloud/qts/qts/qtsPage）查询截图作为得分依据，提供有效期内检测报告及相应截屏，不提供或提供不全的不得分。注：对应参数在检测报告中标注，成品名称需与检测报告名称一致，提供的检测报告须满足上述检测项目，原件备查。</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山形靠背椅2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规格：L36xW31.5xH52cm（座高：27cm）(±2cm)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（1）框架采用榫卯工艺。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（2）前后腿错落设计可满足叠放收纳。</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（1）座板：采用12mm(±1mm)橡胶木纹饰面实木多层板。</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椅背：采用15mm(±1mm)橡胶木纹饰面实木多层板。外形采用山形高低设计，圆滑美观；弧形靠背贴合腰背，适应人体腰部曲线特点，呵护儿童脊椎发育；靠背向后倾斜，靠背弧形凹深20mm(±2mm)，使坐姿靠背更舒适。</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（3）椅脚：采用厚度21mm(±2mm)橡胶木原木，纹理均匀细致。底部使用塑料脚套包裹，尺寸为L47xW20xH37mm(±1mm)，加厚耐磨，底部凹凸槽位设计抓地力更强，更好防滑保护地面刮花并降低噪音。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（4）油漆：采用的水性漆，全封闭涂装工艺，漆面光泽高透，颜色均匀。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3</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山形靠背椅3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规格：L36xW31.5xH55cm（座高：29cm）(±2cm)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（1）框架采用榫卯工艺。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（2）前后腿错落设计可满足叠放收纳。</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（1）座板：采用12mm(±1mm)橡胶木纹饰面实木多层板。</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（2）椅背：采用15mm(±1mm)橡胶木纹饰面实木多层板。外形采用山形高低设计，圆滑美观；弧形靠背贴合腰背，适应人体腰部曲线特点，呵护儿童脊椎发育；靠背向后倾斜</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5°，靠背弧形凹深20mm(±2mm)，使坐姿靠背更舒适。</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（3）椅脚：采用厚度21mm(±2mm)橡胶木原木，纹理均匀细致。底部使用塑料脚套包裹，尺寸为L47xW20xH37mm(±2mm)，加厚耐磨，底部凹凸槽位设计抓地力更强，更好防滑保护地面刮花并降低噪音。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（4）油漆：采用水性漆，全封闭涂装工艺，漆面光泽高透，颜色均匀。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4</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一体成型可叠椅</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规格：L47xW46.5xH73cm（座高41cm）(±2cm)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（1）椅子整体一次加工完成材料切割、一体成型，无须拼接，线条流畅。</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（2）几何图形挖孔设计，手提叠放轻松方便。</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（3）座板前高后低倾角设计，靠背弧形贴合腰背，适应人体曲线，符合人体力学，呵护儿童脊椎发育，孩子久坐不累。</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厚度≥15mm的实木多层板（弯板），椅子座高：410mm(±1mm)。座板底部与支撑脚弯曲处安装V型加固角码，角码采用塑料，打磨圆滑，尺寸为L127xW95xH27mm(±1mm)呈浅咖色，更好的还原自然原木色，有效增加支撑脚牢固强度。</w:t>
            </w:r>
          </w:p>
        </w:tc>
      </w:tr>
      <w:tr>
        <w:tblPrEx>
          <w:tblW w:w="5000" w:type="pct"/>
          <w:tblInd w:w="-1041" w:type="dxa"/>
          <w:tblLayout w:type="fixed"/>
          <w:tblCellMar>
            <w:top w:w="0" w:type="dxa"/>
            <w:left w:w="108" w:type="dxa"/>
            <w:bottom w:w="0" w:type="dxa"/>
            <w:right w:w="108" w:type="dxa"/>
          </w:tblCellMar>
        </w:tblPrEx>
        <w:trPr>
          <w:trHeight w:val="657"/>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（2）椅脚与座板弧形相连一体成型，底部使用塑料脚套包裹，尺寸为41.8x18x42.8mm(±2mm)，加厚耐磨，防滑不易脱落，可有效保护地面刮花并降低噪音。</w:t>
            </w:r>
          </w:p>
        </w:tc>
      </w:tr>
      <w:tr>
        <w:tblPrEx>
          <w:tblW w:w="5000" w:type="pct"/>
          <w:tblInd w:w="-1041" w:type="dxa"/>
          <w:tblLayout w:type="fixed"/>
          <w:tblCellMar>
            <w:top w:w="0" w:type="dxa"/>
            <w:left w:w="108" w:type="dxa"/>
            <w:bottom w:w="0" w:type="dxa"/>
            <w:right w:w="108" w:type="dxa"/>
          </w:tblCellMar>
        </w:tblPrEx>
        <w:trPr>
          <w:trHeight w:val="347"/>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（3）靠背圆矩形挖孔设计，手提叠放轻松方便。</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5</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w:t>
            </w:r>
            <w:r>
              <w:rPr>
                <w:rFonts w:ascii="宋体" w:eastAsia="宋体" w:hAnsi="宋体" w:cs="宋体" w:hint="eastAsia"/>
                <w:color w:val="000000"/>
                <w:sz w:val="21"/>
                <w:szCs w:val="21"/>
                <w:lang w:bidi="ar"/>
              </w:rPr>
              <w:t>6</w:t>
            </w:r>
            <w:r>
              <w:rPr>
                <w:rFonts w:ascii="宋体" w:eastAsia="宋体" w:hAnsi="宋体" w:cs="宋体" w:hint="eastAsia"/>
                <w:color w:val="000000"/>
                <w:sz w:val="21"/>
                <w:szCs w:val="21"/>
                <w:lang w:bidi="ar"/>
              </w:rPr>
              <w:t>人桌1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规格：L120xW60xH49cm(±2cm)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（2）所有螺丝位无毛刺不刮手，桌角及边沿采用R30mm(±1mm)圆角/圆边处理以及安全防撞设计，最大程度的避免儿童磕碰伤害，结构稳固。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（1）桌面：采用厚度30mm(±1mm)的橡胶木拼板搭配防火板贴面加工而成，耐刮耐磨，长时间使用不褪色、不容易开裂；长立水尺寸：L1062xW60xH18mm，短立水尺寸：L462xW60xH18mm(±2mm)。</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（2）桌脚：采橡胶木实木，厚实纹路清晰，尺寸为48x48mm(±1mm)，边沿均采用圆边处理（外侧边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R25mm,其他三边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（3）产品整体采用水性漆，全封闭涂装工艺，漆面光泽高透，颜色均匀，附着能力强，通透度高。桌面封边采用的水性木蜡油封边，成分天然，分子机构细小，成膜牢固，密封性好。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6</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原木6人桌2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规格：L120xW60xH52cm(±2cm)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（2）所有螺丝位无毛刺不刮手，桌角及边沿采用R30mm(±1mm)圆角/圆边处理以及安全防撞设计，最大程度的避免儿童磕碰伤害，结构稳固。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（1）桌面：采用厚度30mm(±2mm)的橡胶木拼板搭配防火板贴面加工而成，耐刮耐磨，长时间使用不褪色、不容易开裂；长立水尺寸：L1062xW60xH18mm(±2mm)，短立水尺寸：L462xW60xH18mm(±2mm)。</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（2）桌脚：采橡胶木实木，厚实纹路清晰，尺寸为48x48mm(±2mm)，边沿均采用圆边处理（外侧边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R25mm,其他三边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（3）产品整体采用水性漆，全封闭涂装工艺，漆面光泽高透，颜色均匀，附着能力强，通透度高。桌面封边采用的水性木蜡油封边，成分天然，分子机构细小，成膜牢固，密封性好。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7</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原木6人桌3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规格：L120xW60xH55cm(±2cm)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（2）所有螺丝位无毛刺不刮手，桌角及边沿采用R30mm(±2mm)圆角/圆边处理以及安全防撞设计，最大程度的避免儿童磕碰伤害，结构稳固。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（1）桌面：采用厚度30mm(±2mm)的橡胶木拼板搭配防火板贴面加工而成，耐刮耐磨，长时间使用不褪色、不容易开裂；长立水尺寸：L1062xW60xH18mm(±2mm)，短立水尺寸：L462xW60xH18mm(±2mm)。</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（2）桌脚：采橡胶木实木，厚实纹路清晰，尺寸为48x48mm，边沿均采用圆边处理（外侧边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R25mm,其他三边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（3）产品整体采用水性漆，全封闭涂装工艺，漆面光泽高透，附着能力强，通透度高。桌面封边采用的水性木蜡油封边，成分天然，分子机构细小，成膜牢固，密封性好。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8</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原木圆桌1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规格：Φ80xH49cm(±2cm)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（2）所有螺丝位无毛刺不刮手，桌角及边沿采用R30mm(±2mm)圆角/圆边处理以及安全防撞设计，最大程度的避免儿童磕碰伤害，结构稳固。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（1）桌面：采用厚度30mm(±2mm)的橡胶木拼板搭配防火板贴面加工而成，耐刮耐磨，长时间使用不褪色、不容易开裂；立水尺寸L462xW60xH18mm(±2mm)结构稳固。</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（2）桌脚：采橡胶木实木，厚实纹路清晰，尺寸为48x48mm(±2mm)，边沿均采用圆边处理（外侧边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R25mm,其他三边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（3）产品整体采用水性漆，全封闭涂装工艺，漆面光泽高透，颜色均匀，附着能力强，通透度高。桌面封边采用的水性木蜡油封边，成分天然，分子机构细小，成膜牢固，密封性好。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9</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原木圆桌2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规格：Φ80xH52cm(±2cm)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R30mm圆角/圆边处理以及安全防撞设计，最大程度的避免儿童磕碰伤害。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（1）桌面：采用厚度30mm(±2mm)的橡胶木拼板搭配防火板贴面加工而成，长时间使用不褪色、不容易开裂；立水尺寸L462xW60xH18mm结构稳固。</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w:t>
            </w:r>
            <w:r>
              <w:rPr>
                <w:rFonts w:ascii="宋体" w:eastAsia="宋体" w:hAnsi="宋体" w:cs="宋体" w:hint="eastAsia"/>
                <w:color w:val="000000"/>
                <w:sz w:val="21"/>
                <w:szCs w:val="21"/>
                <w:lang w:eastAsia="zh-CN" w:bidi="ar"/>
              </w:rPr>
              <w:t>用</w:t>
            </w:r>
            <w:r>
              <w:rPr>
                <w:rFonts w:ascii="宋体" w:eastAsia="宋体" w:hAnsi="宋体" w:cs="宋体" w:hint="eastAsia"/>
                <w:color w:val="000000"/>
                <w:sz w:val="21"/>
                <w:szCs w:val="21"/>
                <w:lang w:bidi="ar"/>
              </w:rPr>
              <w:t>橡胶木实木，厚实纹路清晰，尺寸为48x48mm(±2mm)，边沿均采用圆边处理（外侧边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R25mm,其他三边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（3）产品整体采用的水性漆，全封闭涂装工艺，漆面附着能力强，通透度高。桌面封边采用的水性木蜡油封边，成分天然，分子机构细小，成膜牢固，密封性好。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10</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原木圆桌3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规格：Φ80xH55cm(±2cm)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（2）所有螺丝位无毛刺不刮手，桌角及边沿采用R30mm圆角/圆边处理以及安全防撞设计，最大程度的避免儿童磕碰伤害，结构稳固。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（1）桌面：采用厚度30mm(±2mm)的橡胶木拼板搭配防火板贴面加工而成，耐刮耐磨，长时间使用不褪色、不容易开裂；立水尺寸L462xW60xH18mm(±2mm)结构稳固。</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（2）桌脚：采橡胶木实木，厚实纹路清晰，尺寸为48x48mm(±2mm)，边沿均采用圆边处理（外侧边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R25mm,其他三边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（3）产品整体采用水性漆，全封闭涂装工艺，漆面光泽高透，颜色均匀，附着能力强，通透度高。桌面封边采用的水性木蜡油封边，成分天然，分子机构细小，成膜牢固，密封性好。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11</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原木4人桌1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规格：L60xW60xH49cm(±2cm)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（2）所有螺丝位无毛刺不刮手，桌角及边沿采用R30mm(±2mm)圆角/圆边处理以及安全防撞设计，最大程度的避免儿童磕碰伤害，结构稳固。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（1）桌面：采用厚度30mm(±2mm)的橡胶木拼板搭配防火板贴面加工而成，长时间使用不褪色、不容易开裂；立水尺寸L462xW60xH18mm(±2mm)结构稳固。</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（2）桌脚：采橡胶木实木，厚实纹路清晰，尺寸为48x48mm(±2mm)，边沿均采用圆边处理（外侧边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R25mm,其他三边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（3）产品整体采用的水性漆，全封闭涂装工艺，漆面光泽高透，颜色均匀，附着能力强，通透度高。桌面封边采用的水性木蜡油封边，成分天然，分子机构细小，成膜牢固，密封性好。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12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原木4人桌2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规格：L60xW60xH52cm(±2cm)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（2）所有螺丝位无毛刺不刮手，桌角及边沿采用R30mm(±2mm)圆角/圆边处理以及安全防撞设计，最大程度的避免儿童磕碰伤害，结构稳固。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（1）桌面：采用厚度30mm(±2mm)的橡胶木拼板搭配防火板贴面加工而成，耐刮耐磨，长时间使用不褪色、不容易开裂；立水尺寸L462xW60xH18mm(±2mm)结构稳固。</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（2）桌脚：采橡胶木实木，厚实纹路清晰，尺寸为48x48mm(±2mm)，边沿均采用圆边处理（外侧边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R25mm,其他三边</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（3）产品整体采用的水性漆，全封闭涂装工艺，漆面光泽高透，颜色均匀，附着能力强，通透度高。桌面封边采用的水性木蜡油封边，成分天然，分子机构细小，成膜牢固，密封性好。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13</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原木4人桌3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规格：L60xW60xH55cm(±2cm)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（2）所有螺丝位无毛刺不刮手，桌角及边沿采用R30mm(±2mm)圆角/圆边处理以及安全防撞设计，最大程度的避免儿童磕碰伤害，结构稳固。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（1）桌面：采用厚度30mm(±2mm)的橡胶木拼板搭配防火板贴面加工而成，耐刮耐磨，长时间使用不褪色、不容易开裂；立水尺寸L462xW60xH18mm(±2mm)结构稳固。</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（2）桌脚：采橡胶木实木，厚实纹路清晰，尺寸为48x48mm(±2mm)，边沿均采用圆边处理（外侧边R25mm,其他三边R10mm）；底部安装塑料脚垫，软性防滑，可有效保护地面刮花并降低噪音。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（3）产品整体采用的水性漆，全封闭涂装工艺，漆面光泽高透，颜色均匀，附着能力强，通透度高。桌面封边采用的水性木蜡油封边，成分天然，分子机构细小，成膜牢固，密封性好。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14</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月亮桌</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可调节</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规格：L120xW60xH49/52/55cm 可调节高度(±2cm)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（1）桌面背面设置有</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4个塑料连接件，桌脚使用螺旋安装方式与桌面连接，方便拆卸。</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（2）桌脚底部安装可调节塑料件，可通过调整塑料件的数量来改变桌面的整体高度。</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（3）所有螺丝位无毛刺不刮手，桌角及边沿采用R30mm(±2mm)圆角/圆边处理以及安全防撞设计，最大程度的避免儿童磕碰伤害，结构稳固。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11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（1）桌面：采用厚度24mm(±2mm)的实木多层板，桌面与桌脚链接安装</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个塑料一次成型尺寸为L187xW150xH66mm(±2mm)的扇形脚座连接件，脚座设置一个外直径50mm(±2mm)连接桌脚，呈浅咖色，表面光滑无毛刺，线条圆润，桌脚直接螺旋拧上即完成安装，既省时省力又提高产品的互换性，延长使用寿命。</w:t>
            </w:r>
          </w:p>
        </w:tc>
      </w:tr>
      <w:tr>
        <w:tblPrEx>
          <w:tblW w:w="5000" w:type="pct"/>
          <w:tblInd w:w="-1041" w:type="dxa"/>
          <w:tblLayout w:type="fixed"/>
          <w:tblCellMar>
            <w:top w:w="0" w:type="dxa"/>
            <w:left w:w="108" w:type="dxa"/>
            <w:bottom w:w="0" w:type="dxa"/>
            <w:right w:w="108" w:type="dxa"/>
          </w:tblCellMar>
        </w:tblPrEx>
        <w:trPr>
          <w:trHeight w:val="141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用直径φ48mm(±2mm)的桦木原木搭配浅咖色塑料调节脚套环，螺旋结构方便调节，每个脚套环规格为φ48xH55mm(±2mm)，选择安装不同的数量可满足不同的高度需求，可调高度为490/520/550mm(±2mm)；桌脚底部是直径62mm(±2mm)高度40mm(±2mm)的塑料脚垫，脚垫底部安装可调螺旋塑料脚垫直径39.5mm(±2mm)，可适应个别不平整的地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（3）采用的水性漆，全封闭涂装工艺，漆面光泽高透，颜色均匀。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15</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r>
              <w:rPr>
                <w:rFonts w:ascii="宋体" w:eastAsia="宋体" w:hAnsi="宋体" w:cs="宋体" w:hint="eastAsia"/>
                <w:color w:val="000000"/>
                <w:sz w:val="21"/>
                <w:szCs w:val="21"/>
                <w:lang w:bidi="ar"/>
              </w:rPr>
              <w:t>层分类书柜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规格：L90xW30xH121cm (±2cm)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4层分类多方式收纳书架，能适用多种书籍的摆放。</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（2）顶部白板可擦写，能方便标签分类。</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（1）柜体采用厚度16mm(±2mm)的桦木纹/乳白色的双饰面浸渍胶膜纸饰面刨花板，及厚度18mm(±2mm)的乳白色的双饰面浸渍胶膜纸饰面实木多层板。顶部(白色挡板位置)。</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（2）围脚：底部安装塑料脚垫，高度为H10mm(±2mm)，直径17mm(±2mm)，软性防滑，可有效保护地面刮花并降低噪音。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（3）封边条：采用厚度不低于1.5mmPVC封边条，表面光滑平整，封边细腻硬度高，线条均匀，转角过渡自然，无脱胶，表面光滑平整无胶渍。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16</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互动化妆台</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规格：桌:L79xW37xH91cm 椅:L36xW24xH26cm (±2cm)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（1）逼真梳妆台造型设计，搭配梳妆椅与亚克力镜子，能适用游戏场景下使用，提高趣味性。</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（2）采用美工机喷绘工艺，搭配油墨，图案附着力好，生动立体不易褪色。</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（3）所有螺丝位无毛刺不刮手，四角及边沿采用圆角/圆边处理以及安全防撞设计，最大程度的避免儿童磕碰伤害，不易倾倒。</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主体采用厚度12mm(±2mm)及18mm(±2mm)的实木多层板，抽屉盒底板采用厚度5mm桦木纹饰面实木纤维板。化妆台镜子采用亚克力镜面板材质，安全防摔，清晰度高，亚克力镜子尺寸为310x340mm(±2mm)，台面离地高度：520mm(±2mm)。</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（2）搭配1张梳妆椅，面板贴黑色防火板，可使用粉笔进行擦写；椅脚采用一体成型的可弯板，椅脚使用塑料脚套包裹，尺寸为36.5x22.5x44mm(±2mm)，加厚耐磨，防滑不易脱落，可有效保护地面刮花并降低噪音。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（3）油漆：采用水性漆，全封闭涂装工艺。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（4）油墨：采用水性油墨，颜色饱满。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17</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互动小厨房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规格：L93xW30xH86cm (±2cm)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（1）逼真厨房功能设计，既能独立摆放模拟真实场景又易于搭配其他产品进行环创。</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（2）采用美工机喷绘工艺，搭配油墨，图案附着力好，生动立体不易褪色。</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（3）可旋转按钮仿真功能，可视化按键，增强游戏真实体验感。</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（1）柜体采用厚度15mm(±2mm)的桦木纹饰面橡胶木拼板，部分采用厚度12mm及15mm的实木多层板喷涂水性漆，背板采用厚度5mm(±2mm)的饰面实木纤维板。</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（2）柜体右侧为冰箱造型，独立一扇门，门板内装缓冲铰链，门板外拉手采用深咖色塑料一次成型，实现门板开合。柜体侧面与操作面板设有塑料挂钩。</w:t>
            </w:r>
          </w:p>
        </w:tc>
      </w:tr>
      <w:tr>
        <w:tblPrEx>
          <w:tblW w:w="5000" w:type="pct"/>
          <w:tblInd w:w="-1041" w:type="dxa"/>
          <w:tblLayout w:type="fixed"/>
          <w:tblCellMar>
            <w:top w:w="0" w:type="dxa"/>
            <w:left w:w="108" w:type="dxa"/>
            <w:bottom w:w="0" w:type="dxa"/>
            <w:right w:w="108" w:type="dxa"/>
          </w:tblCellMar>
        </w:tblPrEx>
        <w:trPr>
          <w:trHeight w:val="11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左侧为一个塑料一次成型呈奶白色的洗手台，尺寸L218xW218xH78mm(±2mm)；搭配2个可旋转的塑料成型2合1外直径35mm(±2mm)内直径18mm(±2mm)的旋转调节开关，一个长度70.5mm(±2mm)内径19mm(±2mm)的旋转水龙头；两个φ124mm(±2mm)的仿真灶炉。</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（4）柜体下方为</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2个独立开合门，门板内装缓冲铰链，能实现门板开合；</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2个拉手采用采用深咖色塑料一次成型。门板中间采用透明亚克力板做卡通图案，门上方有</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4个可旋转的塑料成型2合1外直径35mm(±2mm)内直径18mm(±2mm)的旋转调节开关。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（6）木蜡油：采用水性木蜡油封边，成分天然，分子机构细小，成膜牢固，密封性好。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（7）油漆：采用水性漆，全封闭涂装工艺，漆面光泽高透，颜色均匀。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（8）油墨：采用水性油墨，颜色饱满，无毒无异味。</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（9）亚克力板：采用透明亚克力板，表面光滑无缺陷，高透光性，无毒。</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（10）塑料板：采用食品级的塑料材质，感官要求。</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sz w:val="21"/>
                <w:szCs w:val="21"/>
              </w:rPr>
            </w:pPr>
            <w:r>
              <w:rPr>
                <w:rFonts w:ascii="宋体" w:eastAsia="宋体" w:hAnsi="宋体" w:cs="宋体" w:hint="eastAsia"/>
                <w:b/>
                <w:bCs/>
                <w:sz w:val="21"/>
                <w:szCs w:val="21"/>
              </w:rPr>
              <w:t>▲（11）提供由CMA认证的检测机构出具的互动小厨房成品型式试验检测报告，采用GB 28007-2011检测标准，检测项应满足：外观（木制件、金属件、塑料件、涂层）、木制件表面涂层/覆面材料（耐液、附着力、耐湿热、耐干热、耐冷热温差、抗冲击、耐磨）、木材含水率、结构安全（边缘及尖端、突出物、孔及间隙、折叠机构、封闭式家具）、力学性能（连接件试验、搁板支承件强度试验、顶板和底板静载荷试验、结构和底架强度试验、拉门耐久性试验、其他）、产品甲醛释放量、表面涂层可迁移元素（锑、砷、铅、硒、镉、铬、汞、钡）、塑料邻苯二甲酸酯、警示标识、标志、使用说明等判定合格符合标准要求。提供亚克力板用HG/T 3862-2006、GB/T 12000-2017、GB/T 11547-2008、GB/T 1043.1-2008、GB/T 1034-2008标准的合格检测报告，检测项应满足：在3个暴露循环试验[湿热≥</w:t>
            </w:r>
            <w:r>
              <w:rPr>
                <w:rFonts w:ascii="宋体" w:eastAsia="宋体" w:hAnsi="宋体" w:cs="宋体" w:hint="eastAsia"/>
                <w:b/>
                <w:bCs/>
                <w:sz w:val="21"/>
                <w:szCs w:val="21"/>
                <w:lang w:eastAsia="zh-CN"/>
              </w:rPr>
              <w:t>12</w:t>
            </w:r>
            <w:r>
              <w:rPr>
                <w:rFonts w:ascii="宋体" w:eastAsia="宋体" w:hAnsi="宋体" w:cs="宋体" w:hint="eastAsia"/>
                <w:b/>
                <w:bCs/>
                <w:sz w:val="21"/>
                <w:szCs w:val="21"/>
              </w:rPr>
              <w:t>0h→水喷雾≥</w:t>
            </w:r>
            <w:r>
              <w:rPr>
                <w:rFonts w:ascii="宋体" w:eastAsia="宋体" w:hAnsi="宋体" w:cs="宋体" w:hint="eastAsia"/>
                <w:b/>
                <w:bCs/>
                <w:sz w:val="21"/>
                <w:szCs w:val="21"/>
                <w:lang w:eastAsia="zh-CN"/>
              </w:rPr>
              <w:t>12</w:t>
            </w:r>
            <w:r>
              <w:rPr>
                <w:rFonts w:ascii="宋体" w:eastAsia="宋体" w:hAnsi="宋体" w:cs="宋体" w:hint="eastAsia"/>
                <w:b/>
                <w:bCs/>
                <w:sz w:val="21"/>
                <w:szCs w:val="21"/>
              </w:rPr>
              <w:t>0h→中性盐雾≥</w:t>
            </w:r>
            <w:r>
              <w:rPr>
                <w:rFonts w:ascii="宋体" w:eastAsia="宋体" w:hAnsi="宋体" w:cs="宋体" w:hint="eastAsia"/>
                <w:b/>
                <w:bCs/>
                <w:sz w:val="21"/>
                <w:szCs w:val="21"/>
                <w:lang w:eastAsia="zh-CN"/>
              </w:rPr>
              <w:t>12</w:t>
            </w:r>
            <w:r>
              <w:rPr>
                <w:rFonts w:ascii="宋体" w:eastAsia="宋体" w:hAnsi="宋体" w:cs="宋体" w:hint="eastAsia"/>
                <w:b/>
                <w:bCs/>
                <w:sz w:val="21"/>
                <w:szCs w:val="21"/>
              </w:rPr>
              <w:t>0h]后，试样黄色指数≤5，蒸馏水中浸泡24h吸水质量分数≤0.3%，依次浸泡以下溶液（24h）:100%蒸馏水，乙醇，肥皂液，清洁剂，次氯酸钠，30%过氧化氢，5%乙酸后外观无明显变化，耐液体化学试剂浸泡后的简支梁冲击强度≥14kJ/m²。提供塑料连接件符合HG/T 3862-2006、GB/T 12000-2017、GB/T 1034-2008、GB/T 1043.1-2008、GB/T 11547-2008标准的合格检测报告，检测项应满足：在3个暴露循环试验[湿热≥</w:t>
            </w:r>
            <w:r>
              <w:rPr>
                <w:rFonts w:ascii="宋体" w:eastAsia="宋体" w:hAnsi="宋体" w:cs="宋体" w:hint="eastAsia"/>
                <w:b/>
                <w:bCs/>
                <w:sz w:val="21"/>
                <w:szCs w:val="21"/>
                <w:lang w:eastAsia="zh-CN"/>
              </w:rPr>
              <w:t>12</w:t>
            </w:r>
            <w:r>
              <w:rPr>
                <w:rFonts w:ascii="宋体" w:eastAsia="宋体" w:hAnsi="宋体" w:cs="宋体" w:hint="eastAsia"/>
                <w:b/>
                <w:bCs/>
                <w:sz w:val="21"/>
                <w:szCs w:val="21"/>
              </w:rPr>
              <w:t>0h→水喷雾≥</w:t>
            </w:r>
            <w:r>
              <w:rPr>
                <w:rFonts w:ascii="宋体" w:eastAsia="宋体" w:hAnsi="宋体" w:cs="宋体" w:hint="eastAsia"/>
                <w:b/>
                <w:bCs/>
                <w:sz w:val="21"/>
                <w:szCs w:val="21"/>
                <w:lang w:eastAsia="zh-CN"/>
              </w:rPr>
              <w:t>12</w:t>
            </w:r>
            <w:r>
              <w:rPr>
                <w:rFonts w:ascii="宋体" w:eastAsia="宋体" w:hAnsi="宋体" w:cs="宋体" w:hint="eastAsia"/>
                <w:b/>
                <w:bCs/>
                <w:sz w:val="21"/>
                <w:szCs w:val="21"/>
              </w:rPr>
              <w:t>0h→中性盐雾≥</w:t>
            </w:r>
            <w:r>
              <w:rPr>
                <w:rFonts w:ascii="宋体" w:eastAsia="宋体" w:hAnsi="宋体" w:cs="宋体" w:hint="eastAsia"/>
                <w:b/>
                <w:bCs/>
                <w:sz w:val="21"/>
                <w:szCs w:val="21"/>
                <w:lang w:eastAsia="zh-CN"/>
              </w:rPr>
              <w:t>12</w:t>
            </w:r>
            <w:r>
              <w:rPr>
                <w:rFonts w:ascii="宋体" w:eastAsia="宋体" w:hAnsi="宋体" w:cs="宋体" w:hint="eastAsia"/>
                <w:b/>
                <w:bCs/>
                <w:sz w:val="21"/>
                <w:szCs w:val="21"/>
              </w:rPr>
              <w:t>0h]后，试样黄色指数≤50，放置温度23℃士1℃和相对湿度50%士5%的环境24h吸水质量分数≤0.05%，依次浸泡以下溶液:100%蒸馏水，乙醇，肥皂液，清洁剂，次氯酸钠，30%过氧化氢，5%乙酸后外观无明显变化，耐液体化学试剂浸泡后的简支梁冲击强度≥2kJ/m²。</w:t>
            </w:r>
            <w:r>
              <w:rPr>
                <w:rFonts w:ascii="宋体" w:eastAsia="宋体" w:hAnsi="宋体" w:cs="宋体" w:hint="eastAsia"/>
                <w:b/>
                <w:bCs/>
                <w:sz w:val="21"/>
                <w:szCs w:val="21"/>
                <w:lang w:bidi="ar"/>
              </w:rPr>
              <w:t>上述需同时提供标注CMA标识的检测报告以及全国认证认可信息公共服务平台网站（http://cx.cnca.cn/CertECloud/qts/qts/qtsPage）查询截图作为得分依据，提供有效期内检测报告及相应截屏，不提供或提供不全的不得分。注：对应参数在检测报告中标注，成品名称需与检测报告名称一致，提供的检测报告须满足上述检测项目，原件备查。</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18</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rPr>
              <w:t>简约书架（图书柜）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规格：L93xW30xH81cm(±2cm)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（1）书架与收纳柜结合，兼具收纳与学习功能。</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（1）架体：采用厚度16m(±2mm)m的桦木纹双饰面浸渍胶膜纸饰面刨花板。共</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四层书本搁置槽。</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（2）围脚：底部安装塑料脚垫，高度为H10mm(±2mm)，直径</w:t>
            </w:r>
            <w:bookmarkStart w:id="15" w:name="OLE_LINK3"/>
            <w:bookmarkStart w:id="16" w:name="OLE_LINK4"/>
            <w:r>
              <w:rPr>
                <w:rFonts w:ascii="宋体" w:eastAsia="宋体" w:hAnsi="宋体" w:cs="宋体" w:hint="eastAsia"/>
                <w:color w:val="000000"/>
                <w:sz w:val="21"/>
                <w:szCs w:val="21"/>
                <w:lang w:bidi="ar"/>
              </w:rPr>
              <w:t>17mm(±2mm)，软性防滑，可有效保护地面刮花并降低噪音。</w:t>
            </w:r>
            <w:bookmarkEnd w:id="15"/>
            <w:bookmarkEnd w:id="16"/>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2817"/>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sz w:val="21"/>
                <w:szCs w:val="21"/>
              </w:rPr>
            </w:pPr>
            <w:r>
              <w:rPr>
                <w:rFonts w:ascii="宋体" w:eastAsia="宋体" w:hAnsi="宋体" w:cs="宋体" w:hint="eastAsia"/>
                <w:b/>
                <w:bCs/>
                <w:sz w:val="21"/>
                <w:szCs w:val="21"/>
                <w:lang w:bidi="ar"/>
              </w:rPr>
              <w:t>▲（4）提供由CMA认证的检测机构出具的成品图书柜符合GB 28007-2011、GB/T43002-2023标准的合格检测报告，检测项目要求：结构安全（边缘及尖端、突出物、孔及间隙及其他）、柜类强度与耐久性（隔板支承件强度试验、顶板和底板静载荷试验、结构和底架强度试验）、甲醛释放量≤0.01mg/m³、苯，甲苯及二甲苯≤0.002mg/m³、TVOC≤0.5mg/m³。提供浸渍胶膜纸饰面刨花板符合GB18580-2017、GB/T 31762-2015、GB/T 20284-2006、GB/T 8626-2007、GB 8624-2012、GB/T20285-2006、GB/T4897-2015、GB/T 39600-2021标准的合格检测报告，检测项目要求：板内密度偏差、静曲强度、弹性模量、内胶合强度、表面胶合强度符合标准要求；潮湿状态下24h吸水厚度膨胀率≤14%；握螺钉力（板面≥900N，板边≥600N）；甲醛释放量≤0.025mg/m³；苯酚释放量＜0.01mg/m³；燃烧性能（B1-C）、产烟特性（S1）、燃烧滴落物/微粒（d0)与烟气毒性（t1）符合标准要求。</w:t>
            </w:r>
            <w:r>
              <w:rPr>
                <w:rFonts w:ascii="宋体" w:eastAsia="宋体" w:hAnsi="宋体" w:cs="宋体" w:hint="eastAsia"/>
                <w:b/>
                <w:bCs/>
                <w:sz w:val="21"/>
                <w:szCs w:val="21"/>
              </w:rPr>
              <w:t>出具幼儿柜符合GB18584-2024、GB/T17657-2022、GB/T43002-2023标准的合格检测报告，检测项目要求：外观要求（木制件外观、人造板件外观、塑料件外观、木工要求、漆膜外观要求）、力学性能符合标准要求，加速老化循环后静曲强度的顺纹≥40MPa,横纹≥35MPa，表面耐冷热循环后无开裂、无鼓泡，表面耐污染（污染物：可乐饮料、酒醋、用水稀释至 10%的碱溶液清洗剂，双氧水(3%的溶液)、指甲油、指甲油清洗剂、唇膏）≥4级，抗冲击性能后表面无开裂、剥落，甲醛、苯、甲苯、二甲苯、TVOC、可迁移有害元素（铅、镉、铬、汞、锑、钡、硒、砷）符合标准要求，邻苯二甲酸（DBP、BBP、DEHP、DNOP≤0.001%，DINP、DIDP≤0.005%），多环芳烃（苯并[a]芘、18种多环芳烃(PAH)总量≤0.05mg/kg）。提供</w:t>
            </w:r>
            <w:r>
              <w:rPr>
                <w:rFonts w:ascii="宋体" w:eastAsia="宋体" w:hAnsi="宋体" w:cs="宋体" w:hint="eastAsia"/>
                <w:b/>
                <w:bCs/>
                <w:sz w:val="21"/>
                <w:szCs w:val="21"/>
                <w:lang w:eastAsia="zh-CN"/>
              </w:rPr>
              <w:t>环保</w:t>
            </w:r>
            <w:r>
              <w:rPr>
                <w:rFonts w:ascii="宋体" w:eastAsia="宋体" w:hAnsi="宋体" w:cs="宋体" w:hint="eastAsia"/>
                <w:b/>
                <w:bCs/>
                <w:sz w:val="21"/>
                <w:szCs w:val="21"/>
              </w:rPr>
              <w:t>塑料的合格检测报告，采用GB 6675.1-2014、GB 6675.4-2014、GB/T 16422.2-2022、GB/T 5470-2008、GB/T 1036-2008、GB/T 3682.1-2018、GB/T 11547-2008、GB/T 1043.1-2008、GB/T 1034-2008、GB/T 1041-2008检测标准，检测项应满足：邻苯二甲酸酯（邻苯二甲酸二(2-乙基已基)酯≤0.001%、邻苯二甲酸二丁酯≤0.001%、邻苯二甲酸丁苄酯≤0.001%、邻苯二甲酸二异壬酯≤0.005%、邻苯二甲酸二辛酯≤0.001%、邻苯二甲酸二异癸酯≤0.005%）；可迁移元素（锑≤5mg/kg、砷≤2.5mg/kg、钡≤5mg/kg、镉≤5mg/kg、铬≤2.5mg/kg、铅≤5mg/kg、汞≤2.5mg/kg、硒≤5mg/kg）；经500h以上氙灯老化测试无开裂；经-40℃低温脆化温度测定无破裂符合标准要求。线膨胀系数5~10×10⁻⁵℃⁻¹，蒸馏水中浸泡</w:t>
            </w:r>
            <w:r>
              <w:rPr>
                <w:rFonts w:ascii="宋体" w:eastAsia="宋体" w:hAnsi="宋体" w:cs="宋体" w:hint="eastAsia"/>
                <w:b/>
                <w:bCs/>
                <w:sz w:val="21"/>
                <w:szCs w:val="21"/>
                <w:lang w:eastAsia="zh-CN"/>
              </w:rPr>
              <w:t>≥</w:t>
            </w:r>
            <w:r>
              <w:rPr>
                <w:rFonts w:ascii="宋体" w:eastAsia="宋体" w:hAnsi="宋体" w:cs="宋体" w:hint="eastAsia"/>
                <w:b/>
                <w:bCs/>
                <w:sz w:val="21"/>
                <w:szCs w:val="21"/>
              </w:rPr>
              <w:t>24h吸水质量分数≤0.1%，放置温度23℃士1℃和相对湿度50%士5%的环境24h吸水质量分数≤0.05%，压缩屈服强度≥90MPa，在一定温度（250℃）和负荷（10kg）下，熔体质量流动速率≥9g/10min，熔体体积流动速率≥79cm³/10min，依次浸泡以下溶液（24h）:100%蒸馏水，乙醇，肥皂液，清洁剂，次氯酸钠，30%过氧化氢，5%乙酸后外观无明显变化，耐液体化学试剂浸泡后的简支梁冲击强度≥2.5kJ/m²(侧向冲击)。</w:t>
            </w:r>
            <w:r>
              <w:rPr>
                <w:rFonts w:ascii="宋体" w:eastAsia="宋体" w:hAnsi="宋体" w:cs="宋体" w:hint="eastAsia"/>
                <w:b/>
                <w:bCs/>
                <w:sz w:val="21"/>
                <w:szCs w:val="21"/>
                <w:lang w:bidi="ar"/>
              </w:rPr>
              <w:t>上述需同时提供标注CMA标识的检测报告以及全国认证认可信息公共服务平台网站（http://cx.cnca.cn/CertECloud/qts/qts/qtsPage）查询截图作为得分依据，提供有效期内检测报告及相应截屏，不提供或提供不全的不得分。注：对应参数在检测报告中标注，成品名称需与检测报告名称一致，提供的检测报告须满足上述检测项目，原件备查。</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19</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简约衣帽饰品柜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规格：L105xW40xH110cm(±2cm)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（1）多功能带轮衣帽收纳架，储物空间大，移动/固定便捷。</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（2）加厚亚克力镜子，模拟真实换装情景，兼具装饰、收纳与教玩功能，能与其他柜体组合搭配使用。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厚度15mm(±2mm)的桦木纹饰面橡胶木拼板。挂衣格内空：580x400x775mm(±2mm)，悬挂一个铝合金双筋扁管挂杆；柜子一边外侧安装亚克力材质镜子，冲击强度比玻璃镜高，不容易碎，尺寸L540xW260mm(±2mm)，镜子下方配置化妆收纳格。</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（2）底部安装</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4个平底带刹车万向脚轮，脚轮运行平稳无声，可</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360°旋转，转动顺滑。</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（3）木蜡油：采用的水性木蜡油封边，成分天然，分子机构细小，成膜牢固，密封性好。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20</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林中屋综合互动小厨房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规格：L90xW32xH102cm(±2cm)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（1）逼真综合厨房功能设计，树屋元素造型，既能独立摆放模拟真实场景又易于搭配其他产品进行环创。</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（2）采用美工机喷绘工艺，搭配油墨，图案附着力好，生动立体不易褪色。</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（3）可旋转按钮仿真功能，可视化按键，增强游戏真实体验感。</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（4）多功能带轮带刹车柜体，移动/固定便捷。</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（1）基材：主体采用厚度12mm(±2mm)和15mm(±2mm)厚度的桦木纹饰面橡胶木拼板以及厚度12mm(±2mm)和15mm(±2mm)厚度的实木多层板，背板采用厚度5mm(±2mm)的饰面实木纤维板。</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（2）柜体上方设置厨房储放功能，拉手为直径29mm(±2mm)白色锌合金拉手；门板采用透明亚克力板做通透处理。储存空间下方搭配塑料挂钩。</w:t>
            </w:r>
          </w:p>
        </w:tc>
      </w:tr>
      <w:tr>
        <w:tblPrEx>
          <w:tblW w:w="5000" w:type="pct"/>
          <w:tblInd w:w="-1041" w:type="dxa"/>
          <w:tblLayout w:type="fixed"/>
          <w:tblCellMar>
            <w:top w:w="0" w:type="dxa"/>
            <w:left w:w="108" w:type="dxa"/>
            <w:bottom w:w="0" w:type="dxa"/>
            <w:right w:w="108" w:type="dxa"/>
          </w:tblCellMar>
        </w:tblPrEx>
        <w:trPr>
          <w:trHeight w:val="11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柜面右侧为一个塑料一次成型呈奶白色的洗手台，尺寸L218xW218xH78mm(±2mm)；搭配可旋转的塑料成型2合1外直径35mm(±2mm)内直径18mm(±2mm)的旋转调节开关，一个长度70.5mm(±2mm)内径19mm(±2mm)的旋转水龙头；柜面左侧为两个φ124mm(±2mm)的仿真灶炉，搭配可旋转的塑料成型2合1</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外直径35mm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内直径18mm的旋转调节开关。</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（4）柜体下方为</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3个独立开合门，门板内装缓冲铰链，能实现门板开合；</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3个拉手均采用深咖色塑料。</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（5）柜子底部安装</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4个</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1.5寸静音万向脚轮，脚轮运行平稳无声，可</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360°旋转，转动顺滑，其中2个脚轮带刹车功能，刹车灵敏，踏板不易断裂。</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（6）木蜡油：采用水性木蜡油封边，成分天然，分子机构细小，成膜牢固，密封性好。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（7）油漆：采用水性漆，全封闭涂装工艺，漆面光泽高透，颜色均匀。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（8）油墨：采用水性油墨，颜色饱满。</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（9）亚克力板：采用透明亚克力板。</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（10）塑料板：采用食品级的塑料材质，感官要求。</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21</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美术材料分类收纳柜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规格：L91xW50xH75cm(±2cm)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（1）可移动美术材料分类柜设计，能适用多场景下使用。</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（2）结构多样化，配套塑料收纳盒，适用多种美术材料及工具的分类储存。</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（1）柜体采用厚度12mm(±2mm)和15mm(±2mm)的桦木纹饰面橡胶木拼板。顶部颜料杯放置架孔径：70mm(±2mm)（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8个）。</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（2）底部安装</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4个</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2寸静音万向脚轮，脚轮运行平稳无声，可</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360°旋转，转动顺滑。</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（3）搭配：产品包含</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5个收纳盒，尺寸：L245xW150xH60mm(±2mm)，收纳盒采用塑料材质，呈浅咖色，圆滑无毛刺，一体成型设计，结构稳固。</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8个杯子尺寸φ78xH94mm(±2mm)，杯子采用塑料材质，一体成型。</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（4）木蜡油：采用水性木蜡油封边，成分天然，分子机构细小，成膜牢固，密封性好，无毒。</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22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美术纸筒柜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规格：L40xW40xH58cm(±2cm)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（1）车头美工造型设计，兼具装饰与收纳功能。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（2）采用美工机喷绘工艺，搭配油墨，图案附着力好，生动立体不易褪色。</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（1）柜体：采用厚度12mm(±2mm)双贴桦木纹饰面的橡胶木拼板，柜体</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四块竖板呈半月形，嵌入式安装，保留高低错落弧度造型，形成</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9格分类。</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（2）柜子底部安装</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4个</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1.5寸静音带刹车万向脚轮，脚轮运行平稳无声，可</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360°旋转，转动顺滑。</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（3）采用水性木蜡油封边，成分天然，分子机构细小。</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（4）油墨：车头造型采用美工机喷绘工艺，搭配水性油墨，图案附着力好，生动立体不易褪色。</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23</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美术作品晾干柜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规格：L50xW40xH76cm(±2cm)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（1）卡槽定位设计，分布均匀，实现作品晾干网抽拉式取放，不易走位。</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（2）铁网表面采用静电粉末喷涂工艺，圆润光滑，防腐抗锈。</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w:t>
            </w:r>
          </w:p>
        </w:tc>
      </w:tr>
      <w:tr>
        <w:tblPrEx>
          <w:tblW w:w="5000" w:type="pct"/>
          <w:tblInd w:w="-1041" w:type="dxa"/>
          <w:tblLayout w:type="fixed"/>
          <w:tblCellMar>
            <w:top w:w="0" w:type="dxa"/>
            <w:left w:w="108" w:type="dxa"/>
            <w:bottom w:w="0" w:type="dxa"/>
            <w:right w:w="108" w:type="dxa"/>
          </w:tblCellMar>
        </w:tblPrEx>
        <w:trPr>
          <w:trHeight w:val="1694"/>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（1）柜体：采用厚度15mm(±2mm)双贴桦木纹饰面的橡胶木拼板。顶部收纳格内空尺寸：470x354x40mm(±2mm)；柜体内包含</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9个铁质晾干网，尺寸：L461xW388xH8mm(±2mm)，铁网每层均匀分布，层间距为：64mm(±2mm)；柜内安装9个塑料材质U型槽，呈卡其色，尺寸为L370mm(±2mm)，有利于柜体空间合理分布，铁网能准确滑入槽中，取放便捷。底部安装</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4个</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1.5寸静音带刹车万向脚轮，脚轮运行平稳无声，可</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360°旋转，转动顺滑。</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（2）采用的水性木蜡油封边，成分天然，分子机构细小，成膜牢固，密封性好，无毒。</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24</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秘密游戏树洞</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规格：L103xW42xH150cm(±2cm)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（1）特色高顶松元素造型设计，吊牌黑板可擦写，既能独立摆放模拟真实场景又易于搭配其他产品进行环创。</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（2）配件丰富，布艺装饰，软化环境，能适用多场景下使用，提高趣味性。</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厚度18mm(±2mm)的实木多层板，前后造型挡板采用厚度12mm的实木多层板。前后造型板呈两层高顶松元素造型，最顶部（即树顶）采用R30mm(±2mm)圆角处理，造型板前后可挂小黑板。)。支撑圆棒采用桦木原木，共6条，尺寸为：φ22x396mm(±2mm)，屋顶搭配长2.4米(±2mm)的1条浅绿色半透帐纱以及1条白色半透帐纱，顶部使用一条魔术贴（无魔术贴）可轻松拆卸清洗。</w:t>
            </w:r>
          </w:p>
        </w:tc>
      </w:tr>
      <w:tr>
        <w:tblPrEx>
          <w:tblW w:w="5000" w:type="pct"/>
          <w:tblInd w:w="-1041" w:type="dxa"/>
          <w:tblLayout w:type="fixed"/>
          <w:tblCellMar>
            <w:top w:w="0" w:type="dxa"/>
            <w:left w:w="108" w:type="dxa"/>
            <w:bottom w:w="0" w:type="dxa"/>
            <w:right w:w="108" w:type="dxa"/>
          </w:tblCellMar>
        </w:tblPrEx>
        <w:trPr>
          <w:trHeight w:val="954"/>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vMerge/>
            <w:tcBorders>
              <w:top w:val="single" w:sz="4" w:space="0" w:color="000000"/>
              <w:left w:val="single" w:sz="4" w:space="0" w:color="000000"/>
              <w:bottom w:val="single" w:sz="4" w:space="0" w:color="000000"/>
              <w:right w:val="single" w:sz="4" w:space="0" w:color="000000"/>
            </w:tcBorders>
            <w:noWrap w:val="0"/>
            <w:vAlign w:val="center"/>
          </w:tcPr>
          <w:p>
            <w:pPr>
              <w:rPr>
                <w:rFonts w:ascii="宋体" w:eastAsia="宋体" w:hAnsi="宋体" w:cs="宋体" w:hint="eastAsia"/>
                <w:color w:val="000000"/>
                <w:sz w:val="21"/>
                <w:szCs w:val="21"/>
              </w:rPr>
            </w:pP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(2）坐垫面离地高度：280mm(±2mm)，坐垫呈灰白色，尺寸为L770xW390xH30mm(±2mm)，面料柔软透气不闷热，坐垫内部填充高弹海绵，回弹性强，能拆卸清洗；坐柜下是2个左右对称的收纳格，内空尺寸为L376xW396xH145mm(±2mm)。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(3)围脚：底部安装塑料脚垫，高度为H10mm(±2mm)，直径17mm(±2mm),共</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8个软性防滑，可有效保护地面刮花并降低噪音。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搭配：产品包含1块尺寸为L200xW150mm(±2mm)的吊牌黑板，表面贴黑色防火板，可使用粉笔进行擦写；1个450x450mm(±2mm)大小流苏方形抱枕，颜色姜黄色；1条浅绿色半透帐纱；1条白色半透帐纱；收纳布袋尺寸L300xW220mm(±2m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（5）油漆：采用水性漆，全封闭涂装工艺，漆面光泽高透，颜色均匀。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25</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三层教具篮收纳柜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规格：L91xW30xH59cm(±2cm)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（1）采用翻板活动轮工艺，移动/固定自由切换。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（2）所有螺丝位无毛刺不刮手，四角及边沿采用</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R10mm圆角/圆边处理以及安全防撞设计，最大程度的避免儿童磕碰伤害。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11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（1）柜体：采用15mm(±2mm)的橡胶木拼板。柜子长度内空：884(±2mm)mm，整体为</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3层，共安装</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8个浅咖色铁质圆管用于固定教具篮，包含</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9个教具篮，尺寸：L280xW260xH100mm(±2mm)，用于收纳各种教玩具物品，教具篮采用塑料材质，呈浅咖色，圆滑无毛刺，一体成型设计。</w:t>
            </w:r>
          </w:p>
        </w:tc>
      </w:tr>
      <w:tr>
        <w:tblPrEx>
          <w:tblW w:w="5000" w:type="pct"/>
          <w:tblInd w:w="-1041" w:type="dxa"/>
          <w:tblLayout w:type="fixed"/>
          <w:tblCellMar>
            <w:top w:w="0" w:type="dxa"/>
            <w:left w:w="108" w:type="dxa"/>
            <w:bottom w:w="0" w:type="dxa"/>
            <w:right w:w="108" w:type="dxa"/>
          </w:tblCellMar>
        </w:tblPrEx>
        <w:trPr>
          <w:trHeight w:val="141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（2）围脚：采用厚度18mm(±2mm)的橡胶木拼板。柜体与底部围脚采用塑料连接件实现翻板功能，脚轮为</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（3）木蜡油：采用水性木蜡油封边，成分天然，分子机构细小，成膜牢固，密封性好。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26</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涂色书架</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规格：L90xW30xH86cm(±2cm)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（1）书架与收纳柜结合，兼具收纳与学习功能。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（2）着色采用美工机喷绘工艺，附着力好，生动立体不易褪色。</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（1）架体：采用厚度15mm(±2mm)的桦木纹饰面橡胶木拼板。左侧为收纳柜，右侧为</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4层书架，呈高低错落，便于竖放大小不同的图书，书架层板采用莫兰迪撞色美工颜色点缀，层次分明。</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（2）围脚：底部安装塑料脚垫，高度为H10mm(±2mm)，直径17mm(±2mm)，软性防滑，可有效保护地面刮花并降低噪音。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（3）木蜡油：采用水性木蜡油封边，成分天然，分子机构细小，成膜牢固，密封性好。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（4）油墨：采用水性油墨。</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27</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蜗牛造型柜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规格：L76xW31.5xH111cm(±2cm)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（1）动物造型设计，青草饰板点缀，兼具装饰与收纳功能。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（2）采用美工机喷绘工艺，搭配油墨，图案附着力好，生动立体不易褪色。</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（1）柜体：木色部分柜体采用厚度15mm(±2mm)的桦木纹饰面橡胶木拼板，颜色部分柜体采用厚度15mm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eastAsia="zh-CN" w:bidi="ar"/>
              </w:rPr>
              <w:t>±2mm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的实木多层板，背板采用厚度5mm(±2mm)的饰面实木纤维板。</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（2）顶层层板离侧板高度146mm(±2mm),离造型高度446mm(±2mm)。背板空间可用于展示使用。前围脚呈小草造型的绿色围脚，增加区角趣味。柜子底部安装塑料脚垫，高度为H10mm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eastAsia="zh-CN" w:bidi="ar"/>
              </w:rPr>
              <w:t>±2mm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，直径17mm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eastAsia="zh-CN" w:bidi="ar"/>
              </w:rPr>
              <w:t>±2mm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，软性防滑，可有效保护地面刮花并降低噪。</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（4）木蜡油：采用水性木蜡油封边，成分天然，分子机构细小，成膜牢固，密封性好。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（5）油墨：采用水性油墨。</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28</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戏曲木偶台</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规格：L91xW32xH158cm(±2cm)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（1）传统戏曲元素木偶台造型设计，柜体白板可擦写，既能独立摆放模拟真实场景又易于搭配其他产品进行环创。</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（2）采用美工机喷绘工艺，搭配油墨，图案附着力好，生动立体不易褪色。</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（1）柜体采用厚度15mm（±1mm）的桦木纹饰面橡胶木拼板，顶部白板框采用厚度18mm的实木多层板，顶部造型板采用厚度12m(±2mm)m的实木多层板。</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柜体：顶部为戏曲华诞头饰造型，搭配1根铁艺圆棒，安装由涤纶纤维织造的仿棉麻材质篷布，窗帘可拆洗。产品顶板中间安装白板铭牌，尺寸为：245x110mm(±2mm)，可使用水性笔进行擦写；下层柜体正面安装长方形可吸附磁铁的白板，尺寸为910x520mm(±2m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（3）围脚：底部安装塑料脚垫，高度为H10mm(±2mm)，直径17mm(±2mm)，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8个，软性防滑，可有效保护地面刮花并降低噪音。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（4）木蜡油：采用水性木蜡油封边，成分天然，分子机构细小，成膜牢固，密封性好。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（5）油漆：采用水性漆，全封闭涂装工艺，漆面光泽高透，颜色均匀。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（6）油墨：采用水性油墨，颜色饱满，无毒无异味。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29</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仙人掌透明画板柜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规格：L91xW30xH130cm(±2cm)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（1）采用翻板活动轮工艺，移动/固定自由切换。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（2）采用美工机喷绘工艺，搭配油墨，图案附着力好，生动立体不易褪色。</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（3）双面透明亚克力画板，不同绘画方式，透视互动性强。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（4）柜顶仙人掌造型设计，兼具装饰、收纳与教玩功能，能与其他柜体组合搭配使用。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（1）柜体：通透两层4格分区，竖板分区清晰，画具收纳空间充足；面板开4个直径70mm通孔，可方便放笔筒；透明画板可使用水性笔书画，透明画板书写范围尺寸为：712x430mm。</w:t>
            </w:r>
          </w:p>
        </w:tc>
      </w:tr>
      <w:tr>
        <w:tblPrEx>
          <w:tblW w:w="5000" w:type="pct"/>
          <w:tblInd w:w="-1041" w:type="dxa"/>
          <w:tblLayout w:type="fixed"/>
          <w:tblCellMar>
            <w:top w:w="0" w:type="dxa"/>
            <w:left w:w="108" w:type="dxa"/>
            <w:bottom w:w="0" w:type="dxa"/>
            <w:right w:w="108" w:type="dxa"/>
          </w:tblCellMar>
        </w:tblPrEx>
        <w:trPr>
          <w:trHeight w:val="141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采用厚度18mm(±2mm)的实木多层板。柜体与底部围脚采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（3）搭配：配套4个φ79x95mm(±2mm)烟灰橄榄绿颜料杯/笔筒。</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（4）木蜡油：采用的水性木蜡油封边，成分天然，分子机构细小，成膜牢固，密封性好，无毒。</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（5）采用的水性漆，全封闭涂装工艺。</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（6）油墨：画架顶部造型采用美工机喷绘工艺，搭配水性油墨，图案附着力好，生动立体不易褪色。</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30</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雪糕筒造型书屋</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规格：L120xW110xH110cm(±2cm)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（1）大空间书屋造型搭配软垫，孩子们能躺能坐能趴，营造舒适的阅读环境。</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（2）多洞口和窗户设计，侧板喷涂雪糕元素图案，能提高幼儿互动性与阅读兴趣。</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（3）铁艺表面采用静电粉末喷涂工艺，圆润光滑，防腐抗锈。</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bidi="ar"/>
              </w:rPr>
              <w:t>（4）采用美工机喷绘工艺，搭配油墨，图案附着力好</w:t>
            </w:r>
            <w:r>
              <w:rPr>
                <w:rFonts w:ascii="宋体" w:eastAsia="宋体" w:hAnsi="宋体" w:cs="宋体" w:hint="eastAsia"/>
                <w:color w:val="000000"/>
                <w:sz w:val="21"/>
                <w:szCs w:val="21"/>
                <w:lang w:eastAsia="zh-CN" w:bidi="ar"/>
              </w:rPr>
              <w:t>。</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（5）所有螺丝位无毛刺不刮手，边角采用圆边/圆角处理以及安全防撞设计，最大程度的避免儿童磕碰伤害。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（1）柜体采用厚度18mm(±2mm)的实木多层板，底板采用厚度12mm(±2mm)的实木多层板。书架：尺寸：1164x830mm(±2mm)；书架分3层，层间隔为：240mm(±2mm)；书架靠背板倾斜度：</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18°（与垂直方向夹角）。</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（2）地垫：软垫尺寸：1165x925mm(±2mm)，厚度为30mm(±2mm)的软垫，触感轻柔、亲肤感强，耐磨免洗；内部填充高弹海绵，密度≥30kg/m³，回弹性强，不易变形，能拆卸清洗。</w:t>
            </w:r>
          </w:p>
        </w:tc>
      </w:tr>
      <w:tr>
        <w:tblPrEx>
          <w:tblW w:w="5000" w:type="pct"/>
          <w:tblInd w:w="-1041" w:type="dxa"/>
          <w:tblLayout w:type="fixed"/>
          <w:tblCellMar>
            <w:top w:w="0" w:type="dxa"/>
            <w:left w:w="108" w:type="dxa"/>
            <w:bottom w:w="0" w:type="dxa"/>
            <w:right w:w="108" w:type="dxa"/>
          </w:tblCellMar>
        </w:tblPrEx>
        <w:trPr>
          <w:trHeight w:val="11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（3）两侧板带拱门与圆形窗户镂空，拱门门洞尺寸：340x380m</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m)；屋顶为一个尺寸L1160x650mm(±2mm)的铁艺架子，采用冷轧铁艺，表面采用静电粉末喷涂工艺，中间8个固定条组成，间隔126mm(±2mm)，不易倾倒。搭配布艺L255xW140cm(±2cm)，浅咖色半透窗纱，可拆卸清洗。</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（4）底部安装塑料脚垫，高度为H10mm(±2mm)，直径17mm(±2mm)，共</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8个，软性防滑，可有效保护地面刮花并降低噪音。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（5）油漆：采用水性漆，全封闭涂装工艺，漆面光泽高透，颜色均匀。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（6）油墨：采用水性油墨，颜色饱满。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31</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雪松造型双面书架</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可展开</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规格：L60xW80xH91.5cm（含轮）(±2cm)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（1）多功能带轮带刹车双面书架，书籍储存空间大，移动/固定便捷。</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（2）雪松元素造型设计，可活页式摆出各种角度，激发幼儿阅读兴趣。</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（1）采用厚度15mm（±1mm）的桦木纹饰面橡胶木拼板。书架挡板与垂直方向倾斜夹角为</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20°；也可展开为一字型/L型靠墙摆放。</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（2）每部分书架底部安装</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4个</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1.5寸静音万向脚轮，脚轮运行平稳无声，可</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360°旋转，转动顺滑，其中</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2个脚轮带刹车功能，刹车灵敏，踏板不易断裂。</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（3）木蜡油：</w:t>
            </w:r>
            <w:r>
              <w:rPr>
                <w:rFonts w:ascii="宋体" w:eastAsia="宋体" w:hAnsi="宋体" w:cs="宋体" w:hint="eastAsia"/>
                <w:color w:val="000000"/>
                <w:sz w:val="21"/>
                <w:szCs w:val="21"/>
                <w:lang w:eastAsia="zh-CN" w:bidi="ar"/>
              </w:rPr>
              <w:t>采用</w:t>
            </w:r>
            <w:r>
              <w:rPr>
                <w:rFonts w:ascii="宋体" w:eastAsia="宋体" w:hAnsi="宋体" w:cs="宋体" w:hint="eastAsia"/>
                <w:color w:val="000000"/>
                <w:sz w:val="21"/>
                <w:szCs w:val="21"/>
                <w:lang w:bidi="ar"/>
              </w:rPr>
              <w:t>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32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语言区私密角</w:t>
            </w:r>
            <w:r>
              <w:rPr>
                <w:rFonts w:ascii="宋体" w:eastAsia="宋体" w:hAnsi="宋体" w:cs="宋体" w:hint="eastAsia"/>
                <w:color w:val="000000"/>
                <w:sz w:val="21"/>
                <w:szCs w:val="21"/>
                <w:lang w:bidi="ar"/>
              </w:rPr>
              <w:t>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1、规格：L170cm*W93cm*H143cm(±2cm)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2、采用</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ENF级1.5cm（±1cm）厚桦木实木多层板，符合GB/T 39600-2021检测。</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3、采用水性漆，经过两底一面工艺制作。耐黄变性符合GB/T 23999-2009的标准； 水性漆中的有害物质符合GB 18581-2020的检测。</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4、五金件选用五金，色泽丰富，锑、砷、 钡、镉、铬、铅、汞、硒可迁移元素符合GB 6675.4-2014的检测结果。</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5、配件：顶部搭配实木圆棒及白色幕帘，内部书架搭配实木圆棒，防止图书掉落，软包材质为PU，内含海绵，其中海绵符合GB/T 10802-2023检测。</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33</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语言区私密角</w:t>
            </w:r>
            <w:r>
              <w:rPr>
                <w:rFonts w:ascii="宋体" w:eastAsia="宋体" w:hAnsi="宋体" w:cs="宋体" w:hint="eastAsia"/>
                <w:color w:val="000000"/>
                <w:sz w:val="21"/>
                <w:szCs w:val="21"/>
                <w:lang w:bidi="ar"/>
              </w:rPr>
              <w:t>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1、规格：L191cm*W94cm*H127cm(±2cm)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2、柜体以两个两层有背板玩具柜中间用拱形幕帘门连接。幕帘门用拱形弯曲塑料固定于玩具柜两侧面，中间用螺丝将红色布料覆盖于拱形塑料支架上，形成拱形幕帘门。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3、采用ENF级15</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m(±2mm)及5</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 (±2mm)桦木实木多层板，符合GB/T 39600-2021检测。</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4、采用绿水性漆，经过两底一面工艺制作。耐黄变性符合GB/T 23999-2009的标准； 水性漆中的有害物质符合GB 18581-2020的检测。</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5、五金件选用五金，色泽丰富，锑、砷、 钡、镉、铬、铅、汞、硒可迁移元素符合GB 6675.4-2014的检测结果。</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6、配件：幕帘搭配白色水晶纱装饰，符合GB/T 2912.1-2009的检测。</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34</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w:t>
            </w:r>
            <w:r>
              <w:rPr>
                <w:rFonts w:ascii="宋体" w:eastAsia="宋体" w:hAnsi="宋体" w:cs="宋体" w:hint="eastAsia"/>
                <w:color w:val="000000"/>
                <w:sz w:val="21"/>
                <w:szCs w:val="21"/>
                <w:lang w:bidi="ar"/>
              </w:rPr>
              <w:t>2</w:t>
            </w:r>
            <w:r>
              <w:rPr>
                <w:rFonts w:ascii="宋体" w:eastAsia="宋体" w:hAnsi="宋体" w:cs="宋体" w:hint="eastAsia"/>
                <w:color w:val="000000"/>
                <w:sz w:val="21"/>
                <w:szCs w:val="21"/>
                <w:lang w:bidi="ar"/>
              </w:rPr>
              <w:t>层</w:t>
            </w:r>
            <w:r>
              <w:rPr>
                <w:rFonts w:ascii="宋体" w:eastAsia="宋体" w:hAnsi="宋体" w:cs="宋体" w:hint="eastAsia"/>
                <w:color w:val="000000"/>
                <w:sz w:val="21"/>
                <w:szCs w:val="21"/>
                <w:lang w:bidi="ar"/>
              </w:rPr>
              <w:t>90°</w:t>
            </w:r>
            <w:r>
              <w:rPr>
                <w:rFonts w:ascii="宋体" w:eastAsia="宋体" w:hAnsi="宋体" w:cs="宋体" w:hint="eastAsia"/>
                <w:color w:val="000000"/>
                <w:sz w:val="21"/>
                <w:szCs w:val="21"/>
                <w:lang w:bidi="ar"/>
              </w:rPr>
              <w:t>弧形矮柜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规格：L84xW38.5xH59cm (±2cm)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（1）90°弧形设计，可搭配区角使用作转角连接。</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（2）所有螺丝位无毛刺不刮手，四角及边沿采用</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R10mm圆角/圆边处理以及安全防撞设计，最大程度的避免儿童磕碰伤害。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（1）柜体：采用16mm（±1mm）的橡胶木拼板。通透2层矮柜，上下内空高度为236mm(±2mm)，柜体呈</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90°弧形。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（2）围脚：采用厚度18mm（±1mm）的多层胶合弯板，柜子底部安装塑料脚垫，高度为H10mm(±2mm)，直径17mm(±2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（3）采用的水性漆，全封闭涂装工艺，漆面光泽高透，颜色均匀。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35</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w:t>
            </w:r>
            <w:r>
              <w:rPr>
                <w:rFonts w:ascii="宋体" w:eastAsia="宋体" w:hAnsi="宋体" w:cs="宋体" w:hint="eastAsia"/>
                <w:color w:val="000000"/>
                <w:sz w:val="21"/>
                <w:szCs w:val="21"/>
                <w:lang w:bidi="ar"/>
              </w:rPr>
              <w:t>2</w:t>
            </w:r>
            <w:r>
              <w:rPr>
                <w:rFonts w:ascii="宋体" w:eastAsia="宋体" w:hAnsi="宋体" w:cs="宋体" w:hint="eastAsia"/>
                <w:color w:val="000000"/>
                <w:sz w:val="21"/>
                <w:szCs w:val="21"/>
                <w:lang w:bidi="ar"/>
              </w:rPr>
              <w:t>层矮柜</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可调节</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无背板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规格：L91.5xW30xH59cm(±2cm)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（1）采用翻板活动轮工艺，移动/固定自由切换。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（2）层板可调设计，提高空间利用率。</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（3）所有螺丝位无毛刺不刮手，四角及边沿采用</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R10mm圆角/圆边处理以及安全防撞设计，最大程度的避免儿童磕碰伤害。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11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（1）柜体：采用16mm（±1mm）的橡胶木拼板。柜子长度内空：884mm（±1mm），上下两层，中间一块层板。柜子内侧配塑料一次成型呈浅咖色长度440mm（±1mm）的活动层板支撑条，内嵌式安装嵌入深度≥4.5mm，固定条凸</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11mm,灵活安全使用层板，不占用空间，共15个挡位、每挡28mm（±1mm），可实现层板自选放置高度。</w:t>
            </w:r>
          </w:p>
        </w:tc>
      </w:tr>
      <w:tr>
        <w:tblPrEx>
          <w:tblW w:w="5000" w:type="pct"/>
          <w:tblInd w:w="-1041" w:type="dxa"/>
          <w:tblLayout w:type="fixed"/>
          <w:tblCellMar>
            <w:top w:w="0" w:type="dxa"/>
            <w:left w:w="108" w:type="dxa"/>
            <w:bottom w:w="0" w:type="dxa"/>
            <w:right w:w="108" w:type="dxa"/>
          </w:tblCellMar>
        </w:tblPrEx>
        <w:trPr>
          <w:trHeight w:val="141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（2）围脚：采用厚度18mm（±1mm）的橡胶木拼板。柜体与底部围脚采用塑料连接件实现翻板功能，脚轮为</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（3）采用的水性漆，全封闭涂装工艺，漆面光泽高透，颜色均匀。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36</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w:t>
            </w:r>
            <w:r>
              <w:rPr>
                <w:rFonts w:ascii="宋体" w:eastAsia="宋体" w:hAnsi="宋体" w:cs="宋体" w:hint="eastAsia"/>
                <w:color w:val="000000"/>
                <w:sz w:val="21"/>
                <w:szCs w:val="21"/>
                <w:lang w:bidi="ar"/>
              </w:rPr>
              <w:t>3</w:t>
            </w:r>
            <w:r>
              <w:rPr>
                <w:rFonts w:ascii="宋体" w:eastAsia="宋体" w:hAnsi="宋体" w:cs="宋体" w:hint="eastAsia"/>
                <w:color w:val="000000"/>
                <w:sz w:val="21"/>
                <w:szCs w:val="21"/>
                <w:lang w:bidi="ar"/>
              </w:rPr>
              <w:t>层矮柜</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可调节</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无背板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规格：L91.5xW30xH59cm(±2cm)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（1）采用翻板活动轮工艺，移动/固定自由切换。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（2）层板可调设计，提高空间利用率。</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（3）所有螺丝位无毛刺不刮手，四角及边沿采用</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R10mm圆角/圆边处理以及安全防撞设计，最大程度的避免儿童磕碰伤害，结构稳固。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11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（1）柜体：采用16mm(±2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m)的橡胶木拼板。柜子长度内空：884mm(±2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m)，上中下三层，中间两块层板。柜子内侧配塑料一次成型呈浅咖色长度440mm(±</w:t>
            </w:r>
            <w:r>
              <w:rPr>
                <w:rFonts w:ascii="宋体" w:eastAsia="宋体" w:hAnsi="宋体" w:cs="宋体" w:hint="eastAsia"/>
                <w:color w:val="000000"/>
                <w:sz w:val="21"/>
                <w:szCs w:val="21"/>
                <w:lang w:eastAsia="zh-CN" w:bidi="ar"/>
              </w:rPr>
              <w:t>2m</w:t>
            </w:r>
            <w:r>
              <w:rPr>
                <w:rFonts w:ascii="宋体" w:eastAsia="宋体" w:hAnsi="宋体" w:cs="宋体" w:hint="eastAsia"/>
                <w:color w:val="000000"/>
                <w:sz w:val="21"/>
                <w:szCs w:val="21"/>
                <w:lang w:bidi="ar"/>
              </w:rPr>
              <w:t>m)的活动层板支撑条，内嵌式安装嵌入深度≥4.5mm(±2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m)，固定条凸</w:t>
            </w:r>
            <w:r>
              <w:rPr>
                <w:rFonts w:ascii="宋体" w:eastAsia="宋体" w:hAnsi="宋体" w:cs="宋体" w:hint="eastAsia"/>
                <w:color w:val="000000"/>
                <w:sz w:val="21"/>
                <w:szCs w:val="21"/>
                <w:lang w:eastAsia="zh-CN" w:bidi="ar"/>
              </w:rPr>
              <w:t>大于等于</w:t>
            </w:r>
            <w:r>
              <w:rPr>
                <w:rFonts w:ascii="宋体" w:eastAsia="宋体" w:hAnsi="宋体" w:cs="宋体" w:hint="eastAsia"/>
                <w:color w:val="000000"/>
                <w:sz w:val="21"/>
                <w:szCs w:val="21"/>
                <w:lang w:bidi="ar"/>
              </w:rPr>
              <w:t>11mm(±2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m),灵活安全使用层板，不占用空间，共</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15个挡位、每挡28mm，可实现层板自选放置高度。</w:t>
            </w:r>
          </w:p>
        </w:tc>
      </w:tr>
      <w:tr>
        <w:tblPrEx>
          <w:tblW w:w="5000" w:type="pct"/>
          <w:tblInd w:w="-1041" w:type="dxa"/>
          <w:tblLayout w:type="fixed"/>
          <w:tblCellMar>
            <w:top w:w="0" w:type="dxa"/>
            <w:left w:w="108" w:type="dxa"/>
            <w:bottom w:w="0" w:type="dxa"/>
            <w:right w:w="108" w:type="dxa"/>
          </w:tblCellMar>
        </w:tblPrEx>
        <w:trPr>
          <w:trHeight w:val="141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（2）围脚：采用厚度18mm(±2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m)的橡胶木拼板。柜体与底部围脚采用塑料连接件实现翻板功能，脚轮为</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37</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w:t>
            </w:r>
            <w:r>
              <w:rPr>
                <w:rFonts w:ascii="宋体" w:eastAsia="宋体" w:hAnsi="宋体" w:cs="宋体" w:hint="eastAsia"/>
                <w:color w:val="000000"/>
                <w:sz w:val="21"/>
                <w:szCs w:val="21"/>
                <w:lang w:bidi="ar"/>
              </w:rPr>
              <w:t>3</w:t>
            </w:r>
            <w:r>
              <w:rPr>
                <w:rFonts w:ascii="宋体" w:eastAsia="宋体" w:hAnsi="宋体" w:cs="宋体" w:hint="eastAsia"/>
                <w:color w:val="000000"/>
                <w:sz w:val="21"/>
                <w:szCs w:val="21"/>
                <w:lang w:bidi="ar"/>
              </w:rPr>
              <w:t>层高柜</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全背板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规格：L91.5xW30xH80cm(±2cm)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（1）采用翻板活动轮工艺，移动/固定自由切换。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（2）所有螺丝位无毛刺不刮手，四角及边沿采用</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R10mm圆角/圆边处理以及安全防撞设计，最大程度的避免儿童磕碰伤害，结构稳固。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（1）柜体：采用16mm（±1mm）的橡胶木拼板。三层无竖板，层格内空均为：884x280x222mm（±1mm），满足较大型玩教具收纳。背板采用厚度5mm（±1mm）的饰实木纤维板。</w:t>
            </w:r>
          </w:p>
        </w:tc>
      </w:tr>
      <w:tr>
        <w:tblPrEx>
          <w:tblW w:w="5000" w:type="pct"/>
          <w:tblInd w:w="-1041" w:type="dxa"/>
          <w:tblLayout w:type="fixed"/>
          <w:tblCellMar>
            <w:top w:w="0" w:type="dxa"/>
            <w:left w:w="108" w:type="dxa"/>
            <w:bottom w:w="0" w:type="dxa"/>
            <w:right w:w="108" w:type="dxa"/>
          </w:tblCellMar>
        </w:tblPrEx>
        <w:trPr>
          <w:trHeight w:val="141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（2）围脚：采用厚度18mm（±1mm）的橡胶木拼板。柜体与底部围脚采用塑料连接件实现翻板功能，脚轮为</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38</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r>
              <w:rPr>
                <w:rFonts w:ascii="宋体" w:eastAsia="宋体" w:hAnsi="宋体" w:cs="宋体" w:hint="eastAsia"/>
                <w:color w:val="000000"/>
                <w:sz w:val="21"/>
                <w:szCs w:val="21"/>
                <w:lang w:bidi="ar"/>
              </w:rPr>
              <w:t>层可调柜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规格：L91.5xW30xH80cm(±2cm)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（1）采用翻板活动轮工艺，移动/固定自由切换。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（2）层板可调设计，提高空间利用率。</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（3）所有螺丝位无毛刺不刮手，四角及边沿采用</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R10mm圆角/圆边处理以及安全防撞设计，最大程度的避免儿童磕碰伤害，结构稳固。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113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（1）柜体：采用16mm（±1mm）的橡胶木拼板。共四层，底层含背板内空：884x280x162mm(±2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m)，上面三层含两块层板。柜子内侧配L440mm(±2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m)活动层板支撑条，内嵌式安装嵌入深度≥4.5mm，固定条凸11mm(±2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m)，灵活安全使用层板，不占用空间，共</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15个挡位、每挡28mm(±2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m)，可实现层板自选放置高度。背板采用厚度5mm（±1mm）的饰面实木纤维板。</w:t>
            </w:r>
          </w:p>
        </w:tc>
      </w:tr>
      <w:tr>
        <w:tblPrEx>
          <w:tblW w:w="5000" w:type="pct"/>
          <w:tblInd w:w="-1041" w:type="dxa"/>
          <w:tblLayout w:type="fixed"/>
          <w:tblCellMar>
            <w:top w:w="0" w:type="dxa"/>
            <w:left w:w="108" w:type="dxa"/>
            <w:bottom w:w="0" w:type="dxa"/>
            <w:right w:w="108" w:type="dxa"/>
          </w:tblCellMar>
        </w:tblPrEx>
        <w:trPr>
          <w:trHeight w:val="141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（2）围脚：采用厚度18mm（±1mm）的橡胶木拼板。柜体与底部围脚采用塑料连接件实现翻板功能，脚轮为</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（3）采用的水性漆，全封闭涂装工艺，漆面光泽高透，颜色均匀。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39</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w:t>
            </w:r>
            <w:r>
              <w:rPr>
                <w:rFonts w:ascii="宋体" w:eastAsia="宋体" w:hAnsi="宋体" w:cs="宋体" w:hint="eastAsia"/>
                <w:color w:val="000000"/>
                <w:sz w:val="21"/>
                <w:szCs w:val="21"/>
                <w:lang w:bidi="ar"/>
              </w:rPr>
              <w:t>5</w:t>
            </w:r>
            <w:r>
              <w:rPr>
                <w:rFonts w:ascii="宋体" w:eastAsia="宋体" w:hAnsi="宋体" w:cs="宋体" w:hint="eastAsia"/>
                <w:color w:val="000000"/>
                <w:sz w:val="21"/>
                <w:szCs w:val="21"/>
                <w:lang w:bidi="ar"/>
              </w:rPr>
              <w:t>格分区矮柜</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无背板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规格：L91.5xW30xH59cm(±2cm)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（1）采用翻板活动轮工艺，移动/固定自由切换。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（2）所有螺丝位无毛刺不刮手，四角及边沿采用</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R10mm圆角/圆边处理以及安全防撞设计，最大程度的避免儿童磕碰伤害，结构稳固。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（1）柜体：采用16mm（±1mm）的橡胶木拼板。上层两个格子，内空尺寸：434x300x236mm（±1mm）,下层三个格子，内空尺寸：284x300x236mm（±1mm）。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（2）围脚：采用厚度18mm（±1mm）的橡胶木拼板。柜体与底部围脚采用塑料连接件实现翻板功能，脚轮为</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（3）采用的水性漆，全封闭涂装工艺，漆面光泽高透，颜色均匀。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40</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w:t>
            </w:r>
            <w:r>
              <w:rPr>
                <w:rFonts w:ascii="宋体" w:eastAsia="宋体" w:hAnsi="宋体" w:cs="宋体" w:hint="eastAsia"/>
                <w:color w:val="000000"/>
                <w:sz w:val="21"/>
                <w:szCs w:val="21"/>
                <w:lang w:bidi="ar"/>
              </w:rPr>
              <w:t>6</w:t>
            </w:r>
            <w:r>
              <w:rPr>
                <w:rFonts w:ascii="宋体" w:eastAsia="宋体" w:hAnsi="宋体" w:cs="宋体" w:hint="eastAsia"/>
                <w:color w:val="000000"/>
                <w:sz w:val="21"/>
                <w:szCs w:val="21"/>
                <w:lang w:bidi="ar"/>
              </w:rPr>
              <w:t>格分区矮柜</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无背板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规格：L91.5xW30xH59cm (±2cm)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（1）采用翻板活动轮工艺，移动/固定自由切换。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（2）所有螺丝位无毛刺不刮手，四角及边沿采用</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R10mm圆角/圆边处理以及安全防撞设计，最大程度的避免儿童磕碰伤害，结构稳固。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（1）柜体：采用16mm(±1mm）的橡胶木拼板。中间用三块层板分成相等的六格分区，每个格子内空：284x300x236mm(±2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p>
        </w:tc>
      </w:tr>
      <w:tr>
        <w:tblPrEx>
          <w:tblW w:w="5000" w:type="pct"/>
          <w:tblInd w:w="-1041" w:type="dxa"/>
          <w:tblLayout w:type="fixed"/>
          <w:tblCellMar>
            <w:top w:w="0" w:type="dxa"/>
            <w:left w:w="108" w:type="dxa"/>
            <w:bottom w:w="0" w:type="dxa"/>
            <w:right w:w="108" w:type="dxa"/>
          </w:tblCellMar>
        </w:tblPrEx>
        <w:trPr>
          <w:trHeight w:val="141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（2）围脚：采用厚度18mm（±1mm）的橡胶木拼板。柜体与底部围脚采用塑料连接件实现翻板功能，脚轮为</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（3）采用的水性漆，全封闭涂装工艺，漆面光泽高透，颜色均匀。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41</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原木阶梯组合柜</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无背板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规格：3层：L30xW30xH80cm(±2cm) 2层：L30xW30xH59cm(±2cm) 1层：L30xW30xH34cm(±2cm)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（1）三个柜体可独立使用，灵活搭配，高低错落，可满足不同层次区角搭配。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（2）所有螺丝位无毛刺不刮手，四角及边沿采用</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R10mm圆角/圆边处理以及安全防撞设计，最大程度的避免儿童磕碰伤害，结构稳固。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（1）柜体：采用16mm(±2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m)的橡胶木拼板。所有柜子组合使用呈阶梯状，格子内空长均为：267mm。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（2）围脚：柜子底部安装塑料脚垫，高度为H10mm(±2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m)，直径17mm(±2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42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阅读书屋</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规格：L123.5xW130xH141cm(±2cm)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（1）小屋造型设计，书架与收纳柜结合，兼具装饰、收纳与学习功能。</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（2）书架双面使用，可摆放更多书籍，书屋内可坐可躺，营造阅读氛围，适应幼儿不同的阅读体验。</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（1）整体呈小屋造型，采用厚度18mm(±2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m)的桦木纹饰面橡胶木拼板，其中矮柜高度：300mm(±2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m)，分</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3格，格子内空尺寸：360x245x194mm(±2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p>
        </w:tc>
      </w:tr>
      <w:tr>
        <w:tblPrEx>
          <w:tblW w:w="5000" w:type="pct"/>
          <w:tblInd w:w="-1041" w:type="dxa"/>
          <w:tblLayout w:type="fixed"/>
          <w:tblCellMar>
            <w:top w:w="0" w:type="dxa"/>
            <w:left w:w="108" w:type="dxa"/>
            <w:bottom w:w="0" w:type="dxa"/>
            <w:right w:w="108" w:type="dxa"/>
          </w:tblCellMar>
        </w:tblPrEx>
        <w:trPr>
          <w:trHeight w:val="524"/>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（2）书架内空尺寸：1160x70x200mm(±2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m)，书架两面都可放置书籍。</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（3）屋顶顶部横梁尺寸1200x80x18mm(±2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m)，利用塑料一次成型的角码固定，屋顶采用涤纶纤维织造的仿棉麻材质篷布长度L177xW120cm(±2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m)。侧边可搭配窗纱，篷布与窗纱均可拆洗。</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（4）前后门的门帘采用半透明纱布大L61xW120cm(±2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m)、小L35xW120cm(±2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m)（4条为1套.分左右）共</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4块，利用魔术贴可拆卸清洗。</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（5）整套产品底部安装塑料脚垫，高度为H10mm(±2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m)，直径17mm(±2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m)，共14个软性防滑，可有效保护地面刮花并降低噪音。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（6）木蜡油：采用水性木蜡油封边，成分天然，分子机构细小，成膜牢固，密封性好。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387"/>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43</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生活区柜子</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1、规格：L180cm*W50cm*H60cm(±2cm)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2、基材:采用厚度18mm（±1mm）的大芯板，板材甲醛释放量≤0.05mg/m3，外观质量、理化性能等符合国家标准。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35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5、台面加盖一块石英石；</w:t>
            </w:r>
          </w:p>
        </w:tc>
      </w:tr>
      <w:tr>
        <w:tblPrEx>
          <w:tblW w:w="5000" w:type="pct"/>
          <w:tblInd w:w="-1041" w:type="dxa"/>
          <w:tblLayout w:type="fixed"/>
          <w:tblCellMar>
            <w:top w:w="0" w:type="dxa"/>
            <w:left w:w="108" w:type="dxa"/>
            <w:bottom w:w="0" w:type="dxa"/>
            <w:right w:w="108" w:type="dxa"/>
          </w:tblCellMar>
        </w:tblPrEx>
        <w:trPr>
          <w:trHeight w:val="351"/>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44</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塑料叠床</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1、规格：L140cm*W58cm*H20cm(±2cm)</w:t>
            </w:r>
          </w:p>
        </w:tc>
      </w:tr>
      <w:tr>
        <w:tblPrEx>
          <w:tblW w:w="5000" w:type="pct"/>
          <w:tblInd w:w="-1041" w:type="dxa"/>
          <w:tblLayout w:type="fixed"/>
          <w:tblCellMar>
            <w:top w:w="0" w:type="dxa"/>
            <w:left w:w="108" w:type="dxa"/>
            <w:bottom w:w="0" w:type="dxa"/>
            <w:right w:w="108" w:type="dxa"/>
          </w:tblCellMar>
        </w:tblPrEx>
        <w:trPr>
          <w:trHeight w:val="35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2、床面采用pvc网布，透气性强，床脚采用TPE材质。</w:t>
            </w:r>
          </w:p>
        </w:tc>
      </w:tr>
      <w:tr>
        <w:tblPrEx>
          <w:tblW w:w="5000" w:type="pct"/>
          <w:tblInd w:w="-1041" w:type="dxa"/>
          <w:tblLayout w:type="fixed"/>
          <w:tblCellMar>
            <w:top w:w="0" w:type="dxa"/>
            <w:left w:w="108" w:type="dxa"/>
            <w:bottom w:w="0" w:type="dxa"/>
            <w:right w:w="108" w:type="dxa"/>
          </w:tblCellMar>
        </w:tblPrEx>
        <w:trPr>
          <w:trHeight w:val="35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3.床架采用直径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25mm铁管制成，表面喷塑，不易变色，牢固性好。</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4、五金件选用五金，色泽丰富，锑、砷、 钡、镉、铬、铅、汞、硒可迁移元素符合GB 6675.4-2014的检测结果。</w:t>
            </w:r>
          </w:p>
        </w:tc>
      </w:tr>
      <w:tr>
        <w:tblPrEx>
          <w:tblW w:w="5000" w:type="pct"/>
          <w:tblInd w:w="-1041" w:type="dxa"/>
          <w:tblLayout w:type="fixed"/>
          <w:tblCellMar>
            <w:top w:w="0" w:type="dxa"/>
            <w:left w:w="108" w:type="dxa"/>
            <w:bottom w:w="0" w:type="dxa"/>
            <w:right w:w="108" w:type="dxa"/>
          </w:tblCellMar>
        </w:tblPrEx>
        <w:trPr>
          <w:trHeight w:val="351"/>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45</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塑料床配托盘</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1、规格：伸缩范围L131-158*W57-83*H11cm(±2cm)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2、托架采用注塑工艺，加厚设计，一次成型，并设有可调尺。框架采用</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0.6cm厚不锈钢。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3、精致万向轮铁质轴承，带刹车固定稳妥。轮子采用橡胶轮，对地面无损害。采用静音模式。</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4、五金件选用五金，色泽丰富，锑、砷、 钡、镉、铬、铅、汞、硒可迁移元素符合GB 6675.4-2014的检测结果。</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46</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杯架</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r>
              <w:rPr>
                <w:rFonts w:ascii="宋体" w:eastAsia="宋体" w:hAnsi="宋体" w:cs="宋体" w:hint="eastAsia"/>
                <w:color w:val="000000"/>
                <w:sz w:val="21"/>
                <w:szCs w:val="21"/>
                <w:lang w:bidi="ar"/>
              </w:rPr>
              <w:t>、规格：</w:t>
            </w:r>
            <w:r>
              <w:rPr>
                <w:rFonts w:ascii="宋体" w:eastAsia="宋体" w:hAnsi="宋体" w:cs="宋体" w:hint="eastAsia"/>
                <w:color w:val="000000"/>
                <w:sz w:val="21"/>
                <w:szCs w:val="21"/>
                <w:lang w:bidi="ar"/>
              </w:rPr>
              <w:t>L70xW10xH70cm(±5cm)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47</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纱窗门</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r>
              <w:rPr>
                <w:rFonts w:ascii="宋体" w:eastAsia="宋体" w:hAnsi="宋体" w:cs="宋体" w:hint="eastAsia"/>
                <w:color w:val="000000"/>
                <w:sz w:val="21"/>
                <w:szCs w:val="21"/>
                <w:lang w:bidi="ar"/>
              </w:rPr>
              <w:t>、规格：</w:t>
            </w:r>
            <w:r>
              <w:rPr>
                <w:rFonts w:ascii="宋体" w:eastAsia="宋体" w:hAnsi="宋体" w:cs="宋体" w:hint="eastAsia"/>
                <w:color w:val="000000"/>
                <w:sz w:val="21"/>
                <w:szCs w:val="21"/>
                <w:lang w:bidi="ar"/>
              </w:rPr>
              <w:t>L70xH70cm(±5cm)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2、材质：采用铝合金和加密纱网。</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w:t>
            </w:r>
            <w:r>
              <w:rPr>
                <w:rFonts w:ascii="宋体" w:eastAsia="宋体" w:hAnsi="宋体" w:cs="宋体" w:hint="eastAsia"/>
                <w:color w:val="000000"/>
                <w:sz w:val="21"/>
                <w:szCs w:val="21"/>
                <w:lang w:bidi="ar"/>
              </w:rPr>
              <w:t>、折叠隐形：关上纱门时，纱门隐藏在边框中。</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48</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地垫收纳架</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不含垫子）</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1、规格：L45*L45cm*H96cm(±2cm)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2、采用</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ENF级桦木实木多层板，符合GB/T 39600-2021检测；</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3、采用绿水性漆封边，经过两底一面工艺制作。耐黄变性符合GB/T  23999-2009的标准； 水性漆中的有害物质符合GB 18581-2020的检测。</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4、五金件选用五金，色泽丰富，锑、砷、 钡、镉、铬、铅、汞、硒可迁移元素符合GB 6675.4-2014的检测结果。</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49</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1、规格：L80*W40*H105cm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2、基材：采用樟子松，木质坚硬稳定性强，木材含水率、气干密度符合国家标准；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2、图案：柜面配置高清图案及雕刻柱子造型。</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50</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语言区桌子1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1、规格：L100*W69*H30cm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2、基材：板芯采用中纤板，表面高温烤漆耐磨层；</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3、桌脚：圆润桌角防磕碰；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4、脚垫：配置防滑脚垫，放置刮伤地板。</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5、颜色：白色</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51</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语言区沙发1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1、规格：L150*W78*H85cm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2、材质：采用羊羔绒面料，直接包面，沉稳舒适；</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3、海棉：采用高密度定型海棉，密度为</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45KG/M3，理化性能应符合国家现行标准，软硬适中，压膜量达到国家现行检测标准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4、框架：符合QB/T2280国家标准实木内架。木材干燥</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12%含水率，并经防腐，防蛀处理。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52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语言区桌子2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1、规格：直径56*H67cm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2、基材：采用符合E1标准的中纤板或更高标准，经过防虫、防腐等化学处理；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3、面材：采用厚度≥0.6mm天然木皮，双面光滑平直，颜色、厚度均匀；木纹清晰、美观、颜色均匀、不易腐蚀、抗弯强度适中、断裂强度适中；经防虫防腐处理,具有很好的油漆与染料的保持能力及尺寸稳定性。</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油漆：符合E0级标准聚脂PU漆，漆膜丰满，漆膜坚硬耐磨、光泽高，有优异的耐化学性、耐热性，良好的附着力、耐黄变、高透明度，抗刮性良好、耐磨，光泽柔和、手感细腻、硬度高；无气泡、爆裂等缺陷；达到GB18581-2001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53</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语言区沙发2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1、规格：L53*W48*H68cm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2、基材：采用符合E1标准的中纤板或更高标准，经过防虫、防腐等化学处理；</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3、面材：采用厚度≥0.6mm天然木皮，双面光滑平直，颜色、厚度均匀；木纹清晰、美观、颜色均匀、不易腐蚀、抗弯强度适中、断裂强度适中；经防虫防腐处理,具有很好的油漆与染料的保持能力及尺寸稳定性。</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4、油漆：符合</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E0级标准聚脂PU漆，漆膜丰满，漆膜坚硬耐磨、光泽高，有优异的耐化学性、耐热性，良好的附着力、耐黄变、高透明度，抗刮性良好、耐磨，光泽柔和、手感细腻、硬度高；无气泡、爆裂等缺陷；达到GB18581-2001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5、面料：艺术刺绣，舒适坐垫。</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54</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诱导桌1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1、规格：直径57*H68cm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2、基材：采用桦木，木质坚硬稳定性强，木材含水率、气干密度符合国家标准；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3、花纹：手工回执的复古花纹配上复古的金色装饰，勾勒出艺术的设计美感，打破家具的纯粹，与木色呼应出和谐的色彩；</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4、造型脚：圆润的树脂雕刻造型脚，表面光滑细腻，立体感强，复古的绿色和复古金色的点缀从而让圆台脚多了分悦目的设计美感。</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55</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诱导桌2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1、规格：直径44*H61cm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2、基材：采用树木，木质坚硬稳定性强，木材含水率、气干密度符合国家标准；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3、雕花：采用工艺更严苛的雕花工艺；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4、面板：采用钢化玻璃面板，易清洁，使用不局促。</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56</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1、规格：L54*W44*H71cm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2、基材：采用桦木及桦木多层板，木质坚硬稳定性强，木材含水率、气干密度符合国家标准；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4、抽面及颜色：抽面采用桐木+饰面铁艺雕花，颜色是彩绘做旧胡桃色。</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57</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转角架1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1、规格：L65*W45*H140cm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2、基材：采用藤条捆绑编织而成为了保证美观牢固，四周还用整根藤条做了细腻的包边；</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3、边角：圆润的防撞边角设计，避免磕碰受伤。</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58</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语言区桌子3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1、规格：L43*W37*H55cm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2、基材：采用楠木制作，木质坚硬稳定性强，木材含水率、气干密度符合国家标准；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4、桌面：长虹玻璃；</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5、网纹：ABS塑料材质，美观透气。</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59</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语言区沙发3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1、规格：L60*W60*H39cm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2、椅架：采用橡胶木实木制作，木质坚硬稳定性强，木材含水率、气干密度符合国家标准；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4、编织：采用牛皮纸绳精编而成。</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60</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诱导桌3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1、规格：直径38*H62cm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2、材质：采用加厚板材，稳固性强；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3、底座：圆盘底座有力着地，可靠不易摇晃，铁艺框架结构稳定。</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61</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1、规格：L140*W31*H93cm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2、基材：采用衫木实木，木质坚硬稳定性强，木材含水率、气干密度符合国家标准；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4、木门：复古雕花做旧工艺。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62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转角架2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1、规格：L64*W34*H140cm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2、基材：采用藤条捆绑编织而成为了保证美观牢固，四周还用整根藤条；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3、边角：圆润的防撞边角设计，避免磕碰受伤。</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63</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特色区域柜4</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1、规格：L100*W40*H85cm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2、基材：采用松木实木，木质坚硬稳定性强，木材含水率、气干密度符合国家标准；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4、木门：藤编木门保证柜内空气流通；</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5、高脚：高脚设计，柜腿内收，靠近墙放贴合度高。</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64</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转角架3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1、规格：L36*W26*H110cm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2、基材：采用楠木制作，木质坚硬稳定性强，木材含水率、气干密度符合国家标准；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4、边角：圆润打磨，光滑无毛刺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5、腿部：高挑腿部，方便打扫，清洁无忧。</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65</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屏风</w:t>
            </w:r>
            <w:r>
              <w:rPr>
                <w:rFonts w:ascii="宋体" w:eastAsia="宋体" w:hAnsi="宋体" w:cs="宋体" w:hint="eastAsia"/>
                <w:color w:val="000000"/>
                <w:sz w:val="21"/>
                <w:szCs w:val="21"/>
                <w:lang w:bidi="ar"/>
              </w:rPr>
              <w:t>+</w:t>
            </w:r>
            <w:r>
              <w:rPr>
                <w:rFonts w:ascii="宋体" w:eastAsia="宋体" w:hAnsi="宋体" w:cs="宋体" w:hint="eastAsia"/>
                <w:color w:val="000000"/>
                <w:sz w:val="21"/>
                <w:szCs w:val="21"/>
                <w:lang w:bidi="ar"/>
              </w:rPr>
              <w:t>陈列</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1、规格：L80*H120cm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2、基材：采用樟子松或云杉制作，木质坚硬稳定性强，木材含水率、气干密度符合国家标准；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3、油漆：采用高温碳化+喷涂木蜡，双重防腐工艺不惧风吹日晒；</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4、木料：木条加宽≥2.5cm，用料足。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66</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圆桌</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1、规格：直径60*H60cm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2、基材：采用实木制作，木质坚硬稳定性强，木材含水率、气干密度符合国家标准；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67</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巴比伦沙发椅</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1、规格：Ll14*W80*H43cm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2、材质：麻绒布艺，直接包面，沉稳舒适；</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3、海棉：采用高密度定型海棉，密度为</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45KG/M3，理化性能应符合国家现行标准，软硬适中，压膜量达到国家现行检测标准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4、框架：符合QB/T2280国家标准实木内架。木材干燥至</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12%含水率，并经防腐，防蛀处理。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68</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天鹅蛋沙发</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规格：L78*W75*H44cm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2、材质：麻绒布艺，直接包面，沉稳舒适；</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3、海棉：采用高密度定型海棉，密度为</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45KG/M3，理化性能应符合国家现行标准，软硬适中，压膜量达到国家现行检测标准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4、框架：符合QB/T2280国家标准实木内架。木材干燥</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12%含水率，并经防腐，防蛀处理。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69</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诱导桌4</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1、规格：直径44*H61cm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2、基材：采用树木，木质坚硬稳定性强，木材含水率、气干密度符合国家标准；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3、雕花：采用工艺更严苛的雕花工艺；</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4、面板：采用钢化玻璃面板，易清洁，使用不局促。</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70</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私密小屋</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1、规格：L130*W94*H157cm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2、基材：采用榉木制作，木质坚硬稳定性强，木材含水率、气干密度符合国家标准；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71</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特色区域柜5</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1、规格：L88*W33*H93cm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2、基材：采用桐木实木制作，纹理细腻清晰；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4、柜腿：经典柜腿造型，稳重承重。</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4、五金件：精致复古金属把手。</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72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语言区桌子4</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1、规格：L60*W60*H60cm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2、骨架：采用合金材质，高温烤漆不生锈；</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3、桌面：钢化玻璃桌面易清理打理；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4、藤编：户外PE藤编</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73</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摇摇椅</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1、规格：L95*W75*H100cm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2、骨架：采用合金材质，高温烤漆不生锈；</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3、藤编：户外PE藤编</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74</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单椅</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1、规格：L57*W56*H83cm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2、骨架：采用合金材质，高温烤漆不生锈；</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3、藤编：户外PE藤编</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75</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诱导桌5</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1、规格：直径45*H61cm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2、基材：实木腿采用松木实木制作，桌面</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E1级中纤板双贴水曲柳实木皮；</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76</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特色区域柜6</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1、规格：L80*W36*H86cm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2、基材：采用桐木实木制作，木质坚硬稳定性强，木材含水率、气干密度符合国家标准；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4、柜门：柜门表面采用了八角藤编工艺，选用藤条，看起来简单，制作却非常讲究，呈现别样质感。</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77</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语言区桌子5</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1、规格：L120*W60*H35cm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2、基材：采用大叶松实木制作，木质坚硬稳定性强，木材含水率、气干密度符合国家标准；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78</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主椅</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1、规格：L60*W52*H35cm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2、基材：采用大叶松实木制作，木质坚硬稳定性强，木材含水率、气干密度符合国家标准；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79</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蒲团</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1、规格：L50*H10cm</w:t>
            </w:r>
            <w:r>
              <w:rPr>
                <w:rFonts w:ascii="宋体" w:eastAsia="宋体" w:hAnsi="宋体" w:cs="宋体" w:hint="eastAsia"/>
                <w:color w:val="000000"/>
                <w:sz w:val="21"/>
                <w:szCs w:val="21"/>
                <w:lang w:bidi="ar"/>
              </w:rPr>
              <w:t>(±5cm)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2、材质：采用天然蒲草编织，圆弧造型不搁腿；</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3、内置：珍珠棉高弹棉填充，久坐不变形。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80</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置物架</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w:t>
            </w:r>
            <w:r>
              <w:rPr>
                <w:rFonts w:ascii="宋体" w:eastAsia="宋体" w:hAnsi="宋体" w:cs="宋体" w:hint="eastAsia"/>
                <w:color w:val="000000"/>
                <w:sz w:val="21"/>
                <w:szCs w:val="21"/>
                <w:lang w:bidi="ar"/>
              </w:rPr>
              <w:t>、规格：</w:t>
            </w:r>
            <w:r>
              <w:rPr>
                <w:rFonts w:ascii="宋体" w:eastAsia="宋体" w:hAnsi="宋体" w:cs="宋体" w:hint="eastAsia"/>
                <w:color w:val="000000"/>
                <w:sz w:val="21"/>
                <w:szCs w:val="21"/>
                <w:lang w:bidi="ar"/>
              </w:rPr>
              <w:t>L60*W30*H109cm(±5cm)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2、基材：采用松木制作，木质坚硬稳定性强，木材含水率、气干密度符合国家标准；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81</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沙画桌</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1、规格：L455*W230*H60cm</w:t>
            </w:r>
            <w:r>
              <w:rPr>
                <w:rFonts w:ascii="宋体" w:eastAsia="宋体" w:hAnsi="宋体" w:cs="宋体" w:hint="eastAsia"/>
                <w:color w:val="000000"/>
                <w:sz w:val="21"/>
                <w:szCs w:val="21"/>
                <w:lang w:bidi="ar"/>
              </w:rPr>
              <w:t>(±10cm)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82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洞洞板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1、规格：L(620+230)*H85cm（±10cm）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2、基材:采用厚度18mm（±1mm）的大芯板，板材甲醛释放量≤0.05mg/m3，外观质量、理化性能等符合国家标准。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83</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树枝屏风</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1.规格：L110*H220cm（±10cm）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2、材质：采用纯实木，含水率低于 8%，经过防虫、防腐等化学处理，密度 </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700KG/m3以上，持久不变形，材质坚硬钢性强，承托力达</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 xml:space="preserve"> 200KG；</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3、油漆：采用水性漆，在恒温、恒湿高度防尘的面漆房喷涂面漆。经过最先进饱和漆工艺精心处理，从而保证台面平整无颗粒、气泡、渣点，颜色均匀；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84</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美术桌</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1.规格：L150*W90*H48cm（±10cm）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2.材质：采用纯实木，含水率低于 8%，经过防虫、防腐等化学处理，密度</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 xml:space="preserve"> 700KG/m3以上，持久不变形，材质坚硬钢性强，承托力达 </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200KG；</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3.油漆：采用水性漆，在恒温、恒湿高度防尘的面漆房喷涂面漆。经过最先进饱和漆工艺精心处理，从而保证台面平整无颗粒、气泡、渣点，颜色均匀；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85</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美术凳</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1.规格：直径28*H30cm（±10cm）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2.基材：采用香樟木制作。木纹整洁交错，外形美观有光泽，木质坚硬稳定性强，木材含水率、气干密度符合国家标准；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86</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圆凳</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1.规格：直径28*H30cm（±10cm）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2.基材：采用松木实木制作。木纹整洁交错，外形美观有光泽，木质坚硬稳定性强，木材含水率、气干密度符合国家标准；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87</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1、规格：L430*W350*H210cm（±10cm）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sz w:val="21"/>
                <w:szCs w:val="21"/>
              </w:rPr>
              <w:t>2、基材:柜体采用厚度18mm（±1mm）的</w:t>
            </w:r>
            <w:r>
              <w:rPr>
                <w:rFonts w:ascii="宋体" w:eastAsia="宋体" w:hAnsi="宋体" w:cs="宋体" w:hint="eastAsia"/>
                <w:sz w:val="21"/>
                <w:szCs w:val="21"/>
                <w:lang w:eastAsia="zh-CN"/>
              </w:rPr>
              <w:t>≥</w:t>
            </w:r>
            <w:r>
              <w:rPr>
                <w:rFonts w:ascii="宋体" w:eastAsia="宋体" w:hAnsi="宋体" w:cs="宋体" w:hint="eastAsia"/>
                <w:sz w:val="21"/>
                <w:szCs w:val="21"/>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lang w:bidi="ar"/>
              </w:rPr>
            </w:pPr>
            <w:r>
              <w:rPr>
                <w:rFonts w:ascii="宋体" w:eastAsia="宋体" w:hAnsi="宋体" w:cs="宋体" w:hint="eastAsia"/>
                <w:sz w:val="21"/>
                <w:szCs w:val="21"/>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sz w:val="21"/>
                <w:szCs w:val="21"/>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sz w:val="21"/>
                <w:szCs w:val="21"/>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88</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甘蔗板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1、规格：L100*H210cm（±10cm）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sz w:val="21"/>
                <w:szCs w:val="21"/>
              </w:rPr>
              <w:t>2、基材:采用厚度18mm（±1mm）的欧松板，板材甲醛释放量≤0.05mg/m3，外观质量、理化性能等符合国家标准。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3、边框：选用松木制作，木纹整洁交错，木质坚硬稳定性强，木材含水率、气干密度符合国家标准；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89</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软木板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1、规格：L100*H210cm（±10cm）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2、材质：</w:t>
            </w:r>
            <w:r>
              <w:rPr>
                <w:rFonts w:ascii="宋体" w:eastAsia="宋体" w:hAnsi="宋体" w:cs="宋体" w:hint="eastAsia"/>
                <w:sz w:val="21"/>
                <w:szCs w:val="21"/>
                <w:lang w:eastAsia="zh-CN"/>
              </w:rPr>
              <w:t>≥</w:t>
            </w:r>
            <w:r>
              <w:rPr>
                <w:rFonts w:ascii="宋体" w:eastAsia="宋体" w:hAnsi="宋体" w:cs="宋体" w:hint="eastAsia"/>
                <w:sz w:val="21"/>
                <w:szCs w:val="21"/>
              </w:rPr>
              <w:t>10mm专用防水底板+专用防霉胶+</w:t>
            </w:r>
            <w:r>
              <w:rPr>
                <w:rFonts w:ascii="宋体" w:eastAsia="宋体" w:hAnsi="宋体" w:cs="宋体" w:hint="eastAsia"/>
                <w:sz w:val="21"/>
                <w:szCs w:val="21"/>
                <w:lang w:eastAsia="zh-CN"/>
              </w:rPr>
              <w:t>≥</w:t>
            </w:r>
            <w:r>
              <w:rPr>
                <w:rFonts w:ascii="宋体" w:eastAsia="宋体" w:hAnsi="宋体" w:cs="宋体" w:hint="eastAsia"/>
                <w:sz w:val="21"/>
                <w:szCs w:val="21"/>
              </w:rPr>
              <w:t>10mm原木色软木板，</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3、制作要求：材料、复合国家质量标准。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90</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十五格玩具柜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1、规格：L122cm*W33cm*H91cm（±1cm）</w:t>
            </w:r>
          </w:p>
        </w:tc>
      </w:tr>
      <w:tr>
        <w:tblPrEx>
          <w:tblW w:w="5000" w:type="pct"/>
          <w:tblInd w:w="-1041" w:type="dxa"/>
          <w:tblLayout w:type="fixed"/>
          <w:tblCellMar>
            <w:top w:w="0" w:type="dxa"/>
            <w:left w:w="108" w:type="dxa"/>
            <w:bottom w:w="0" w:type="dxa"/>
            <w:right w:w="108" w:type="dxa"/>
          </w:tblCellMar>
        </w:tblPrEx>
        <w:trPr>
          <w:trHeight w:val="716"/>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2、从上至下分为2部分，第一部分为活动层板，第二部分为材料存放格。第一部分的活动层板可分为左中右3部分，每部分内径尺寸长度不短于 38cm（±2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，宽度不小于 29.5cm（±2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，高度不低于 31.5cm（±2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，左右两部分，每部分可均匀的放置5块可移动挡板，挡板横向放置，挡板与挡板间距为 5cm（±2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。中间部分，格内可均匀的放置4块可移动挡板，挡板竖向放置，挡板与挡板的间距为 7cm（±2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。所有挡板均为厚度为 0.5cm（±2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的实木、桦木。 第二部分材料存放格被分为3层，每层均匀的放置5个储存格，内径尺寸长度不短于 30cm（±2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，宽度不小于22cm（±2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，高度不低于 15.5cm（±2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，可以放置尺寸31*20*13.5cm（±2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的收纳盒，储物格自下而上第二三2层下方层板可拆卸。可抽式层板厚度为 0.5cm（±2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左右。柜体用螺丝加以固定。</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ENF级15</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eastAsia="zh-CN" w:bidi="ar"/>
              </w:rPr>
              <w:t>±2mm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厚及5</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eastAsia="zh-CN" w:bidi="ar"/>
              </w:rPr>
              <w:t>±2mm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厚桦木实木多层板，符合GB/T 39600-2021检测。</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4、采用水性漆，经过两底一面工艺制作。耐黄变性符合GB/T 23999-2009的标准； 水性漆中的有害物质符合GB 18581-2020的检测。</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5、五金件选用五金，色泽丰富，锑、砷、 钡、镉、铬、铅、汞、硒可迁移元素符合GB 6675.4-2014的检测结果。</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91</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材料展示抽屉桌</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1、规格：L110*W110*H54cm（±1cm）；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2、采用</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ENF级桦木实木多层板，符合GB/T 39600-2021检测，其中桌面采用透明亚克力。</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3、采用水性漆封边，经过两底一面工艺制作。耐黄变性符合GB/T  23999-2009的标准； 水性漆中的有害物质符合GB 18581-2020的检测。</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4、五金件选用五金，色泽丰富，锑、砷、 钡、镉、铬、铅、汞、硒可迁移元素符合GB 6675.4-2014的检测结果。</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5、配件：桌面采用透明PC板，可展示抽屉里材料，抽屉多格隔断，细化收纳功能。含美术材料</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92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树枝灯</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1、规格：L90*W32cm（±10cm）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2、材质：采用树脂玻璃钢材质，厚实稳固，不易开裂；表面仿木纹手工刷色，质感细腻；</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3、光条：软硅胶导光条，透光均匀，灯光柔和不刺眼；</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4、吸顶盘：铁艺吸顶盘，木纹手工刷色，多道上色工序制作而成，不易生锈耐腐蚀；</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b/>
                <w:bCs/>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5、五金件：厚实五金锁线扣，不易生锈。</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93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办公桌1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1、规格：L140*W70*H75cm（±10cm）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2、基材：桌面采用厚度25mm（±</w:t>
            </w:r>
            <w:r>
              <w:rPr>
                <w:rFonts w:ascii="宋体" w:eastAsia="宋体" w:hAnsi="宋体" w:cs="宋体" w:hint="eastAsia"/>
                <w:color w:val="000000"/>
                <w:sz w:val="21"/>
                <w:szCs w:val="21"/>
                <w:lang w:eastAsia="zh-CN" w:bidi="ar"/>
              </w:rPr>
              <w:t>1mm</w:t>
            </w:r>
            <w:r>
              <w:rPr>
                <w:rFonts w:ascii="宋体" w:eastAsia="宋体" w:hAnsi="宋体" w:cs="宋体" w:hint="eastAsia"/>
                <w:color w:val="000000"/>
                <w:sz w:val="21"/>
                <w:szCs w:val="21"/>
                <w:lang w:bidi="ar"/>
              </w:rPr>
              <w:t>）的橡胶木实木，木质坚硬稳定性强，木材含水率、气干密度符合国家标准；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94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办公桌2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1、规格：L140*W60*H75cm（±10cm）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2、基材:桌面采用厚度25mm（±1mm）的</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6、桌架采用冷轧钢，表面木纹热转印；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95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办公桌3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1、规格：L120*W60*H75cm（±10cm）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2、基材:桌面采用厚度25mm（±1mm）的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6、桌架采用冷轧钢，表面木纹热转印；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96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办公桌4</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1、规格：L130*W60*H75cm（±10cm）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2、基材:桌面采用厚度25mm（±1mm）的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4、封边条：采用PVC封边条，表面光滑平整，无毒，封边细腻硬度高，线条均匀，转角过渡自然，无脱胶，表面光滑平整无胶渍。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6、桌架采用冷轧钢，表面木纹热转印；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97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音控桌</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1、规格：L120*W60*H75cm（±10cm）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2、基材:桌面采用厚度25mm（±1mm）的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6、桌架采用冷轧钢，表面木纹热转印；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98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活动柜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1、规格：L39.6*W40.4*H50cm（±10cm）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99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办公椅1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1、规格：Ll66.8*W66.8*H86-96cm（±10cm）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2、椅座：采用实木坐板，表面采用水性漆，表面增加软包，增加座椅舒适感；</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3、扶手：采用冷轧钢+实木；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100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办公椅2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1、规格：L56*W45*H42cm（±10cm）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5、脚垫采用PP材质，静音、防滑。</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b/>
                <w:bCs/>
                <w:sz w:val="21"/>
                <w:szCs w:val="21"/>
                <w:lang w:bidi="ar"/>
              </w:rPr>
              <w:t>▲提供橡胶木教师椅成品检测报告，采用GB/T 35607-2024、GB/T 36022-2018、LY/T 1985-2011、GB/T 3324-2017，检测项需满足：1、甲醛释放量，苯、甲苯、二甲苯，总挥发性有机化合物未检出均未检出；2、氨释放量未检出；</w:t>
            </w:r>
            <w:r>
              <w:rPr>
                <w:rFonts w:ascii="宋体" w:eastAsia="宋体" w:hAnsi="宋体" w:cs="宋体" w:hint="eastAsia"/>
                <w:b/>
                <w:bCs/>
                <w:sz w:val="21"/>
                <w:szCs w:val="21"/>
                <w:lang w:eastAsia="zh-CN" w:bidi="ar"/>
              </w:rPr>
              <w:t>3</w:t>
            </w:r>
            <w:r>
              <w:rPr>
                <w:rFonts w:ascii="宋体" w:eastAsia="宋体" w:hAnsi="宋体" w:cs="宋体" w:hint="eastAsia"/>
                <w:b/>
                <w:bCs/>
                <w:sz w:val="21"/>
                <w:szCs w:val="21"/>
                <w:lang w:bidi="ar"/>
              </w:rPr>
              <w:t>、五氯苯酚未检出;</w:t>
            </w:r>
            <w:r>
              <w:rPr>
                <w:rFonts w:ascii="宋体" w:eastAsia="宋体" w:hAnsi="宋体" w:cs="宋体" w:hint="eastAsia"/>
                <w:b/>
                <w:bCs/>
                <w:sz w:val="21"/>
                <w:szCs w:val="21"/>
                <w:lang w:eastAsia="zh-CN" w:bidi="ar"/>
              </w:rPr>
              <w:t>4</w:t>
            </w:r>
            <w:r>
              <w:rPr>
                <w:rFonts w:ascii="宋体" w:eastAsia="宋体" w:hAnsi="宋体" w:cs="宋体" w:hint="eastAsia"/>
                <w:b/>
                <w:bCs/>
                <w:sz w:val="21"/>
                <w:szCs w:val="21"/>
                <w:lang w:bidi="ar"/>
              </w:rPr>
              <w:t>、表面理化性能 漆膜（耐液性、耐湿热、耐干热、附着力）符合检测标准。出具实木橡胶木拼板抽样检验检测报告，采用符合 GB/T3324-2024、GB/T4893.7-2013、GB/T 4893.4-2023、GB/T6739-2022、GB/T 42898-2023、GB/T40908-2021检测方法，检测项应满足：1、木材外观（贯通裂缝、虫蛀、腐朽材、树脂囊、节子）符合要求；2、木材含水率≤8.7%；3、漆膜（耐冷热温差、附着力、硬度）符合要求；4</w:t>
            </w:r>
            <w:r>
              <w:rPr>
                <w:rFonts w:ascii="宋体" w:eastAsia="宋体" w:hAnsi="宋体" w:cs="宋体" w:hint="eastAsia"/>
                <w:b/>
                <w:bCs/>
                <w:sz w:val="21"/>
                <w:szCs w:val="21"/>
                <w:lang w:eastAsia="zh-CN" w:bidi="ar"/>
              </w:rPr>
              <w:t>、</w:t>
            </w:r>
            <w:r>
              <w:rPr>
                <w:rFonts w:ascii="宋体" w:eastAsia="宋体" w:hAnsi="宋体" w:cs="宋体" w:hint="eastAsia"/>
                <w:b/>
                <w:bCs/>
                <w:sz w:val="21"/>
                <w:szCs w:val="21"/>
                <w:lang w:bidi="ar"/>
              </w:rPr>
              <w:t>总半挥发性有机化合物TSVOC释放量未检出；</w:t>
            </w:r>
            <w:r>
              <w:rPr>
                <w:rFonts w:ascii="宋体" w:eastAsia="宋体" w:hAnsi="宋体" w:cs="宋体" w:hint="eastAsia"/>
                <w:b/>
                <w:bCs/>
                <w:sz w:val="21"/>
                <w:szCs w:val="21"/>
                <w:lang w:eastAsia="zh-CN" w:bidi="ar"/>
              </w:rPr>
              <w:t>5</w:t>
            </w:r>
            <w:r>
              <w:rPr>
                <w:rFonts w:ascii="宋体" w:eastAsia="宋体" w:hAnsi="宋体" w:cs="宋体" w:hint="eastAsia"/>
                <w:b/>
                <w:bCs/>
                <w:sz w:val="21"/>
                <w:szCs w:val="21"/>
                <w:lang w:bidi="ar"/>
              </w:rPr>
              <w:t>、有机磷阻燃剂未检出。出具油漆实木拼接板检验依据GB/T 36022-2018、GB/T 27904-2011、QB/T 2761-2006 检测项目：（1）甲醛释放量未检出；（2）燃烧性能 B1 级（热释放速率峰值≤27.6KW；5min 内放出的总能量≤3.1MJ；最大烟密度≤64.2%）；（3）热释放总量≤4.0；（4）最大质量损失率≤4.1%；（5）一氧化碳浓度（最大）≤170ppm；（6）二氧化碳浓度（最大）≤1400ppm；（7）氨释放量未检出；（8）试件无整体燃烧；（9）净化性能 甲醛去除率（24h）达到50.4%。出具PP(聚丙烯)抽样检验检测依据GB/T32487-2016、GB/T16422.2-2022、GB/T250-2008、GB/T1043.1-2008、GB/T</w:t>
            </w:r>
            <w:r>
              <w:rPr>
                <w:rFonts w:ascii="宋体" w:eastAsia="宋体" w:hAnsi="宋体" w:cs="宋体" w:hint="eastAsia"/>
                <w:b/>
                <w:bCs/>
                <w:sz w:val="21"/>
                <w:szCs w:val="21"/>
                <w:lang w:eastAsia="zh-CN" w:bidi="ar"/>
              </w:rPr>
              <w:t xml:space="preserve"> </w:t>
            </w:r>
            <w:r>
              <w:rPr>
                <w:rFonts w:ascii="宋体" w:eastAsia="宋体" w:hAnsi="宋体" w:cs="宋体" w:hint="eastAsia"/>
                <w:b/>
                <w:bCs/>
                <w:sz w:val="21"/>
                <w:szCs w:val="21"/>
                <w:lang w:bidi="ar"/>
              </w:rPr>
              <w:t>1634.1-2019、GB/T1034-2008.GB/T 9341-2008、GB/T 19466.6-2009检测应满足：（1）重金属：可溶性镉、铬、铅、汞等未检出；（2）塑料件外观：应无裂纹、明显变形、缩水、针孔，应无凹陷、飞边、折皱、疙瘩，应无气泡、杂质、伤痕、白印，表面应光洁、应无划痕、毛刺、拉毛、污渍，应无明显色差；（3）耐老化性：≥100h，冲击强度的保持率≥77.6%，外观颜色变色评级≥5级；（4）弯曲强度≥21.4Mpa；（5）负荷变形温度≥76℃；（6）燃烧性能等级≥B2（E级）；（7）氧化诱导时间（210℃）≥2.8min；（8）吸水性≥0.09%。</w:t>
            </w:r>
            <w:r>
              <w:rPr>
                <w:rFonts w:ascii="宋体" w:eastAsia="宋体" w:hAnsi="宋体" w:cs="宋体" w:hint="eastAsia"/>
                <w:b/>
                <w:bCs/>
                <w:sz w:val="21"/>
                <w:szCs w:val="21"/>
                <w:lang w:bidi="ar"/>
              </w:rPr>
              <w:t>上述需同时提供标注CMA标识的检测报告以及全国认证认可信息公共服务平台网站（http://cx.cnca.cn/CertECloud/qts/qts/qtsPage）查询截图作为得分依据，提供有效期内检测报告及相应截屏，不提供或提供不全的不得分。注：对应参数在检测报告中标注，成品名称需与检测报告名称一致，提供的检测报告须满足上述检测项目，原件备查。</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101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办公椅3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1、规格：L59*W60*H111-120cm（±10cm）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2、灰色PP加玻纤头枕带上下升降功能（无衣架）</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3、灰色PP加玻纤椅背(无腰条)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4、背网特定八字网系列，座布特定蚂蚁弹力布系列</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5、椅座全新木板+定型海绵(无座壳)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5、PP灰色固定连体扶手</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2.5mm厚原位锁定同步倾仰底盘</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100#沉口</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5公分黑色气杆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8、</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∮320mm灰色尼龙脚</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9、</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∮25/50mm PA黑色轮子</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102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实木椅</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1、规格：L59*W44*H42cm（±10cm）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2、基材：采用白蜡木实木，木质坚硬稳定性强，木材含水率、气干密度符合国家标准；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103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1、规格：L95*W38*H200cm（±10cm）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2、基材：采用厚度18mm（±1mm）的橡胶木实木，木质坚硬稳定性强，木材含水率、气干密度符合国家标准；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104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1、规格：L95*W38*H200cm（±10cm）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2、基材：采用厚度18mm（±1mm）的橡胶木实木，木质坚硬稳定性强，木材含水率、气干密度符合国家标准；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105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1、规格：L80*W40*H75cm（±10cm）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6、配置：石英石面板。</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106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水台柜1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1、规格：L80*W40*H75cm（±10cm）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6、配置：石英石面板。</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107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长茶几</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1、规格：L120*W60*H45cm（±10cm）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2、基材：采用白蜡木实木，木质坚硬稳定性强，木材含水率、气干密度符合国家标准；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108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二人位沙发</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1、规格：L160*W70*H45cm（±10cm）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2、基材：采用白蜡木实木，木质坚硬稳定性强，木材含水率、气干密度符合国家标准；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109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圆茶几</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1、规格：L60*W60*H45cm（±10cm）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2、基材：采用松木实木，木质坚硬稳定性强，木材含水率、气干密度符合国家标准；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110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沙发椅（单人位）</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1、规格：L70*W70*H45cm（±10cm）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111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茶几</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1、规格：L60*W60*H45cm（±10cm）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112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1、规格：L90*W38*H200cm（±10cm）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2、基材：采用厚度18mm（±</w:t>
            </w:r>
            <w:r>
              <w:rPr>
                <w:rFonts w:ascii="宋体" w:eastAsia="宋体" w:hAnsi="宋体" w:cs="宋体" w:hint="eastAsia"/>
                <w:color w:val="000000"/>
                <w:sz w:val="21"/>
                <w:szCs w:val="21"/>
                <w:lang w:eastAsia="zh-CN" w:bidi="ar"/>
              </w:rPr>
              <w:t>1mm</w:t>
            </w:r>
            <w:r>
              <w:rPr>
                <w:rFonts w:ascii="宋体" w:eastAsia="宋体" w:hAnsi="宋体" w:cs="宋体" w:hint="eastAsia"/>
                <w:color w:val="000000"/>
                <w:sz w:val="21"/>
                <w:szCs w:val="21"/>
                <w:lang w:bidi="ar"/>
              </w:rPr>
              <w:t>）的橡胶木实木，木质坚硬稳定性强，木材含水率、气干密度符合国家标准；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5、部分门板采用藤编门板。</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113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1、规格：L60*W38*H200cm（±10cm）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2、基材：桌面采用厚度18mm（±</w:t>
            </w:r>
            <w:r>
              <w:rPr>
                <w:rFonts w:ascii="宋体" w:eastAsia="宋体" w:hAnsi="宋体" w:cs="宋体" w:hint="eastAsia"/>
                <w:color w:val="000000"/>
                <w:sz w:val="21"/>
                <w:szCs w:val="21"/>
                <w:lang w:eastAsia="zh-CN" w:bidi="ar"/>
              </w:rPr>
              <w:t>1mm</w:t>
            </w:r>
            <w:r>
              <w:rPr>
                <w:rFonts w:ascii="宋体" w:eastAsia="宋体" w:hAnsi="宋体" w:cs="宋体" w:hint="eastAsia"/>
                <w:color w:val="000000"/>
                <w:sz w:val="21"/>
                <w:szCs w:val="21"/>
                <w:lang w:bidi="ar"/>
              </w:rPr>
              <w:t>）的橡胶木实木，木质坚硬稳定性强，木材含水率、气干密度符合国家标准；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114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1、规格：L160*W38*H60cm（±10cm）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2、基材：桌面采用厚度18mm（±</w:t>
            </w:r>
            <w:r>
              <w:rPr>
                <w:rFonts w:ascii="宋体" w:eastAsia="宋体" w:hAnsi="宋体" w:cs="宋体" w:hint="eastAsia"/>
                <w:color w:val="000000"/>
                <w:sz w:val="21"/>
                <w:szCs w:val="21"/>
                <w:lang w:eastAsia="zh-CN" w:bidi="ar"/>
              </w:rPr>
              <w:t>1mm</w:t>
            </w:r>
            <w:r>
              <w:rPr>
                <w:rFonts w:ascii="宋体" w:eastAsia="宋体" w:hAnsi="宋体" w:cs="宋体" w:hint="eastAsia"/>
                <w:color w:val="000000"/>
                <w:sz w:val="21"/>
                <w:szCs w:val="21"/>
                <w:lang w:bidi="ar"/>
              </w:rPr>
              <w:t>）的橡胶木实木，木质坚硬稳定性强，木材含水率、气干密度符合国家标准；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115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茶台矮柜1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1、规格：L110*W38*H80cm（±10cm）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6、门板采用藤编门板。</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7、配置：嵌入式茶盘+垃圾桶：盖及桶材质304不锈钢。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116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1、规格：L90*W40*H200cm（±10cm）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117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茶台矮柜2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1、规格：L90*W40*H85cm（±10cm）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118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1、规格：L90*W40*H80cm（±10cm）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119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储物柜4</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1、规格：L90*W30*H80cm（±10cm）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120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1、规格：L90*W40*H260cm（±10cm）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121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书柜4</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1、规格：L90*W40*H260cm（±10cm）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122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会议桌</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1、规格：L600*W200*H75cm（±10cm）分两张制作;</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123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会议椅</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1、规格：L42*W45*H42cm（±10cm）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124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水台柜2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1、规格：L120*W40*H75cm（±10cm）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6、洗手盆正下方柜体采用铝合金柜体，防水、防潮。包含解决柜子进水及排水系统的正常使用。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7、配置：轨道插座+沥水篮+4个304不锈钢水龙头+2个垃圾桶：盖及桶材质304不锈钢。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125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储物柜5</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1、规格：L120*W40*H75cm（±10cm）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4、封边条：采用PVC封边条，表面光滑平整，无毒，封边细腻硬度高，线条均匀，转角过渡自然，无脱胶，表面光滑平整无胶渍。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6、面板配石英石。</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126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储物柜6</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1、规格：L120*W32*H85cm（±10cm）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127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诊断床</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1、规格：L136*W50*H40cm（±10cm）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128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隔离床</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1、规格：L140*W50*H40cm（±10cm）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129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床垫</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1、规格：L130*W460*H5cm（±5cm）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lang w:bidi="ar"/>
              </w:rPr>
            </w:pPr>
            <w:r>
              <w:rPr>
                <w:rFonts w:ascii="宋体" w:eastAsia="宋体" w:hAnsi="宋体" w:cs="宋体" w:hint="eastAsia"/>
                <w:sz w:val="21"/>
                <w:szCs w:val="21"/>
              </w:rPr>
              <w:t>2、材质：采用长棕丝，质地坚实，耐磨性好。</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sz w:val="21"/>
                <w:szCs w:val="21"/>
              </w:rPr>
              <w:t>3、面料：高透气，柔软防滑。</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130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沙发（三人位）</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1、规格：L180*W70*H80cm（±10cm）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2、基材：采用白蜡木加藤编；</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131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沙发（单人位）</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1、规格：L80*W70*H80cm（±10cm）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2、基材：采用白蜡木加藤编；</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132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茶几</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1、规格：L110*W50*H42cm（±10cm）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2、基材：采用白蜡木，木质坚硬稳定性强，木材含水率、气干密度符合国家标准；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133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杂志刊</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1、规格：L200*H170cm（±10cm）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2、基材：采用松木+藤编，木质坚硬稳定性强，木材含水率、气干密度符合国家标准；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134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文件柜4</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1、规格：L130*W40*H200cm（±10cm）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4、封边条：采用PVC封边条，表面光滑平整，无毒，封边细腻硬度高，线条均匀，转角过渡自然，无脱胶，表面光滑平整无胶渍。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135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储物柜7</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1、规格：L130*W40*H80cm（±10cm）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136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储物柜8</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1、规格：L80*W40*H80cm（±10cm）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137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文件柜5</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1、规格：L95*W40*H200cm（±10cm）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138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书柜6</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1、规格：L140*W40*H200cm（±10cm）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139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储物柜9</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1、规格：L140*W40*H80cm（±10cm）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4、封边条：采用PVC封边条，表面光滑平整，无毒，封边细腻硬度高，线条均匀，转角过渡自然，无脱胶，表面光滑平整无胶渍。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140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储物柜10</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1、规格：L95*W40*H80cm（±10cm）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141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大板桌1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1、规格：L360*W110*H75cm（±10cm）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142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大板桌2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1、规格：L450*W120*H75cm（±10cm）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143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水台柜3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1、规格：L100*W48*H75cm（±10cm）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6、洗手盆正下方柜体采用铝合金柜体，防水、防潮。包含解决柜子进水及排水系统的正常使用。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7、配置：轨道插座+沥水篮+4个304不锈钢水龙头+2个垃圾桶：盖及桶材质304不锈钢。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144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文件柜6</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1、规格：L75*W40*H200cm（±10cm）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145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储物柜11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1、规格：L100*W40*H85cm（±10cm）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146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储物柜12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1、规格：L75*W40*H85cm（±10cm）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147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办公桌5</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1、规格：L200*W50*H105cm（±10cm）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2、基材:采用厚度25mm（±1mm）的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148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办公椅4</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1、规格：L39*W39*H60cm（±10cm）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149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转角柜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1、规格：L30*W30*H268cm（±10cm）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150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洞洞板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1、规格：L50*H190cm（±10cm）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151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文件矮柜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1、规格：L110*W40*H90cm（±10cm）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6、配置：垃圾桶：盖材质304不锈钢，桶材质201不锈钢。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152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文件柜7</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1、规格：L90*W35*H240cm（±10cm）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153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书柜7</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1、规格：L90*W35*H240cm（±10cm）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154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折叠桌（挡板白色）</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1、规格：L160*W60*H75cm（±10cm）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2、基材:面板采用厚度25mm（±1mm）的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6、轮子：采用可刹车静音轮，反复测试不故障，带锁扣，固定牢靠。</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155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折叠椅</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1、规格：L48*W51*H45cm（±10cm）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2、材质：椅架采用钢制喷涂</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3、坐垫及靠背：采用PP塑料</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156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长餐桌1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1、规格：L120*W60*H75cm（±10cm）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157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方餐桌</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1、规格：L60*W60*H75cm（±10cm）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158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圆桌</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1、规格：L150*H75cm（±10cm）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387"/>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159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餐椅1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1、规格：L32*W32*H42cm（±10cm）</w:t>
            </w:r>
          </w:p>
        </w:tc>
      </w:tr>
      <w:tr>
        <w:tblPrEx>
          <w:tblW w:w="5000" w:type="pct"/>
          <w:tblInd w:w="-1041" w:type="dxa"/>
          <w:tblLayout w:type="fixed"/>
          <w:tblCellMar>
            <w:top w:w="0" w:type="dxa"/>
            <w:left w:w="108" w:type="dxa"/>
            <w:bottom w:w="0" w:type="dxa"/>
            <w:right w:w="108" w:type="dxa"/>
          </w:tblCellMar>
        </w:tblPrEx>
        <w:trPr>
          <w:trHeight w:val="387"/>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2、基材：采用橡胶木实木，厚实纹路清晰。</w:t>
            </w:r>
          </w:p>
        </w:tc>
      </w:tr>
      <w:tr>
        <w:tblPrEx>
          <w:tblW w:w="5000" w:type="pct"/>
          <w:tblInd w:w="-1041" w:type="dxa"/>
          <w:tblLayout w:type="fixed"/>
          <w:tblCellMar>
            <w:top w:w="0" w:type="dxa"/>
            <w:left w:w="108" w:type="dxa"/>
            <w:bottom w:w="0" w:type="dxa"/>
            <w:right w:w="108" w:type="dxa"/>
          </w:tblCellMar>
        </w:tblPrEx>
        <w:trPr>
          <w:trHeight w:val="387"/>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160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长餐桌2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1、规格：L133*W35*H105cm（±10cm）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2、基材：采用松木实木，厚实纹路清晰。</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161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餐椅2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1、规格：L39*W39*H60cm（±10cm）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162 </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洞洞板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1、规格：L132*H120cm（±10cm）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2、材质：采用特厚钢材，扎实用料不变形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3、折弯：两次20mm（±1mm）折弯无焊接一体成型；</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4、工艺：金属仿木纹真实自然。</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163 </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磁吸白板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1、规格：L132*H120（±10cm）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2、材质：采用磁吸白板，水性树脂高温烤漆；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3、边框：采用松木制作而成；</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4、特性：流畅笔触、无痕檫写、磁力吸附。</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164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置物柜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1、规格：L149*W40*H250cm（±10cm）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165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储物柜体</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1、规格：L83*W50*H44cm（±10cm）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2、基材:柜体采用厚度18mm（±1mm）的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5、洗手盆正下方柜体采用铝合金柜体，防水、防潮。包含解决柜子进水及排水系统的正常使用。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6、配置：轨道插座+沥水篮+4个304不锈钢水龙头+2个垃圾桶：盖及桶材质304不锈钢。</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166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洗手池</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1、规格：L420*W50*H31cm（±10cm）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2、台面基材采用石英石，不渗水，不发黄，不褪色，硬度高，莫氏6及硬度，不惧重量撞击。</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 xml:space="preserve">167 </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组合隔断洞洞板</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1、规格：L148*H258cm（±10cm）</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2、材质：屏风采用白蜡木实木，洞洞板采用</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EO级杉木基材大芯生态板。</w:t>
            </w:r>
          </w:p>
        </w:tc>
      </w:tr>
      <w:tr>
        <w:tblPrEx>
          <w:tblW w:w="5000" w:type="pct"/>
          <w:tblInd w:w="-1041" w:type="dxa"/>
          <w:tblLayout w:type="fixed"/>
          <w:tblCellMar>
            <w:top w:w="0" w:type="dxa"/>
            <w:left w:w="108" w:type="dxa"/>
            <w:bottom w:w="0" w:type="dxa"/>
            <w:right w:w="108" w:type="dxa"/>
          </w:tblCellMar>
        </w:tblPrEx>
        <w:trPr>
          <w:trHeight w:val="1413"/>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3、油漆：采用水性漆，全封闭涂装工艺，漆面光泽高透，颜色均匀，抗菌率≥99%符合GB/T 21866-2008、GB/T 21510-2008标准要求；有害物质限量符合GB 18581-2020、HJ 2537-2014标准要求；耐黄变检测符合GB/T 23999-2009标准要求，经500h以上耐人工气候老化检测结果为粉化0级，涂膜无起泡、无剥落、无裂纹符合GB/T 1865-2009、GB/T 1766-2008标准要求。</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4、五金件：采用五金，可迁移元素中锑、钡、镉、铅、硒、砷、铬、汞八大金属含量符合GB 6675.4-2014标准要求；防腐抗锈，经中性盐雾测试无生锈、无气泡、无粉化等腐蚀现象，符合GB/T 10125-2021标准要求。</w:t>
            </w:r>
          </w:p>
        </w:tc>
      </w:tr>
      <w:tr>
        <w:tblPrEx>
          <w:tblW w:w="5000" w:type="pct"/>
          <w:tblInd w:w="-1041" w:type="dxa"/>
          <w:tblLayout w:type="fixed"/>
          <w:tblCellMar>
            <w:top w:w="0" w:type="dxa"/>
            <w:left w:w="108" w:type="dxa"/>
            <w:bottom w:w="0" w:type="dxa"/>
            <w:right w:w="108" w:type="dxa"/>
          </w:tblCellMar>
        </w:tblPrEx>
        <w:trPr>
          <w:trHeight w:val="459"/>
        </w:trPr>
        <w:tc>
          <w:tcPr>
            <w:tcW w:w="10613" w:type="dxa"/>
            <w:gridSpan w:val="3"/>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bidi="ar"/>
              </w:rPr>
              <w:t>博誉府幼儿园</w:t>
            </w:r>
          </w:p>
        </w:tc>
      </w:tr>
      <w:tr>
        <w:tblPrEx>
          <w:tblW w:w="5000" w:type="pct"/>
          <w:tblInd w:w="-1041" w:type="dxa"/>
          <w:tblLayout w:type="fixed"/>
          <w:tblCellMar>
            <w:top w:w="0" w:type="dxa"/>
            <w:left w:w="108" w:type="dxa"/>
            <w:bottom w:w="0" w:type="dxa"/>
            <w:right w:w="108" w:type="dxa"/>
          </w:tblCellMar>
        </w:tblPrEx>
        <w:trPr>
          <w:trHeight w:val="405"/>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168</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1、规格：L360.8*W37.5*H42.7cm*2（±10cm）</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05"/>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5、备注：户型一2间</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169</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储物高柜1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1、规格：L154*W37.5*H200cm（±10cm）*2</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6、备注：户型一2间</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170</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1、规格：L150*H39.8cm（±10cm）*2</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6、备注：户型一2间</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171</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1、规格：L360*H39.8cm（±10cm）*2</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95"/>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6、备注：户型一2间</w:t>
            </w:r>
          </w:p>
        </w:tc>
      </w:tr>
      <w:tr>
        <w:tblPrEx>
          <w:tblW w:w="5000" w:type="pct"/>
          <w:tblInd w:w="-1041" w:type="dxa"/>
          <w:tblLayout w:type="fixed"/>
          <w:tblCellMar>
            <w:top w:w="0" w:type="dxa"/>
            <w:left w:w="108" w:type="dxa"/>
            <w:bottom w:w="0" w:type="dxa"/>
            <w:right w:w="108" w:type="dxa"/>
          </w:tblCellMar>
        </w:tblPrEx>
        <w:trPr>
          <w:trHeight w:val="495"/>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1、规格：L361*W37.5*H42.7cm（±10cm）*6</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95"/>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95"/>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6、备注：户型二3间、户型三1间、户型七2间</w:t>
            </w:r>
          </w:p>
        </w:tc>
      </w:tr>
      <w:tr>
        <w:tblPrEx>
          <w:tblW w:w="5000" w:type="pct"/>
          <w:tblInd w:w="-1041" w:type="dxa"/>
          <w:tblLayout w:type="fixed"/>
          <w:tblCellMar>
            <w:top w:w="0" w:type="dxa"/>
            <w:left w:w="108" w:type="dxa"/>
            <w:bottom w:w="0" w:type="dxa"/>
            <w:right w:w="108" w:type="dxa"/>
          </w:tblCellMar>
        </w:tblPrEx>
        <w:trPr>
          <w:trHeight w:val="495"/>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173</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储物高柜2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1、规格：L139.6*W37.5*H200cm（±10cm）*3</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95"/>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95"/>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6、备注：户型二3间</w:t>
            </w:r>
          </w:p>
        </w:tc>
      </w:tr>
      <w:tr>
        <w:tblPrEx>
          <w:tblW w:w="5000" w:type="pct"/>
          <w:tblInd w:w="-1041" w:type="dxa"/>
          <w:tblLayout w:type="fixed"/>
          <w:tblCellMar>
            <w:top w:w="0" w:type="dxa"/>
            <w:left w:w="108" w:type="dxa"/>
            <w:bottom w:w="0" w:type="dxa"/>
            <w:right w:w="108" w:type="dxa"/>
          </w:tblCellMar>
        </w:tblPrEx>
        <w:trPr>
          <w:trHeight w:val="495"/>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174</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1、规格：L630*H40cm（±10cm）*3</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95"/>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1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6、备注：户型二3间</w:t>
            </w:r>
          </w:p>
        </w:tc>
      </w:tr>
      <w:tr>
        <w:tblPrEx>
          <w:tblW w:w="5000" w:type="pct"/>
          <w:tblInd w:w="-1041" w:type="dxa"/>
          <w:tblLayout w:type="fixed"/>
          <w:tblCellMar>
            <w:top w:w="0" w:type="dxa"/>
            <w:left w:w="108" w:type="dxa"/>
            <w:bottom w:w="0" w:type="dxa"/>
            <w:right w:w="108" w:type="dxa"/>
          </w:tblCellMar>
        </w:tblPrEx>
        <w:trPr>
          <w:trHeight w:val="513"/>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175</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1、规格：L120*W37.5*H200cm（±10cm）*1</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1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1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6、备注：户型三1间、户型七2间</w:t>
            </w:r>
          </w:p>
        </w:tc>
      </w:tr>
      <w:tr>
        <w:tblPrEx>
          <w:tblW w:w="5000" w:type="pct"/>
          <w:tblInd w:w="-1041" w:type="dxa"/>
          <w:tblLayout w:type="fixed"/>
          <w:tblCellMar>
            <w:top w:w="0" w:type="dxa"/>
            <w:left w:w="108" w:type="dxa"/>
            <w:bottom w:w="0" w:type="dxa"/>
            <w:right w:w="108" w:type="dxa"/>
          </w:tblCellMar>
        </w:tblPrEx>
        <w:trPr>
          <w:trHeight w:val="513"/>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176</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幼儿家私顶柜装饰板4</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1、规格：L480*H40cm（±10cm）*1</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1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1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6、备注：户型三1间</w:t>
            </w:r>
          </w:p>
        </w:tc>
      </w:tr>
      <w:tr>
        <w:tblPrEx>
          <w:tblW w:w="5000" w:type="pct"/>
          <w:tblInd w:w="-1041" w:type="dxa"/>
          <w:tblLayout w:type="fixed"/>
          <w:tblCellMar>
            <w:top w:w="0" w:type="dxa"/>
            <w:left w:w="108" w:type="dxa"/>
            <w:bottom w:w="0" w:type="dxa"/>
            <w:right w:w="108" w:type="dxa"/>
          </w:tblCellMar>
        </w:tblPrEx>
        <w:trPr>
          <w:trHeight w:val="513"/>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177</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木制洞洞板1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1、规格：L120*H240cm（±10cm）*2</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1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6、备注：户型三1间、户型四1间</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178</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1、规格：L360.6*W37.5*H42.7cm（±10cm）*1</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w:t>
            </w:r>
            <w:r>
              <w:rPr>
                <w:rFonts w:ascii="宋体" w:eastAsia="宋体" w:hAnsi="宋体" w:cs="宋体" w:hint="eastAsia"/>
                <w:color w:val="000000"/>
                <w:sz w:val="21"/>
                <w:szCs w:val="21"/>
                <w:lang w:eastAsia="zh-CN" w:bidi="ar"/>
              </w:rPr>
              <w:t>用</w:t>
            </w:r>
            <w:r>
              <w:rPr>
                <w:rFonts w:ascii="宋体" w:eastAsia="宋体" w:hAnsi="宋体" w:cs="宋体" w:hint="eastAsia"/>
                <w:color w:val="000000"/>
                <w:sz w:val="21"/>
                <w:szCs w:val="21"/>
                <w:lang w:bidi="ar"/>
              </w:rPr>
              <w:t>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6、备注：户型四1间</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179</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幼儿家私顶柜装饰板5</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1、规格：L244*H40cm（±10cm）*1</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6、备注：户型四1间</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180</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幼儿家私顶柜4</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1、规格：L363*W37.5*H42.7cm（±10cm）*1</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6、备注：户型五1间</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181</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幼儿家私顶柜装饰板6</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1、规格：L363*H40cm（±10cm）*1</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w:t>
            </w:r>
            <w:r>
              <w:rPr>
                <w:rFonts w:ascii="宋体" w:eastAsia="宋体" w:hAnsi="宋体" w:cs="宋体" w:hint="eastAsia"/>
                <w:color w:val="000000"/>
                <w:sz w:val="21"/>
                <w:szCs w:val="21"/>
                <w:lang w:eastAsia="zh-CN" w:bidi="ar"/>
              </w:rPr>
              <w:t>用</w:t>
            </w:r>
            <w:r>
              <w:rPr>
                <w:rFonts w:ascii="宋体" w:eastAsia="宋体" w:hAnsi="宋体" w:cs="宋体" w:hint="eastAsia"/>
                <w:color w:val="000000"/>
                <w:sz w:val="21"/>
                <w:szCs w:val="21"/>
                <w:lang w:bidi="ar"/>
              </w:rPr>
              <w:t>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6、备注：户型五1间</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182</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木制洞洞板2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1、规格：L104.5*H240cm（±10cm）*1</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6、备注：户型五1间</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183</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幼儿家私顶柜5</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1、规格：L255.6*W37.5*H42.7cm（±10cm）*2</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54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62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62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62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6、备注：户型六2间</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184</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幼儿家私顶柜装饰板7</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1、规格：L513.6*H40cm（±10cm）*2</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6、备注：户型六2间</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185</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1、规格：L154*W37.5*H200cm（±10cm）*2</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59"/>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6、备注：户型六2间</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186</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储物高柜3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1、规格：L189.4*W37.5*H200cm（±10cm）*2</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6、备注：户型七2间</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187</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幼儿家私顶柜装饰板8</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1、规格：L640*H40cm（±10cm）*2</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6、备注：户型七2间</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188</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木制洞洞板3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1、规格：L94*H240cm（±10cm）*2</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6、备注：户型七2间</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189</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w:t>
            </w:r>
            <w:r>
              <w:rPr>
                <w:rFonts w:ascii="宋体" w:eastAsia="宋体" w:hAnsi="宋体" w:cs="宋体" w:hint="eastAsia"/>
                <w:color w:val="000000"/>
                <w:sz w:val="21"/>
                <w:szCs w:val="21"/>
                <w:lang w:bidi="ar"/>
              </w:rPr>
              <w:t>6</w:t>
            </w:r>
            <w:r>
              <w:rPr>
                <w:rFonts w:ascii="宋体" w:eastAsia="宋体" w:hAnsi="宋体" w:cs="宋体" w:hint="eastAsia"/>
                <w:color w:val="000000"/>
                <w:sz w:val="21"/>
                <w:szCs w:val="21"/>
                <w:lang w:bidi="ar"/>
              </w:rPr>
              <w:t>人桌</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规格：L120xW60xH49cm(±2cm)</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R30mm(±1mm)圆角/圆边处理以及安全防撞设计，最大程度的避免儿童磕碰伤害，结构稳固。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（1）桌面：采用厚度30mm(±1mm)的橡胶木拼板搭配防火板贴面加工而成，耐刮耐磨，长时间使用不褪色、不容易开裂；长立水尺寸：L1062xW60xH18mm（±2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，短立水尺寸：L462xW60xH18mm（±2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w:t>
            </w:r>
            <w:r>
              <w:rPr>
                <w:rFonts w:ascii="宋体" w:eastAsia="宋体" w:hAnsi="宋体" w:cs="宋体" w:hint="eastAsia"/>
                <w:color w:val="000000"/>
                <w:sz w:val="21"/>
                <w:szCs w:val="21"/>
                <w:lang w:eastAsia="zh-CN" w:bidi="ar"/>
              </w:rPr>
              <w:t>用</w:t>
            </w:r>
            <w:r>
              <w:rPr>
                <w:rFonts w:ascii="宋体" w:eastAsia="宋体" w:hAnsi="宋体" w:cs="宋体" w:hint="eastAsia"/>
                <w:color w:val="000000"/>
                <w:sz w:val="21"/>
                <w:szCs w:val="21"/>
                <w:lang w:bidi="ar"/>
              </w:rPr>
              <w:t>橡胶木实木，厚实纹路清晰，尺寸为48x48mm(±1mm)，边沿均采用圆边处理（外侧边</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R25mm,其他三边</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（3）产品整体采用的水性漆，全封闭涂装工艺，漆面光泽高透，颜色均匀，附着能力强，通透度高。桌面封边采用的水性木蜡油封边，成分天然，分子机构细小，成膜牢固，密封性好。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30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sz w:val="21"/>
                <w:szCs w:val="21"/>
              </w:rPr>
            </w:pPr>
            <w:r>
              <w:rPr>
                <w:rFonts w:ascii="宋体" w:eastAsia="宋体" w:hAnsi="宋体" w:cs="宋体" w:hint="eastAsia"/>
                <w:b/>
                <w:bCs/>
                <w:sz w:val="21"/>
                <w:szCs w:val="21"/>
              </w:rPr>
              <w:t>▲提供由CMA认证的检测机构出具的成品幼儿桌符合GB18584-2024、GB/T17657-2022、GB/T43002-2023、GB20286-2006、QB/T4371-2012标准的合格检测报告，检测项目要求：外观要求（木制件外观、人造板件外观、塑料件外观、木工要求、漆膜外观要求）符合标准要求，桌台类力学性能（稳定性试验、强度和耐久性试验）符合标准要求，加速老化循环后静曲强度的顺纹≥40MPa,横纹≥35MPa，表面耐冷热循环后无开裂、无鼓泡，表面耐污染（污染物：可乐饮料、酒醋、用水稀释至 10%的碱溶液清洗剂，双氧水(3%的溶液)、指甲油、指甲油清洗剂、唇膏）≥4级，抗冲击性能后表面无开裂、剥落，甲醛、苯、甲苯、二甲苯、TVOC、可迁移有害元素（铅、镉、铬、汞、锑、钡、硒、砷）符合标准要求，邻苯二甲酸酯（DBP、BBP、DEHP、DNOP≤0.001%，DINP、DIDP≤0.005%），多环芳烃（18种多环芳烃(PAH)总量≤0.1mg/kg）。热释放速率峰值≤50kw;5min内放出的总能量≤5MJ；最大烟密度≤70%。</w:t>
            </w:r>
            <w:r>
              <w:rPr>
                <w:rFonts w:ascii="宋体" w:eastAsia="宋体" w:hAnsi="宋体" w:cs="宋体" w:hint="eastAsia"/>
                <w:b/>
                <w:bCs/>
                <w:sz w:val="21"/>
                <w:szCs w:val="21"/>
                <w:lang w:bidi="ar"/>
              </w:rPr>
              <w:t>出具橡胶脚套符合GB/T4498.1-2013、GB/T10707-2008、SN/T1877.4-2007、GB/T 29608-2013、SN/T 3814-2014标准的合格检测报告，检测应满足：1、橡胶灰分；2、橡胶燃烧性能-氧指数；3、多环芳烃未检出；4、邻苯二甲酸酯未检出；5、短链氯化石蜡；提供二合一连接件GB/T 28203-2011、GB/T 351-2019、GB/T4334-2020、GB/T 226-2015，检测应满足：1、外观：金属件表面应无锈蚀、毛刺刃口、露底，应光滑平整,应无起泡、泛黄、花斑、烧焦、裂纹、划痕、磕碰伤等缺陷。2、金属漆膜耐腐蚀，100h内,观察在溶剂中的样本上划道两侧3mm以外,应无气泡产生;100h后,检查划道两侧3mm以外,应无锈迹、剥落、起皱、变色和失光等现象。3、电阻率；4、晶间腐蚀；5、低倍组织。</w:t>
            </w:r>
            <w:r>
              <w:rPr>
                <w:rFonts w:ascii="宋体" w:eastAsia="宋体" w:hAnsi="宋体" w:cs="宋体" w:hint="eastAsia"/>
                <w:b/>
                <w:bCs/>
                <w:sz w:val="21"/>
                <w:szCs w:val="21"/>
                <w:lang w:bidi="ar"/>
              </w:rPr>
              <w:t>上述需同时提供标注CMA标识的检测报告以及全国认证认可信息公共服务平台网站（http://cx.cnca.cn/CertECloud/qts/qts/qtsPage）查询截图作为得分依据，提供有效期内检测报告及相应截屏，不提供或提供不全的不得分。注：对应参数在检测报告中标注，成品名称需与检测报告名称一致，提供的检测报告须满足上述检测项目，原件备查。</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190</w:t>
            </w:r>
          </w:p>
        </w:tc>
        <w:tc>
          <w:tcPr>
            <w:tcW w:w="1815" w:type="dxa"/>
            <w:vMerge w:val="restart"/>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4人书包鞋柜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 xml:space="preserve">规格：L40.5xW30xH116cm（±2cm） </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（1）基材：柜体采用厚度15mm（±1mm）的桦木纹饰面橡胶木拼板，背板采用厚度5mm</w:t>
            </w:r>
            <w:r>
              <w:rPr>
                <w:rFonts w:ascii="宋体" w:eastAsia="宋体" w:hAnsi="宋体" w:cs="宋体" w:hint="eastAsia"/>
                <w:sz w:val="21"/>
                <w:szCs w:val="21"/>
                <w:lang w:eastAsia="zh-CN"/>
              </w:rPr>
              <w:t>（</w:t>
            </w:r>
            <w:r>
              <w:rPr>
                <w:rFonts w:ascii="宋体" w:eastAsia="宋体" w:hAnsi="宋体" w:cs="宋体" w:hint="eastAsia"/>
                <w:sz w:val="21"/>
                <w:szCs w:val="21"/>
                <w:lang w:eastAsia="zh-CN"/>
              </w:rPr>
              <w:t>±2mm</w:t>
            </w:r>
            <w:r>
              <w:rPr>
                <w:rFonts w:ascii="宋体" w:eastAsia="宋体" w:hAnsi="宋体" w:cs="宋体" w:hint="eastAsia"/>
                <w:sz w:val="21"/>
                <w:szCs w:val="21"/>
                <w:lang w:eastAsia="zh-CN"/>
              </w:rPr>
              <w:t>）</w:t>
            </w:r>
            <w:r>
              <w:rPr>
                <w:rFonts w:ascii="宋体" w:eastAsia="宋体" w:hAnsi="宋体" w:cs="宋体" w:hint="eastAsia"/>
                <w:sz w:val="21"/>
                <w:szCs w:val="21"/>
              </w:rPr>
              <w:t>的饰面实木纤维板。</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（2）木蜡油：采用水性木蜡油封边，成分天然，分子机构细小，成膜牢固，密封性好，无毒，符合国家标准要求。</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（3）五金件：采用五金，稳固不松动，五金表面经防锈处理，符合国家标准要求。</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（4）脚垫：底部安装塑料脚垫，软性防滑，采用无毒材质，符合国家标准要求。</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（5）标识铭牌：可拆卸，方便换取名字标识，采用无毒PP塑料材质，不易开裂，符合国家标准要求。</w:t>
            </w:r>
          </w:p>
        </w:tc>
      </w:tr>
      <w:tr>
        <w:tblPrEx>
          <w:tblW w:w="5000" w:type="pct"/>
          <w:tblInd w:w="-1041" w:type="dxa"/>
          <w:tblLayout w:type="fixed"/>
          <w:tblCellMar>
            <w:top w:w="0" w:type="dxa"/>
            <w:left w:w="108" w:type="dxa"/>
            <w:bottom w:w="0" w:type="dxa"/>
            <w:right w:w="108" w:type="dxa"/>
          </w:tblCellMar>
        </w:tblPrEx>
        <w:trPr>
          <w:trHeight w:val="618"/>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sz w:val="21"/>
                <w:szCs w:val="21"/>
              </w:rPr>
              <w:t>（6）棱角及边缘：倒圆或倒角处理，安全防撞设计。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191</w:t>
            </w:r>
          </w:p>
        </w:tc>
        <w:tc>
          <w:tcPr>
            <w:tcW w:w="1815" w:type="dxa"/>
            <w:vMerge w:val="restart"/>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幼儿床</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规格：L140xW60xH17cm （±2cm）</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（1）叠加卡扣配件设计，安全不易跌落。</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（2）活动床可堆叠构造，节省空间。</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1133"/>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（1）边框采用厚度18mm（±1mm）的桦木纹饰面橡胶木拼板，床板采用厚度≥8mm的白色饰面实木多层板，脚柱采用橡胶木原木，材质厚实坚固，纹理均匀细致。床内空尺寸：1342x540mm（±2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，床板增加安全透气孔，床板两段拼接；床板离地高度110mm（±2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(含脚垫),扶手上边沿离床板面最大高度60mm（±2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。最小高度40mm（±2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（2）脚柱：脚柱顶部配装浅咖色的塑料堆叠装饰盖呈扇形，尺寸：L58.5xW48.5xH18mm（±2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，盖子上有直径20mm（±2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高7mm（±2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的卡扣位置；配合床脚底部的浅咖色的塑料防滑脚垫，Φ19xH6.4mm（±2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,堆叠时脚垫置于堆叠盖凹孔位置，牢固不走位。</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（3）木蜡油：采用水性木蜡油封边，分子机构细小，成膜牢固，密封性好。</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192</w:t>
            </w:r>
          </w:p>
        </w:tc>
        <w:tc>
          <w:tcPr>
            <w:tcW w:w="1815" w:type="dxa"/>
            <w:vMerge w:val="restart"/>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床托</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规格：L146xW66xH15cm (±2cm)</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（1）与通用叠床搭配使用，便于多张叠床的搬移。</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（2）铁质表面采用静电粉末喷涂工艺，圆润光滑，防腐抗锈。</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（1）采用厚度18mm（±1mm）的实木多层板；框架采用冷轧铁艺，表面采用静电粉末喷涂工艺。</w:t>
            </w:r>
          </w:p>
        </w:tc>
      </w:tr>
      <w:tr>
        <w:tblPrEx>
          <w:tblW w:w="5000" w:type="pct"/>
          <w:tblInd w:w="-1041" w:type="dxa"/>
          <w:tblLayout w:type="fixed"/>
          <w:tblCellMar>
            <w:top w:w="0" w:type="dxa"/>
            <w:left w:w="108" w:type="dxa"/>
            <w:bottom w:w="0" w:type="dxa"/>
            <w:right w:w="108" w:type="dxa"/>
          </w:tblCellMar>
        </w:tblPrEx>
        <w:trPr>
          <w:trHeight w:val="1133"/>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（2）放置内空为：1418x612mm（±2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；2根L1450xW20xH40mm（±2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（壁厚2.0mm）卡其色镀锌方管；推车四周增加三角卡扣，尺寸为高50mm（±2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，长度100mm（±2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；底部安装</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4个高度为80mm（±2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的平底万向带刹车脚轮，脚轮运行平稳无声，可360°旋转，转动顺滑，刹车灵敏，踏板不易断裂。</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（3）油漆：采用水性漆，全封闭涂装工艺，漆面光泽高透，颜色均匀。</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193</w:t>
            </w:r>
          </w:p>
        </w:tc>
        <w:tc>
          <w:tcPr>
            <w:tcW w:w="1815" w:type="dxa"/>
            <w:vMerge w:val="restart"/>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原木拱桥椅</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规格：L30xW30xH50cm</w:t>
            </w:r>
            <w:r>
              <w:rPr>
                <w:rFonts w:ascii="宋体" w:eastAsia="宋体" w:hAnsi="宋体" w:cs="宋体" w:hint="eastAsia"/>
                <w:color w:val="000000"/>
                <w:sz w:val="21"/>
                <w:szCs w:val="21"/>
                <w:lang w:eastAsia="zh-CN" w:bidi="ar"/>
              </w:rPr>
              <w:t>(座高25cm）</w:t>
            </w:r>
            <w:r>
              <w:rPr>
                <w:rFonts w:ascii="宋体" w:eastAsia="宋体" w:hAnsi="宋体" w:cs="宋体" w:hint="eastAsia"/>
                <w:color w:val="000000"/>
                <w:sz w:val="21"/>
                <w:szCs w:val="21"/>
                <w:lang w:bidi="ar"/>
              </w:rPr>
              <w:t>（±2cm）</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（1）整体为工字框架，拆装结构，使用木梢做榫孔定位加固安装，使用二合一、自攻丝进行连接，组搭安装便捷。</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（2）背板拱桥元素造型、圆孔提手设计，兼具美观与实用。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（1）座板：采用厚度12mm（±2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的实木多层板双贴橡胶木纹皮；座高:250mm（±2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；座深:270mm（±2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；座宽:290mm（±2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（2）椅背：采用厚度18mm(±</w:t>
            </w:r>
            <w:r>
              <w:rPr>
                <w:rFonts w:ascii="宋体" w:eastAsia="宋体" w:hAnsi="宋体" w:cs="宋体" w:hint="eastAsia"/>
                <w:color w:val="000000"/>
                <w:sz w:val="21"/>
                <w:szCs w:val="21"/>
                <w:lang w:eastAsia="zh-CN" w:bidi="ar"/>
              </w:rPr>
              <w:t>1m</w:t>
            </w:r>
            <w:r>
              <w:rPr>
                <w:rFonts w:ascii="宋体" w:eastAsia="宋体" w:hAnsi="宋体" w:cs="宋体" w:hint="eastAsia"/>
                <w:color w:val="000000"/>
                <w:sz w:val="21"/>
                <w:szCs w:val="21"/>
                <w:lang w:bidi="ar"/>
              </w:rPr>
              <w:t>m)的饰面实木多层板双贴橡胶木纹皮，顶部为原木色木拱桥造型，中间椭圆提手孔设计手提便携。</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（3）椅脚：椅脚厚度22mm（±2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、其余框架厚度18mm（±2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的橡胶木拼板，底部安装塑料脚垫，高度为H6.5mm（±2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m)，直径19mm（±2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FFFFFF"/>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（4）产品整体采用水性漆，全封闭涂装工艺，漆面光泽高透，颜色均匀，附着能力强，通透度高。座板及靠背采用水性木蜡油封边，成分天然，分子机构细小，成膜牢固，密封性好。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194</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w:t>
            </w:r>
            <w:r>
              <w:rPr>
                <w:rFonts w:ascii="宋体" w:eastAsia="宋体" w:hAnsi="宋体" w:cs="宋体" w:hint="eastAsia"/>
                <w:color w:val="000000"/>
                <w:sz w:val="21"/>
                <w:szCs w:val="21"/>
                <w:lang w:bidi="ar"/>
              </w:rPr>
              <w:t>6</w:t>
            </w:r>
            <w:r>
              <w:rPr>
                <w:rFonts w:ascii="宋体" w:eastAsia="宋体" w:hAnsi="宋体" w:cs="宋体" w:hint="eastAsia"/>
                <w:color w:val="000000"/>
                <w:sz w:val="21"/>
                <w:szCs w:val="21"/>
                <w:lang w:bidi="ar"/>
              </w:rPr>
              <w:t>人桌</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规格：L120xW60xH55cm(±2cm)</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R30mm(±1mm)圆角/圆边处理以及安全防撞设计，最大程度的避免儿童磕碰伤害，结构稳固。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（1）桌面：采用厚度30mm(±1mm)的橡胶木拼板搭配防火板贴面加工而成，耐刮耐磨，长时间使用不褪色、不容易开裂；长立水尺寸：L1062xW60xH18mm（±2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，短立水尺寸：L462xW60xH18mm（±2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w:t>
            </w:r>
            <w:r>
              <w:rPr>
                <w:rFonts w:ascii="宋体" w:eastAsia="宋体" w:hAnsi="宋体" w:cs="宋体" w:hint="eastAsia"/>
                <w:color w:val="000000"/>
                <w:sz w:val="21"/>
                <w:szCs w:val="21"/>
                <w:lang w:eastAsia="zh-CN" w:bidi="ar"/>
              </w:rPr>
              <w:t>用</w:t>
            </w:r>
            <w:r>
              <w:rPr>
                <w:rFonts w:ascii="宋体" w:eastAsia="宋体" w:hAnsi="宋体" w:cs="宋体" w:hint="eastAsia"/>
                <w:color w:val="000000"/>
                <w:sz w:val="21"/>
                <w:szCs w:val="21"/>
                <w:lang w:bidi="ar"/>
              </w:rPr>
              <w:t>橡胶木实木，厚实纹路清晰，尺寸为48x48mm(±1mm)，边沿均采用圆边处理（外侧边</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R25mm,其他三边</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（3）产品整体采用水性漆，全封闭涂装工艺，漆面光泽高透，颜色均匀，附着能力强，通透度高。桌面封边采用的水性木蜡油封边，成分天然，分子机构细小，成膜牢固，密封性好。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195</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w:t>
            </w:r>
            <w:r>
              <w:rPr>
                <w:rFonts w:ascii="宋体" w:eastAsia="宋体" w:hAnsi="宋体" w:cs="宋体" w:hint="eastAsia"/>
                <w:color w:val="000000"/>
                <w:sz w:val="21"/>
                <w:szCs w:val="21"/>
                <w:lang w:bidi="ar"/>
              </w:rPr>
              <w:t>层分类书柜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规格：L90xW30xH121cm (±2cm)</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（1）4层分类多方式收纳书架，能适用多种书籍的摆放。</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（2）顶部白板可擦写，能方便标签分类。</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（1）柜体采用厚度16mm(±2mm)的桦木纹/乳白色的双饰面浸渍胶膜纸饰面刨花板，及厚度18mm(±2mm)的乳白色的双饰面浸渍胶膜纸饰面实木多层板。顶部(白色挡板位置)。</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（2）围脚：底部安装塑料脚垫，高度为H10mm(±2mm)，直径17mm(±2mm)，软性防滑，可有效保护地面刮花并降低噪音。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（3）封边条：采用厚度不低于1.5mmPVC封边条，表面光滑平整，无毒，封边细腻硬度高，线条均匀，转角过渡自然，无脱胶，表面光滑平整无胶渍。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196</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原木</w:t>
            </w:r>
            <w:r>
              <w:rPr>
                <w:rFonts w:ascii="宋体" w:eastAsia="宋体" w:hAnsi="宋体" w:cs="宋体" w:hint="eastAsia"/>
                <w:color w:val="000000"/>
                <w:sz w:val="21"/>
                <w:szCs w:val="21"/>
                <w:lang w:bidi="ar"/>
              </w:rPr>
              <w:t>6</w:t>
            </w:r>
            <w:r>
              <w:rPr>
                <w:rFonts w:ascii="宋体" w:eastAsia="宋体" w:hAnsi="宋体" w:cs="宋体" w:hint="eastAsia"/>
                <w:color w:val="000000"/>
                <w:sz w:val="21"/>
                <w:szCs w:val="21"/>
                <w:lang w:bidi="ar"/>
              </w:rPr>
              <w:t>人桌</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规格：L120xW60xH55cm(±2cm)</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1、工艺设计：</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（1）采用立水工艺，结构支撑性强，防止桌面下沉。</w:t>
            </w:r>
          </w:p>
        </w:tc>
      </w:tr>
      <w:tr>
        <w:tblPrEx>
          <w:tblW w:w="5000" w:type="pct"/>
          <w:tblInd w:w="-1041" w:type="dxa"/>
          <w:tblLayout w:type="fixed"/>
          <w:tblCellMar>
            <w:top w:w="0" w:type="dxa"/>
            <w:left w:w="108" w:type="dxa"/>
            <w:bottom w:w="0" w:type="dxa"/>
            <w:right w:w="108" w:type="dxa"/>
          </w:tblCellMar>
        </w:tblPrEx>
        <w:trPr>
          <w:trHeight w:val="57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（2）所有螺丝位无毛刺不刮手，桌角及边沿采用</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R30mm圆角/圆边处理以及安全防撞设计，最大程度的避免儿童磕碰伤害，结构稳固。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441"/>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2、外观结构及材质：</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（1）桌面：采用厚度30mm(±1mm)的橡胶木拼板搭配防火板贴面加工而成，耐刮耐磨，长时间使用不褪色、不容易开裂；长立水尺寸：L1062xW60xH18mm（±2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，短立水尺寸：L462xW60xH18mm（±2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（2）桌脚：采橡胶木实木，厚实纹路清晰，尺寸为48x48mm(±1mm)，边沿均采用圆边处理（外侧边</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R25mm,其他三边</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R10mm）；底部安装塑料脚垫，软性防滑，可有效保护地面刮花并降低噪音。</w:t>
            </w:r>
          </w:p>
        </w:tc>
      </w:tr>
      <w:tr>
        <w:tblPrEx>
          <w:tblW w:w="5000" w:type="pct"/>
          <w:tblInd w:w="-1041" w:type="dxa"/>
          <w:tblLayout w:type="fixed"/>
          <w:tblCellMar>
            <w:top w:w="0" w:type="dxa"/>
            <w:left w:w="108" w:type="dxa"/>
            <w:bottom w:w="0" w:type="dxa"/>
            <w:right w:w="108" w:type="dxa"/>
          </w:tblCellMar>
        </w:tblPrEx>
        <w:trPr>
          <w:trHeight w:val="85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（3）产品整体采用水性漆，全封闭涂装工艺，漆面光泽高透，颜色均匀，附着能力强，通透度高。桌面封边采用水性木蜡油封边，成分天然，分子机构细小，成膜牢固，密封性好。</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197</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书桌储物柜1</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1、规格：L154*W50*H200（±10cm）*2</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198</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书桌储物柜2</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1、规格：L129*W50*H200（±10cm）*3</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199</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书桌储物柜3</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1、规格：L148*W50*H200（±10cm）*3</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200</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书桌储物柜4</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1、规格：L145*W50*H200（±10cm）*2</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2、基材:柜体采用厚度16mm（±5mm）的</w:t>
            </w:r>
            <w:bookmarkStart w:id="17" w:name="OLE_LINK7"/>
            <w:bookmarkStart w:id="18" w:name="OLE_LINK6"/>
            <w:r>
              <w:rPr>
                <w:rFonts w:ascii="宋体" w:eastAsia="宋体" w:hAnsi="宋体" w:cs="宋体" w:hint="eastAsia"/>
                <w:sz w:val="21"/>
                <w:szCs w:val="21"/>
                <w:lang w:eastAsia="zh-CN"/>
              </w:rPr>
              <w:t>≥</w:t>
            </w:r>
            <w:r>
              <w:rPr>
                <w:rFonts w:ascii="宋体" w:eastAsia="宋体" w:hAnsi="宋体" w:cs="宋体" w:hint="eastAsia"/>
                <w:color w:val="000000"/>
                <w:sz w:val="21"/>
                <w:szCs w:val="21"/>
                <w:lang w:bidi="ar"/>
              </w:rPr>
              <w:t>EO</w:t>
            </w:r>
            <w:bookmarkEnd w:id="17"/>
            <w:bookmarkEnd w:id="18"/>
            <w:r>
              <w:rPr>
                <w:rFonts w:ascii="宋体" w:eastAsia="宋体" w:hAnsi="宋体" w:cs="宋体" w:hint="eastAsia"/>
                <w:color w:val="000000"/>
                <w:sz w:val="21"/>
                <w:szCs w:val="21"/>
                <w:lang w:bidi="ar"/>
              </w:rPr>
              <w:t>级实木多层板，板材甲醛释放量≤0.05mg/m3，外观质量、理化性能等符合国家标准。</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3、饰面：采用三聚氰胺纸饰面；</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4、封边条：采用PVC封边条，表面光滑平整，封边细腻硬度高，线条均匀，转角过渡自然，无脱胶，表面光滑平整无胶渍。</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5、五金件：采用五金，防腐抗锈，经中性盐雾测试无生锈、无气泡、无粉化等腐蚀现象。</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201</w:t>
            </w:r>
          </w:p>
        </w:tc>
        <w:tc>
          <w:tcPr>
            <w:tcW w:w="181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办公椅</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1、规格：L47xW46.5xH73cm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eastAsia="zh-CN" w:bidi="ar"/>
              </w:rPr>
              <w:t>坐高41cm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（±2cm）</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2、工艺设计：</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（1）椅子整体由多轴CNC一次加工完成材料切割、一体成型，无须拼接，线条流畅。</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（2）几何图形挖孔设计，手提叠放轻松方便。</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（3）座板前高后低倾角设计，靠背弧形贴合腰背，适应人体曲线，符合人体力学，呵护儿童脊椎发育，孩子久坐不累。</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（4）所有螺丝位无毛刺不刮手，边角采用圆边/圆角处理以及安全防撞设计，最大程度的避免儿童磕碰伤害，结构稳固。</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3、外观结构及材质：</w:t>
            </w:r>
          </w:p>
        </w:tc>
      </w:tr>
      <w:tr>
        <w:tblPrEx>
          <w:tblW w:w="5000" w:type="pct"/>
          <w:tblInd w:w="-1041" w:type="dxa"/>
          <w:tblLayout w:type="fixed"/>
          <w:tblCellMar>
            <w:top w:w="0" w:type="dxa"/>
            <w:left w:w="108" w:type="dxa"/>
            <w:bottom w:w="0" w:type="dxa"/>
            <w:right w:w="108" w:type="dxa"/>
          </w:tblCellMar>
        </w:tblPrEx>
        <w:trPr>
          <w:trHeight w:val="113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（1）采用厚度≥15mm的实木多层板（弯板），椅子座高：410mm（±2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，座宽：420~425mm（±2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。座板底部与支撑脚弯曲处安装V型加固角码，角码采用塑料，打磨圆滑，尺寸为L127xW95xH27m</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（±2</w:t>
            </w:r>
            <w:r>
              <w:rPr>
                <w:rFonts w:ascii="宋体" w:eastAsia="宋体" w:hAnsi="宋体" w:cs="宋体" w:hint="eastAsia"/>
                <w:color w:val="000000"/>
                <w:sz w:val="21"/>
                <w:szCs w:val="21"/>
                <w:lang w:eastAsia="zh-CN" w:bidi="ar"/>
              </w:rPr>
              <w:t>m</w:t>
            </w:r>
            <w:r>
              <w:rPr>
                <w:rFonts w:ascii="宋体" w:eastAsia="宋体" w:hAnsi="宋体" w:cs="宋体" w:hint="eastAsia"/>
                <w:color w:val="000000"/>
                <w:sz w:val="21"/>
                <w:szCs w:val="21"/>
                <w:lang w:bidi="ar"/>
              </w:rPr>
              <w:t>m</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呈浅咖色，更好的还原自然原木色，有效增加支撑脚牢固强度。</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（2）椅脚与座板弧形相连一体成型，底部使用塑料脚套包裹，尺寸为41.8x18x42.8mm(±2mm)，加厚耐磨，防滑不易脱落，可有效保护地面刮花并降低噪音。</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（3）靠背圆矩形挖孔设计，靠背高度34cm(±2cm)手提叠放轻松方便。</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202</w:t>
            </w:r>
          </w:p>
        </w:tc>
        <w:tc>
          <w:tcPr>
            <w:tcW w:w="1815" w:type="dxa"/>
            <w:vMerge w:val="restart"/>
            <w:tcBorders>
              <w:top w:val="single" w:sz="4" w:space="0" w:color="000000"/>
              <w:left w:val="single" w:sz="4" w:space="0" w:color="000000"/>
              <w:bottom w:val="single" w:sz="4" w:space="0" w:color="000000"/>
              <w:right w:val="single" w:sz="4" w:space="0" w:color="000000"/>
            </w:tcBorders>
            <w:noWrap w:val="0"/>
            <w:vAlign w:val="center"/>
          </w:tcPr>
          <w:p>
            <w:pPr>
              <w:widowControl/>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储物柜</w:t>
            </w: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1、规格：L119*W40*H130cm（±10cm）</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2、基材：采用橡胶木实木，木质坚硬稳定性强，木材含水率、气干密度符合国家标准；</w:t>
            </w:r>
          </w:p>
        </w:tc>
      </w:tr>
      <w:tr>
        <w:tblPrEx>
          <w:tblW w:w="5000" w:type="pct"/>
          <w:tblInd w:w="-1041" w:type="dxa"/>
          <w:tblLayout w:type="fixed"/>
          <w:tblCellMar>
            <w:top w:w="0" w:type="dxa"/>
            <w:left w:w="108" w:type="dxa"/>
            <w:bottom w:w="0" w:type="dxa"/>
            <w:right w:w="108" w:type="dxa"/>
          </w:tblCellMar>
        </w:tblPrEx>
        <w:trPr>
          <w:trHeight w:val="603"/>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3、油漆：采用水性漆，经多道工序打磨、喷漆、漆膜平滑，漆膜硬度高，通透性好，实木纹理清晰；</w:t>
            </w:r>
          </w:p>
        </w:tc>
      </w:tr>
      <w:tr>
        <w:tblPrEx>
          <w:tblW w:w="5000" w:type="pct"/>
          <w:tblInd w:w="-1041" w:type="dxa"/>
          <w:tblLayout w:type="fixed"/>
          <w:tblCellMar>
            <w:top w:w="0" w:type="dxa"/>
            <w:left w:w="108" w:type="dxa"/>
            <w:bottom w:w="0" w:type="dxa"/>
            <w:right w:w="108" w:type="dxa"/>
          </w:tblCellMar>
        </w:tblPrEx>
        <w:trPr>
          <w:trHeight w:val="612"/>
        </w:trPr>
        <w:tc>
          <w:tcPr>
            <w:tcW w:w="645" w:type="dxa"/>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815" w:type="dxa"/>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8153" w:type="dxa"/>
            <w:tcBorders>
              <w:top w:val="single" w:sz="4" w:space="0" w:color="000000"/>
              <w:left w:val="single" w:sz="4" w:space="0" w:color="000000"/>
              <w:bottom w:val="single" w:sz="4" w:space="0" w:color="000000"/>
              <w:right w:val="single" w:sz="4" w:space="0" w:color="000000"/>
            </w:tcBorders>
            <w:noWrap w:val="0"/>
            <w:vAlign w:val="center"/>
          </w:tcPr>
          <w:p>
            <w:pPr>
              <w:widowControl/>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4、五金件：采用五金，防腐抗锈，经中性盐雾测试无生锈、无气泡、无粉化等腐蚀现象。</w:t>
            </w:r>
          </w:p>
        </w:tc>
      </w:tr>
    </w:tbl>
    <w:p>
      <w:pPr>
        <w:widowControl w:val="0"/>
        <w:jc w:val="both"/>
        <w:rPr>
          <w:rFonts w:ascii="Calibri" w:eastAsia="宋体" w:hAnsi="Calibri"/>
          <w:bCs/>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highlight w:val="yellow"/>
          <w:lang w:eastAsia="zh-CN"/>
        </w:rPr>
      </w:pPr>
      <w:r>
        <w:rPr>
          <w:rFonts w:ascii="宋体" w:eastAsia="宋体" w:hAnsi="宋体" w:cstheme="minorBidi" w:hint="eastAsia"/>
          <w:b/>
          <w:bCs/>
          <w:kern w:val="2"/>
          <w:sz w:val="28"/>
          <w:szCs w:val="28"/>
          <w:lang w:eastAsia="zh-CN"/>
        </w:rPr>
        <w:t>六、样品清单</w:t>
      </w:r>
    </w:p>
    <w:tbl>
      <w:tblPr>
        <w:tblStyle w:val="TableNormal"/>
        <w:tblW w:w="5000" w:type="pct"/>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10"/>
        <w:gridCol w:w="1070"/>
        <w:gridCol w:w="598"/>
        <w:gridCol w:w="533"/>
        <w:gridCol w:w="896"/>
        <w:gridCol w:w="5149"/>
      </w:tblGrid>
      <w:tr>
        <w:tblPrEx>
          <w:tblW w:w="5000" w:type="pct"/>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9"/>
        </w:trPr>
        <w:tc>
          <w:tcPr>
            <w:tcW w:w="700" w:type="dxa"/>
            <w:noWrap w:val="0"/>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272" w:type="dxa"/>
            <w:noWrap w:val="0"/>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名称</w:t>
            </w:r>
          </w:p>
        </w:tc>
        <w:tc>
          <w:tcPr>
            <w:tcW w:w="686" w:type="dxa"/>
            <w:noWrap w:val="0"/>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数量</w:t>
            </w:r>
          </w:p>
        </w:tc>
        <w:tc>
          <w:tcPr>
            <w:tcW w:w="605" w:type="dxa"/>
            <w:noWrap w:val="0"/>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单位</w:t>
            </w:r>
          </w:p>
        </w:tc>
        <w:tc>
          <w:tcPr>
            <w:tcW w:w="1056" w:type="dxa"/>
            <w:noWrap w:val="0"/>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规格</w:t>
            </w:r>
          </w:p>
        </w:tc>
        <w:tc>
          <w:tcPr>
            <w:tcW w:w="6339" w:type="dxa"/>
            <w:noWrap w:val="0"/>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材质及其他技术要求</w:t>
            </w:r>
          </w:p>
        </w:tc>
      </w:tr>
      <w:tr>
        <w:tblPrEx>
          <w:tblW w:w="5000" w:type="pct"/>
          <w:tblInd w:w="-1051" w:type="dxa"/>
          <w:tblLayout w:type="fixed"/>
          <w:tblCellMar>
            <w:top w:w="0" w:type="dxa"/>
            <w:left w:w="108" w:type="dxa"/>
            <w:bottom w:w="0" w:type="dxa"/>
            <w:right w:w="108" w:type="dxa"/>
          </w:tblCellMar>
        </w:tblPrEx>
        <w:trPr>
          <w:trHeight w:val="6493"/>
        </w:trPr>
        <w:tc>
          <w:tcPr>
            <w:tcW w:w="700"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1</w:t>
            </w:r>
          </w:p>
        </w:tc>
        <w:tc>
          <w:tcPr>
            <w:tcW w:w="1272"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原木5格分区矮柜.可拆黑白板</w:t>
            </w:r>
          </w:p>
        </w:tc>
        <w:tc>
          <w:tcPr>
            <w:tcW w:w="686"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1</w:t>
            </w:r>
          </w:p>
        </w:tc>
        <w:tc>
          <w:tcPr>
            <w:tcW w:w="605"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个</w:t>
            </w:r>
          </w:p>
        </w:tc>
        <w:tc>
          <w:tcPr>
            <w:tcW w:w="1056"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L91.5xW31xH59cm（</w:t>
            </w:r>
            <w:r>
              <w:rPr>
                <w:rFonts w:ascii="宋体" w:eastAsia="宋体" w:hAnsi="宋体" w:cs="宋体" w:hint="eastAsia"/>
                <w:color w:val="000000"/>
                <w:sz w:val="21"/>
                <w:szCs w:val="21"/>
                <w:lang w:bidi="ar"/>
              </w:rPr>
              <w:t>±1cm</w:t>
            </w:r>
            <w:r>
              <w:rPr>
                <w:rFonts w:ascii="宋体" w:eastAsia="宋体" w:hAnsi="宋体" w:cs="宋体" w:hint="eastAsia"/>
                <w:sz w:val="21"/>
                <w:szCs w:val="21"/>
              </w:rPr>
              <w:t>）</w:t>
            </w:r>
          </w:p>
        </w:tc>
        <w:tc>
          <w:tcPr>
            <w:tcW w:w="6339" w:type="dxa"/>
            <w:noWrap w:val="0"/>
            <w:vAlign w:val="top"/>
          </w:tcPr>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1、功能设计：</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1）采用翻板活动轮工艺，当家具固定时，围脚侧板向下翻，万向轮则隐藏于侧板内；当家具需要移动时，围脚侧板向上翻，塑料连接件卡扣对侧板进行固定，万向轮支撑起家具的重量，无须抬起轻松实现家具位置转移。</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（2）背板链接处使用塑料扣件可随意切换黑白背板。</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（3）柜面教具盒带有扣件，不影响柜子靠墙面使用，稳固不易掉落。分类卡件可根据不同区角场景变化布置相应材料，自由分配空间，灵活多变。</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2、外观结构：</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（1）柜体：上层两个格子，下层三个格子。</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（2）背板：尺寸≥895x500x14mm（±2mm）注塑封边黑白板，注塑封边紧固不易脱落；黑白板使用背板扣件实现固定，塑料扣件尺寸分别为≥80x65x60.5mm（±2mm）与≥80x61x15mm（±2mm）。</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3）围脚：底部围脚与柜体链接采用4个塑料一体成型2合1连接件，大链接件呈倒“Z"形状，实现翻板功能之余还能减少侧板与地面之前的摩擦，尺寸≥L76.5xW70mm（±2mm），小扣件呈“一”形状，尺寸≥L69xW36mm（±2mm），与大扣件内嵌入一个内圆实现翻转；围板内侧安装4个2寸静音万向轮脚轮。</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（4）配套：柜面增加收纳教具篮，教具篮为塑料一体成型带扣件，尺寸为≥L439xW305xH88mm（±2mm）,单侧扣件设计，可堆叠；搭配塑料活动分类卡件，尺寸为：≥L317xW30xH61mm（±2mm）。</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3、材质用料：</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（1）基材：柜体采用厚度≥16mm（±2mm）的橡胶木拼板，围脚采用厚度≥18mm（±2mm）的橡胶木拼板。</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（2）油漆：采用的水性漆，全封闭涂装工艺，漆面光泽高透。</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（3）五金件：采用五金。</w:t>
            </w:r>
          </w:p>
          <w:p>
            <w:pPr>
              <w:widowControl/>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（4）塑料连接件：采用塑料。</w:t>
            </w:r>
          </w:p>
          <w:p>
            <w:pPr>
              <w:widowControl/>
              <w:textAlignment w:val="center"/>
              <w:rPr>
                <w:rFonts w:ascii="宋体" w:eastAsia="宋体" w:hAnsi="宋体" w:cs="宋体" w:hint="eastAsia"/>
                <w:sz w:val="21"/>
                <w:szCs w:val="21"/>
              </w:rPr>
            </w:pPr>
            <w:r>
              <w:rPr>
                <w:rFonts w:ascii="宋体" w:eastAsia="宋体" w:hAnsi="宋体" w:cs="宋体" w:hint="eastAsia"/>
                <w:color w:val="000000"/>
                <w:sz w:val="21"/>
                <w:szCs w:val="21"/>
                <w:lang w:bidi="ar"/>
              </w:rPr>
              <w:t>（5）脚轮：2寸TPR（±2mm）静音万向轮。</w:t>
            </w:r>
          </w:p>
        </w:tc>
      </w:tr>
    </w:tbl>
    <w:p>
      <w:pPr>
        <w:spacing w:before="60" w:beforeLines="25" w:after="60" w:afterLines="25" w:line="360" w:lineRule="auto"/>
        <w:ind w:firstLine="393" w:firstLineChars="187"/>
        <w:rPr>
          <w:rFonts w:ascii="宋体" w:hAnsi="宋体" w:cs="宋体"/>
          <w:sz w:val="21"/>
          <w:szCs w:val="21"/>
          <w:lang w:eastAsia="zh-CN" w:bidi="ar"/>
        </w:rPr>
      </w:pPr>
    </w:p>
    <w:p>
      <w:pPr>
        <w:keepNext/>
        <w:keepLines/>
        <w:widowControl w:val="0"/>
        <w:numPr>
          <w:ilvl w:val="0"/>
          <w:numId w:val="3"/>
        </w:numPr>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图纸</w:t>
      </w:r>
    </w:p>
    <w:p>
      <w:pPr>
        <w:rPr>
          <w:rFonts w:hint="eastAsia"/>
          <w:b/>
          <w:lang w:eastAsia="zh-CN"/>
        </w:rPr>
      </w:pPr>
      <w:r>
        <w:rPr>
          <w:rFonts w:hint="eastAsia"/>
          <w:b/>
        </w:rPr>
        <w:t xml:space="preserve"> </w:t>
      </w:r>
      <w:r>
        <w:rPr>
          <w:rFonts w:hint="eastAsia"/>
          <w:b/>
          <w:lang w:eastAsia="zh-CN"/>
        </w:rPr>
        <w:t>1、小班、中班、大班平面图</w:t>
      </w:r>
    </w:p>
    <w:p>
      <w:r>
        <w:drawing>
          <wp:inline distT="0" distB="0" distL="114300" distR="114300">
            <wp:extent cx="5290820" cy="5022850"/>
            <wp:effectExtent l="0" t="0" r="5080" b="635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xmlns:r="http://schemas.openxmlformats.org/officeDocument/2006/relationships" r:embed="rId4"/>
                    <a:stretch>
                      <a:fillRect/>
                    </a:stretch>
                  </pic:blipFill>
                  <pic:spPr>
                    <a:xfrm>
                      <a:off x="0" y="0"/>
                      <a:ext cx="5290820" cy="5022850"/>
                    </a:xfrm>
                    <a:prstGeom prst="rect">
                      <a:avLst/>
                    </a:prstGeom>
                    <a:noFill/>
                    <a:ln>
                      <a:noFill/>
                    </a:ln>
                  </pic:spPr>
                </pic:pic>
              </a:graphicData>
            </a:graphic>
          </wp:inline>
        </w:drawing>
      </w:r>
      <w:r>
        <w:drawing>
          <wp:inline distT="0" distB="0" distL="114300" distR="114300">
            <wp:extent cx="5481955" cy="5258435"/>
            <wp:effectExtent l="0" t="0" r="4445" b="18415"/>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xmlns:r="http://schemas.openxmlformats.org/officeDocument/2006/relationships" r:embed="rId5"/>
                    <a:stretch>
                      <a:fillRect/>
                    </a:stretch>
                  </pic:blipFill>
                  <pic:spPr>
                    <a:xfrm>
                      <a:off x="0" y="0"/>
                      <a:ext cx="5481955" cy="5258435"/>
                    </a:xfrm>
                    <a:prstGeom prst="rect">
                      <a:avLst/>
                    </a:prstGeom>
                    <a:noFill/>
                    <a:ln>
                      <a:noFill/>
                    </a:ln>
                  </pic:spPr>
                </pic:pic>
              </a:graphicData>
            </a:graphic>
          </wp:inline>
        </w:drawing>
      </w:r>
      <w:r>
        <w:drawing>
          <wp:inline distT="0" distB="0" distL="114300" distR="114300">
            <wp:extent cx="5269865" cy="5046345"/>
            <wp:effectExtent l="0" t="0" r="6985" b="1905"/>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xmlns:r="http://schemas.openxmlformats.org/officeDocument/2006/relationships" r:embed="rId6"/>
                    <a:stretch>
                      <a:fillRect/>
                    </a:stretch>
                  </pic:blipFill>
                  <pic:spPr>
                    <a:xfrm>
                      <a:off x="0" y="0"/>
                      <a:ext cx="5269865" cy="5046345"/>
                    </a:xfrm>
                    <a:prstGeom prst="rect">
                      <a:avLst/>
                    </a:prstGeom>
                    <a:noFill/>
                    <a:ln>
                      <a:noFill/>
                    </a:ln>
                  </pic:spPr>
                </pic:pic>
              </a:graphicData>
            </a:graphic>
          </wp:inline>
        </w:drawing>
      </w:r>
    </w:p>
    <w:p/>
    <w:p>
      <w:pPr>
        <w:rPr>
          <w:rFonts w:eastAsia="宋体"/>
          <w:lang w:eastAsia="zh-CN"/>
        </w:rPr>
      </w:pPr>
      <w:r>
        <w:rPr>
          <w:rFonts w:hint="eastAsia"/>
          <w:lang w:eastAsia="zh-CN"/>
        </w:rPr>
        <w:t>2、美术室平面图</w:t>
      </w:r>
    </w:p>
    <w:p>
      <w:r>
        <w:drawing>
          <wp:inline distT="0" distB="0" distL="114300" distR="114300">
            <wp:extent cx="5267960" cy="4082415"/>
            <wp:effectExtent l="0" t="0" r="8890" b="13335"/>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xmlns:r="http://schemas.openxmlformats.org/officeDocument/2006/relationships" r:embed="rId7"/>
                    <a:stretch>
                      <a:fillRect/>
                    </a:stretch>
                  </pic:blipFill>
                  <pic:spPr>
                    <a:xfrm>
                      <a:off x="0" y="0"/>
                      <a:ext cx="5267960" cy="4082415"/>
                    </a:xfrm>
                    <a:prstGeom prst="rect">
                      <a:avLst/>
                    </a:prstGeom>
                    <a:noFill/>
                    <a:ln>
                      <a:noFill/>
                    </a:ln>
                  </pic:spPr>
                </pic:pic>
              </a:graphicData>
            </a:graphic>
          </wp:inline>
        </w:drawing>
      </w:r>
    </w:p>
    <w:p/>
    <w:p>
      <w:pPr>
        <w:rPr>
          <w:rFonts w:ascii="宋体" w:hAnsi="宋体" w:cs="宋体" w:hint="eastAsia"/>
          <w:b/>
          <w:bCs/>
          <w:szCs w:val="21"/>
        </w:rPr>
      </w:pPr>
      <w:r>
        <w:rPr>
          <w:rFonts w:hint="eastAsia"/>
          <w:lang w:eastAsia="zh-CN"/>
        </w:rPr>
        <w:t>3、</w:t>
      </w:r>
      <w:r>
        <w:rPr>
          <w:rFonts w:ascii="宋体" w:hAnsi="宋体" w:cs="宋体" w:hint="eastAsia"/>
          <w:b/>
          <w:bCs/>
          <w:szCs w:val="21"/>
        </w:rPr>
        <w:t>园长办公室（2间）、副园长+安全主任办公室（1间）、</w:t>
      </w:r>
      <w:r>
        <w:rPr>
          <w:rFonts w:ascii="宋体" w:hAnsi="宋体" w:cs="宋体" w:hint="eastAsia"/>
          <w:b/>
          <w:bCs/>
          <w:szCs w:val="21"/>
          <w:lang w:eastAsia="zh-CN"/>
        </w:rPr>
        <w:t>财务室（1间）、</w:t>
      </w:r>
      <w:r>
        <w:rPr>
          <w:rFonts w:ascii="宋体" w:hAnsi="宋体" w:cs="宋体" w:hint="eastAsia"/>
          <w:b/>
          <w:bCs/>
          <w:szCs w:val="21"/>
        </w:rPr>
        <w:t>教师办公室（</w:t>
      </w:r>
      <w:r>
        <w:rPr>
          <w:rFonts w:ascii="宋体" w:hAnsi="宋体" w:cs="宋体" w:hint="eastAsia"/>
          <w:b/>
          <w:bCs/>
          <w:szCs w:val="21"/>
          <w:lang w:eastAsia="zh-CN"/>
        </w:rPr>
        <w:t>2</w:t>
      </w:r>
      <w:r>
        <w:rPr>
          <w:rFonts w:ascii="宋体" w:hAnsi="宋体" w:cs="宋体" w:hint="eastAsia"/>
          <w:b/>
          <w:bCs/>
          <w:szCs w:val="21"/>
        </w:rPr>
        <w:t>间）、保健室（1间）、会议室（1间）</w:t>
      </w:r>
    </w:p>
    <w:p>
      <w:pPr>
        <w:rPr>
          <w:rFonts w:ascii="宋体" w:hAnsi="宋体" w:cs="宋体" w:hint="eastAsia"/>
          <w:b/>
          <w:bCs/>
          <w:szCs w:val="21"/>
        </w:rPr>
      </w:pPr>
      <w:r>
        <w:drawing>
          <wp:inline distT="0" distB="0" distL="114300" distR="114300">
            <wp:extent cx="2799080" cy="3872865"/>
            <wp:effectExtent l="0" t="0" r="1270" b="1333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xmlns:r="http://schemas.openxmlformats.org/officeDocument/2006/relationships" r:embed="rId8"/>
                    <a:stretch>
                      <a:fillRect/>
                    </a:stretch>
                  </pic:blipFill>
                  <pic:spPr>
                    <a:xfrm>
                      <a:off x="0" y="0"/>
                      <a:ext cx="2799080" cy="3872865"/>
                    </a:xfrm>
                    <a:prstGeom prst="rect">
                      <a:avLst/>
                    </a:prstGeom>
                    <a:noFill/>
                    <a:ln>
                      <a:noFill/>
                    </a:ln>
                  </pic:spPr>
                </pic:pic>
              </a:graphicData>
            </a:graphic>
          </wp:inline>
        </w:drawing>
      </w:r>
    </w:p>
    <w:p>
      <w:r>
        <w:drawing>
          <wp:inline distT="0" distB="0" distL="114300" distR="114300">
            <wp:extent cx="3317875" cy="3804920"/>
            <wp:effectExtent l="0" t="0" r="15875" b="5080"/>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xmlns:r="http://schemas.openxmlformats.org/officeDocument/2006/relationships" r:embed="rId9"/>
                    <a:stretch>
                      <a:fillRect/>
                    </a:stretch>
                  </pic:blipFill>
                  <pic:spPr>
                    <a:xfrm>
                      <a:off x="0" y="0"/>
                      <a:ext cx="3317875" cy="3804920"/>
                    </a:xfrm>
                    <a:prstGeom prst="rect">
                      <a:avLst/>
                    </a:prstGeom>
                    <a:noFill/>
                    <a:ln>
                      <a:noFill/>
                    </a:ln>
                  </pic:spPr>
                </pic:pic>
              </a:graphicData>
            </a:graphic>
          </wp:inline>
        </w:drawing>
      </w:r>
      <w:r>
        <w:drawing>
          <wp:inline distT="0" distB="0" distL="114300" distR="114300">
            <wp:extent cx="4363085" cy="3556635"/>
            <wp:effectExtent l="0" t="0" r="18415" b="571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xmlns:r="http://schemas.openxmlformats.org/officeDocument/2006/relationships" r:embed="rId10"/>
                    <a:stretch>
                      <a:fillRect/>
                    </a:stretch>
                  </pic:blipFill>
                  <pic:spPr>
                    <a:xfrm>
                      <a:off x="0" y="0"/>
                      <a:ext cx="4363085" cy="3556635"/>
                    </a:xfrm>
                    <a:prstGeom prst="rect">
                      <a:avLst/>
                    </a:prstGeom>
                    <a:noFill/>
                    <a:ln>
                      <a:noFill/>
                    </a:ln>
                  </pic:spPr>
                </pic:pic>
              </a:graphicData>
            </a:graphic>
          </wp:inline>
        </w:drawing>
      </w:r>
      <w:r>
        <w:drawing>
          <wp:inline distT="0" distB="0" distL="114300" distR="114300">
            <wp:extent cx="3314700" cy="4566285"/>
            <wp:effectExtent l="0" t="0" r="0" b="571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xmlns:r="http://schemas.openxmlformats.org/officeDocument/2006/relationships" r:embed="rId11"/>
                    <a:stretch>
                      <a:fillRect/>
                    </a:stretch>
                  </pic:blipFill>
                  <pic:spPr>
                    <a:xfrm>
                      <a:off x="0" y="0"/>
                      <a:ext cx="3314700" cy="4566285"/>
                    </a:xfrm>
                    <a:prstGeom prst="rect">
                      <a:avLst/>
                    </a:prstGeom>
                    <a:noFill/>
                    <a:ln>
                      <a:noFill/>
                    </a:ln>
                  </pic:spPr>
                </pic:pic>
              </a:graphicData>
            </a:graphic>
          </wp:inline>
        </w:drawing>
      </w:r>
      <w:r>
        <w:drawing>
          <wp:inline distT="0" distB="0" distL="114300" distR="114300">
            <wp:extent cx="5261610" cy="3205480"/>
            <wp:effectExtent l="0" t="0" r="15240" b="1397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xmlns:r="http://schemas.openxmlformats.org/officeDocument/2006/relationships" r:embed="rId12"/>
                    <a:stretch>
                      <a:fillRect/>
                    </a:stretch>
                  </pic:blipFill>
                  <pic:spPr>
                    <a:xfrm>
                      <a:off x="0" y="0"/>
                      <a:ext cx="5261610" cy="3205480"/>
                    </a:xfrm>
                    <a:prstGeom prst="rect">
                      <a:avLst/>
                    </a:prstGeom>
                    <a:noFill/>
                    <a:ln>
                      <a:noFill/>
                    </a:ln>
                  </pic:spPr>
                </pic:pic>
              </a:graphicData>
            </a:graphic>
          </wp:inline>
        </w:drawing>
      </w:r>
      <w:r>
        <w:drawing>
          <wp:inline distT="0" distB="0" distL="114300" distR="114300">
            <wp:extent cx="5270500" cy="6304915"/>
            <wp:effectExtent l="0" t="0" r="6350" b="635"/>
            <wp:docPr id="19" name="图片 10" descr="54430a92af38ad6a6331c874c0c5e4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descr="54430a92af38ad6a6331c874c0c5e42c"/>
                    <pic:cNvPicPr>
                      <a:picLocks noChangeAspect="1"/>
                    </pic:cNvPicPr>
                  </pic:nvPicPr>
                  <pic:blipFill>
                    <a:blip xmlns:r="http://schemas.openxmlformats.org/officeDocument/2006/relationships" r:embed="rId13"/>
                    <a:stretch>
                      <a:fillRect/>
                    </a:stretch>
                  </pic:blipFill>
                  <pic:spPr>
                    <a:xfrm>
                      <a:off x="0" y="0"/>
                      <a:ext cx="5270500" cy="6304915"/>
                    </a:xfrm>
                    <a:prstGeom prst="rect">
                      <a:avLst/>
                    </a:prstGeom>
                    <a:noFill/>
                    <a:ln>
                      <a:noFill/>
                    </a:ln>
                  </pic:spPr>
                </pic:pic>
              </a:graphicData>
            </a:graphic>
          </wp:inline>
        </w:drawing>
      </w:r>
      <w:r>
        <w:drawing>
          <wp:inline distT="0" distB="0" distL="114300" distR="114300">
            <wp:extent cx="5362575" cy="3352165"/>
            <wp:effectExtent l="0" t="0" r="9525" b="635"/>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xmlns:r="http://schemas.openxmlformats.org/officeDocument/2006/relationships" r:embed="rId14"/>
                    <a:stretch>
                      <a:fillRect/>
                    </a:stretch>
                  </pic:blipFill>
                  <pic:spPr>
                    <a:xfrm>
                      <a:off x="0" y="0"/>
                      <a:ext cx="5362575" cy="3352165"/>
                    </a:xfrm>
                    <a:prstGeom prst="rect">
                      <a:avLst/>
                    </a:prstGeom>
                    <a:noFill/>
                    <a:ln>
                      <a:noFill/>
                    </a:ln>
                  </pic:spPr>
                </pic:pic>
              </a:graphicData>
            </a:graphic>
          </wp:inline>
        </w:drawing>
      </w:r>
      <w:r>
        <w:drawing>
          <wp:inline distT="0" distB="0" distL="114300" distR="114300">
            <wp:extent cx="5542915" cy="3736975"/>
            <wp:effectExtent l="0" t="0" r="635" b="15875"/>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xmlns:r="http://schemas.openxmlformats.org/officeDocument/2006/relationships" r:embed="rId15">
                      <a:lum bright="-6000"/>
                    </a:blip>
                    <a:stretch>
                      <a:fillRect/>
                    </a:stretch>
                  </pic:blipFill>
                  <pic:spPr>
                    <a:xfrm>
                      <a:off x="0" y="0"/>
                      <a:ext cx="5542915" cy="3736975"/>
                    </a:xfrm>
                    <a:prstGeom prst="rect">
                      <a:avLst/>
                    </a:prstGeom>
                    <a:noFill/>
                    <a:ln>
                      <a:noFill/>
                    </a:ln>
                  </pic:spPr>
                </pic:pic>
              </a:graphicData>
            </a:graphic>
          </wp:inline>
        </w:drawing>
      </w:r>
    </w:p>
    <w:p>
      <w:pPr>
        <w:numPr>
          <w:ilvl w:val="0"/>
          <w:numId w:val="4"/>
        </w:numPr>
        <w:rPr>
          <w:rFonts w:hint="eastAsia"/>
          <w:lang w:eastAsia="zh-CN"/>
        </w:rPr>
      </w:pPr>
      <w:r>
        <w:rPr>
          <w:rFonts w:hint="eastAsia"/>
          <w:lang w:eastAsia="zh-CN"/>
        </w:rPr>
        <w:t>教职工餐厅平面图</w:t>
      </w:r>
    </w:p>
    <w:p>
      <w:pPr>
        <w:numPr>
          <w:ilvl w:val="0"/>
          <w:numId w:val="0"/>
        </w:numPr>
        <w:spacing w:line="360" w:lineRule="auto"/>
        <w:ind w:left="0" w:firstLine="0"/>
        <w:rPr>
          <w:rFonts w:hint="eastAsia"/>
          <w:b/>
          <w:bCs/>
          <w:lang w:eastAsia="zh-CN"/>
        </w:rPr>
      </w:pPr>
      <w:r>
        <w:drawing>
          <wp:inline distT="0" distB="0" distL="114300" distR="114300">
            <wp:extent cx="5269865" cy="4034155"/>
            <wp:effectExtent l="0" t="0" r="6985" b="4445"/>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xmlns:r="http://schemas.openxmlformats.org/officeDocument/2006/relationships" r:embed="rId16"/>
                    <a:stretch>
                      <a:fillRect/>
                    </a:stretch>
                  </pic:blipFill>
                  <pic:spPr>
                    <a:xfrm>
                      <a:off x="0" y="0"/>
                      <a:ext cx="5269865" cy="4034155"/>
                    </a:xfrm>
                    <a:prstGeom prst="rect">
                      <a:avLst/>
                    </a:prstGeom>
                    <a:noFill/>
                    <a:ln>
                      <a:noFill/>
                    </a:ln>
                  </pic:spPr>
                </pic:pic>
              </a:graphicData>
            </a:graphic>
          </wp:inline>
        </w:drawing>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八、付款方式（具体以合同签订为准）</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 xml:space="preserve">1、合同签订后  </w:t>
      </w:r>
      <w:r>
        <w:rPr>
          <w:rFonts w:ascii="宋体" w:hAnsi="宋体" w:cs="宋体" w:hint="eastAsia"/>
          <w:sz w:val="21"/>
          <w:szCs w:val="21"/>
          <w:lang w:eastAsia="zh-CN" w:bidi="ar"/>
        </w:rPr>
        <w:t>/</w:t>
      </w:r>
      <w:r>
        <w:rPr>
          <w:rFonts w:ascii="宋体" w:hAnsi="宋体" w:cs="宋体" w:hint="eastAsia"/>
          <w:sz w:val="21"/>
          <w:szCs w:val="21"/>
          <w:lang w:bidi="ar"/>
        </w:rPr>
        <w:t xml:space="preserve"> 个工作日内，采购人向中标供应商支付合同总价【</w:t>
      </w:r>
      <w:r>
        <w:rPr>
          <w:rFonts w:ascii="宋体" w:hAnsi="宋体" w:cs="宋体" w:hint="eastAsia"/>
          <w:sz w:val="21"/>
          <w:szCs w:val="21"/>
          <w:lang w:eastAsia="zh-CN" w:bidi="ar"/>
        </w:rPr>
        <w:t>/</w:t>
      </w:r>
      <w:r>
        <w:rPr>
          <w:rFonts w:ascii="宋体" w:hAnsi="宋体" w:cs="宋体" w:hint="eastAsia"/>
          <w:sz w:val="21"/>
          <w:szCs w:val="21"/>
          <w:lang w:bidi="ar"/>
        </w:rPr>
        <w:t>】%的款项；</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 xml:space="preserve">2、全部货物送到采购人指定地点、完成安装并验收合格后 </w:t>
      </w:r>
      <w:r>
        <w:rPr>
          <w:rFonts w:ascii="宋体" w:hAnsi="宋体" w:cs="宋体" w:hint="eastAsia"/>
          <w:sz w:val="21"/>
          <w:szCs w:val="21"/>
          <w:lang w:eastAsia="zh-CN" w:bidi="ar"/>
        </w:rPr>
        <w:t>30</w:t>
      </w:r>
      <w:r>
        <w:rPr>
          <w:rFonts w:ascii="宋体" w:hAnsi="宋体" w:cs="宋体" w:hint="eastAsia"/>
          <w:sz w:val="21"/>
          <w:szCs w:val="21"/>
          <w:lang w:bidi="ar"/>
        </w:rPr>
        <w:t xml:space="preserve"> 个工作日内，采购人向中标供应商支付合同总价【</w:t>
      </w:r>
      <w:r>
        <w:rPr>
          <w:rFonts w:ascii="宋体" w:hAnsi="宋体" w:cs="宋体" w:hint="eastAsia"/>
          <w:sz w:val="21"/>
          <w:szCs w:val="21"/>
          <w:lang w:eastAsia="zh-CN" w:bidi="ar"/>
        </w:rPr>
        <w:t>100</w:t>
      </w:r>
      <w:r>
        <w:rPr>
          <w:rFonts w:ascii="宋体" w:hAnsi="宋体" w:cs="宋体" w:hint="eastAsia"/>
          <w:sz w:val="21"/>
          <w:szCs w:val="21"/>
          <w:lang w:bidi="ar"/>
        </w:rPr>
        <w:t>】%的款项；</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九、投标报价要求</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3、投标人的投标报价不得超过财政预算限额，如设投标最高限价的，报价不得超过最高限价；</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4、投标人的投标报价，应是本项目采购范围和采购文件及合同条款上所列的各项内容中所述的全部，不得以任何理由予以重复，并以投标人在中提出的综合单价或总价为依据；</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5、除非社会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6、投标人应先到项目地点踏勘以充分了解项目的位置、情况、道路及任何其它足以影响投标报价的情况，任何因忽视或误解项目情况而导致的索赔或服务期限延长申请将不获批准；</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7、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十、注意事项</w:t>
      </w:r>
    </w:p>
    <w:p>
      <w:pPr>
        <w:ind w:firstLine="393" w:firstLineChars="187"/>
        <w:rPr>
          <w:rFonts w:ascii="宋体" w:eastAsia="宋体" w:hAnsi="宋体" w:cs="宋体" w:hint="eastAsia"/>
          <w:sz w:val="21"/>
          <w:szCs w:val="21"/>
        </w:rPr>
      </w:pPr>
      <w:r>
        <w:rPr>
          <w:rFonts w:ascii="宋体" w:eastAsia="宋体" w:hAnsi="宋体" w:cs="宋体" w:hint="eastAsia"/>
          <w:sz w:val="21"/>
          <w:szCs w:val="21"/>
        </w:rPr>
        <w:t>1、中标供应商不得将项目非法分包或转包给任何单位和个人。否则，采购单位有权即刻终止合同，并要求中标供应商赔偿相应损失。</w:t>
      </w:r>
    </w:p>
    <w:p>
      <w:pPr>
        <w:ind w:firstLine="393" w:firstLineChars="187"/>
        <w:rPr>
          <w:rFonts w:ascii="宋体" w:eastAsia="宋体" w:hAnsi="宋体" w:cs="宋体" w:hint="eastAsia"/>
          <w:sz w:val="21"/>
          <w:szCs w:val="21"/>
        </w:rPr>
      </w:pPr>
      <w:r>
        <w:rPr>
          <w:rFonts w:ascii="宋体" w:eastAsia="宋体" w:hAnsi="宋体" w:cs="宋体" w:hint="eastAsia"/>
          <w:sz w:val="21"/>
          <w:szCs w:val="21"/>
        </w:rPr>
        <w:t>2、投标人使用的标准必须是国际公认或国家、或地方政府颁布的同等或更高的标准，如投标人使用的标准低于上述标准,评审委员会将有权不予接受，投标人必须列表将明显的差异详细说明。</w:t>
      </w:r>
    </w:p>
    <w:p>
      <w:pPr>
        <w:ind w:firstLine="393" w:firstLineChars="187"/>
        <w:rPr>
          <w:rFonts w:ascii="宋体" w:eastAsia="宋体" w:hAnsi="宋体" w:cs="宋体" w:hint="eastAsia"/>
          <w:sz w:val="21"/>
          <w:szCs w:val="21"/>
        </w:rPr>
      </w:pPr>
      <w:r>
        <w:rPr>
          <w:rFonts w:ascii="宋体" w:eastAsia="宋体" w:hAnsi="宋体" w:cs="宋体" w:hint="eastAsia"/>
          <w:sz w:val="21"/>
          <w:szCs w:val="21"/>
        </w:rPr>
        <w:t>3、供应商须在质疑期内一次性提出针对同一采购程序环节的质疑。</w:t>
      </w:r>
    </w:p>
    <w:p>
      <w:pPr>
        <w:ind w:firstLine="393" w:firstLineChars="187"/>
        <w:rPr>
          <w:rFonts w:ascii="宋体" w:eastAsia="宋体" w:hAnsi="宋体" w:cs="宋体" w:hint="eastAsia"/>
          <w:sz w:val="21"/>
          <w:szCs w:val="21"/>
          <w:lang w:eastAsia="zh-CN"/>
        </w:rPr>
      </w:pPr>
      <w:r>
        <w:rPr>
          <w:rFonts w:ascii="宋体" w:eastAsia="宋体" w:hAnsi="宋体" w:cs="宋体" w:hint="eastAsia"/>
          <w:sz w:val="21"/>
          <w:szCs w:val="21"/>
        </w:rPr>
        <w:t>4、本项目按照深圳市龙华区教育局的相关采购规定执行，招标文件未明确的事项，参照政府采购有关法律法规执行</w:t>
      </w:r>
      <w:r>
        <w:rPr>
          <w:rFonts w:ascii="宋体" w:eastAsia="宋体" w:hAnsi="宋体" w:cs="宋体" w:hint="eastAsia"/>
          <w:sz w:val="21"/>
          <w:szCs w:val="21"/>
          <w:lang w:eastAsia="zh-CN"/>
        </w:rPr>
        <w:t>。</w:t>
      </w:r>
    </w:p>
    <w:p>
      <w:pPr>
        <w:spacing w:line="360" w:lineRule="auto"/>
        <w:jc w:val="left"/>
        <w:rPr>
          <w:rFonts w:ascii="宋体" w:eastAsia="宋体" w:hAnsi="宋体" w:hint="eastAsia"/>
          <w:b/>
          <w:bCs/>
          <w:kern w:val="2"/>
          <w:sz w:val="28"/>
          <w:szCs w:val="28"/>
          <w:lang w:eastAsia="zh-CN"/>
        </w:rPr>
      </w:pPr>
    </w:p>
    <w:p>
      <w:pPr>
        <w:widowControl w:val="0"/>
        <w:ind w:firstLine="420" w:firstLineChars="200"/>
        <w:jc w:val="both"/>
        <w:rPr>
          <w:rFonts w:ascii="Calibri" w:eastAsia="宋体" w:hAnsi="Calibri"/>
          <w:bCs/>
          <w:kern w:val="2"/>
          <w:sz w:val="21"/>
          <w:szCs w:val="21"/>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9" w:name="_Hlk72257167"/>
    </w:p>
    <w:bookmarkEnd w:id="19"/>
    <w:p>
      <w:pPr>
        <w:spacing w:line="320" w:lineRule="atLeas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ind w:firstLine="960" w:firstLineChars="400"/>
        <w:rPr>
          <w:lang w:eastAsia="zh-CN"/>
        </w:rPr>
      </w:pPr>
      <w:bookmarkStart w:id="20" w:name="_Hlk194503600"/>
      <w:bookmarkStart w:id="21" w:name="_Hlk72257771"/>
      <w:r>
        <w:rPr>
          <w:rFonts w:hint="eastAsia"/>
          <w:lang w:eastAsia="zh-CN"/>
        </w:rPr>
        <w:t>（</w:t>
      </w:r>
      <w:bookmarkStart w:id="22" w:name="_Hlk194504074"/>
      <w:r>
        <w:rPr>
          <w:rFonts w:hint="eastAsia"/>
          <w:lang w:eastAsia="zh-CN"/>
        </w:rPr>
        <w:t>1）投标函</w:t>
      </w:r>
    </w:p>
    <w:p>
      <w:pPr>
        <w:ind w:firstLine="960" w:firstLineChars="400"/>
        <w:rPr>
          <w:lang w:eastAsia="zh-CN"/>
        </w:rPr>
      </w:pPr>
      <w:r>
        <w:rPr>
          <w:rFonts w:hint="eastAsia"/>
          <w:lang w:eastAsia="zh-CN"/>
        </w:rPr>
        <w:t>（2）龙华区教育局自行采购投标及履约承诺函</w:t>
      </w:r>
    </w:p>
    <w:p>
      <w:pPr>
        <w:ind w:firstLine="960" w:firstLineChars="400"/>
        <w:rPr>
          <w:lang w:eastAsia="zh-CN"/>
        </w:rPr>
      </w:pPr>
      <w:r>
        <w:rPr>
          <w:rFonts w:hint="eastAsia"/>
          <w:lang w:eastAsia="zh-CN"/>
        </w:rPr>
        <w:t>（3）投标人情况及资格证明文件</w:t>
      </w:r>
    </w:p>
    <w:p>
      <w:pPr>
        <w:ind w:firstLine="960" w:firstLineChars="400"/>
        <w:rPr>
          <w:lang w:eastAsia="zh-CN"/>
        </w:rPr>
      </w:pPr>
      <w:r>
        <w:rPr>
          <w:rFonts w:hint="eastAsia"/>
          <w:lang w:eastAsia="zh-CN"/>
        </w:rPr>
        <w:t>（</w:t>
      </w:r>
      <w:r>
        <w:rPr>
          <w:rFonts w:eastAsia="宋体" w:hint="eastAsia"/>
          <w:lang w:eastAsia="zh-CN"/>
        </w:rPr>
        <w:t>4</w:t>
      </w:r>
      <w:r>
        <w:rPr>
          <w:rFonts w:hint="eastAsia"/>
          <w:lang w:eastAsia="zh-CN"/>
        </w:rPr>
        <w:t>）分项报价清单</w:t>
      </w:r>
    </w:p>
    <w:p>
      <w:pPr>
        <w:ind w:firstLine="960" w:firstLineChars="400"/>
        <w:rPr>
          <w:lang w:eastAsia="zh-CN"/>
        </w:rPr>
      </w:pPr>
      <w:r>
        <w:rPr>
          <w:rFonts w:hint="eastAsia"/>
          <w:lang w:eastAsia="zh-CN"/>
        </w:rPr>
        <w:t>（</w:t>
      </w:r>
      <w:r>
        <w:rPr>
          <w:rFonts w:eastAsia="宋体" w:hint="eastAsia"/>
          <w:lang w:eastAsia="zh-CN"/>
        </w:rPr>
        <w:t>5</w:t>
      </w:r>
      <w:r>
        <w:rPr>
          <w:rFonts w:hint="eastAsia"/>
          <w:lang w:eastAsia="zh-CN"/>
        </w:rPr>
        <w:t>）股东构成审查表</w:t>
      </w:r>
    </w:p>
    <w:p>
      <w:pPr>
        <w:ind w:firstLine="960" w:firstLineChars="400"/>
        <w:rPr>
          <w:rFonts w:hint="eastAsia"/>
          <w:lang w:eastAsia="zh-CN"/>
        </w:rPr>
      </w:pPr>
      <w:r>
        <w:rPr>
          <w:rFonts w:hint="eastAsia"/>
          <w:lang w:eastAsia="zh-CN"/>
        </w:rPr>
        <w:t>（</w:t>
      </w:r>
      <w:r>
        <w:rPr>
          <w:rFonts w:eastAsia="宋体" w:hint="eastAsia"/>
          <w:lang w:eastAsia="zh-CN"/>
        </w:rPr>
        <w:t>6</w:t>
      </w:r>
      <w:r>
        <w:rPr>
          <w:rFonts w:hint="eastAsia"/>
          <w:lang w:eastAsia="zh-CN"/>
        </w:rPr>
        <w:t>）法定代表人（负责人）证明书</w:t>
      </w:r>
    </w:p>
    <w:p>
      <w:pPr>
        <w:ind w:firstLine="960" w:firstLineChars="400"/>
        <w:rPr>
          <w:rFonts w:hint="eastAsia"/>
          <w:lang w:eastAsia="zh-CN"/>
        </w:rPr>
      </w:pPr>
      <w:r>
        <w:rPr>
          <w:rFonts w:hint="eastAsia"/>
          <w:lang w:eastAsia="zh-CN"/>
        </w:rPr>
        <w:t>（</w:t>
      </w:r>
      <w:r>
        <w:rPr>
          <w:rFonts w:hint="eastAsia"/>
          <w:lang w:eastAsia="zh-CN"/>
        </w:rPr>
        <w:t>7</w:t>
      </w:r>
      <w:r>
        <w:rPr>
          <w:rFonts w:hint="eastAsia"/>
          <w:lang w:eastAsia="zh-CN"/>
        </w:rPr>
        <w:t>）供应商基本情况表</w:t>
      </w:r>
    </w:p>
    <w:p>
      <w:pPr>
        <w:ind w:firstLine="960" w:firstLineChars="400"/>
        <w:rPr>
          <w:lang w:eastAsia="zh-CN"/>
        </w:rPr>
      </w:pPr>
      <w:r>
        <w:rPr>
          <w:rFonts w:hint="eastAsia"/>
          <w:lang w:eastAsia="zh-CN"/>
        </w:rPr>
        <w:t>（</w:t>
      </w:r>
      <w:r>
        <w:rPr>
          <w:rFonts w:eastAsia="宋体" w:hint="eastAsia"/>
          <w:lang w:eastAsia="zh-CN"/>
        </w:rPr>
        <w:t>8</w:t>
      </w:r>
      <w:r>
        <w:rPr>
          <w:rFonts w:hint="eastAsia"/>
          <w:lang w:eastAsia="zh-CN"/>
        </w:rPr>
        <w:t>）投标文件签署授权委托书</w:t>
      </w:r>
    </w:p>
    <w:p>
      <w:pPr>
        <w:ind w:firstLine="960" w:firstLineChars="400"/>
        <w:rPr>
          <w:lang w:eastAsia="zh-CN"/>
        </w:rPr>
      </w:pPr>
      <w:r>
        <w:rPr>
          <w:rFonts w:hint="eastAsia"/>
          <w:lang w:eastAsia="zh-CN"/>
        </w:rPr>
        <w:t>（</w:t>
      </w:r>
      <w:r>
        <w:rPr>
          <w:rFonts w:eastAsia="宋体" w:hint="eastAsia"/>
          <w:lang w:eastAsia="zh-CN"/>
        </w:rPr>
        <w:t>9</w:t>
      </w:r>
      <w:r>
        <w:rPr>
          <w:rFonts w:hint="eastAsia"/>
          <w:lang w:eastAsia="zh-CN"/>
        </w:rPr>
        <w:t>）实质性条款响应情况表</w:t>
      </w:r>
    </w:p>
    <w:p>
      <w:pPr>
        <w:ind w:firstLine="960" w:firstLineChars="400"/>
        <w:rPr>
          <w:lang w:eastAsia="zh-CN"/>
        </w:rPr>
      </w:pPr>
      <w:r>
        <w:rPr>
          <w:rFonts w:hint="eastAsia"/>
          <w:lang w:eastAsia="zh-CN"/>
        </w:rPr>
        <w:t>（</w:t>
      </w:r>
      <w:r>
        <w:rPr>
          <w:rFonts w:eastAsia="宋体" w:hint="eastAsia"/>
          <w:lang w:eastAsia="zh-CN"/>
        </w:rPr>
        <w:t>10</w:t>
      </w:r>
      <w:r>
        <w:rPr>
          <w:rFonts w:hint="eastAsia"/>
          <w:lang w:eastAsia="zh-CN"/>
        </w:rPr>
        <w:t>）技术要求偏离表</w:t>
      </w:r>
    </w:p>
    <w:p>
      <w:pPr>
        <w:ind w:firstLine="960" w:firstLineChars="400"/>
        <w:rPr>
          <w:lang w:eastAsia="zh-CN"/>
        </w:rPr>
      </w:pPr>
      <w:r>
        <w:rPr>
          <w:rFonts w:hint="eastAsia"/>
          <w:lang w:eastAsia="zh-CN"/>
        </w:rPr>
        <w:t>（</w:t>
      </w:r>
      <w:r>
        <w:rPr>
          <w:rFonts w:eastAsia="宋体" w:hint="eastAsia"/>
          <w:lang w:eastAsia="zh-CN"/>
        </w:rPr>
        <w:t>11</w:t>
      </w:r>
      <w:r>
        <w:rPr>
          <w:rFonts w:hint="eastAsia"/>
          <w:lang w:eastAsia="zh-CN"/>
        </w:rPr>
        <w:t>）商务要求偏离表</w:t>
      </w:r>
    </w:p>
    <w:p>
      <w:pPr>
        <w:ind w:firstLine="960" w:firstLineChars="400"/>
        <w:rPr>
          <w:lang w:eastAsia="zh-CN"/>
        </w:rPr>
      </w:pPr>
      <w:r>
        <w:rPr>
          <w:rFonts w:hint="eastAsia"/>
          <w:lang w:eastAsia="zh-CN"/>
        </w:rPr>
        <w:t>（</w:t>
      </w:r>
      <w:r>
        <w:rPr>
          <w:rFonts w:eastAsia="宋体" w:hint="eastAsia"/>
          <w:lang w:eastAsia="zh-CN"/>
        </w:rPr>
        <w:t>12</w:t>
      </w:r>
      <w:r>
        <w:rPr>
          <w:rFonts w:hint="eastAsia"/>
          <w:lang w:eastAsia="zh-CN"/>
        </w:rPr>
        <w:t>）技术保障措施</w:t>
      </w:r>
    </w:p>
    <w:p>
      <w:pPr>
        <w:ind w:firstLine="960" w:firstLineChars="400"/>
        <w:rPr>
          <w:lang w:eastAsia="zh-CN"/>
        </w:rPr>
      </w:pPr>
      <w:r>
        <w:rPr>
          <w:rFonts w:hint="eastAsia"/>
          <w:lang w:eastAsia="zh-CN"/>
        </w:rPr>
        <w:t>（</w:t>
      </w:r>
      <w:r>
        <w:rPr>
          <w:rFonts w:eastAsia="宋体" w:hint="eastAsia"/>
          <w:lang w:eastAsia="zh-CN"/>
        </w:rPr>
        <w:t>13</w:t>
      </w:r>
      <w:r>
        <w:rPr>
          <w:rFonts w:hint="eastAsia"/>
          <w:lang w:eastAsia="zh-CN"/>
        </w:rPr>
        <w:t>）效果图</w:t>
      </w:r>
    </w:p>
    <w:p>
      <w:pPr>
        <w:ind w:firstLine="960" w:firstLineChars="400"/>
        <w:rPr>
          <w:rFonts w:hint="eastAsia"/>
          <w:lang w:eastAsia="zh-CN"/>
        </w:rPr>
      </w:pPr>
      <w:r>
        <w:rPr>
          <w:rFonts w:hint="eastAsia"/>
          <w:lang w:eastAsia="zh-CN"/>
        </w:rPr>
        <w:t>（14）售后服务评价</w:t>
      </w:r>
    </w:p>
    <w:p>
      <w:pPr>
        <w:ind w:firstLine="960" w:firstLineChars="400"/>
        <w:rPr>
          <w:rFonts w:hint="eastAsia"/>
          <w:lang w:eastAsia="zh-CN"/>
        </w:rPr>
      </w:pPr>
      <w:r>
        <w:rPr>
          <w:rFonts w:hint="eastAsia"/>
          <w:lang w:eastAsia="zh-CN"/>
        </w:rPr>
        <w:t>（</w:t>
      </w:r>
      <w:r>
        <w:rPr>
          <w:rFonts w:hint="eastAsia"/>
          <w:lang w:eastAsia="zh-CN"/>
        </w:rPr>
        <w:t>15</w:t>
      </w:r>
      <w:r>
        <w:rPr>
          <w:rFonts w:hint="eastAsia"/>
          <w:lang w:eastAsia="zh-CN"/>
        </w:rPr>
        <w:t>）样品</w:t>
      </w:r>
    </w:p>
    <w:p>
      <w:pPr>
        <w:ind w:firstLine="960" w:firstLineChars="400"/>
        <w:rPr>
          <w:rFonts w:hint="eastAsia"/>
          <w:lang w:eastAsia="zh-CN"/>
        </w:rPr>
      </w:pPr>
      <w:r>
        <w:rPr>
          <w:rFonts w:hint="eastAsia"/>
          <w:lang w:eastAsia="zh-CN"/>
        </w:rPr>
        <w:t>（</w:t>
      </w:r>
      <w:r>
        <w:rPr>
          <w:rFonts w:hint="eastAsia"/>
          <w:lang w:eastAsia="zh-CN"/>
        </w:rPr>
        <w:t>16</w:t>
      </w:r>
      <w:r>
        <w:rPr>
          <w:rFonts w:hint="eastAsia"/>
          <w:lang w:eastAsia="zh-CN"/>
        </w:rPr>
        <w:t>）同类项目业绩</w:t>
      </w:r>
    </w:p>
    <w:p>
      <w:pPr>
        <w:ind w:firstLine="960" w:firstLineChars="400"/>
        <w:rPr>
          <w:rFonts w:hint="eastAsia"/>
          <w:lang w:eastAsia="zh-CN"/>
        </w:rPr>
      </w:pPr>
      <w:r>
        <w:rPr>
          <w:rFonts w:hint="eastAsia"/>
          <w:lang w:eastAsia="zh-CN"/>
        </w:rPr>
        <w:t>（</w:t>
      </w:r>
      <w:r>
        <w:rPr>
          <w:rFonts w:hint="eastAsia"/>
          <w:lang w:eastAsia="zh-CN"/>
        </w:rPr>
        <w:t>17</w:t>
      </w:r>
      <w:r>
        <w:rPr>
          <w:rFonts w:hint="eastAsia"/>
          <w:lang w:eastAsia="zh-CN"/>
        </w:rPr>
        <w:t>）环保产品</w:t>
      </w:r>
    </w:p>
    <w:p>
      <w:pPr>
        <w:ind w:firstLine="960" w:firstLineChars="400"/>
        <w:rPr>
          <w:rFonts w:ascii="宋体" w:hAnsi="宋体" w:cs="宋体"/>
          <w:lang w:eastAsia="zh-CN"/>
        </w:rPr>
      </w:pPr>
      <w:r>
        <w:rPr>
          <w:rFonts w:hint="eastAsia"/>
          <w:lang w:eastAsia="zh-CN"/>
        </w:rPr>
        <w:t>（</w:t>
      </w:r>
      <w:r>
        <w:rPr>
          <w:rFonts w:eastAsia="宋体" w:hint="eastAsia"/>
          <w:lang w:eastAsia="zh-CN"/>
        </w:rPr>
        <w:t>1</w:t>
      </w:r>
      <w:r>
        <w:rPr>
          <w:rFonts w:eastAsia="宋体" w:hint="eastAsia"/>
          <w:lang w:eastAsia="zh-CN"/>
        </w:rPr>
        <w:t>8</w:t>
      </w:r>
      <w:r>
        <w:rPr>
          <w:rFonts w:hint="eastAsia"/>
          <w:lang w:eastAsia="zh-CN"/>
        </w:rPr>
        <w:t>）诚信承诺函</w:t>
      </w:r>
    </w:p>
    <w:p>
      <w:pPr>
        <w:ind w:firstLine="960" w:firstLineChars="400"/>
        <w:rPr>
          <w:lang w:eastAsia="zh-CN"/>
        </w:rPr>
      </w:pPr>
      <w:r>
        <w:rPr>
          <w:rFonts w:hint="eastAsia"/>
          <w:lang w:eastAsia="zh-CN"/>
        </w:rPr>
        <w:t>（</w:t>
      </w:r>
      <w:r>
        <w:rPr>
          <w:rFonts w:hint="eastAsia"/>
          <w:lang w:eastAsia="zh-CN"/>
        </w:rPr>
        <w:t>19</w:t>
      </w:r>
      <w:r>
        <w:rPr>
          <w:rFonts w:hint="eastAsia"/>
          <w:lang w:eastAsia="zh-CN"/>
        </w:rPr>
        <w:t>）投标人认为需要加以说明的其他内容</w:t>
      </w:r>
    </w:p>
    <w:bookmarkEnd w:id="20"/>
    <w:bookmarkEnd w:id="22"/>
    <w:p>
      <w:pPr>
        <w:widowControl w:val="0"/>
        <w:spacing w:line="320" w:lineRule="atLeast"/>
        <w:jc w:val="both"/>
        <w:rPr>
          <w:rFonts w:ascii="宋体" w:eastAsia="宋体" w:hAnsi="宋体" w:hint="eastAsia"/>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hint="eastAsia"/>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hint="eastAsia"/>
          <w:bCs/>
          <w:kern w:val="44"/>
          <w:sz w:val="32"/>
          <w:szCs w:val="32"/>
          <w:lang w:eastAsia="zh-CN"/>
        </w:rPr>
      </w:pPr>
      <w:bookmarkStart w:id="23" w:name="_Hlk72263559"/>
      <w:r>
        <w:rPr>
          <w:rFonts w:ascii="宋体" w:eastAsia="宋体" w:hAnsi="宋体" w:cstheme="minorBidi" w:hint="eastAsia"/>
          <w:b/>
          <w:kern w:val="2"/>
          <w:lang w:eastAsia="zh-CN"/>
        </w:rPr>
        <w:t>2.关于填写“开标一览表”的说明：“开标一览表”中除“投标总价”外，其他信息不作评审依据。</w:t>
      </w:r>
      <w:bookmarkEnd w:id="21"/>
      <w:bookmarkEnd w:id="23"/>
      <w:r>
        <w:rPr>
          <w:rFonts w:ascii="宋体" w:eastAsia="黑体" w:hAnsi="宋体"/>
          <w:bCs/>
          <w:kern w:val="44"/>
          <w:sz w:val="32"/>
          <w:szCs w:val="32"/>
          <w:lang w:eastAsia="zh-CN"/>
        </w:rPr>
        <w:br w:type="page"/>
      </w: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hint="eastAsia"/>
          <w:kern w:val="2"/>
          <w:sz w:val="21"/>
          <w:szCs w:val="21"/>
          <w:lang w:eastAsia="zh-CN"/>
        </w:rPr>
      </w:pPr>
      <w:bookmarkStart w:id="24"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hint="eastAsia"/>
          <w:kern w:val="2"/>
          <w:sz w:val="21"/>
          <w:szCs w:val="21"/>
          <w:lang w:eastAsia="zh-CN"/>
        </w:rPr>
      </w:pPr>
      <w:bookmarkStart w:id="25" w:name="_Hlk73818812"/>
      <w:r>
        <w:rPr>
          <w:rFonts w:ascii="Calibri" w:eastAsia="宋体" w:hAnsi="Calibri" w:cstheme="minorBidi" w:hint="eastAsia"/>
          <w:kern w:val="2"/>
          <w:sz w:val="21"/>
          <w:szCs w:val="21"/>
          <w:lang w:eastAsia="zh-CN"/>
        </w:rPr>
        <w:t>1、根据已收到贵单位的项目编号为LHAZXDL-2025-00685的</w:t>
      </w:r>
      <w:r>
        <w:rPr>
          <w:rFonts w:ascii="Calibri" w:eastAsia="宋体" w:hAnsi="Calibri" w:cstheme="minorBidi" w:hint="eastAsia"/>
          <w:kern w:val="2"/>
          <w:sz w:val="21"/>
          <w:szCs w:val="21"/>
          <w:u w:val="thick"/>
          <w:lang w:eastAsia="zh-CN"/>
        </w:rPr>
        <w:t>幼儿园家私采购</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6" w:name="_Hlk72263588"/>
      <w:r>
        <w:rPr>
          <w:rFonts w:ascii="Calibri" w:eastAsia="宋体" w:hAnsi="Calibri" w:cstheme="minorBidi" w:hint="eastAsia"/>
          <w:kern w:val="2"/>
          <w:sz w:val="21"/>
          <w:szCs w:val="21"/>
          <w:lang w:eastAsia="zh-CN"/>
        </w:rPr>
        <w:t>愿意按照招标文件要求承包上述项目并修补其任何缺陷。</w:t>
      </w:r>
      <w:bookmarkEnd w:id="26"/>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7"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7"/>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25"/>
    </w:p>
    <w:p>
      <w:pPr>
        <w:widowControl w:val="0"/>
        <w:spacing w:line="360" w:lineRule="auto"/>
        <w:ind w:left="480" w:left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bookmarkEnd w:id="24"/>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二、龙华区教育局自行采购投标及履约承诺函</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1.我单位本招标项目所提供的货物或服务未侵犯知识产权。</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2.我单位参与本项目投标前三年内，在经营活动中没有重大违法记录。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3.我单位参与本项目政府采购活动时不存在被有关部门禁止参与政府采购活动且在有效期内的情况。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4.我单位具备《中华人民共和国政府采购法》第二十二条第一款规定的六项条件。</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5.我单位未被列入失信被执行人、重大税收违法案件当事人名单（税收违法黑名单）、政府采购严重违法失信行为记录名单。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我单位承诺参与本项目非联合体投标，不选用进口产品参与投标，中标后项目不转包，未经采购人同意不进行分包。</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14.所投标（响应）的货物、工程或服务，不存在侵犯知识产权的情况；已知悉并同意中标（成交）结果信息公示（公开）的内容。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15.本单位（公司）不存在《深圳市财政局政府采购供应商信用信息管理办法》（深财规</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ind w:firstLine="645"/>
        <w:jc w:val="both"/>
        <w:rPr>
          <w:rFonts w:ascii="宋体" w:eastAsia="宋体" w:hAnsi="宋体" w:cs="宋体" w:hint="eastAsia"/>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hint="eastAsia"/>
          <w:b/>
          <w:bCs/>
          <w:color w:val="FF0000"/>
          <w:kern w:val="2"/>
          <w:sz w:val="21"/>
          <w:szCs w:val="21"/>
          <w:lang w:eastAsia="zh-CN"/>
        </w:rPr>
      </w:pPr>
    </w:p>
    <w:p>
      <w:pPr>
        <w:widowControl w:val="0"/>
        <w:jc w:val="right"/>
        <w:rPr>
          <w:rFonts w:ascii="宋体" w:eastAsia="宋体" w:hAnsi="宋体" w:hint="eastAsia"/>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hint="eastAsia"/>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hint="eastAsia"/>
          <w:bCs/>
          <w:szCs w:val="32"/>
          <w:lang w:eastAsia="zh-CN"/>
        </w:rPr>
      </w:pPr>
      <w:bookmarkStart w:id="28"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hint="eastAsia"/>
          <w:bCs/>
          <w:szCs w:val="32"/>
          <w:lang w:eastAsia="zh-CN"/>
        </w:rPr>
      </w:pPr>
      <w:bookmarkStart w:id="29" w:name="_Hlk72257908"/>
      <w:r>
        <w:rPr>
          <w:rFonts w:ascii="黑体" w:eastAsia="黑体" w:hAnsi="宋体" w:cstheme="minorBidi" w:hint="eastAsia"/>
          <w:bCs/>
          <w:szCs w:val="32"/>
          <w:lang w:eastAsia="zh-CN"/>
        </w:rPr>
        <w:t>（二）中小企业声明函、残疾人福利性单位声明函及监狱企业声明函</w:t>
      </w:r>
    </w:p>
    <w:bookmarkEnd w:id="28"/>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5"/>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hint="eastAsia"/>
          <w:kern w:val="2"/>
          <w:sz w:val="21"/>
          <w:szCs w:val="21"/>
          <w:lang w:eastAsia="zh-CN"/>
        </w:rPr>
      </w:pPr>
      <w:bookmarkStart w:id="30"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30"/>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bookmarkStart w:id="31" w:name="_Hlk73562331"/>
      <w:bookmarkStart w:id="32"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31"/>
    </w:p>
    <w:bookmarkEnd w:id="32"/>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9"/>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jc w:val="both"/>
        <w:rPr>
          <w:rFonts w:ascii="宋体" w:eastAsia="宋体" w:hAnsi="宋体" w:hint="eastAsia"/>
          <w:kern w:val="2"/>
          <w:sz w:val="21"/>
          <w:szCs w:val="21"/>
          <w:lang w:eastAsia="zh-CN"/>
        </w:rPr>
      </w:pPr>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单价(元)</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合价(元)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val="9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0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1" w:type="pct"/>
            <w:gridSpan w:val="5"/>
            <w:vAlign w:val="center"/>
          </w:tcPr>
          <w:p>
            <w:pPr>
              <w:widowControl w:val="0"/>
              <w:jc w:val="both"/>
              <w:rPr>
                <w:rFonts w:ascii="Calibri" w:eastAsia="宋体" w:hAnsi="Calibri"/>
                <w:kern w:val="2"/>
                <w:sz w:val="21"/>
                <w:szCs w:val="21"/>
                <w:lang w:eastAsia="zh-CN"/>
              </w:rPr>
            </w:pPr>
          </w:p>
        </w:tc>
      </w:tr>
    </w:tbl>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填写说明：</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1.本表可根据实际需要增加相关内容，但原有的格式内容不得删减；</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4.“原产地”是指该货物的实际生产加工地，而非品牌所在地。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6.以上分项报价表的投标总价应当与开标一览表的投标总价一致。</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ind w:left="480" w:firstLine="420" w:leftChars="200" w:firstLineChars="200"/>
        <w:jc w:val="both"/>
        <w:rPr>
          <w:rFonts w:eastAsia="宋体"/>
          <w:kern w:val="2"/>
          <w:sz w:val="21"/>
          <w:lang w:eastAsia="zh-CN"/>
        </w:rPr>
      </w:pPr>
    </w:p>
    <w:p>
      <w:pPr>
        <w:widowControl w:val="0"/>
        <w:spacing w:after="120"/>
        <w:jc w:val="both"/>
        <w:rPr>
          <w:rFonts w:eastAsia="宋体"/>
          <w:kern w:val="2"/>
          <w:sz w:val="21"/>
          <w:lang w:eastAsia="zh-CN"/>
        </w:rPr>
      </w:pPr>
    </w:p>
    <w:p>
      <w:pPr>
        <w:widowControl w:val="0"/>
        <w:spacing w:after="12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（二）核心产品品牌</w:t>
      </w: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ind w:firstLine="480" w:firstLineChars="200"/>
        <w:jc w:val="both"/>
        <w:rPr>
          <w:rFonts w:ascii="宋体" w:eastAsia="宋体" w:hAnsi="宋体" w:hint="eastAsia"/>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ordWrap w:val="0"/>
        <w:autoSpaceDE w:val="0"/>
        <w:autoSpaceDN w:val="0"/>
        <w:spacing w:line="400" w:lineRule="exact"/>
        <w:ind w:right="808" w:firstLine="420" w:firstLineChars="200"/>
        <w:jc w:val="both"/>
        <w:rPr>
          <w:rFonts w:ascii="Arial" w:eastAsia="宋体" w:hAnsi="Arial"/>
          <w:b/>
          <w:kern w:val="2"/>
          <w:sz w:val="21"/>
          <w:lang w:eastAsia="zh-CN"/>
        </w:rPr>
      </w:pPr>
      <w:r>
        <w:rPr>
          <w:rFonts w:eastAsia="宋体" w:hint="eastAsia"/>
          <w:kern w:val="2"/>
          <w:sz w:val="21"/>
          <w:lang w:eastAsia="zh-CN"/>
        </w:rPr>
        <w:t>备注：单一产品采购项目，核心产品即为该单一产品。</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（三）可选配件报价清单（非项目需求要求的必备配件，此部分不包括在总报价内）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（四）供应商认为需要涉及的其他内容报价清单</w:t>
      </w: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keepNext/>
        <w:keepLines/>
        <w:spacing w:before="260" w:after="260"/>
        <w:jc w:val="center"/>
        <w:outlineLvl w:val="2"/>
        <w:rPr>
          <w:rFonts w:ascii="黑体" w:eastAsia="黑体" w:hAnsi="宋体" w:hint="eastAsia"/>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6"/>
        </w:numPr>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spacing w:line="360" w:lineRule="auto"/>
        <w:jc w:val="both"/>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17" w:history="1">
        <w:r>
          <w:rPr>
            <w:rFonts w:ascii="宋体" w:eastAsia="宋体" w:hAnsi="宋体" w:cs="宋体" w:hint="eastAsia"/>
            <w:color w:val="0000FF"/>
            <w:kern w:val="2"/>
            <w:sz w:val="21"/>
            <w:szCs w:val="22"/>
            <w:u w:val="single"/>
            <w:lang w:eastAsia="zh-CN"/>
          </w:rPr>
          <w:t>https://amr.sz.gov.cn/outer/entSelect/gs.html”。</w:t>
        </w:r>
      </w:hyperlink>
    </w:p>
    <w:p>
      <w:pPr>
        <w:spacing w:line="360" w:lineRule="auto"/>
        <w:ind w:firstLine="480" w:firstLineChars="200"/>
        <w:rPr>
          <w:rFonts w:ascii="宋体" w:eastAsia="宋体" w:hAnsi="宋体" w:hint="eastAsia"/>
          <w:bCs/>
          <w:kern w:val="2"/>
          <w:sz w:val="21"/>
          <w:szCs w:val="21"/>
          <w:lang w:eastAsia="zh-CN"/>
        </w:rPr>
      </w:pPr>
      <w:r>
        <w:rPr>
          <w:rFonts w:ascii="宋体" w:eastAsia="宋体" w:hAnsi="宋体"/>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18"/>
                    <a:stretch>
                      <a:fillRect/>
                    </a:stretch>
                  </pic:blipFill>
                  <pic:spPr>
                    <a:xfrm>
                      <a:off x="0" y="0"/>
                      <a:ext cx="4886325" cy="4972050"/>
                    </a:xfrm>
                    <a:prstGeom prst="rect">
                      <a:avLst/>
                    </a:prstGeom>
                    <a:noFill/>
                    <a:ln w="9525">
                      <a:noFill/>
                      <a:miter lim="800000"/>
                      <a:headEnd/>
                      <a:tailEnd/>
                    </a:ln>
                  </pic:spPr>
                </pic:pic>
              </a:graphicData>
            </a:graphic>
          </wp:inline>
        </w:drawing>
      </w:r>
    </w:p>
    <w:p>
      <w:pPr>
        <w:rPr>
          <w:rFonts w:ascii="Calibri" w:eastAsia="宋体" w:hAnsi="Calibri"/>
          <w:kern w:val="2"/>
          <w:sz w:val="21"/>
          <w:szCs w:val="22"/>
          <w:lang w:eastAsia="zh-CN"/>
        </w:rPr>
      </w:pPr>
      <w:r>
        <w:rPr>
          <w:rFonts w:ascii="宋体" w:eastAsia="宋体" w:hAnsi="宋体"/>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19"/>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rPr>
          <w:rFonts w:ascii="宋体" w:eastAsia="宋体" w:hAnsi="宋体" w:cs="宋体" w:hint="eastAsia"/>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20"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21"/>
                    <a:stretch>
                      <a:fillRect/>
                    </a:stretch>
                  </pic:blipFill>
                  <pic:spPr>
                    <a:xfrm>
                      <a:off x="0" y="0"/>
                      <a:ext cx="5471795" cy="4735830"/>
                    </a:xfrm>
                    <a:prstGeom prst="rect">
                      <a:avLst/>
                    </a:prstGeom>
                    <a:noFill/>
                    <a:ln>
                      <a:noFill/>
                    </a:ln>
                  </pic:spPr>
                </pic:pic>
              </a:graphicData>
            </a:graphic>
          </wp:inline>
        </w:drawing>
      </w:r>
    </w:p>
    <w:p>
      <w:pPr>
        <w:widowControl w:val="0"/>
        <w:spacing w:line="360" w:lineRule="auto"/>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jc w:val="both"/>
        <w:rPr>
          <w:rFonts w:ascii="宋体" w:eastAsia="宋体" w:hAnsi="宋体" w:cs="宋体" w:hint="eastAsia"/>
          <w:kern w:val="2"/>
          <w:sz w:val="21"/>
          <w:szCs w:val="22"/>
          <w:lang w:eastAsia="zh-CN"/>
        </w:rPr>
      </w:pPr>
    </w:p>
    <w:p>
      <w:pPr>
        <w:keepNext/>
        <w:keepLines/>
        <w:widowControl w:val="0"/>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widowControl w:val="0"/>
        <w:spacing w:after="60" w:afterLines="25" w:line="300" w:lineRule="auto"/>
        <w:jc w:val="left"/>
        <w:rPr>
          <w:rFonts w:ascii="Arial" w:eastAsia="宋体" w:hAnsi="Arial"/>
          <w:b/>
          <w:kern w:val="2"/>
          <w:sz w:val="21"/>
          <w:szCs w:val="22"/>
          <w:lang w:eastAsia="zh-CN"/>
        </w:rPr>
      </w:pPr>
    </w:p>
    <w:p>
      <w:pPr>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六、</w:t>
      </w:r>
      <w:bookmarkStart w:id="33" w:name="_Hlk72092499"/>
      <w:r>
        <w:rPr>
          <w:rFonts w:ascii="黑体" w:eastAsia="黑体" w:hAnsi="宋体" w:cstheme="minorBidi" w:hint="eastAsia"/>
          <w:b/>
          <w:kern w:val="2"/>
          <w:sz w:val="30"/>
          <w:szCs w:val="30"/>
          <w:lang w:eastAsia="zh-CN"/>
        </w:rPr>
        <w:t>法定代表人（负责人）证明书</w:t>
      </w:r>
      <w:bookmarkEnd w:id="33"/>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7"/>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7"/>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7"/>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p>
      <w:pPr>
        <w:widowControl w:val="0"/>
        <w:spacing w:line="360" w:lineRule="auto"/>
        <w:jc w:val="both"/>
        <w:rPr>
          <w:rFonts w:ascii="Calibri" w:eastAsia="宋体" w:hAnsi="Calibri"/>
          <w:kern w:val="2"/>
          <w:sz w:val="21"/>
          <w:szCs w:val="21"/>
          <w:lang w:eastAsia="zh-CN"/>
        </w:rPr>
      </w:pPr>
      <w:r>
        <w:rPr>
          <w:rFonts w:hint="eastAsia"/>
          <w:b/>
          <w:color w:val="FF0000"/>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keepNext/>
        <w:keepLines/>
        <w:spacing w:before="120" w:after="120"/>
        <w:jc w:val="center"/>
        <w:outlineLvl w:val="2"/>
        <w:rPr>
          <w:rFonts w:ascii="黑体" w:eastAsia="黑体" w:hAnsi="宋体" w:hint="eastAsia"/>
          <w:bCs/>
          <w:kern w:val="2"/>
          <w:szCs w:val="32"/>
        </w:rPr>
      </w:pPr>
      <w:r>
        <w:rPr>
          <w:rFonts w:ascii="黑体" w:eastAsia="黑体" w:hAnsi="宋体" w:hint="eastAsia"/>
          <w:bCs/>
          <w:kern w:val="2"/>
          <w:szCs w:val="32"/>
          <w:lang w:eastAsia="zh-CN"/>
        </w:rPr>
        <w:t>七、</w:t>
      </w:r>
      <w:r>
        <w:rPr>
          <w:rFonts w:ascii="黑体" w:eastAsia="黑体" w:hAnsi="宋体" w:hint="eastAsia"/>
          <w:bCs/>
          <w:kern w:val="2"/>
          <w:szCs w:val="32"/>
        </w:rPr>
        <w:t>供应商基本情况表</w:t>
      </w:r>
    </w:p>
    <w:tbl>
      <w:tblPr>
        <w:tblStyle w:val="TableNormal"/>
        <w:tblW w:w="5000" w:type="pct"/>
        <w:tblInd w:w="0" w:type="dxa"/>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项目名称及编号</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职务</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劳动合同</w:t>
            </w:r>
          </w:p>
          <w:p>
            <w:pPr>
              <w:spacing w:line="360" w:lineRule="auto"/>
              <w:rPr>
                <w:b/>
                <w:bCs/>
                <w:kern w:val="2"/>
              </w:rPr>
            </w:pPr>
            <w:r>
              <w:rPr>
                <w:b/>
                <w:bCs/>
                <w:kern w:val="2"/>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缴纳社会</w:t>
            </w:r>
          </w:p>
          <w:p>
            <w:pPr>
              <w:spacing w:line="360" w:lineRule="auto"/>
              <w:rPr>
                <w:b/>
                <w:bCs/>
                <w:kern w:val="2"/>
              </w:rPr>
            </w:pPr>
            <w:r>
              <w:rPr>
                <w:b/>
                <w:bCs/>
                <w:kern w:val="2"/>
              </w:rPr>
              <w:t>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项目投标授权代表人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投标文件编制人员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控股股东</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rPr>
          <w:trHeight w:val="789"/>
        </w:trPr>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管理关系</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rPr>
          <w:trHeight w:val="455"/>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说明：同一关联关系类型有多个主体的，应分行填写。</w:t>
            </w:r>
          </w:p>
        </w:tc>
      </w:tr>
    </w:tbl>
    <w:p>
      <w:pPr>
        <w:widowControl w:val="0"/>
        <w:spacing w:line="360" w:lineRule="auto"/>
        <w:ind w:firstLine="420" w:firstLineChars="200"/>
        <w:jc w:val="both"/>
        <w:rPr>
          <w:rFonts w:ascii="宋体" w:eastAsia="宋体" w:hAnsi="宋体" w:hint="eastAsia"/>
          <w:kern w:val="2"/>
          <w:sz w:val="21"/>
          <w:szCs w:val="21"/>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八、投标文件签署授权委托书</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kern w:val="2"/>
          <w:sz w:val="21"/>
          <w:szCs w:val="21"/>
          <w:lang w:eastAsia="zh-CN"/>
        </w:rPr>
      </w:pP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pPr>
        <w:ind w:firstLine="420" w:firstLineChars="200"/>
        <w:rPr>
          <w:rFonts w:ascii="宋体" w:eastAsia="宋体" w:hAnsi="宋体" w:cs="Arial" w:hint="eastAsia"/>
          <w:b/>
          <w:bCs/>
          <w:sz w:val="21"/>
          <w:szCs w:val="21"/>
          <w:lang w:eastAsia="zh-CN"/>
        </w:rPr>
      </w:pPr>
      <w:r>
        <w:rPr>
          <w:rFonts w:hint="eastAsia"/>
          <w:sz w:val="21"/>
          <w:szCs w:val="21"/>
          <w:lang w:eastAsia="zh-CN"/>
        </w:rPr>
        <w:t>2、</w:t>
      </w:r>
      <w:r>
        <w:rPr>
          <w:rFonts w:ascii="宋体" w:eastAsia="宋体" w:hAnsi="宋体" w:cs="Arial" w:hint="eastAsia"/>
          <w:b/>
          <w:bCs/>
          <w:sz w:val="21"/>
          <w:szCs w:val="21"/>
          <w:lang w:eastAsia="zh-CN"/>
        </w:rPr>
        <w:t>投标时提供项目投标授权代表人近三个月（含开标当月）中的任意一个月的社会保险证明。</w:t>
      </w:r>
    </w:p>
    <w:p>
      <w:pPr>
        <w:ind w:firstLine="420" w:firstLineChars="200"/>
        <w:rPr>
          <w:rFonts w:ascii="宋体" w:eastAsia="宋体" w:hAnsi="宋体" w:cs="Arial" w:hint="eastAsia"/>
          <w:bCs/>
          <w:sz w:val="21"/>
          <w:szCs w:val="21"/>
          <w:lang w:eastAsia="zh-CN"/>
        </w:rPr>
      </w:pPr>
      <w:r>
        <w:rPr>
          <w:rFonts w:ascii="宋体" w:eastAsia="宋体" w:hAnsi="宋体" w:cs="Arial" w:hint="eastAsia"/>
          <w:bCs/>
          <w:sz w:val="21"/>
          <w:szCs w:val="21"/>
          <w:lang w:eastAsia="zh-CN"/>
        </w:rPr>
        <w:t>注：</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（1）</w:t>
      </w:r>
      <w:r>
        <w:rPr>
          <w:rFonts w:ascii="宋体" w:eastAsia="宋体" w:hAnsi="宋体" w:cs="Arial" w:hint="eastAsia"/>
          <w:bCs/>
          <w:sz w:val="21"/>
          <w:szCs w:val="21"/>
          <w:lang w:eastAsia="zh-CN"/>
        </w:rPr>
        <w:t>投标人应如实提供上述人员的社会保险证明，如上述人员的社会保险未由投标人缴纳，亦须提供相应单位为其缴纳的社会保险证明。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（2）</w:t>
      </w:r>
      <w:r>
        <w:rPr>
          <w:rFonts w:ascii="宋体" w:eastAsia="宋体" w:hAnsi="宋体" w:cs="Arial" w:hint="eastAsia"/>
          <w:bCs/>
          <w:sz w:val="21"/>
          <w:szCs w:val="21"/>
          <w:lang w:eastAsia="zh-CN"/>
        </w:rPr>
        <w:t>投标人为新成立企业且成立时间不足一个月可提供加盖投标人公章的情况说明或者证明材料亦视为符合。</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（3）</w:t>
      </w:r>
      <w:r>
        <w:rPr>
          <w:rFonts w:ascii="宋体" w:eastAsia="宋体" w:hAnsi="宋体" w:cs="Arial" w:hint="eastAsia"/>
          <w:bCs/>
          <w:sz w:val="21"/>
          <w:szCs w:val="21"/>
          <w:lang w:eastAsia="zh-CN"/>
        </w:rPr>
        <w:t>若为退休人员，提供退休证明。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（4）</w:t>
      </w:r>
      <w:r>
        <w:rPr>
          <w:rFonts w:ascii="宋体" w:eastAsia="宋体" w:hAnsi="宋体" w:cs="Arial" w:hint="eastAsia"/>
          <w:bCs/>
          <w:sz w:val="21"/>
          <w:szCs w:val="21"/>
          <w:lang w:eastAsia="zh-CN"/>
        </w:rPr>
        <w:t>如依法不需要缴纳社会保险的，应提供相应文件证明。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（5）</w:t>
      </w:r>
      <w:r>
        <w:rPr>
          <w:rFonts w:ascii="宋体" w:eastAsia="宋体" w:hAnsi="宋体" w:cs="Arial" w:hint="eastAsia"/>
          <w:bCs/>
          <w:sz w:val="21"/>
          <w:szCs w:val="21"/>
          <w:lang w:eastAsia="zh-CN"/>
        </w:rPr>
        <w:t>若因为社保部门或税务部门原因无法提供的，需提供劳动合同及社保部门或税务部门官方通知证明（或官网公告截图）。</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（6）</w:t>
      </w:r>
      <w:r>
        <w:rPr>
          <w:rFonts w:ascii="宋体" w:eastAsia="宋体" w:hAnsi="宋体" w:cs="Arial" w:hint="eastAsia"/>
          <w:bCs/>
          <w:sz w:val="21"/>
          <w:szCs w:val="21"/>
          <w:lang w:eastAsia="zh-CN"/>
        </w:rPr>
        <w:t>如本项目未安排项目投标授权代表人的，无需提供投标授权代表人的社保。</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九、</w:t>
      </w:r>
      <w:bookmarkStart w:id="34" w:name="_Hlk72092634"/>
      <w:r>
        <w:rPr>
          <w:rFonts w:ascii="黑体" w:eastAsia="黑体" w:hAnsi="Calibri" w:cstheme="minorBidi" w:hint="eastAsia"/>
          <w:b/>
          <w:kern w:val="2"/>
          <w:sz w:val="30"/>
          <w:szCs w:val="22"/>
          <w:lang w:eastAsia="zh-CN"/>
        </w:rPr>
        <w:t>实质性条款响应情况表</w:t>
      </w:r>
      <w:bookmarkEnd w:id="34"/>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hint="eastAsia"/>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hint="eastAsia"/>
                <w:b/>
                <w:color w:val="FF0000"/>
                <w:sz w:val="21"/>
                <w:szCs w:val="21"/>
                <w:lang w:eastAsia="zh-CN"/>
              </w:rPr>
            </w:pPr>
          </w:p>
        </w:tc>
      </w:tr>
    </w:tbl>
    <w:p>
      <w:pPr>
        <w:widowControl w:val="0"/>
        <w:snapToGrid w:val="0"/>
        <w:jc w:val="both"/>
        <w:rPr>
          <w:rFonts w:ascii="宋体" w:eastAsia="宋体" w:hAnsi="宋体" w:hint="eastAsia"/>
          <w:kern w:val="2"/>
          <w:lang w:eastAsia="zh-CN"/>
        </w:rPr>
      </w:pPr>
    </w:p>
    <w:p>
      <w:pPr>
        <w:widowControl w:val="0"/>
        <w:snapToGrid w:val="0"/>
        <w:jc w:val="both"/>
        <w:rPr>
          <w:rFonts w:ascii="宋体" w:eastAsia="宋体" w:hAnsi="宋体" w:hint="eastAsia"/>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十、技术要求偏离表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126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货物名称</w:t>
            </w:r>
          </w:p>
        </w:tc>
        <w:tc>
          <w:tcPr>
            <w:tcW w:w="3028"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招标技术要求</w:t>
            </w:r>
          </w:p>
        </w:tc>
        <w:tc>
          <w:tcPr>
            <w:tcW w:w="28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投标技术响应</w:t>
            </w:r>
          </w:p>
        </w:tc>
        <w:tc>
          <w:tcPr>
            <w:tcW w:w="1210"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偏离情况</w:t>
            </w:r>
          </w:p>
        </w:tc>
        <w:tc>
          <w:tcPr>
            <w:tcW w:w="87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ign w:val="center"/>
          </w:tcPr>
          <w:p>
            <w:pPr>
              <w:widowControl w:val="0"/>
              <w:jc w:val="both"/>
              <w:rPr>
                <w:rFonts w:ascii="Calibri" w:eastAsia="宋体" w:hAnsi="Calibri"/>
                <w:kern w:val="2"/>
                <w:sz w:val="21"/>
                <w:szCs w:val="22"/>
                <w:lang w:eastAsia="zh-CN"/>
              </w:rPr>
            </w:pPr>
          </w:p>
        </w:tc>
        <w:tc>
          <w:tcPr>
            <w:tcW w:w="1266" w:type="dxa"/>
            <w:vMerge/>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十一、商务要求偏离表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jc w:val="center"/>
        </w:trPr>
        <w:tc>
          <w:tcPr>
            <w:tcW w:w="681"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573"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700"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采购</w:t>
            </w:r>
            <w:r>
              <w:rPr>
                <w:rFonts w:ascii="Calibri" w:eastAsia="宋体" w:hAnsi="Calibri" w:cstheme="minorBidi" w:hint="eastAsia"/>
                <w:kern w:val="2"/>
                <w:sz w:val="21"/>
                <w:szCs w:val="22"/>
                <w:lang w:eastAsia="zh-CN"/>
              </w:rPr>
              <w:t>商务要求</w:t>
            </w:r>
          </w:p>
        </w:tc>
        <w:tc>
          <w:tcPr>
            <w:tcW w:w="261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26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74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700" w:type="dxa"/>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（二）其他商务要求</w:t>
            </w: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1、商务要求偏离表的序号、目录、招标商务要求等栏目对应“用户需求书”中的“商务要求”章节相关内容。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2、“投标商务响应”一栏必须一一对照“采购商务要求”，详细填写自身响应情况，而不能不合理照搬照抄招标文件的商务要求，以体现具体响应情况。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“投标商务响应”对比“采购商务要求”存在响应不全（包括未响应整项招标商务要求或者未响应一项招标商务要求的部分内容），均视为“负偏离”。</w:t>
      </w:r>
    </w:p>
    <w:p>
      <w:pPr>
        <w:numPr>
          <w:ilvl w:val="0"/>
          <w:numId w:val="7"/>
        </w:num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带★号条款为不可偏离条款，如未响应或出现负偏离的，将作投标无效处理。</w:t>
      </w: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十二、技术保障措施</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十三、效果图</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十四、售后服务评价</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十五、样品</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十六、同类项目业绩</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十七、环保产品</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十八、诚信承诺函</w:t>
      </w:r>
    </w:p>
    <w:p>
      <w:pPr>
        <w:spacing w:line="360" w:lineRule="auto"/>
        <w:rPr>
          <w:rFonts w:ascii="宋体" w:eastAsia="宋体" w:hAnsi="宋体" w:hint="eastAsia"/>
          <w:b/>
          <w:szCs w:val="21"/>
          <w:lang w:eastAsia="zh-CN"/>
        </w:rPr>
      </w:pPr>
      <w:r>
        <w:rPr>
          <w:rFonts w:ascii="宋体" w:eastAsia="宋体" w:hAnsi="宋体" w:hint="eastAsia"/>
          <w:b/>
          <w:szCs w:val="21"/>
          <w:lang w:eastAsia="zh-CN"/>
        </w:rPr>
        <w:t>致：深圳市千里招标代理有限公司</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我公司承诺近三年内在采购招标投标活动中，不存在以下情形：</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（一）被纪检监察部门立案调查，违法违规事实成立的；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（二）未按本条例规定签订、履行采购合同，造成严重后果的；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（三）隐瞒真实情况，提供虚假资料的；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（四）以非法手段排斥其他供应商参与竞争的；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（五）与其他采购参加人串通投标的；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（六）在采购活动中应当回避而未回避的；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（七）恶意投诉的；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（八）向采购项目相关人行贿或者提供其他不当利益的；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（九）阻碍、抗拒主管部门监督检查的；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（十）履约检查不合格或者评价为差的；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（十一）重大违法犯罪记录和被财政等政府主管部门处以禁止参与政府采购活动的情况；</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（十二）主管部门认定的其他情形。</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特此承诺。</w:t>
      </w:r>
    </w:p>
    <w:p>
      <w:pPr>
        <w:spacing w:line="360" w:lineRule="auto"/>
        <w:jc w:val="both"/>
        <w:rPr>
          <w:rFonts w:ascii="宋体" w:eastAsia="宋体" w:hAnsi="宋体" w:hint="eastAsia"/>
          <w:szCs w:val="21"/>
          <w:lang w:eastAsia="zh-CN"/>
        </w:rPr>
      </w:pPr>
    </w:p>
    <w:p>
      <w:pPr>
        <w:spacing w:line="360" w:lineRule="auto"/>
        <w:rPr>
          <w:rFonts w:ascii="宋体" w:eastAsia="宋体" w:hAnsi="宋体" w:hint="eastAsia"/>
          <w:szCs w:val="21"/>
          <w:lang w:eastAsia="zh-CN"/>
        </w:rPr>
      </w:pPr>
    </w:p>
    <w:p>
      <w:pPr>
        <w:spacing w:line="360" w:lineRule="auto"/>
        <w:ind w:firstLine="3600" w:firstLineChars="1500"/>
        <w:rPr>
          <w:rFonts w:ascii="宋体" w:eastAsia="宋体" w:hAnsi="宋体" w:hint="eastAsia"/>
          <w:szCs w:val="21"/>
          <w:lang w:eastAsia="zh-CN"/>
        </w:rPr>
      </w:pPr>
      <w:r>
        <w:rPr>
          <w:rFonts w:ascii="宋体" w:eastAsia="宋体" w:hAnsi="宋体" w:hint="eastAsia"/>
          <w:szCs w:val="21"/>
          <w:lang w:eastAsia="zh-CN"/>
        </w:rPr>
        <w:t>投标单位：</w:t>
      </w:r>
    </w:p>
    <w:p>
      <w:pPr>
        <w:spacing w:line="360" w:lineRule="auto"/>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r>
        <w:rPr>
          <w:rFonts w:ascii="宋体" w:eastAsia="宋体" w:hAnsi="宋体" w:hint="eastAsia"/>
          <w:szCs w:val="21"/>
          <w:lang w:eastAsia="zh-CN"/>
        </w:rPr>
        <w:t>日期：</w:t>
      </w:r>
      <w:r>
        <w:rPr>
          <w:rFonts w:ascii="宋体" w:eastAsia="宋体" w:hAnsi="宋体" w:hint="eastAsia"/>
          <w:szCs w:val="21"/>
          <w:u w:val="single"/>
          <w:lang w:eastAsia="zh-CN"/>
        </w:rPr>
        <w:t xml:space="preserve">     </w:t>
      </w:r>
      <w:r>
        <w:rPr>
          <w:rFonts w:ascii="宋体" w:eastAsia="宋体" w:hAnsi="宋体" w:hint="eastAsia"/>
          <w:szCs w:val="21"/>
          <w:lang w:eastAsia="zh-CN"/>
        </w:rPr>
        <w:t>年</w:t>
      </w:r>
      <w:r>
        <w:rPr>
          <w:rFonts w:ascii="宋体" w:eastAsia="宋体" w:hAnsi="宋体" w:hint="eastAsia"/>
          <w:szCs w:val="21"/>
          <w:u w:val="single"/>
          <w:lang w:eastAsia="zh-CN"/>
        </w:rPr>
        <w:t xml:space="preserve">     </w:t>
      </w:r>
      <w:r>
        <w:rPr>
          <w:rFonts w:ascii="宋体" w:eastAsia="宋体" w:hAnsi="宋体" w:hint="eastAsia"/>
          <w:szCs w:val="21"/>
          <w:lang w:eastAsia="zh-CN"/>
        </w:rPr>
        <w:t>月</w:t>
      </w:r>
      <w:r>
        <w:rPr>
          <w:rFonts w:ascii="宋体" w:eastAsia="宋体" w:hAnsi="宋体" w:hint="eastAsia"/>
          <w:szCs w:val="21"/>
          <w:u w:val="single"/>
          <w:lang w:eastAsia="zh-CN"/>
        </w:rPr>
        <w:t xml:space="preserve">     </w:t>
      </w:r>
      <w:r>
        <w:rPr>
          <w:rFonts w:ascii="宋体" w:eastAsia="宋体" w:hAnsi="宋体" w:hint="eastAsia"/>
          <w:szCs w:val="21"/>
          <w:lang w:eastAsia="zh-CN"/>
        </w:rPr>
        <w:t>日</w:t>
      </w: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rPr>
          <w:rFonts w:ascii="黑体" w:eastAsia="黑体" w:hAnsi="宋体" w:hint="eastAsia"/>
          <w:kern w:val="2"/>
          <w:szCs w:val="20"/>
          <w:highlight w:val="yellow"/>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十九、</w:t>
      </w:r>
      <w:bookmarkStart w:id="35" w:name="_Hlk72062872"/>
      <w:r>
        <w:rPr>
          <w:rFonts w:ascii="黑体" w:eastAsia="黑体" w:hAnsi="宋体" w:cstheme="minorBidi" w:hint="eastAsia"/>
          <w:b/>
          <w:bCs/>
          <w:kern w:val="2"/>
          <w:sz w:val="30"/>
          <w:szCs w:val="30"/>
          <w:lang w:eastAsia="zh-CN"/>
        </w:rPr>
        <w:t>投标人认为需要加以说明的其他内容</w:t>
      </w:r>
      <w:bookmarkEnd w:id="35"/>
    </w:p>
    <w:p>
      <w:pPr>
        <w:jc w:val="center"/>
        <w:rPr>
          <w:rFonts w:ascii="黑体" w:eastAsia="黑体" w:hAnsi="宋体" w:hint="eastAsia"/>
          <w:szCs w:val="20"/>
          <w:lang w:eastAsia="zh-CN"/>
        </w:rPr>
      </w:pPr>
      <w:r>
        <w:rPr>
          <w:rFonts w:ascii="黑体" w:eastAsia="黑体" w:hAnsi="宋体" w:cstheme="minorBidi" w:hint="eastAsia"/>
          <w:szCs w:val="20"/>
          <w:lang w:eastAsia="zh-CN"/>
        </w:rPr>
        <w:t>（一）政府采购违法行为风险知悉确认书</w:t>
      </w:r>
    </w:p>
    <w:p>
      <w:pPr>
        <w:jc w:val="center"/>
        <w:rPr>
          <w:rFonts w:ascii="黑体" w:eastAsia="黑体" w:hAnsi="宋体" w:hint="eastAsia"/>
          <w:szCs w:val="20"/>
          <w:lang w:eastAsia="zh-CN"/>
        </w:rPr>
      </w:pPr>
    </w:p>
    <w:p>
      <w:pPr>
        <w:spacing w:after="120" w:afterLines="50" w:line="360" w:lineRule="exact"/>
        <w:ind w:firstLine="480" w:firstLineChars="200"/>
        <w:rPr>
          <w:rFonts w:ascii="宋体" w:eastAsia="宋体" w:hAnsi="宋体" w:cs="宋体" w:hint="eastAsia"/>
          <w:b/>
          <w:bCs/>
          <w:lang w:eastAsia="zh-CN"/>
        </w:rPr>
      </w:pPr>
      <w:r>
        <w:rPr>
          <w:rFonts w:ascii="宋体" w:eastAsia="宋体" w:hAnsi="宋体" w:cs="宋体" w:hint="eastAsia"/>
          <w:b/>
          <w:bCs/>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400" w:lineRule="exact"/>
              <w:jc w:val="center"/>
              <w:rPr>
                <w:rFonts w:ascii="宋体" w:hAnsi="宋体" w:cs="宋体" w:hint="eastAsia"/>
              </w:rPr>
            </w:pPr>
            <w:r>
              <w:rPr>
                <w:rFonts w:ascii="宋体" w:hAnsi="宋体" w:cs="宋体" w:hint="eastAsia"/>
              </w:rPr>
              <w:t>序号</w:t>
            </w:r>
          </w:p>
        </w:tc>
        <w:tc>
          <w:tcPr>
            <w:tcW w:w="7811" w:type="dxa"/>
          </w:tcPr>
          <w:p>
            <w:pPr>
              <w:spacing w:line="400" w:lineRule="exact"/>
              <w:jc w:val="center"/>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1</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2</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3</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4</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5</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6</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擅自将投标密钥或电子营业执照出借他人使用或未妥善保管。</w:t>
            </w:r>
          </w:p>
        </w:tc>
      </w:tr>
    </w:tbl>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hint="eastAsia"/>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hint="eastAsia"/>
          <w:kern w:val="2"/>
          <w:u w:val="single"/>
          <w:lang w:eastAsia="zh-CN"/>
        </w:rPr>
      </w:pP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jc w:val="center"/>
        <w:rPr>
          <w:rFonts w:ascii="黑体" w:eastAsia="黑体" w:hAnsi="宋体" w:hint="eastAsia"/>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highlight w:val="yellow"/>
          <w:lang w:eastAsia="zh-CN"/>
        </w:rPr>
      </w:pPr>
      <w:r>
        <w:rPr>
          <w:rFonts w:ascii="宋体" w:eastAsia="宋体" w:hAnsi="宋体" w:cs="宋体" w:hint="eastAsia"/>
          <w:b/>
          <w:bCs/>
          <w:sz w:val="21"/>
          <w:szCs w:val="21"/>
          <w:highlight w:val="yellow"/>
          <w:lang w:eastAsia="zh-CN"/>
        </w:rPr>
        <w:t>申请人的资格要求，</w:t>
      </w:r>
      <w:r>
        <w:rPr>
          <w:rFonts w:ascii="宋体" w:eastAsia="宋体" w:hAnsi="宋体" w:cs="宋体" w:hint="eastAsia"/>
          <w:b/>
          <w:bCs/>
          <w:color w:val="000000"/>
          <w:sz w:val="21"/>
          <w:szCs w:val="21"/>
          <w:highlight w:val="yellow"/>
          <w:lang w:eastAsia="zh-CN"/>
        </w:rPr>
        <w:t>提供《供应商基本情况表》及相关人员近3个月内的任意一个月社保缴交凭证证明（由供应商填写《供应商基本情况表》相关信息）（社保放至“投标人认为需要加以说明的其他内容”即可）。</w:t>
      </w: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第五章  合同条款及格式</w:t>
      </w:r>
    </w:p>
    <w:p>
      <w:pPr>
        <w:jc w:val="center"/>
        <w:rPr>
          <w:rFonts w:ascii="宋体" w:eastAsia="宋体" w:hAnsi="宋体" w:cs="宋体" w:hint="eastAsia"/>
          <w:b/>
          <w:sz w:val="21"/>
          <w:szCs w:val="21"/>
        </w:rPr>
      </w:pPr>
      <w:r>
        <w:rPr>
          <w:rFonts w:ascii="宋体" w:eastAsia="宋体" w:hAnsi="宋体" w:cs="宋体" w:hint="eastAsia"/>
          <w:b/>
          <w:sz w:val="21"/>
          <w:szCs w:val="21"/>
        </w:rPr>
        <w:t>有专业类别的格式合同范本请选择相应的合同</w:t>
      </w:r>
    </w:p>
    <w:p>
      <w:pPr>
        <w:jc w:val="center"/>
        <w:rPr>
          <w:rFonts w:ascii="宋体" w:eastAsia="宋体" w:hAnsi="宋体" w:cs="宋体" w:hint="eastAsia"/>
          <w:b/>
          <w:sz w:val="21"/>
          <w:szCs w:val="21"/>
        </w:rPr>
      </w:pPr>
      <w:r>
        <w:rPr>
          <w:rFonts w:ascii="宋体" w:eastAsia="宋体" w:hAnsi="宋体" w:cs="宋体" w:hint="eastAsia"/>
          <w:b/>
          <w:sz w:val="21"/>
          <w:szCs w:val="21"/>
        </w:rPr>
        <w:t>（仅供参考，采购单位需填写项目关键信息和违约责任条款）</w:t>
      </w:r>
    </w:p>
    <w:p>
      <w:pPr>
        <w:jc w:val="left"/>
        <w:rPr>
          <w:rFonts w:ascii="宋体" w:eastAsia="宋体" w:hAnsi="宋体" w:cs="宋体" w:hint="eastAsia"/>
          <w:sz w:val="21"/>
          <w:szCs w:val="21"/>
        </w:rPr>
      </w:pPr>
      <w:r>
        <w:rPr>
          <w:rFonts w:ascii="宋体" w:eastAsia="宋体" w:hAnsi="宋体" w:cs="宋体" w:hint="eastAsia"/>
          <w:sz w:val="21"/>
          <w:szCs w:val="21"/>
        </w:rPr>
        <w:t>采购人：</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r>
        <w:rPr>
          <w:rFonts w:ascii="宋体" w:eastAsia="宋体" w:hAnsi="宋体" w:cs="宋体" w:hint="eastAsia"/>
          <w:sz w:val="21"/>
          <w:szCs w:val="21"/>
        </w:rPr>
        <w:t>供应商：</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根据深圳市****</w:t>
      </w:r>
      <w:r>
        <w:rPr>
          <w:rFonts w:ascii="宋体" w:eastAsia="宋体" w:hAnsi="宋体" w:cs="宋体" w:hint="eastAsia"/>
          <w:sz w:val="21"/>
          <w:szCs w:val="21"/>
          <w:u w:val="single"/>
        </w:rPr>
        <w:t xml:space="preserve">        </w:t>
      </w:r>
      <w:r>
        <w:rPr>
          <w:rFonts w:ascii="宋体" w:eastAsia="宋体" w:hAnsi="宋体" w:cs="宋体" w:hint="eastAsia"/>
          <w:sz w:val="21"/>
          <w:szCs w:val="21"/>
        </w:rPr>
        <w:t>号采购项目的投标结果，由</w:t>
      </w:r>
      <w:r>
        <w:rPr>
          <w:rFonts w:ascii="宋体" w:eastAsia="宋体" w:hAnsi="宋体" w:cs="宋体" w:hint="eastAsia"/>
          <w:sz w:val="21"/>
          <w:szCs w:val="21"/>
          <w:u w:val="single"/>
        </w:rPr>
        <w:t xml:space="preserve">       </w:t>
      </w:r>
      <w:r>
        <w:rPr>
          <w:rFonts w:ascii="宋体" w:eastAsia="宋体" w:hAnsi="宋体" w:cs="宋体" w:hint="eastAsia"/>
          <w:sz w:val="21"/>
          <w:szCs w:val="21"/>
        </w:rPr>
        <w:t>单位为中标方。按照有关规定，经深圳市</w:t>
      </w:r>
      <w:r>
        <w:rPr>
          <w:rFonts w:ascii="宋体" w:eastAsia="宋体" w:hAnsi="宋体" w:cs="宋体" w:hint="eastAsia"/>
          <w:sz w:val="21"/>
          <w:szCs w:val="21"/>
          <w:u w:val="single"/>
        </w:rPr>
        <w:t xml:space="preserve">           </w:t>
      </w:r>
      <w:r>
        <w:rPr>
          <w:rFonts w:ascii="宋体" w:eastAsia="宋体" w:hAnsi="宋体" w:cs="宋体" w:hint="eastAsia"/>
          <w:sz w:val="21"/>
          <w:szCs w:val="21"/>
        </w:rPr>
        <w:t>（以下简称甲方）和</w:t>
      </w:r>
      <w:r>
        <w:rPr>
          <w:rFonts w:ascii="宋体" w:eastAsia="宋体" w:hAnsi="宋体" w:cs="宋体" w:hint="eastAsia"/>
          <w:sz w:val="21"/>
          <w:szCs w:val="21"/>
          <w:u w:val="single"/>
        </w:rPr>
        <w:t xml:space="preserve">           </w:t>
      </w:r>
      <w:r>
        <w:rPr>
          <w:rFonts w:ascii="宋体" w:eastAsia="宋体" w:hAnsi="宋体" w:cs="宋体" w:hint="eastAsia"/>
          <w:sz w:val="21"/>
          <w:szCs w:val="21"/>
        </w:rPr>
        <w:t>单位（以下简称乙方）协商，达成以下合同条款：</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第一条  合同标的</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乙方根据甲方需求提供下列货物：</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货物名称、规格及数量详见</w:t>
      </w:r>
      <w:r>
        <w:rPr>
          <w:rFonts w:ascii="宋体" w:eastAsia="宋体" w:hAnsi="宋体" w:cs="宋体" w:hint="eastAsia"/>
          <w:b/>
          <w:sz w:val="21"/>
          <w:szCs w:val="21"/>
          <w:u w:val="single"/>
        </w:rPr>
        <w:t xml:space="preserve">                  </w:t>
      </w:r>
      <w:r>
        <w:rPr>
          <w:rFonts w:ascii="宋体" w:eastAsia="宋体" w:hAnsi="宋体" w:cs="宋体" w:hint="eastAsia"/>
          <w:sz w:val="21"/>
          <w:szCs w:val="21"/>
        </w:rPr>
        <w:t>。</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第二条  合同价款</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本合同项下总价款为</w:t>
      </w:r>
      <w:r>
        <w:rPr>
          <w:rFonts w:ascii="宋体" w:eastAsia="宋体" w:hAnsi="宋体" w:cs="宋体" w:hint="eastAsia"/>
          <w:sz w:val="21"/>
          <w:szCs w:val="21"/>
          <w:u w:val="single"/>
        </w:rPr>
        <w:t xml:space="preserve">              </w:t>
      </w:r>
      <w:r>
        <w:rPr>
          <w:rFonts w:ascii="宋体" w:eastAsia="宋体" w:hAnsi="宋体" w:cs="宋体" w:hint="eastAsia"/>
          <w:sz w:val="21"/>
          <w:szCs w:val="21"/>
        </w:rPr>
        <w:t>（大写）人民币，分项价款详见</w:t>
      </w:r>
      <w:r>
        <w:rPr>
          <w:rFonts w:ascii="宋体" w:eastAsia="宋体" w:hAnsi="宋体" w:cs="宋体" w:hint="eastAsia"/>
          <w:b/>
          <w:sz w:val="21"/>
          <w:szCs w:val="21"/>
          <w:u w:val="single"/>
        </w:rPr>
        <w:t xml:space="preserve">          </w:t>
      </w:r>
      <w:r>
        <w:rPr>
          <w:rFonts w:ascii="宋体" w:eastAsia="宋体" w:hAnsi="宋体" w:cs="宋体" w:hint="eastAsia"/>
          <w:sz w:val="21"/>
          <w:szCs w:val="21"/>
        </w:rPr>
        <w:t>。本合同总价款已包括乙方为履行本合同义务所发生的一切费用，系固定不变价格，且不随通货膨胀的影响而波动。</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第三条  权利保证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第四条  质量保证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1、乙方所提供的货物的技术规格符合采购文件规定的技术规格，货物符合中华人民共和国的设计和制造生产标准或行业标准。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2、乙方应保证货物是全新、未使用过的原装合格正品（包括零部件），并完全符合甲方要求的质量、规格和性能的要求。如货物安装或配置了软件的，乙方保证相关软件均为正版软件。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3、乙方保证交货时一并提供货物的质量合格凭证或文件。</w:t>
      </w:r>
    </w:p>
    <w:p>
      <w:pPr>
        <w:spacing w:line="360" w:lineRule="auto"/>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第五条  交货和验收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1、乙方应按照本合同或招投标文件规定的时间和方式向甲方交付货物，交货地点由甲方指定。因交货产生的费用由乙方自行承担。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2、乙方交付的货物应当完全符合招投标文件所规定的货物、数量、质量和规格要求。乙方提供的货物不符合招投标文件和合同规定的，甲方有权拒收货物，由此引起的风险，由乙方承担。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4、甲方应当在到货后的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个工作日内对货物进行验收；需要乙方对货物或系统进行安装调试的，甲方应在货物安装调试完毕后的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个工作日内进行质量验收。</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第六条  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1、乙方应按照国家有关法律法规规章和“三包”规定和采购文件的要求及乙方在投标文件的相关承诺提供保修及其他服务。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第七条  履约保证金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1、乙方应在签订本合同之日，向甲方或甲方指定的机构提交履约保证金_________元。</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2、如乙方未能履行合同规定的义务，甲方有权从履约保证金中取得补偿。</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3、甲方在乙方履行完毕本合同项下全部义务后______天内无息退还乙方。</w:t>
      </w:r>
    </w:p>
    <w:p>
      <w:pPr>
        <w:spacing w:line="360" w:lineRule="auto"/>
        <w:ind w:firstLine="560"/>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第八条   付款方式</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按照招标文件规定的付款方式进行支付。</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第九条    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１、甲方无正当理由拒收货物、拒付货物款的，由甲方向乙方偿付合同总价的【】%违约金。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２、甲方未按合同规定的期限向乙方支付货款的，每逾期1天甲方向乙方偿付欠款总额的【】‰滞纳金，但累计滞纳金总额不超过欠款总额的【】%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３、乙方逾期交付货物的，每逾期1天，乙方向甲方偿付逾期交货部分货款总额的【】‰的滞纳金。如乙方逾期交货达</w:t>
      </w:r>
      <w:r>
        <w:rPr>
          <w:rFonts w:ascii="宋体" w:eastAsia="宋体" w:hAnsi="宋体" w:cs="宋体" w:hint="eastAsia"/>
          <w:sz w:val="21"/>
          <w:szCs w:val="21"/>
          <w:u w:val="single"/>
        </w:rPr>
        <w:t xml:space="preserve">    </w:t>
      </w:r>
      <w:r>
        <w:rPr>
          <w:rFonts w:ascii="宋体" w:eastAsia="宋体" w:hAnsi="宋体" w:cs="宋体" w:hint="eastAsia"/>
          <w:sz w:val="21"/>
          <w:szCs w:val="21"/>
        </w:rPr>
        <w:t>天，甲方有权解除合同，履约保证金不予退回，同时乙方应向甲方支付合同总价【】％的违约金。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4、乙方所交付的货物品种、型号、规格不符合合同规定的，甲方有权拒收。甲方拒收的，乙方应向甲方支付货款总额【】%的违约金。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5、在乙方承诺的或国家规定的质量保证期内（取两者中最长的期限），如经乙方两次维修或更换，货物仍不能达到合同约定的质量标准，甲方有权退货，乙方应退回全部货款并赔偿甲方因此遭受的损失。</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6、乙方未履行本合同项下的其他义务或违反其在投标文件中的相关承诺的，应按合同总价款的【】%向甲方承担违约责任。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第十条    合同的变更和终止</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除《中华人民共和国政府采购法》第４９条、第５０条第二款规定的情形外，本合同一经签订，甲乙双方不得擅自变更、中止或终止合同。</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第十一条   争议的解决</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1、因货物的质量问题发生争议的，应当邀请国家认可的质量检测机构对货物质量进行鉴定。货物符合标准的，鉴定费由甲方承担；货物不符合质量标准的，鉴定费由乙方承担。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2、因履行本合同引起的或与本合同有关的争议，甲、乙双方应首先通过友好协商解决，如果协商不能解决争议，则向甲方所在地有管辖权的人民法院提起诉讼；</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第十二条   合同生效及其他</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1、下列文件均为本合同的重要组成部分：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（1）本项目的采购文件、答疑及补充通知；</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（2）本项目中标的投标文件；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（3）本合同执行中共同签署的补充与修正文件。</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 xml:space="preserve">   </w:t>
      </w:r>
      <w:r>
        <w:rPr>
          <w:rFonts w:ascii="宋体" w:eastAsia="宋体" w:hAnsi="宋体" w:cs="宋体" w:hint="eastAsia"/>
          <w:bCs/>
          <w:sz w:val="21"/>
          <w:szCs w:val="21"/>
        </w:rPr>
        <w:t xml:space="preserve"> 以上文件互为补充，如果出现内容冲突的情况，为准的优先顺序为（2）、（1）、（3）。</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2、本合同一式___份，甲、乙方双方各执份，具有同等法律效力。本合同自双方法人代表签字（盖章）认可之日起生效。</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甲方（采购人）：   （盖章）       乙方（供应商）：    （盖章）</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 xml:space="preserve">法定代表人：                     法定代表人：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委托代理人：                     委托代理人：</w:t>
      </w:r>
    </w:p>
    <w:p>
      <w:pPr>
        <w:ind w:firstLine="525" w:firstLineChars="250"/>
        <w:rPr>
          <w:rFonts w:ascii="宋体" w:eastAsia="宋体" w:hAnsi="宋体" w:cs="宋体" w:hint="eastAsia"/>
          <w:sz w:val="21"/>
          <w:szCs w:val="21"/>
        </w:rPr>
      </w:pPr>
      <w:r>
        <w:rPr>
          <w:rFonts w:ascii="宋体" w:eastAsia="宋体" w:hAnsi="宋体" w:cs="宋体" w:hint="eastAsia"/>
          <w:sz w:val="21"/>
          <w:szCs w:val="21"/>
        </w:rPr>
        <w:t>日期：   年     月    日         日期：   年     月    日</w:t>
      </w:r>
    </w:p>
    <w:p>
      <w:pPr>
        <w:jc w:val="center"/>
        <w:rPr>
          <w:rFonts w:ascii="宋体" w:eastAsia="宋体" w:hAnsi="宋体" w:hint="eastAsia"/>
          <w:b/>
          <w:kern w:val="2"/>
          <w:sz w:val="21"/>
          <w:szCs w:val="21"/>
          <w:lang w:eastAsia="zh-CN"/>
        </w:rPr>
      </w:pPr>
      <w:r>
        <w:rPr>
          <w:rFonts w:ascii="宋体" w:eastAsia="宋体" w:hAnsi="宋体" w:hint="eastAsia"/>
          <w:b/>
          <w:kern w:val="2"/>
          <w:sz w:val="21"/>
          <w:szCs w:val="21"/>
          <w:lang w:eastAsia="zh-CN"/>
        </w:rPr>
        <w:t>注：本合同样本仅供参考，具体条款内容由采购单位和中标单位协商确定。</w:t>
      </w: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spacing w:line="360" w:lineRule="auto"/>
        <w:rPr>
          <w:rFonts w:ascii="宋体" w:eastAsia="宋体" w:hAnsi="宋体" w:hint="eastAsia"/>
          <w:b/>
          <w:bCs/>
          <w:kern w:val="2"/>
          <w:sz w:val="21"/>
          <w:szCs w:val="21"/>
          <w:lang w:eastAsia="zh-CN"/>
        </w:rPr>
      </w:pPr>
    </w:p>
    <w:p>
      <w:pPr>
        <w:spacing w:line="360" w:lineRule="auto"/>
        <w:rPr>
          <w:rFonts w:ascii="宋体" w:eastAsia="宋体" w:hAnsi="宋体" w:hint="eastAsia"/>
          <w:b/>
          <w:bCs/>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6" w:name="_Toc1312"/>
      <w:r>
        <w:rPr>
          <w:rFonts w:ascii="Arial" w:eastAsia="宋体" w:hAnsi="Arial" w:hint="eastAsia"/>
          <w:b/>
          <w:kern w:val="2"/>
          <w:sz w:val="32"/>
          <w:lang w:eastAsia="zh-CN"/>
        </w:rPr>
        <w:t>第一章  总则</w:t>
      </w:r>
      <w:bookmarkEnd w:id="36"/>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5．投标人参加政府采购的条件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6．政策导向</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7.本项目若涉及采购货物，则合格的货物及相应服务应满足以下要求：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8．投标费用</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9．踏勘现场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10．标前会议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7" w:name="_Toc696"/>
      <w:r>
        <w:rPr>
          <w:rFonts w:ascii="Arial" w:eastAsia="宋体" w:hAnsi="Arial" w:hint="eastAsia"/>
          <w:b/>
          <w:kern w:val="2"/>
          <w:sz w:val="32"/>
          <w:lang w:eastAsia="zh-CN"/>
        </w:rPr>
        <w:t>第二章</w:t>
      </w:r>
      <w:bookmarkStart w:id="38" w:name="_Toc16272"/>
      <w:bookmarkStart w:id="39" w:name="_Toc4237"/>
      <w:bookmarkStart w:id="40" w:name="_Toc25500"/>
      <w:r>
        <w:rPr>
          <w:rFonts w:ascii="Arial" w:eastAsia="宋体" w:hAnsi="Arial" w:hint="eastAsia"/>
          <w:b/>
          <w:kern w:val="2"/>
          <w:sz w:val="32"/>
          <w:lang w:eastAsia="zh-CN"/>
        </w:rPr>
        <w:t xml:space="preserve">  招标文件</w:t>
      </w:r>
      <w:bookmarkEnd w:id="37"/>
      <w:bookmarkEnd w:id="38"/>
      <w:bookmarkEnd w:id="39"/>
      <w:bookmarkEnd w:id="40"/>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41" w:name="_Hlk72399819"/>
      <w:r>
        <w:rPr>
          <w:rFonts w:eastAsia="宋体" w:hint="eastAsia"/>
          <w:kern w:val="2"/>
          <w:sz w:val="21"/>
          <w:lang w:eastAsia="zh-CN"/>
        </w:rPr>
        <w:t>招标文件的编制与组成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hint="eastAsia"/>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第十一章  质疑处理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41"/>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2" w:name="_Toc13741"/>
      <w:bookmarkStart w:id="43" w:name="_Toc31413"/>
      <w:bookmarkStart w:id="44" w:name="_Toc18814"/>
      <w:bookmarkStart w:id="45" w:name="_Toc17279"/>
      <w:r>
        <w:rPr>
          <w:rFonts w:ascii="Arial" w:eastAsia="宋体" w:hAnsi="Arial" w:hint="eastAsia"/>
          <w:b/>
          <w:kern w:val="2"/>
          <w:sz w:val="32"/>
          <w:lang w:eastAsia="zh-CN"/>
        </w:rPr>
        <w:t>第三章  投标文件的编制</w:t>
      </w:r>
      <w:bookmarkEnd w:id="42"/>
      <w:bookmarkEnd w:id="43"/>
      <w:bookmarkEnd w:id="44"/>
      <w:bookmarkEnd w:id="45"/>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6" w:name="_Hlk72400236"/>
      <w:r>
        <w:rPr>
          <w:rFonts w:eastAsia="宋体" w:hint="eastAsia"/>
          <w:kern w:val="2"/>
          <w:sz w:val="21"/>
          <w:lang w:eastAsia="zh-CN"/>
        </w:rPr>
        <w:t>投标文件的语言及度量单位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6"/>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7" w:name="_Hlk72401567"/>
      <w:r>
        <w:rPr>
          <w:rFonts w:eastAsia="宋体" w:hint="eastAsia"/>
          <w:kern w:val="2"/>
          <w:sz w:val="21"/>
          <w:lang w:eastAsia="zh-CN"/>
        </w:rPr>
        <w:t>投标文件的组成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8" w:name="_Hlk72401735"/>
      <w:r>
        <w:rPr>
          <w:rFonts w:eastAsia="宋体" w:hint="eastAsia"/>
          <w:kern w:val="2"/>
          <w:sz w:val="21"/>
          <w:lang w:eastAsia="zh-CN"/>
        </w:rPr>
        <w:t>证明投标文件投标技术方案的合格性和符合招标文件规定的文件要求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8"/>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9" w:name="_Hlk72402034"/>
      <w:r>
        <w:rPr>
          <w:rFonts w:eastAsia="宋体" w:hint="eastAsia"/>
          <w:kern w:val="2"/>
          <w:sz w:val="21"/>
          <w:lang w:eastAsia="zh-CN"/>
        </w:rPr>
        <w:t>投标文件其他证明文件的要求</w:t>
      </w:r>
    </w:p>
    <w:p>
      <w:pPr>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50"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50"/>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9"/>
    <w:p>
      <w:pPr>
        <w:wordWrap w:val="0"/>
        <w:autoSpaceDE w:val="0"/>
        <w:autoSpaceDN w:val="0"/>
        <w:spacing w:line="400" w:lineRule="exact"/>
        <w:ind w:right="808" w:firstLine="420" w:firstLineChars="200"/>
        <w:jc w:val="both"/>
        <w:rPr>
          <w:rFonts w:eastAsia="宋体"/>
          <w:kern w:val="2"/>
          <w:sz w:val="21"/>
          <w:lang w:eastAsia="zh-CN"/>
        </w:rPr>
      </w:pPr>
      <w:bookmarkStart w:id="51"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51"/>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52" w:name="_Hlk72402325"/>
      <w:r>
        <w:rPr>
          <w:rFonts w:eastAsia="宋体" w:hint="eastAsia"/>
          <w:kern w:val="2"/>
          <w:sz w:val="21"/>
          <w:lang w:eastAsia="zh-CN"/>
        </w:rPr>
        <w:t>关于投标保证金</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2"/>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53"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53"/>
    </w:p>
    <w:p>
      <w:pPr>
        <w:wordWrap w:val="0"/>
        <w:autoSpaceDE w:val="0"/>
        <w:autoSpaceDN w:val="0"/>
        <w:spacing w:line="360" w:lineRule="auto"/>
        <w:ind w:right="808" w:firstLine="480" w:firstLineChars="200"/>
        <w:jc w:val="both"/>
        <w:rPr>
          <w:rFonts w:eastAsia="宋体"/>
          <w:b/>
          <w:kern w:val="2"/>
          <w:lang w:eastAsia="zh-CN"/>
        </w:rPr>
      </w:pP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4" w:name="_Toc18062"/>
      <w:bookmarkStart w:id="55" w:name="_Toc21427"/>
      <w:bookmarkStart w:id="56" w:name="_Toc28552"/>
      <w:bookmarkStart w:id="57" w:name="_Toc26761"/>
      <w:r>
        <w:rPr>
          <w:rFonts w:ascii="Arial" w:eastAsia="宋体" w:hAnsi="Arial" w:hint="eastAsia"/>
          <w:b/>
          <w:kern w:val="2"/>
          <w:sz w:val="32"/>
          <w:lang w:eastAsia="zh-CN"/>
        </w:rPr>
        <w:t>第四章</w:t>
      </w:r>
      <w:bookmarkStart w:id="58" w:name="_Toc30105"/>
      <w:r>
        <w:rPr>
          <w:rFonts w:ascii="Arial" w:eastAsia="宋体" w:hAnsi="Arial" w:hint="eastAsia"/>
          <w:b/>
          <w:kern w:val="2"/>
          <w:sz w:val="32"/>
          <w:lang w:eastAsia="zh-CN"/>
        </w:rPr>
        <w:t xml:space="preserve">  投标文件的</w:t>
      </w:r>
      <w:bookmarkEnd w:id="54"/>
      <w:r>
        <w:rPr>
          <w:rFonts w:ascii="Arial" w:eastAsia="宋体" w:hAnsi="Arial" w:hint="eastAsia"/>
          <w:b/>
          <w:kern w:val="2"/>
          <w:sz w:val="32"/>
          <w:lang w:eastAsia="zh-CN"/>
        </w:rPr>
        <w:t>递交</w:t>
      </w:r>
      <w:bookmarkEnd w:id="55"/>
      <w:bookmarkEnd w:id="56"/>
      <w:bookmarkEnd w:id="57"/>
      <w:bookmarkEnd w:id="58"/>
    </w:p>
    <w:p>
      <w:pPr>
        <w:wordWrap w:val="0"/>
        <w:autoSpaceDE w:val="0"/>
        <w:autoSpaceDN w:val="0"/>
        <w:spacing w:line="400" w:lineRule="exact"/>
        <w:ind w:right="808" w:firstLine="420" w:firstLineChars="200"/>
        <w:jc w:val="both"/>
        <w:rPr>
          <w:rFonts w:eastAsia="宋体"/>
          <w:kern w:val="2"/>
          <w:sz w:val="21"/>
          <w:lang w:eastAsia="zh-CN"/>
        </w:rPr>
      </w:pPr>
      <w:bookmarkStart w:id="59" w:name="_Hlk72405459"/>
      <w:r>
        <w:rPr>
          <w:rFonts w:eastAsia="宋体" w:hint="eastAsia"/>
          <w:kern w:val="2"/>
          <w:sz w:val="21"/>
          <w:lang w:eastAsia="zh-CN"/>
        </w:rPr>
        <w:t>24．投标文件的保密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9"/>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bookmarkStart w:id="60"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60"/>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61" w:name="第五章1"/>
      <w:bookmarkEnd w:id="61"/>
      <w:bookmarkStart w:id="62" w:name="_Toc73517666"/>
      <w:bookmarkStart w:id="63" w:name="_Toc100052391"/>
      <w:bookmarkStart w:id="64" w:name="_Toc1658"/>
      <w:bookmarkStart w:id="65" w:name="_Toc14713"/>
      <w:bookmarkStart w:id="66" w:name="_Toc2041"/>
      <w:bookmarkStart w:id="67" w:name="_Toc73518144"/>
      <w:bookmarkStart w:id="68" w:name="_Toc101074881"/>
      <w:bookmarkStart w:id="69" w:name="_Toc13806"/>
      <w:r>
        <w:rPr>
          <w:rFonts w:ascii="Arial" w:eastAsia="宋体" w:hAnsi="Arial" w:hint="eastAsia"/>
          <w:b/>
          <w:kern w:val="2"/>
          <w:sz w:val="32"/>
          <w:lang w:eastAsia="zh-CN"/>
        </w:rPr>
        <w:t>第五章</w:t>
      </w:r>
      <w:bookmarkStart w:id="70" w:name="_Toc4434"/>
      <w:r>
        <w:rPr>
          <w:rFonts w:ascii="Arial" w:eastAsia="宋体" w:hAnsi="Arial" w:hint="eastAsia"/>
          <w:b/>
          <w:kern w:val="2"/>
          <w:sz w:val="32"/>
          <w:lang w:eastAsia="zh-CN"/>
        </w:rPr>
        <w:t xml:space="preserve">  开标</w:t>
      </w:r>
      <w:bookmarkEnd w:id="62"/>
      <w:bookmarkEnd w:id="63"/>
      <w:bookmarkEnd w:id="64"/>
      <w:bookmarkEnd w:id="65"/>
      <w:bookmarkEnd w:id="66"/>
      <w:bookmarkEnd w:id="67"/>
      <w:bookmarkEnd w:id="68"/>
      <w:bookmarkEnd w:id="69"/>
      <w:bookmarkEnd w:id="70"/>
    </w:p>
    <w:p>
      <w:pPr>
        <w:wordWrap w:val="0"/>
        <w:autoSpaceDE w:val="0"/>
        <w:autoSpaceDN w:val="0"/>
        <w:spacing w:line="400" w:lineRule="exact"/>
        <w:ind w:right="808" w:firstLine="420" w:firstLineChars="200"/>
        <w:jc w:val="both"/>
        <w:rPr>
          <w:rFonts w:eastAsia="宋体"/>
          <w:kern w:val="2"/>
          <w:sz w:val="21"/>
          <w:lang w:eastAsia="zh-CN"/>
        </w:rPr>
      </w:pPr>
      <w:bookmarkStart w:id="71" w:name="_Toc73518146"/>
      <w:bookmarkStart w:id="72" w:name="_Toc73517668"/>
      <w:bookmarkStart w:id="73" w:name="_Toc101074882"/>
      <w:bookmarkStart w:id="74" w:name="_Toc100052393"/>
      <w:r>
        <w:rPr>
          <w:rFonts w:eastAsia="宋体" w:hint="eastAsia"/>
          <w:kern w:val="2"/>
          <w:sz w:val="21"/>
          <w:lang w:eastAsia="zh-CN"/>
        </w:rPr>
        <w:t>28．开标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ordWrap w:val="0"/>
        <w:autoSpaceDE w:val="0"/>
        <w:autoSpaceDN w:val="0"/>
        <w:spacing w:line="360" w:lineRule="auto"/>
        <w:ind w:right="808" w:firstLine="480" w:firstLineChars="200"/>
        <w:jc w:val="both"/>
        <w:rPr>
          <w:rFonts w:eastAsia="宋体"/>
          <w:b/>
          <w:kern w:val="2"/>
          <w:lang w:eastAsia="zh-CN"/>
        </w:rPr>
      </w:pPr>
    </w:p>
    <w:bookmarkEnd w:id="71"/>
    <w:bookmarkEnd w:id="72"/>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5" w:name="第六章1"/>
      <w:bookmarkEnd w:id="75"/>
      <w:bookmarkStart w:id="76" w:name="_Toc27869"/>
      <w:bookmarkStart w:id="77" w:name="_Toc29197"/>
      <w:bookmarkStart w:id="78" w:name="_Toc7319"/>
      <w:bookmarkStart w:id="79" w:name="_Toc20179"/>
      <w:r>
        <w:rPr>
          <w:rFonts w:ascii="Arial" w:eastAsia="宋体" w:hAnsi="Arial" w:hint="eastAsia"/>
          <w:b/>
          <w:kern w:val="2"/>
          <w:sz w:val="32"/>
          <w:lang w:eastAsia="zh-CN"/>
        </w:rPr>
        <w:t>第六章</w:t>
      </w:r>
      <w:bookmarkStart w:id="80" w:name="_Toc29225"/>
      <w:r>
        <w:rPr>
          <w:rFonts w:ascii="Arial" w:eastAsia="宋体" w:hAnsi="Arial" w:hint="eastAsia"/>
          <w:b/>
          <w:kern w:val="2"/>
          <w:sz w:val="32"/>
          <w:lang w:eastAsia="zh-CN"/>
        </w:rPr>
        <w:t xml:space="preserve">  评审要求</w:t>
      </w:r>
      <w:bookmarkEnd w:id="73"/>
      <w:bookmarkEnd w:id="74"/>
      <w:bookmarkEnd w:id="76"/>
      <w:bookmarkEnd w:id="77"/>
      <w:bookmarkEnd w:id="78"/>
      <w:bookmarkEnd w:id="79"/>
      <w:bookmarkEnd w:id="80"/>
    </w:p>
    <w:p>
      <w:pPr>
        <w:wordWrap w:val="0"/>
        <w:autoSpaceDE w:val="0"/>
        <w:autoSpaceDN w:val="0"/>
        <w:spacing w:line="400" w:lineRule="exact"/>
        <w:ind w:right="808" w:firstLine="420" w:firstLineChars="200"/>
        <w:jc w:val="both"/>
        <w:rPr>
          <w:rFonts w:eastAsia="宋体"/>
          <w:kern w:val="2"/>
          <w:sz w:val="21"/>
          <w:lang w:eastAsia="zh-CN"/>
        </w:rPr>
      </w:pPr>
      <w:bookmarkStart w:id="81" w:name="第七章1"/>
      <w:bookmarkEnd w:id="81"/>
      <w:bookmarkStart w:id="82" w:name="_Toc19125"/>
      <w:bookmarkStart w:id="83" w:name="_Toc1296"/>
      <w:bookmarkStart w:id="84" w:name="_Toc101074883"/>
      <w:bookmarkStart w:id="85" w:name="_Toc100052397"/>
      <w:bookmarkStart w:id="86" w:name="_Toc20125"/>
      <w:r>
        <w:rPr>
          <w:rFonts w:eastAsia="宋体" w:hint="eastAsia"/>
          <w:kern w:val="2"/>
          <w:sz w:val="21"/>
          <w:lang w:eastAsia="zh-CN"/>
        </w:rPr>
        <w:t>29．评审委员会组成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ordWrap w:val="0"/>
        <w:autoSpaceDE w:val="0"/>
        <w:autoSpaceDN w:val="0"/>
        <w:spacing w:line="400" w:lineRule="exact"/>
        <w:ind w:right="808" w:firstLine="420" w:firstLineChars="200"/>
        <w:jc w:val="both"/>
        <w:rPr>
          <w:rFonts w:eastAsia="宋体"/>
          <w:kern w:val="2"/>
          <w:sz w:val="21"/>
          <w:lang w:eastAsia="zh-CN"/>
        </w:rPr>
      </w:pPr>
      <w:bookmarkStart w:id="87"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7"/>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8" w:name="_Toc18761"/>
      <w:r>
        <w:rPr>
          <w:rFonts w:ascii="Arial" w:eastAsia="宋体" w:hAnsi="Arial" w:hint="eastAsia"/>
          <w:b/>
          <w:kern w:val="2"/>
          <w:sz w:val="32"/>
          <w:lang w:eastAsia="zh-CN"/>
        </w:rPr>
        <w:t>第七章</w:t>
      </w:r>
      <w:bookmarkStart w:id="89" w:name="_Toc26636"/>
      <w:r>
        <w:rPr>
          <w:rFonts w:ascii="Arial" w:eastAsia="宋体" w:hAnsi="Arial" w:hint="eastAsia"/>
          <w:b/>
          <w:kern w:val="2"/>
          <w:sz w:val="32"/>
          <w:lang w:eastAsia="zh-CN"/>
        </w:rPr>
        <w:t xml:space="preserve">  评审程序</w:t>
      </w:r>
      <w:bookmarkStart w:id="90" w:name="_Toc73518149"/>
      <w:bookmarkStart w:id="91" w:name="_Toc73517671"/>
      <w:r>
        <w:rPr>
          <w:rFonts w:ascii="Arial" w:eastAsia="宋体" w:hAnsi="Arial" w:hint="eastAsia"/>
          <w:b/>
          <w:kern w:val="2"/>
          <w:sz w:val="32"/>
          <w:lang w:eastAsia="zh-CN"/>
        </w:rPr>
        <w:t>及评审方法</w:t>
      </w:r>
      <w:bookmarkEnd w:id="82"/>
      <w:bookmarkEnd w:id="83"/>
      <w:bookmarkEnd w:id="84"/>
      <w:bookmarkEnd w:id="85"/>
      <w:bookmarkEnd w:id="86"/>
      <w:bookmarkEnd w:id="88"/>
      <w:bookmarkEnd w:id="89"/>
    </w:p>
    <w:bookmarkEnd w:id="90"/>
    <w:bookmarkEnd w:id="91"/>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ordWrap w:val="0"/>
        <w:autoSpaceDE w:val="0"/>
        <w:autoSpaceDN w:val="0"/>
        <w:spacing w:line="400" w:lineRule="exact"/>
        <w:ind w:right="808" w:firstLine="420" w:firstLineChars="200"/>
        <w:jc w:val="both"/>
        <w:rPr>
          <w:rFonts w:eastAsia="宋体"/>
          <w:kern w:val="2"/>
          <w:sz w:val="21"/>
          <w:lang w:eastAsia="zh-CN"/>
        </w:rPr>
      </w:pPr>
      <w:bookmarkStart w:id="92"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92"/>
    </w:p>
    <w:p>
      <w:pPr>
        <w:wordWrap w:val="0"/>
        <w:autoSpaceDE w:val="0"/>
        <w:autoSpaceDN w:val="0"/>
        <w:spacing w:line="400" w:lineRule="exact"/>
        <w:ind w:right="808"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ordWrap w:val="0"/>
        <w:autoSpaceDE w:val="0"/>
        <w:autoSpaceDN w:val="0"/>
        <w:spacing w:line="400" w:lineRule="exact"/>
        <w:ind w:right="808" w:firstLine="420" w:firstLineChars="200"/>
        <w:jc w:val="both"/>
        <w:rPr>
          <w:rFonts w:eastAsia="宋体"/>
          <w:kern w:val="2"/>
          <w:sz w:val="21"/>
          <w:lang w:eastAsia="zh-CN"/>
        </w:rPr>
      </w:pPr>
      <w:bookmarkStart w:id="93" w:name="_Toc73521669"/>
      <w:bookmarkStart w:id="94" w:name="_Toc100052400"/>
      <w:bookmarkStart w:id="95" w:name="_Toc73518151"/>
      <w:bookmarkStart w:id="96" w:name="_Toc73521581"/>
      <w:bookmarkStart w:id="97" w:name="_Toc73517673"/>
      <w:r>
        <w:rPr>
          <w:rFonts w:eastAsia="宋体" w:hint="eastAsia"/>
          <w:kern w:val="2"/>
          <w:sz w:val="21"/>
          <w:lang w:eastAsia="zh-CN"/>
        </w:rPr>
        <w:t>34．错误的修正</w:t>
      </w:r>
      <w:bookmarkEnd w:id="93"/>
      <w:bookmarkEnd w:id="94"/>
      <w:bookmarkEnd w:id="95"/>
      <w:bookmarkEnd w:id="96"/>
      <w:bookmarkEnd w:id="97"/>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ordWrap w:val="0"/>
        <w:autoSpaceDE w:val="0"/>
        <w:autoSpaceDN w:val="0"/>
        <w:spacing w:line="400" w:lineRule="exact"/>
        <w:ind w:right="808" w:firstLine="420" w:firstLineChars="200"/>
        <w:jc w:val="both"/>
        <w:rPr>
          <w:rFonts w:eastAsia="宋体"/>
          <w:kern w:val="2"/>
          <w:sz w:val="21"/>
          <w:lang w:eastAsia="zh-CN"/>
        </w:rPr>
      </w:pPr>
      <w:bookmarkStart w:id="98" w:name="_Hlk72438142"/>
      <w:r>
        <w:rPr>
          <w:rFonts w:eastAsia="宋体" w:hint="eastAsia"/>
          <w:kern w:val="2"/>
          <w:sz w:val="21"/>
          <w:lang w:eastAsia="zh-CN"/>
        </w:rPr>
        <w:t>37.1.1最低价法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8"/>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9" w:name="第八章1"/>
      <w:bookmarkEnd w:id="99"/>
      <w:bookmarkStart w:id="100" w:name="_Toc26094"/>
      <w:bookmarkStart w:id="101" w:name="_Toc1513"/>
      <w:bookmarkStart w:id="102" w:name="_Toc30568"/>
      <w:bookmarkStart w:id="103" w:name="_Toc13341"/>
      <w:r>
        <w:rPr>
          <w:rFonts w:ascii="Arial" w:eastAsia="宋体" w:hAnsi="Arial" w:hint="eastAsia"/>
          <w:b/>
          <w:kern w:val="2"/>
          <w:sz w:val="32"/>
          <w:lang w:eastAsia="zh-CN"/>
        </w:rPr>
        <w:t>第八章</w:t>
      </w:r>
      <w:bookmarkStart w:id="104" w:name="_Toc24537"/>
      <w:r>
        <w:rPr>
          <w:rFonts w:ascii="Arial" w:eastAsia="宋体" w:hAnsi="Arial" w:hint="eastAsia"/>
          <w:b/>
          <w:kern w:val="2"/>
          <w:sz w:val="32"/>
          <w:lang w:eastAsia="zh-CN"/>
        </w:rPr>
        <w:t xml:space="preserve">  定标及公示</w:t>
      </w:r>
      <w:bookmarkEnd w:id="100"/>
      <w:bookmarkEnd w:id="101"/>
      <w:bookmarkEnd w:id="102"/>
      <w:bookmarkEnd w:id="103"/>
      <w:bookmarkEnd w:id="104"/>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ordWrap w:val="0"/>
        <w:autoSpaceDE w:val="0"/>
        <w:autoSpaceDN w:val="0"/>
        <w:spacing w:line="400" w:lineRule="exact"/>
        <w:ind w:right="808" w:firstLine="420" w:firstLineChars="200"/>
        <w:jc w:val="both"/>
        <w:rPr>
          <w:rFonts w:eastAsia="宋体"/>
          <w:kern w:val="2"/>
          <w:sz w:val="21"/>
          <w:lang w:eastAsia="zh-CN"/>
        </w:rPr>
      </w:pPr>
      <w:bookmarkStart w:id="105" w:name="_Hlk73782795"/>
      <w:r>
        <w:rPr>
          <w:rFonts w:eastAsia="宋体" w:hint="eastAsia"/>
          <w:kern w:val="2"/>
          <w:sz w:val="21"/>
          <w:lang w:eastAsia="zh-CN"/>
        </w:rPr>
        <w:t>38.1非评定分离项目定标方法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6"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7"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6"/>
      <w:bookmarkEnd w:id="107"/>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5"/>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8"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8"/>
      <w:bookmarkStart w:id="109"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9"/>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10"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10"/>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ordWrap w:val="0"/>
        <w:autoSpaceDE w:val="0"/>
        <w:autoSpaceDN w:val="0"/>
        <w:spacing w:line="400" w:lineRule="exact"/>
        <w:ind w:right="808" w:firstLine="420" w:firstLineChars="200"/>
        <w:jc w:val="both"/>
        <w:rPr>
          <w:rFonts w:eastAsia="宋体"/>
          <w:kern w:val="2"/>
          <w:sz w:val="21"/>
          <w:lang w:eastAsia="zh-CN"/>
        </w:rPr>
      </w:pPr>
      <w:bookmarkStart w:id="111" w:name="_Hlk71407340"/>
      <w:r>
        <w:rPr>
          <w:rFonts w:eastAsia="宋体" w:hint="eastAsia"/>
          <w:kern w:val="2"/>
          <w:sz w:val="21"/>
          <w:lang w:eastAsia="zh-CN"/>
        </w:rPr>
        <w:t>41.3因质疑投诉或其它原因导致项目结果变更或采购终止的，采购代理机构有权吊销中标通知书。</w:t>
      </w:r>
    </w:p>
    <w:bookmarkEnd w:id="111"/>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2" w:name="第九章1"/>
      <w:bookmarkEnd w:id="112"/>
      <w:bookmarkStart w:id="113" w:name="_Toc20277"/>
      <w:bookmarkStart w:id="114" w:name="_Toc17412"/>
      <w:bookmarkStart w:id="115" w:name="_Toc25733"/>
      <w:bookmarkStart w:id="116" w:name="_Toc24474"/>
      <w:bookmarkStart w:id="117" w:name="_Toc11736"/>
      <w:bookmarkStart w:id="118" w:name="_Toc73517678"/>
      <w:bookmarkStart w:id="119" w:name="_Toc100052407"/>
      <w:bookmarkStart w:id="120" w:name="_Toc101074884"/>
      <w:r>
        <w:rPr>
          <w:rFonts w:ascii="Arial" w:eastAsia="宋体" w:hAnsi="Arial" w:hint="eastAsia"/>
          <w:b/>
          <w:kern w:val="2"/>
          <w:sz w:val="32"/>
          <w:lang w:eastAsia="zh-CN"/>
        </w:rPr>
        <w:t>第九章  公开采购失败的后续处理</w:t>
      </w:r>
      <w:bookmarkEnd w:id="113"/>
      <w:bookmarkEnd w:id="114"/>
      <w:bookmarkEnd w:id="115"/>
      <w:bookmarkEnd w:id="116"/>
      <w:bookmarkEnd w:id="117"/>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ordWrap w:val="0"/>
        <w:autoSpaceDE w:val="0"/>
        <w:autoSpaceDN w:val="0"/>
        <w:spacing w:line="360" w:lineRule="auto"/>
        <w:ind w:right="808" w:firstLine="480" w:firstLineChars="200"/>
        <w:jc w:val="both"/>
        <w:rPr>
          <w:rFonts w:eastAsia="宋体"/>
          <w:b/>
          <w:kern w:val="2"/>
          <w:lang w:eastAsia="zh-CN"/>
        </w:rPr>
      </w:pPr>
    </w:p>
    <w:bookmarkEnd w:id="118"/>
    <w:bookmarkEnd w:id="119"/>
    <w:bookmarkEnd w:id="120"/>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21" w:name="第十章1"/>
      <w:bookmarkEnd w:id="121"/>
      <w:bookmarkStart w:id="122" w:name="_Toc27904"/>
      <w:bookmarkStart w:id="123" w:name="_Toc26814"/>
      <w:bookmarkStart w:id="124" w:name="_Toc13677"/>
      <w:bookmarkStart w:id="125" w:name="_Toc9122"/>
      <w:bookmarkStart w:id="126" w:name="_Toc26432"/>
      <w:r>
        <w:rPr>
          <w:rFonts w:ascii="Arial" w:eastAsia="宋体" w:hAnsi="Arial" w:hint="eastAsia"/>
          <w:b/>
          <w:kern w:val="2"/>
          <w:sz w:val="32"/>
          <w:lang w:eastAsia="zh-CN"/>
        </w:rPr>
        <w:t>第十章  合同的授予与备案</w:t>
      </w:r>
      <w:bookmarkEnd w:id="122"/>
      <w:bookmarkEnd w:id="123"/>
      <w:bookmarkEnd w:id="124"/>
      <w:bookmarkEnd w:id="125"/>
      <w:bookmarkEnd w:id="126"/>
    </w:p>
    <w:p>
      <w:pPr>
        <w:wordWrap w:val="0"/>
        <w:autoSpaceDE w:val="0"/>
        <w:autoSpaceDN w:val="0"/>
        <w:spacing w:line="400" w:lineRule="exact"/>
        <w:ind w:right="808" w:firstLine="420" w:firstLineChars="200"/>
        <w:jc w:val="both"/>
        <w:rPr>
          <w:rFonts w:eastAsia="宋体"/>
          <w:kern w:val="2"/>
          <w:sz w:val="21"/>
          <w:lang w:eastAsia="zh-CN"/>
        </w:rPr>
      </w:pPr>
      <w:bookmarkStart w:id="127" w:name="_33._合同授予标准"/>
      <w:bookmarkEnd w:id="127"/>
      <w:bookmarkStart w:id="128" w:name="_Toc73521586"/>
      <w:bookmarkStart w:id="129" w:name="_Toc73518157"/>
      <w:bookmarkStart w:id="130" w:name="_Toc73517679"/>
      <w:bookmarkStart w:id="131" w:name="_Toc100052408"/>
      <w:bookmarkStart w:id="132" w:name="_Toc73521674"/>
      <w:bookmarkStart w:id="133" w:name="_Hlk72439088"/>
      <w:r>
        <w:rPr>
          <w:rFonts w:eastAsia="宋体" w:hint="eastAsia"/>
          <w:kern w:val="2"/>
          <w:sz w:val="21"/>
          <w:lang w:eastAsia="zh-CN"/>
        </w:rPr>
        <w:t>43．合同授予标准</w:t>
      </w:r>
      <w:bookmarkEnd w:id="128"/>
      <w:bookmarkEnd w:id="129"/>
      <w:bookmarkEnd w:id="130"/>
      <w:bookmarkEnd w:id="131"/>
      <w:bookmarkEnd w:id="132"/>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ordWrap w:val="0"/>
        <w:autoSpaceDE w:val="0"/>
        <w:autoSpaceDN w:val="0"/>
        <w:spacing w:line="400" w:lineRule="exact"/>
        <w:ind w:right="808" w:firstLine="420" w:firstLineChars="200"/>
        <w:jc w:val="both"/>
        <w:rPr>
          <w:rFonts w:eastAsia="宋体"/>
          <w:kern w:val="2"/>
          <w:sz w:val="21"/>
          <w:lang w:eastAsia="zh-CN"/>
        </w:rPr>
      </w:pPr>
      <w:bookmarkStart w:id="134" w:name="_Toc73521587"/>
      <w:bookmarkStart w:id="135" w:name="_Toc73521675"/>
      <w:bookmarkStart w:id="136" w:name="_Toc73517680"/>
      <w:bookmarkStart w:id="137" w:name="_Toc100052409"/>
      <w:bookmarkStart w:id="138" w:name="_Toc73518158"/>
      <w:r>
        <w:rPr>
          <w:rFonts w:eastAsia="宋体" w:hint="eastAsia"/>
          <w:kern w:val="2"/>
          <w:sz w:val="21"/>
          <w:lang w:eastAsia="zh-CN"/>
        </w:rPr>
        <w:t>44．</w:t>
      </w:r>
      <w:bookmarkEnd w:id="134"/>
      <w:bookmarkEnd w:id="135"/>
      <w:bookmarkEnd w:id="136"/>
      <w:bookmarkEnd w:id="137"/>
      <w:bookmarkEnd w:id="138"/>
      <w:r>
        <w:rPr>
          <w:rFonts w:eastAsia="宋体" w:hint="eastAsia"/>
          <w:kern w:val="2"/>
          <w:sz w:val="21"/>
          <w:lang w:eastAsia="zh-CN"/>
        </w:rPr>
        <w:t>接受和拒绝任何或所有投标的权力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ordWrap w:val="0"/>
        <w:autoSpaceDE w:val="0"/>
        <w:autoSpaceDN w:val="0"/>
        <w:spacing w:line="400" w:lineRule="exact"/>
        <w:ind w:right="808" w:firstLine="420" w:firstLineChars="200"/>
        <w:jc w:val="both"/>
        <w:rPr>
          <w:rFonts w:eastAsia="宋体"/>
          <w:kern w:val="2"/>
          <w:sz w:val="21"/>
          <w:lang w:eastAsia="zh-CN"/>
        </w:rPr>
      </w:pPr>
      <w:bookmarkStart w:id="139" w:name="_Toc73521677"/>
      <w:bookmarkStart w:id="140" w:name="_Toc73521589"/>
      <w:bookmarkStart w:id="141" w:name="_Toc73517682"/>
      <w:bookmarkStart w:id="142" w:name="_Toc100052410"/>
      <w:bookmarkStart w:id="143" w:name="_Toc73518160"/>
      <w:r>
        <w:rPr>
          <w:rFonts w:eastAsia="宋体" w:hint="eastAsia"/>
          <w:kern w:val="2"/>
          <w:sz w:val="21"/>
          <w:lang w:eastAsia="zh-CN"/>
        </w:rPr>
        <w:t>45．合同的签订</w:t>
      </w:r>
      <w:bookmarkEnd w:id="139"/>
      <w:bookmarkEnd w:id="140"/>
      <w:bookmarkEnd w:id="141"/>
      <w:bookmarkEnd w:id="142"/>
      <w:bookmarkEnd w:id="14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ordWrap w:val="0"/>
        <w:autoSpaceDE w:val="0"/>
        <w:autoSpaceDN w:val="0"/>
        <w:spacing w:line="400" w:lineRule="exact"/>
        <w:ind w:right="808" w:firstLine="420" w:firstLineChars="200"/>
        <w:jc w:val="both"/>
        <w:rPr>
          <w:rFonts w:eastAsia="宋体"/>
          <w:kern w:val="2"/>
          <w:sz w:val="21"/>
          <w:lang w:eastAsia="zh-CN"/>
        </w:rPr>
      </w:pPr>
      <w:bookmarkStart w:id="144" w:name="_Toc73518161"/>
      <w:bookmarkStart w:id="145" w:name="_Toc73517683"/>
      <w:bookmarkStart w:id="146" w:name="_Toc100052411"/>
      <w:bookmarkStart w:id="147" w:name="_Toc73521678"/>
      <w:bookmarkStart w:id="148" w:name="_Toc73521590"/>
      <w:r>
        <w:rPr>
          <w:rFonts w:eastAsia="宋体" w:hint="eastAsia"/>
          <w:kern w:val="2"/>
          <w:sz w:val="21"/>
          <w:lang w:eastAsia="zh-CN"/>
        </w:rPr>
        <w:t>46．履约担保</w:t>
      </w:r>
      <w:bookmarkEnd w:id="144"/>
      <w:bookmarkEnd w:id="145"/>
      <w:bookmarkEnd w:id="146"/>
      <w:bookmarkEnd w:id="147"/>
      <w:bookmarkEnd w:id="148"/>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9" w:name="_Hlk72440769"/>
      <w:r>
        <w:rPr>
          <w:rFonts w:eastAsia="宋体" w:hint="eastAsia"/>
          <w:kern w:val="2"/>
          <w:sz w:val="21"/>
          <w:lang w:eastAsia="zh-CN"/>
        </w:rPr>
        <w:t>采购代理机构或采购人不予退还其交纳的谈判保证金，情节严重的，并由主管部门</w:t>
      </w:r>
      <w:bookmarkEnd w:id="149"/>
      <w:r>
        <w:rPr>
          <w:rFonts w:eastAsia="宋体" w:hint="eastAsia"/>
          <w:kern w:val="2"/>
          <w:sz w:val="21"/>
          <w:lang w:eastAsia="zh-CN"/>
        </w:rPr>
        <w:t>记入供应商诚信档案，予以通报：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33"/>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50" w:name="_Toc19433"/>
      <w:r>
        <w:rPr>
          <w:rFonts w:ascii="Arial" w:eastAsia="宋体" w:hAnsi="Arial" w:hint="eastAsia"/>
          <w:b/>
          <w:kern w:val="2"/>
          <w:sz w:val="32"/>
          <w:lang w:eastAsia="zh-CN"/>
        </w:rPr>
        <w:t>第十一章  质疑处理</w:t>
      </w:r>
      <w:bookmarkEnd w:id="150"/>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51" w:name="_Hlk75374941"/>
      <w:r>
        <w:rPr>
          <w:rFonts w:eastAsia="宋体" w:hint="eastAsia"/>
          <w:kern w:val="2"/>
          <w:sz w:val="21"/>
          <w:lang w:eastAsia="zh-CN"/>
        </w:rPr>
        <w:t>以联合体形式参与的，质疑应当由组成联合体的所有成员共同提出</w:t>
      </w:r>
      <w:bookmarkEnd w:id="151"/>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ordWrap w:val="0"/>
        <w:autoSpaceDE w:val="0"/>
        <w:autoSpaceDN w:val="0"/>
        <w:spacing w:line="400" w:lineRule="exact"/>
        <w:ind w:right="808" w:firstLine="420" w:firstLineChars="200"/>
        <w:jc w:val="both"/>
        <w:rPr>
          <w:rFonts w:ascii="仿宋" w:eastAsia="仿宋" w:hAnsi="仿宋" w:hint="eastAsia"/>
          <w:kern w:val="2"/>
          <w:sz w:val="28"/>
          <w:szCs w:val="28"/>
          <w:lang w:eastAsia="zh-CN"/>
        </w:rPr>
      </w:pPr>
      <w:r>
        <w:rPr>
          <w:rFonts w:eastAsia="宋体" w:hint="eastAsia"/>
          <w:kern w:val="2"/>
          <w:sz w:val="21"/>
          <w:lang w:eastAsia="zh-CN"/>
        </w:rPr>
        <w:t>52.6.2供应商提交的质疑材料不符合质疑条件的，视情况处理：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ordWrap w:val="0"/>
        <w:autoSpaceDE w:val="0"/>
        <w:autoSpaceDN w:val="0"/>
        <w:spacing w:line="400" w:lineRule="exact"/>
        <w:ind w:right="808" w:firstLine="420" w:firstLineChars="200"/>
        <w:jc w:val="both"/>
        <w:rPr>
          <w:rFonts w:ascii="微软雅黑" w:eastAsia="微软雅黑" w:hAnsi="微软雅黑" w:cs="微软雅黑" w:hint="eastAsia"/>
          <w:color w:val="333333"/>
          <w:lang w:val="en" w:eastAsia="zh-CN"/>
        </w:rPr>
        <w:sectPr>
          <w:headerReference w:type="default" r:id="rId22"/>
          <w:footerReference w:type="default" r:id="rId23"/>
          <w:pgSz w:w="12240" w:h="1584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幼儿园家私采购-A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效果图</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售后服务评价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样品</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环保产品</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LHAZXDL-2025-00685-001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幼儿园家私采购-A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9、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9、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社保放至投标人认为需要加以说明的其他内容”即可）。：</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社保放至投标人认为需要加以说明的其他内容”即可）。</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在投标文件中详细说明技术保障措施,内容须包括： （1）技术团队（应包含组织架构、项目负责人和分项技术人员配置等）； （2）技术方案（包括前期项目分析、产品制作安装工艺流程与规范标准、包含清单中的货物规格、材质及安全措施等）； （3）场地（应包含符合项目实际场地情况的人员、车辆及货物进出、现场环境保护等内容）； （4）车辆（计划实施的车辆使用信息）。 （二）评审标准： 方案中含有上述一个内容得10分，总计40分。在此基础上，对方案的合理性、可行性进行打分。 优：实施方案科学可行、合理、先进，保证措施具体，工期计划目标明确，得60分。 良：实施方案可行、较合理、较先进、保证措施一般，工期计划目标较明确，得20分。 中：实施方案满足招标文件要求，进度计划较可行、较合理、保证措施较差，得10分。 差：未提供实施方案，得0分。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评审小组根据《技术规格偏离表》（以下简称“偏离表”）响应情况进行打分，全部满足的得100分。除实质性条款外，一般参数负偏离一项扣0.04分，重点技术参数▲项负偏离一项扣18分，扣完为止。 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效果图</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投标人参考招标文件平面图（详见招标文相应章节件）提供以下内容： 根据货物清单明细中要求的货物及所在的空间提供相应的平面布局图及室内设计效果图，具体要求如下： 1.投标人根据技术要求“序号1-序号80”提供小班、中班、大班3个空间的幼儿教室区域摆放平面布置图和效果图 ，合计不少于12张图。 2.投标人根据技术要求“序号81-序号92”提供美术室空间的区域摆放平面布置图和效果图，合计不少于4张图。 3.投标人根据技术要求“序号93--序号153”提供园长办公室（2间）、副园长+安全主任办公室（1间）、财务室（1间）、教师办公室（2间）、保健室（1间）、会议室（1间）等8个空间的区域摆放平面布置图和效果图，合计不少于14张图。 4.投标人根据技术要求“序号156--序号167”提供教职工餐厅空间的区域摆放平面布置图和效果图，合计不少于4张图。 评审标准： 1.提供以上空间（需包含空间内提到的所有货物）的平面布局图及室内设计效果图，每提供一个空间可得2.3分，最高可得30分。 2.在此基础上，评标委员会根据具体响应内容进一步评审 （1）评价为优（内容完整，家具摆放设计合理、实用性强，家具设计美观、图片清晰、整体效果完全符合场景环境实际需求）的加70分； （2）评价为良（内容完整，家具摆放设计较为合理、实用性较好，家具设计较好、图片清晰、整体效果基本符合场景环境实际需求）的加30分； （3）评价为中（内容基本完整，家具摆放设计合理性一般、实用性一般，家具设计一般、图片清晰、整体效果不完全符合场景环境实际需求）的加10分； （4）评价为差（内容不完整，家具摆放设计合理性较差、实用性较差，家具设计较差、图片不清晰、整体效果不符合场景环境实际需求）的不加分。 以上2项累计得分，最高得100分。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投标人提供本项目的售后服务方案，方案中包含： 1、服务内容； 2、维修应急方案； 3、培训计划； 4、其他特色服务。 （二）评审标准： 方案中含有上述一个内容得10分，总计40分。在此基础上，对方案的合理性、可行性进行打分。 1、售后服务方案非常详细，保障措施完善可行，得60分； 2、售后服务方案比较具体，保障措施比较完善可行的得20分； 3、未提供售后服务方案或售后服务方案不详细、可行性较差的得0分。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样品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投标人需以视频形式对样品清单中“原木5格分区矮柜.可拆黑白板”的产品按照以下内容进行视频演示。视频具备声音及字幕配合，能直观展示样品，如收纳、调节等的动态演示，每个产品动态视频不少于2分钟。 1.按照样品清单要求尺寸对视频中所提供的实物“原木5格分区矮柜.可拆黑白板”进行测量，完全满足得 25 分，其他情况不得分; 2.按照样品清单要求的功能设计对视频中所提供的实物“原木5格分区矮柜.可拆黑白板”进行演示讲解，完全满足得 25 分，其他情况不得分; 3.按照样品清单要求的外观结构对视频中所提供的实物“原木5格分区矮柜.可拆黑白板”进行演示讲解，完全满足得 25 分，其他情况不得分; 4.按照样品清单要求的材质用料对视频中所提供的实物“原木5格分区矮柜.可拆黑白板”进行演示讲解，完全满足得 25 分，其他情况不得分; 以上各小项累计加分，最高得 100 分。 （二）评分依据 评审委员会根据以上“视频演示”内容和具体的演示情况进行打分，未按照以上“视频演示”内容进行演示的或演示视频无法证明是否得分的，均不得相应分数。若视频演示无法打开，则视同演示不成功，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响应供应商应如实填写《其他商务条款偏离表》，评审小组根据响应情况进行打分，全部满足要求的得满分100分，除实质性条款外，每负偏离一项扣10分，扣完为止。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2022年1月1日以后（以合同签定日期为准），投标人每提供一个“家具类”业绩的得50分，最高得100分。 注：续签（或补充）合同不重复计算； （二）评分依据： 1、投标人提供的每项业绩须按以下要求同时提供完整准确的证明文件，如未按以下要求提供完整证明文件的业绩不计分： （1）提供合同关键信息（含签订合同双方的单位名称、合同项目名称、签订合同双方的落款盖章、签订日期的关键页、合同清单）； （2）验收报告，需加盖采购单位或被服务单位公章（或业务章）； （3）中标通知书或项目合同发票。 2、未提供有效证明材料的或者提供的证明材料不符合要求的或者提供的证明材料不清晰导致评审专家无法辨认的，一律作不得分处理。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环保产品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1.投标人或核心产品制造商提供第三方机构颁发的《儿童安全级产品认证证书》，认证单元包含：实木家具、板木家具等，产品符合CTS 08001-2020《家具产品儿童安全级评价技术规范》的要求，其认证产品包含但不限于桌台类、柜类、椅类等，满足得20分，否则不得分。 2.投标人或核心产品制造商提供第三方机构颁发的《低甲醛家具产品认证证书》（符合GBT 35607-2024），认证单元包含：木家具；金属家具；软体家具，满足得20分，否则不得分。 3.投标人或核心产品制造商提供第三方机构颁发的《产品抗菌认证证书》（认证依据：QBT 4371-2012）。认证单元包含：木家具；金属家具；软体家具，满足得20分，否则不得分。 4.投标人或其核心产品制造商具有通过第三方机构颁发的《有害物质过程控制管理体系认证证书》，认证范围包含但不限于幼儿家具、儿童户外游乐设施的设计开发、生产和销售所涉及的有害物质管理活动。满足得20分，否则不得分。 5.投标人或其核心产品制造商具有第三方认证机构颁发的《产品阻燃等级认证证书》（产品标准：GB 20286-2006），认证单元包含：木家具；软体家具，满足得20分，否则不得分。 注：提供以上有效期内认证证书复印件以及国家认可监督管理委员会（网址：httpwww.cnca.gov.cn）查询的截图并加盖投标人公章，否则不得分。原件备查。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承诺在参与龙华区教育局自行采购活动中未出现诚信或安全相关问题且不在相关主管部门处理措施实施期限内的本项得满分100分，否则不得分。须提供加盖投标人公章的《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664B6C"/>
    <w:multiLevelType w:val="singleLevel"/>
    <w:tmpl w:val="A1664B6C"/>
    <w:lvl w:ilvl="0">
      <w:start w:val="7"/>
      <w:numFmt w:val="chineseCounting"/>
      <w:suff w:val="nothing"/>
      <w:lvlText w:val="%1、"/>
      <w:lvlJc w:val="left"/>
      <w:rPr>
        <w:rFonts w:hint="eastAsia"/>
      </w:rPr>
    </w:lvl>
  </w:abstractNum>
  <w:abstractNum w:abstractNumId="1">
    <w:nsid w:val="B609221C"/>
    <w:multiLevelType w:val="singleLevel"/>
    <w:tmpl w:val="B609221C"/>
    <w:lvl w:ilvl="0">
      <w:start w:val="1"/>
      <w:numFmt w:val="decimal"/>
      <w:suff w:val="nothing"/>
      <w:lvlText w:val="%1、"/>
      <w:lvlJc w:val="left"/>
    </w:lvl>
  </w:abstractNum>
  <w:abstractNum w:abstractNumId="2">
    <w:nsid w:val="B9358C2E"/>
    <w:multiLevelType w:val="singleLevel"/>
    <w:tmpl w:val="B9358C2E"/>
    <w:lvl w:ilvl="0">
      <w:start w:val="2"/>
      <w:numFmt w:val="decimal"/>
      <w:suff w:val="nothing"/>
      <w:lvlText w:val="%1、"/>
      <w:lvlJc w:val="left"/>
    </w:lvl>
  </w:abstractNum>
  <w:abstractNum w:abstractNumId="3">
    <w:nsid w:val="0575A821"/>
    <w:multiLevelType w:val="singleLevel"/>
    <w:tmpl w:val="0575A821"/>
    <w:lvl w:ilvl="0">
      <w:start w:val="4"/>
      <w:numFmt w:val="decimal"/>
      <w:suff w:val="nothing"/>
      <w:lvlText w:val="%1、"/>
      <w:lvlJc w:val="left"/>
    </w:lvl>
  </w:abstractNum>
  <w:abstractNum w:abstractNumId="4">
    <w:nsid w:val="0FB3AC90"/>
    <w:multiLevelType w:val="singleLevel"/>
    <w:tmpl w:val="0FB3AC90"/>
    <w:lvl w:ilvl="0">
      <w:start w:val="1"/>
      <w:numFmt w:val="decimal"/>
      <w:lvlText w:val="%1."/>
      <w:lvlJc w:val="left"/>
      <w:pPr>
        <w:tabs>
          <w:tab w:val="left" w:pos="312"/>
        </w:tabs>
      </w:pPr>
    </w:lvl>
  </w:abstractNum>
  <w:abstractNum w:abstractNumId="5">
    <w:nsid w:val="3CF6E042"/>
    <w:multiLevelType w:val="singleLevel"/>
    <w:tmpl w:val="3CF6E042"/>
    <w:lvl w:ilvl="0">
      <w:start w:val="1"/>
      <w:numFmt w:val="decimal"/>
      <w:suff w:val="nothing"/>
      <w:lvlText w:val="（%1）"/>
      <w:lvlJc w:val="left"/>
    </w:lvl>
  </w:abstractNum>
  <w:abstractNum w:abstractNumId="6">
    <w:nsid w:val="721CBBE0"/>
    <w:multiLevelType w:val="singleLevel"/>
    <w:tmpl w:val="721CBBE0"/>
    <w:lvl w:ilvl="0">
      <w:start w:val="1"/>
      <w:numFmt w:val="decimal"/>
      <w:suff w:val="nothing"/>
      <w:lvlText w:val="%1、"/>
      <w:lvlJc w:val="left"/>
    </w:lvl>
  </w:abstractNum>
  <w:num w:numId="1">
    <w:abstractNumId w:val="5"/>
  </w:num>
  <w:num w:numId="2">
    <w:abstractNumId w:val="4"/>
  </w:num>
  <w:num w:numId="3">
    <w:abstractNumId w:val="0"/>
  </w:num>
  <w:num w:numId="4">
    <w:abstractNumId w:val="3"/>
  </w:num>
  <w:num w:numId="5">
    <w:abstractNumId w:val="1"/>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a">
    <w:name w:val="页眉 字符"/>
    <w:basedOn w:val="DefaultParagraphFont"/>
    <w:link w:val="Header"/>
    <w:uiPriority w:val="99"/>
    <w:qFormat/>
    <w:rPr>
      <w:rFonts w:eastAsia="宋体"/>
      <w:sz w:val="18"/>
      <w:szCs w:val="18"/>
    </w:rPr>
  </w:style>
  <w:style w:type="paragraph" w:styleId="Footer">
    <w:name w:val="footer"/>
    <w:basedOn w:val="Normal"/>
    <w:link w:val="a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a0">
    <w:name w:val="页脚 字符"/>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qFormat/>
    <w:rPr>
      <w:rFonts w:ascii="Calibri" w:hAnsi="Calibri"/>
    </w:rPr>
  </w:style>
  <w:style w:type="paragraph" w:styleId="NormalIndent">
    <w:name w:val="Normal Indent"/>
    <w:basedOn w:val="Normal"/>
    <w:qFormat/>
    <w:pPr>
      <w:ind w:firstLine="420"/>
    </w:pPr>
    <w:rPr>
      <w:szCs w:val="20"/>
    </w:rPr>
  </w:style>
  <w:style w:type="paragraph" w:styleId="BodyText">
    <w:name w:val="Body Text"/>
    <w:basedOn w:val="Normal"/>
    <w:qFormat/>
    <w:pPr>
      <w:spacing w:line="360" w:lineRule="auto"/>
    </w:pPr>
    <w:rPr>
      <w:b/>
      <w:bCs/>
    </w:rPr>
  </w:style>
  <w:style w:type="character" w:customStyle="1" w:styleId="font41">
    <w:name w:val="font41"/>
    <w:basedOn w:val="DefaultParagraphFont"/>
    <w:qFormat/>
    <w:rPr>
      <w:rFonts w:ascii="宋体" w:eastAsia="宋体" w:hAnsi="宋体" w:cs="宋体"/>
      <w:color w:val="000000"/>
      <w:sz w:val="20"/>
      <w:szCs w:val="20"/>
      <w:u w:val="none"/>
    </w:rPr>
  </w:style>
  <w:style w:type="character" w:customStyle="1" w:styleId="font61">
    <w:name w:val="font61"/>
    <w:basedOn w:val="DefaultParagraphFont"/>
    <w:qFormat/>
    <w:rPr>
      <w:rFonts w:ascii="Calibri" w:hAnsi="Calibri" w:cs="Calibri"/>
      <w:color w:val="000000"/>
      <w:sz w:val="20"/>
      <w:szCs w:val="20"/>
      <w:u w:val="none"/>
    </w:rPr>
  </w:style>
  <w:style w:type="character" w:customStyle="1" w:styleId="font101">
    <w:name w:val="font101"/>
    <w:basedOn w:val="DefaultParagraphFont"/>
    <w:qFormat/>
    <w:rPr>
      <w:rFonts w:ascii="Arial" w:hAnsi="Arial" w:cs="Arial"/>
      <w:color w:val="000000"/>
      <w:sz w:val="20"/>
      <w:szCs w:val="20"/>
      <w:u w:val="none"/>
    </w:rPr>
  </w:style>
  <w:style w:type="paragraph" w:styleId="NormalWeb">
    <w:name w:val="Normal (Web)"/>
    <w:basedOn w:val="Normal"/>
    <w:uiPriority w:val="99"/>
    <w:qFormat/>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hyperlink" Target="https://amr.sz.gov.cn/outer/entSelect/gs.html" TargetMode="External"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hyperlink" Target="https://www.gsxt.gov.cn/corp-query-homepage.html" TargetMode="External" /><Relationship Id="rId21" Type="http://schemas.openxmlformats.org/officeDocument/2006/relationships/image" Target="media/image16.png" /><Relationship Id="rId22" Type="http://schemas.openxmlformats.org/officeDocument/2006/relationships/header" Target="header1.xm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