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10.0 -->
  <w:body>
    <w:p>
      <w:pPr>
        <w:spacing w:before="0" w:after="0" w:line="360" w:lineRule="auto"/>
        <w:ind w:firstLine="320"/>
        <w:jc w:val="center"/>
        <w:rPr>
          <w:b/>
          <w:bCs/>
          <w:color w:val="FF0000"/>
          <w:kern w:val="2"/>
          <w:sz w:val="32"/>
          <w:szCs w:val="32"/>
          <w:lang w:eastAsia="zh-CN"/>
        </w:rPr>
      </w:pPr>
      <w:r>
        <w:rPr>
          <w:rFonts w:hint="eastAsia"/>
          <w:b/>
          <w:bCs/>
          <w:color w:val="FF0000"/>
          <w:kern w:val="2"/>
          <w:sz w:val="32"/>
          <w:szCs w:val="32"/>
          <w:lang w:eastAsia="zh-CN"/>
        </w:rPr>
        <w:t>特别警示条款</w:t>
      </w:r>
    </w:p>
    <w:p>
      <w:pPr>
        <w:rPr>
          <w:lang w:eastAsia="zh-CN"/>
        </w:rPr>
      </w:pPr>
    </w:p>
    <w:p>
      <w:pPr>
        <w:spacing w:line="360" w:lineRule="auto"/>
        <w:rPr>
          <w:b/>
          <w:bCs/>
          <w:color w:val="FF0000"/>
          <w:kern w:val="2"/>
          <w:lang w:eastAsia="zh-CN"/>
        </w:rPr>
      </w:pPr>
      <w:r>
        <w:rPr>
          <w:rFonts w:hint="eastAsia"/>
          <w:b/>
          <w:bCs/>
          <w:color w:val="FF0000"/>
          <w:kern w:val="2"/>
          <w:lang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p>
      <w:pPr>
        <w:spacing w:line="360" w:lineRule="auto"/>
        <w:rPr>
          <w:b/>
          <w:bCs/>
          <w:kern w:val="2"/>
          <w:lang w:eastAsia="zh-CN"/>
        </w:rPr>
      </w:pPr>
    </w:p>
    <w:tbl>
      <w:tblPr>
        <w:tblStyle w:val="TableGrid"/>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21"/>
        <w:gridCol w:w="8235"/>
      </w:tblGrid>
      <w:tr>
        <w:tblPrEx>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60"/>
        </w:trPr>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序号</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lang w:eastAsia="zh-CN"/>
              </w:rPr>
            </w:pPr>
            <w:r>
              <w:rPr>
                <w:rFonts w:hint="eastAsia"/>
                <w:b/>
                <w:bCs/>
                <w:color w:val="FF0000"/>
                <w:lang w:eastAsia="zh-CN"/>
              </w:rPr>
              <w:t>供应商参与投标禁止情形</w:t>
            </w:r>
          </w:p>
        </w:tc>
      </w:tr>
      <w:tr>
        <w:tblPrEx>
          <w:tblW w:w="5000" w:type="pct"/>
          <w:tblInd w:w="250" w:type="dxa"/>
          <w:tblLayout w:type="fixed"/>
          <w:tblCellMar>
            <w:top w:w="0" w:type="dxa"/>
            <w:left w:w="108" w:type="dxa"/>
            <w:bottom w:w="0" w:type="dxa"/>
            <w:right w:w="108" w:type="dxa"/>
          </w:tblCellMar>
        </w:tblPrEx>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1</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与其他投标供应商的法定代表人、主要经营负责人、投标授权代表人、项目负责人、主要技术人员为</w:t>
            </w:r>
            <w:r>
              <w:rPr>
                <w:rFonts w:hint="eastAsia"/>
                <w:b/>
                <w:bCs/>
                <w:color w:val="FF0000"/>
                <w:lang w:eastAsia="zh-CN"/>
              </w:rPr>
              <w:t>同一人、属同一单位或者在同一单位缴纳社会保险</w:t>
            </w:r>
            <w:r>
              <w:rPr>
                <w:rFonts w:hint="eastAsia"/>
                <w:color w:val="FF0000"/>
                <w:lang w:eastAsia="zh-CN"/>
              </w:rPr>
              <w:t>。</w:t>
            </w:r>
          </w:p>
        </w:tc>
      </w:tr>
      <w:tr>
        <w:tblPrEx>
          <w:tblW w:w="5000" w:type="pct"/>
          <w:tblInd w:w="250" w:type="dxa"/>
          <w:tblLayout w:type="fixed"/>
          <w:tblCellMar>
            <w:top w:w="0" w:type="dxa"/>
            <w:left w:w="108" w:type="dxa"/>
            <w:bottom w:w="0" w:type="dxa"/>
            <w:right w:w="108" w:type="dxa"/>
          </w:tblCellMar>
        </w:tblPrEx>
        <w:trPr>
          <w:trHeight w:val="90"/>
        </w:trPr>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2</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参与本项目政府采购活动时，与其他投标供应商存在单位负责人为</w:t>
            </w:r>
            <w:r>
              <w:rPr>
                <w:rFonts w:hint="eastAsia"/>
                <w:b/>
                <w:bCs/>
                <w:color w:val="FF0000"/>
                <w:lang w:eastAsia="zh-CN"/>
              </w:rPr>
              <w:t>同一人或直接控股、管理关系</w:t>
            </w:r>
            <w:r>
              <w:rPr>
                <w:rFonts w:hint="eastAsia"/>
                <w:color w:val="FF0000"/>
                <w:lang w:eastAsia="zh-CN"/>
              </w:rPr>
              <w:t>。</w:t>
            </w:r>
          </w:p>
        </w:tc>
      </w:tr>
      <w:tr>
        <w:tblPrEx>
          <w:tblW w:w="5000" w:type="pct"/>
          <w:tblInd w:w="250" w:type="dxa"/>
          <w:tblLayout w:type="fixed"/>
          <w:tblCellMar>
            <w:top w:w="0" w:type="dxa"/>
            <w:left w:w="108" w:type="dxa"/>
            <w:bottom w:w="0" w:type="dxa"/>
            <w:right w:w="108" w:type="dxa"/>
          </w:tblCellMar>
        </w:tblPrEx>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3</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与其他投标供应商的投标文件或部分投标文件</w:t>
            </w:r>
            <w:r>
              <w:rPr>
                <w:rFonts w:hint="eastAsia"/>
                <w:b/>
                <w:bCs/>
                <w:color w:val="FF0000"/>
                <w:lang w:eastAsia="zh-CN"/>
              </w:rPr>
              <w:t>相互混装或存在非正常一致</w:t>
            </w:r>
            <w:r>
              <w:rPr>
                <w:rFonts w:hint="eastAsia"/>
                <w:color w:val="FF0000"/>
                <w:lang w:eastAsia="zh-CN"/>
              </w:rPr>
              <w:t>。</w:t>
            </w:r>
          </w:p>
        </w:tc>
      </w:tr>
      <w:tr>
        <w:tblPrEx>
          <w:tblW w:w="5000" w:type="pct"/>
          <w:tblInd w:w="250" w:type="dxa"/>
          <w:tblLayout w:type="fixed"/>
          <w:tblCellMar>
            <w:top w:w="0" w:type="dxa"/>
            <w:left w:w="108" w:type="dxa"/>
            <w:bottom w:w="0" w:type="dxa"/>
            <w:right w:w="108" w:type="dxa"/>
          </w:tblCellMar>
        </w:tblPrEx>
        <w:trPr>
          <w:trHeight w:val="1325"/>
        </w:trPr>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4</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与其他投标供应商的投标文件由</w:t>
            </w:r>
            <w:r>
              <w:rPr>
                <w:rFonts w:hint="eastAsia"/>
                <w:b/>
                <w:bCs/>
                <w:color w:val="FF0000"/>
                <w:lang w:eastAsia="zh-CN"/>
              </w:rPr>
              <w:t>同一单位或者同一人编制</w:t>
            </w:r>
            <w:r>
              <w:rPr>
                <w:rFonts w:hint="eastAsia"/>
                <w:color w:val="FF0000"/>
                <w:lang w:eastAsia="zh-CN"/>
              </w:rPr>
              <w:t>，或者使用</w:t>
            </w:r>
            <w:r>
              <w:rPr>
                <w:rFonts w:hint="eastAsia"/>
                <w:b/>
                <w:bCs/>
                <w:color w:val="FF0000"/>
                <w:lang w:eastAsia="zh-CN"/>
              </w:rPr>
              <w:t>同一设备编制</w:t>
            </w:r>
            <w:r>
              <w:rPr>
                <w:rFonts w:hint="eastAsia"/>
                <w:color w:val="FF0000"/>
                <w:lang w:eastAsia="zh-CN"/>
              </w:rPr>
              <w:t>（“文件制作机器码”“文件创建标识码”一致）。</w:t>
            </w:r>
          </w:p>
        </w:tc>
      </w:tr>
      <w:tr>
        <w:tblPrEx>
          <w:tblW w:w="5000" w:type="pct"/>
          <w:tblInd w:w="250" w:type="dxa"/>
          <w:tblLayout w:type="fixed"/>
          <w:tblCellMar>
            <w:top w:w="0" w:type="dxa"/>
            <w:left w:w="108" w:type="dxa"/>
            <w:bottom w:w="0" w:type="dxa"/>
            <w:right w:w="108" w:type="dxa"/>
          </w:tblCellMar>
        </w:tblPrEx>
        <w:trPr>
          <w:trHeight w:val="985"/>
        </w:trPr>
        <w:tc>
          <w:tcPr>
            <w:tcW w:w="561" w:type="dxa"/>
            <w:tcBorders>
              <w:top w:val="single" w:sz="4" w:space="0" w:color="auto"/>
              <w:left w:val="single" w:sz="4" w:space="0" w:color="auto"/>
              <w:bottom w:val="single" w:sz="4" w:space="0" w:color="auto"/>
              <w:right w:val="single" w:sz="4" w:space="0" w:color="auto"/>
            </w:tcBorders>
            <w:vAlign w:val="center"/>
          </w:tcPr>
          <w:p>
            <w:pPr>
              <w:widowControl/>
              <w:jc w:val="center"/>
              <w:rPr>
                <w:color w:val="FF0000"/>
              </w:rPr>
            </w:pPr>
            <w:r>
              <w:rPr>
                <w:rFonts w:hint="eastAsia"/>
                <w:color w:val="FF0000"/>
              </w:rPr>
              <w:t>5</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提供</w:t>
            </w:r>
            <w:r>
              <w:rPr>
                <w:rFonts w:hint="eastAsia"/>
                <w:b/>
                <w:bCs/>
                <w:color w:val="FF0000"/>
                <w:lang w:eastAsia="zh-CN"/>
              </w:rPr>
              <w:t>未经出具机构核实</w:t>
            </w:r>
            <w:r>
              <w:rPr>
                <w:rFonts w:hint="eastAsia"/>
                <w:color w:val="FF0000"/>
                <w:lang w:eastAsia="zh-CN"/>
              </w:rPr>
              <w:t>的虚假的检验检测报告、业绩材料、社保缴纳证明、学历学位证书、职称认证证书等材料。</w:t>
            </w:r>
          </w:p>
        </w:tc>
      </w:tr>
      <w:tr>
        <w:tblPrEx>
          <w:tblW w:w="5000" w:type="pct"/>
          <w:tblInd w:w="250" w:type="dxa"/>
          <w:tblLayout w:type="fixed"/>
          <w:tblCellMar>
            <w:top w:w="0" w:type="dxa"/>
            <w:left w:w="108" w:type="dxa"/>
            <w:bottom w:w="0" w:type="dxa"/>
            <w:right w:w="108" w:type="dxa"/>
          </w:tblCellMar>
        </w:tblPrEx>
        <w:trPr>
          <w:trHeight w:val="588"/>
        </w:trPr>
        <w:tc>
          <w:tcPr>
            <w:tcW w:w="561" w:type="dxa"/>
            <w:tcBorders>
              <w:top w:val="single" w:sz="4" w:space="0" w:color="auto"/>
              <w:left w:val="single" w:sz="4" w:space="0" w:color="auto"/>
              <w:bottom w:val="single" w:sz="4" w:space="0" w:color="auto"/>
              <w:right w:val="single" w:sz="4" w:space="0" w:color="auto"/>
            </w:tcBorders>
            <w:vAlign w:val="center"/>
          </w:tcPr>
          <w:p>
            <w:pPr>
              <w:widowControl/>
              <w:rPr>
                <w:color w:val="FF0000"/>
              </w:rPr>
            </w:pPr>
            <w:r>
              <w:rPr>
                <w:rFonts w:hint="eastAsia"/>
                <w:color w:val="FF0000"/>
              </w:rPr>
              <w:t>6</w:t>
            </w:r>
          </w:p>
        </w:tc>
        <w:tc>
          <w:tcPr>
            <w:tcW w:w="7439" w:type="dxa"/>
            <w:tcBorders>
              <w:top w:val="single" w:sz="4" w:space="0" w:color="auto"/>
              <w:left w:val="single" w:sz="4" w:space="0" w:color="auto"/>
              <w:bottom w:val="single" w:sz="4" w:space="0" w:color="auto"/>
              <w:right w:val="single" w:sz="4" w:space="0" w:color="auto"/>
            </w:tcBorders>
            <w:vAlign w:val="center"/>
          </w:tcPr>
          <w:p>
            <w:pPr>
              <w:widowControl/>
              <w:rPr>
                <w:color w:val="FF0000"/>
                <w:lang w:eastAsia="zh-CN"/>
              </w:rPr>
            </w:pPr>
            <w:r>
              <w:rPr>
                <w:rFonts w:hint="eastAsia"/>
                <w:color w:val="FF0000"/>
                <w:lang w:eastAsia="zh-CN"/>
              </w:rPr>
              <w:t>擅自将投标密钥或电子营业执照出借他人使用或未妥善保管。</w:t>
            </w: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pacing w:beforeAutospacing="1" w:afterAutospacing="1"/>
        <w:jc w:val="center"/>
        <w:outlineLvl w:val="0"/>
        <w:rPr>
          <w:rFonts w:ascii="黑体" w:eastAsia="黑体" w:hAnsi="宋体" w:cs="黑体" w:hint="eastAsia"/>
          <w:sz w:val="40"/>
          <w:szCs w:val="40"/>
          <w:lang w:eastAsia="zh-CN"/>
        </w:rPr>
      </w:pPr>
      <w:r>
        <w:rPr>
          <w:rFonts w:ascii="黑体" w:eastAsia="黑体" w:hAnsi="宋体" w:cs="黑体" w:hint="eastAsia"/>
          <w:sz w:val="40"/>
          <w:szCs w:val="40"/>
          <w:lang w:eastAsia="zh-CN"/>
        </w:rPr>
        <w:t>招标文件信息</w:t>
      </w:r>
    </w:p>
    <w:p>
      <w:pPr>
        <w:rPr>
          <w:rFonts w:eastAsia="黑体" w:hint="eastAsia"/>
        </w:rPr>
      </w:pPr>
    </w:p>
    <w:p>
      <w:pPr>
        <w:widowControl w:val="0"/>
        <w:tabs>
          <w:tab w:val="left" w:pos="2790"/>
        </w:tabs>
        <w:snapToGrid w:val="0"/>
        <w:jc w:val="both"/>
        <w:outlineLvl w:val="0"/>
        <w:rPr>
          <w:rFonts w:ascii="宋体" w:eastAsia="宋体" w:hAnsi="宋体" w:cs="宋体"/>
          <w:kern w:val="2"/>
          <w:sz w:val="32"/>
          <w:szCs w:val="32"/>
          <w:highlight w:val="yellow"/>
          <w:lang w:eastAsia="zh-CN"/>
        </w:rPr>
      </w:pPr>
      <w:r>
        <w:rPr>
          <w:rFonts w:ascii="宋体" w:eastAsia="宋体" w:hAnsi="宋体" w:cs="宋体" w:hint="eastAsia"/>
          <w:kern w:val="2"/>
          <w:sz w:val="32"/>
          <w:szCs w:val="32"/>
          <w:lang w:eastAsia="zh-CN"/>
        </w:rPr>
        <w:t>项目编号：</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LHAZXDL-2025-00685</w:t>
      </w:r>
    </w:p>
    <w:p>
      <w:pPr>
        <w:widowControl w:val="0"/>
        <w:tabs>
          <w:tab w:val="left" w:pos="2790"/>
        </w:tabs>
        <w:snapToGrid w:val="0"/>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项目名称：</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幼儿园家私采购</w:t>
      </w:r>
    </w:p>
    <w:p>
      <w:pPr>
        <w:widowControl w:val="0"/>
        <w:tabs>
          <w:tab w:val="left" w:pos="2790"/>
        </w:tabs>
        <w:snapToGrid w:val="0"/>
        <w:jc w:val="both"/>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包号：</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A</w:t>
      </w:r>
    </w:p>
    <w:p>
      <w:pPr>
        <w:widowControl w:val="0"/>
        <w:tabs>
          <w:tab w:val="left" w:pos="2790"/>
        </w:tabs>
        <w:snapToGrid w:val="0"/>
        <w:jc w:val="both"/>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项目类型：</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货物类</w:t>
      </w:r>
    </w:p>
    <w:p>
      <w:pPr>
        <w:widowControl w:val="0"/>
        <w:tabs>
          <w:tab w:val="left" w:pos="2790"/>
        </w:tabs>
        <w:snapToGrid w:val="0"/>
        <w:jc w:val="both"/>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采购方式：</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公开招标</w:t>
      </w:r>
    </w:p>
    <w:p>
      <w:pPr>
        <w:widowControl w:val="0"/>
        <w:tabs>
          <w:tab w:val="left" w:pos="2790"/>
        </w:tabs>
        <w:snapToGrid w:val="0"/>
        <w:jc w:val="both"/>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货币类型：</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人民币</w:t>
      </w:r>
    </w:p>
    <w:p>
      <w:pPr>
        <w:widowControl w:val="0"/>
        <w:tabs>
          <w:tab w:val="left" w:pos="2790"/>
        </w:tabs>
        <w:snapToGrid w:val="0"/>
        <w:jc w:val="both"/>
        <w:outlineLvl w:val="0"/>
        <w:rPr>
          <w:rFonts w:ascii="宋体" w:eastAsia="宋体" w:hAnsi="宋体" w:cs="宋体" w:hint="eastAsia"/>
          <w:kern w:val="2"/>
          <w:sz w:val="32"/>
          <w:szCs w:val="32"/>
          <w:lang w:eastAsia="zh-CN"/>
        </w:rPr>
      </w:pPr>
      <w:r>
        <w:rPr>
          <w:rFonts w:ascii="宋体" w:eastAsia="宋体" w:hAnsi="宋体" w:cs="宋体" w:hint="eastAsia"/>
          <w:kern w:val="2"/>
          <w:sz w:val="32"/>
          <w:szCs w:val="32"/>
          <w:lang w:eastAsia="zh-CN"/>
        </w:rPr>
        <w:t>评标方法：</w:t>
      </w:r>
      <w:r>
        <w:rPr>
          <w:rFonts w:ascii="宋体" w:eastAsia="宋体" w:hAnsi="宋体" w:cs="宋体" w:hint="eastAsia"/>
          <w:kern w:val="2"/>
          <w:sz w:val="32"/>
          <w:szCs w:val="32"/>
          <w:lang w:eastAsia="zh-CN"/>
        </w:rPr>
        <w:tab/>
      </w:r>
      <w:r>
        <w:rPr>
          <w:rFonts w:ascii="宋体" w:eastAsia="宋体" w:hAnsi="宋体" w:cs="宋体" w:hint="eastAsia"/>
          <w:kern w:val="2"/>
          <w:sz w:val="32"/>
          <w:szCs w:val="32"/>
          <w:lang w:eastAsia="zh-CN"/>
        </w:rPr>
        <w:t>综合评分法</w:t>
      </w:r>
    </w:p>
    <w:p>
      <w:pPr>
        <w:widowControl w:val="0"/>
        <w:spacing w:line="360" w:lineRule="auto"/>
        <w:jc w:val="both"/>
        <w:rPr>
          <w:rFonts w:ascii="Calibri" w:eastAsia="宋体" w:hAnsi="Calibri"/>
          <w:b/>
          <w:bCs/>
          <w:kern w:val="2"/>
          <w:szCs w:val="22"/>
          <w:lang w:eastAsia="zh-CN"/>
        </w:rPr>
      </w:pPr>
    </w:p>
    <w:p>
      <w:pPr>
        <w:widowControl w:val="0"/>
        <w:tabs>
          <w:tab w:val="left" w:pos="2790"/>
        </w:tabs>
        <w:snapToGrid w:val="0"/>
        <w:jc w:val="center"/>
        <w:outlineLvl w:val="0"/>
        <w:rPr>
          <w:rFonts w:ascii="黑体" w:eastAsia="黑体" w:hAnsi="黑体" w:hint="eastAsia"/>
          <w:kern w:val="2"/>
          <w:sz w:val="40"/>
          <w:szCs w:val="40"/>
          <w:lang w:eastAsia="zh-CN"/>
        </w:rPr>
      </w:pPr>
      <w:bookmarkStart w:id="0" w:name="OLE_LINK1"/>
      <w:r>
        <w:rPr>
          <w:rFonts w:ascii="黑体" w:eastAsia="黑体" w:hAnsi="黑体" w:hint="eastAsia"/>
          <w:kern w:val="2"/>
          <w:sz w:val="40"/>
          <w:szCs w:val="40"/>
          <w:lang w:eastAsia="zh-CN"/>
        </w:rPr>
        <w:t>资格性审查表</w:t>
      </w:r>
    </w:p>
    <w:tbl>
      <w:tblPr>
        <w:tblStyle w:val="TableNorm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756"/>
        <w:gridCol w:w="8100"/>
      </w:tblGrid>
      <w:tr>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line="290" w:lineRule="exact"/>
              <w:jc w:val="center"/>
              <w:rPr>
                <w:rFonts w:ascii="宋体" w:eastAsia="宋体" w:hAnsi="宋体" w:cs="宋体" w:hint="eastAsia"/>
                <w:kern w:val="2"/>
                <w:sz w:val="21"/>
                <w:szCs w:val="21"/>
                <w:lang w:eastAsia="zh-CN"/>
              </w:rPr>
            </w:pPr>
            <w:r>
              <w:rPr>
                <w:rFonts w:ascii="宋体" w:eastAsia="宋体" w:hAnsi="宋体"/>
                <w:kern w:val="2"/>
                <w:sz w:val="21"/>
                <w:szCs w:val="21"/>
                <w:lang w:eastAsia="zh-CN"/>
              </w:rPr>
              <w:t>序号</w:t>
            </w:r>
          </w:p>
        </w:tc>
        <w:tc>
          <w:tcPr>
            <w:tcW w:w="8669"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line="290" w:lineRule="exact"/>
              <w:jc w:val="center"/>
              <w:rPr>
                <w:rFonts w:ascii="宋体" w:eastAsia="宋体" w:hAnsi="宋体" w:cs="宋体" w:hint="eastAsia"/>
                <w:kern w:val="2"/>
                <w:sz w:val="21"/>
                <w:szCs w:val="21"/>
                <w:lang w:eastAsia="zh-CN"/>
              </w:rPr>
            </w:pPr>
            <w:r>
              <w:rPr>
                <w:rFonts w:ascii="宋体" w:eastAsia="宋体" w:hAnsi="宋体"/>
                <w:kern w:val="2"/>
                <w:sz w:val="21"/>
                <w:szCs w:val="21"/>
                <w:lang w:eastAsia="zh-CN"/>
              </w:rPr>
              <w:t>内容</w:t>
            </w:r>
          </w:p>
        </w:tc>
      </w:tr>
      <w:tr>
        <w:tblPrEx>
          <w:tblW w:w="5000" w:type="pct"/>
          <w:jc w:val="center"/>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line="290" w:lineRule="exact"/>
              <w:jc w:val="center"/>
              <w:rPr>
                <w:rFonts w:ascii="宋体" w:eastAsia="宋体" w:hAnsi="宋体" w:cs="宋体" w:hint="eastAsia"/>
                <w:kern w:val="2"/>
                <w:sz w:val="21"/>
                <w:szCs w:val="21"/>
                <w:lang w:eastAsia="zh-CN"/>
              </w:rPr>
            </w:pPr>
            <w:r>
              <w:rPr>
                <w:rFonts w:ascii="宋体" w:eastAsia="宋体" w:hAnsi="宋体"/>
                <w:kern w:val="2"/>
                <w:sz w:val="21"/>
                <w:szCs w:val="21"/>
                <w:lang w:eastAsia="zh-CN"/>
              </w:rPr>
              <w:t>1</w:t>
            </w:r>
          </w:p>
        </w:tc>
        <w:tc>
          <w:tcPr>
            <w:tcW w:w="8669" w:type="dxa"/>
            <w:tcBorders>
              <w:top w:val="single" w:sz="8" w:space="0" w:color="000000"/>
              <w:left w:val="single" w:sz="8" w:space="0" w:color="000000"/>
              <w:bottom w:val="single" w:sz="8" w:space="0" w:color="000000"/>
              <w:right w:val="single" w:sz="8" w:space="0" w:color="000000"/>
            </w:tcBorders>
          </w:tcPr>
          <w:p>
            <w:pPr>
              <w:widowControl w:val="0"/>
              <w:spacing w:line="290" w:lineRule="exact"/>
              <w:jc w:val="both"/>
              <w:rPr>
                <w:rFonts w:ascii="宋体" w:eastAsia="宋体" w:hAnsi="宋体" w:cs="宋体" w:hint="eastAsia"/>
                <w:kern w:val="2"/>
                <w:sz w:val="21"/>
                <w:szCs w:val="21"/>
                <w:lang w:eastAsia="zh-CN"/>
              </w:rPr>
            </w:pPr>
            <w:r>
              <w:rPr>
                <w:rFonts w:ascii="宋体" w:eastAsia="宋体" w:hAnsi="宋体" w:cs="宋体"/>
                <w:sz w:val="21"/>
                <w:szCs w:val="21"/>
                <w:lang w:eastAsia="zh-CN"/>
              </w:rPr>
              <w:t>投标人不</w:t>
            </w:r>
            <w:r>
              <w:rPr>
                <w:rFonts w:ascii="宋体" w:eastAsia="宋体" w:hAnsi="宋体" w:cs="宋体" w:hint="eastAsia"/>
                <w:sz w:val="21"/>
                <w:szCs w:val="21"/>
                <w:lang w:eastAsia="zh-CN"/>
              </w:rPr>
              <w:t>符合</w:t>
            </w:r>
            <w:r>
              <w:rPr>
                <w:rFonts w:ascii="宋体" w:eastAsia="宋体" w:hAnsi="宋体" w:cs="宋体"/>
                <w:sz w:val="21"/>
                <w:szCs w:val="21"/>
                <w:lang w:eastAsia="zh-CN"/>
              </w:rPr>
              <w:t>资格要求，或未提交相应的资格证明资料（详见招标公告</w:t>
            </w:r>
            <w:r>
              <w:rPr>
                <w:rFonts w:ascii="宋体" w:eastAsia="宋体" w:hAnsi="宋体" w:hint="eastAsia"/>
                <w:kern w:val="2"/>
                <w:sz w:val="21"/>
                <w:szCs w:val="21"/>
                <w:lang w:eastAsia="zh-CN"/>
              </w:rPr>
              <w:t>投标人资格要求，即申请人的资格要求</w:t>
            </w:r>
            <w:r>
              <w:rPr>
                <w:rFonts w:ascii="宋体" w:eastAsia="宋体" w:hAnsi="宋体" w:cs="宋体"/>
                <w:sz w:val="21"/>
                <w:szCs w:val="21"/>
                <w:lang w:eastAsia="zh-CN"/>
              </w:rPr>
              <w:t>）。</w:t>
            </w:r>
          </w:p>
        </w:tc>
      </w:tr>
    </w:tbl>
    <w:p>
      <w:pPr>
        <w:widowControl w:val="0"/>
        <w:tabs>
          <w:tab w:val="left" w:pos="2790"/>
        </w:tabs>
        <w:snapToGrid w:val="0"/>
        <w:jc w:val="center"/>
        <w:rPr>
          <w:rFonts w:ascii="黑体" w:eastAsia="黑体" w:hAnsi="黑体" w:hint="eastAsia"/>
          <w:kern w:val="2"/>
          <w:sz w:val="40"/>
          <w:szCs w:val="40"/>
          <w:lang w:eastAsia="zh-CN"/>
        </w:rPr>
      </w:pPr>
    </w:p>
    <w:p>
      <w:pPr>
        <w:widowControl w:val="0"/>
        <w:tabs>
          <w:tab w:val="left" w:pos="2790"/>
        </w:tabs>
        <w:snapToGrid w:val="0"/>
        <w:jc w:val="center"/>
        <w:outlineLvl w:val="0"/>
        <w:rPr>
          <w:rFonts w:ascii="黑体" w:eastAsia="黑体" w:hAnsi="黑体" w:hint="eastAsia"/>
          <w:kern w:val="2"/>
          <w:sz w:val="40"/>
          <w:szCs w:val="40"/>
          <w:lang w:eastAsia="zh-CN"/>
        </w:rPr>
      </w:pPr>
      <w:r>
        <w:rPr>
          <w:rFonts w:ascii="黑体" w:eastAsia="黑体" w:hAnsi="黑体" w:hint="eastAsia"/>
          <w:kern w:val="2"/>
          <w:sz w:val="40"/>
          <w:szCs w:val="40"/>
          <w:lang w:eastAsia="zh-CN"/>
        </w:rPr>
        <w:t>符合性审查表</w:t>
      </w:r>
    </w:p>
    <w:tbl>
      <w:tblPr>
        <w:tblStyle w:val="TableNorm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747"/>
        <w:gridCol w:w="8109"/>
      </w:tblGrid>
      <w:tr>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E6EFFA"/>
            <w:vAlign w:val="center"/>
          </w:tcPr>
          <w:p>
            <w:pPr>
              <w:jc w:val="center"/>
              <w:rPr>
                <w:rFonts w:ascii="宋体" w:eastAsia="宋体" w:hAnsi="宋体" w:hint="eastAsia"/>
                <w:kern w:val="2"/>
                <w:sz w:val="21"/>
                <w:szCs w:val="21"/>
                <w:lang w:eastAsia="zh-CN"/>
              </w:rPr>
            </w:pPr>
            <w:r>
              <w:rPr>
                <w:rFonts w:ascii="宋体" w:eastAsia="宋体" w:hAnsi="宋体" w:cs="宋体"/>
                <w:sz w:val="21"/>
                <w:szCs w:val="21"/>
                <w:lang w:eastAsia="zh-CN"/>
              </w:rPr>
              <w:t>序号</w:t>
            </w:r>
          </w:p>
        </w:tc>
        <w:tc>
          <w:tcPr>
            <w:tcW w:w="8647" w:type="dxa"/>
            <w:tcBorders>
              <w:top w:val="single" w:sz="8" w:space="0" w:color="000000"/>
              <w:left w:val="single" w:sz="8" w:space="0" w:color="000000"/>
              <w:bottom w:val="single" w:sz="8" w:space="0" w:color="000000"/>
              <w:right w:val="single" w:sz="8" w:space="0" w:color="000000"/>
            </w:tcBorders>
            <w:shd w:val="clear" w:color="auto" w:fill="E6EFFA"/>
            <w:vAlign w:val="center"/>
          </w:tcPr>
          <w:p>
            <w:pPr>
              <w:jc w:val="center"/>
              <w:rPr>
                <w:rFonts w:ascii="宋体" w:eastAsia="宋体" w:hAnsi="宋体" w:hint="eastAsia"/>
                <w:kern w:val="2"/>
                <w:sz w:val="21"/>
                <w:szCs w:val="21"/>
                <w:lang w:eastAsia="zh-CN"/>
              </w:rPr>
            </w:pPr>
            <w:r>
              <w:rPr>
                <w:rFonts w:ascii="宋体" w:eastAsia="宋体" w:hAnsi="宋体" w:cs="宋体"/>
                <w:sz w:val="21"/>
                <w:szCs w:val="21"/>
                <w:lang w:eastAsia="zh-CN"/>
              </w:rPr>
              <w:t>内容</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1</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不得将一个包的内容拆开投标；</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2</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对同一项目投标时，不得提供两套以上的投标方案（招标文件另有规定的除外）；</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3</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分项报价或投标总价不得高于</w:t>
            </w:r>
            <w:bookmarkStart w:id="1" w:name="_Hlk71832186"/>
            <w:r>
              <w:rPr>
                <w:rFonts w:ascii="宋体" w:eastAsia="宋体" w:hAnsi="宋体" w:cstheme="minorBidi" w:hint="eastAsia"/>
                <w:kern w:val="2"/>
                <w:sz w:val="21"/>
                <w:szCs w:val="21"/>
                <w:lang w:eastAsia="zh-CN"/>
              </w:rPr>
              <w:t>相应预算金额（或设定的预算金额下的最高限价）</w:t>
            </w:r>
            <w:bookmarkEnd w:id="1"/>
            <w:r>
              <w:rPr>
                <w:rFonts w:ascii="宋体" w:eastAsia="宋体" w:hAnsi="宋体" w:cstheme="minorBidi" w:hint="eastAsia"/>
                <w:kern w:val="2"/>
                <w:sz w:val="21"/>
                <w:szCs w:val="21"/>
                <w:lang w:eastAsia="zh-CN"/>
              </w:rPr>
              <w:t>；</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4</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5</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sz w:val="21"/>
                <w:szCs w:val="21"/>
                <w:lang w:eastAsia="zh-CN"/>
              </w:rPr>
              <w:t>6</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未按招标文件所提供的样式填写《投标函》、《股东构成审查表》；未按招标文件所提供的《龙华区教育局自行采购投标及履约承诺函》进行承诺；未按招标文件对投标文件组成的要求提供投标文件；</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7</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采购标的/所投产品/货物清单/报价等任意一类有缺漏项或响应不全，或者对招标文件规定的项目需求内容或者需求数量进行修改，评审委员会判定投标响应不满足采购需求；</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hint="eastAsia"/>
                <w:sz w:val="21"/>
                <w:szCs w:val="21"/>
                <w:lang w:eastAsia="zh-CN"/>
              </w:rPr>
              <w:t>8</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投标文件电子文档不得带病毒；</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hint="eastAsia"/>
                <w:sz w:val="21"/>
                <w:szCs w:val="21"/>
                <w:lang w:eastAsia="zh-CN"/>
              </w:rPr>
              <w:t>9</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投标文件用不属于本公司的电子密钥进行加密的；</w:t>
            </w:r>
          </w:p>
        </w:tc>
      </w:tr>
      <w:tr>
        <w:tblPrEx>
          <w:tblW w:w="5000" w:type="pct"/>
          <w:jc w:val="center"/>
          <w:tblLayout w:type="fixed"/>
          <w:tblCellMar>
            <w:top w:w="20" w:type="dxa"/>
            <w:left w:w="108" w:type="dxa"/>
            <w:bottom w:w="20" w:type="dxa"/>
            <w:right w:w="108" w:type="dxa"/>
          </w:tblCellMar>
        </w:tblPrEx>
        <w:trPr>
          <w:trHeight w:val="280"/>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10</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hint="eastAsia"/>
                <w:kern w:val="2"/>
                <w:sz w:val="21"/>
                <w:szCs w:val="21"/>
                <w:lang w:eastAsia="zh-CN"/>
              </w:rPr>
              <w:t>不同投标供应商投标文件“文件制作机器码”一致；</w:t>
            </w:r>
          </w:p>
        </w:tc>
      </w:tr>
      <w:tr>
        <w:tblPrEx>
          <w:tblW w:w="5000" w:type="pct"/>
          <w:jc w:val="center"/>
          <w:tblLayout w:type="fixed"/>
          <w:tblCellMar>
            <w:top w:w="20" w:type="dxa"/>
            <w:left w:w="108" w:type="dxa"/>
            <w:bottom w:w="20" w:type="dxa"/>
            <w:right w:w="108" w:type="dxa"/>
          </w:tblCellMar>
        </w:tblPrEx>
        <w:trPr>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11</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hint="eastAsia"/>
                <w:kern w:val="2"/>
                <w:sz w:val="21"/>
                <w:szCs w:val="21"/>
                <w:lang w:eastAsia="zh-CN"/>
              </w:rPr>
              <w:t>不同投标供应商投标文件“文件创建标识码”一致；</w:t>
            </w:r>
          </w:p>
        </w:tc>
      </w:tr>
      <w:tr>
        <w:tblPrEx>
          <w:tblW w:w="5000" w:type="pct"/>
          <w:jc w:val="center"/>
          <w:tblLayout w:type="fixed"/>
          <w:tblCellMar>
            <w:top w:w="20" w:type="dxa"/>
            <w:left w:w="108" w:type="dxa"/>
            <w:bottom w:w="20" w:type="dxa"/>
            <w:right w:w="108" w:type="dxa"/>
          </w:tblCellMar>
        </w:tblPrEx>
        <w:trPr>
          <w:trHeight w:val="298"/>
          <w:jc w:val="center"/>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pPr>
              <w:jc w:val="center"/>
              <w:textAlignment w:val="top"/>
              <w:rPr>
                <w:rFonts w:ascii="宋体" w:eastAsia="宋体" w:hAnsi="宋体" w:hint="eastAsia"/>
                <w:kern w:val="2"/>
                <w:sz w:val="21"/>
                <w:szCs w:val="21"/>
                <w:lang w:eastAsia="zh-CN"/>
              </w:rPr>
            </w:pPr>
            <w:r>
              <w:rPr>
                <w:rFonts w:ascii="宋体" w:eastAsia="宋体" w:hAnsi="宋体" w:cs="宋体" w:hint="eastAsia"/>
                <w:sz w:val="21"/>
                <w:szCs w:val="21"/>
                <w:lang w:eastAsia="zh-CN"/>
              </w:rPr>
              <w:t>12</w:t>
            </w:r>
          </w:p>
        </w:tc>
        <w:tc>
          <w:tcPr>
            <w:tcW w:w="8647" w:type="dxa"/>
            <w:tcBorders>
              <w:top w:val="single" w:sz="8" w:space="0" w:color="000000"/>
              <w:left w:val="single" w:sz="8" w:space="0" w:color="000000"/>
              <w:bottom w:val="single" w:sz="8" w:space="0" w:color="000000"/>
              <w:right w:val="single" w:sz="8" w:space="0" w:color="000000"/>
            </w:tcBorders>
            <w:shd w:val="clear" w:color="auto" w:fill="auto"/>
          </w:tcPr>
          <w:p>
            <w:pPr>
              <w:textAlignment w:val="top"/>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法律、法规、规章、规范性文件规定的其他情形。</w:t>
            </w:r>
          </w:p>
        </w:tc>
      </w:tr>
    </w:tbl>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tabs>
          <w:tab w:val="left" w:pos="2790"/>
        </w:tabs>
        <w:snapToGrid w:val="0"/>
        <w:rPr>
          <w:rFonts w:ascii="Calibri" w:eastAsia="宋体" w:hAnsi="Calibri"/>
          <w:kern w:val="2"/>
          <w:lang w:eastAsia="zh-CN"/>
        </w:rPr>
      </w:pPr>
    </w:p>
    <w:p>
      <w:pPr>
        <w:widowControl w:val="0"/>
        <w:spacing w:line="360" w:lineRule="auto"/>
        <w:jc w:val="both"/>
        <w:rPr>
          <w:rFonts w:ascii="Calibri" w:eastAsia="宋体" w:hAnsi="Calibri"/>
          <w:b/>
          <w:bCs/>
          <w:kern w:val="2"/>
          <w:lang w:eastAsia="zh-CN"/>
        </w:rPr>
      </w:pPr>
    </w:p>
    <w:p>
      <w:pPr>
        <w:widowControl w:val="0"/>
        <w:spacing w:line="360" w:lineRule="auto"/>
        <w:jc w:val="both"/>
        <w:rPr>
          <w:rFonts w:ascii="Calibri" w:eastAsia="宋体" w:hAnsi="Calibri"/>
          <w:b/>
          <w:bCs/>
          <w:kern w:val="2"/>
          <w:lang w:eastAsia="zh-CN"/>
        </w:rPr>
      </w:pPr>
    </w:p>
    <w:p>
      <w:pPr>
        <w:widowControl w:val="0"/>
        <w:spacing w:line="360" w:lineRule="auto"/>
        <w:jc w:val="both"/>
        <w:rPr>
          <w:rFonts w:ascii="Calibri" w:eastAsia="宋体" w:hAnsi="Calibri"/>
          <w:b/>
          <w:bCs/>
          <w:kern w:val="2"/>
          <w:lang w:eastAsia="zh-CN"/>
        </w:rPr>
      </w:pPr>
    </w:p>
    <w:p>
      <w:pPr>
        <w:spacing w:before="100" w:beforeAutospacing="1" w:afterAutospacing="1"/>
        <w:jc w:val="center"/>
        <w:outlineLvl w:val="0"/>
        <w:rPr>
          <w:rFonts w:ascii="黑体" w:eastAsia="黑体" w:hAnsi="宋体" w:hint="eastAsia"/>
          <w:kern w:val="2"/>
          <w:sz w:val="40"/>
          <w:szCs w:val="40"/>
          <w:lang w:eastAsia="zh-CN"/>
        </w:rPr>
      </w:pPr>
      <w:r>
        <w:rPr>
          <w:rFonts w:ascii="黑体" w:eastAsia="黑体" w:hAnsi="黑体" w:cstheme="minorBidi" w:hint="eastAsia"/>
          <w:kern w:val="2"/>
          <w:sz w:val="40"/>
          <w:szCs w:val="40"/>
          <w:lang w:eastAsia="zh-CN"/>
        </w:rPr>
        <w:t>评标信息</w:t>
      </w:r>
    </w:p>
    <w:tbl>
      <w:tblPr>
        <w:tblStyle w:val="TableNormal"/>
        <w:tblW w:w="5000" w:type="pct"/>
        <w:jc w:val="center"/>
        <w:tblCellSpacing w:w="0" w:type="dxa"/>
        <w:tblLayout w:type="fixed"/>
        <w:tblCellMar>
          <w:top w:w="45" w:type="dxa"/>
          <w:left w:w="45" w:type="dxa"/>
          <w:bottom w:w="45" w:type="dxa"/>
          <w:right w:w="45" w:type="dxa"/>
        </w:tblCellMar>
      </w:tblPr>
      <w:tblGrid>
        <w:gridCol w:w="8730"/>
      </w:tblGrid>
      <w:tr>
        <w:tblPrEx>
          <w:tblW w:w="5000" w:type="pct"/>
          <w:jc w:val="center"/>
          <w:tblCellSpacing w:w="0" w:type="dxa"/>
          <w:tblLayout w:type="fixed"/>
          <w:tblCellMar>
            <w:top w:w="45" w:type="dxa"/>
            <w:left w:w="45" w:type="dxa"/>
            <w:bottom w:w="45" w:type="dxa"/>
            <w:right w:w="45" w:type="dxa"/>
          </w:tblCellMar>
        </w:tblPrEx>
        <w:trPr>
          <w:tblCellSpacing w:w="0" w:type="dxa"/>
          <w:jc w:val="center"/>
        </w:trPr>
        <w:tc>
          <w:tcPr>
            <w:tcW w:w="10583" w:type="dxa"/>
            <w:shd w:val="clear" w:color="auto" w:fill="auto"/>
            <w:vAlign w:val="center"/>
          </w:tcPr>
          <w:p>
            <w:pPr>
              <w:widowControl w:val="0"/>
              <w:rPr>
                <w:rFonts w:ascii="宋体" w:eastAsia="宋体" w:hAnsi="Calibri"/>
                <w:b/>
                <w:bCs/>
                <w:kern w:val="2"/>
                <w:szCs w:val="22"/>
                <w:lang w:eastAsia="zh-CN"/>
              </w:rPr>
            </w:pPr>
            <w:r>
              <w:rPr>
                <w:rFonts w:ascii="Calibri" w:eastAsia="宋体" w:hAnsi="Calibri" w:cstheme="minorBidi"/>
                <w:b/>
                <w:bCs/>
                <w:kern w:val="2"/>
                <w:sz w:val="21"/>
                <w:szCs w:val="22"/>
                <w:lang w:eastAsia="zh-CN"/>
              </w:rPr>
              <w:t>评标方法：综合评分法</w:t>
            </w:r>
          </w:p>
        </w:tc>
      </w:tr>
      <w:tr>
        <w:tblPrEx>
          <w:tblW w:w="5000" w:type="pct"/>
          <w:jc w:val="center"/>
          <w:tblCellSpacing w:w="0" w:type="dxa"/>
          <w:tblLayout w:type="fixed"/>
          <w:tblCellMar>
            <w:top w:w="45" w:type="dxa"/>
            <w:left w:w="45" w:type="dxa"/>
            <w:bottom w:w="45" w:type="dxa"/>
            <w:right w:w="45" w:type="dxa"/>
          </w:tblCellMar>
        </w:tblPrEx>
        <w:trPr>
          <w:tblCellSpacing w:w="0" w:type="dxa"/>
          <w:jc w:val="center"/>
        </w:trPr>
        <w:tc>
          <w:tcPr>
            <w:tcW w:w="10583" w:type="dxa"/>
            <w:shd w:val="clear" w:color="auto" w:fill="auto"/>
            <w:vAlign w:val="center"/>
          </w:tcPr>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综合评分法，是指投标文件满足采购文件全部实质性要求，且按照评审因素的量化指标评审得分最高的投标人为中标候选人的评审方法。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其他投标无效。</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价格分计算方法：</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采用低价优先法计算，即满足采购文件要求且投标价格最低的投标报价为评审基准价，其价格分为满分。其他投标人的价格分统一按照下列公式计算：</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投标报价得分=(评审基准价／投标报价)×100 </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 xml:space="preserve">评审总得分＝F1×A1＋F2×A2＋……＋Fn×An </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F1、F2……Fn分别为各项评审因素的得分；</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A1、A2、……An 分别为各项评审因素所占的权重(A1＋A2＋……＋An＝1)。</w:t>
            </w:r>
          </w:p>
          <w:p>
            <w:pPr>
              <w:spacing w:before="100"/>
              <w:ind w:left="420"/>
              <w:rPr>
                <w:rFonts w:ascii="宋体" w:eastAsia="宋体" w:hAnsi="宋体" w:hint="eastAsia"/>
                <w:kern w:val="2"/>
                <w:sz w:val="21"/>
                <w:szCs w:val="21"/>
                <w:lang w:eastAsia="zh-CN"/>
              </w:rPr>
            </w:pPr>
            <w:r>
              <w:rPr>
                <w:rFonts w:ascii="宋体" w:eastAsia="宋体" w:hAnsi="宋体" w:hint="eastAsia"/>
                <w:kern w:val="2"/>
                <w:sz w:val="21"/>
                <w:szCs w:val="21"/>
                <w:lang w:eastAsia="zh-CN"/>
              </w:rPr>
              <w:t>评审过程中，不得去掉报价中的最高报价和最低报价。</w:t>
            </w:r>
          </w:p>
          <w:p>
            <w:pPr>
              <w:spacing w:before="100"/>
              <w:ind w:left="420"/>
              <w:rPr>
                <w:rFonts w:ascii="宋体" w:eastAsia="宋体" w:hAnsi="宋体" w:hint="eastAsia"/>
                <w:kern w:val="2"/>
                <w:lang w:eastAsia="zh-CN"/>
              </w:rPr>
            </w:pPr>
            <w:r>
              <w:rPr>
                <w:rFonts w:ascii="宋体" w:eastAsia="宋体" w:hAnsi="宋体" w:hint="eastAsia"/>
                <w:kern w:val="2"/>
                <w:sz w:val="21"/>
                <w:szCs w:val="21"/>
                <w:lang w:eastAsia="zh-CN"/>
              </w:rPr>
              <w:t>此方法适用于货物类、服务类、工程服务类项目。</w:t>
            </w:r>
          </w:p>
        </w:tc>
      </w:tr>
    </w:tbl>
    <w:p>
      <w:pPr>
        <w:widowControl w:val="0"/>
        <w:jc w:val="both"/>
        <w:rPr>
          <w:rFonts w:ascii="Calibri" w:eastAsia="宋体" w:hAnsi="Calibri"/>
          <w:kern w:val="2"/>
          <w:sz w:val="21"/>
          <w:szCs w:val="22"/>
          <w:lang w:eastAsia="zh-CN"/>
        </w:rPr>
      </w:pPr>
    </w:p>
    <w:bookmarkEnd w:id="0"/>
    <w:tbl>
      <w:tblPr>
        <w:tblStyle w:val="TableNormal"/>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61"/>
        <w:gridCol w:w="616"/>
        <w:gridCol w:w="11"/>
        <w:gridCol w:w="947"/>
        <w:gridCol w:w="160"/>
        <w:gridCol w:w="1065"/>
        <w:gridCol w:w="5696"/>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0"/>
          <w:jc w:val="center"/>
        </w:trPr>
        <w:tc>
          <w:tcPr>
            <w:tcW w:w="392"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序号</w:t>
            </w:r>
          </w:p>
        </w:tc>
        <w:tc>
          <w:tcPr>
            <w:tcW w:w="3309" w:type="dxa"/>
            <w:gridSpan w:val="5"/>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评分项</w:t>
            </w:r>
          </w:p>
        </w:tc>
        <w:tc>
          <w:tcPr>
            <w:tcW w:w="7037"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权重</w:t>
            </w:r>
          </w:p>
        </w:tc>
      </w:tr>
      <w:tr>
        <w:tblPrEx>
          <w:tblW w:w="5000" w:type="pct"/>
          <w:jc w:val="center"/>
          <w:tblLayout w:type="fixed"/>
          <w:tblCellMar>
            <w:top w:w="0" w:type="dxa"/>
            <w:left w:w="108" w:type="dxa"/>
            <w:bottom w:w="0" w:type="dxa"/>
            <w:right w:w="108" w:type="dxa"/>
          </w:tblCellMar>
        </w:tblPrEx>
        <w:trPr>
          <w:trHeight w:val="326"/>
          <w:jc w:val="center"/>
        </w:trPr>
        <w:tc>
          <w:tcPr>
            <w:tcW w:w="392"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1</w:t>
            </w:r>
          </w:p>
        </w:tc>
        <w:tc>
          <w:tcPr>
            <w:tcW w:w="3309" w:type="dxa"/>
            <w:gridSpan w:val="5"/>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价格</w:t>
            </w:r>
          </w:p>
        </w:tc>
        <w:tc>
          <w:tcPr>
            <w:tcW w:w="7037"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30</w:t>
            </w:r>
          </w:p>
        </w:tc>
      </w:tr>
      <w:tr>
        <w:tblPrEx>
          <w:tblW w:w="5000" w:type="pct"/>
          <w:jc w:val="center"/>
          <w:tblLayout w:type="fixed"/>
          <w:tblCellMar>
            <w:top w:w="0" w:type="dxa"/>
            <w:left w:w="108" w:type="dxa"/>
            <w:bottom w:w="0" w:type="dxa"/>
            <w:right w:w="108" w:type="dxa"/>
          </w:tblCellMar>
        </w:tblPrEx>
        <w:trPr>
          <w:trHeight w:val="366"/>
          <w:jc w:val="center"/>
        </w:trPr>
        <w:tc>
          <w:tcPr>
            <w:tcW w:w="392"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2</w:t>
            </w:r>
          </w:p>
        </w:tc>
        <w:tc>
          <w:tcPr>
            <w:tcW w:w="3309" w:type="dxa"/>
            <w:gridSpan w:val="5"/>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技术部分</w:t>
            </w:r>
          </w:p>
        </w:tc>
        <w:tc>
          <w:tcPr>
            <w:tcW w:w="7037"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57</w:t>
            </w:r>
          </w:p>
        </w:tc>
      </w:tr>
      <w:tr>
        <w:tblPrEx>
          <w:tblW w:w="5000" w:type="pct"/>
          <w:jc w:val="center"/>
          <w:tblLayout w:type="fixed"/>
          <w:tblCellMar>
            <w:top w:w="0" w:type="dxa"/>
            <w:left w:w="108" w:type="dxa"/>
            <w:bottom w:w="0" w:type="dxa"/>
            <w:right w:w="108" w:type="dxa"/>
          </w:tblCellMar>
        </w:tblPrEx>
        <w:trPr>
          <w:trHeight w:val="339"/>
          <w:jc w:val="center"/>
        </w:trPr>
        <w:tc>
          <w:tcPr>
            <w:tcW w:w="392" w:type="dxa"/>
            <w:vMerge w:val="restart"/>
            <w:noWrap w:val="0"/>
            <w:vAlign w:val="center"/>
          </w:tcPr>
          <w:p>
            <w:pPr>
              <w:spacing w:line="240" w:lineRule="exact"/>
              <w:jc w:val="center"/>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序号</w:t>
            </w:r>
          </w:p>
        </w:tc>
        <w:tc>
          <w:tcPr>
            <w:tcW w:w="1332" w:type="dxa"/>
            <w:gridSpan w:val="3"/>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评分因素</w:t>
            </w:r>
          </w:p>
        </w:tc>
        <w:tc>
          <w:tcPr>
            <w:tcW w:w="1268"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权重(%)</w:t>
            </w:r>
          </w:p>
        </w:tc>
        <w:tc>
          <w:tcPr>
            <w:tcW w:w="7037"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评分准则</w:t>
            </w:r>
          </w:p>
        </w:tc>
      </w:tr>
      <w:tr>
        <w:tblPrEx>
          <w:tblW w:w="5000" w:type="pct"/>
          <w:jc w:val="center"/>
          <w:tblLayout w:type="fixed"/>
          <w:tblCellMar>
            <w:top w:w="0" w:type="dxa"/>
            <w:left w:w="108" w:type="dxa"/>
            <w:bottom w:w="0" w:type="dxa"/>
            <w:right w:w="108" w:type="dxa"/>
          </w:tblCellMar>
        </w:tblPrEx>
        <w:trPr>
          <w:trHeight w:val="20"/>
          <w:jc w:val="center"/>
        </w:trPr>
        <w:tc>
          <w:tcPr>
            <w:tcW w:w="392" w:type="dxa"/>
            <w:vMerge/>
            <w:noWrap w:val="0"/>
            <w:vAlign w:val="center"/>
          </w:tcPr>
          <w:p>
            <w:pPr>
              <w:keepNext/>
              <w:keepLines/>
              <w:spacing w:before="340" w:after="330" w:line="240" w:lineRule="exact"/>
              <w:jc w:val="center"/>
              <w:outlineLvl w:val="0"/>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1</w:t>
            </w:r>
          </w:p>
        </w:tc>
        <w:tc>
          <w:tcPr>
            <w:tcW w:w="1332" w:type="dxa"/>
            <w:gridSpan w:val="3"/>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技术保障措施</w:t>
            </w:r>
          </w:p>
        </w:tc>
        <w:tc>
          <w:tcPr>
            <w:tcW w:w="1268"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5</w:t>
            </w:r>
          </w:p>
        </w:tc>
        <w:tc>
          <w:tcPr>
            <w:tcW w:w="7037" w:type="dxa"/>
            <w:noWrap w:val="0"/>
            <w:vAlign w:val="center"/>
          </w:tcPr>
          <w:p>
            <w:pPr>
              <w:snapToGrid w:val="0"/>
              <w:rPr>
                <w:rFonts w:ascii="宋体" w:eastAsia="宋体" w:hAnsi="宋体" w:cs="宋体" w:hint="eastAsia"/>
                <w:sz w:val="21"/>
                <w:szCs w:val="21"/>
              </w:rPr>
            </w:pPr>
            <w:r>
              <w:rPr>
                <w:rFonts w:ascii="宋体" w:eastAsia="宋体" w:hAnsi="宋体" w:cs="宋体" w:hint="eastAsia"/>
                <w:sz w:val="21"/>
                <w:szCs w:val="21"/>
              </w:rPr>
              <w:t>（一）评审内容：</w:t>
            </w:r>
          </w:p>
          <w:p>
            <w:pPr>
              <w:jc w:val="left"/>
              <w:rPr>
                <w:rFonts w:ascii="宋体" w:eastAsia="宋体" w:hAnsi="宋体" w:cs="宋体" w:hint="eastAsia"/>
                <w:sz w:val="21"/>
                <w:szCs w:val="21"/>
                <w:lang w:eastAsia="zh-CN"/>
              </w:rPr>
            </w:pPr>
            <w:r>
              <w:rPr>
                <w:rFonts w:ascii="宋体" w:eastAsia="宋体" w:hAnsi="宋体" w:cs="宋体" w:hint="eastAsia"/>
                <w:sz w:val="21"/>
                <w:szCs w:val="21"/>
                <w:lang w:eastAsia="zh-CN"/>
              </w:rPr>
              <w:t>在投标文件中详细说明技术保障措施,内容须包括：</w:t>
            </w:r>
          </w:p>
          <w:p>
            <w:pPr>
              <w:numPr>
                <w:ilvl w:val="0"/>
                <w:numId w:val="1"/>
              </w:numPr>
              <w:jc w:val="left"/>
              <w:rPr>
                <w:rFonts w:ascii="宋体" w:eastAsia="宋体" w:hAnsi="宋体" w:cs="宋体" w:hint="eastAsia"/>
                <w:sz w:val="21"/>
                <w:szCs w:val="21"/>
                <w:lang w:eastAsia="zh-CN"/>
              </w:rPr>
            </w:pPr>
            <w:r>
              <w:rPr>
                <w:rFonts w:ascii="宋体" w:eastAsia="宋体" w:hAnsi="宋体" w:cs="宋体" w:hint="eastAsia"/>
                <w:sz w:val="21"/>
                <w:szCs w:val="21"/>
                <w:lang w:eastAsia="zh-CN"/>
              </w:rPr>
              <w:t>技术团队（应包含组织架构、项目负责人和分项技术人员配置等）；</w:t>
            </w:r>
          </w:p>
          <w:p>
            <w:pPr>
              <w:numPr>
                <w:ilvl w:val="0"/>
                <w:numId w:val="1"/>
              </w:numPr>
              <w:jc w:val="left"/>
              <w:rPr>
                <w:rFonts w:ascii="宋体" w:eastAsia="宋体" w:hAnsi="宋体" w:cs="宋体" w:hint="eastAsia"/>
                <w:sz w:val="21"/>
                <w:szCs w:val="21"/>
                <w:lang w:eastAsia="zh-CN"/>
              </w:rPr>
            </w:pPr>
            <w:r>
              <w:rPr>
                <w:rFonts w:ascii="宋体" w:eastAsia="宋体" w:hAnsi="宋体" w:cs="宋体" w:hint="eastAsia"/>
                <w:sz w:val="21"/>
                <w:szCs w:val="21"/>
                <w:lang w:eastAsia="zh-CN"/>
              </w:rPr>
              <w:t>技术方案（包括前期项目分析、产品制作安装工艺流程与规范标准、包含清单中的货物规格、材质及安全措施等）；</w:t>
            </w:r>
          </w:p>
          <w:p>
            <w:pPr>
              <w:numPr>
                <w:ilvl w:val="0"/>
                <w:numId w:val="1"/>
              </w:numPr>
              <w:jc w:val="left"/>
              <w:rPr>
                <w:rFonts w:ascii="宋体" w:eastAsia="宋体" w:hAnsi="宋体" w:cs="宋体" w:hint="eastAsia"/>
                <w:sz w:val="21"/>
                <w:szCs w:val="21"/>
                <w:lang w:eastAsia="zh-CN"/>
              </w:rPr>
            </w:pPr>
            <w:r>
              <w:rPr>
                <w:rFonts w:ascii="宋体" w:eastAsia="宋体" w:hAnsi="宋体" w:cs="宋体" w:hint="eastAsia"/>
                <w:sz w:val="21"/>
                <w:szCs w:val="21"/>
                <w:lang w:eastAsia="zh-CN"/>
              </w:rPr>
              <w:t>场地（应包含符合项目实际场地情况的人员、车辆及货物进出、现场环境保护等内容）；</w:t>
            </w:r>
          </w:p>
          <w:p>
            <w:pPr>
              <w:numPr>
                <w:ilvl w:val="0"/>
                <w:numId w:val="1"/>
              </w:numPr>
              <w:jc w:val="left"/>
              <w:rPr>
                <w:rFonts w:ascii="宋体" w:eastAsia="宋体" w:hAnsi="宋体" w:cs="宋体" w:hint="eastAsia"/>
                <w:sz w:val="21"/>
                <w:szCs w:val="21"/>
                <w:lang w:eastAsia="zh-CN"/>
              </w:rPr>
            </w:pPr>
            <w:r>
              <w:rPr>
                <w:rFonts w:ascii="宋体" w:eastAsia="宋体" w:hAnsi="宋体" w:cs="宋体" w:hint="eastAsia"/>
                <w:sz w:val="21"/>
                <w:szCs w:val="21"/>
                <w:lang w:eastAsia="zh-CN"/>
              </w:rPr>
              <w:t>车辆（计划实施的车辆使用信息）。</w:t>
            </w:r>
          </w:p>
          <w:p>
            <w:pPr>
              <w:snapToGrid w:val="0"/>
              <w:rPr>
                <w:rFonts w:ascii="宋体" w:eastAsia="宋体" w:hAnsi="宋体" w:cs="宋体" w:hint="eastAsia"/>
                <w:sz w:val="21"/>
                <w:szCs w:val="21"/>
              </w:rPr>
            </w:pPr>
            <w:r>
              <w:rPr>
                <w:rFonts w:ascii="宋体" w:eastAsia="宋体" w:hAnsi="宋体" w:cs="宋体" w:hint="eastAsia"/>
                <w:sz w:val="21"/>
                <w:szCs w:val="21"/>
              </w:rPr>
              <w:t>（二）评审标准：</w:t>
            </w:r>
          </w:p>
          <w:p>
            <w:pPr>
              <w:snapToGrid w:val="0"/>
              <w:rPr>
                <w:rFonts w:ascii="宋体" w:eastAsia="宋体" w:hAnsi="宋体" w:cs="宋体" w:hint="eastAsia"/>
                <w:sz w:val="21"/>
                <w:szCs w:val="21"/>
              </w:rPr>
            </w:pPr>
            <w:r>
              <w:rPr>
                <w:rFonts w:ascii="宋体" w:eastAsia="宋体" w:hAnsi="宋体" w:cs="宋体" w:hint="eastAsia"/>
                <w:sz w:val="21"/>
                <w:szCs w:val="21"/>
              </w:rPr>
              <w:t>方案中含有上述一个内容得</w:t>
            </w:r>
            <w:r>
              <w:rPr>
                <w:rFonts w:ascii="宋体" w:eastAsia="宋体" w:hAnsi="宋体" w:cs="宋体" w:hint="eastAsia"/>
                <w:sz w:val="21"/>
                <w:szCs w:val="21"/>
                <w:lang w:eastAsia="zh-CN"/>
              </w:rPr>
              <w:t>10</w:t>
            </w:r>
            <w:r>
              <w:rPr>
                <w:rFonts w:ascii="宋体" w:eastAsia="宋体" w:hAnsi="宋体" w:cs="宋体" w:hint="eastAsia"/>
                <w:sz w:val="21"/>
                <w:szCs w:val="21"/>
              </w:rPr>
              <w:t>分，总计</w:t>
            </w:r>
            <w:r>
              <w:rPr>
                <w:rFonts w:ascii="宋体" w:eastAsia="宋体" w:hAnsi="宋体" w:cs="宋体" w:hint="eastAsia"/>
                <w:sz w:val="21"/>
                <w:szCs w:val="21"/>
                <w:lang w:eastAsia="zh-CN"/>
              </w:rPr>
              <w:t>4</w:t>
            </w:r>
            <w:r>
              <w:rPr>
                <w:rFonts w:ascii="宋体" w:eastAsia="宋体" w:hAnsi="宋体" w:cs="宋体" w:hint="eastAsia"/>
                <w:sz w:val="21"/>
                <w:szCs w:val="21"/>
              </w:rPr>
              <w:t>0分。在此基础上，对方案的合理性、可行性进行打分。</w:t>
            </w:r>
          </w:p>
          <w:p>
            <w:pPr>
              <w:spacing w:line="320" w:lineRule="exact"/>
              <w:ind w:firstLine="0"/>
              <w:rPr>
                <w:rFonts w:ascii="宋体" w:eastAsia="宋体" w:hAnsi="宋体" w:cs="宋体" w:hint="eastAsia"/>
                <w:sz w:val="21"/>
                <w:szCs w:val="21"/>
                <w:lang w:eastAsia="zh-CN"/>
              </w:rPr>
            </w:pPr>
            <w:r>
              <w:rPr>
                <w:rFonts w:ascii="宋体" w:eastAsia="宋体" w:hAnsi="宋体" w:cs="宋体" w:hint="eastAsia"/>
                <w:sz w:val="21"/>
                <w:szCs w:val="21"/>
                <w:lang w:eastAsia="zh-CN"/>
              </w:rPr>
              <w:t>优：实施方案科学可行、合理、先进，保证措施具体，工期计划目标明确，得60分。</w:t>
            </w:r>
          </w:p>
          <w:p>
            <w:pPr>
              <w:spacing w:line="320" w:lineRule="exact"/>
              <w:ind w:firstLine="0"/>
              <w:rPr>
                <w:rFonts w:ascii="宋体" w:eastAsia="宋体" w:hAnsi="宋体" w:cs="宋体" w:hint="eastAsia"/>
                <w:sz w:val="21"/>
                <w:szCs w:val="21"/>
                <w:lang w:eastAsia="zh-CN"/>
              </w:rPr>
            </w:pPr>
            <w:r>
              <w:rPr>
                <w:rFonts w:ascii="宋体" w:eastAsia="宋体" w:hAnsi="宋体" w:cs="宋体" w:hint="eastAsia"/>
                <w:sz w:val="21"/>
                <w:szCs w:val="21"/>
                <w:lang w:eastAsia="zh-CN"/>
              </w:rPr>
              <w:t>良：实施方案可行、较合理、较先进、保证措施一般，工期计划目标较明确，得20分。</w:t>
            </w:r>
          </w:p>
          <w:p>
            <w:pPr>
              <w:spacing w:line="320" w:lineRule="exact"/>
              <w:ind w:firstLine="0"/>
              <w:rPr>
                <w:rFonts w:ascii="宋体" w:eastAsia="宋体" w:hAnsi="宋体" w:cs="宋体" w:hint="eastAsia"/>
                <w:sz w:val="21"/>
                <w:szCs w:val="21"/>
                <w:lang w:eastAsia="zh-CN"/>
              </w:rPr>
            </w:pPr>
            <w:r>
              <w:rPr>
                <w:rFonts w:ascii="宋体" w:eastAsia="宋体" w:hAnsi="宋体" w:cs="宋体" w:hint="eastAsia"/>
                <w:sz w:val="21"/>
                <w:szCs w:val="21"/>
                <w:lang w:eastAsia="zh-CN"/>
              </w:rPr>
              <w:t>中：实施方案满足招标文件要求，进度计划较可行、较合理、保证措施较差，得10分。</w:t>
            </w:r>
          </w:p>
          <w:p>
            <w:pPr>
              <w:spacing w:line="240" w:lineRule="exact"/>
              <w:jc w:val="left"/>
              <w:rPr>
                <w:rFonts w:ascii="宋体" w:eastAsia="宋体" w:hAnsi="宋体" w:cs="宋体" w:hint="eastAsia"/>
                <w:sz w:val="21"/>
                <w:szCs w:val="21"/>
              </w:rPr>
            </w:pPr>
            <w:r>
              <w:rPr>
                <w:rFonts w:ascii="宋体" w:eastAsia="宋体" w:hAnsi="宋体" w:cs="宋体" w:hint="eastAsia"/>
                <w:sz w:val="21"/>
                <w:szCs w:val="21"/>
              </w:rPr>
              <w:t>差：未提供实施方案，得0分。</w:t>
            </w:r>
          </w:p>
        </w:tc>
      </w:tr>
      <w:tr>
        <w:tblPrEx>
          <w:tblW w:w="5000" w:type="pct"/>
          <w:jc w:val="center"/>
          <w:tblLayout w:type="fixed"/>
          <w:tblCellMar>
            <w:top w:w="0" w:type="dxa"/>
            <w:left w:w="108" w:type="dxa"/>
            <w:bottom w:w="0" w:type="dxa"/>
            <w:right w:w="108" w:type="dxa"/>
          </w:tblCellMar>
        </w:tblPrEx>
        <w:trPr>
          <w:trHeight w:val="20"/>
          <w:jc w:val="center"/>
        </w:trPr>
        <w:tc>
          <w:tcPr>
            <w:tcW w:w="392" w:type="dxa"/>
            <w:vMerge/>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2</w:t>
            </w:r>
          </w:p>
        </w:tc>
        <w:tc>
          <w:tcPr>
            <w:tcW w:w="1332" w:type="dxa"/>
            <w:gridSpan w:val="3"/>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技术规格偏离情况</w:t>
            </w:r>
          </w:p>
        </w:tc>
        <w:tc>
          <w:tcPr>
            <w:tcW w:w="1268" w:type="dxa"/>
            <w:noWrap w:val="0"/>
            <w:vAlign w:val="center"/>
          </w:tcPr>
          <w:p>
            <w:pPr>
              <w:spacing w:line="240" w:lineRule="exact"/>
              <w:jc w:val="center"/>
              <w:rPr>
                <w:rFonts w:ascii="宋体" w:eastAsia="宋体" w:hAnsi="宋体" w:cs="宋体" w:hint="eastAsia"/>
                <w:sz w:val="21"/>
                <w:szCs w:val="21"/>
                <w:lang w:eastAsia="zh-CN"/>
              </w:rPr>
            </w:pPr>
            <w:r>
              <w:rPr>
                <w:rFonts w:ascii="宋体" w:eastAsia="宋体" w:hAnsi="宋体" w:cs="宋体" w:hint="eastAsia"/>
                <w:sz w:val="21"/>
                <w:szCs w:val="21"/>
              </w:rPr>
              <w:t>3</w:t>
            </w:r>
            <w:r>
              <w:rPr>
                <w:rFonts w:ascii="宋体" w:eastAsia="宋体" w:hAnsi="宋体" w:cs="宋体" w:hint="eastAsia"/>
                <w:sz w:val="21"/>
                <w:szCs w:val="21"/>
                <w:lang w:eastAsia="zh-CN"/>
              </w:rPr>
              <w:t>1</w:t>
            </w:r>
          </w:p>
        </w:tc>
        <w:tc>
          <w:tcPr>
            <w:tcW w:w="7037" w:type="dxa"/>
            <w:noWrap w:val="0"/>
            <w:vAlign w:val="center"/>
          </w:tcPr>
          <w:p>
            <w:pPr>
              <w:jc w:val="left"/>
              <w:rPr>
                <w:rFonts w:ascii="宋体" w:eastAsia="宋体" w:hAnsi="宋体" w:cs="宋体" w:hint="eastAsia"/>
                <w:sz w:val="21"/>
                <w:szCs w:val="21"/>
              </w:rPr>
            </w:pPr>
            <w:r>
              <w:rPr>
                <w:rFonts w:ascii="宋体" w:eastAsia="宋体" w:hAnsi="宋体" w:cs="宋体" w:hint="eastAsia"/>
                <w:sz w:val="21"/>
                <w:szCs w:val="21"/>
              </w:rPr>
              <w:t>评审小组根据《技术规格偏离表》（以下简称“偏离表”）响应情况进行打分，全部满足的得100分。除实质性条款外，一般参数负偏离一项扣0.0</w:t>
            </w:r>
            <w:r>
              <w:rPr>
                <w:rFonts w:ascii="宋体" w:eastAsia="宋体" w:hAnsi="宋体" w:cs="宋体" w:hint="eastAsia"/>
                <w:sz w:val="21"/>
                <w:szCs w:val="21"/>
                <w:lang w:eastAsia="zh-CN"/>
              </w:rPr>
              <w:t>4</w:t>
            </w:r>
            <w:r>
              <w:rPr>
                <w:rFonts w:ascii="宋体" w:eastAsia="宋体" w:hAnsi="宋体" w:cs="宋体" w:hint="eastAsia"/>
                <w:sz w:val="21"/>
                <w:szCs w:val="21"/>
              </w:rPr>
              <w:t>分，重点技术参数▲项负偏离一项扣</w:t>
            </w:r>
            <w:r>
              <w:rPr>
                <w:rFonts w:ascii="宋体" w:eastAsia="宋体" w:hAnsi="宋体" w:cs="宋体" w:hint="eastAsia"/>
                <w:sz w:val="21"/>
                <w:szCs w:val="21"/>
                <w:lang w:eastAsia="zh-CN"/>
              </w:rPr>
              <w:t>18</w:t>
            </w:r>
            <w:r>
              <w:rPr>
                <w:rFonts w:ascii="宋体" w:eastAsia="宋体" w:hAnsi="宋体" w:cs="宋体" w:hint="eastAsia"/>
                <w:sz w:val="21"/>
                <w:szCs w:val="21"/>
              </w:rPr>
              <w:t>分，扣完为止。</w:t>
            </w:r>
          </w:p>
          <w:p>
            <w:pPr>
              <w:spacing w:line="240" w:lineRule="exact"/>
              <w:jc w:val="left"/>
              <w:rPr>
                <w:rFonts w:ascii="宋体" w:eastAsia="宋体" w:hAnsi="宋体" w:cs="宋体" w:hint="eastAsia"/>
                <w:sz w:val="21"/>
                <w:szCs w:val="21"/>
              </w:rPr>
            </w:pPr>
            <w:r>
              <w:rPr>
                <w:rFonts w:ascii="宋体" w:eastAsia="宋体" w:hAnsi="宋体" w:cs="宋体" w:hint="eastAsia"/>
                <w:sz w:val="21"/>
                <w:szCs w:val="21"/>
              </w:rPr>
              <w:t>偏离表应如实对应填写所投产品的具体参数。如要求提供“厂家网站截图/说明书/厂家出具的参数文件/检验报告”等证明资料的，需按要求提供相关证明资料；提供的证明资料与所填写内容不一致的，以证明资料为准，原件备查。</w:t>
            </w:r>
          </w:p>
        </w:tc>
      </w:tr>
      <w:tr>
        <w:tblPrEx>
          <w:tblW w:w="5000" w:type="pct"/>
          <w:jc w:val="center"/>
          <w:tblLayout w:type="fixed"/>
          <w:tblCellMar>
            <w:top w:w="0" w:type="dxa"/>
            <w:left w:w="108" w:type="dxa"/>
            <w:bottom w:w="0" w:type="dxa"/>
            <w:right w:w="108" w:type="dxa"/>
          </w:tblCellMar>
        </w:tblPrEx>
        <w:trPr>
          <w:trHeight w:val="1377"/>
          <w:jc w:val="center"/>
        </w:trPr>
        <w:tc>
          <w:tcPr>
            <w:tcW w:w="392" w:type="dxa"/>
            <w:vMerge/>
            <w:noWrap w:val="0"/>
            <w:vAlign w:val="center"/>
          </w:tcPr>
          <w:p>
            <w:pPr>
              <w:spacing w:line="240" w:lineRule="exact"/>
              <w:jc w:val="center"/>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3</w:t>
            </w:r>
          </w:p>
        </w:tc>
        <w:tc>
          <w:tcPr>
            <w:tcW w:w="1332" w:type="dxa"/>
            <w:gridSpan w:val="3"/>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效果图</w:t>
            </w:r>
          </w:p>
        </w:tc>
        <w:tc>
          <w:tcPr>
            <w:tcW w:w="1268"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10</w:t>
            </w:r>
          </w:p>
        </w:tc>
        <w:tc>
          <w:tcPr>
            <w:tcW w:w="7037" w:type="dxa"/>
            <w:noWrap w:val="0"/>
            <w:vAlign w:val="center"/>
          </w:tcPr>
          <w:p>
            <w:pPr>
              <w:jc w:val="left"/>
              <w:rPr>
                <w:rFonts w:ascii="宋体" w:eastAsia="宋体" w:hAnsi="宋体" w:cs="宋体" w:hint="eastAsia"/>
                <w:b/>
                <w:bCs/>
                <w:sz w:val="21"/>
                <w:szCs w:val="21"/>
              </w:rPr>
            </w:pPr>
            <w:r>
              <w:rPr>
                <w:rFonts w:ascii="宋体" w:eastAsia="宋体" w:hAnsi="宋体" w:cs="宋体" w:hint="eastAsia"/>
                <w:b/>
                <w:bCs/>
                <w:sz w:val="21"/>
                <w:szCs w:val="21"/>
              </w:rPr>
              <w:t>考察内容：</w:t>
            </w:r>
          </w:p>
          <w:p>
            <w:pPr>
              <w:jc w:val="left"/>
              <w:rPr>
                <w:rFonts w:ascii="宋体" w:eastAsia="宋体" w:hAnsi="宋体" w:cs="宋体" w:hint="eastAsia"/>
                <w:sz w:val="21"/>
                <w:szCs w:val="21"/>
              </w:rPr>
            </w:pPr>
            <w:r>
              <w:rPr>
                <w:rFonts w:ascii="宋体" w:eastAsia="宋体" w:hAnsi="宋体" w:cs="宋体" w:hint="eastAsia"/>
                <w:sz w:val="21"/>
                <w:szCs w:val="21"/>
              </w:rPr>
              <w:t>投标人参考招标文件平面图（详见招标文相应章节件）提供以下内容：</w:t>
            </w:r>
          </w:p>
          <w:p>
            <w:pPr>
              <w:jc w:val="left"/>
              <w:rPr>
                <w:rFonts w:ascii="宋体" w:eastAsia="宋体" w:hAnsi="宋体" w:cs="宋体" w:hint="eastAsia"/>
                <w:sz w:val="21"/>
                <w:szCs w:val="21"/>
              </w:rPr>
            </w:pPr>
            <w:r>
              <w:rPr>
                <w:rFonts w:ascii="宋体" w:eastAsia="宋体" w:hAnsi="宋体" w:cs="宋体" w:hint="eastAsia"/>
                <w:sz w:val="21"/>
                <w:szCs w:val="21"/>
              </w:rPr>
              <w:t>根据货物清单明细中要求的货物及所在的空间提供相应的平面布局图及室内设计效果图，具体要求如下：</w:t>
            </w:r>
          </w:p>
          <w:p>
            <w:pPr>
              <w:jc w:val="left"/>
              <w:rPr>
                <w:rFonts w:ascii="宋体" w:eastAsia="宋体" w:hAnsi="宋体" w:cs="宋体" w:hint="eastAsia"/>
                <w:sz w:val="21"/>
                <w:szCs w:val="21"/>
              </w:rPr>
            </w:pPr>
            <w:r>
              <w:rPr>
                <w:rFonts w:ascii="宋体" w:eastAsia="宋体" w:hAnsi="宋体" w:cs="宋体" w:hint="eastAsia"/>
                <w:sz w:val="21"/>
                <w:szCs w:val="21"/>
              </w:rPr>
              <w:t>1.投标人根据技术要求“序号1-序号80”提供</w:t>
            </w:r>
            <w:r>
              <w:rPr>
                <w:rFonts w:ascii="宋体" w:eastAsia="宋体" w:hAnsi="宋体" w:cs="宋体" w:hint="eastAsia"/>
                <w:b/>
                <w:bCs/>
                <w:sz w:val="21"/>
                <w:szCs w:val="21"/>
              </w:rPr>
              <w:t>小班、中班、大班3个空间的</w:t>
            </w:r>
            <w:r>
              <w:rPr>
                <w:rFonts w:ascii="宋体" w:eastAsia="宋体" w:hAnsi="宋体" w:cs="宋体" w:hint="eastAsia"/>
                <w:sz w:val="21"/>
                <w:szCs w:val="21"/>
              </w:rPr>
              <w:t>幼儿教室区域摆放平面布置图和效果图 ，合计</w:t>
            </w:r>
            <w:r>
              <w:rPr>
                <w:rFonts w:ascii="宋体" w:eastAsia="宋体" w:hAnsi="宋体" w:cs="宋体" w:hint="eastAsia"/>
                <w:sz w:val="21"/>
                <w:szCs w:val="21"/>
                <w:lang w:eastAsia="zh-CN"/>
              </w:rPr>
              <w:t>不少于</w:t>
            </w:r>
            <w:r>
              <w:rPr>
                <w:rFonts w:ascii="宋体" w:eastAsia="宋体" w:hAnsi="宋体" w:cs="宋体" w:hint="eastAsia"/>
                <w:sz w:val="21"/>
                <w:szCs w:val="21"/>
              </w:rPr>
              <w:t>12张图。</w:t>
            </w:r>
          </w:p>
          <w:p>
            <w:pPr>
              <w:jc w:val="left"/>
              <w:rPr>
                <w:rFonts w:ascii="宋体" w:eastAsia="宋体" w:hAnsi="宋体" w:cs="宋体" w:hint="eastAsia"/>
                <w:sz w:val="21"/>
                <w:szCs w:val="21"/>
              </w:rPr>
            </w:pPr>
            <w:r>
              <w:rPr>
                <w:rFonts w:ascii="宋体" w:eastAsia="宋体" w:hAnsi="宋体" w:cs="宋体" w:hint="eastAsia"/>
                <w:sz w:val="21"/>
                <w:szCs w:val="21"/>
              </w:rPr>
              <w:t>2.投标人根据技术要求“序号81-序号92”提供</w:t>
            </w:r>
            <w:r>
              <w:rPr>
                <w:rFonts w:ascii="宋体" w:eastAsia="宋体" w:hAnsi="宋体" w:cs="宋体" w:hint="eastAsia"/>
                <w:b/>
                <w:bCs/>
                <w:sz w:val="21"/>
                <w:szCs w:val="21"/>
              </w:rPr>
              <w:t>美术室空间</w:t>
            </w:r>
            <w:r>
              <w:rPr>
                <w:rFonts w:ascii="宋体" w:eastAsia="宋体" w:hAnsi="宋体" w:cs="宋体" w:hint="eastAsia"/>
                <w:sz w:val="21"/>
                <w:szCs w:val="21"/>
              </w:rPr>
              <w:t>的区域摆放平面布置图和效果图，合计</w:t>
            </w:r>
            <w:r>
              <w:rPr>
                <w:rFonts w:ascii="宋体" w:eastAsia="宋体" w:hAnsi="宋体" w:cs="宋体" w:hint="eastAsia"/>
                <w:sz w:val="21"/>
                <w:szCs w:val="21"/>
                <w:lang w:eastAsia="zh-CN"/>
              </w:rPr>
              <w:t>不少于</w:t>
            </w:r>
            <w:r>
              <w:rPr>
                <w:rFonts w:ascii="宋体" w:eastAsia="宋体" w:hAnsi="宋体" w:cs="宋体" w:hint="eastAsia"/>
                <w:sz w:val="21"/>
                <w:szCs w:val="21"/>
              </w:rPr>
              <w:t>4张图。</w:t>
            </w:r>
          </w:p>
          <w:p>
            <w:pPr>
              <w:jc w:val="left"/>
              <w:rPr>
                <w:rFonts w:ascii="宋体" w:eastAsia="宋体" w:hAnsi="宋体" w:cs="宋体" w:hint="eastAsia"/>
                <w:sz w:val="21"/>
                <w:szCs w:val="21"/>
              </w:rPr>
            </w:pPr>
            <w:r>
              <w:rPr>
                <w:rFonts w:ascii="宋体" w:eastAsia="宋体" w:hAnsi="宋体" w:cs="宋体" w:hint="eastAsia"/>
                <w:sz w:val="21"/>
                <w:szCs w:val="21"/>
              </w:rPr>
              <w:t>3.投标人根据技术要求“序号93--序号153”提供</w:t>
            </w:r>
            <w:r>
              <w:rPr>
                <w:rFonts w:ascii="宋体" w:eastAsia="宋体" w:hAnsi="宋体" w:cs="宋体" w:hint="eastAsia"/>
                <w:b/>
                <w:bCs/>
                <w:sz w:val="21"/>
                <w:szCs w:val="21"/>
              </w:rPr>
              <w:t>园长办公室（2间）、副园长+安全主任办公室（1间）、</w:t>
            </w:r>
            <w:r>
              <w:rPr>
                <w:rFonts w:ascii="宋体" w:eastAsia="宋体" w:hAnsi="宋体" w:cs="宋体" w:hint="eastAsia"/>
                <w:b/>
                <w:bCs/>
                <w:sz w:val="21"/>
                <w:szCs w:val="21"/>
                <w:lang w:eastAsia="zh-CN"/>
              </w:rPr>
              <w:t>财务室（1间）、</w:t>
            </w:r>
            <w:r>
              <w:rPr>
                <w:rFonts w:ascii="宋体" w:eastAsia="宋体" w:hAnsi="宋体" w:cs="宋体" w:hint="eastAsia"/>
                <w:b/>
                <w:bCs/>
                <w:sz w:val="21"/>
                <w:szCs w:val="21"/>
              </w:rPr>
              <w:t>教师办公室（</w:t>
            </w:r>
            <w:r>
              <w:rPr>
                <w:rFonts w:ascii="宋体" w:eastAsia="宋体" w:hAnsi="宋体" w:cs="宋体" w:hint="eastAsia"/>
                <w:b/>
                <w:bCs/>
                <w:sz w:val="21"/>
                <w:szCs w:val="21"/>
                <w:lang w:eastAsia="zh-CN"/>
              </w:rPr>
              <w:t>2</w:t>
            </w:r>
            <w:r>
              <w:rPr>
                <w:rFonts w:ascii="宋体" w:eastAsia="宋体" w:hAnsi="宋体" w:cs="宋体" w:hint="eastAsia"/>
                <w:b/>
                <w:bCs/>
                <w:sz w:val="21"/>
                <w:szCs w:val="21"/>
              </w:rPr>
              <w:t>间）、保健室（1间）、会议室（1间）</w:t>
            </w:r>
            <w:r>
              <w:rPr>
                <w:rFonts w:ascii="宋体" w:eastAsia="宋体" w:hAnsi="宋体" w:cs="宋体" w:hint="eastAsia"/>
                <w:sz w:val="21"/>
                <w:szCs w:val="21"/>
              </w:rPr>
              <w:t>等</w:t>
            </w:r>
            <w:r>
              <w:rPr>
                <w:rFonts w:ascii="宋体" w:eastAsia="宋体" w:hAnsi="宋体" w:cs="宋体" w:hint="eastAsia"/>
                <w:sz w:val="21"/>
                <w:szCs w:val="21"/>
                <w:lang w:eastAsia="zh-CN"/>
              </w:rPr>
              <w:t>8</w:t>
            </w:r>
            <w:r>
              <w:rPr>
                <w:rFonts w:ascii="宋体" w:eastAsia="宋体" w:hAnsi="宋体" w:cs="宋体" w:hint="eastAsia"/>
                <w:sz w:val="21"/>
                <w:szCs w:val="21"/>
              </w:rPr>
              <w:t>个空间的区域摆放平面布置图和效果图，合计不少于</w:t>
            </w:r>
            <w:r>
              <w:rPr>
                <w:rFonts w:ascii="宋体" w:eastAsia="宋体" w:hAnsi="宋体" w:cs="宋体" w:hint="eastAsia"/>
                <w:sz w:val="21"/>
                <w:szCs w:val="21"/>
                <w:lang w:eastAsia="zh-CN"/>
              </w:rPr>
              <w:t>14</w:t>
            </w:r>
            <w:r>
              <w:rPr>
                <w:rFonts w:ascii="宋体" w:eastAsia="宋体" w:hAnsi="宋体" w:cs="宋体" w:hint="eastAsia"/>
                <w:sz w:val="21"/>
                <w:szCs w:val="21"/>
              </w:rPr>
              <w:t>张图。</w:t>
            </w:r>
          </w:p>
          <w:p>
            <w:pPr>
              <w:jc w:val="left"/>
              <w:rPr>
                <w:rFonts w:ascii="宋体" w:eastAsia="宋体" w:hAnsi="宋体" w:cs="宋体" w:hint="eastAsia"/>
                <w:sz w:val="21"/>
                <w:szCs w:val="21"/>
              </w:rPr>
            </w:pPr>
            <w:r>
              <w:rPr>
                <w:rFonts w:ascii="宋体" w:eastAsia="宋体" w:hAnsi="宋体" w:cs="宋体" w:hint="eastAsia"/>
                <w:sz w:val="21"/>
                <w:szCs w:val="21"/>
              </w:rPr>
              <w:t>4.投标人根据技术要求“序号156--序号167”提供</w:t>
            </w:r>
            <w:r>
              <w:rPr>
                <w:rFonts w:ascii="宋体" w:eastAsia="宋体" w:hAnsi="宋体" w:cs="宋体" w:hint="eastAsia"/>
                <w:b/>
                <w:bCs/>
                <w:sz w:val="21"/>
                <w:szCs w:val="21"/>
              </w:rPr>
              <w:t>教职工餐厅</w:t>
            </w:r>
            <w:r>
              <w:rPr>
                <w:rFonts w:ascii="宋体" w:eastAsia="宋体" w:hAnsi="宋体" w:cs="宋体" w:hint="eastAsia"/>
                <w:sz w:val="21"/>
                <w:szCs w:val="21"/>
              </w:rPr>
              <w:t>空间的区域摆放平面布置图和效果图，合计不少于4张图。</w:t>
            </w:r>
          </w:p>
          <w:p>
            <w:pPr>
              <w:jc w:val="left"/>
              <w:rPr>
                <w:rFonts w:ascii="宋体" w:eastAsia="宋体" w:hAnsi="宋体" w:cs="宋体" w:hint="eastAsia"/>
                <w:b/>
                <w:bCs/>
                <w:sz w:val="21"/>
                <w:szCs w:val="21"/>
              </w:rPr>
            </w:pPr>
            <w:r>
              <w:rPr>
                <w:rFonts w:ascii="宋体" w:eastAsia="宋体" w:hAnsi="宋体" w:cs="宋体" w:hint="eastAsia"/>
                <w:b/>
                <w:bCs/>
                <w:sz w:val="21"/>
                <w:szCs w:val="21"/>
              </w:rPr>
              <w:t>评审标准：</w:t>
            </w:r>
          </w:p>
          <w:p>
            <w:pPr>
              <w:jc w:val="left"/>
              <w:rPr>
                <w:rFonts w:ascii="宋体" w:eastAsia="宋体" w:hAnsi="宋体" w:cs="宋体" w:hint="eastAsia"/>
                <w:sz w:val="21"/>
                <w:szCs w:val="21"/>
              </w:rPr>
            </w:pPr>
            <w:r>
              <w:rPr>
                <w:rFonts w:ascii="宋体" w:eastAsia="宋体" w:hAnsi="宋体" w:cs="宋体" w:hint="eastAsia"/>
                <w:sz w:val="21"/>
                <w:szCs w:val="21"/>
              </w:rPr>
              <w:t>1.提供以上空间（需包含空间内提到的所有货物）的平面布局图及室内设计效果图，每提供一个空间可得</w:t>
            </w:r>
            <w:r>
              <w:rPr>
                <w:rFonts w:ascii="宋体" w:eastAsia="宋体" w:hAnsi="宋体" w:cs="宋体" w:hint="eastAsia"/>
                <w:sz w:val="21"/>
                <w:szCs w:val="21"/>
                <w:lang w:eastAsia="zh-CN"/>
              </w:rPr>
              <w:t>2.3</w:t>
            </w:r>
            <w:r>
              <w:rPr>
                <w:rFonts w:ascii="宋体" w:eastAsia="宋体" w:hAnsi="宋体" w:cs="宋体" w:hint="eastAsia"/>
                <w:sz w:val="21"/>
                <w:szCs w:val="21"/>
              </w:rPr>
              <w:t>分，最高可得</w:t>
            </w:r>
            <w:r>
              <w:rPr>
                <w:rFonts w:ascii="宋体" w:eastAsia="宋体" w:hAnsi="宋体" w:cs="宋体" w:hint="eastAsia"/>
                <w:sz w:val="21"/>
                <w:szCs w:val="21"/>
                <w:lang w:eastAsia="zh-CN"/>
              </w:rPr>
              <w:t>3</w:t>
            </w:r>
            <w:r>
              <w:rPr>
                <w:rFonts w:ascii="宋体" w:eastAsia="宋体" w:hAnsi="宋体" w:cs="宋体" w:hint="eastAsia"/>
                <w:sz w:val="21"/>
                <w:szCs w:val="21"/>
              </w:rPr>
              <w:t>0分。</w:t>
            </w:r>
          </w:p>
          <w:p>
            <w:pPr>
              <w:jc w:val="left"/>
              <w:rPr>
                <w:rFonts w:ascii="宋体" w:eastAsia="宋体" w:hAnsi="宋体" w:cs="宋体" w:hint="eastAsia"/>
                <w:sz w:val="21"/>
                <w:szCs w:val="21"/>
              </w:rPr>
            </w:pPr>
            <w:r>
              <w:rPr>
                <w:rFonts w:ascii="宋体" w:eastAsia="宋体" w:hAnsi="宋体" w:cs="宋体" w:hint="eastAsia"/>
                <w:sz w:val="21"/>
                <w:szCs w:val="21"/>
              </w:rPr>
              <w:t>2.在此基础上，评标委员会根据具体响应内容进一步评审:</w:t>
            </w:r>
          </w:p>
          <w:p>
            <w:pPr>
              <w:jc w:val="left"/>
              <w:rPr>
                <w:rFonts w:ascii="宋体" w:eastAsia="宋体" w:hAnsi="宋体" w:cs="宋体" w:hint="eastAsia"/>
                <w:sz w:val="21"/>
                <w:szCs w:val="21"/>
              </w:rPr>
            </w:pPr>
            <w:r>
              <w:rPr>
                <w:rFonts w:ascii="宋体" w:eastAsia="宋体" w:hAnsi="宋体" w:cs="宋体" w:hint="eastAsia"/>
                <w:sz w:val="21"/>
                <w:szCs w:val="21"/>
              </w:rPr>
              <w:t>（1）评价为优（内容完整，家具摆放设计合理、实用性强，家具设计美观、图片清晰、整体效果完全符合场景环境实际需求）的加</w:t>
            </w:r>
            <w:r>
              <w:rPr>
                <w:rFonts w:ascii="宋体" w:eastAsia="宋体" w:hAnsi="宋体" w:cs="宋体" w:hint="eastAsia"/>
                <w:sz w:val="21"/>
                <w:szCs w:val="21"/>
                <w:lang w:eastAsia="zh-CN"/>
              </w:rPr>
              <w:t>7</w:t>
            </w:r>
            <w:r>
              <w:rPr>
                <w:rFonts w:ascii="宋体" w:eastAsia="宋体" w:hAnsi="宋体" w:cs="宋体" w:hint="eastAsia"/>
                <w:sz w:val="21"/>
                <w:szCs w:val="21"/>
              </w:rPr>
              <w:t>0分；</w:t>
            </w:r>
          </w:p>
          <w:p>
            <w:pPr>
              <w:jc w:val="left"/>
              <w:rPr>
                <w:rFonts w:ascii="宋体" w:eastAsia="宋体" w:hAnsi="宋体" w:cs="宋体" w:hint="eastAsia"/>
                <w:sz w:val="21"/>
                <w:szCs w:val="21"/>
              </w:rPr>
            </w:pPr>
            <w:r>
              <w:rPr>
                <w:rFonts w:ascii="宋体" w:eastAsia="宋体" w:hAnsi="宋体" w:cs="宋体" w:hint="eastAsia"/>
                <w:sz w:val="21"/>
                <w:szCs w:val="21"/>
              </w:rPr>
              <w:t>（2）评价为良（内容完整，家具摆放设计较为合理、实用性较好，家具设计较好、图片清晰、整体效果基本符合场景环境实际需求）的加</w:t>
            </w:r>
            <w:r>
              <w:rPr>
                <w:rFonts w:ascii="宋体" w:eastAsia="宋体" w:hAnsi="宋体" w:cs="宋体" w:hint="eastAsia"/>
                <w:sz w:val="21"/>
                <w:szCs w:val="21"/>
                <w:lang w:eastAsia="zh-CN"/>
              </w:rPr>
              <w:t>3</w:t>
            </w:r>
            <w:r>
              <w:rPr>
                <w:rFonts w:ascii="宋体" w:eastAsia="宋体" w:hAnsi="宋体" w:cs="宋体" w:hint="eastAsia"/>
                <w:sz w:val="21"/>
                <w:szCs w:val="21"/>
              </w:rPr>
              <w:t>0分；</w:t>
            </w:r>
          </w:p>
          <w:p>
            <w:pPr>
              <w:jc w:val="left"/>
              <w:rPr>
                <w:rFonts w:ascii="宋体" w:eastAsia="宋体" w:hAnsi="宋体" w:cs="宋体" w:hint="eastAsia"/>
                <w:sz w:val="21"/>
                <w:szCs w:val="21"/>
              </w:rPr>
            </w:pPr>
            <w:r>
              <w:rPr>
                <w:rFonts w:ascii="宋体" w:eastAsia="宋体" w:hAnsi="宋体" w:cs="宋体" w:hint="eastAsia"/>
                <w:sz w:val="21"/>
                <w:szCs w:val="21"/>
              </w:rPr>
              <w:t>（3）评价为中（内容基本完整，家具摆放设计合理性一般、实用性一般，家具设计一般、图片清晰、整体效果不完全符合场景环境实际需求）的加10分；</w:t>
            </w:r>
          </w:p>
          <w:p>
            <w:pPr>
              <w:jc w:val="left"/>
              <w:rPr>
                <w:rFonts w:ascii="宋体" w:eastAsia="宋体" w:hAnsi="宋体" w:cs="宋体" w:hint="eastAsia"/>
                <w:sz w:val="21"/>
                <w:szCs w:val="21"/>
              </w:rPr>
            </w:pPr>
            <w:r>
              <w:rPr>
                <w:rFonts w:ascii="宋体" w:eastAsia="宋体" w:hAnsi="宋体" w:cs="宋体" w:hint="eastAsia"/>
                <w:sz w:val="21"/>
                <w:szCs w:val="21"/>
              </w:rPr>
              <w:t>（4）评价为差（内容不完整，家具摆放设计合理性较差、实用性较差，家具设计较差、图片不清晰、整体效果不符合场景环境实际需求）的不加分。</w:t>
            </w:r>
          </w:p>
          <w:p>
            <w:pPr>
              <w:rPr>
                <w:rFonts w:ascii="宋体" w:eastAsia="宋体" w:hAnsi="宋体" w:cs="宋体" w:hint="eastAsia"/>
                <w:sz w:val="21"/>
                <w:szCs w:val="21"/>
              </w:rPr>
            </w:pPr>
            <w:r>
              <w:rPr>
                <w:rFonts w:ascii="宋体" w:eastAsia="宋体" w:hAnsi="宋体" w:cs="宋体" w:hint="eastAsia"/>
                <w:sz w:val="21"/>
                <w:szCs w:val="21"/>
              </w:rPr>
              <w:t>以上2项累计得分，最高得100分。</w:t>
            </w:r>
          </w:p>
        </w:tc>
      </w:tr>
      <w:tr>
        <w:tblPrEx>
          <w:tblW w:w="5000" w:type="pct"/>
          <w:jc w:val="center"/>
          <w:tblLayout w:type="fixed"/>
          <w:tblCellMar>
            <w:top w:w="0" w:type="dxa"/>
            <w:left w:w="108" w:type="dxa"/>
            <w:bottom w:w="0" w:type="dxa"/>
            <w:right w:w="108" w:type="dxa"/>
          </w:tblCellMar>
        </w:tblPrEx>
        <w:trPr>
          <w:trHeight w:val="2160"/>
          <w:jc w:val="center"/>
        </w:trPr>
        <w:tc>
          <w:tcPr>
            <w:tcW w:w="392" w:type="dxa"/>
            <w:vMerge/>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4</w:t>
            </w:r>
          </w:p>
        </w:tc>
        <w:tc>
          <w:tcPr>
            <w:tcW w:w="1332" w:type="dxa"/>
            <w:gridSpan w:val="3"/>
            <w:noWrap w:val="0"/>
            <w:vAlign w:val="center"/>
          </w:tcPr>
          <w:p>
            <w:pPr>
              <w:snapToGrid w:val="0"/>
              <w:jc w:val="center"/>
              <w:rPr>
                <w:rFonts w:ascii="宋体" w:eastAsia="宋体" w:hAnsi="宋体" w:cs="宋体" w:hint="eastAsia"/>
                <w:sz w:val="21"/>
                <w:szCs w:val="21"/>
              </w:rPr>
            </w:pPr>
            <w:r>
              <w:rPr>
                <w:rFonts w:ascii="宋体" w:eastAsia="宋体" w:hAnsi="宋体" w:cs="宋体" w:hint="eastAsia"/>
                <w:sz w:val="21"/>
                <w:szCs w:val="21"/>
              </w:rPr>
              <w:t>售后服务评价</w:t>
            </w:r>
          </w:p>
        </w:tc>
        <w:tc>
          <w:tcPr>
            <w:tcW w:w="1268" w:type="dxa"/>
            <w:noWrap w:val="0"/>
            <w:vAlign w:val="center"/>
          </w:tcPr>
          <w:p>
            <w:pPr>
              <w:widowControl/>
              <w:wordWrap w:val="0"/>
              <w:jc w:val="center"/>
              <w:textAlignment w:val="top"/>
              <w:rPr>
                <w:rFonts w:ascii="宋体" w:eastAsia="宋体" w:hAnsi="宋体" w:cs="宋体" w:hint="eastAsia"/>
                <w:sz w:val="21"/>
                <w:szCs w:val="21"/>
                <w:lang w:eastAsia="zh-CN"/>
              </w:rPr>
            </w:pPr>
            <w:r>
              <w:rPr>
                <w:rFonts w:ascii="宋体" w:eastAsia="宋体" w:hAnsi="宋体" w:cs="宋体" w:hint="eastAsia"/>
                <w:sz w:val="21"/>
                <w:szCs w:val="21"/>
                <w:lang w:eastAsia="zh-CN"/>
              </w:rPr>
              <w:t>5</w:t>
            </w:r>
          </w:p>
        </w:tc>
        <w:tc>
          <w:tcPr>
            <w:tcW w:w="7037" w:type="dxa"/>
            <w:noWrap w:val="0"/>
            <w:vAlign w:val="top"/>
          </w:tcPr>
          <w:p>
            <w:pPr>
              <w:snapToGrid w:val="0"/>
              <w:rPr>
                <w:rFonts w:ascii="宋体" w:eastAsia="宋体" w:hAnsi="宋体" w:cs="宋体" w:hint="eastAsia"/>
                <w:sz w:val="21"/>
                <w:szCs w:val="21"/>
              </w:rPr>
            </w:pPr>
            <w:r>
              <w:rPr>
                <w:rFonts w:ascii="宋体" w:eastAsia="宋体" w:hAnsi="宋体" w:cs="宋体" w:hint="eastAsia"/>
                <w:sz w:val="21"/>
                <w:szCs w:val="21"/>
              </w:rPr>
              <w:t>（一）评审内容：</w:t>
            </w:r>
          </w:p>
          <w:p>
            <w:pPr>
              <w:snapToGrid w:val="0"/>
              <w:rPr>
                <w:rFonts w:ascii="宋体" w:eastAsia="宋体" w:hAnsi="宋体" w:cs="宋体" w:hint="eastAsia"/>
                <w:sz w:val="21"/>
                <w:szCs w:val="21"/>
              </w:rPr>
            </w:pPr>
            <w:r>
              <w:rPr>
                <w:rFonts w:ascii="宋体" w:eastAsia="宋体" w:hAnsi="宋体" w:cs="宋体" w:hint="eastAsia"/>
                <w:sz w:val="21"/>
                <w:szCs w:val="21"/>
              </w:rPr>
              <w:t>投标人提供本项目的售后服务方案，方案中包含：</w:t>
            </w:r>
          </w:p>
          <w:p>
            <w:pPr>
              <w:snapToGrid w:val="0"/>
              <w:rPr>
                <w:rFonts w:ascii="宋体" w:eastAsia="宋体" w:hAnsi="宋体" w:cs="宋体" w:hint="eastAsia"/>
                <w:sz w:val="21"/>
                <w:szCs w:val="21"/>
              </w:rPr>
            </w:pPr>
            <w:r>
              <w:rPr>
                <w:rFonts w:ascii="宋体" w:eastAsia="宋体" w:hAnsi="宋体" w:cs="宋体" w:hint="eastAsia"/>
                <w:sz w:val="21"/>
                <w:szCs w:val="21"/>
              </w:rPr>
              <w:t>1、服务内容；</w:t>
            </w:r>
          </w:p>
          <w:p>
            <w:pPr>
              <w:snapToGrid w:val="0"/>
              <w:rPr>
                <w:rFonts w:ascii="宋体" w:eastAsia="宋体" w:hAnsi="宋体" w:cs="宋体" w:hint="eastAsia"/>
                <w:sz w:val="21"/>
                <w:szCs w:val="21"/>
              </w:rPr>
            </w:pPr>
            <w:r>
              <w:rPr>
                <w:rFonts w:ascii="宋体" w:eastAsia="宋体" w:hAnsi="宋体" w:cs="宋体" w:hint="eastAsia"/>
                <w:sz w:val="21"/>
                <w:szCs w:val="21"/>
              </w:rPr>
              <w:t>2、维修应急方案；</w:t>
            </w:r>
          </w:p>
          <w:p>
            <w:pPr>
              <w:snapToGrid w:val="0"/>
              <w:rPr>
                <w:rFonts w:ascii="宋体" w:eastAsia="宋体" w:hAnsi="宋体" w:cs="宋体" w:hint="eastAsia"/>
                <w:sz w:val="21"/>
                <w:szCs w:val="21"/>
              </w:rPr>
            </w:pPr>
            <w:r>
              <w:rPr>
                <w:rFonts w:ascii="宋体" w:eastAsia="宋体" w:hAnsi="宋体" w:cs="宋体" w:hint="eastAsia"/>
                <w:sz w:val="21"/>
                <w:szCs w:val="21"/>
              </w:rPr>
              <w:t>3、培训计划；</w:t>
            </w:r>
          </w:p>
          <w:p>
            <w:pPr>
              <w:snapToGrid w:val="0"/>
              <w:rPr>
                <w:rFonts w:ascii="宋体" w:eastAsia="宋体" w:hAnsi="宋体" w:cs="宋体" w:hint="eastAsia"/>
                <w:sz w:val="21"/>
                <w:szCs w:val="21"/>
              </w:rPr>
            </w:pPr>
            <w:r>
              <w:rPr>
                <w:rFonts w:ascii="宋体" w:eastAsia="宋体" w:hAnsi="宋体" w:cs="宋体" w:hint="eastAsia"/>
                <w:sz w:val="21"/>
                <w:szCs w:val="21"/>
              </w:rPr>
              <w:t>4、其他特色服务。</w:t>
            </w:r>
          </w:p>
          <w:p>
            <w:pPr>
              <w:snapToGrid w:val="0"/>
              <w:rPr>
                <w:rFonts w:ascii="宋体" w:eastAsia="宋体" w:hAnsi="宋体" w:cs="宋体" w:hint="eastAsia"/>
                <w:sz w:val="21"/>
                <w:szCs w:val="21"/>
              </w:rPr>
            </w:pPr>
            <w:r>
              <w:rPr>
                <w:rFonts w:ascii="宋体" w:eastAsia="宋体" w:hAnsi="宋体" w:cs="宋体" w:hint="eastAsia"/>
                <w:sz w:val="21"/>
                <w:szCs w:val="21"/>
              </w:rPr>
              <w:t>（二）评审标准：</w:t>
            </w:r>
          </w:p>
          <w:p>
            <w:pPr>
              <w:snapToGrid w:val="0"/>
              <w:rPr>
                <w:rFonts w:ascii="宋体" w:eastAsia="宋体" w:hAnsi="宋体" w:cs="宋体" w:hint="eastAsia"/>
                <w:sz w:val="21"/>
                <w:szCs w:val="21"/>
              </w:rPr>
            </w:pPr>
            <w:r>
              <w:rPr>
                <w:rFonts w:ascii="宋体" w:eastAsia="宋体" w:hAnsi="宋体" w:cs="宋体" w:hint="eastAsia"/>
                <w:sz w:val="21"/>
                <w:szCs w:val="21"/>
              </w:rPr>
              <w:t>方案中含有上述一个内容得</w:t>
            </w:r>
            <w:r>
              <w:rPr>
                <w:rFonts w:ascii="宋体" w:eastAsia="宋体" w:hAnsi="宋体" w:cs="宋体" w:hint="eastAsia"/>
                <w:sz w:val="21"/>
                <w:szCs w:val="21"/>
                <w:lang w:eastAsia="zh-CN"/>
              </w:rPr>
              <w:t>10</w:t>
            </w:r>
            <w:r>
              <w:rPr>
                <w:rFonts w:ascii="宋体" w:eastAsia="宋体" w:hAnsi="宋体" w:cs="宋体" w:hint="eastAsia"/>
                <w:sz w:val="21"/>
                <w:szCs w:val="21"/>
              </w:rPr>
              <w:t>分，总计</w:t>
            </w:r>
            <w:r>
              <w:rPr>
                <w:rFonts w:ascii="宋体" w:eastAsia="宋体" w:hAnsi="宋体" w:cs="宋体" w:hint="eastAsia"/>
                <w:sz w:val="21"/>
                <w:szCs w:val="21"/>
                <w:lang w:eastAsia="zh-CN"/>
              </w:rPr>
              <w:t>4</w:t>
            </w:r>
            <w:r>
              <w:rPr>
                <w:rFonts w:ascii="宋体" w:eastAsia="宋体" w:hAnsi="宋体" w:cs="宋体" w:hint="eastAsia"/>
                <w:sz w:val="21"/>
                <w:szCs w:val="21"/>
              </w:rPr>
              <w:t>0分。在此基础上，对方案的合理性、可行性进行打分。</w:t>
            </w:r>
          </w:p>
          <w:p>
            <w:pPr>
              <w:snapToGrid w:val="0"/>
              <w:rPr>
                <w:rFonts w:ascii="宋体" w:eastAsia="宋体" w:hAnsi="宋体" w:cs="宋体" w:hint="eastAsia"/>
                <w:sz w:val="21"/>
                <w:szCs w:val="21"/>
              </w:rPr>
            </w:pPr>
            <w:r>
              <w:rPr>
                <w:rFonts w:ascii="宋体" w:eastAsia="宋体" w:hAnsi="宋体" w:cs="宋体" w:hint="eastAsia"/>
                <w:sz w:val="21"/>
                <w:szCs w:val="21"/>
              </w:rPr>
              <w:t>1、售后服务方案非常详细，保障措施完善可行，得</w:t>
            </w:r>
            <w:r>
              <w:rPr>
                <w:rFonts w:ascii="宋体" w:eastAsia="宋体" w:hAnsi="宋体" w:cs="宋体" w:hint="eastAsia"/>
                <w:sz w:val="21"/>
                <w:szCs w:val="21"/>
                <w:lang w:eastAsia="zh-CN"/>
              </w:rPr>
              <w:t>6</w:t>
            </w:r>
            <w:r>
              <w:rPr>
                <w:rFonts w:ascii="宋体" w:eastAsia="宋体" w:hAnsi="宋体" w:cs="宋体" w:hint="eastAsia"/>
                <w:sz w:val="21"/>
                <w:szCs w:val="21"/>
              </w:rPr>
              <w:t>0分；</w:t>
            </w:r>
          </w:p>
          <w:p>
            <w:pPr>
              <w:snapToGrid w:val="0"/>
              <w:rPr>
                <w:rFonts w:ascii="宋体" w:eastAsia="宋体" w:hAnsi="宋体" w:cs="宋体" w:hint="eastAsia"/>
                <w:sz w:val="21"/>
                <w:szCs w:val="21"/>
              </w:rPr>
            </w:pPr>
            <w:r>
              <w:rPr>
                <w:rFonts w:ascii="宋体" w:eastAsia="宋体" w:hAnsi="宋体" w:cs="宋体" w:hint="eastAsia"/>
                <w:sz w:val="21"/>
                <w:szCs w:val="21"/>
              </w:rPr>
              <w:t>2、售后服务方案比较具体，保障措施比较完善可行的得20分；</w:t>
            </w:r>
          </w:p>
          <w:p>
            <w:pPr>
              <w:snapToGrid w:val="0"/>
              <w:rPr>
                <w:rFonts w:ascii="宋体" w:eastAsia="宋体" w:hAnsi="宋体" w:cs="宋体" w:hint="eastAsia"/>
                <w:sz w:val="21"/>
                <w:szCs w:val="21"/>
              </w:rPr>
            </w:pPr>
            <w:r>
              <w:rPr>
                <w:rFonts w:ascii="宋体" w:eastAsia="宋体" w:hAnsi="宋体" w:cs="宋体" w:hint="eastAsia"/>
                <w:sz w:val="21"/>
                <w:szCs w:val="21"/>
              </w:rPr>
              <w:t>3、未提供售后服务方案或售后服务方案不详细、可行性较差的得0分。</w:t>
            </w:r>
          </w:p>
        </w:tc>
      </w:tr>
      <w:tr>
        <w:tblPrEx>
          <w:tblW w:w="5000" w:type="pct"/>
          <w:jc w:val="center"/>
          <w:tblLayout w:type="fixed"/>
          <w:tblCellMar>
            <w:top w:w="0" w:type="dxa"/>
            <w:left w:w="108" w:type="dxa"/>
            <w:bottom w:w="0" w:type="dxa"/>
            <w:right w:w="108" w:type="dxa"/>
          </w:tblCellMar>
        </w:tblPrEx>
        <w:trPr>
          <w:trHeight w:val="545"/>
          <w:jc w:val="center"/>
        </w:trPr>
        <w:tc>
          <w:tcPr>
            <w:tcW w:w="392" w:type="dxa"/>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09"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5</w:t>
            </w:r>
          </w:p>
        </w:tc>
        <w:tc>
          <w:tcPr>
            <w:tcW w:w="1332" w:type="dxa"/>
            <w:gridSpan w:val="3"/>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样品</w:t>
            </w:r>
          </w:p>
        </w:tc>
        <w:tc>
          <w:tcPr>
            <w:tcW w:w="1268" w:type="dxa"/>
            <w:noWrap w:val="0"/>
            <w:vAlign w:val="center"/>
          </w:tcPr>
          <w:p>
            <w:pPr>
              <w:spacing w:line="240" w:lineRule="exact"/>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6</w:t>
            </w:r>
          </w:p>
        </w:tc>
        <w:tc>
          <w:tcPr>
            <w:tcW w:w="7037" w:type="dxa"/>
            <w:noWrap w:val="0"/>
            <w:vAlign w:val="center"/>
          </w:tcPr>
          <w:p>
            <w:pPr>
              <w:rPr>
                <w:rFonts w:ascii="宋体" w:eastAsia="宋体" w:hAnsi="宋体" w:cs="宋体" w:hint="eastAsia"/>
                <w:b/>
                <w:sz w:val="21"/>
                <w:szCs w:val="21"/>
              </w:rPr>
            </w:pPr>
            <w:r>
              <w:rPr>
                <w:rFonts w:ascii="宋体" w:eastAsia="宋体" w:hAnsi="宋体" w:cs="宋体" w:hint="eastAsia"/>
                <w:b/>
                <w:sz w:val="21"/>
                <w:szCs w:val="21"/>
              </w:rPr>
              <w:t>（一）评分内容</w:t>
            </w:r>
          </w:p>
          <w:p>
            <w:pPr>
              <w:rPr>
                <w:rFonts w:ascii="宋体" w:eastAsia="宋体" w:hAnsi="宋体" w:cs="宋体" w:hint="eastAsia"/>
                <w:bCs/>
                <w:sz w:val="21"/>
                <w:szCs w:val="21"/>
              </w:rPr>
            </w:pPr>
            <w:r>
              <w:rPr>
                <w:rFonts w:ascii="宋体" w:eastAsia="宋体" w:hAnsi="宋体" w:cs="宋体" w:hint="eastAsia"/>
                <w:bCs/>
                <w:sz w:val="21"/>
                <w:szCs w:val="21"/>
              </w:rPr>
              <w:t>投标人需以</w:t>
            </w:r>
            <w:r>
              <w:rPr>
                <w:rFonts w:ascii="宋体" w:eastAsia="宋体" w:hAnsi="宋体" w:cs="宋体" w:hint="eastAsia"/>
                <w:b/>
                <w:sz w:val="21"/>
                <w:szCs w:val="21"/>
              </w:rPr>
              <w:t>视频形式</w:t>
            </w:r>
            <w:r>
              <w:rPr>
                <w:rFonts w:ascii="宋体" w:eastAsia="宋体" w:hAnsi="宋体" w:cs="宋体" w:hint="eastAsia"/>
                <w:bCs/>
                <w:sz w:val="21"/>
                <w:szCs w:val="21"/>
              </w:rPr>
              <w:t>对样品清单中“原木5格分区矮柜.可拆黑白板”的产品按照以下内容进行视频演示。视频具备声音及字幕配合，能直观展示样品，如收纳、调节等的动态演示，每个产品动态视频不少于2分钟。</w:t>
            </w:r>
          </w:p>
          <w:p>
            <w:pPr>
              <w:rPr>
                <w:rFonts w:ascii="宋体" w:eastAsia="宋体" w:hAnsi="宋体" w:cs="宋体" w:hint="eastAsia"/>
                <w:bCs/>
                <w:sz w:val="21"/>
                <w:szCs w:val="21"/>
              </w:rPr>
            </w:pPr>
            <w:r>
              <w:rPr>
                <w:rFonts w:ascii="宋体" w:eastAsia="宋体" w:hAnsi="宋体" w:cs="宋体" w:hint="eastAsia"/>
                <w:bCs/>
                <w:sz w:val="21"/>
                <w:szCs w:val="21"/>
              </w:rPr>
              <w:t>1.按照样品清单要求尺寸对视频中所提供的实物“原木5格分区矮柜.可拆黑白板”进行测量，完全满足得 25 分，其他情况不得分;</w:t>
            </w:r>
          </w:p>
          <w:p>
            <w:pPr>
              <w:rPr>
                <w:rFonts w:ascii="宋体" w:eastAsia="宋体" w:hAnsi="宋体" w:cs="宋体" w:hint="eastAsia"/>
                <w:bCs/>
                <w:sz w:val="21"/>
                <w:szCs w:val="21"/>
              </w:rPr>
            </w:pPr>
            <w:r>
              <w:rPr>
                <w:rFonts w:ascii="宋体" w:eastAsia="宋体" w:hAnsi="宋体" w:cs="宋体" w:hint="eastAsia"/>
                <w:bCs/>
                <w:sz w:val="21"/>
                <w:szCs w:val="21"/>
              </w:rPr>
              <w:t>2.按照样品清单要求的功能设计对视频中所提供的实物“原木5格分区矮柜.可拆黑白板”进行演示讲解，完全满足得 25 分，其他情况不得分;</w:t>
            </w:r>
          </w:p>
          <w:p>
            <w:pPr>
              <w:rPr>
                <w:rFonts w:ascii="宋体" w:eastAsia="宋体" w:hAnsi="宋体" w:cs="宋体" w:hint="eastAsia"/>
                <w:bCs/>
                <w:sz w:val="21"/>
                <w:szCs w:val="21"/>
              </w:rPr>
            </w:pPr>
            <w:r>
              <w:rPr>
                <w:rFonts w:ascii="宋体" w:eastAsia="宋体" w:hAnsi="宋体" w:cs="宋体" w:hint="eastAsia"/>
                <w:bCs/>
                <w:sz w:val="21"/>
                <w:szCs w:val="21"/>
              </w:rPr>
              <w:t>3.按照样品清单要求的外观结构对视频中所提供的实物“原木5格分区矮柜.可拆黑白板”进行演示讲解，完全满足得 25 分，其他情况不得分;</w:t>
            </w:r>
          </w:p>
          <w:p>
            <w:pPr>
              <w:rPr>
                <w:rFonts w:ascii="宋体" w:eastAsia="宋体" w:hAnsi="宋体" w:cs="宋体" w:hint="eastAsia"/>
                <w:bCs/>
                <w:sz w:val="21"/>
                <w:szCs w:val="21"/>
              </w:rPr>
            </w:pPr>
            <w:r>
              <w:rPr>
                <w:rFonts w:ascii="宋体" w:eastAsia="宋体" w:hAnsi="宋体" w:cs="宋体" w:hint="eastAsia"/>
                <w:bCs/>
                <w:sz w:val="21"/>
                <w:szCs w:val="21"/>
              </w:rPr>
              <w:t>4.按照样品清单要求的材质用料对视频中所提供的实物“原木5格分区矮柜.可拆黑白板”进行演示讲解，完全满足得 25 分，其他情况不得分;</w:t>
            </w:r>
          </w:p>
          <w:p>
            <w:pPr>
              <w:rPr>
                <w:rFonts w:ascii="宋体" w:eastAsia="宋体" w:hAnsi="宋体" w:cs="宋体" w:hint="eastAsia"/>
                <w:bCs/>
                <w:sz w:val="21"/>
                <w:szCs w:val="21"/>
              </w:rPr>
            </w:pPr>
            <w:r>
              <w:rPr>
                <w:rFonts w:ascii="宋体" w:eastAsia="宋体" w:hAnsi="宋体" w:cs="宋体" w:hint="eastAsia"/>
                <w:bCs/>
                <w:sz w:val="21"/>
                <w:szCs w:val="21"/>
              </w:rPr>
              <w:t>以上各小项累计加分，最高得 100 分。</w:t>
            </w:r>
          </w:p>
          <w:p>
            <w:pPr>
              <w:rPr>
                <w:rFonts w:ascii="宋体" w:eastAsia="宋体" w:hAnsi="宋体" w:cs="宋体" w:hint="eastAsia"/>
                <w:b/>
                <w:sz w:val="21"/>
                <w:szCs w:val="21"/>
              </w:rPr>
            </w:pPr>
            <w:r>
              <w:rPr>
                <w:rFonts w:ascii="宋体" w:eastAsia="宋体" w:hAnsi="宋体" w:cs="宋体" w:hint="eastAsia"/>
                <w:b/>
                <w:sz w:val="21"/>
                <w:szCs w:val="21"/>
              </w:rPr>
              <w:t>（二）评分依据</w:t>
            </w:r>
          </w:p>
          <w:p>
            <w:pPr>
              <w:rPr>
                <w:rFonts w:ascii="宋体" w:eastAsia="宋体" w:hAnsi="宋体" w:cs="宋体" w:hint="eastAsia"/>
                <w:b/>
                <w:bCs/>
                <w:color w:val="000000"/>
                <w:sz w:val="21"/>
                <w:szCs w:val="21"/>
                <w:lang w:bidi="ar"/>
              </w:rPr>
            </w:pPr>
            <w:r>
              <w:rPr>
                <w:rFonts w:ascii="宋体" w:eastAsia="宋体" w:hAnsi="宋体" w:cs="宋体" w:hint="eastAsia"/>
                <w:sz w:val="21"/>
                <w:szCs w:val="21"/>
              </w:rPr>
              <w:t>评审委员会根据</w:t>
            </w:r>
            <w:r>
              <w:rPr>
                <w:rFonts w:ascii="宋体" w:eastAsia="宋体" w:hAnsi="宋体" w:cs="宋体" w:hint="eastAsia"/>
                <w:sz w:val="21"/>
                <w:szCs w:val="21"/>
                <w:lang w:eastAsia="zh-CN"/>
              </w:rPr>
              <w:t>以上</w:t>
            </w:r>
            <w:r>
              <w:rPr>
                <w:rFonts w:ascii="宋体" w:eastAsia="宋体" w:hAnsi="宋体" w:cs="宋体" w:hint="eastAsia"/>
                <w:sz w:val="21"/>
                <w:szCs w:val="21"/>
              </w:rPr>
              <w:t>“视频演示”</w:t>
            </w:r>
            <w:r>
              <w:rPr>
                <w:rFonts w:ascii="宋体" w:eastAsia="宋体" w:hAnsi="宋体" w:cs="宋体" w:hint="eastAsia"/>
                <w:sz w:val="21"/>
                <w:szCs w:val="21"/>
                <w:lang w:eastAsia="zh-CN"/>
              </w:rPr>
              <w:t>内容</w:t>
            </w:r>
            <w:r>
              <w:rPr>
                <w:rFonts w:ascii="宋体" w:eastAsia="宋体" w:hAnsi="宋体" w:cs="宋体" w:hint="eastAsia"/>
                <w:sz w:val="21"/>
                <w:szCs w:val="21"/>
              </w:rPr>
              <w:t>和具体的演示情况进行打分，未按照</w:t>
            </w:r>
            <w:r>
              <w:rPr>
                <w:rFonts w:ascii="宋体" w:eastAsia="宋体" w:hAnsi="宋体" w:cs="宋体" w:hint="eastAsia"/>
                <w:sz w:val="21"/>
                <w:szCs w:val="21"/>
                <w:lang w:eastAsia="zh-CN"/>
              </w:rPr>
              <w:t>以上</w:t>
            </w:r>
            <w:r>
              <w:rPr>
                <w:rFonts w:ascii="宋体" w:eastAsia="宋体" w:hAnsi="宋体" w:cs="宋体" w:hint="eastAsia"/>
                <w:sz w:val="21"/>
                <w:szCs w:val="21"/>
              </w:rPr>
              <w:t>“视频演示”</w:t>
            </w:r>
            <w:r>
              <w:rPr>
                <w:rFonts w:ascii="宋体" w:eastAsia="宋体" w:hAnsi="宋体" w:cs="宋体" w:hint="eastAsia"/>
                <w:sz w:val="21"/>
                <w:szCs w:val="21"/>
                <w:lang w:eastAsia="zh-CN"/>
              </w:rPr>
              <w:t>内容</w:t>
            </w:r>
            <w:r>
              <w:rPr>
                <w:rFonts w:ascii="宋体" w:eastAsia="宋体" w:hAnsi="宋体" w:cs="宋体" w:hint="eastAsia"/>
                <w:sz w:val="21"/>
                <w:szCs w:val="21"/>
              </w:rPr>
              <w:t>进行演示的或演示视频无法证明是否得分的，均不得相应分数。若视频演示无法打开，则视同演示不成功，不得分。</w:t>
            </w:r>
          </w:p>
        </w:tc>
      </w:tr>
      <w:tr>
        <w:tblPrEx>
          <w:tblW w:w="5000" w:type="pct"/>
          <w:jc w:val="center"/>
          <w:tblLayout w:type="fixed"/>
          <w:tblCellMar>
            <w:top w:w="0" w:type="dxa"/>
            <w:left w:w="108" w:type="dxa"/>
            <w:bottom w:w="0" w:type="dxa"/>
            <w:right w:w="108" w:type="dxa"/>
          </w:tblCellMar>
        </w:tblPrEx>
        <w:trPr>
          <w:trHeight w:val="20"/>
          <w:jc w:val="center"/>
        </w:trPr>
        <w:tc>
          <w:tcPr>
            <w:tcW w:w="392"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3</w:t>
            </w:r>
          </w:p>
        </w:tc>
        <w:tc>
          <w:tcPr>
            <w:tcW w:w="3309" w:type="dxa"/>
            <w:gridSpan w:val="5"/>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商务部分</w:t>
            </w:r>
          </w:p>
        </w:tc>
        <w:tc>
          <w:tcPr>
            <w:tcW w:w="7037" w:type="dxa"/>
            <w:noWrap w:val="0"/>
            <w:vAlign w:val="center"/>
          </w:tcPr>
          <w:p>
            <w:pPr>
              <w:spacing w:line="240" w:lineRule="exact"/>
              <w:jc w:val="center"/>
              <w:rPr>
                <w:rFonts w:ascii="宋体" w:eastAsia="宋体" w:hAnsi="宋体" w:cs="宋体" w:hint="eastAsia"/>
                <w:b/>
                <w:bCs/>
                <w:color w:val="0000FF"/>
                <w:sz w:val="21"/>
                <w:szCs w:val="21"/>
              </w:rPr>
            </w:pPr>
            <w:r>
              <w:rPr>
                <w:rFonts w:ascii="宋体" w:eastAsia="宋体" w:hAnsi="宋体" w:cs="宋体" w:hint="eastAsia"/>
                <w:b/>
                <w:bCs/>
                <w:color w:val="0000FF"/>
                <w:sz w:val="21"/>
                <w:szCs w:val="21"/>
              </w:rPr>
              <w:t>13</w:t>
            </w:r>
          </w:p>
        </w:tc>
      </w:tr>
      <w:tr>
        <w:tblPrEx>
          <w:tblW w:w="5000" w:type="pct"/>
          <w:jc w:val="center"/>
          <w:tblLayout w:type="fixed"/>
          <w:tblCellMar>
            <w:top w:w="0" w:type="dxa"/>
            <w:left w:w="108" w:type="dxa"/>
            <w:bottom w:w="0" w:type="dxa"/>
            <w:right w:w="108" w:type="dxa"/>
          </w:tblCellMar>
        </w:tblPrEx>
        <w:trPr>
          <w:trHeight w:val="367"/>
          <w:jc w:val="center"/>
        </w:trPr>
        <w:tc>
          <w:tcPr>
            <w:tcW w:w="392" w:type="dxa"/>
            <w:vMerge w:val="restart"/>
            <w:noWrap w:val="0"/>
            <w:vAlign w:val="center"/>
          </w:tcPr>
          <w:p>
            <w:pPr>
              <w:keepNext/>
              <w:keepLines/>
              <w:spacing w:before="340" w:after="330" w:line="240" w:lineRule="exact"/>
              <w:jc w:val="center"/>
              <w:outlineLvl w:val="0"/>
              <w:rPr>
                <w:rFonts w:ascii="宋体" w:eastAsia="宋体" w:hAnsi="宋体" w:cs="宋体" w:hint="eastAsia"/>
                <w:sz w:val="21"/>
                <w:szCs w:val="21"/>
              </w:rPr>
            </w:pPr>
          </w:p>
        </w:tc>
        <w:tc>
          <w:tcPr>
            <w:tcW w:w="722" w:type="dxa"/>
            <w:gridSpan w:val="2"/>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序号</w:t>
            </w:r>
          </w:p>
        </w:tc>
        <w:tc>
          <w:tcPr>
            <w:tcW w:w="1121"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评分因素</w:t>
            </w:r>
          </w:p>
        </w:tc>
        <w:tc>
          <w:tcPr>
            <w:tcW w:w="1466" w:type="dxa"/>
            <w:gridSpan w:val="2"/>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权重</w:t>
            </w:r>
          </w:p>
        </w:tc>
        <w:tc>
          <w:tcPr>
            <w:tcW w:w="7037" w:type="dxa"/>
            <w:noWrap w:val="0"/>
            <w:vAlign w:val="center"/>
          </w:tcPr>
          <w:p>
            <w:pPr>
              <w:spacing w:line="240" w:lineRule="exact"/>
              <w:jc w:val="center"/>
              <w:rPr>
                <w:rFonts w:ascii="宋体" w:eastAsia="宋体" w:hAnsi="宋体" w:cs="宋体" w:hint="eastAsia"/>
                <w:b/>
                <w:bCs/>
                <w:sz w:val="21"/>
                <w:szCs w:val="21"/>
              </w:rPr>
            </w:pPr>
            <w:r>
              <w:rPr>
                <w:rFonts w:ascii="宋体" w:eastAsia="宋体" w:hAnsi="宋体" w:cs="宋体" w:hint="eastAsia"/>
                <w:b/>
                <w:bCs/>
                <w:sz w:val="21"/>
                <w:szCs w:val="21"/>
              </w:rPr>
              <w:t>评分准则</w:t>
            </w:r>
          </w:p>
        </w:tc>
      </w:tr>
      <w:tr>
        <w:tblPrEx>
          <w:tblW w:w="5000" w:type="pct"/>
          <w:jc w:val="center"/>
          <w:tblLayout w:type="fixed"/>
          <w:tblCellMar>
            <w:top w:w="0" w:type="dxa"/>
            <w:left w:w="108" w:type="dxa"/>
            <w:bottom w:w="0" w:type="dxa"/>
            <w:right w:w="108" w:type="dxa"/>
          </w:tblCellMar>
        </w:tblPrEx>
        <w:trPr>
          <w:trHeight w:val="90"/>
          <w:jc w:val="center"/>
        </w:trPr>
        <w:tc>
          <w:tcPr>
            <w:tcW w:w="392" w:type="dxa"/>
            <w:vMerge/>
            <w:noWrap w:val="0"/>
            <w:vAlign w:val="center"/>
          </w:tcPr>
          <w:p>
            <w:pPr>
              <w:keepNext/>
              <w:keepLines/>
              <w:spacing w:before="340" w:after="330" w:line="240" w:lineRule="exact"/>
              <w:jc w:val="center"/>
              <w:outlineLvl w:val="0"/>
              <w:rPr>
                <w:rFonts w:ascii="宋体" w:eastAsia="宋体" w:hAnsi="宋体" w:cs="宋体" w:hint="eastAsia"/>
                <w:sz w:val="21"/>
                <w:szCs w:val="21"/>
              </w:rPr>
            </w:pPr>
          </w:p>
        </w:tc>
        <w:tc>
          <w:tcPr>
            <w:tcW w:w="722"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1</w:t>
            </w:r>
          </w:p>
        </w:tc>
        <w:tc>
          <w:tcPr>
            <w:tcW w:w="1121"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其他商务条款偏离情况</w:t>
            </w:r>
          </w:p>
        </w:tc>
        <w:tc>
          <w:tcPr>
            <w:tcW w:w="1466"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2</w:t>
            </w:r>
          </w:p>
        </w:tc>
        <w:tc>
          <w:tcPr>
            <w:tcW w:w="7037" w:type="dxa"/>
            <w:noWrap w:val="0"/>
            <w:vAlign w:val="center"/>
          </w:tcPr>
          <w:p>
            <w:pPr>
              <w:snapToGrid w:val="0"/>
              <w:spacing w:line="300" w:lineRule="auto"/>
              <w:rPr>
                <w:rFonts w:ascii="宋体" w:eastAsia="宋体" w:hAnsi="宋体" w:cs="宋体" w:hint="eastAsia"/>
                <w:sz w:val="21"/>
                <w:szCs w:val="21"/>
              </w:rPr>
            </w:pPr>
            <w:r>
              <w:rPr>
                <w:rFonts w:ascii="宋体" w:eastAsia="宋体" w:hAnsi="宋体" w:cs="宋体" w:hint="eastAsia"/>
                <w:sz w:val="21"/>
                <w:szCs w:val="21"/>
              </w:rPr>
              <w:t>响应供应商应如实填写《其他商务条款偏离表》，评审小组根据响应情况进行打分，全部满足要求的得满分</w:t>
            </w:r>
            <w:r>
              <w:rPr>
                <w:rFonts w:ascii="宋体" w:eastAsia="宋体" w:hAnsi="宋体" w:cs="宋体" w:hint="eastAsia"/>
                <w:sz w:val="21"/>
                <w:szCs w:val="21"/>
                <w:lang w:eastAsia="zh-CN"/>
              </w:rPr>
              <w:t>100</w:t>
            </w:r>
            <w:r>
              <w:rPr>
                <w:rFonts w:ascii="宋体" w:eastAsia="宋体" w:hAnsi="宋体" w:cs="宋体" w:hint="eastAsia"/>
                <w:sz w:val="21"/>
                <w:szCs w:val="21"/>
              </w:rPr>
              <w:t>分，除实质性条款外，每负偏离一项扣</w:t>
            </w:r>
            <w:r>
              <w:rPr>
                <w:rFonts w:ascii="宋体" w:eastAsia="宋体" w:hAnsi="宋体" w:cs="宋体" w:hint="eastAsia"/>
                <w:sz w:val="21"/>
                <w:szCs w:val="21"/>
                <w:lang w:eastAsia="zh-CN"/>
              </w:rPr>
              <w:t>10</w:t>
            </w:r>
            <w:r>
              <w:rPr>
                <w:rFonts w:ascii="宋体" w:eastAsia="宋体" w:hAnsi="宋体" w:cs="宋体" w:hint="eastAsia"/>
                <w:sz w:val="21"/>
                <w:szCs w:val="21"/>
              </w:rPr>
              <w:t>分，扣完为止。</w:t>
            </w:r>
          </w:p>
        </w:tc>
      </w:tr>
      <w:tr>
        <w:tblPrEx>
          <w:tblW w:w="5000" w:type="pct"/>
          <w:jc w:val="center"/>
          <w:tblLayout w:type="fixed"/>
          <w:tblCellMar>
            <w:top w:w="0" w:type="dxa"/>
            <w:left w:w="108" w:type="dxa"/>
            <w:bottom w:w="0" w:type="dxa"/>
            <w:right w:w="108" w:type="dxa"/>
          </w:tblCellMar>
        </w:tblPrEx>
        <w:trPr>
          <w:trHeight w:val="20"/>
          <w:jc w:val="center"/>
        </w:trPr>
        <w:tc>
          <w:tcPr>
            <w:tcW w:w="392" w:type="dxa"/>
            <w:vMerge/>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22"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2</w:t>
            </w:r>
          </w:p>
        </w:tc>
        <w:tc>
          <w:tcPr>
            <w:tcW w:w="1121" w:type="dxa"/>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同类项目业绩</w:t>
            </w:r>
          </w:p>
        </w:tc>
        <w:tc>
          <w:tcPr>
            <w:tcW w:w="1466"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2</w:t>
            </w:r>
          </w:p>
        </w:tc>
        <w:tc>
          <w:tcPr>
            <w:tcW w:w="7037" w:type="dxa"/>
            <w:noWrap w:val="0"/>
            <w:vAlign w:val="center"/>
          </w:tcPr>
          <w:p>
            <w:pPr>
              <w:snapToGrid w:val="0"/>
              <w:jc w:val="left"/>
              <w:rPr>
                <w:rFonts w:ascii="宋体" w:eastAsia="宋体" w:hAnsi="宋体" w:cs="宋体" w:hint="eastAsia"/>
                <w:sz w:val="21"/>
                <w:szCs w:val="21"/>
              </w:rPr>
            </w:pPr>
            <w:r>
              <w:rPr>
                <w:rFonts w:ascii="宋体" w:eastAsia="宋体" w:hAnsi="宋体" w:cs="宋体" w:hint="eastAsia"/>
                <w:sz w:val="21"/>
                <w:szCs w:val="21"/>
              </w:rPr>
              <w:t>（一）评分内容：</w:t>
            </w:r>
          </w:p>
          <w:p>
            <w:pPr>
              <w:snapToGrid w:val="0"/>
              <w:jc w:val="left"/>
              <w:rPr>
                <w:rFonts w:ascii="宋体" w:eastAsia="宋体" w:hAnsi="宋体" w:cs="宋体" w:hint="eastAsia"/>
                <w:sz w:val="21"/>
                <w:szCs w:val="21"/>
              </w:rPr>
            </w:pPr>
            <w:r>
              <w:rPr>
                <w:rFonts w:ascii="宋体" w:eastAsia="宋体" w:hAnsi="宋体" w:cs="宋体" w:hint="eastAsia"/>
                <w:sz w:val="21"/>
                <w:szCs w:val="21"/>
              </w:rPr>
              <w:t>2022年1月1日以后（以合同签定日期为准），投标人每提供一个“家具</w:t>
            </w:r>
            <w:r>
              <w:rPr>
                <w:rFonts w:ascii="宋体" w:eastAsia="宋体" w:hAnsi="宋体" w:cs="宋体" w:hint="eastAsia"/>
                <w:sz w:val="21"/>
                <w:szCs w:val="21"/>
                <w:lang w:eastAsia="zh-CN"/>
              </w:rPr>
              <w:t>类</w:t>
            </w:r>
            <w:r>
              <w:rPr>
                <w:rFonts w:ascii="宋体" w:eastAsia="宋体" w:hAnsi="宋体" w:cs="宋体" w:hint="eastAsia"/>
                <w:sz w:val="21"/>
                <w:szCs w:val="21"/>
              </w:rPr>
              <w:t>”业绩的得50分，最高得100分。</w:t>
            </w:r>
          </w:p>
          <w:p>
            <w:pPr>
              <w:spacing w:line="360" w:lineRule="auto"/>
              <w:rPr>
                <w:rFonts w:ascii="宋体" w:eastAsia="宋体" w:hAnsi="宋体" w:cs="宋体" w:hint="eastAsia"/>
                <w:b/>
                <w:bCs/>
                <w:sz w:val="21"/>
                <w:szCs w:val="21"/>
              </w:rPr>
            </w:pPr>
            <w:r>
              <w:rPr>
                <w:rFonts w:ascii="宋体" w:eastAsia="宋体" w:hAnsi="宋体" w:cs="宋体" w:hint="eastAsia"/>
                <w:b/>
                <w:bCs/>
                <w:sz w:val="21"/>
                <w:szCs w:val="21"/>
                <w:lang w:eastAsia="zh-CN"/>
              </w:rPr>
              <w:t>注：续签（或补充）合同不重复计算；</w:t>
            </w:r>
          </w:p>
          <w:p>
            <w:pPr>
              <w:snapToGrid w:val="0"/>
              <w:jc w:val="left"/>
              <w:rPr>
                <w:rFonts w:ascii="宋体" w:eastAsia="宋体" w:hAnsi="宋体" w:cs="宋体" w:hint="eastAsia"/>
                <w:sz w:val="21"/>
                <w:szCs w:val="21"/>
              </w:rPr>
            </w:pPr>
            <w:r>
              <w:rPr>
                <w:rFonts w:ascii="宋体" w:eastAsia="宋体" w:hAnsi="宋体" w:cs="宋体" w:hint="eastAsia"/>
                <w:sz w:val="21"/>
                <w:szCs w:val="21"/>
              </w:rPr>
              <w:t>（二）评分依据：</w:t>
            </w:r>
          </w:p>
          <w:p>
            <w:pPr>
              <w:snapToGrid w:val="0"/>
              <w:jc w:val="left"/>
              <w:rPr>
                <w:rFonts w:ascii="宋体" w:eastAsia="宋体" w:hAnsi="宋体" w:cs="宋体" w:hint="eastAsia"/>
                <w:sz w:val="21"/>
                <w:szCs w:val="21"/>
              </w:rPr>
            </w:pPr>
            <w:r>
              <w:rPr>
                <w:rFonts w:ascii="宋体" w:eastAsia="宋体" w:hAnsi="宋体" w:cs="宋体" w:hint="eastAsia"/>
                <w:sz w:val="21"/>
                <w:szCs w:val="21"/>
              </w:rPr>
              <w:t>1、投标人提供的每项业绩须按以下要求同时提供完整准确的证明文件，如未按以下要求提供完整证明文件的业绩不计分：</w:t>
            </w:r>
          </w:p>
          <w:p>
            <w:pPr>
              <w:snapToGrid w:val="0"/>
              <w:jc w:val="left"/>
              <w:rPr>
                <w:rFonts w:ascii="宋体" w:eastAsia="宋体" w:hAnsi="宋体" w:cs="宋体" w:hint="eastAsia"/>
                <w:sz w:val="21"/>
                <w:szCs w:val="21"/>
              </w:rPr>
            </w:pPr>
            <w:r>
              <w:rPr>
                <w:rFonts w:ascii="宋体" w:eastAsia="宋体" w:hAnsi="宋体" w:cs="宋体" w:hint="eastAsia"/>
                <w:sz w:val="21"/>
                <w:szCs w:val="21"/>
              </w:rPr>
              <w:t>（1）提供合同关键信息（含签订合同双方的单位名称、合同项目名称、签订合同双方的落款盖章、签订日期的关键页、合同清单）；</w:t>
            </w:r>
          </w:p>
          <w:p>
            <w:pPr>
              <w:snapToGrid w:val="0"/>
              <w:jc w:val="left"/>
              <w:rPr>
                <w:rFonts w:ascii="宋体" w:eastAsia="宋体" w:hAnsi="宋体" w:cs="宋体" w:hint="eastAsia"/>
                <w:sz w:val="21"/>
                <w:szCs w:val="21"/>
              </w:rPr>
            </w:pPr>
            <w:r>
              <w:rPr>
                <w:rFonts w:ascii="宋体" w:eastAsia="宋体" w:hAnsi="宋体" w:cs="宋体" w:hint="eastAsia"/>
                <w:sz w:val="21"/>
                <w:szCs w:val="21"/>
              </w:rPr>
              <w:t>（2）验收报告，需加盖采购单位或被服务单位公章（或业务章）；</w:t>
            </w:r>
          </w:p>
          <w:p>
            <w:pPr>
              <w:snapToGrid w:val="0"/>
              <w:jc w:val="left"/>
              <w:rPr>
                <w:rFonts w:ascii="宋体" w:eastAsia="宋体" w:hAnsi="宋体" w:cs="宋体" w:hint="eastAsia"/>
                <w:sz w:val="21"/>
                <w:szCs w:val="21"/>
              </w:rPr>
            </w:pPr>
            <w:r>
              <w:rPr>
                <w:rFonts w:ascii="宋体" w:eastAsia="宋体" w:hAnsi="宋体" w:cs="宋体" w:hint="eastAsia"/>
                <w:sz w:val="21"/>
                <w:szCs w:val="21"/>
              </w:rPr>
              <w:t>（3）中标通知书或项目合同发票。</w:t>
            </w:r>
          </w:p>
          <w:p>
            <w:pPr>
              <w:snapToGrid w:val="0"/>
              <w:jc w:val="left"/>
              <w:rPr>
                <w:rFonts w:ascii="宋体" w:eastAsia="宋体" w:hAnsi="宋体" w:cs="宋体" w:hint="eastAsia"/>
                <w:sz w:val="21"/>
                <w:szCs w:val="21"/>
              </w:rPr>
            </w:pPr>
            <w:r>
              <w:rPr>
                <w:rFonts w:ascii="宋体" w:eastAsia="宋体" w:hAnsi="宋体" w:cs="宋体" w:hint="eastAsia"/>
                <w:sz w:val="21"/>
                <w:szCs w:val="21"/>
              </w:rPr>
              <w:t>2、未提供有效证明材料的或者提供的证明材料不符合要求的或者提供的证明材料不清晰导致评审专家无法辨认的，一律作不得分处理。</w:t>
            </w:r>
          </w:p>
        </w:tc>
      </w:tr>
      <w:tr>
        <w:tblPrEx>
          <w:tblW w:w="5000" w:type="pct"/>
          <w:jc w:val="center"/>
          <w:tblLayout w:type="fixed"/>
          <w:tblCellMar>
            <w:top w:w="0" w:type="dxa"/>
            <w:left w:w="108" w:type="dxa"/>
            <w:bottom w:w="0" w:type="dxa"/>
            <w:right w:w="108" w:type="dxa"/>
          </w:tblCellMar>
        </w:tblPrEx>
        <w:trPr>
          <w:trHeight w:val="20"/>
          <w:jc w:val="center"/>
        </w:trPr>
        <w:tc>
          <w:tcPr>
            <w:tcW w:w="392" w:type="dxa"/>
            <w:vMerge/>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22"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3</w:t>
            </w:r>
          </w:p>
        </w:tc>
        <w:tc>
          <w:tcPr>
            <w:tcW w:w="1121"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环保产品</w:t>
            </w:r>
          </w:p>
        </w:tc>
        <w:tc>
          <w:tcPr>
            <w:tcW w:w="1466"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4</w:t>
            </w:r>
          </w:p>
        </w:tc>
        <w:tc>
          <w:tcPr>
            <w:tcW w:w="7037" w:type="dxa"/>
            <w:noWrap w:val="0"/>
            <w:vAlign w:val="center"/>
          </w:tcPr>
          <w:p>
            <w:pPr>
              <w:numPr>
                <w:ilvl w:val="0"/>
                <w:numId w:val="2"/>
              </w:numPr>
              <w:tabs>
                <w:tab w:val="left" w:pos="312"/>
              </w:tabs>
              <w:jc w:val="left"/>
              <w:rPr>
                <w:rFonts w:ascii="宋体" w:eastAsia="宋体" w:hAnsi="宋体" w:cs="宋体" w:hint="eastAsia"/>
                <w:sz w:val="21"/>
                <w:szCs w:val="21"/>
              </w:rPr>
            </w:pPr>
            <w:r>
              <w:rPr>
                <w:rFonts w:ascii="宋体" w:eastAsia="宋体" w:hAnsi="宋体" w:cs="宋体" w:hint="eastAsia"/>
                <w:sz w:val="21"/>
                <w:szCs w:val="21"/>
              </w:rPr>
              <w:t>投标人或核心产品制造商提供第三方机构颁发的《儿童安全级产品认证证书》，认证单元包含：实木家具、板木家具等，产品符合CTS 08001-2020《家具产品儿童安全级评价技术规范》的要求，其认证产品包含但不限于桌台类、柜类、椅类等，满足得20分，否则不得分。                              2.投标人或核心产品制造商提供第三方机构颁发的《低甲醛家具产品认证证书》（符合GB/T 35607-2024），认证单元包含：木家具；金属家具；软体家具，满足得20分，否则不得分。</w:t>
            </w:r>
          </w:p>
          <w:p>
            <w:pPr>
              <w:jc w:val="left"/>
              <w:rPr>
                <w:rFonts w:ascii="宋体" w:eastAsia="宋体" w:hAnsi="宋体" w:cs="宋体" w:hint="eastAsia"/>
                <w:sz w:val="21"/>
                <w:szCs w:val="21"/>
              </w:rPr>
            </w:pPr>
            <w:r>
              <w:rPr>
                <w:rFonts w:ascii="宋体" w:eastAsia="宋体" w:hAnsi="宋体" w:cs="宋体" w:hint="eastAsia"/>
                <w:sz w:val="21"/>
                <w:szCs w:val="21"/>
              </w:rPr>
              <w:t>3.投标人或核心产品制造商提供第三方机构颁发的《产品抗菌认证证书》（认证依据：QB/T 4371-2012）。认证单元包含：木家具；金属家具；软体家具，满足得20分，否则不得分。</w:t>
            </w:r>
          </w:p>
          <w:p>
            <w:pPr>
              <w:jc w:val="left"/>
              <w:rPr>
                <w:rFonts w:ascii="宋体" w:eastAsia="宋体" w:hAnsi="宋体" w:cs="宋体" w:hint="eastAsia"/>
                <w:sz w:val="21"/>
                <w:szCs w:val="21"/>
              </w:rPr>
            </w:pPr>
            <w:r>
              <w:rPr>
                <w:rFonts w:ascii="宋体" w:eastAsia="宋体" w:hAnsi="宋体" w:cs="宋体" w:hint="eastAsia"/>
                <w:sz w:val="21"/>
                <w:szCs w:val="21"/>
              </w:rPr>
              <w:t>4.投标人或其核心产品制造商具有通过第三方机构颁发的《有害物质过程控制管理体系认证证书》，认证范围包含但不限于幼儿家具、儿童户外游乐设施的设计开发、生产和销售所涉及的有害物质管理活动。满足得20分，否则不得分。</w:t>
            </w:r>
          </w:p>
          <w:p>
            <w:pPr>
              <w:jc w:val="left"/>
              <w:rPr>
                <w:rFonts w:ascii="宋体" w:eastAsia="宋体" w:hAnsi="宋体" w:cs="宋体" w:hint="eastAsia"/>
                <w:sz w:val="21"/>
                <w:szCs w:val="21"/>
              </w:rPr>
            </w:pPr>
            <w:r>
              <w:rPr>
                <w:rFonts w:ascii="宋体" w:eastAsia="宋体" w:hAnsi="宋体" w:cs="宋体" w:hint="eastAsia"/>
                <w:sz w:val="21"/>
                <w:szCs w:val="21"/>
              </w:rPr>
              <w:t>5.投标人或其核心产品制造商具有第三方认证机构颁发的《产品阻燃等级认证证书》（产品标准：GB 20286-2006），认证单元包含：木家具；软体家具，满足得20分，否则不得分。</w:t>
            </w:r>
          </w:p>
          <w:p>
            <w:pPr>
              <w:jc w:val="left"/>
              <w:rPr>
                <w:rFonts w:ascii="宋体" w:eastAsia="宋体" w:hAnsi="宋体" w:cs="宋体" w:hint="eastAsia"/>
                <w:sz w:val="21"/>
                <w:szCs w:val="21"/>
              </w:rPr>
            </w:pPr>
            <w:r>
              <w:rPr>
                <w:rFonts w:ascii="宋体" w:eastAsia="宋体" w:hAnsi="宋体" w:cs="宋体" w:hint="eastAsia"/>
                <w:b/>
                <w:bCs/>
                <w:sz w:val="21"/>
                <w:szCs w:val="21"/>
              </w:rPr>
              <w:t>注：提供以上有效期内认证证书复印件以及国家认可监督管理委员会（网址：http://www.cnca.gov.cn/）查询的截图并加盖投标人公章，否则不得分。原件备查。</w:t>
            </w:r>
          </w:p>
        </w:tc>
      </w:tr>
      <w:tr>
        <w:tblPrEx>
          <w:tblW w:w="5000" w:type="pct"/>
          <w:jc w:val="center"/>
          <w:tblLayout w:type="fixed"/>
          <w:tblCellMar>
            <w:top w:w="0" w:type="dxa"/>
            <w:left w:w="108" w:type="dxa"/>
            <w:bottom w:w="0" w:type="dxa"/>
            <w:right w:w="108" w:type="dxa"/>
          </w:tblCellMar>
        </w:tblPrEx>
        <w:trPr>
          <w:trHeight w:val="20"/>
          <w:jc w:val="center"/>
        </w:trPr>
        <w:tc>
          <w:tcPr>
            <w:tcW w:w="392" w:type="dxa"/>
            <w:vMerge/>
            <w:noWrap w:val="0"/>
            <w:vAlign w:val="center"/>
          </w:tcPr>
          <w:p>
            <w:pPr>
              <w:keepNext/>
              <w:keepLines/>
              <w:spacing w:before="260" w:after="260" w:line="240" w:lineRule="exact"/>
              <w:jc w:val="center"/>
              <w:outlineLvl w:val="2"/>
              <w:rPr>
                <w:rFonts w:ascii="宋体" w:eastAsia="宋体" w:hAnsi="宋体" w:cs="宋体" w:hint="eastAsia"/>
                <w:sz w:val="21"/>
                <w:szCs w:val="21"/>
              </w:rPr>
            </w:pPr>
          </w:p>
        </w:tc>
        <w:tc>
          <w:tcPr>
            <w:tcW w:w="722"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4</w:t>
            </w:r>
          </w:p>
        </w:tc>
        <w:tc>
          <w:tcPr>
            <w:tcW w:w="1121"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lang w:bidi="ar"/>
              </w:rPr>
              <w:t>诚信承诺函</w:t>
            </w:r>
          </w:p>
        </w:tc>
        <w:tc>
          <w:tcPr>
            <w:tcW w:w="1466" w:type="dxa"/>
            <w:gridSpan w:val="2"/>
            <w:noWrap w:val="0"/>
            <w:vAlign w:val="center"/>
          </w:tcPr>
          <w:p>
            <w:pPr>
              <w:spacing w:line="240" w:lineRule="exact"/>
              <w:jc w:val="center"/>
              <w:rPr>
                <w:rFonts w:ascii="宋体" w:eastAsia="宋体" w:hAnsi="宋体" w:cs="宋体" w:hint="eastAsia"/>
                <w:sz w:val="21"/>
                <w:szCs w:val="21"/>
              </w:rPr>
            </w:pPr>
            <w:r>
              <w:rPr>
                <w:rFonts w:ascii="宋体" w:eastAsia="宋体" w:hAnsi="宋体" w:cs="宋体" w:hint="eastAsia"/>
                <w:sz w:val="21"/>
                <w:szCs w:val="21"/>
              </w:rPr>
              <w:t>5</w:t>
            </w:r>
          </w:p>
        </w:tc>
        <w:tc>
          <w:tcPr>
            <w:tcW w:w="7037" w:type="dxa"/>
            <w:noWrap w:val="0"/>
            <w:vAlign w:val="top"/>
          </w:tcPr>
          <w:p>
            <w:pPr>
              <w:rPr>
                <w:rFonts w:ascii="宋体" w:eastAsia="宋体" w:hAnsi="宋体" w:cs="宋体" w:hint="eastAsia"/>
                <w:sz w:val="21"/>
                <w:szCs w:val="21"/>
              </w:rPr>
            </w:pPr>
            <w:r>
              <w:rPr>
                <w:rFonts w:ascii="宋体" w:eastAsia="宋体" w:hAnsi="宋体" w:cs="宋体" w:hint="eastAsia"/>
                <w:sz w:val="21"/>
                <w:szCs w:val="21"/>
              </w:rPr>
              <w:t>投标人承诺在参与龙华区教育局自行采购活动中未出现诚信或安全相关问题且不在相关主管部门处理措施实施期限内的本项得满分100分，否则不得分。须提供加盖投标人公章的《诚信承诺函》，按采购文件格式要求提供，不提供或提供的不符合要求或提供不清晰导致专家无法判断的均不得分。如被认定提供的陈述与事实不符受到行政处罚的，依法追究其责任。</w:t>
            </w:r>
          </w:p>
        </w:tc>
      </w:tr>
    </w:tbl>
    <w:p>
      <w:pPr>
        <w:widowControl w:val="0"/>
        <w:jc w:val="both"/>
        <w:rPr>
          <w:rFonts w:ascii="Calibri" w:eastAsia="宋体" w:hAnsi="Calibri"/>
          <w:b/>
          <w:kern w:val="2"/>
          <w:sz w:val="84"/>
          <w:szCs w:val="84"/>
          <w:lang w:eastAsia="zh-CN"/>
        </w:rPr>
      </w:pPr>
    </w:p>
    <w:p>
      <w:pPr>
        <w:widowControl w:val="0"/>
        <w:jc w:val="both"/>
        <w:rPr>
          <w:rFonts w:ascii="Calibri" w:eastAsia="宋体" w:hAnsi="Calibri"/>
          <w:b/>
          <w:kern w:val="2"/>
          <w:sz w:val="84"/>
          <w:szCs w:val="84"/>
          <w:lang w:eastAsia="zh-CN"/>
        </w:rPr>
      </w:pPr>
    </w:p>
    <w:p>
      <w:pPr>
        <w:spacing w:line="360" w:lineRule="auto"/>
        <w:rPr>
          <w:rFonts w:ascii="Calibri" w:eastAsia="宋体" w:hAnsi="Calibri"/>
          <w:b/>
          <w:bCs/>
          <w:kern w:val="2"/>
          <w:sz w:val="84"/>
          <w:szCs w:val="84"/>
          <w:lang w:eastAsia="zh-CN"/>
        </w:rPr>
      </w:pPr>
    </w:p>
    <w:p>
      <w:pPr>
        <w:spacing w:line="360" w:lineRule="auto"/>
        <w:rPr>
          <w:rFonts w:ascii="Calibri" w:eastAsia="宋体" w:hAnsi="Calibri"/>
          <w:b/>
          <w:bCs/>
          <w:kern w:val="2"/>
          <w:sz w:val="84"/>
          <w:szCs w:val="84"/>
          <w:lang w:eastAsia="zh-CN"/>
        </w:rPr>
      </w:pPr>
    </w:p>
    <w:p>
      <w:pPr>
        <w:spacing w:line="360" w:lineRule="auto"/>
        <w:rPr>
          <w:rFonts w:ascii="Calibri" w:eastAsia="宋体" w:hAnsi="Calibri"/>
          <w:b/>
          <w:bCs/>
          <w:kern w:val="2"/>
          <w:sz w:val="84"/>
          <w:szCs w:val="84"/>
          <w:lang w:eastAsia="zh-CN"/>
        </w:rPr>
      </w:pPr>
    </w:p>
    <w:p>
      <w:pPr>
        <w:spacing w:line="360" w:lineRule="auto"/>
        <w:rPr>
          <w:rFonts w:ascii="Calibri" w:eastAsia="宋体" w:hAnsi="Calibri"/>
          <w:b/>
          <w:bCs/>
          <w:kern w:val="2"/>
          <w:sz w:val="84"/>
          <w:szCs w:val="84"/>
          <w:lang w:eastAsia="zh-CN"/>
        </w:rPr>
      </w:pPr>
    </w:p>
    <w:p>
      <w:pPr>
        <w:widowControl w:val="0"/>
        <w:jc w:val="both"/>
        <w:rPr>
          <w:rFonts w:ascii="Calibri" w:eastAsia="宋体" w:hAnsi="Calibri"/>
          <w:b/>
          <w:kern w:val="2"/>
          <w:sz w:val="84"/>
          <w:szCs w:val="84"/>
          <w:lang w:eastAsia="zh-CN"/>
        </w:rPr>
      </w:pPr>
    </w:p>
    <w:p>
      <w:pPr>
        <w:widowControl w:val="0"/>
        <w:jc w:val="center"/>
        <w:rPr>
          <w:rFonts w:ascii="Calibri" w:eastAsia="宋体" w:hAnsi="Calibri"/>
          <w:b/>
          <w:kern w:val="2"/>
          <w:sz w:val="120"/>
          <w:szCs w:val="120"/>
          <w:lang w:eastAsia="zh-CN"/>
        </w:rPr>
      </w:pPr>
      <w:r>
        <w:rPr>
          <w:rFonts w:ascii="Calibri" w:eastAsia="宋体" w:hAnsi="Calibri" w:cstheme="minorBidi" w:hint="eastAsia"/>
          <w:b/>
          <w:kern w:val="2"/>
          <w:sz w:val="120"/>
          <w:szCs w:val="120"/>
          <w:lang w:eastAsia="zh-CN"/>
        </w:rPr>
        <w:t>自行采购</w:t>
      </w:r>
    </w:p>
    <w:p>
      <w:pPr>
        <w:widowControl w:val="0"/>
        <w:jc w:val="center"/>
        <w:rPr>
          <w:rFonts w:ascii="Calibri" w:eastAsia="宋体" w:hAnsi="Calibri"/>
          <w:b/>
          <w:kern w:val="2"/>
          <w:sz w:val="120"/>
          <w:szCs w:val="120"/>
          <w:lang w:eastAsia="zh-CN"/>
        </w:rPr>
      </w:pPr>
      <w:r>
        <w:rPr>
          <w:rFonts w:ascii="Calibri" w:eastAsia="宋体" w:hAnsi="Calibri" w:cstheme="minorBidi" w:hint="eastAsia"/>
          <w:b/>
          <w:kern w:val="2"/>
          <w:sz w:val="120"/>
          <w:szCs w:val="120"/>
          <w:lang w:eastAsia="zh-CN"/>
        </w:rPr>
        <w:t>招标文件</w:t>
      </w:r>
    </w:p>
    <w:p>
      <w:pPr>
        <w:widowControl w:val="0"/>
        <w:jc w:val="center"/>
        <w:rPr>
          <w:rFonts w:ascii="Calibri" w:eastAsia="宋体" w:hAnsi="Calibri"/>
          <w:b/>
          <w:kern w:val="2"/>
          <w:sz w:val="52"/>
          <w:szCs w:val="52"/>
          <w:lang w:eastAsia="zh-CN"/>
        </w:rPr>
      </w:pPr>
      <w:r>
        <w:rPr>
          <w:rFonts w:ascii="Calibri" w:eastAsia="宋体" w:hAnsi="Calibri" w:cstheme="minorBidi" w:hint="eastAsia"/>
          <w:b/>
          <w:kern w:val="2"/>
          <w:sz w:val="52"/>
          <w:szCs w:val="52"/>
          <w:lang w:eastAsia="zh-CN"/>
        </w:rPr>
        <w:t>（货物类）</w:t>
      </w: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center"/>
        <w:rPr>
          <w:rFonts w:ascii="Calibri" w:eastAsia="宋体" w:hAnsi="Calibri"/>
          <w:b/>
          <w:kern w:val="2"/>
          <w:sz w:val="44"/>
          <w:szCs w:val="44"/>
          <w:lang w:eastAsia="zh-CN"/>
        </w:rPr>
      </w:pPr>
      <w:r>
        <w:rPr>
          <w:rFonts w:ascii="宋体" w:eastAsia="宋体" w:hAnsi="宋体" w:cstheme="minorBidi" w:hint="eastAsia"/>
          <w:b/>
          <w:kern w:val="2"/>
          <w:sz w:val="44"/>
          <w:szCs w:val="44"/>
          <w:lang w:eastAsia="zh-CN"/>
        </w:rPr>
        <w:t>深圳市千里招标代理有限公司</w:t>
      </w:r>
    </w:p>
    <w:p>
      <w:pPr>
        <w:widowControl w:val="0"/>
        <w:jc w:val="center"/>
        <w:rPr>
          <w:rFonts w:ascii="Calibri" w:eastAsia="宋体" w:hAnsi="Calibri"/>
          <w:b/>
          <w:kern w:val="2"/>
          <w:sz w:val="44"/>
          <w:szCs w:val="44"/>
          <w:lang w:eastAsia="zh-CN"/>
        </w:rPr>
      </w:pPr>
      <w:r>
        <w:rPr>
          <w:rFonts w:ascii="宋体" w:eastAsia="宋体" w:hAnsi="宋体" w:cstheme="minorBidi" w:hint="eastAsia"/>
          <w:b/>
          <w:kern w:val="2"/>
          <w:sz w:val="44"/>
          <w:szCs w:val="44"/>
          <w:lang w:eastAsia="zh-CN"/>
        </w:rPr>
        <w:t>（</w:t>
      </w:r>
      <w:r>
        <w:rPr>
          <w:rFonts w:ascii="Calibri" w:eastAsia="宋体" w:hAnsi="Calibri" w:cstheme="minorBidi"/>
          <w:b/>
          <w:kern w:val="2"/>
          <w:sz w:val="44"/>
          <w:szCs w:val="44"/>
          <w:lang w:eastAsia="zh-CN"/>
        </w:rPr>
        <w:t>20</w:t>
      </w:r>
      <w:r>
        <w:rPr>
          <w:rFonts w:ascii="Calibri" w:eastAsia="宋体" w:hAnsi="Calibri" w:cstheme="minorBidi" w:hint="eastAsia"/>
          <w:b/>
          <w:kern w:val="2"/>
          <w:sz w:val="44"/>
          <w:szCs w:val="44"/>
          <w:lang w:eastAsia="zh-CN"/>
        </w:rPr>
        <w:t>25</w:t>
      </w:r>
      <w:r>
        <w:rPr>
          <w:rFonts w:ascii="宋体" w:eastAsia="宋体" w:hAnsi="宋体" w:cstheme="minorBidi" w:hint="eastAsia"/>
          <w:b/>
          <w:kern w:val="2"/>
          <w:sz w:val="44"/>
          <w:szCs w:val="44"/>
          <w:lang w:eastAsia="zh-CN"/>
        </w:rPr>
        <w:t>）</w:t>
      </w:r>
    </w:p>
    <w:p>
      <w:pPr>
        <w:widowControl w:val="0"/>
        <w:ind w:firstLine="6760" w:firstLineChars="1300"/>
        <w:jc w:val="center"/>
        <w:rPr>
          <w:rFonts w:ascii="Calibri" w:eastAsia="宋体" w:hAnsi="Calibri"/>
          <w:bCs/>
          <w:color w:val="FF0000"/>
          <w:kern w:val="2"/>
          <w:sz w:val="21"/>
          <w:szCs w:val="22"/>
          <w:lang w:eastAsia="zh-CN"/>
        </w:rPr>
      </w:pPr>
      <w:r>
        <w:rPr>
          <w:rFonts w:ascii="Calibri" w:eastAsia="宋体" w:hAnsi="Calibri" w:cstheme="minorBidi" w:hint="eastAsia"/>
          <w:b/>
          <w:color w:val="FF0000"/>
          <w:kern w:val="2"/>
          <w:sz w:val="52"/>
          <w:szCs w:val="52"/>
          <w:lang w:eastAsia="zh-CN"/>
        </w:rPr>
        <w:br w:type="page"/>
      </w:r>
    </w:p>
    <w:p>
      <w:pPr>
        <w:widowControl w:val="0"/>
        <w:ind w:firstLine="3640" w:firstLineChars="1300"/>
        <w:jc w:val="both"/>
        <w:rPr>
          <w:rFonts w:ascii="宋体" w:eastAsia="宋体" w:hAnsi="宋体" w:hint="eastAsia"/>
          <w:color w:val="FF0000"/>
          <w:kern w:val="2"/>
          <w:sz w:val="21"/>
          <w:szCs w:val="21"/>
          <w:lang w:eastAsia="zh-CN"/>
        </w:rPr>
      </w:pPr>
      <w:bookmarkStart w:id="2" w:name="_Hlk73564573"/>
      <w:r>
        <w:rPr>
          <w:rFonts w:ascii="宋体" w:eastAsia="黑体" w:hAnsi="宋体" w:cstheme="minorBidi" w:hint="eastAsia"/>
          <w:b/>
          <w:bCs/>
          <w:color w:val="FF0000"/>
          <w:kern w:val="44"/>
          <w:sz w:val="28"/>
          <w:szCs w:val="44"/>
          <w:lang w:eastAsia="zh-CN"/>
        </w:rPr>
        <w:t>警示条款</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一、</w:t>
      </w:r>
      <w:r>
        <w:rPr>
          <w:rFonts w:ascii="宋体" w:eastAsia="宋体" w:hAnsi="宋体" w:cstheme="minorBidi" w:hint="eastAsia"/>
          <w:b/>
          <w:bCs/>
          <w:color w:val="FF0000"/>
          <w:kern w:val="2"/>
          <w:sz w:val="20"/>
          <w:szCs w:val="20"/>
          <w:lang w:eastAsia="zh-CN"/>
        </w:rPr>
        <w:t>《深圳经济特区政府采购条例》第五十七条</w:t>
      </w:r>
      <w:r>
        <w:rPr>
          <w:rFonts w:ascii="宋体" w:eastAsia="宋体" w:hAnsi="宋体" w:cstheme="minorBidi" w:hint="eastAsia"/>
          <w:color w:val="FF0000"/>
          <w:kern w:val="2"/>
          <w:sz w:val="20"/>
          <w:szCs w:val="20"/>
          <w:lang w:eastAsia="zh-CN"/>
        </w:rPr>
        <w:t>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（一）在采购活动中应当回避而未回避的；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（二）未按本条例规定签订、履行采购合同，造成严重后果的；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（三）隐瞒真实情况，提供虚假资料的；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（四）以非法手段排斥其他供应商参与竞争的；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（五）与其他采购参加人串通投标的；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（六）恶意投诉的；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（七）向采购项目相关人行贿或者提供其他不当利益的；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（八）阻碍、抗拒主管部门监督检查的；</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（九）其他违反本条例规定的行为。</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b/>
          <w:bCs/>
          <w:color w:val="FF0000"/>
          <w:kern w:val="2"/>
          <w:sz w:val="20"/>
          <w:szCs w:val="20"/>
          <w:lang w:eastAsia="zh-CN"/>
        </w:rPr>
        <w:t>二、《深圳经济特区政府采购条例实施细则》第七十五条</w:t>
      </w:r>
      <w:r>
        <w:rPr>
          <w:rFonts w:ascii="宋体" w:eastAsia="宋体" w:hAnsi="宋体" w:cstheme="minorBidi" w:hint="eastAsia"/>
          <w:color w:val="FF0000"/>
          <w:kern w:val="2"/>
          <w:sz w:val="20"/>
          <w:szCs w:val="20"/>
          <w:lang w:eastAsia="zh-CN"/>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b/>
          <w:bCs/>
          <w:color w:val="FF0000"/>
          <w:kern w:val="2"/>
          <w:sz w:val="20"/>
          <w:szCs w:val="20"/>
          <w:lang w:eastAsia="zh-CN"/>
        </w:rPr>
        <w:t>三、《深圳经济特区政府采购条例实施细则》第七十七条</w:t>
      </w:r>
      <w:r>
        <w:rPr>
          <w:rFonts w:ascii="宋体" w:eastAsia="宋体" w:hAnsi="宋体" w:cstheme="minorBidi" w:hint="eastAsia"/>
          <w:color w:val="FF0000"/>
          <w:kern w:val="2"/>
          <w:sz w:val="20"/>
          <w:szCs w:val="20"/>
          <w:lang w:eastAsia="zh-CN"/>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widowControl w:val="0"/>
        <w:ind w:firstLine="400" w:firstLineChars="200"/>
        <w:jc w:val="both"/>
        <w:rPr>
          <w:rFonts w:ascii="宋体" w:eastAsia="宋体" w:hAnsi="宋体" w:hint="eastAsia"/>
          <w:color w:val="FF0000"/>
          <w:kern w:val="2"/>
          <w:sz w:val="20"/>
          <w:szCs w:val="20"/>
          <w:lang w:eastAsia="zh-CN"/>
        </w:rPr>
      </w:pPr>
      <w:r>
        <w:rPr>
          <w:rFonts w:ascii="宋体" w:eastAsia="宋体" w:hAnsi="宋体" w:cstheme="minorBidi" w:hint="eastAsia"/>
          <w:color w:val="FF0000"/>
          <w:kern w:val="2"/>
          <w:sz w:val="20"/>
          <w:szCs w:val="20"/>
          <w:lang w:eastAsia="zh-CN"/>
        </w:rPr>
        <w:t>投标供应商不能提供项目负责人或者主要技术人员的劳动合同、社会保险等劳动关系证明材料的，视为存在前款第（三）项规定的情形。</w:t>
      </w:r>
    </w:p>
    <w:bookmarkEnd w:id="2"/>
    <w:p>
      <w:pPr>
        <w:widowControl w:val="0"/>
        <w:ind w:firstLine="420" w:firstLineChars="200"/>
        <w:jc w:val="both"/>
        <w:rPr>
          <w:rFonts w:ascii="Calibri" w:eastAsia="宋体" w:hAnsi="Calibri"/>
          <w:b/>
          <w:color w:val="FF0000"/>
          <w:kern w:val="2"/>
          <w:sz w:val="21"/>
          <w:szCs w:val="22"/>
          <w:lang w:eastAsia="zh-CN"/>
        </w:rPr>
      </w:pPr>
      <w:r>
        <w:rPr>
          <w:rFonts w:ascii="Calibri" w:eastAsia="宋体" w:hAnsi="Calibri" w:cstheme="minorBidi" w:hint="eastAsia"/>
          <w:b/>
          <w:color w:val="FF0000"/>
          <w:kern w:val="2"/>
          <w:sz w:val="21"/>
          <w:szCs w:val="22"/>
          <w:lang w:eastAsia="zh-CN"/>
        </w:rPr>
        <w:t>四、请投标供应商阅读《政府采购违法行为风险知悉确认书》（内容详见“投标文件附件（信息不公开部分）”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pPr>
        <w:widowControl w:val="0"/>
        <w:ind w:firstLine="400" w:firstLineChars="200"/>
        <w:jc w:val="both"/>
        <w:rPr>
          <w:rFonts w:ascii="Calibri" w:eastAsia="宋体" w:hAnsi="Calibri"/>
          <w:bCs/>
          <w:color w:val="FF0000"/>
          <w:kern w:val="2"/>
          <w:sz w:val="20"/>
          <w:szCs w:val="20"/>
          <w:lang w:eastAsia="zh-CN"/>
        </w:rPr>
      </w:pPr>
      <w:r>
        <w:rPr>
          <w:rFonts w:ascii="Calibri" w:eastAsia="宋体" w:hAnsi="Calibri" w:cstheme="minorBidi" w:hint="eastAsia"/>
          <w:bCs/>
          <w:color w:val="FF0000"/>
          <w:kern w:val="2"/>
          <w:sz w:val="20"/>
          <w:szCs w:val="20"/>
          <w:lang w:eastAsia="zh-CN"/>
        </w:rPr>
        <w:t>五、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widowControl w:val="0"/>
        <w:ind w:firstLine="400" w:firstLineChars="200"/>
        <w:jc w:val="both"/>
        <w:rPr>
          <w:rFonts w:ascii="Calibri" w:eastAsia="宋体" w:hAnsi="Calibri"/>
          <w:bCs/>
          <w:color w:val="FF0000"/>
          <w:kern w:val="2"/>
          <w:sz w:val="20"/>
          <w:szCs w:val="20"/>
          <w:lang w:eastAsia="zh-CN"/>
        </w:rPr>
      </w:pPr>
      <w:r>
        <w:rPr>
          <w:rFonts w:ascii="Calibri" w:eastAsia="宋体" w:hAnsi="Calibri" w:cstheme="minorBidi" w:hint="eastAsia"/>
          <w:bCs/>
          <w:color w:val="FF0000"/>
          <w:kern w:val="2"/>
          <w:sz w:val="20"/>
          <w:szCs w:val="20"/>
          <w:lang w:eastAsia="zh-CN"/>
        </w:rPr>
        <w:t>为避免出现不同供应商投标文件的文件制作机器码、文件创建标识码、IP地址一致的异常情况，建议各供应商编制、上传投标文件时不要使用公共电脑设备或公共网络。</w:t>
      </w:r>
    </w:p>
    <w:p>
      <w:pPr>
        <w:widowControl w:val="0"/>
        <w:ind w:firstLine="400" w:firstLineChars="200"/>
        <w:jc w:val="both"/>
        <w:rPr>
          <w:rFonts w:ascii="Calibri" w:eastAsia="宋体" w:hAnsi="Calibri"/>
          <w:bCs/>
          <w:color w:val="FF0000"/>
          <w:kern w:val="2"/>
          <w:sz w:val="20"/>
          <w:szCs w:val="20"/>
          <w:lang w:eastAsia="zh-CN"/>
        </w:rPr>
      </w:pPr>
      <w:r>
        <w:rPr>
          <w:rFonts w:ascii="Calibri" w:eastAsia="宋体" w:hAnsi="Calibri" w:cstheme="minorBidi" w:hint="eastAsia"/>
          <w:bCs/>
          <w:color w:val="FF0000"/>
          <w:kern w:val="2"/>
          <w:sz w:val="20"/>
          <w:szCs w:val="20"/>
          <w:lang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ascii="宋体" w:eastAsia="宋体" w:hAnsi="宋体" w:cstheme="minorBidi" w:hint="eastAsia"/>
          <w:color w:val="FF0000"/>
          <w:kern w:val="2"/>
          <w:sz w:val="20"/>
          <w:szCs w:val="20"/>
          <w:lang w:eastAsia="zh-CN"/>
        </w:rPr>
        <w:t>取消参与本市政府采购资格</w:t>
      </w:r>
      <w:r>
        <w:rPr>
          <w:rFonts w:ascii="Calibri" w:eastAsia="宋体" w:hAnsi="宋体" w:cstheme="minorBidi" w:hint="eastAsia"/>
          <w:color w:val="FF0000"/>
          <w:kern w:val="2"/>
          <w:sz w:val="20"/>
          <w:szCs w:val="20"/>
          <w:lang w:eastAsia="zh-CN"/>
        </w:rPr>
        <w:t>、</w:t>
      </w:r>
      <w:r>
        <w:rPr>
          <w:rFonts w:ascii="宋体" w:eastAsia="宋体" w:hAnsi="宋体" w:cstheme="minorBidi" w:hint="eastAsia"/>
          <w:color w:val="FF0000"/>
          <w:kern w:val="2"/>
          <w:sz w:val="20"/>
          <w:szCs w:val="20"/>
          <w:lang w:eastAsia="zh-CN"/>
        </w:rPr>
        <w:t>依法吊销其营业</w:t>
      </w:r>
      <w:r>
        <w:rPr>
          <w:rFonts w:ascii="Calibri" w:eastAsia="宋体" w:hAnsi="宋体" w:cstheme="minorBidi" w:hint="eastAsia"/>
          <w:color w:val="FF0000"/>
          <w:kern w:val="2"/>
          <w:sz w:val="20"/>
          <w:szCs w:val="20"/>
          <w:lang w:eastAsia="zh-CN"/>
        </w:rPr>
        <w:t>执照等行政处罚，</w:t>
      </w:r>
      <w:r>
        <w:rPr>
          <w:rFonts w:ascii="宋体" w:eastAsia="宋体" w:hAnsi="宋体" w:cstheme="minorBidi" w:hint="eastAsia"/>
          <w:color w:val="FF0000"/>
          <w:kern w:val="2"/>
          <w:sz w:val="20"/>
          <w:szCs w:val="20"/>
          <w:lang w:eastAsia="zh-CN"/>
        </w:rPr>
        <w:t>构成犯罪的，依法追究刑事责任</w:t>
      </w:r>
      <w:r>
        <w:rPr>
          <w:rFonts w:ascii="Calibri" w:eastAsia="宋体" w:hAnsi="Calibri" w:cstheme="minorBidi" w:hint="eastAsia"/>
          <w:bCs/>
          <w:color w:val="FF0000"/>
          <w:kern w:val="2"/>
          <w:sz w:val="20"/>
          <w:szCs w:val="20"/>
          <w:lang w:eastAsia="zh-CN"/>
        </w:rPr>
        <w:t>，请各供应商独立编制、上传投标文件，妥善保管和使用电子秘钥。</w:t>
      </w:r>
    </w:p>
    <w:p>
      <w:pPr>
        <w:widowControl w:val="0"/>
        <w:snapToGrid w:val="0"/>
        <w:spacing w:line="360" w:lineRule="exact"/>
        <w:rPr>
          <w:rFonts w:ascii="宋体" w:eastAsia="宋体" w:hAnsi="宋体" w:cs="宋体" w:hint="eastAsia"/>
          <w:color w:val="000000"/>
          <w:lang w:eastAsia="zh-CN"/>
        </w:rPr>
      </w:pPr>
    </w:p>
    <w:p>
      <w:pPr>
        <w:widowControl w:val="0"/>
        <w:snapToGrid w:val="0"/>
        <w:spacing w:line="360" w:lineRule="exact"/>
        <w:rPr>
          <w:rFonts w:ascii="宋体" w:eastAsia="宋体" w:hAnsi="宋体" w:cs="宋体" w:hint="eastAsia"/>
          <w:color w:val="000000"/>
          <w:lang w:eastAsia="zh-CN"/>
        </w:rPr>
      </w:pPr>
    </w:p>
    <w:p>
      <w:pPr>
        <w:widowControl w:val="0"/>
        <w:jc w:val="center"/>
        <w:outlineLvl w:val="0"/>
        <w:rPr>
          <w:rFonts w:ascii="Arial" w:eastAsia="宋体" w:hAnsi="Arial"/>
          <w:b/>
          <w:bCs/>
          <w:kern w:val="44"/>
          <w:sz w:val="32"/>
          <w:szCs w:val="32"/>
          <w:lang w:eastAsia="zh-CN"/>
        </w:rPr>
      </w:pPr>
      <w:r>
        <w:rPr>
          <w:rFonts w:ascii="Arial" w:eastAsia="宋体" w:hAnsi="Arial" w:hint="eastAsia"/>
          <w:b/>
          <w:bCs/>
          <w:kern w:val="44"/>
          <w:sz w:val="32"/>
          <w:szCs w:val="32"/>
          <w:lang w:eastAsia="zh-CN"/>
        </w:rPr>
        <w:t>目录</w:t>
      </w:r>
    </w:p>
    <w:p>
      <w:pPr>
        <w:widowControl w:val="0"/>
        <w:spacing w:line="360" w:lineRule="auto"/>
        <w:jc w:val="both"/>
        <w:rPr>
          <w:rFonts w:ascii="Calibri" w:eastAsia="宋体" w:hAnsi="Calibri"/>
          <w:b/>
          <w:kern w:val="2"/>
          <w:lang w:eastAsia="zh-CN"/>
        </w:rPr>
      </w:pPr>
      <w:r>
        <w:rPr>
          <w:rFonts w:ascii="Calibri" w:eastAsia="宋体" w:hAnsi="Calibri" w:cstheme="minorBidi" w:hint="eastAsia"/>
          <w:b/>
          <w:kern w:val="2"/>
          <w:lang w:eastAsia="zh-CN"/>
        </w:rPr>
        <w:t>第一册专用条款</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ab/>
      </w:r>
      <w:r>
        <w:rPr>
          <w:rFonts w:ascii="宋体" w:eastAsia="宋体" w:hAnsi="宋体" w:cstheme="minorBidi" w:hint="eastAsia"/>
          <w:kern w:val="2"/>
          <w:sz w:val="21"/>
          <w:szCs w:val="21"/>
          <w:lang w:eastAsia="zh-CN"/>
        </w:rPr>
        <w:t>关键信息</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第一章招标公告</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第二章对通用条款的补充内容及其他关键信息</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第三章用户需求书</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第四章投标文件组成要求及格式</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第五章合同条款及格式</w:t>
      </w:r>
    </w:p>
    <w:p>
      <w:pPr>
        <w:widowControl w:val="0"/>
        <w:spacing w:line="360" w:lineRule="auto"/>
        <w:jc w:val="both"/>
        <w:rPr>
          <w:rFonts w:ascii="Calibri" w:eastAsia="宋体" w:hAnsi="Calibri"/>
          <w:b/>
          <w:kern w:val="2"/>
          <w:szCs w:val="22"/>
          <w:lang w:eastAsia="zh-CN"/>
        </w:rPr>
      </w:pPr>
    </w:p>
    <w:p>
      <w:pPr>
        <w:widowControl w:val="0"/>
        <w:spacing w:line="360" w:lineRule="auto"/>
        <w:jc w:val="both"/>
        <w:rPr>
          <w:rFonts w:ascii="Calibri" w:eastAsia="宋体" w:hAnsi="Calibri"/>
          <w:b/>
          <w:kern w:val="2"/>
          <w:lang w:eastAsia="zh-CN"/>
        </w:rPr>
      </w:pPr>
      <w:r>
        <w:rPr>
          <w:rFonts w:ascii="Calibri" w:eastAsia="宋体" w:hAnsi="Calibri" w:cstheme="minorBidi" w:hint="eastAsia"/>
          <w:b/>
          <w:kern w:val="2"/>
          <w:lang w:eastAsia="zh-CN"/>
        </w:rPr>
        <w:t>第二册通用条款</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第一章总则</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第二章招标文件</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第三章投标文件的编制</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第四章投标文件的递交</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第五章开标</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第六章评审要求</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第七章评审程序及评审方法</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第八章定标及公示</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第九章公开招标失败的后续处理</w:t>
      </w:r>
    </w:p>
    <w:p>
      <w:pPr>
        <w:widowControl w:val="0"/>
        <w:spacing w:line="360" w:lineRule="auto"/>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第十章合同的授予与备案</w:t>
      </w:r>
    </w:p>
    <w:p>
      <w:pPr>
        <w:widowControl w:val="0"/>
        <w:spacing w:line="360" w:lineRule="auto"/>
        <w:ind w:firstLine="1050" w:firstLineChars="50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第十一章质疑处理</w:t>
      </w: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jc w:val="center"/>
        <w:rPr>
          <w:rFonts w:ascii="Arial" w:eastAsia="宋体" w:hAnsi="Arial"/>
          <w:b/>
          <w:bCs/>
          <w:kern w:val="44"/>
          <w:sz w:val="32"/>
          <w:szCs w:val="32"/>
          <w:lang w:eastAsia="zh-CN"/>
        </w:rPr>
      </w:pPr>
      <w:r>
        <w:rPr>
          <w:rFonts w:ascii="Calibri" w:eastAsia="宋体" w:hAnsi="Calibri" w:cstheme="minorBidi"/>
          <w:kern w:val="2"/>
          <w:sz w:val="21"/>
          <w:szCs w:val="22"/>
          <w:lang w:eastAsia="zh-CN"/>
        </w:rPr>
        <w:br w:type="page"/>
      </w:r>
      <w:r>
        <w:rPr>
          <w:rFonts w:ascii="Arial" w:eastAsia="宋体" w:hAnsi="Arial" w:hint="eastAsia"/>
          <w:b/>
          <w:bCs/>
          <w:kern w:val="44"/>
          <w:sz w:val="32"/>
          <w:szCs w:val="32"/>
          <w:lang w:eastAsia="zh-CN"/>
        </w:rPr>
        <w:t>第一册  专用条款</w:t>
      </w:r>
    </w:p>
    <w:p>
      <w:pPr>
        <w:keepNext/>
        <w:keepLines/>
        <w:widowControl w:val="0"/>
        <w:adjustRightInd w:val="0"/>
        <w:spacing w:before="260" w:after="260" w:line="360" w:lineRule="auto"/>
        <w:jc w:val="center"/>
        <w:textAlignment w:val="baseline"/>
        <w:outlineLvl w:val="1"/>
        <w:rPr>
          <w:rFonts w:ascii="宋体" w:eastAsia="宋体" w:hAnsi="宋体" w:hint="eastAsia"/>
          <w:b/>
          <w:bCs/>
          <w:sz w:val="28"/>
          <w:szCs w:val="28"/>
          <w:lang w:eastAsia="zh-CN"/>
        </w:rPr>
      </w:pPr>
      <w:bookmarkStart w:id="3" w:name="_GoBack"/>
      <w:bookmarkEnd w:id="3"/>
      <w:r>
        <w:rPr>
          <w:rFonts w:ascii="宋体" w:eastAsia="宋体" w:hAnsi="宋体" w:hint="eastAsia"/>
          <w:b/>
          <w:bCs/>
          <w:sz w:val="28"/>
          <w:szCs w:val="28"/>
          <w:lang w:eastAsia="zh-CN"/>
        </w:rPr>
        <w:t>第一章  招标公告</w:t>
      </w:r>
    </w:p>
    <w:p>
      <w:pPr>
        <w:widowControl w:val="0"/>
        <w:spacing w:line="360" w:lineRule="auto"/>
        <w:jc w:val="both"/>
        <w:rPr>
          <w:rFonts w:ascii="宋体" w:eastAsia="宋体" w:hAnsi="宋体" w:cs="宋体" w:hint="eastAsia"/>
          <w:b/>
          <w:bCs/>
          <w:sz w:val="21"/>
          <w:szCs w:val="21"/>
          <w:lang w:eastAsia="zh-CN"/>
        </w:rPr>
      </w:pPr>
      <w:r>
        <w:rPr>
          <w:rFonts w:ascii="宋体" w:eastAsia="宋体" w:hAnsi="宋体" w:cs="宋体" w:hint="eastAsia"/>
          <w:b/>
          <w:bCs/>
          <w:sz w:val="21"/>
          <w:szCs w:val="21"/>
          <w:lang w:eastAsia="zh-CN"/>
        </w:rPr>
        <w:t>申请人的资格要求：</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1</w:t>
      </w:r>
      <w:r>
        <w:rPr>
          <w:rFonts w:ascii="宋体" w:eastAsia="宋体" w:hAnsi="宋体" w:cs="宋体" w:hint="eastAsia"/>
          <w:color w:val="000000"/>
          <w:sz w:val="21"/>
          <w:szCs w:val="21"/>
          <w:lang w:eastAsia="zh-CN"/>
        </w:rPr>
        <w:t>、具有独立法人资格或具有独立承担民事责任的能力的其它组织（提供营业执照或事业单位法人证等法人证明扫描件，原件备查）。</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2、参与本项目投标前三年内，在经营活动中没有重大违法记录（由供应商在《龙华区教育局自行采购投标及履约承诺函》中作出声明）。</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3、参与本项目政府采购活动时不存在被有关部门禁止参与政府采购活动且在有效期内的情况（由供应商在《龙华区教育局自行采购投标及履约承诺函》中作出声明）。</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4、具备《中华人民共和国政府采购法》第二十二条第一款的条件（由供应商在《龙华区教育局自行采购投标及履约承诺函》中作出声明）。</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5、参与本项目政府采购活动时未被列入失信被执行人、重大税收违法失信主体、政府采购严重违法失信行为记录名单（由供应商在《龙华区教育局自行采购投标及履约承诺函》中作出承诺）。</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备注：“信用中国”中“信用服务”栏的“重大税收违法失信主体”“失信被执行人”“中国政府采购网”中的“政府采购严重违法失信行为记录名单”， “深圳信用网”以及 “深圳市政府采购监管网”为供应商信用信息的查询渠道，相关信息以开标当日的查询结果为准。</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6、投标人不存在《深圳市财政局政府采购供应商信用信息管理办法》（深财规〔2023〕3 号）列明的严重违法失信行为（由供应商在</w:t>
      </w:r>
      <w:r>
        <w:rPr>
          <w:rFonts w:ascii="宋体" w:eastAsia="宋体" w:hAnsi="宋体" w:cs="宋体" w:hint="eastAsia"/>
          <w:bCs/>
          <w:color w:val="000000"/>
          <w:sz w:val="21"/>
          <w:szCs w:val="21"/>
          <w:lang w:eastAsia="zh-CN"/>
        </w:rPr>
        <w:t>《龙华区教育局自行采购投标及履约承诺函》</w:t>
      </w:r>
      <w:r>
        <w:rPr>
          <w:rFonts w:ascii="宋体" w:eastAsia="宋体" w:hAnsi="宋体" w:cs="宋体" w:hint="eastAsia"/>
          <w:color w:val="000000"/>
          <w:sz w:val="21"/>
          <w:szCs w:val="21"/>
          <w:lang w:eastAsia="zh-CN"/>
        </w:rPr>
        <w:t>中作出声明）。</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7、为采购项目提供整体设计、规范编制或者项目管理、监理、检测等服务的供应商，不得再参加该采购项目同一合同项下的其他采购活动。（由供应商在《龙华区教育局自行采购投标及履约承诺函》中作出承诺）。</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8、单位负责人为同一人或者存在直接控股、管理关系的不同供应商，不得参加同一合同项下的政府采购活动。（由供应商在《龙华区教育局自行采购投标及履约承诺函》中作出承诺）。</w:t>
      </w:r>
    </w:p>
    <w:p>
      <w:pPr>
        <w:spacing w:after="60" w:afterLines="25" w:line="300" w:lineRule="auto"/>
        <w:rPr>
          <w:rFonts w:ascii="宋体" w:eastAsia="宋体" w:hAnsi="宋体" w:cs="宋体" w:hint="eastAsia"/>
          <w:b/>
          <w:bCs/>
          <w:color w:val="000000"/>
          <w:sz w:val="21"/>
          <w:szCs w:val="21"/>
          <w:lang w:eastAsia="zh-CN"/>
        </w:rPr>
      </w:pPr>
      <w:r>
        <w:rPr>
          <w:rFonts w:ascii="宋体" w:eastAsia="宋体" w:hAnsi="宋体" w:cs="宋体" w:hint="eastAsia"/>
          <w:b/>
          <w:bCs/>
          <w:color w:val="000000"/>
          <w:sz w:val="21"/>
          <w:szCs w:val="21"/>
          <w:lang w:eastAsia="zh-CN"/>
        </w:rPr>
        <w:t>9、本项目属于专门面向中小微企业采购项目，非中小微企业不得投标。（需提供符合要求的《中小微企业声明函》格式详见招标文件（按本项目规定的所属行业填写），其中企业类型为中型、小型或微型；残疾人福利单位、监狱企业视同小型、微型企业，提供残疾人福利性单位声明函或监狱企业声明函及监狱企业证明文件）。</w:t>
      </w:r>
    </w:p>
    <w:p>
      <w:pPr>
        <w:spacing w:after="60" w:afterLines="25" w:line="300" w:lineRule="auto"/>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t>10、本项目不接受联合体投标，不接受进口产品参与投标，不允许转包、分包。（由供应商在《龙华区教育局自行采购投标及履约承诺函》中作出承诺）。</w:t>
      </w:r>
    </w:p>
    <w:p>
      <w:pPr>
        <w:widowControl w:val="0"/>
        <w:spacing w:after="60" w:afterLines="25"/>
        <w:jc w:val="center"/>
        <w:rPr>
          <w:rFonts w:ascii="宋体" w:eastAsia="宋体" w:hAnsi="宋体" w:cs="宋体" w:hint="eastAsia"/>
          <w:sz w:val="21"/>
          <w:szCs w:val="21"/>
          <w:lang w:eastAsia="zh-CN"/>
        </w:rPr>
      </w:pPr>
      <w:r>
        <w:rPr>
          <w:rFonts w:ascii="宋体" w:eastAsia="宋体" w:hAnsi="宋体" w:cs="宋体" w:hint="eastAsia"/>
          <w:color w:val="000000"/>
          <w:sz w:val="21"/>
          <w:szCs w:val="21"/>
          <w:lang w:eastAsia="zh-CN"/>
        </w:rPr>
        <w:t>11、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w:t>
      </w:r>
      <w:r>
        <w:rPr>
          <w:rFonts w:ascii="宋体" w:eastAsia="宋体" w:hAnsi="宋体" w:cs="宋体" w:hint="eastAsia"/>
          <w:b/>
          <w:bCs/>
          <w:color w:val="000000"/>
          <w:sz w:val="21"/>
          <w:szCs w:val="21"/>
          <w:lang w:eastAsia="zh-CN"/>
        </w:rPr>
        <w:t>提供《供应商基本情况表》及相关人员近3个月内的任意一个月社保缴交凭证证明（由供应商填写《供应商基本情况表》相关信息）（社保放至“投标人认为需要加以说明的其他内容”即可）。</w:t>
      </w:r>
    </w:p>
    <w:p>
      <w:pPr>
        <w:widowControl w:val="0"/>
        <w:spacing w:after="60" w:afterLines="25"/>
        <w:jc w:val="center"/>
        <w:rPr>
          <w:rFonts w:ascii="Calibri" w:eastAsia="宋体" w:hAnsi="Calibri"/>
          <w:b/>
          <w:color w:val="FF0000"/>
          <w:kern w:val="2"/>
          <w:sz w:val="30"/>
          <w:szCs w:val="30"/>
          <w:lang w:eastAsia="zh-CN"/>
        </w:rPr>
      </w:pPr>
      <w:r>
        <w:rPr>
          <w:rFonts w:ascii="Arial" w:eastAsia="宋体" w:hAnsi="Arial" w:hint="eastAsia"/>
          <w:b/>
          <w:color w:val="FF0000"/>
          <w:kern w:val="2"/>
          <w:sz w:val="30"/>
          <w:szCs w:val="30"/>
          <w:lang w:eastAsia="zh-CN"/>
        </w:rPr>
        <w:t>完整公告内容以网站公布信息为准，详见：深圳政府采购自行采购系统</w:t>
      </w:r>
      <w:r>
        <w:rPr>
          <w:rFonts w:ascii="Calibri" w:eastAsia="宋体" w:hAnsi="Calibri" w:cstheme="minorBidi" w:hint="eastAsia"/>
          <w:b/>
          <w:color w:val="FF0000"/>
          <w:kern w:val="2"/>
          <w:sz w:val="30"/>
          <w:szCs w:val="30"/>
          <w:lang w:eastAsia="zh-CN"/>
        </w:rPr>
        <w:t>网（https://zxcg.szggzy.com/home/index.html）</w:t>
      </w:r>
    </w:p>
    <w:p>
      <w:pPr>
        <w:widowControl w:val="0"/>
        <w:spacing w:after="60" w:afterLines="25"/>
        <w:jc w:val="both"/>
        <w:rPr>
          <w:rFonts w:ascii="Arial" w:eastAsia="宋体" w:hAnsi="Arial"/>
          <w:b/>
          <w:color w:val="FF0000"/>
          <w:kern w:val="2"/>
          <w:sz w:val="30"/>
          <w:szCs w:val="30"/>
          <w:lang w:eastAsia="zh-CN"/>
        </w:rPr>
      </w:pPr>
    </w:p>
    <w:p>
      <w:pPr>
        <w:widowControl w:val="0"/>
        <w:spacing w:after="60" w:afterLines="25"/>
        <w:jc w:val="both"/>
        <w:rPr>
          <w:rFonts w:ascii="Arial" w:eastAsia="宋体" w:hAnsi="Arial"/>
          <w:b/>
          <w:color w:val="FF0000"/>
          <w:kern w:val="2"/>
          <w:sz w:val="30"/>
          <w:szCs w:val="30"/>
          <w:lang w:eastAsia="zh-CN"/>
        </w:rPr>
      </w:pPr>
    </w:p>
    <w:p>
      <w:pPr>
        <w:keepNext/>
        <w:keepLines/>
        <w:widowControl w:val="0"/>
        <w:spacing w:before="260" w:after="260" w:line="416" w:lineRule="auto"/>
        <w:jc w:val="center"/>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第二章</w:t>
      </w:r>
      <w:bookmarkStart w:id="4" w:name="_Hlk71926094"/>
      <w:r>
        <w:rPr>
          <w:rFonts w:ascii="宋体" w:eastAsia="宋体" w:hAnsi="宋体" w:hint="eastAsia"/>
          <w:b/>
          <w:bCs/>
          <w:sz w:val="28"/>
          <w:szCs w:val="28"/>
          <w:lang w:eastAsia="zh-CN"/>
        </w:rPr>
        <w:t xml:space="preserve">  对通用条款的补充内容及其他关键信息</w:t>
      </w:r>
      <w:bookmarkEnd w:id="4"/>
    </w:p>
    <w:p>
      <w:pPr>
        <w:keepNext/>
        <w:keepLines/>
        <w:widowControl w:val="0"/>
        <w:adjustRightInd w:val="0"/>
        <w:spacing w:before="120" w:beforeLines="50" w:after="120" w:afterLines="50"/>
        <w:jc w:val="center"/>
        <w:textAlignment w:val="baseline"/>
        <w:outlineLvl w:val="2"/>
        <w:rPr>
          <w:rFonts w:ascii="宋体" w:eastAsia="宋体" w:hAnsi="宋体" w:hint="eastAsia"/>
          <w:b/>
          <w:bCs/>
          <w:lang w:eastAsia="zh-CN"/>
        </w:rPr>
      </w:pPr>
      <w:bookmarkStart w:id="5" w:name="_Toc60631620"/>
      <w:bookmarkStart w:id="6" w:name="_Toc101074876"/>
      <w:bookmarkStart w:id="7" w:name="_Toc73521635"/>
      <w:bookmarkStart w:id="8" w:name="_Toc73518117"/>
      <w:bookmarkStart w:id="9" w:name="_Toc73521547"/>
      <w:bookmarkStart w:id="10" w:name="_Toc100052364"/>
      <w:bookmarkStart w:id="11" w:name="_Toc73517639"/>
      <w:bookmarkStart w:id="12" w:name="_Toc60560625"/>
      <w:r>
        <w:rPr>
          <w:rFonts w:ascii="宋体" w:eastAsia="宋体" w:hAnsi="宋体" w:hint="eastAsia"/>
          <w:b/>
          <w:bCs/>
          <w:lang w:eastAsia="zh-CN"/>
        </w:rPr>
        <w:t>一、对通用条款的补充内容</w:t>
      </w:r>
    </w:p>
    <w:tbl>
      <w:tblPr>
        <w:tblStyle w:val="TableNorm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
      <w:tblGrid>
        <w:gridCol w:w="922"/>
        <w:gridCol w:w="1639"/>
        <w:gridCol w:w="6295"/>
      </w:tblGrid>
      <w:tr>
        <w:tblPrEx>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b/>
                <w:bCs/>
                <w:kern w:val="2"/>
                <w:sz w:val="21"/>
                <w:szCs w:val="21"/>
                <w:lang w:eastAsia="zh-CN"/>
              </w:rPr>
            </w:pPr>
            <w:r>
              <w:rPr>
                <w:rFonts w:ascii="宋体" w:eastAsia="宋体" w:hAnsi="宋体" w:cstheme="minorBidi" w:hint="eastAsia"/>
                <w:b/>
                <w:bCs/>
                <w:kern w:val="2"/>
                <w:sz w:val="21"/>
                <w:szCs w:val="21"/>
                <w:lang w:eastAsia="zh-CN"/>
              </w:rPr>
              <w:t>通用条款序号</w:t>
            </w:r>
          </w:p>
        </w:tc>
        <w:tc>
          <w:tcPr>
            <w:tcW w:w="1755" w:type="dxa"/>
            <w:vAlign w:val="center"/>
          </w:tcPr>
          <w:p>
            <w:pPr>
              <w:widowControl w:val="0"/>
              <w:jc w:val="center"/>
              <w:rPr>
                <w:rFonts w:ascii="宋体" w:eastAsia="宋体" w:hAnsi="宋体" w:hint="eastAsia"/>
                <w:b/>
                <w:bCs/>
                <w:kern w:val="2"/>
                <w:sz w:val="21"/>
                <w:szCs w:val="21"/>
                <w:lang w:eastAsia="zh-CN"/>
              </w:rPr>
            </w:pPr>
            <w:r>
              <w:rPr>
                <w:rFonts w:ascii="宋体" w:eastAsia="宋体" w:hAnsi="宋体" w:cstheme="minorBidi" w:hint="eastAsia"/>
                <w:b/>
                <w:bCs/>
                <w:kern w:val="2"/>
                <w:sz w:val="21"/>
                <w:szCs w:val="21"/>
                <w:lang w:eastAsia="zh-CN"/>
              </w:rPr>
              <w:t>涉及事项</w:t>
            </w:r>
          </w:p>
        </w:tc>
        <w:tc>
          <w:tcPr>
            <w:tcW w:w="6795" w:type="dxa"/>
            <w:vAlign w:val="center"/>
          </w:tcPr>
          <w:p>
            <w:pPr>
              <w:widowControl w:val="0"/>
              <w:jc w:val="center"/>
              <w:rPr>
                <w:rFonts w:ascii="宋体" w:eastAsia="宋体" w:hAnsi="宋体" w:hint="eastAsia"/>
                <w:b/>
                <w:bCs/>
                <w:kern w:val="2"/>
                <w:sz w:val="21"/>
                <w:szCs w:val="21"/>
                <w:lang w:eastAsia="zh-CN"/>
              </w:rPr>
            </w:pPr>
            <w:r>
              <w:rPr>
                <w:rFonts w:ascii="宋体" w:eastAsia="宋体" w:hAnsi="宋体" w:cstheme="minorBidi" w:hint="eastAsia"/>
                <w:b/>
                <w:bCs/>
                <w:kern w:val="2"/>
                <w:sz w:val="21"/>
                <w:szCs w:val="21"/>
                <w:lang w:eastAsia="zh-CN"/>
              </w:rPr>
              <w:t>具体补充内容</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3</w:t>
            </w:r>
            <w:r>
              <w:rPr>
                <w:rFonts w:ascii="宋体" w:eastAsia="宋体" w:hAnsi="宋体" w:cstheme="minorBidi"/>
                <w:kern w:val="2"/>
                <w:sz w:val="21"/>
                <w:szCs w:val="21"/>
                <w:lang w:eastAsia="zh-CN"/>
              </w:rPr>
              <w:t>.1</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采购人</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hint="eastAsia"/>
                <w:kern w:val="2"/>
                <w:sz w:val="21"/>
                <w:szCs w:val="21"/>
                <w:lang w:eastAsia="zh-CN"/>
              </w:rPr>
              <w:t>深圳市龙华区民治幼教集团博誉府幼儿园</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3</w:t>
            </w:r>
            <w:r>
              <w:rPr>
                <w:rFonts w:ascii="宋体" w:eastAsia="宋体" w:hAnsi="宋体" w:cstheme="minorBidi"/>
                <w:kern w:val="2"/>
                <w:sz w:val="21"/>
                <w:szCs w:val="21"/>
                <w:lang w:eastAsia="zh-CN"/>
              </w:rPr>
              <w:t>.2</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社会代理机构</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Arial" w:hint="eastAsia"/>
                <w:kern w:val="2"/>
                <w:sz w:val="21"/>
                <w:szCs w:val="21"/>
                <w:lang w:eastAsia="zh-CN"/>
              </w:rPr>
              <w:t>本文件所述的“</w:t>
            </w:r>
            <w:r>
              <w:rPr>
                <w:rFonts w:ascii="宋体" w:eastAsia="宋体" w:hAnsi="宋体" w:cstheme="minorBidi" w:hint="eastAsia"/>
                <w:kern w:val="2"/>
                <w:sz w:val="21"/>
                <w:szCs w:val="21"/>
                <w:lang w:eastAsia="zh-CN"/>
              </w:rPr>
              <w:t>社会代理机构</w:t>
            </w:r>
            <w:r>
              <w:rPr>
                <w:rFonts w:ascii="宋体" w:eastAsia="宋体" w:hAnsi="宋体" w:cs="Arial" w:hint="eastAsia"/>
                <w:kern w:val="2"/>
                <w:sz w:val="21"/>
                <w:szCs w:val="21"/>
                <w:lang w:eastAsia="zh-CN"/>
              </w:rPr>
              <w:t>”</w:t>
            </w:r>
            <w:r>
              <w:rPr>
                <w:rFonts w:ascii="宋体" w:eastAsia="宋体" w:hAnsi="宋体" w:cs="Arial"/>
                <w:kern w:val="2"/>
                <w:sz w:val="21"/>
                <w:szCs w:val="21"/>
                <w:lang w:eastAsia="zh-CN"/>
              </w:rPr>
              <w:t>指</w:t>
            </w:r>
            <w:r>
              <w:rPr>
                <w:rFonts w:ascii="宋体" w:eastAsia="宋体" w:hAnsi="宋体" w:cs="Arial" w:hint="eastAsia"/>
                <w:b/>
                <w:bCs/>
                <w:kern w:val="2"/>
                <w:sz w:val="21"/>
                <w:szCs w:val="21"/>
                <w:lang w:eastAsia="zh-CN"/>
              </w:rPr>
              <w:t>深圳市千里招标代理有限公司</w:t>
            </w:r>
            <w:r>
              <w:rPr>
                <w:rFonts w:ascii="宋体" w:eastAsia="宋体" w:hAnsi="宋体" w:hint="eastAsia"/>
                <w:kern w:val="2"/>
                <w:sz w:val="21"/>
                <w:szCs w:val="21"/>
                <w:lang w:eastAsia="zh-CN"/>
              </w:rPr>
              <w:t>。</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5</w:t>
            </w:r>
            <w:r>
              <w:rPr>
                <w:rFonts w:ascii="宋体" w:eastAsia="宋体" w:hAnsi="宋体" w:cstheme="minorBidi"/>
                <w:kern w:val="2"/>
                <w:sz w:val="21"/>
                <w:szCs w:val="21"/>
                <w:lang w:eastAsia="zh-CN"/>
              </w:rPr>
              <w:t>.3</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联合体投标</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hint="eastAsia"/>
                <w:kern w:val="2"/>
                <w:sz w:val="21"/>
                <w:szCs w:val="21"/>
                <w:lang w:eastAsia="zh-CN"/>
              </w:rPr>
              <w:t>不接受</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9</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踏勘现场</w:t>
            </w:r>
          </w:p>
        </w:tc>
        <w:tc>
          <w:tcPr>
            <w:tcW w:w="6795" w:type="dxa"/>
            <w:vAlign w:val="center"/>
          </w:tcPr>
          <w:p>
            <w:pPr>
              <w:widowControl w:val="0"/>
              <w:rPr>
                <w:rFonts w:ascii="宋体" w:eastAsia="宋体" w:hAnsi="宋体" w:hint="eastAsia"/>
                <w:kern w:val="2"/>
                <w:sz w:val="21"/>
                <w:szCs w:val="21"/>
                <w:highlight w:val="yellow"/>
                <w:lang w:eastAsia="zh-CN"/>
              </w:rPr>
            </w:pPr>
            <w:r>
              <w:rPr>
                <w:rFonts w:ascii="宋体" w:eastAsia="宋体" w:hAnsi="宋体" w:hint="eastAsia"/>
                <w:kern w:val="2"/>
                <w:sz w:val="21"/>
                <w:szCs w:val="21"/>
                <w:lang w:eastAsia="zh-CN"/>
              </w:rPr>
              <w:t>不组织</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w:t>
            </w:r>
            <w:r>
              <w:rPr>
                <w:rFonts w:ascii="宋体" w:eastAsia="宋体" w:hAnsi="宋体" w:cstheme="minorBidi"/>
                <w:kern w:val="2"/>
                <w:sz w:val="21"/>
                <w:szCs w:val="21"/>
                <w:lang w:eastAsia="zh-CN"/>
              </w:rPr>
              <w:t>0</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标前会议</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hint="eastAsia"/>
                <w:kern w:val="2"/>
                <w:sz w:val="21"/>
                <w:szCs w:val="21"/>
                <w:lang w:eastAsia="zh-CN"/>
              </w:rPr>
              <w:t>不组织</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w:t>
            </w:r>
            <w:r>
              <w:rPr>
                <w:rFonts w:ascii="宋体" w:eastAsia="宋体" w:hAnsi="宋体" w:cstheme="minorBidi"/>
                <w:kern w:val="2"/>
                <w:sz w:val="21"/>
                <w:szCs w:val="21"/>
                <w:lang w:eastAsia="zh-CN"/>
              </w:rPr>
              <w:t>2</w:t>
            </w:r>
            <w:r>
              <w:rPr>
                <w:rFonts w:ascii="宋体" w:eastAsia="宋体" w:hAnsi="宋体" w:cstheme="minorBidi" w:hint="eastAsia"/>
                <w:kern w:val="2"/>
                <w:sz w:val="21"/>
                <w:szCs w:val="21"/>
                <w:lang w:eastAsia="zh-CN"/>
              </w:rPr>
              <w:t>/1</w:t>
            </w:r>
            <w:r>
              <w:rPr>
                <w:rFonts w:ascii="宋体" w:eastAsia="宋体" w:hAnsi="宋体" w:cstheme="minorBidi"/>
                <w:kern w:val="2"/>
                <w:sz w:val="21"/>
                <w:szCs w:val="21"/>
                <w:lang w:eastAsia="zh-CN"/>
              </w:rPr>
              <w:t>3</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招标文件的澄清和修改</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不晚于投标截止日三日前，投标人有义务在招标期间在采购代理机构网站浏览与本项目有关的澄清和修改信息。</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2</w:t>
            </w:r>
            <w:r>
              <w:rPr>
                <w:rFonts w:ascii="宋体" w:eastAsia="宋体" w:hAnsi="宋体" w:cstheme="minorBidi"/>
                <w:kern w:val="2"/>
                <w:sz w:val="21"/>
                <w:szCs w:val="21"/>
                <w:lang w:eastAsia="zh-CN"/>
              </w:rPr>
              <w:t>0</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投标有效期</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120日历天（从投标截止之日算起）</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2</w:t>
            </w:r>
            <w:r>
              <w:rPr>
                <w:rFonts w:ascii="宋体" w:eastAsia="宋体" w:hAnsi="宋体" w:cstheme="minorBidi"/>
                <w:kern w:val="2"/>
                <w:sz w:val="21"/>
                <w:szCs w:val="21"/>
                <w:lang w:eastAsia="zh-CN"/>
              </w:rPr>
              <w:t>2</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投标人的替代方案</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不接受</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2</w:t>
            </w:r>
            <w:r>
              <w:rPr>
                <w:rFonts w:ascii="宋体" w:eastAsia="宋体" w:hAnsi="宋体" w:cstheme="minorBidi"/>
                <w:kern w:val="2"/>
                <w:sz w:val="21"/>
                <w:szCs w:val="21"/>
                <w:lang w:eastAsia="zh-CN"/>
              </w:rPr>
              <w:t>5</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投标文件的大小</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投标文件大小不得超过100MB</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2</w:t>
            </w:r>
            <w:r>
              <w:rPr>
                <w:rFonts w:ascii="宋体" w:eastAsia="宋体" w:hAnsi="宋体" w:cstheme="minorBidi"/>
                <w:kern w:val="2"/>
                <w:sz w:val="21"/>
                <w:szCs w:val="21"/>
                <w:lang w:eastAsia="zh-CN"/>
              </w:rPr>
              <w:t>6</w:t>
            </w:r>
          </w:p>
        </w:tc>
        <w:tc>
          <w:tcPr>
            <w:tcW w:w="1755" w:type="dxa"/>
            <w:vAlign w:val="center"/>
          </w:tcPr>
          <w:p>
            <w:pPr>
              <w:widowControl w:val="0"/>
              <w:jc w:val="center"/>
              <w:rPr>
                <w:rFonts w:ascii="宋体" w:eastAsia="宋体" w:hAnsi="宋体" w:hint="eastAsia"/>
                <w:kern w:val="2"/>
                <w:sz w:val="21"/>
                <w:szCs w:val="21"/>
                <w:lang w:eastAsia="zh-CN"/>
              </w:rPr>
            </w:pPr>
            <w:bookmarkStart w:id="13" w:name="_Hlk71664860"/>
            <w:r>
              <w:rPr>
                <w:rFonts w:ascii="宋体" w:eastAsia="宋体" w:hAnsi="宋体" w:cstheme="minorBidi" w:hint="eastAsia"/>
                <w:kern w:val="2"/>
                <w:sz w:val="21"/>
                <w:szCs w:val="21"/>
                <w:lang w:eastAsia="zh-CN"/>
              </w:rPr>
              <w:t>样品、现场演示、方案讲解</w:t>
            </w:r>
            <w:bookmarkEnd w:id="13"/>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“无”</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3</w:t>
            </w:r>
            <w:r>
              <w:rPr>
                <w:rFonts w:ascii="宋体" w:eastAsia="宋体" w:hAnsi="宋体" w:cstheme="minorBidi"/>
                <w:kern w:val="2"/>
                <w:sz w:val="21"/>
                <w:szCs w:val="21"/>
                <w:lang w:eastAsia="zh-CN"/>
              </w:rPr>
              <w:t>7</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评审方法</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b/>
                <w:bCs/>
                <w:kern w:val="2"/>
                <w:sz w:val="21"/>
                <w:szCs w:val="21"/>
                <w:lang w:eastAsia="zh-CN"/>
              </w:rPr>
              <w:t>综合评分法</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3</w:t>
            </w:r>
            <w:r>
              <w:rPr>
                <w:rFonts w:ascii="宋体" w:eastAsia="宋体" w:hAnsi="宋体" w:cstheme="minorBidi"/>
                <w:kern w:val="2"/>
                <w:sz w:val="21"/>
                <w:szCs w:val="21"/>
                <w:lang w:eastAsia="zh-CN"/>
              </w:rPr>
              <w:t>8</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定标方法</w:t>
            </w:r>
          </w:p>
        </w:tc>
        <w:tc>
          <w:tcPr>
            <w:tcW w:w="6795" w:type="dxa"/>
            <w:vAlign w:val="center"/>
          </w:tcPr>
          <w:p>
            <w:pPr>
              <w:widowControl w:val="0"/>
              <w:rPr>
                <w:rFonts w:ascii="宋体" w:eastAsia="宋体" w:hAnsi="宋体" w:hint="eastAsia"/>
                <w:b/>
                <w:bCs/>
                <w:kern w:val="2"/>
                <w:sz w:val="21"/>
                <w:szCs w:val="21"/>
                <w:lang w:eastAsia="zh-CN"/>
              </w:rPr>
            </w:pPr>
            <w:r>
              <w:rPr>
                <w:rFonts w:ascii="宋体" w:eastAsia="宋体" w:hAnsi="宋体" w:hint="eastAsia"/>
                <w:b/>
                <w:bCs/>
                <w:kern w:val="2"/>
                <w:sz w:val="21"/>
                <w:szCs w:val="21"/>
                <w:lang w:eastAsia="zh-CN"/>
              </w:rPr>
              <w:t>非评定分离</w:t>
            </w:r>
          </w:p>
        </w:tc>
      </w:tr>
      <w:tr>
        <w:tblPrEx>
          <w:tblW w:w="5000" w:type="pct"/>
          <w:jc w:val="center"/>
          <w:tblLayout w:type="fixed"/>
          <w:tblCellMar>
            <w:top w:w="0" w:type="dxa"/>
            <w:left w:w="108" w:type="dxa"/>
            <w:bottom w:w="0" w:type="dxa"/>
            <w:right w:w="108" w:type="dxa"/>
          </w:tblCellMar>
        </w:tblPrEx>
        <w:trPr>
          <w:cantSplit/>
          <w:trHeight w:val="20"/>
          <w:jc w:val="center"/>
        </w:trPr>
        <w:tc>
          <w:tcPr>
            <w:tcW w:w="978"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4</w:t>
            </w:r>
            <w:r>
              <w:rPr>
                <w:rFonts w:ascii="宋体" w:eastAsia="宋体" w:hAnsi="宋体" w:cstheme="minorBidi"/>
                <w:kern w:val="2"/>
                <w:sz w:val="21"/>
                <w:szCs w:val="21"/>
                <w:lang w:eastAsia="zh-CN"/>
              </w:rPr>
              <w:t>6</w:t>
            </w:r>
          </w:p>
        </w:tc>
        <w:tc>
          <w:tcPr>
            <w:tcW w:w="1755" w:type="dxa"/>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履约担保</w:t>
            </w:r>
          </w:p>
        </w:tc>
        <w:tc>
          <w:tcPr>
            <w:tcW w:w="6795" w:type="dxa"/>
            <w:vAlign w:val="center"/>
          </w:tcPr>
          <w:p>
            <w:pPr>
              <w:widowControl w:val="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不需要</w:t>
            </w:r>
          </w:p>
        </w:tc>
      </w:tr>
      <w:bookmarkEnd w:id="5"/>
      <w:bookmarkEnd w:id="6"/>
      <w:bookmarkEnd w:id="7"/>
      <w:bookmarkEnd w:id="8"/>
      <w:bookmarkEnd w:id="9"/>
      <w:bookmarkEnd w:id="10"/>
      <w:bookmarkEnd w:id="11"/>
      <w:bookmarkEnd w:id="12"/>
    </w:tbl>
    <w:p>
      <w:pPr>
        <w:jc w:val="center"/>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备注：本表是通用条款相关条款的补充和明确，如与通用条款内容相冲突的，以本表为准。</w:t>
      </w:r>
    </w:p>
    <w:p>
      <w:pPr>
        <w:keepNext/>
        <w:keepLines/>
        <w:widowControl w:val="0"/>
        <w:adjustRightInd w:val="0"/>
        <w:spacing w:before="120" w:beforeLines="50" w:after="120" w:afterLines="50"/>
        <w:jc w:val="center"/>
        <w:textAlignment w:val="baseline"/>
        <w:outlineLvl w:val="2"/>
        <w:rPr>
          <w:rFonts w:ascii="宋体" w:eastAsia="宋体" w:hAnsi="宋体" w:hint="eastAsia"/>
          <w:b/>
          <w:bCs/>
          <w:lang w:eastAsia="zh-CN"/>
        </w:rPr>
      </w:pPr>
      <w:r>
        <w:rPr>
          <w:rFonts w:ascii="宋体" w:eastAsia="宋体" w:hAnsi="宋体" w:hint="eastAsia"/>
          <w:b/>
          <w:bCs/>
          <w:lang w:eastAsia="zh-CN"/>
        </w:rPr>
        <w:t>二、其他关键信息</w:t>
      </w:r>
    </w:p>
    <w:p>
      <w:pPr>
        <w:widowControl w:val="0"/>
        <w:tabs>
          <w:tab w:val="left" w:pos="720"/>
        </w:tabs>
        <w:jc w:val="both"/>
        <w:rPr>
          <w:rFonts w:ascii="黑体" w:eastAsia="黑体" w:hAnsi="宋体" w:hint="eastAsia"/>
          <w:kern w:val="2"/>
          <w:szCs w:val="22"/>
          <w:lang w:eastAsia="zh-CN"/>
        </w:rPr>
      </w:pPr>
      <w:r>
        <w:rPr>
          <w:rFonts w:ascii="黑体" w:eastAsia="黑体" w:hAnsi="宋体" w:cstheme="minorBidi" w:hint="eastAsia"/>
          <w:kern w:val="2"/>
          <w:szCs w:val="22"/>
          <w:lang w:eastAsia="zh-CN"/>
        </w:rPr>
        <w:t>（一）</w:t>
      </w:r>
      <w:r>
        <w:rPr>
          <w:rFonts w:ascii="黑体" w:eastAsia="黑体" w:hAnsi="宋体" w:cstheme="minorBidi" w:hint="eastAsia"/>
          <w:bCs/>
          <w:kern w:val="2"/>
          <w:szCs w:val="22"/>
          <w:lang w:eastAsia="zh-CN"/>
        </w:rPr>
        <w:t>与“对通用条款的补充内容”章节相关的事项</w:t>
      </w:r>
    </w:p>
    <w:p>
      <w:pPr>
        <w:widowControl w:val="0"/>
        <w:tabs>
          <w:tab w:val="left" w:pos="720"/>
        </w:tabs>
        <w:jc w:val="both"/>
        <w:rPr>
          <w:rFonts w:ascii="黑体" w:eastAsia="黑体" w:hAnsi="宋体" w:hint="eastAsia"/>
          <w:bCs/>
          <w:kern w:val="2"/>
          <w:szCs w:val="22"/>
          <w:lang w:eastAsia="zh-CN"/>
        </w:rPr>
      </w:pPr>
      <w:r>
        <w:rPr>
          <w:rFonts w:ascii="黑体" w:eastAsia="黑体" w:hAnsi="宋体" w:cstheme="minorBidi" w:hint="eastAsia"/>
          <w:bCs/>
          <w:kern w:val="2"/>
          <w:szCs w:val="22"/>
          <w:lang w:eastAsia="zh-CN"/>
        </w:rPr>
        <w:t>1、评标定标信息</w:t>
      </w:r>
    </w:p>
    <w:p>
      <w:pPr>
        <w:widowControl w:val="0"/>
        <w:jc w:val="center"/>
        <w:rPr>
          <w:rFonts w:ascii="Calibri" w:eastAsia="宋体" w:hAnsi="Calibri"/>
          <w:kern w:val="2"/>
          <w:sz w:val="21"/>
          <w:szCs w:val="22"/>
          <w:lang w:eastAsia="zh-CN"/>
        </w:rPr>
      </w:pPr>
      <w:r>
        <w:rPr>
          <w:rFonts w:ascii="Calibri" w:eastAsia="宋体" w:hAnsi="Calibri" w:cstheme="minorBidi" w:hint="eastAsia"/>
          <w:b/>
          <w:kern w:val="2"/>
          <w:sz w:val="21"/>
          <w:szCs w:val="22"/>
          <w:lang w:eastAsia="zh-CN"/>
        </w:rPr>
        <w:t>非评定分离项目</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862"/>
        <w:gridCol w:w="4994"/>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125" w:type="dxa"/>
          </w:tcPr>
          <w:p>
            <w:pPr>
              <w:jc w:val="center"/>
              <w:rPr>
                <w:rFonts w:ascii="宋体" w:hAnsi="宋体" w:hint="eastAsia"/>
                <w:kern w:val="2"/>
                <w:sz w:val="21"/>
                <w:szCs w:val="22"/>
                <w:lang w:eastAsia="zh-CN"/>
              </w:rPr>
            </w:pPr>
            <w:r>
              <w:rPr>
                <w:rFonts w:ascii="宋体" w:hAnsi="宋体" w:cstheme="minorBidi" w:hint="eastAsia"/>
                <w:kern w:val="2"/>
                <w:sz w:val="21"/>
                <w:szCs w:val="22"/>
                <w:lang w:eastAsia="zh-CN"/>
              </w:rPr>
              <w:t>评标方法</w:t>
            </w:r>
          </w:p>
        </w:tc>
        <w:tc>
          <w:tcPr>
            <w:tcW w:w="5339" w:type="dxa"/>
          </w:tcPr>
          <w:p>
            <w:pPr>
              <w:jc w:val="center"/>
              <w:rPr>
                <w:rFonts w:ascii="宋体" w:hAnsi="宋体" w:hint="eastAsia"/>
                <w:kern w:val="2"/>
                <w:sz w:val="21"/>
                <w:szCs w:val="22"/>
                <w:lang w:eastAsia="zh-CN"/>
              </w:rPr>
            </w:pPr>
            <w:r>
              <w:rPr>
                <w:rFonts w:ascii="Wingdings" w:hAnsi="Wingdings" w:cstheme="minorBidi"/>
                <w:kern w:val="2"/>
                <w:sz w:val="21"/>
                <w:szCs w:val="22"/>
                <w:lang w:eastAsia="zh-CN"/>
              </w:rPr>
              <w:sym w:font="Wingdings" w:char="F0FE"/>
            </w:r>
            <w:r>
              <w:rPr>
                <w:rFonts w:ascii="宋体" w:hAnsi="宋体" w:cstheme="minorBidi" w:hint="eastAsia"/>
                <w:kern w:val="2"/>
                <w:sz w:val="21"/>
                <w:szCs w:val="22"/>
                <w:lang w:eastAsia="zh-CN"/>
              </w:rPr>
              <w:t>综合评分法</w:t>
            </w:r>
          </w:p>
        </w:tc>
      </w:tr>
      <w:tr>
        <w:tblPrEx>
          <w:tblW w:w="5000" w:type="pct"/>
          <w:tblInd w:w="0" w:type="dxa"/>
          <w:tblLayout w:type="fixed"/>
          <w:tblCellMar>
            <w:top w:w="0" w:type="dxa"/>
            <w:left w:w="108" w:type="dxa"/>
            <w:bottom w:w="0" w:type="dxa"/>
            <w:right w:w="108" w:type="dxa"/>
          </w:tblCellMar>
        </w:tblPrEx>
        <w:tc>
          <w:tcPr>
            <w:tcW w:w="4125" w:type="dxa"/>
          </w:tcPr>
          <w:p>
            <w:pPr>
              <w:jc w:val="center"/>
              <w:rPr>
                <w:rFonts w:ascii="宋体" w:hAnsi="宋体" w:hint="eastAsia"/>
                <w:kern w:val="2"/>
                <w:sz w:val="21"/>
                <w:szCs w:val="22"/>
                <w:lang w:eastAsia="zh-CN"/>
              </w:rPr>
            </w:pPr>
            <w:r>
              <w:rPr>
                <w:rFonts w:ascii="宋体" w:hAnsi="宋体" w:cstheme="minorBidi" w:hint="eastAsia"/>
                <w:kern w:val="2"/>
                <w:sz w:val="21"/>
                <w:szCs w:val="22"/>
                <w:lang w:eastAsia="zh-CN"/>
              </w:rPr>
              <w:t>候选中标供应商家数</w:t>
            </w:r>
          </w:p>
        </w:tc>
        <w:tc>
          <w:tcPr>
            <w:tcW w:w="5339" w:type="dxa"/>
          </w:tcPr>
          <w:p>
            <w:pPr>
              <w:jc w:val="center"/>
              <w:rPr>
                <w:rFonts w:ascii="宋体" w:hAnsi="宋体" w:hint="eastAsia"/>
                <w:kern w:val="2"/>
                <w:sz w:val="21"/>
                <w:szCs w:val="22"/>
                <w:lang w:eastAsia="zh-CN"/>
              </w:rPr>
            </w:pPr>
            <w:r>
              <w:rPr>
                <w:rFonts w:ascii="宋体" w:hAnsi="宋体" w:cstheme="minorBidi" w:hint="eastAsia"/>
                <w:kern w:val="2"/>
                <w:sz w:val="21"/>
                <w:szCs w:val="22"/>
                <w:lang w:eastAsia="zh-CN"/>
              </w:rPr>
              <w:t>3</w:t>
            </w:r>
          </w:p>
        </w:tc>
      </w:tr>
      <w:tr>
        <w:tblPrEx>
          <w:tblW w:w="5000" w:type="pct"/>
          <w:tblInd w:w="0" w:type="dxa"/>
          <w:tblLayout w:type="fixed"/>
          <w:tblCellMar>
            <w:top w:w="0" w:type="dxa"/>
            <w:left w:w="108" w:type="dxa"/>
            <w:bottom w:w="0" w:type="dxa"/>
            <w:right w:w="108" w:type="dxa"/>
          </w:tblCellMar>
        </w:tblPrEx>
        <w:tc>
          <w:tcPr>
            <w:tcW w:w="4125" w:type="dxa"/>
          </w:tcPr>
          <w:p>
            <w:pPr>
              <w:jc w:val="center"/>
              <w:rPr>
                <w:rFonts w:ascii="宋体" w:hAnsi="宋体" w:hint="eastAsia"/>
                <w:kern w:val="2"/>
                <w:sz w:val="21"/>
                <w:szCs w:val="22"/>
                <w:lang w:eastAsia="zh-CN"/>
              </w:rPr>
            </w:pPr>
            <w:r>
              <w:rPr>
                <w:rFonts w:ascii="宋体" w:hAnsi="宋体" w:cstheme="minorBidi" w:hint="eastAsia"/>
                <w:kern w:val="2"/>
                <w:sz w:val="21"/>
                <w:szCs w:val="22"/>
                <w:lang w:eastAsia="zh-CN"/>
              </w:rPr>
              <w:t>中标供应商家数</w:t>
            </w:r>
          </w:p>
        </w:tc>
        <w:tc>
          <w:tcPr>
            <w:tcW w:w="5339" w:type="dxa"/>
          </w:tcPr>
          <w:p>
            <w:pPr>
              <w:jc w:val="center"/>
              <w:rPr>
                <w:rFonts w:ascii="宋体" w:hAnsi="宋体" w:hint="eastAsia"/>
                <w:kern w:val="2"/>
                <w:sz w:val="21"/>
                <w:szCs w:val="22"/>
                <w:lang w:eastAsia="zh-CN"/>
              </w:rPr>
            </w:pPr>
            <w:r>
              <w:rPr>
                <w:rFonts w:ascii="宋体" w:hAnsi="宋体" w:cstheme="minorBidi" w:hint="eastAsia"/>
                <w:kern w:val="2"/>
                <w:sz w:val="21"/>
                <w:szCs w:val="22"/>
                <w:lang w:eastAsia="zh-CN"/>
              </w:rPr>
              <w:t>1</w:t>
            </w:r>
          </w:p>
        </w:tc>
      </w:tr>
    </w:tbl>
    <w:p>
      <w:pPr>
        <w:widowControl w:val="0"/>
        <w:tabs>
          <w:tab w:val="left" w:pos="720"/>
        </w:tabs>
        <w:spacing w:line="240" w:lineRule="atLeast"/>
        <w:jc w:val="both"/>
        <w:rPr>
          <w:rFonts w:ascii="宋体" w:eastAsia="宋体" w:hAnsi="宋体" w:cs="宋体" w:hint="eastAsia"/>
          <w:bCs/>
          <w:kern w:val="2"/>
          <w:sz w:val="21"/>
          <w:szCs w:val="21"/>
          <w:lang w:eastAsia="zh-CN"/>
        </w:rPr>
      </w:pPr>
    </w:p>
    <w:p>
      <w:pPr>
        <w:widowControl w:val="0"/>
        <w:tabs>
          <w:tab w:val="left" w:pos="720"/>
        </w:tabs>
        <w:jc w:val="both"/>
        <w:rPr>
          <w:rFonts w:ascii="黑体" w:eastAsia="黑体" w:hAnsi="宋体" w:hint="eastAsia"/>
          <w:kern w:val="2"/>
          <w:szCs w:val="22"/>
          <w:lang w:eastAsia="zh-CN"/>
        </w:rPr>
      </w:pPr>
      <w:r>
        <w:rPr>
          <w:rFonts w:ascii="黑体" w:eastAsia="黑体" w:hAnsi="宋体" w:cstheme="minorBidi" w:hint="eastAsia"/>
          <w:kern w:val="2"/>
          <w:szCs w:val="22"/>
          <w:lang w:eastAsia="zh-CN"/>
        </w:rPr>
        <w:t>（二）其他事项</w:t>
      </w:r>
    </w:p>
    <w:p>
      <w:pPr>
        <w:widowControl w:val="0"/>
        <w:tabs>
          <w:tab w:val="left" w:pos="720"/>
        </w:tabs>
        <w:jc w:val="both"/>
        <w:rPr>
          <w:rFonts w:ascii="黑体" w:eastAsia="黑体" w:hAnsi="宋体" w:hint="eastAsia"/>
          <w:kern w:val="2"/>
          <w:szCs w:val="22"/>
          <w:lang w:eastAsia="zh-CN"/>
        </w:rPr>
      </w:pPr>
      <w:r>
        <w:rPr>
          <w:rFonts w:ascii="黑体" w:eastAsia="黑体" w:hAnsi="宋体" w:cstheme="minorBidi" w:hint="eastAsia"/>
          <w:kern w:val="2"/>
          <w:szCs w:val="22"/>
          <w:lang w:eastAsia="zh-CN"/>
        </w:rPr>
        <w:t>1、关于享受优惠政策的主体、价格扣除比例及采购标的所属行业</w:t>
      </w:r>
    </w:p>
    <w:p>
      <w:pPr>
        <w:widowControl w:val="0"/>
        <w:ind w:firstLine="420" w:firstLineChars="200"/>
        <w:jc w:val="both"/>
        <w:rPr>
          <w:rFonts w:ascii="Calibri" w:eastAsia="宋体" w:hAnsi="Calibri"/>
          <w:kern w:val="2"/>
          <w:sz w:val="21"/>
          <w:szCs w:val="22"/>
          <w:lang w:eastAsia="zh-CN"/>
        </w:rPr>
      </w:pPr>
      <w:r>
        <w:rPr>
          <w:rFonts w:ascii="Calibri" w:eastAsia="宋体" w:hAnsi="Calibri" w:cstheme="minorBidi"/>
          <w:kern w:val="2"/>
          <w:sz w:val="21"/>
          <w:szCs w:val="22"/>
          <w:lang w:eastAsia="zh-CN"/>
        </w:rPr>
        <w:t>1</w:t>
      </w:r>
      <w:r>
        <w:rPr>
          <w:rFonts w:ascii="Calibri" w:eastAsia="宋体" w:hAnsi="Calibri" w:cstheme="minorBidi" w:hint="eastAsia"/>
          <w:kern w:val="2"/>
          <w:sz w:val="21"/>
          <w:szCs w:val="22"/>
          <w:lang w:eastAsia="zh-CN"/>
        </w:rPr>
        <w:t>、关于享受优惠政策的主体及价格扣除比例</w:t>
      </w:r>
    </w:p>
    <w:p>
      <w:pPr>
        <w:widowControl w:val="0"/>
        <w:ind w:firstLine="420" w:firstLineChars="20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非专门面向中小企业采购的项目，应执行价格扣除比例：投标人提供的货物（以招标文件用户需求书“货物需求明细”的“货物名称”一栏为准）全部均由优惠主体制造的，对其投标总价给予10%的扣除，用扣除后的价格参与评审。满足多项优惠政策的企业，不重复享受多项价格扣除政策。政策调整后价格仅作为评审依据，不作为中标价格。</w:t>
      </w:r>
    </w:p>
    <w:p>
      <w:pPr>
        <w:widowControl w:val="0"/>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2"/>
          <w:lang w:eastAsia="zh-CN"/>
        </w:rPr>
        <w:t>（2）</w:t>
      </w:r>
      <w:r>
        <w:rPr>
          <w:rFonts w:ascii="宋体" w:eastAsia="宋体" w:hAnsi="宋体" w:cs="宋体"/>
          <w:kern w:val="2"/>
          <w:sz w:val="21"/>
          <w:szCs w:val="21"/>
          <w:lang w:eastAsia="zh-CN"/>
        </w:rPr>
        <w:t>中小企业参加政府采购活动，应当按照国务院批准的《中小企业划型标准规定》（工信部联企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eastAsia="宋体" w:hAnsi="宋体" w:cs="宋体"/>
          <w:b/>
          <w:bCs/>
          <w:color w:val="FF0000"/>
          <w:kern w:val="2"/>
          <w:sz w:val="21"/>
          <w:szCs w:val="21"/>
          <w:lang w:eastAsia="zh-CN"/>
        </w:rPr>
        <w:t>《中小企业声明函》中相关企业所属行业应当与采购标的所属行业相一致。</w:t>
      </w:r>
      <w:r>
        <w:rPr>
          <w:rFonts w:ascii="Calibri" w:eastAsia="宋体" w:hAnsi="Calibri" w:cstheme="minorBidi" w:hint="eastAsia"/>
          <w:kern w:val="2"/>
          <w:sz w:val="21"/>
          <w:szCs w:val="21"/>
          <w:lang w:eastAsia="zh-CN"/>
        </w:rPr>
        <w:t>本项目采购标的（</w:t>
      </w:r>
      <w:r>
        <w:rPr>
          <w:rFonts w:eastAsia="宋体" w:hAnsi="Calibri" w:cstheme="minorBidi" w:hint="eastAsia"/>
          <w:kern w:val="2"/>
          <w:sz w:val="21"/>
          <w:szCs w:val="21"/>
          <w:lang w:eastAsia="zh-CN"/>
        </w:rPr>
        <w:t>服务需求</w:t>
      </w:r>
      <w:r>
        <w:rPr>
          <w:rFonts w:ascii="Calibri" w:eastAsia="宋体" w:hAnsi="Calibri" w:cstheme="minorBidi" w:hint="eastAsia"/>
          <w:kern w:val="2"/>
          <w:sz w:val="21"/>
          <w:szCs w:val="21"/>
          <w:lang w:eastAsia="zh-CN"/>
        </w:rPr>
        <w:t>）对应的中小企业划分标准所属行业为</w:t>
      </w:r>
      <w:r>
        <w:rPr>
          <w:rFonts w:ascii="Calibri" w:eastAsia="宋体" w:hAnsi="Calibri" w:cstheme="minorBidi" w:hint="eastAsia"/>
          <w:b/>
          <w:bCs/>
          <w:color w:val="FF0000"/>
          <w:kern w:val="2"/>
          <w:sz w:val="21"/>
          <w:szCs w:val="21"/>
          <w:u w:val="single"/>
          <w:lang w:eastAsia="zh-CN"/>
        </w:rPr>
        <w:t>工业</w:t>
      </w:r>
      <w:r>
        <w:rPr>
          <w:rFonts w:ascii="Calibri" w:eastAsia="宋体" w:hAnsi="Calibri" w:cstheme="minorBidi" w:hint="eastAsia"/>
          <w:kern w:val="2"/>
          <w:sz w:val="21"/>
          <w:szCs w:val="21"/>
          <w:lang w:eastAsia="zh-CN"/>
        </w:rPr>
        <w:t>。</w:t>
      </w:r>
    </w:p>
    <w:p>
      <w:pPr>
        <w:widowControl w:val="0"/>
        <w:ind w:firstLine="420" w:firstLineChars="200"/>
        <w:jc w:val="both"/>
        <w:rPr>
          <w:rFonts w:ascii="Calibri" w:eastAsia="宋体" w:hAnsi="Calibri"/>
          <w:kern w:val="2"/>
          <w:sz w:val="21"/>
          <w:szCs w:val="22"/>
          <w:lang w:eastAsia="zh-CN"/>
        </w:rPr>
      </w:pPr>
      <w:r>
        <w:rPr>
          <w:rFonts w:ascii="Calibri" w:eastAsia="宋体" w:hAnsi="Calibri" w:cstheme="minorBidi" w:hint="eastAsia"/>
          <w:kern w:val="2"/>
          <w:sz w:val="21"/>
          <w:szCs w:val="21"/>
          <w:lang w:eastAsia="zh-CN"/>
        </w:rPr>
        <w:t>（3）小型企业、微</w:t>
      </w:r>
      <w:r>
        <w:rPr>
          <w:rFonts w:ascii="Calibri" w:eastAsia="宋体" w:hAnsi="Calibri" w:cstheme="minorBidi" w:hint="eastAsia"/>
          <w:kern w:val="2"/>
          <w:sz w:val="21"/>
          <w:szCs w:val="22"/>
          <w:lang w:eastAsia="zh-CN"/>
        </w:rPr>
        <w:t>型企业、残疾人福利性单位作为优惠主体的认定资料为《中小企业声明函》、《残疾人福利性单位声明函》；监狱企业作为优惠主体的认定资料为省级以上监狱管理局、戒毒管理局出具的监狱企业证明文件（声明函样式详见采购文件相应章节）。</w:t>
      </w:r>
    </w:p>
    <w:p>
      <w:pPr>
        <w:widowControl w:val="0"/>
        <w:tabs>
          <w:tab w:val="left" w:pos="720"/>
        </w:tabs>
        <w:ind w:firstLine="420" w:firstLineChars="200"/>
        <w:jc w:val="both"/>
        <w:rPr>
          <w:rFonts w:ascii="黑体" w:eastAsia="黑体" w:hAnsi="宋体" w:hint="eastAsia"/>
          <w:kern w:val="2"/>
          <w:szCs w:val="22"/>
          <w:lang w:eastAsia="zh-CN"/>
        </w:rPr>
      </w:pPr>
      <w:r>
        <w:rPr>
          <w:rFonts w:ascii="Calibri" w:eastAsia="宋体" w:hAnsi="Calibri" w:cstheme="minorBidi" w:hint="eastAsia"/>
          <w:kern w:val="2"/>
          <w:sz w:val="21"/>
          <w:szCs w:val="22"/>
          <w:lang w:eastAsia="zh-CN"/>
        </w:rPr>
        <w:t>（5）享受价格扣除获得政府采购合同的，小微企业不得将合同分包给大中型企业。</w:t>
      </w:r>
    </w:p>
    <w:p>
      <w:pPr>
        <w:widowControl w:val="0"/>
        <w:spacing w:line="360" w:lineRule="auto"/>
        <w:jc w:val="both"/>
        <w:rPr>
          <w:rFonts w:ascii="宋体" w:eastAsia="宋体" w:hAnsi="宋体" w:cs="宋体" w:hint="eastAsia"/>
          <w:b/>
          <w:bCs/>
          <w:kern w:val="2"/>
          <w:sz w:val="21"/>
          <w:lang w:eastAsia="zh-CN"/>
        </w:rPr>
      </w:pPr>
      <w:r>
        <w:rPr>
          <w:rFonts w:ascii="宋体" w:eastAsia="宋体" w:hAnsi="宋体" w:cs="宋体" w:hint="eastAsia"/>
          <w:b/>
          <w:bCs/>
          <w:kern w:val="2"/>
          <w:sz w:val="21"/>
          <w:lang w:eastAsia="zh-CN"/>
        </w:rPr>
        <w:t>2.关于政府采购订单融资政策</w:t>
      </w:r>
    </w:p>
    <w:p>
      <w:pPr>
        <w:widowControl w:val="0"/>
        <w:ind w:firstLine="420" w:firstLineChars="200"/>
        <w:jc w:val="both"/>
        <w:rPr>
          <w:rFonts w:ascii="宋体" w:eastAsia="宋体" w:hAnsi="宋体" w:hint="eastAsia"/>
          <w:b/>
          <w:kern w:val="2"/>
          <w:sz w:val="21"/>
          <w:lang w:eastAsia="zh-CN"/>
        </w:rPr>
      </w:pPr>
      <w:r>
        <w:rPr>
          <w:rFonts w:eastAsia="宋体" w:hint="eastAsia"/>
          <w:kern w:val="2"/>
          <w:sz w:val="21"/>
          <w:lang w:eastAsia="zh-CN"/>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widowControl w:val="0"/>
        <w:tabs>
          <w:tab w:val="left" w:pos="720"/>
        </w:tabs>
        <w:jc w:val="both"/>
        <w:rPr>
          <w:rFonts w:ascii="黑体" w:eastAsia="黑体" w:hAnsi="宋体" w:hint="eastAsia"/>
          <w:kern w:val="2"/>
          <w:szCs w:val="22"/>
          <w:lang w:eastAsia="zh-CN"/>
        </w:rPr>
      </w:pPr>
    </w:p>
    <w:p>
      <w:pPr>
        <w:widowControl w:val="0"/>
        <w:tabs>
          <w:tab w:val="left" w:pos="720"/>
        </w:tabs>
        <w:jc w:val="both"/>
        <w:rPr>
          <w:rFonts w:ascii="宋体" w:eastAsia="宋体" w:hAnsi="宋体" w:hint="eastAsia"/>
          <w:b/>
          <w:bCs/>
          <w:kern w:val="2"/>
          <w:sz w:val="21"/>
          <w:szCs w:val="22"/>
          <w:lang w:eastAsia="zh-CN"/>
        </w:rPr>
      </w:pPr>
      <w:r>
        <w:rPr>
          <w:rFonts w:ascii="宋体" w:eastAsia="宋体" w:hAnsi="宋体" w:cstheme="minorBidi" w:hint="eastAsia"/>
          <w:b/>
          <w:bCs/>
          <w:kern w:val="2"/>
          <w:sz w:val="21"/>
          <w:szCs w:val="22"/>
          <w:lang w:eastAsia="zh-CN"/>
        </w:rPr>
        <w:t>3、</w:t>
      </w:r>
      <w:r>
        <w:rPr>
          <w:rFonts w:ascii="宋体" w:eastAsia="宋体" w:hAnsi="宋体" w:cstheme="minorBidi"/>
          <w:b/>
          <w:bCs/>
          <w:kern w:val="2"/>
          <w:sz w:val="21"/>
          <w:szCs w:val="22"/>
          <w:lang w:eastAsia="zh-CN"/>
        </w:rPr>
        <w:t>本项目将向中标</w:t>
      </w:r>
      <w:r>
        <w:rPr>
          <w:rFonts w:ascii="宋体" w:eastAsia="宋体" w:hAnsi="宋体" w:cstheme="minorBidi" w:hint="eastAsia"/>
          <w:b/>
          <w:bCs/>
          <w:kern w:val="2"/>
          <w:sz w:val="21"/>
          <w:szCs w:val="22"/>
          <w:lang w:eastAsia="zh-CN"/>
        </w:rPr>
        <w:t>（成交）</w:t>
      </w:r>
      <w:r>
        <w:rPr>
          <w:rFonts w:ascii="宋体" w:eastAsia="宋体" w:hAnsi="宋体" w:cstheme="minorBidi"/>
          <w:b/>
          <w:bCs/>
          <w:kern w:val="2"/>
          <w:sz w:val="21"/>
          <w:szCs w:val="22"/>
          <w:lang w:eastAsia="zh-CN"/>
        </w:rPr>
        <w:t>供应商收取代理服务费</w:t>
      </w:r>
      <w:r>
        <w:rPr>
          <w:rFonts w:ascii="宋体" w:eastAsia="宋体" w:hAnsi="宋体" w:cstheme="minorBidi" w:hint="eastAsia"/>
          <w:b/>
          <w:bCs/>
          <w:kern w:val="2"/>
          <w:sz w:val="21"/>
          <w:szCs w:val="22"/>
          <w:lang w:eastAsia="zh-CN"/>
        </w:rPr>
        <w:t>。</w:t>
      </w:r>
    </w:p>
    <w:p>
      <w:pPr>
        <w:ind w:firstLine="42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中标（成交）供应商在领取《中标（成交）通知书》之前须向深圳市千里招标代理有限公司交纳代理服务费。若因中标（成交）供应商交纳代理服务费所产生的时间影响到合同签订的，由中标（成交）供应商自行承担责任。代理服务费标准参照下列标准收取。本项目类型为</w:t>
      </w:r>
      <w:r>
        <w:rPr>
          <w:rFonts w:ascii="宋体" w:eastAsia="宋体" w:hAnsi="宋体" w:cstheme="minorBidi" w:hint="eastAsia"/>
          <w:b/>
          <w:bCs/>
          <w:kern w:val="2"/>
          <w:sz w:val="21"/>
          <w:szCs w:val="21"/>
          <w:u w:val="single"/>
          <w:lang w:eastAsia="zh-CN"/>
        </w:rPr>
        <w:t>货物采购</w:t>
      </w:r>
      <w:r>
        <w:rPr>
          <w:rFonts w:ascii="宋体" w:eastAsia="宋体" w:hAnsi="宋体" w:cstheme="minorBidi" w:hint="eastAsia"/>
          <w:kern w:val="2"/>
          <w:sz w:val="21"/>
          <w:szCs w:val="21"/>
          <w:lang w:eastAsia="zh-CN"/>
        </w:rPr>
        <w:t>：</w:t>
      </w:r>
    </w:p>
    <w:p>
      <w:pPr>
        <w:ind w:firstLine="420"/>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（1）代理服务费以《中标（成交）通知书》确定的中标（成交）金额作为计算基数，按差额定率累进法计算。</w:t>
      </w:r>
    </w:p>
    <w:p>
      <w:pPr>
        <w:wordWrap w:val="0"/>
        <w:autoSpaceDE w:val="0"/>
        <w:autoSpaceDN w:val="0"/>
        <w:spacing w:line="400" w:lineRule="exact"/>
        <w:ind w:right="808" w:firstLine="420" w:firstLineChars="200"/>
        <w:jc w:val="both"/>
        <w:rPr>
          <w:rFonts w:eastAsia="宋体"/>
          <w:lang w:eastAsia="zh-CN"/>
        </w:rPr>
      </w:pPr>
      <w:r>
        <w:rPr>
          <w:rFonts w:eastAsia="宋体" w:hint="eastAsia"/>
          <w:kern w:val="2"/>
          <w:sz w:val="21"/>
          <w:lang w:eastAsia="zh-CN"/>
        </w:rPr>
        <w:t>（2）</w:t>
      </w:r>
      <w:r>
        <w:rPr>
          <w:rFonts w:eastAsia="宋体" w:hint="eastAsia"/>
          <w:lang w:eastAsia="zh-CN"/>
        </w:rPr>
        <w:t>招标代理服务费</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根据深圳市财政委员会关于规范深圳市社会采购代理机构管理有关事项的补充通知》（深财购〔2018〕27号）文件相关规定，招标代理服务费以中标金额为基数、按差额定率累进法计算。具体计取费率标准如下表所示：</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203"/>
        <w:gridCol w:w="1914"/>
        <w:gridCol w:w="1914"/>
        <w:gridCol w:w="182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3085"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服费务类率型</w:t>
            </w:r>
          </w:p>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中标金额</w:t>
            </w:r>
          </w:p>
        </w:tc>
        <w:tc>
          <w:tcPr>
            <w:tcW w:w="1843"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货物采购</w:t>
            </w:r>
          </w:p>
        </w:tc>
        <w:tc>
          <w:tcPr>
            <w:tcW w:w="1843"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服务采购</w:t>
            </w:r>
          </w:p>
        </w:tc>
        <w:tc>
          <w:tcPr>
            <w:tcW w:w="1758"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工程采购</w:t>
            </w:r>
          </w:p>
        </w:tc>
      </w:tr>
      <w:tr>
        <w:tblPrEx>
          <w:tblW w:w="5000" w:type="pct"/>
          <w:tblInd w:w="0" w:type="dxa"/>
          <w:tblLayout w:type="fixed"/>
          <w:tblCellMar>
            <w:top w:w="0" w:type="dxa"/>
            <w:left w:w="108" w:type="dxa"/>
            <w:bottom w:w="0" w:type="dxa"/>
            <w:right w:w="108" w:type="dxa"/>
          </w:tblCellMar>
        </w:tblPrEx>
        <w:trPr>
          <w:trHeight w:val="395"/>
        </w:trPr>
        <w:tc>
          <w:tcPr>
            <w:tcW w:w="3085" w:type="dxa"/>
            <w:shd w:val="clear" w:color="auto" w:fill="auto"/>
            <w:vAlign w:val="center"/>
          </w:tcPr>
          <w:p>
            <w:pPr>
              <w:widowControl w:val="0"/>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100 万元以下</w:t>
            </w:r>
          </w:p>
        </w:tc>
        <w:tc>
          <w:tcPr>
            <w:tcW w:w="1843"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1.5%</w:t>
            </w:r>
          </w:p>
        </w:tc>
        <w:tc>
          <w:tcPr>
            <w:tcW w:w="1843"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1.5%</w:t>
            </w:r>
          </w:p>
        </w:tc>
        <w:tc>
          <w:tcPr>
            <w:tcW w:w="1758" w:type="dxa"/>
            <w:shd w:val="clear" w:color="auto" w:fill="auto"/>
            <w:vAlign w:val="center"/>
          </w:tcPr>
          <w:p>
            <w:pPr>
              <w:widowControl w:val="0"/>
              <w:jc w:val="center"/>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1.0%</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100 万元（含）-500 万元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1.1%</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0.8%</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0.7%</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500 万元（含）-1000 万元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0.8%</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0.45%</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0.55%</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1000 万元（含）-5000 万元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0.5%</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0.25%</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0.35%</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5000 万元（含）-1 亿元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0.25%</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0.1%</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0.2%</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 亿元（含）-5 亿</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0.05%</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0.05%</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0.05%</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color w:val="333333"/>
                <w:kern w:val="2"/>
                <w:sz w:val="21"/>
                <w:szCs w:val="21"/>
                <w:lang w:eastAsia="zh-CN"/>
              </w:rPr>
              <w:t>5 亿元（含）-10 亿元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0.035%</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0.035%</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0.035%</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 亿元（含）-50 亿元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0.008%</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0.008%</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0.008%</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50 亿元（含）-100 亿元</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0.006%</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0.006%</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0.006%</w:t>
            </w:r>
          </w:p>
        </w:tc>
      </w:tr>
      <w:tr>
        <w:tblPrEx>
          <w:tblW w:w="5000" w:type="pct"/>
          <w:tblInd w:w="0" w:type="dxa"/>
          <w:tblLayout w:type="fixed"/>
          <w:tblCellMar>
            <w:top w:w="0" w:type="dxa"/>
            <w:left w:w="108" w:type="dxa"/>
            <w:bottom w:w="0" w:type="dxa"/>
            <w:right w:w="108" w:type="dxa"/>
          </w:tblCellMar>
        </w:tblPrEx>
        <w:tc>
          <w:tcPr>
            <w:tcW w:w="3085"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100 亿元（含）以</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0.004%</w:t>
            </w:r>
          </w:p>
        </w:tc>
        <w:tc>
          <w:tcPr>
            <w:tcW w:w="1843"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0.004%</w:t>
            </w:r>
          </w:p>
        </w:tc>
        <w:tc>
          <w:tcPr>
            <w:tcW w:w="1758" w:type="dxa"/>
            <w:shd w:val="clear" w:color="auto" w:fill="auto"/>
            <w:vAlign w:val="center"/>
          </w:tcPr>
          <w:p>
            <w:pPr>
              <w:spacing w:line="360" w:lineRule="auto"/>
              <w:jc w:val="center"/>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0.004%</w:t>
            </w:r>
          </w:p>
        </w:tc>
      </w:tr>
    </w:tbl>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注：</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（1）按本表费率计算的收费为招标代理服务的收费基准价格。</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（2）招标代理服务收费按差额定率累进法计算。</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例如：某服务招标代理业务中标金额为600万元，计算招标代理服务收费额如下：</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100万元×1.5%=1.5万元</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（500-100）万元×0.8%=3.2万元</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（600-500）万元×0.45%=0.45万元</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合计收费=1.5+3.2+0.45=5.15万元</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备注：最低收费不低于人民币</w:t>
      </w:r>
      <w:r>
        <w:rPr>
          <w:rFonts w:ascii="宋体" w:eastAsia="宋体" w:hAnsi="宋体" w:cs="宋体" w:hint="eastAsia"/>
          <w:kern w:val="2"/>
          <w:sz w:val="21"/>
          <w:szCs w:val="21"/>
          <w:lang w:eastAsia="zh-CN"/>
        </w:rPr>
        <w:t>5</w:t>
      </w:r>
      <w:r>
        <w:rPr>
          <w:rFonts w:ascii="宋体" w:eastAsia="宋体" w:hAnsi="宋体" w:cs="宋体" w:hint="eastAsia"/>
          <w:kern w:val="2"/>
          <w:sz w:val="21"/>
          <w:szCs w:val="21"/>
          <w:lang w:eastAsia="zh-CN"/>
        </w:rPr>
        <w:t>000元。代理服务费用超过</w:t>
      </w:r>
      <w:r>
        <w:rPr>
          <w:rFonts w:ascii="宋体" w:eastAsia="宋体" w:hAnsi="宋体" w:cs="宋体" w:hint="eastAsia"/>
          <w:kern w:val="2"/>
          <w:sz w:val="21"/>
          <w:szCs w:val="21"/>
          <w:lang w:eastAsia="zh-CN"/>
        </w:rPr>
        <w:t>5</w:t>
      </w:r>
      <w:r>
        <w:rPr>
          <w:rFonts w:ascii="宋体" w:eastAsia="宋体" w:hAnsi="宋体" w:cs="宋体" w:hint="eastAsia"/>
          <w:kern w:val="2"/>
          <w:sz w:val="21"/>
          <w:szCs w:val="21"/>
          <w:lang w:eastAsia="zh-CN"/>
        </w:rPr>
        <w:t>000元，则按国家计费规定收取代理服务费。</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收款单位：深圳市千里招标代理有限公司</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开户银行：中国平安银行深圳创业路支行</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帐号：（人民币）15000094959311（用于支付标书费和中标服务费）</w:t>
      </w:r>
    </w:p>
    <w:p>
      <w:pPr>
        <w:widowControl w:val="0"/>
        <w:spacing w:line="360" w:lineRule="auto"/>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中标人须在中标公告公示期结束后，领取《中标通知书》前，向招标（采购）代理机构缴纳招标代理服务费。</w:t>
      </w:r>
    </w:p>
    <w:p>
      <w:pPr>
        <w:spacing w:line="360" w:lineRule="auto"/>
        <w:ind w:firstLine="420"/>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招标代理服务费以转账、银行汇票形式交付。</w:t>
      </w:r>
    </w:p>
    <w:p>
      <w:pPr>
        <w:rPr>
          <w:rFonts w:ascii="宋体" w:eastAsia="黑体" w:hAnsi="宋体" w:hint="eastAsia"/>
          <w:bCs/>
          <w:kern w:val="44"/>
          <w:sz w:val="28"/>
          <w:szCs w:val="44"/>
          <w:lang w:eastAsia="zh-CN"/>
        </w:rPr>
      </w:pPr>
      <w:r>
        <w:rPr>
          <w:rFonts w:ascii="宋体" w:eastAsia="黑体" w:hAnsi="宋体"/>
          <w:bCs/>
          <w:kern w:val="44"/>
          <w:sz w:val="28"/>
          <w:szCs w:val="44"/>
          <w:lang w:eastAsia="zh-CN"/>
        </w:rPr>
        <w:br w:type="page"/>
      </w:r>
    </w:p>
    <w:p>
      <w:pPr>
        <w:keepNext/>
        <w:keepLines/>
        <w:widowControl w:val="0"/>
        <w:adjustRightInd w:val="0"/>
        <w:spacing w:before="260" w:after="260"/>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第三章  用户需求书</w:t>
      </w:r>
    </w:p>
    <w:p>
      <w:pPr>
        <w:keepNext/>
        <w:keepLines/>
        <w:widowControl w:val="0"/>
        <w:tabs>
          <w:tab w:val="left" w:pos="1680"/>
        </w:tabs>
        <w:spacing w:before="260" w:after="60" w:afterLines="25"/>
        <w:jc w:val="center"/>
        <w:outlineLvl w:val="2"/>
        <w:rPr>
          <w:rFonts w:ascii="Arial" w:eastAsia="宋体" w:hAnsi="Arial"/>
          <w:b/>
          <w:kern w:val="2"/>
          <w:sz w:val="32"/>
          <w:szCs w:val="32"/>
          <w:lang w:eastAsia="zh-CN"/>
        </w:rPr>
      </w:pPr>
      <w:r>
        <w:rPr>
          <w:rFonts w:ascii="Arial" w:eastAsia="宋体" w:hAnsi="Arial" w:hint="eastAsia"/>
          <w:b/>
          <w:kern w:val="2"/>
          <w:sz w:val="32"/>
          <w:szCs w:val="32"/>
          <w:lang w:eastAsia="zh-CN"/>
        </w:rPr>
        <w:t>一、项目基本信息</w:t>
      </w:r>
    </w:p>
    <w:tbl>
      <w:tblPr>
        <w:tblStyle w:val="TableNormal"/>
        <w:tblW w:w="5000" w:type="pct"/>
        <w:tblInd w:w="-986" w:type="dxa"/>
        <w:tblLayout w:type="fixed"/>
        <w:tblCellMar>
          <w:top w:w="15" w:type="dxa"/>
          <w:left w:w="15" w:type="dxa"/>
          <w:bottom w:w="15" w:type="dxa"/>
          <w:right w:w="15" w:type="dxa"/>
        </w:tblCellMar>
      </w:tblPr>
      <w:tblGrid>
        <w:gridCol w:w="660"/>
        <w:gridCol w:w="2957"/>
        <w:gridCol w:w="2892"/>
        <w:gridCol w:w="2161"/>
      </w:tblGrid>
      <w:tr>
        <w:tblPrEx>
          <w:tblW w:w="5000" w:type="pct"/>
          <w:tblInd w:w="-986" w:type="dxa"/>
          <w:tblLayout w:type="fixed"/>
          <w:tblCellMar>
            <w:top w:w="15" w:type="dxa"/>
            <w:left w:w="15" w:type="dxa"/>
            <w:bottom w:w="15" w:type="dxa"/>
            <w:right w:w="15" w:type="dxa"/>
          </w:tblCellMar>
        </w:tblPrEx>
        <w:trPr>
          <w:trHeight w:val="552"/>
        </w:trPr>
        <w:tc>
          <w:tcPr>
            <w:tcW w:w="757" w:type="dxa"/>
            <w:tcBorders>
              <w:top w:val="single" w:sz="4" w:space="0" w:color="000000"/>
              <w:left w:val="single" w:sz="4" w:space="0" w:color="000000"/>
              <w:bottom w:val="single" w:sz="4" w:space="0" w:color="000000"/>
              <w:right w:val="single" w:sz="4" w:space="0" w:color="auto"/>
            </w:tcBorders>
            <w:shd w:val="clear" w:color="auto" w:fill="FFFFFF"/>
            <w:vAlign w:val="center"/>
          </w:tcPr>
          <w:p>
            <w:pPr>
              <w:widowControl w:val="0"/>
              <w:jc w:val="center"/>
              <w:rPr>
                <w:rFonts w:ascii="Calibri" w:eastAsia="宋体" w:hAnsi="Calibri"/>
                <w:b/>
                <w:kern w:val="2"/>
                <w:sz w:val="21"/>
                <w:szCs w:val="21"/>
                <w:lang w:eastAsia="zh-CN"/>
              </w:rPr>
            </w:pPr>
            <w:r>
              <w:rPr>
                <w:rFonts w:ascii="Calibri" w:eastAsia="宋体" w:hAnsi="Calibri" w:cstheme="minorBidi" w:hint="eastAsia"/>
                <w:b/>
                <w:kern w:val="2"/>
                <w:sz w:val="21"/>
                <w:szCs w:val="21"/>
                <w:lang w:eastAsia="zh-CN"/>
              </w:rPr>
              <w:t>序号</w:t>
            </w:r>
          </w:p>
        </w:tc>
        <w:tc>
          <w:tcPr>
            <w:tcW w:w="3423" w:type="dxa"/>
            <w:tcBorders>
              <w:top w:val="single" w:sz="4" w:space="0" w:color="000000"/>
              <w:left w:val="single" w:sz="4" w:space="0" w:color="auto"/>
              <w:bottom w:val="single" w:sz="4" w:space="0" w:color="000000"/>
              <w:right w:val="single" w:sz="4" w:space="0" w:color="000000"/>
            </w:tcBorders>
            <w:shd w:val="clear" w:color="auto" w:fill="FFFFFF"/>
            <w:vAlign w:val="center"/>
          </w:tcPr>
          <w:p>
            <w:pPr>
              <w:widowControl w:val="0"/>
              <w:jc w:val="center"/>
              <w:rPr>
                <w:rFonts w:ascii="Calibri" w:eastAsia="宋体" w:hAnsi="Calibri"/>
                <w:b/>
                <w:kern w:val="2"/>
                <w:sz w:val="21"/>
                <w:szCs w:val="21"/>
                <w:lang w:eastAsia="zh-CN"/>
              </w:rPr>
            </w:pPr>
            <w:r>
              <w:rPr>
                <w:rFonts w:ascii="Calibri" w:eastAsia="宋体" w:hAnsi="Calibri" w:cstheme="minorBidi" w:hint="eastAsia"/>
                <w:b/>
                <w:kern w:val="2"/>
                <w:sz w:val="21"/>
                <w:szCs w:val="21"/>
                <w:lang w:eastAsia="zh-CN"/>
              </w:rPr>
              <w:t>项目编号</w:t>
            </w:r>
          </w:p>
        </w:tc>
        <w:tc>
          <w:tcPr>
            <w:tcW w:w="3348"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Calibri" w:eastAsia="宋体" w:hAnsi="Calibri"/>
                <w:b/>
                <w:kern w:val="2"/>
                <w:sz w:val="21"/>
                <w:szCs w:val="21"/>
                <w:lang w:eastAsia="zh-CN"/>
              </w:rPr>
            </w:pPr>
            <w:r>
              <w:rPr>
                <w:rFonts w:ascii="Calibri" w:eastAsia="宋体" w:hAnsi="Calibri" w:cstheme="minorBidi" w:hint="eastAsia"/>
                <w:b/>
                <w:kern w:val="2"/>
                <w:sz w:val="21"/>
                <w:szCs w:val="21"/>
                <w:lang w:eastAsia="zh-CN"/>
              </w:rPr>
              <w:t>项目名称</w:t>
            </w:r>
          </w:p>
        </w:tc>
        <w:tc>
          <w:tcPr>
            <w:tcW w:w="2500"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val="0"/>
              <w:jc w:val="center"/>
              <w:rPr>
                <w:rFonts w:ascii="Calibri" w:eastAsia="宋体" w:hAnsi="Calibri"/>
                <w:b/>
                <w:kern w:val="2"/>
                <w:sz w:val="21"/>
                <w:szCs w:val="21"/>
                <w:lang w:eastAsia="zh-CN"/>
              </w:rPr>
            </w:pPr>
            <w:r>
              <w:rPr>
                <w:rFonts w:ascii="宋体" w:eastAsia="宋体" w:hAnsi="宋体" w:cstheme="minorBidi" w:hint="eastAsia"/>
                <w:b/>
                <w:kern w:val="2"/>
                <w:sz w:val="21"/>
                <w:szCs w:val="21"/>
                <w:lang w:eastAsia="zh-CN"/>
              </w:rPr>
              <w:t>财政预算限额（元）</w:t>
            </w:r>
          </w:p>
        </w:tc>
      </w:tr>
      <w:tr>
        <w:tblPrEx>
          <w:tblW w:w="5000" w:type="pct"/>
          <w:tblInd w:w="-986" w:type="dxa"/>
          <w:tblLayout w:type="fixed"/>
          <w:tblCellMar>
            <w:top w:w="15" w:type="dxa"/>
            <w:left w:w="15" w:type="dxa"/>
            <w:bottom w:w="15" w:type="dxa"/>
            <w:right w:w="15" w:type="dxa"/>
          </w:tblCellMar>
        </w:tblPrEx>
        <w:trPr>
          <w:trHeight w:val="485"/>
        </w:trPr>
        <w:tc>
          <w:tcPr>
            <w:tcW w:w="757" w:type="dxa"/>
            <w:tcBorders>
              <w:top w:val="single" w:sz="4" w:space="0" w:color="000000"/>
              <w:left w:val="single" w:sz="4" w:space="0" w:color="000000"/>
              <w:bottom w:val="single" w:sz="4" w:space="0" w:color="000000"/>
              <w:right w:val="single" w:sz="4" w:space="0" w:color="auto"/>
            </w:tcBorders>
            <w:vAlign w:val="center"/>
          </w:tcPr>
          <w:p>
            <w:pPr>
              <w:widowControl w:val="0"/>
              <w:jc w:val="center"/>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1</w:t>
            </w:r>
          </w:p>
        </w:tc>
        <w:tc>
          <w:tcPr>
            <w:tcW w:w="3423" w:type="dxa"/>
            <w:tcBorders>
              <w:top w:val="single" w:sz="4" w:space="0" w:color="000000"/>
              <w:left w:val="single" w:sz="4" w:space="0" w:color="auto"/>
              <w:bottom w:val="single" w:sz="4" w:space="0" w:color="000000"/>
              <w:right w:val="single" w:sz="4" w:space="0" w:color="000000"/>
            </w:tcBorders>
            <w:vAlign w:val="center"/>
          </w:tcPr>
          <w:p>
            <w:pPr>
              <w:widowControl w:val="0"/>
              <w:jc w:val="center"/>
              <w:rPr>
                <w:rFonts w:ascii="宋体" w:eastAsia="宋体" w:hAnsi="宋体" w:hint="eastAsia"/>
                <w:kern w:val="2"/>
                <w:sz w:val="21"/>
                <w:szCs w:val="21"/>
                <w:lang w:eastAsia="zh-CN"/>
              </w:rPr>
            </w:pPr>
            <w:r>
              <w:rPr>
                <w:rFonts w:ascii="宋体" w:eastAsia="宋体" w:hAnsi="宋体" w:hint="eastAsia"/>
                <w:kern w:val="2"/>
                <w:sz w:val="21"/>
                <w:szCs w:val="21"/>
                <w:lang w:eastAsia="zh-CN"/>
              </w:rPr>
              <w:t>LHAZXDL-2025-00685</w:t>
            </w:r>
          </w:p>
        </w:tc>
        <w:tc>
          <w:tcPr>
            <w:tcW w:w="3348" w:type="dxa"/>
            <w:tcBorders>
              <w:top w:val="single" w:sz="4" w:space="0" w:color="000000"/>
              <w:left w:val="single" w:sz="4" w:space="0" w:color="000000"/>
              <w:bottom w:val="single" w:sz="4" w:space="0" w:color="auto"/>
              <w:right w:val="single" w:sz="4" w:space="0" w:color="000000"/>
            </w:tcBorders>
            <w:vAlign w:val="center"/>
          </w:tcPr>
          <w:p>
            <w:pPr>
              <w:widowControl w:val="0"/>
              <w:jc w:val="center"/>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幼儿园家私采购</w:t>
            </w:r>
          </w:p>
        </w:tc>
        <w:tc>
          <w:tcPr>
            <w:tcW w:w="2500" w:type="dxa"/>
            <w:tcBorders>
              <w:top w:val="single" w:sz="4" w:space="0" w:color="000000"/>
              <w:left w:val="single" w:sz="4" w:space="0" w:color="000000"/>
              <w:bottom w:val="single" w:sz="4" w:space="0" w:color="auto"/>
              <w:right w:val="single" w:sz="4" w:space="0" w:color="000000"/>
            </w:tcBorders>
            <w:vAlign w:val="center"/>
          </w:tcPr>
          <w:p>
            <w:pPr>
              <w:widowControl w:val="0"/>
              <w:jc w:val="center"/>
              <w:rPr>
                <w:rFonts w:ascii="宋体" w:eastAsia="宋体" w:hAnsi="宋体" w:hint="eastAsia"/>
                <w:kern w:val="2"/>
                <w:sz w:val="21"/>
                <w:szCs w:val="21"/>
                <w:lang w:eastAsia="zh-CN"/>
              </w:rPr>
            </w:pPr>
            <w:r>
              <w:rPr>
                <w:rFonts w:ascii="宋体" w:eastAsia="宋体" w:hAnsi="宋体" w:hint="eastAsia"/>
                <w:kern w:val="2"/>
                <w:sz w:val="21"/>
                <w:szCs w:val="21"/>
                <w:lang w:eastAsia="zh-CN"/>
              </w:rPr>
              <w:t>861059.00</w:t>
            </w:r>
          </w:p>
        </w:tc>
      </w:tr>
    </w:tbl>
    <w:p>
      <w:pPr>
        <w:keepNext/>
        <w:keepLines/>
        <w:widowControl w:val="0"/>
        <w:tabs>
          <w:tab w:val="left" w:pos="1680"/>
        </w:tabs>
        <w:spacing w:before="260" w:after="60" w:afterLines="25"/>
        <w:jc w:val="center"/>
        <w:outlineLvl w:val="2"/>
        <w:rPr>
          <w:rFonts w:ascii="宋体" w:eastAsia="宋体" w:hAnsi="宋体" w:hint="eastAsia"/>
          <w:b/>
          <w:color w:val="000000"/>
          <w:sz w:val="21"/>
          <w:szCs w:val="21"/>
          <w:lang w:eastAsia="zh-CN"/>
        </w:rPr>
      </w:pPr>
      <w:r>
        <w:rPr>
          <w:rFonts w:ascii="Arial" w:eastAsia="宋体" w:hAnsi="Arial" w:hint="eastAsia"/>
          <w:b/>
          <w:kern w:val="2"/>
          <w:sz w:val="32"/>
          <w:szCs w:val="32"/>
          <w:lang w:eastAsia="zh-CN"/>
        </w:rPr>
        <w:t>二、货物需求明细</w:t>
      </w:r>
      <w:bookmarkStart w:id="14" w:name="_Toc128884461"/>
    </w:p>
    <w:tbl>
      <w:tblPr>
        <w:tblStyle w:val="TableNormal"/>
        <w:tblW w:w="5000" w:type="pct"/>
        <w:tblInd w:w="-906" w:type="dxa"/>
        <w:tblLayout w:type="fixed"/>
        <w:tblCellMar>
          <w:top w:w="0" w:type="dxa"/>
          <w:left w:w="108" w:type="dxa"/>
          <w:bottom w:w="0" w:type="dxa"/>
          <w:right w:w="108" w:type="dxa"/>
        </w:tblCellMar>
      </w:tblPr>
      <w:tblGrid>
        <w:gridCol w:w="663"/>
        <w:gridCol w:w="2019"/>
        <w:gridCol w:w="598"/>
        <w:gridCol w:w="777"/>
        <w:gridCol w:w="841"/>
        <w:gridCol w:w="1161"/>
        <w:gridCol w:w="1085"/>
        <w:gridCol w:w="1712"/>
      </w:tblGrid>
      <w:tr>
        <w:tblPrEx>
          <w:tblW w:w="5000" w:type="pct"/>
          <w:tblInd w:w="-906" w:type="dxa"/>
          <w:tblLayout w:type="fixed"/>
          <w:tblCellMar>
            <w:top w:w="0" w:type="dxa"/>
            <w:left w:w="108" w:type="dxa"/>
            <w:bottom w:w="0" w:type="dxa"/>
            <w:right w:w="108" w:type="dxa"/>
          </w:tblCellMar>
        </w:tblPrEx>
        <w:trPr>
          <w:trHeight w:val="523"/>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序号</w:t>
            </w:r>
          </w:p>
        </w:tc>
        <w:tc>
          <w:tcPr>
            <w:tcW w:w="2325"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货物名称</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数量</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单位</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单价限额（元）</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备注</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财政预算限额（元）</w:t>
            </w:r>
          </w:p>
        </w:tc>
      </w:tr>
      <w:tr>
        <w:tblPrEx>
          <w:tblW w:w="5000" w:type="pct"/>
          <w:tblInd w:w="-906" w:type="dxa"/>
          <w:tblLayout w:type="fixed"/>
          <w:tblCellMar>
            <w:top w:w="0" w:type="dxa"/>
            <w:left w:w="108" w:type="dxa"/>
            <w:bottom w:w="0" w:type="dxa"/>
            <w:right w:w="108" w:type="dxa"/>
          </w:tblCellMar>
        </w:tblPrEx>
        <w:trPr>
          <w:trHeight w:val="561"/>
        </w:trPr>
        <w:tc>
          <w:tcPr>
            <w:tcW w:w="73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c>
          <w:tcPr>
            <w:tcW w:w="232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pPr>
              <w:widowControl/>
              <w:jc w:val="center"/>
              <w:textAlignment w:val="center"/>
              <w:rPr>
                <w:rFonts w:ascii="宋体" w:eastAsia="宋体" w:hAnsi="宋体" w:cs="宋体" w:hint="eastAsia"/>
                <w:b/>
                <w:bCs/>
                <w:color w:val="000000"/>
                <w:sz w:val="21"/>
                <w:szCs w:val="21"/>
                <w:lang w:eastAsia="zh-CN"/>
              </w:rPr>
            </w:pPr>
            <w:r>
              <w:rPr>
                <w:rFonts w:ascii="宋体" w:eastAsia="宋体" w:hAnsi="宋体" w:cs="宋体" w:hint="eastAsia"/>
                <w:b/>
                <w:bCs/>
                <w:color w:val="000000"/>
                <w:sz w:val="21"/>
                <w:szCs w:val="21"/>
                <w:lang w:bidi="ar"/>
              </w:rPr>
              <w:t>单价</w:t>
            </w:r>
            <w:r>
              <w:rPr>
                <w:rFonts w:ascii="宋体" w:eastAsia="宋体" w:hAnsi="宋体" w:cs="宋体" w:hint="eastAsia"/>
                <w:b/>
                <w:bCs/>
                <w:color w:val="000000"/>
                <w:sz w:val="21"/>
                <w:szCs w:val="21"/>
                <w:lang w:eastAsia="zh-CN" w:bidi="ar"/>
              </w:rPr>
              <w:t>限额</w:t>
            </w:r>
          </w:p>
        </w:tc>
        <w:tc>
          <w:tcPr>
            <w:tcW w:w="1320" w:type="dxa"/>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单价总额（单价乘以数量）</w:t>
            </w:r>
          </w:p>
        </w:tc>
        <w:tc>
          <w:tcPr>
            <w:tcW w:w="123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8"/>
        </w:trPr>
        <w:tc>
          <w:tcPr>
            <w:tcW w:w="8085" w:type="dxa"/>
            <w:gridSpan w:val="7"/>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华越幼儿园</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r>
              <w:rPr>
                <w:rFonts w:ascii="宋体" w:eastAsia="宋体" w:hAnsi="宋体" w:cs="宋体" w:hint="eastAsia"/>
                <w:color w:val="000000"/>
                <w:sz w:val="21"/>
                <w:szCs w:val="21"/>
              </w:rPr>
              <w:t>861059.00</w:t>
            </w: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山形靠背椅1/</w:t>
            </w:r>
            <w:r>
              <w:rPr>
                <w:rFonts w:ascii="宋体" w:eastAsia="宋体" w:hAnsi="宋体" w:cs="宋体" w:hint="eastAsia"/>
                <w:b/>
                <w:bCs/>
                <w:color w:val="FF0000"/>
                <w:sz w:val="21"/>
                <w:szCs w:val="21"/>
                <w:lang w:bidi="ar"/>
              </w:rPr>
              <w:t>核心产品</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一体成型可叠椅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3300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6336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月亮桌.可调节</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4层分类书柜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互动化妆台</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互动小厨房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简约书架（图书柜）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简约衣帽饰品柜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林中屋综合互动小厨房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美术材料分类收纳柜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11520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美术纸筒柜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美术作品晾干柜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秘密游戏树洞</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三层教具篮收纳柜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涂色书架</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蜗牛造型柜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戏曲木偶台</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4320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仙人掌透明画板柜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雪糕筒造型书屋</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6625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6625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雪松造型双面书架.可展开</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4400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语言区私密角1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3498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3498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语言区私密角2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原木2层90°弧形矮柜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原木2层矮柜.可调节.无背板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原木3层矮柜.可调节.无背板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984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5904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原木3层高柜.全背板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4层可调柜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5120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39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原木5格分区矮柜.无背板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984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9840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原木6格分区矮柜.无背板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12480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原木阶梯组合柜.无背板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1304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5216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阅读书屋</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生活区柜子</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4718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28308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塑料叠床</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41400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塑料床配托盘</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杯架</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4080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纱窗门</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件</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地垫收纳架(不含垫子）</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49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3220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3220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915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915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972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972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972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1944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385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385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1086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1086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59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316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632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1832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1832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屏风+陈列</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件</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巴比伦沙发椅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天鹅蛋沙发</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910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69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私密小屋</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5445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5445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摇摇椅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单椅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特色区域柜6</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990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主椅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890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79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蒲团</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置物架</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沙画桌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10.46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18828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树枝屏风</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件</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美术凳</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圆凳</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5970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9900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甘蔗板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1092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软木板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1092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十五格玩具柜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件</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1390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材料展示抽屉桌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树枝灯</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盏</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510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8880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90"/>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音控桌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活动柜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12100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7700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7560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实木椅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长茶几</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二人位沙发</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圆茶几</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沙发椅（单人位）</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非进口/单价不超过1500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茶几</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茶台矮柜1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茶台矮柜2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会议桌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非进口/单价不超过12000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会议椅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17550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非进口/单价不超过1200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储物柜6</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诊断床</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隔离床</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床垫</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180 </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沙发（三人位）</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沙发（单人位）</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非进口/单价不超过1500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茶几</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非进口非进口/单价不超过1000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杂志刊</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件</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90"/>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储物柜8</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4400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书柜6</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储物柜9</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大板桌1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大板桌2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5355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5355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文件柜6</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非进口非进口/单价不超过4000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1571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1571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文件矮柜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2960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非进口非进口/单价不超过3000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折叠桌（挡板白色）</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5760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非进口非进口/单价不超过1000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折叠椅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非进口非进口/单价不超过200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长餐桌1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4380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方餐桌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1870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158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圆桌</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159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餐椅1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12480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160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长餐桌2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161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餐椅2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162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163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磁吸白板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块</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719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719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164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置物柜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3.75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4125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165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储物柜体</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8250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166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洗碗池</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2600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167 </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组合隔断洞洞板</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5850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8085"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博誉府幼儿园</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168</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169</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6.16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6776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170</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171</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172</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21.66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23826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173</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9240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174</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5292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175</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176</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1344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177</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5.76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178</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179</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672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3993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181</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幼儿家私顶柜装饰板6</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1008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182</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2.51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1255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183</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幼儿家私顶柜5</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5.11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5621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184</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2856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185</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6.16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6776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186</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8360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561"/>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187</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幼儿家私顶柜装饰板7</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3584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188</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2250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189</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原木6人桌.49cm</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3168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4人书包鞋柜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800 </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191</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幼儿床</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192</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床托</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1350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193</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原木拱桥椅.25cm</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4000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194</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原木6人桌.52cm</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3168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195</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4层分类书柜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个</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1180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196</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原木6人桌.55cm</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792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4752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197</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书桌储物柜1</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6.16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6776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198</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书桌储物柜2</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7.74</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8514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199</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书桌储物柜3</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8.88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9768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802"/>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书桌储物柜4</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平方米</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6380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85"/>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201</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张</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非进口/单价不超过1320</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94"/>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202</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960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非进口</w:t>
            </w:r>
          </w:p>
        </w:tc>
        <w:tc>
          <w:tcPr>
            <w:tcW w:w="1965"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r>
        <w:tblPrEx>
          <w:tblW w:w="5000" w:type="pct"/>
          <w:tblInd w:w="-906" w:type="dxa"/>
          <w:tblLayout w:type="fixed"/>
          <w:tblCellMar>
            <w:top w:w="0" w:type="dxa"/>
            <w:left w:w="108" w:type="dxa"/>
            <w:bottom w:w="0" w:type="dxa"/>
            <w:right w:w="108" w:type="dxa"/>
          </w:tblCellMar>
        </w:tblPrEx>
        <w:trPr>
          <w:trHeight w:val="294"/>
        </w:trPr>
        <w:tc>
          <w:tcPr>
            <w:tcW w:w="735" w:type="dxa"/>
            <w:tcBorders>
              <w:top w:val="single" w:sz="4" w:space="0" w:color="000000"/>
              <w:left w:val="single" w:sz="4" w:space="0" w:color="000000"/>
              <w:bottom w:val="single" w:sz="4" w:space="0" w:color="000000"/>
              <w:right w:val="single" w:sz="4" w:space="0" w:color="000000"/>
            </w:tcBorders>
            <w:shd w:val="clear" w:color="auto" w:fill="auto"/>
            <w:noWrap w:val="0"/>
            <w:vAlign w:val="top"/>
          </w:tcPr>
          <w:p>
            <w:pPr>
              <w:jc w:val="center"/>
              <w:rPr>
                <w:rFonts w:ascii="宋体" w:eastAsia="宋体" w:hAnsi="宋体" w:cs="宋体" w:hint="eastAsia"/>
                <w:color w:val="000000"/>
                <w:sz w:val="21"/>
                <w:szCs w:val="21"/>
                <w:lang w:bidi="ar"/>
              </w:rPr>
            </w:pPr>
            <w:r>
              <w:rPr>
                <w:rFonts w:ascii="宋体" w:eastAsia="宋体" w:hAnsi="宋体" w:cs="宋体" w:hint="eastAsia"/>
                <w:bCs/>
                <w:sz w:val="21"/>
                <w:szCs w:val="21"/>
              </w:rPr>
              <w:t>合计</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0"/>
            <w:vAlign w:val="top"/>
          </w:tcPr>
          <w:p>
            <w:pPr>
              <w:jc w:val="center"/>
              <w:rPr>
                <w:rFonts w:ascii="宋体" w:eastAsia="宋体" w:hAnsi="宋体" w:cs="宋体" w:hint="eastAsia"/>
                <w:color w:val="000000"/>
                <w:sz w:val="21"/>
                <w:szCs w:val="21"/>
                <w:lang w:bidi="ar"/>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top"/>
          </w:tcPr>
          <w:p>
            <w:pPr>
              <w:jc w:val="center"/>
              <w:rPr>
                <w:rFonts w:ascii="宋体" w:eastAsia="宋体" w:hAnsi="宋体" w:cs="宋体" w:hint="eastAsia"/>
                <w:color w:val="000000"/>
                <w:sz w:val="21"/>
                <w:szCs w:val="21"/>
                <w:lang w:bidi="ar"/>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top"/>
          </w:tcPr>
          <w:p>
            <w:pPr>
              <w:jc w:val="center"/>
              <w:rPr>
                <w:rFonts w:ascii="宋体" w:eastAsia="宋体" w:hAnsi="宋体" w:cs="宋体" w:hint="eastAsia"/>
                <w:color w:val="000000"/>
                <w:sz w:val="21"/>
                <w:szCs w:val="21"/>
                <w:lang w:bidi="ar"/>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top"/>
          </w:tcPr>
          <w:p>
            <w:pPr>
              <w:jc w:val="center"/>
              <w:rPr>
                <w:rFonts w:ascii="宋体" w:eastAsia="宋体" w:hAnsi="宋体" w:cs="宋体" w:hint="eastAsia"/>
                <w:color w:val="000000"/>
                <w:sz w:val="21"/>
                <w:szCs w:val="21"/>
                <w:lang w:bidi="ar"/>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vAlign w:val="top"/>
          </w:tcPr>
          <w:p>
            <w:pPr>
              <w:jc w:val="center"/>
              <w:rPr>
                <w:rFonts w:ascii="宋体" w:eastAsia="宋体" w:hAnsi="宋体" w:cs="宋体" w:hint="eastAsia"/>
                <w:color w:val="000000"/>
                <w:sz w:val="21"/>
                <w:szCs w:val="21"/>
                <w:lang w:bidi="ar"/>
              </w:rPr>
            </w:pPr>
            <w:r>
              <w:rPr>
                <w:rFonts w:ascii="宋体" w:eastAsia="宋体" w:hAnsi="宋体" w:cs="宋体" w:hint="eastAsia"/>
                <w:bCs/>
                <w:sz w:val="21"/>
                <w:szCs w:val="21"/>
              </w:rPr>
              <w:t>861059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非进口</w:t>
            </w:r>
          </w:p>
        </w:tc>
        <w:tc>
          <w:tcPr>
            <w:tcW w:w="196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pPr>
              <w:jc w:val="center"/>
              <w:rPr>
                <w:rFonts w:ascii="宋体" w:eastAsia="宋体" w:hAnsi="宋体" w:cs="宋体" w:hint="eastAsia"/>
                <w:color w:val="000000"/>
                <w:sz w:val="21"/>
                <w:szCs w:val="21"/>
              </w:rPr>
            </w:pPr>
          </w:p>
        </w:tc>
      </w:tr>
    </w:tbl>
    <w:p>
      <w:pPr>
        <w:spacing w:after="120" w:line="360" w:lineRule="auto"/>
        <w:ind w:firstLine="480" w:firstLineChars="200"/>
        <w:rPr>
          <w:rFonts w:ascii="宋体" w:hAnsi="宋体"/>
          <w:b/>
          <w:color w:val="000000"/>
          <w:szCs w:val="21"/>
        </w:rPr>
      </w:pPr>
    </w:p>
    <w:p>
      <w:pPr>
        <w:rPr>
          <w:rFonts w:ascii="宋体" w:eastAsia="宋体" w:hAnsi="宋体" w:cs="宋体" w:hint="eastAsia"/>
          <w:b/>
          <w:sz w:val="21"/>
          <w:szCs w:val="21"/>
          <w:lang w:eastAsia="zh-CN"/>
        </w:rPr>
      </w:pPr>
      <w:r>
        <w:rPr>
          <w:rFonts w:ascii="宋体" w:eastAsia="宋体" w:hAnsi="宋体" w:cs="宋体" w:hint="eastAsia"/>
          <w:b/>
          <w:sz w:val="21"/>
          <w:szCs w:val="21"/>
          <w:lang w:eastAsia="zh-CN"/>
        </w:rPr>
        <w:t>1、本项目总预算为861059.00元。投标总价不得超过项目总预算限额，分项报价不得超过相应单价限额。</w:t>
      </w:r>
    </w:p>
    <w:p>
      <w:pPr>
        <w:rPr>
          <w:rFonts w:ascii="宋体" w:eastAsia="宋体" w:hAnsi="宋体" w:cs="宋体" w:hint="eastAsia"/>
          <w:b/>
          <w:sz w:val="21"/>
          <w:szCs w:val="21"/>
          <w:lang w:eastAsia="zh-CN"/>
        </w:rPr>
      </w:pPr>
      <w:r>
        <w:rPr>
          <w:rFonts w:ascii="宋体" w:eastAsia="宋体" w:hAnsi="宋体" w:cs="宋体" w:hint="eastAsia"/>
          <w:b/>
          <w:sz w:val="21"/>
          <w:szCs w:val="21"/>
          <w:lang w:eastAsia="zh-CN"/>
        </w:rPr>
        <w:t>2、本项目备注栏注明“拒绝进口</w:t>
      </w:r>
      <w:r>
        <w:rPr>
          <w:rFonts w:ascii="宋体" w:eastAsia="宋体" w:hAnsi="宋体" w:cs="宋体" w:hint="eastAsia"/>
          <w:b/>
          <w:sz w:val="21"/>
          <w:szCs w:val="21"/>
          <w:lang w:eastAsia="zh-CN"/>
        </w:rPr>
        <w:t>/非进口</w:t>
      </w:r>
      <w:r>
        <w:rPr>
          <w:rFonts w:ascii="宋体" w:eastAsia="宋体" w:hAnsi="宋体" w:cs="宋体" w:hint="eastAsia"/>
          <w:b/>
          <w:sz w:val="21"/>
          <w:szCs w:val="21"/>
          <w:lang w:eastAsia="zh-CN"/>
        </w:rPr>
        <w:t>”的产品不接受投标人选用进口产品参与投标；注明“接受进口”的产品允许投标人选用进口产品参与投标，但不排斥国内产品。进口产品是指通过中国海关报关验放进入中国境内且产自关境外的产品（以“财库〔2007〕119号文”和“财办库〔2008〕248号文”的相关规定为准）。</w:t>
      </w:r>
    </w:p>
    <w:p>
      <w:pPr>
        <w:rPr>
          <w:rFonts w:ascii="宋体" w:eastAsia="宋体" w:hAnsi="宋体" w:cs="宋体" w:hint="eastAsia"/>
          <w:b/>
          <w:sz w:val="21"/>
          <w:szCs w:val="21"/>
          <w:u w:val="single"/>
          <w:lang w:eastAsia="zh-CN"/>
        </w:rPr>
      </w:pPr>
      <w:r>
        <w:rPr>
          <w:rFonts w:ascii="宋体" w:eastAsia="宋体" w:hAnsi="宋体" w:cs="宋体" w:hint="eastAsia"/>
          <w:b/>
          <w:sz w:val="21"/>
          <w:szCs w:val="21"/>
          <w:lang w:eastAsia="zh-CN"/>
        </w:rPr>
        <w:t>3、核心产品：</w:t>
      </w:r>
      <w:r>
        <w:rPr>
          <w:rFonts w:ascii="宋体" w:eastAsia="宋体" w:hAnsi="宋体" w:cs="宋体" w:hint="eastAsia"/>
          <w:b/>
          <w:sz w:val="21"/>
          <w:szCs w:val="21"/>
          <w:u w:val="single"/>
          <w:lang w:eastAsia="zh-CN"/>
        </w:rPr>
        <w:t>山形靠背椅1</w:t>
      </w:r>
    </w:p>
    <w:p>
      <w:pPr>
        <w:widowControl w:val="0"/>
        <w:spacing w:after="120" w:line="360" w:lineRule="auto"/>
        <w:ind w:firstLine="420" w:firstLineChars="200"/>
        <w:jc w:val="both"/>
        <w:rPr>
          <w:rFonts w:ascii="宋体" w:eastAsia="宋体" w:hAnsi="宋体" w:hint="eastAsia"/>
          <w:b/>
          <w:color w:val="000000"/>
          <w:sz w:val="21"/>
          <w:szCs w:val="21"/>
          <w:u w:val="single"/>
          <w:lang w:eastAsia="zh-CN"/>
        </w:rPr>
      </w:pPr>
    </w:p>
    <w:p>
      <w:pPr>
        <w:keepNext/>
        <w:keepLines/>
        <w:widowControl w:val="0"/>
        <w:spacing w:before="260" w:after="260"/>
        <w:jc w:val="center"/>
        <w:outlineLvl w:val="2"/>
        <w:rPr>
          <w:rFonts w:ascii="宋体" w:eastAsia="宋体" w:hAnsi="宋体" w:hint="eastAsia"/>
          <w:b/>
          <w:bCs/>
          <w:kern w:val="2"/>
          <w:sz w:val="28"/>
          <w:szCs w:val="32"/>
          <w:lang w:eastAsia="zh-CN"/>
        </w:rPr>
      </w:pPr>
      <w:r>
        <w:rPr>
          <w:rFonts w:ascii="宋体" w:eastAsia="宋体" w:hAnsi="宋体" w:cstheme="minorBidi" w:hint="eastAsia"/>
          <w:b/>
          <w:bCs/>
          <w:kern w:val="2"/>
          <w:sz w:val="28"/>
          <w:szCs w:val="32"/>
          <w:lang w:eastAsia="zh-CN"/>
        </w:rPr>
        <w:t>三、实质性条款</w:t>
      </w:r>
    </w:p>
    <w:tbl>
      <w:tblPr>
        <w:tblStyle w:val="TableNormal"/>
        <w:tblW w:w="5000" w:type="pct"/>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24"/>
        <w:gridCol w:w="7432"/>
      </w:tblGrid>
      <w:tr>
        <w:tblPrEx>
          <w:tblW w:w="5000" w:type="pct"/>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414"/>
        </w:trPr>
        <w:tc>
          <w:tcPr>
            <w:tcW w:w="1665" w:type="dxa"/>
            <w:vAlign w:val="center"/>
          </w:tcPr>
          <w:p>
            <w:pPr>
              <w:widowControl w:val="0"/>
              <w:jc w:val="center"/>
              <w:rPr>
                <w:rFonts w:ascii="宋体" w:eastAsia="宋体" w:hAnsi="宋体" w:hint="eastAsia"/>
                <w:b/>
                <w:kern w:val="2"/>
                <w:sz w:val="21"/>
                <w:szCs w:val="22"/>
                <w:lang w:eastAsia="zh-CN"/>
              </w:rPr>
            </w:pPr>
            <w:r>
              <w:rPr>
                <w:rFonts w:ascii="宋体" w:eastAsia="宋体" w:hAnsi="宋体" w:cstheme="minorBidi" w:hint="eastAsia"/>
                <w:b/>
                <w:kern w:val="2"/>
                <w:sz w:val="21"/>
                <w:szCs w:val="22"/>
                <w:lang w:eastAsia="zh-CN"/>
              </w:rPr>
              <w:t>序号</w:t>
            </w:r>
          </w:p>
        </w:tc>
        <w:tc>
          <w:tcPr>
            <w:tcW w:w="8892" w:type="dxa"/>
            <w:vAlign w:val="center"/>
          </w:tcPr>
          <w:p>
            <w:pPr>
              <w:widowControl w:val="0"/>
              <w:jc w:val="center"/>
              <w:rPr>
                <w:rFonts w:ascii="宋体" w:eastAsia="宋体" w:hAnsi="宋体" w:hint="eastAsia"/>
                <w:b/>
                <w:kern w:val="2"/>
                <w:sz w:val="21"/>
                <w:szCs w:val="22"/>
                <w:lang w:eastAsia="zh-CN"/>
              </w:rPr>
            </w:pPr>
            <w:r>
              <w:rPr>
                <w:rFonts w:ascii="宋体" w:eastAsia="宋体" w:hAnsi="宋体" w:cstheme="minorBidi" w:hint="eastAsia"/>
                <w:b/>
                <w:kern w:val="2"/>
                <w:sz w:val="21"/>
                <w:szCs w:val="22"/>
                <w:lang w:eastAsia="zh-CN"/>
              </w:rPr>
              <w:t>实质性条款具体内容</w:t>
            </w:r>
          </w:p>
        </w:tc>
      </w:tr>
      <w:tr>
        <w:tblPrEx>
          <w:tblW w:w="5000" w:type="pct"/>
          <w:tblInd w:w="-979" w:type="dxa"/>
          <w:tblLayout w:type="fixed"/>
          <w:tblCellMar>
            <w:top w:w="0" w:type="dxa"/>
            <w:left w:w="108" w:type="dxa"/>
            <w:bottom w:w="0" w:type="dxa"/>
            <w:right w:w="108" w:type="dxa"/>
          </w:tblCellMar>
        </w:tblPrEx>
        <w:tc>
          <w:tcPr>
            <w:tcW w:w="1665" w:type="dxa"/>
          </w:tcPr>
          <w:p>
            <w:pPr>
              <w:widowControl w:val="0"/>
              <w:jc w:val="center"/>
              <w:rPr>
                <w:rFonts w:ascii="宋体" w:eastAsia="宋体" w:hAnsi="宋体" w:hint="eastAsia"/>
                <w:kern w:val="2"/>
                <w:sz w:val="21"/>
                <w:szCs w:val="22"/>
                <w:lang w:eastAsia="zh-CN"/>
              </w:rPr>
            </w:pPr>
            <w:r>
              <w:rPr>
                <w:rFonts w:ascii="宋体" w:eastAsia="宋体" w:hAnsi="宋体" w:cstheme="minorBidi" w:hint="eastAsia"/>
                <w:kern w:val="2"/>
                <w:sz w:val="21"/>
                <w:szCs w:val="22"/>
                <w:lang w:eastAsia="zh-CN"/>
              </w:rPr>
              <w:t>1</w:t>
            </w:r>
          </w:p>
        </w:tc>
        <w:tc>
          <w:tcPr>
            <w:tcW w:w="8892" w:type="dxa"/>
          </w:tcPr>
          <w:p>
            <w:pPr>
              <w:widowControl w:val="0"/>
              <w:jc w:val="center"/>
              <w:rPr>
                <w:rFonts w:ascii="宋体" w:eastAsia="宋体" w:hAnsi="宋体" w:hint="eastAsia"/>
                <w:kern w:val="2"/>
                <w:sz w:val="21"/>
                <w:szCs w:val="22"/>
                <w:lang w:eastAsia="zh-CN"/>
              </w:rPr>
            </w:pPr>
            <w:r>
              <w:rPr>
                <w:rFonts w:ascii="宋体" w:eastAsia="宋体" w:hAnsi="宋体" w:cstheme="minorBidi" w:hint="eastAsia"/>
                <w:kern w:val="2"/>
                <w:sz w:val="21"/>
                <w:szCs w:val="22"/>
                <w:lang w:eastAsia="zh-CN"/>
              </w:rPr>
              <w:t>本项目招标文件中所有带★号条款内容</w:t>
            </w:r>
          </w:p>
        </w:tc>
      </w:tr>
      <w:bookmarkEnd w:id="14"/>
    </w:tbl>
    <w:p>
      <w:pPr>
        <w:widowControl w:val="0"/>
        <w:ind w:firstLine="420" w:firstLineChars="200"/>
        <w:jc w:val="both"/>
        <w:rPr>
          <w:rFonts w:ascii="Calibri" w:eastAsia="宋体" w:hAnsi="Calibri"/>
          <w:color w:val="FF0000"/>
          <w:kern w:val="2"/>
          <w:sz w:val="21"/>
          <w:szCs w:val="22"/>
          <w:lang w:eastAsia="zh-CN"/>
        </w:rPr>
      </w:pPr>
      <w:r>
        <w:rPr>
          <w:rFonts w:ascii="Calibri" w:eastAsia="宋体" w:hAnsi="Calibri" w:cstheme="minorBidi" w:hint="eastAsia"/>
          <w:color w:val="FF0000"/>
          <w:kern w:val="2"/>
          <w:sz w:val="21"/>
          <w:szCs w:val="22"/>
          <w:lang w:eastAsia="zh-CN"/>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widowControl w:val="0"/>
        <w:jc w:val="both"/>
        <w:rPr>
          <w:rFonts w:ascii="Calibri" w:eastAsia="宋体" w:hAnsi="Calibri"/>
          <w:b/>
          <w:color w:val="FF0000"/>
          <w:kern w:val="2"/>
          <w:sz w:val="21"/>
          <w:szCs w:val="22"/>
          <w:lang w:eastAsia="zh-CN"/>
        </w:rPr>
      </w:pPr>
    </w:p>
    <w:p>
      <w:pPr>
        <w:keepNext/>
        <w:keepLines/>
        <w:widowControl w:val="0"/>
        <w:spacing w:before="260" w:after="260"/>
        <w:jc w:val="center"/>
        <w:outlineLvl w:val="2"/>
        <w:rPr>
          <w:rFonts w:ascii="宋体" w:eastAsia="宋体" w:hAnsi="宋体" w:hint="eastAsia"/>
          <w:b/>
          <w:bCs/>
          <w:kern w:val="2"/>
          <w:sz w:val="28"/>
          <w:szCs w:val="32"/>
          <w:lang w:eastAsia="zh-CN"/>
        </w:rPr>
      </w:pPr>
      <w:r>
        <w:rPr>
          <w:rFonts w:ascii="宋体" w:eastAsia="宋体" w:hAnsi="宋体" w:cstheme="minorBidi" w:hint="eastAsia"/>
          <w:b/>
          <w:bCs/>
          <w:kern w:val="2"/>
          <w:sz w:val="28"/>
          <w:szCs w:val="32"/>
          <w:lang w:eastAsia="zh-CN"/>
        </w:rPr>
        <w:t>四、商务条款要求</w:t>
      </w:r>
    </w:p>
    <w:p>
      <w:pPr>
        <w:widowControl w:val="0"/>
        <w:ind w:firstLine="420" w:firstLineChars="200"/>
        <w:jc w:val="both"/>
        <w:rPr>
          <w:rFonts w:ascii="Calibri" w:eastAsia="宋体" w:hAnsi="Calibri"/>
          <w:b/>
          <w:kern w:val="2"/>
          <w:sz w:val="21"/>
          <w:szCs w:val="21"/>
          <w:lang w:eastAsia="zh-CN"/>
        </w:rPr>
      </w:pPr>
      <w:r>
        <w:rPr>
          <w:rFonts w:ascii="Calibri" w:eastAsia="宋体" w:hAnsi="Calibri" w:cstheme="minorBidi" w:hint="eastAsia"/>
          <w:b/>
          <w:kern w:val="2"/>
          <w:sz w:val="21"/>
          <w:szCs w:val="21"/>
          <w:lang w:eastAsia="zh-CN"/>
        </w:rPr>
        <w:t>说明：带★号条款为不可偏离条款，不作为评分准则中的评分内容，如未响应或出现负偏离的，将作投标无效处理；带“</w:t>
      </w:r>
      <w:r>
        <w:rPr>
          <w:rFonts w:ascii="Calibri" w:eastAsia="宋体" w:hAnsi="Calibri" w:cstheme="minorBidi"/>
          <w:kern w:val="2"/>
          <w:sz w:val="21"/>
          <w:szCs w:val="22"/>
          <w:lang w:eastAsia="zh-CN"/>
        </w:rPr>
        <w:t>▲</w:t>
      </w:r>
      <w:r>
        <w:rPr>
          <w:rFonts w:ascii="Calibri" w:eastAsia="宋体" w:hAnsi="Calibri" w:cstheme="minorBidi" w:hint="eastAsia"/>
          <w:b/>
          <w:kern w:val="2"/>
          <w:sz w:val="21"/>
          <w:szCs w:val="21"/>
          <w:lang w:eastAsia="zh-CN"/>
        </w:rPr>
        <w:t>”指标项为重要参数，负偏离时依相关评分准则内容作重点扣分处理。</w:t>
      </w:r>
    </w:p>
    <w:tbl>
      <w:tblPr>
        <w:tblStyle w:val="TableNormal"/>
        <w:tblW w:w="5000" w:type="pct"/>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021"/>
        <w:gridCol w:w="1378"/>
        <w:gridCol w:w="5457"/>
      </w:tblGrid>
      <w:tr>
        <w:tblPrEx>
          <w:tblW w:w="5000" w:type="pct"/>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97"/>
        </w:trPr>
        <w:tc>
          <w:tcPr>
            <w:tcW w:w="240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序号</w:t>
            </w:r>
          </w:p>
        </w:tc>
        <w:tc>
          <w:tcPr>
            <w:tcW w:w="162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目录</w:t>
            </w:r>
          </w:p>
        </w:tc>
        <w:tc>
          <w:tcPr>
            <w:tcW w:w="6566"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采购商务需求</w:t>
            </w:r>
          </w:p>
        </w:tc>
      </w:tr>
      <w:tr>
        <w:tblPrEx>
          <w:tblW w:w="5000" w:type="pct"/>
          <w:tblInd w:w="-1032" w:type="dxa"/>
          <w:tblLayout w:type="fixed"/>
          <w:tblCellMar>
            <w:top w:w="0" w:type="dxa"/>
            <w:left w:w="108" w:type="dxa"/>
            <w:bottom w:w="0" w:type="dxa"/>
            <w:right w:w="108" w:type="dxa"/>
          </w:tblCellMar>
        </w:tblPrEx>
        <w:trPr>
          <w:trHeight w:val="280"/>
        </w:trPr>
        <w:tc>
          <w:tcPr>
            <w:tcW w:w="10586" w:type="dxa"/>
            <w:gridSpan w:val="3"/>
            <w:noWrap w:val="0"/>
            <w:vAlign w:val="top"/>
          </w:tcPr>
          <w:p>
            <w:pPr>
              <w:rPr>
                <w:rFonts w:ascii="宋体" w:eastAsia="宋体" w:hAnsi="宋体" w:cs="宋体" w:hint="eastAsia"/>
                <w:b/>
                <w:sz w:val="21"/>
                <w:szCs w:val="21"/>
              </w:rPr>
            </w:pPr>
            <w:r>
              <w:rPr>
                <w:rFonts w:ascii="宋体" w:eastAsia="宋体" w:hAnsi="宋体" w:cs="宋体" w:hint="eastAsia"/>
                <w:b/>
                <w:sz w:val="21"/>
                <w:szCs w:val="21"/>
              </w:rPr>
              <w:t>（一）免费保修期内售后服务要求</w:t>
            </w:r>
          </w:p>
        </w:tc>
      </w:tr>
      <w:tr>
        <w:tblPrEx>
          <w:tblW w:w="5000" w:type="pct"/>
          <w:tblInd w:w="-1032" w:type="dxa"/>
          <w:tblLayout w:type="fixed"/>
          <w:tblCellMar>
            <w:top w:w="0" w:type="dxa"/>
            <w:left w:w="108" w:type="dxa"/>
            <w:bottom w:w="0" w:type="dxa"/>
            <w:right w:w="108" w:type="dxa"/>
          </w:tblCellMar>
        </w:tblPrEx>
        <w:trPr>
          <w:trHeight w:val="150"/>
        </w:trPr>
        <w:tc>
          <w:tcPr>
            <w:tcW w:w="240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1</w:t>
            </w:r>
          </w:p>
        </w:tc>
        <w:tc>
          <w:tcPr>
            <w:tcW w:w="1620" w:type="dxa"/>
            <w:noWrap w:val="0"/>
            <w:vAlign w:val="center"/>
          </w:tcPr>
          <w:p>
            <w:pPr>
              <w:rPr>
                <w:rFonts w:ascii="宋体" w:eastAsia="宋体" w:hAnsi="宋体" w:cs="宋体" w:hint="eastAsia"/>
                <w:b/>
                <w:sz w:val="21"/>
                <w:szCs w:val="21"/>
              </w:rPr>
            </w:pPr>
            <w:r>
              <w:rPr>
                <w:rFonts w:ascii="宋体" w:eastAsia="宋体" w:hAnsi="宋体" w:cs="宋体" w:hint="eastAsia"/>
                <w:b/>
                <w:sz w:val="21"/>
                <w:szCs w:val="21"/>
              </w:rPr>
              <w:t>免费保修期</w:t>
            </w:r>
          </w:p>
        </w:tc>
        <w:tc>
          <w:tcPr>
            <w:tcW w:w="6566" w:type="dxa"/>
            <w:noWrap w:val="0"/>
            <w:vAlign w:val="top"/>
          </w:tcPr>
          <w:p>
            <w:pPr>
              <w:rPr>
                <w:rFonts w:ascii="宋体" w:eastAsia="宋体" w:hAnsi="宋体" w:cs="宋体" w:hint="eastAsia"/>
                <w:b/>
                <w:sz w:val="21"/>
                <w:szCs w:val="21"/>
              </w:rPr>
            </w:pPr>
            <w:r>
              <w:rPr>
                <w:rFonts w:ascii="宋体" w:eastAsia="宋体" w:hAnsi="宋体" w:cs="宋体" w:hint="eastAsia"/>
                <w:sz w:val="21"/>
                <w:szCs w:val="21"/>
              </w:rPr>
              <w:t>★</w:t>
            </w:r>
            <w:r>
              <w:rPr>
                <w:rFonts w:ascii="宋体" w:eastAsia="宋体" w:hAnsi="宋体" w:cs="宋体" w:hint="eastAsia"/>
                <w:bCs/>
                <w:sz w:val="21"/>
                <w:szCs w:val="21"/>
              </w:rPr>
              <w:t>货物免费保修期至少</w:t>
            </w:r>
            <w:r>
              <w:rPr>
                <w:rFonts w:ascii="宋体" w:eastAsia="宋体" w:hAnsi="宋体" w:cs="宋体" w:hint="eastAsia"/>
                <w:bCs/>
                <w:sz w:val="21"/>
                <w:szCs w:val="21"/>
                <w:u w:val="single"/>
              </w:rPr>
              <w:t>三</w:t>
            </w:r>
            <w:r>
              <w:rPr>
                <w:rFonts w:ascii="宋体" w:eastAsia="宋体" w:hAnsi="宋体" w:cs="宋体" w:hint="eastAsia"/>
                <w:bCs/>
                <w:sz w:val="21"/>
                <w:szCs w:val="21"/>
              </w:rPr>
              <w:t>年，时间自最终验收合格并交付使用之日起计算。</w:t>
            </w:r>
          </w:p>
        </w:tc>
      </w:tr>
      <w:tr>
        <w:tblPrEx>
          <w:tblW w:w="5000" w:type="pct"/>
          <w:tblInd w:w="-1032" w:type="dxa"/>
          <w:tblLayout w:type="fixed"/>
          <w:tblCellMar>
            <w:top w:w="0" w:type="dxa"/>
            <w:left w:w="108" w:type="dxa"/>
            <w:bottom w:w="0" w:type="dxa"/>
            <w:right w:w="108" w:type="dxa"/>
          </w:tblCellMar>
        </w:tblPrEx>
        <w:trPr>
          <w:trHeight w:val="320"/>
        </w:trPr>
        <w:tc>
          <w:tcPr>
            <w:tcW w:w="240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2</w:t>
            </w:r>
          </w:p>
        </w:tc>
        <w:tc>
          <w:tcPr>
            <w:tcW w:w="1620" w:type="dxa"/>
            <w:noWrap w:val="0"/>
            <w:vAlign w:val="top"/>
          </w:tcPr>
          <w:p>
            <w:pPr>
              <w:rPr>
                <w:rFonts w:ascii="宋体" w:eastAsia="宋体" w:hAnsi="宋体" w:cs="宋体" w:hint="eastAsia"/>
                <w:b/>
                <w:sz w:val="21"/>
                <w:szCs w:val="21"/>
              </w:rPr>
            </w:pPr>
            <w:r>
              <w:rPr>
                <w:rFonts w:ascii="宋体" w:eastAsia="宋体" w:hAnsi="宋体" w:cs="宋体" w:hint="eastAsia"/>
                <w:b/>
                <w:sz w:val="21"/>
                <w:szCs w:val="21"/>
              </w:rPr>
              <w:t>维修响应及故障解决时间</w:t>
            </w:r>
          </w:p>
        </w:tc>
        <w:tc>
          <w:tcPr>
            <w:tcW w:w="6566" w:type="dxa"/>
            <w:noWrap w:val="0"/>
            <w:vAlign w:val="top"/>
          </w:tcPr>
          <w:p>
            <w:pPr>
              <w:rPr>
                <w:rFonts w:ascii="宋体" w:eastAsia="宋体" w:hAnsi="宋体" w:cs="宋体" w:hint="eastAsia"/>
                <w:b/>
                <w:sz w:val="21"/>
                <w:szCs w:val="21"/>
              </w:rPr>
            </w:pPr>
            <w:r>
              <w:rPr>
                <w:rFonts w:ascii="宋体" w:eastAsia="宋体" w:hAnsi="宋体" w:cs="宋体" w:hint="eastAsia"/>
                <w:bCs/>
                <w:sz w:val="21"/>
                <w:szCs w:val="21"/>
              </w:rPr>
              <w:t>投标人承诺中标后，在保修期内，一旦发生质量问题，投标人保证在接到通知24小时内赶到现场进行修理或更换。</w:t>
            </w:r>
          </w:p>
        </w:tc>
      </w:tr>
      <w:tr>
        <w:tblPrEx>
          <w:tblW w:w="5000" w:type="pct"/>
          <w:tblInd w:w="-1032" w:type="dxa"/>
          <w:tblLayout w:type="fixed"/>
          <w:tblCellMar>
            <w:top w:w="0" w:type="dxa"/>
            <w:left w:w="108" w:type="dxa"/>
            <w:bottom w:w="0" w:type="dxa"/>
            <w:right w:w="108" w:type="dxa"/>
          </w:tblCellMar>
        </w:tblPrEx>
        <w:trPr>
          <w:trHeight w:val="523"/>
        </w:trPr>
        <w:tc>
          <w:tcPr>
            <w:tcW w:w="240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3</w:t>
            </w:r>
          </w:p>
        </w:tc>
        <w:tc>
          <w:tcPr>
            <w:tcW w:w="1620" w:type="dxa"/>
            <w:noWrap w:val="0"/>
            <w:vAlign w:val="center"/>
          </w:tcPr>
          <w:p>
            <w:pPr>
              <w:rPr>
                <w:rFonts w:ascii="宋体" w:eastAsia="宋体" w:hAnsi="宋体" w:cs="宋体" w:hint="eastAsia"/>
                <w:b/>
                <w:sz w:val="21"/>
                <w:szCs w:val="21"/>
              </w:rPr>
            </w:pPr>
            <w:r>
              <w:rPr>
                <w:rFonts w:ascii="宋体" w:eastAsia="宋体" w:hAnsi="宋体" w:cs="宋体" w:hint="eastAsia"/>
                <w:sz w:val="21"/>
                <w:szCs w:val="21"/>
              </w:rPr>
              <w:t>其他</w:t>
            </w:r>
          </w:p>
        </w:tc>
        <w:tc>
          <w:tcPr>
            <w:tcW w:w="6566" w:type="dxa"/>
            <w:noWrap w:val="0"/>
            <w:vAlign w:val="center"/>
          </w:tcPr>
          <w:p>
            <w:pPr>
              <w:rPr>
                <w:rFonts w:ascii="宋体" w:eastAsia="宋体" w:hAnsi="宋体" w:cs="宋体" w:hint="eastAsia"/>
                <w:b/>
                <w:sz w:val="21"/>
                <w:szCs w:val="21"/>
              </w:rPr>
            </w:pPr>
            <w:r>
              <w:rPr>
                <w:rFonts w:ascii="宋体" w:eastAsia="宋体" w:hAnsi="宋体" w:cs="宋体" w:hint="eastAsia"/>
                <w:bCs/>
                <w:sz w:val="21"/>
                <w:szCs w:val="21"/>
              </w:rPr>
              <w:t>投标人中标后，应按其投标文件中的承诺，进行其他售后服务工作。</w:t>
            </w:r>
          </w:p>
        </w:tc>
      </w:tr>
      <w:tr>
        <w:tblPrEx>
          <w:tblW w:w="5000" w:type="pct"/>
          <w:tblInd w:w="-1032" w:type="dxa"/>
          <w:tblLayout w:type="fixed"/>
          <w:tblCellMar>
            <w:top w:w="0" w:type="dxa"/>
            <w:left w:w="108" w:type="dxa"/>
            <w:bottom w:w="0" w:type="dxa"/>
            <w:right w:w="108" w:type="dxa"/>
          </w:tblCellMar>
        </w:tblPrEx>
        <w:trPr>
          <w:trHeight w:val="350"/>
        </w:trPr>
        <w:tc>
          <w:tcPr>
            <w:tcW w:w="10586" w:type="dxa"/>
            <w:gridSpan w:val="3"/>
            <w:noWrap w:val="0"/>
            <w:vAlign w:val="top"/>
          </w:tcPr>
          <w:p>
            <w:pPr>
              <w:rPr>
                <w:rFonts w:ascii="宋体" w:eastAsia="宋体" w:hAnsi="宋体" w:cs="宋体" w:hint="eastAsia"/>
                <w:b/>
                <w:sz w:val="21"/>
                <w:szCs w:val="21"/>
              </w:rPr>
            </w:pPr>
            <w:r>
              <w:rPr>
                <w:rFonts w:ascii="宋体" w:eastAsia="宋体" w:hAnsi="宋体" w:cs="宋体" w:hint="eastAsia"/>
                <w:b/>
                <w:sz w:val="21"/>
                <w:szCs w:val="21"/>
              </w:rPr>
              <w:t>（二）其他商务要求</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1</w:t>
            </w:r>
          </w:p>
        </w:tc>
        <w:tc>
          <w:tcPr>
            <w:tcW w:w="162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关于交货</w:t>
            </w:r>
          </w:p>
        </w:tc>
        <w:tc>
          <w:tcPr>
            <w:tcW w:w="6566" w:type="dxa"/>
            <w:noWrap w:val="0"/>
            <w:vAlign w:val="top"/>
          </w:tcPr>
          <w:p>
            <w:pPr>
              <w:rPr>
                <w:rFonts w:ascii="宋体" w:eastAsia="宋体" w:hAnsi="宋体" w:cs="宋体" w:hint="eastAsia"/>
                <w:b/>
                <w:sz w:val="21"/>
                <w:szCs w:val="21"/>
              </w:rPr>
            </w:pPr>
            <w:r>
              <w:rPr>
                <w:rFonts w:ascii="宋体" w:eastAsia="宋体" w:hAnsi="宋体" w:cs="宋体" w:hint="eastAsia"/>
                <w:bCs/>
                <w:sz w:val="21"/>
                <w:szCs w:val="21"/>
              </w:rPr>
              <w:t>1.1</w:t>
            </w:r>
            <w:r>
              <w:rPr>
                <w:rFonts w:ascii="宋体" w:eastAsia="宋体" w:hAnsi="宋体" w:cs="宋体" w:hint="eastAsia"/>
                <w:sz w:val="21"/>
                <w:szCs w:val="21"/>
              </w:rPr>
              <w:t>★</w:t>
            </w:r>
            <w:r>
              <w:rPr>
                <w:rFonts w:ascii="宋体" w:eastAsia="宋体" w:hAnsi="宋体" w:cs="宋体" w:hint="eastAsia"/>
                <w:bCs/>
                <w:sz w:val="21"/>
                <w:szCs w:val="21"/>
              </w:rPr>
              <w:t>签订合同后</w:t>
            </w:r>
            <w:r>
              <w:rPr>
                <w:rFonts w:ascii="宋体" w:eastAsia="宋体" w:hAnsi="宋体" w:cs="宋体" w:hint="eastAsia"/>
                <w:bCs/>
                <w:sz w:val="21"/>
                <w:szCs w:val="21"/>
                <w:u w:val="single"/>
              </w:rPr>
              <w:t>30</w:t>
            </w:r>
            <w:r>
              <w:rPr>
                <w:rFonts w:ascii="宋体" w:eastAsia="宋体" w:hAnsi="宋体" w:cs="宋体" w:hint="eastAsia"/>
                <w:bCs/>
                <w:sz w:val="21"/>
                <w:szCs w:val="21"/>
              </w:rPr>
              <w:t>天（日历日）内。</w:t>
            </w:r>
          </w:p>
        </w:tc>
      </w:tr>
      <w:tr>
        <w:tblPrEx>
          <w:tblW w:w="5000" w:type="pct"/>
          <w:tblInd w:w="-1032" w:type="dxa"/>
          <w:tblLayout w:type="fixed"/>
          <w:tblCellMar>
            <w:top w:w="0" w:type="dxa"/>
            <w:left w:w="108" w:type="dxa"/>
            <w:bottom w:w="0" w:type="dxa"/>
            <w:right w:w="108" w:type="dxa"/>
          </w:tblCellMar>
        </w:tblPrEx>
        <w:trPr>
          <w:trHeight w:val="451"/>
        </w:trPr>
        <w:tc>
          <w:tcPr>
            <w:tcW w:w="2400" w:type="dxa"/>
            <w:vMerge/>
            <w:noWrap w:val="0"/>
            <w:vAlign w:val="center"/>
          </w:tcPr>
          <w:p>
            <w:pPr>
              <w:jc w:val="center"/>
              <w:rPr>
                <w:rFonts w:ascii="宋体" w:eastAsia="宋体" w:hAnsi="宋体" w:cs="宋体" w:hint="eastAsia"/>
                <w:b/>
                <w:sz w:val="21"/>
                <w:szCs w:val="21"/>
              </w:rPr>
            </w:pPr>
          </w:p>
        </w:tc>
        <w:tc>
          <w:tcPr>
            <w:tcW w:w="1620" w:type="dxa"/>
            <w:vMerge/>
            <w:noWrap w:val="0"/>
            <w:vAlign w:val="center"/>
          </w:tcPr>
          <w:p>
            <w:pPr>
              <w:jc w:val="center"/>
              <w:rPr>
                <w:rFonts w:ascii="宋体" w:eastAsia="宋体" w:hAnsi="宋体" w:cs="宋体" w:hint="eastAsia"/>
                <w:b/>
                <w:sz w:val="21"/>
                <w:szCs w:val="21"/>
              </w:rPr>
            </w:pPr>
          </w:p>
        </w:tc>
        <w:tc>
          <w:tcPr>
            <w:tcW w:w="6566" w:type="dxa"/>
            <w:noWrap w:val="0"/>
            <w:vAlign w:val="top"/>
          </w:tcPr>
          <w:p>
            <w:pPr>
              <w:rPr>
                <w:rFonts w:ascii="宋体" w:eastAsia="宋体" w:hAnsi="宋体" w:cs="宋体" w:hint="eastAsia"/>
                <w:bCs/>
                <w:sz w:val="21"/>
                <w:szCs w:val="21"/>
              </w:rPr>
            </w:pPr>
            <w:r>
              <w:rPr>
                <w:rFonts w:ascii="宋体" w:eastAsia="宋体" w:hAnsi="宋体" w:cs="宋体" w:hint="eastAsia"/>
                <w:bCs/>
                <w:sz w:val="21"/>
                <w:szCs w:val="21"/>
              </w:rPr>
              <w:t>1.2投标人中标后，必须承担设备运输、安装调试、验收检测和提供设备操作说明书、图纸等其他类似的义务。</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2</w:t>
            </w:r>
          </w:p>
        </w:tc>
        <w:tc>
          <w:tcPr>
            <w:tcW w:w="162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关于验收</w:t>
            </w: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bCs/>
                <w:sz w:val="21"/>
                <w:szCs w:val="21"/>
              </w:rPr>
              <w:t>2.1投标人中标后，其货物经过双方检验认可后，签署验收报告，产品保修期自验收合格之日起算，由投标人提供产品保修文件。</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
                <w:sz w:val="21"/>
                <w:szCs w:val="21"/>
              </w:rPr>
            </w:pPr>
          </w:p>
        </w:tc>
        <w:tc>
          <w:tcPr>
            <w:tcW w:w="1620" w:type="dxa"/>
            <w:vMerge/>
            <w:noWrap w:val="0"/>
            <w:vAlign w:val="top"/>
          </w:tcPr>
          <w:p>
            <w:pPr>
              <w:rPr>
                <w:rFonts w:ascii="宋体" w:eastAsia="宋体" w:hAnsi="宋体" w:cs="宋体" w:hint="eastAsia"/>
                <w:b/>
                <w:sz w:val="21"/>
                <w:szCs w:val="21"/>
              </w:rPr>
            </w:pP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bCs/>
                <w:sz w:val="21"/>
                <w:szCs w:val="21"/>
              </w:rPr>
              <w:t>2.2投标人中标后，当满足以下条件时，采购人才向投标人签发货物验收报告：</w:t>
            </w:r>
          </w:p>
          <w:p>
            <w:pPr>
              <w:tabs>
                <w:tab w:val="left" w:pos="1260"/>
              </w:tabs>
              <w:spacing w:line="340" w:lineRule="exact"/>
              <w:rPr>
                <w:rFonts w:ascii="宋体" w:eastAsia="宋体" w:hAnsi="宋体" w:cs="宋体" w:hint="eastAsia"/>
                <w:bCs/>
                <w:sz w:val="21"/>
                <w:szCs w:val="21"/>
              </w:rPr>
            </w:pPr>
            <w:r>
              <w:rPr>
                <w:rFonts w:ascii="宋体" w:eastAsia="宋体" w:hAnsi="宋体" w:cs="宋体" w:hint="eastAsia"/>
                <w:bCs/>
                <w:sz w:val="21"/>
                <w:szCs w:val="21"/>
              </w:rPr>
              <w:t>a、投标人已按照合同规定提供了全部产品及完整的技术资料。</w:t>
            </w:r>
          </w:p>
          <w:p>
            <w:pPr>
              <w:tabs>
                <w:tab w:val="left" w:pos="1260"/>
              </w:tabs>
              <w:spacing w:line="340" w:lineRule="exact"/>
              <w:rPr>
                <w:rFonts w:ascii="宋体" w:eastAsia="宋体" w:hAnsi="宋体" w:cs="宋体" w:hint="eastAsia"/>
                <w:bCs/>
                <w:sz w:val="21"/>
                <w:szCs w:val="21"/>
              </w:rPr>
            </w:pPr>
            <w:r>
              <w:rPr>
                <w:rFonts w:ascii="宋体" w:eastAsia="宋体" w:hAnsi="宋体" w:cs="宋体" w:hint="eastAsia"/>
                <w:bCs/>
                <w:sz w:val="21"/>
                <w:szCs w:val="21"/>
              </w:rPr>
              <w:t>b、货物符合采购文件技术规格书的要求，性能满足要求。</w:t>
            </w:r>
          </w:p>
          <w:p>
            <w:pPr>
              <w:tabs>
                <w:tab w:val="left" w:pos="1260"/>
              </w:tabs>
              <w:spacing w:line="340" w:lineRule="exact"/>
              <w:rPr>
                <w:rFonts w:ascii="宋体" w:eastAsia="宋体" w:hAnsi="宋体" w:cs="宋体" w:hint="eastAsia"/>
                <w:bCs/>
                <w:sz w:val="21"/>
                <w:szCs w:val="21"/>
              </w:rPr>
            </w:pPr>
            <w:r>
              <w:rPr>
                <w:rFonts w:ascii="宋体" w:eastAsia="宋体" w:hAnsi="宋体" w:cs="宋体" w:hint="eastAsia"/>
                <w:bCs/>
                <w:sz w:val="21"/>
                <w:szCs w:val="21"/>
              </w:rPr>
              <w:t>c、货物具备产品合格证。</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3</w:t>
            </w:r>
          </w:p>
        </w:tc>
        <w:tc>
          <w:tcPr>
            <w:tcW w:w="1620" w:type="dxa"/>
            <w:vMerge w:val="restart"/>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违约责任</w:t>
            </w: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sz w:val="21"/>
                <w:szCs w:val="21"/>
              </w:rPr>
              <w:t>3.1如</w:t>
            </w:r>
            <w:r>
              <w:rPr>
                <w:rFonts w:ascii="宋体" w:eastAsia="宋体" w:hAnsi="宋体" w:cs="宋体" w:hint="eastAsia"/>
                <w:bCs/>
                <w:sz w:val="21"/>
                <w:szCs w:val="21"/>
              </w:rPr>
              <w:t>投标人中标后</w:t>
            </w:r>
            <w:r>
              <w:rPr>
                <w:rFonts w:ascii="宋体" w:eastAsia="宋体" w:hAnsi="宋体" w:cs="宋体" w:hint="eastAsia"/>
                <w:sz w:val="21"/>
                <w:szCs w:val="21"/>
              </w:rPr>
              <w:t>未按照投标文件中承诺的时间交货或提供服务，</w:t>
            </w:r>
            <w:r>
              <w:rPr>
                <w:rFonts w:ascii="宋体" w:eastAsia="宋体" w:hAnsi="宋体" w:cs="宋体" w:hint="eastAsia"/>
                <w:bCs/>
                <w:sz w:val="21"/>
                <w:szCs w:val="21"/>
              </w:rPr>
              <w:t>投标人</w:t>
            </w:r>
            <w:r>
              <w:rPr>
                <w:rFonts w:ascii="宋体" w:eastAsia="宋体" w:hAnsi="宋体" w:cs="宋体" w:hint="eastAsia"/>
                <w:sz w:val="21"/>
                <w:szCs w:val="21"/>
              </w:rPr>
              <w:t>应承担延期交货和延期服务的违约责任，并赔偿采购人因此造成的实际经济损失，采购人有权终止合同。</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Cs/>
                <w:sz w:val="21"/>
                <w:szCs w:val="21"/>
              </w:rPr>
            </w:pPr>
          </w:p>
        </w:tc>
        <w:tc>
          <w:tcPr>
            <w:tcW w:w="1620" w:type="dxa"/>
            <w:vMerge/>
            <w:noWrap w:val="0"/>
            <w:vAlign w:val="center"/>
          </w:tcPr>
          <w:p>
            <w:pPr>
              <w:jc w:val="center"/>
              <w:rPr>
                <w:rFonts w:ascii="宋体" w:eastAsia="宋体" w:hAnsi="宋体" w:cs="宋体" w:hint="eastAsia"/>
                <w:bCs/>
                <w:sz w:val="21"/>
                <w:szCs w:val="21"/>
              </w:rPr>
            </w:pP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bCs/>
                <w:sz w:val="21"/>
                <w:szCs w:val="21"/>
              </w:rPr>
              <w:t xml:space="preserve">3.2投标人中标后所交设备的品种、型号、规格、质量、功能、技术参数等方面不能实质性满足采购文件要求的，采购人有权拒绝收货，投标人向采购人偿付项目采购金额【20】% （10%以上20%以下）的违约金并采取更换、补足等补救措施，致使逾期交付的，还应承担逾期交付的违约责任。 </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Cs/>
                <w:sz w:val="21"/>
                <w:szCs w:val="21"/>
              </w:rPr>
            </w:pPr>
          </w:p>
        </w:tc>
        <w:tc>
          <w:tcPr>
            <w:tcW w:w="1620" w:type="dxa"/>
            <w:vMerge/>
            <w:noWrap w:val="0"/>
            <w:vAlign w:val="center"/>
          </w:tcPr>
          <w:p>
            <w:pPr>
              <w:jc w:val="center"/>
              <w:rPr>
                <w:rFonts w:ascii="宋体" w:eastAsia="宋体" w:hAnsi="宋体" w:cs="宋体" w:hint="eastAsia"/>
                <w:bCs/>
                <w:sz w:val="21"/>
                <w:szCs w:val="21"/>
              </w:rPr>
            </w:pP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bCs/>
                <w:sz w:val="21"/>
                <w:szCs w:val="21"/>
              </w:rPr>
              <w:t>3.3投标人中标后不能交付设备的，投标人向采购人偿付项目采购金额【20】%（10%以上20%以下）的违约金。</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Cs/>
                <w:sz w:val="21"/>
                <w:szCs w:val="21"/>
              </w:rPr>
            </w:pPr>
          </w:p>
        </w:tc>
        <w:tc>
          <w:tcPr>
            <w:tcW w:w="1620" w:type="dxa"/>
            <w:vMerge/>
            <w:noWrap w:val="0"/>
            <w:vAlign w:val="top"/>
          </w:tcPr>
          <w:p>
            <w:pPr>
              <w:rPr>
                <w:rFonts w:ascii="宋体" w:eastAsia="宋体" w:hAnsi="宋体" w:cs="宋体" w:hint="eastAsia"/>
                <w:bCs/>
                <w:sz w:val="21"/>
                <w:szCs w:val="21"/>
              </w:rPr>
            </w:pPr>
          </w:p>
        </w:tc>
        <w:tc>
          <w:tcPr>
            <w:tcW w:w="6566" w:type="dxa"/>
            <w:noWrap w:val="0"/>
            <w:vAlign w:val="top"/>
          </w:tcPr>
          <w:p>
            <w:pPr>
              <w:spacing w:line="340" w:lineRule="exact"/>
              <w:rPr>
                <w:rFonts w:ascii="宋体" w:eastAsia="宋体" w:hAnsi="宋体" w:cs="宋体" w:hint="eastAsia"/>
                <w:bCs/>
                <w:sz w:val="21"/>
                <w:szCs w:val="21"/>
              </w:rPr>
            </w:pPr>
            <w:r>
              <w:rPr>
                <w:rFonts w:ascii="宋体" w:eastAsia="宋体" w:hAnsi="宋体" w:cs="宋体" w:hint="eastAsia"/>
                <w:bCs/>
                <w:sz w:val="21"/>
                <w:szCs w:val="21"/>
              </w:rPr>
              <w:t>3.4投标人中标后逾期交付货物的，每逾期1天，投标人向采购人偿付项目采购金额的【5】‰（1‰以上5‰以下）的违约金。如投标人逾期交货达</w:t>
            </w:r>
            <w:r>
              <w:rPr>
                <w:rFonts w:ascii="宋体" w:eastAsia="宋体" w:hAnsi="宋体" w:cs="宋体" w:hint="eastAsia"/>
                <w:bCs/>
                <w:sz w:val="21"/>
                <w:szCs w:val="21"/>
                <w:u w:val="single"/>
              </w:rPr>
              <w:t xml:space="preserve"> 30 </w:t>
            </w:r>
            <w:r>
              <w:rPr>
                <w:rFonts w:ascii="宋体" w:eastAsia="宋体" w:hAnsi="宋体" w:cs="宋体" w:hint="eastAsia"/>
                <w:bCs/>
                <w:sz w:val="21"/>
                <w:szCs w:val="21"/>
              </w:rPr>
              <w:t>天，采购人有权解除合同。</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Cs/>
                <w:sz w:val="21"/>
                <w:szCs w:val="21"/>
              </w:rPr>
            </w:pPr>
          </w:p>
        </w:tc>
        <w:tc>
          <w:tcPr>
            <w:tcW w:w="1620" w:type="dxa"/>
            <w:vMerge/>
            <w:noWrap w:val="0"/>
            <w:vAlign w:val="top"/>
          </w:tcPr>
          <w:p>
            <w:pPr>
              <w:rPr>
                <w:rFonts w:ascii="宋体" w:eastAsia="宋体" w:hAnsi="宋体" w:cs="宋体" w:hint="eastAsia"/>
                <w:bCs/>
                <w:sz w:val="21"/>
                <w:szCs w:val="21"/>
              </w:rPr>
            </w:pPr>
          </w:p>
        </w:tc>
        <w:tc>
          <w:tcPr>
            <w:tcW w:w="6566" w:type="dxa"/>
            <w:noWrap w:val="0"/>
            <w:vAlign w:val="top"/>
          </w:tcPr>
          <w:p>
            <w:pPr>
              <w:rPr>
                <w:rFonts w:ascii="宋体" w:eastAsia="宋体" w:hAnsi="宋体" w:cs="宋体" w:hint="eastAsia"/>
                <w:b/>
                <w:sz w:val="21"/>
                <w:szCs w:val="21"/>
              </w:rPr>
            </w:pPr>
            <w:r>
              <w:rPr>
                <w:rFonts w:ascii="宋体" w:eastAsia="宋体" w:hAnsi="宋体" w:cs="宋体" w:hint="eastAsia"/>
                <w:bCs/>
                <w:sz w:val="21"/>
                <w:szCs w:val="21"/>
              </w:rPr>
              <w:t>3.5投标人中标后，在其承诺的或国家规定的质量保证期内（取两者中最长的期限），如经投标人两次维修或更换，货物仍不能达到采购文件要求及投标文件承诺的质量标准，采购人有权退货，投标人应退回全部货款并赔偿采购人因此遭受的损失。</w:t>
            </w:r>
          </w:p>
        </w:tc>
      </w:tr>
      <w:tr>
        <w:tblPrEx>
          <w:tblW w:w="5000" w:type="pct"/>
          <w:tblInd w:w="-1032" w:type="dxa"/>
          <w:tblLayout w:type="fixed"/>
          <w:tblCellMar>
            <w:top w:w="0" w:type="dxa"/>
            <w:left w:w="108" w:type="dxa"/>
            <w:bottom w:w="0" w:type="dxa"/>
            <w:right w:w="108" w:type="dxa"/>
          </w:tblCellMar>
        </w:tblPrEx>
        <w:trPr>
          <w:trHeight w:val="350"/>
        </w:trPr>
        <w:tc>
          <w:tcPr>
            <w:tcW w:w="2400" w:type="dxa"/>
            <w:vMerge/>
            <w:noWrap w:val="0"/>
            <w:vAlign w:val="center"/>
          </w:tcPr>
          <w:p>
            <w:pPr>
              <w:jc w:val="center"/>
              <w:rPr>
                <w:rFonts w:ascii="宋体" w:eastAsia="宋体" w:hAnsi="宋体" w:cs="宋体" w:hint="eastAsia"/>
                <w:bCs/>
                <w:sz w:val="21"/>
                <w:szCs w:val="21"/>
              </w:rPr>
            </w:pPr>
          </w:p>
        </w:tc>
        <w:tc>
          <w:tcPr>
            <w:tcW w:w="1620" w:type="dxa"/>
            <w:vMerge/>
            <w:noWrap w:val="0"/>
            <w:vAlign w:val="top"/>
          </w:tcPr>
          <w:p>
            <w:pPr>
              <w:rPr>
                <w:rFonts w:ascii="宋体" w:eastAsia="宋体" w:hAnsi="宋体" w:cs="宋体" w:hint="eastAsia"/>
                <w:bCs/>
                <w:sz w:val="21"/>
                <w:szCs w:val="21"/>
              </w:rPr>
            </w:pPr>
          </w:p>
        </w:tc>
        <w:tc>
          <w:tcPr>
            <w:tcW w:w="6566" w:type="dxa"/>
            <w:noWrap w:val="0"/>
            <w:vAlign w:val="top"/>
          </w:tcPr>
          <w:p>
            <w:pPr>
              <w:rPr>
                <w:rFonts w:ascii="宋体" w:eastAsia="宋体" w:hAnsi="宋体" w:cs="宋体" w:hint="eastAsia"/>
                <w:b/>
                <w:sz w:val="21"/>
                <w:szCs w:val="21"/>
              </w:rPr>
            </w:pPr>
            <w:r>
              <w:rPr>
                <w:rFonts w:ascii="宋体" w:eastAsia="宋体" w:hAnsi="宋体" w:cs="宋体" w:hint="eastAsia"/>
                <w:bCs/>
                <w:sz w:val="21"/>
                <w:szCs w:val="21"/>
              </w:rPr>
              <w:t>3.6投标人中标后在承担上述一项或多项违约责任后，仍应继续履行合同规定的义务（采购人解除合同的除外）。采购人未能及时追究投标人的任何一项违约责任并不表明采购人放弃追究投标人该项或其他违约责任。</w:t>
            </w:r>
          </w:p>
        </w:tc>
      </w:tr>
      <w:tr>
        <w:tblPrEx>
          <w:tblW w:w="5000" w:type="pct"/>
          <w:tblInd w:w="-1032" w:type="dxa"/>
          <w:tblLayout w:type="fixed"/>
          <w:tblCellMar>
            <w:top w:w="0" w:type="dxa"/>
            <w:left w:w="108" w:type="dxa"/>
            <w:bottom w:w="0" w:type="dxa"/>
            <w:right w:w="108" w:type="dxa"/>
          </w:tblCellMar>
        </w:tblPrEx>
        <w:trPr>
          <w:trHeight w:val="350"/>
        </w:trPr>
        <w:tc>
          <w:tcPr>
            <w:tcW w:w="240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4</w:t>
            </w:r>
          </w:p>
        </w:tc>
        <w:tc>
          <w:tcPr>
            <w:tcW w:w="1620" w:type="dxa"/>
            <w:noWrap w:val="0"/>
            <w:vAlign w:val="center"/>
          </w:tcPr>
          <w:p>
            <w:pPr>
              <w:jc w:val="center"/>
              <w:rPr>
                <w:rFonts w:ascii="宋体" w:eastAsia="宋体" w:hAnsi="宋体" w:cs="宋体" w:hint="eastAsia"/>
                <w:b/>
                <w:sz w:val="21"/>
                <w:szCs w:val="21"/>
              </w:rPr>
            </w:pPr>
            <w:r>
              <w:rPr>
                <w:rFonts w:ascii="宋体" w:eastAsia="宋体" w:hAnsi="宋体" w:cs="宋体" w:hint="eastAsia"/>
                <w:b/>
                <w:sz w:val="21"/>
                <w:szCs w:val="21"/>
              </w:rPr>
              <w:t>其他</w:t>
            </w:r>
          </w:p>
        </w:tc>
        <w:tc>
          <w:tcPr>
            <w:tcW w:w="6566" w:type="dxa"/>
            <w:noWrap w:val="0"/>
            <w:vAlign w:val="top"/>
          </w:tcPr>
          <w:p>
            <w:pPr>
              <w:rPr>
                <w:rFonts w:ascii="宋体" w:eastAsia="宋体" w:hAnsi="宋体" w:cs="宋体" w:hint="eastAsia"/>
                <w:bCs/>
                <w:sz w:val="21"/>
                <w:szCs w:val="21"/>
              </w:rPr>
            </w:pPr>
            <w:r>
              <w:rPr>
                <w:rFonts w:ascii="宋体" w:eastAsia="宋体" w:hAnsi="宋体" w:cs="宋体" w:hint="eastAsia"/>
                <w:bCs/>
                <w:sz w:val="21"/>
                <w:szCs w:val="21"/>
              </w:rPr>
              <w:t>投标人中标后应按其投标文件中的承诺，进行其他售后服务工作。</w:t>
            </w:r>
          </w:p>
        </w:tc>
      </w:tr>
    </w:tbl>
    <w:p>
      <w:pPr>
        <w:widowControl w:val="0"/>
        <w:ind w:firstLine="420" w:firstLineChars="200"/>
        <w:jc w:val="both"/>
        <w:rPr>
          <w:rFonts w:ascii="Calibri" w:eastAsia="宋体" w:hAnsi="Calibri"/>
          <w:b/>
          <w:kern w:val="2"/>
          <w:sz w:val="21"/>
          <w:szCs w:val="21"/>
          <w:lang w:eastAsia="zh-CN"/>
        </w:rPr>
      </w:pPr>
    </w:p>
    <w:p>
      <w:pPr>
        <w:keepNext/>
        <w:keepLines/>
        <w:widowControl w:val="0"/>
        <w:tabs>
          <w:tab w:val="left" w:pos="1680"/>
        </w:tabs>
        <w:spacing w:before="260" w:after="60" w:afterLines="25"/>
        <w:jc w:val="center"/>
        <w:outlineLvl w:val="2"/>
        <w:rPr>
          <w:rFonts w:ascii="Arial" w:eastAsia="宋体" w:hAnsi="Arial"/>
          <w:b/>
          <w:bCs/>
          <w:kern w:val="2"/>
          <w:sz w:val="32"/>
          <w:szCs w:val="32"/>
          <w:lang w:eastAsia="zh-CN"/>
        </w:rPr>
      </w:pPr>
      <w:r>
        <w:rPr>
          <w:rFonts w:ascii="Arial" w:eastAsia="宋体" w:hAnsi="Arial" w:hint="eastAsia"/>
          <w:b/>
          <w:bCs/>
          <w:kern w:val="2"/>
          <w:sz w:val="32"/>
          <w:szCs w:val="32"/>
          <w:lang w:eastAsia="zh-CN"/>
        </w:rPr>
        <w:t>五、技术要求</w:t>
      </w:r>
    </w:p>
    <w:p>
      <w:pPr>
        <w:widowControl w:val="0"/>
        <w:jc w:val="both"/>
        <w:rPr>
          <w:rFonts w:ascii="Calibri" w:eastAsia="宋体" w:hAnsi="Calibri"/>
          <w:b/>
          <w:color w:val="000000"/>
          <w:kern w:val="2"/>
          <w:sz w:val="21"/>
          <w:szCs w:val="21"/>
          <w:lang w:eastAsia="zh-CN"/>
        </w:rPr>
      </w:pPr>
      <w:r>
        <w:rPr>
          <w:rFonts w:ascii="Calibri" w:eastAsia="宋体" w:hAnsi="Calibri" w:cstheme="minorBidi" w:hint="eastAsia"/>
          <w:b/>
          <w:color w:val="000000"/>
          <w:kern w:val="2"/>
          <w:sz w:val="21"/>
          <w:szCs w:val="21"/>
          <w:lang w:eastAsia="zh-CN"/>
        </w:rPr>
        <w:t>说明：</w:t>
      </w:r>
    </w:p>
    <w:p>
      <w:pPr>
        <w:widowControl w:val="0"/>
        <w:ind w:firstLine="420" w:firstLineChars="200"/>
        <w:jc w:val="both"/>
        <w:rPr>
          <w:rFonts w:ascii="Calibri" w:eastAsia="宋体" w:hAnsi="Calibri"/>
          <w:bCs/>
          <w:kern w:val="2"/>
          <w:sz w:val="21"/>
          <w:szCs w:val="21"/>
          <w:lang w:eastAsia="zh-CN"/>
        </w:rPr>
      </w:pPr>
      <w:r>
        <w:rPr>
          <w:rFonts w:ascii="Calibri" w:eastAsia="宋体" w:hAnsi="Calibri" w:cstheme="minorBidi" w:hint="eastAsia"/>
          <w:bCs/>
          <w:kern w:val="2"/>
          <w:sz w:val="21"/>
          <w:szCs w:val="21"/>
          <w:lang w:eastAsia="zh-CN"/>
        </w:rPr>
        <w:t>1、</w:t>
      </w:r>
      <w:r>
        <w:rPr>
          <w:rFonts w:ascii="Calibri" w:eastAsia="宋体" w:hAnsi="Calibri" w:cstheme="minorBidi" w:hint="eastAsia"/>
          <w:bCs/>
          <w:kern w:val="2"/>
          <w:sz w:val="21"/>
          <w:szCs w:val="22"/>
          <w:lang w:eastAsia="zh-CN"/>
        </w:rPr>
        <w:t>评分时，如对一项招标技术要求（以划分框为准）中的内容存在两处（或以上）负偏离的，在评分时只作一项负偏离扣分。</w:t>
      </w:r>
    </w:p>
    <w:p>
      <w:pPr>
        <w:widowControl w:val="0"/>
        <w:spacing w:line="360" w:lineRule="auto"/>
        <w:ind w:firstLine="420" w:firstLineChars="200"/>
        <w:jc w:val="both"/>
        <w:rPr>
          <w:rFonts w:ascii="宋体" w:eastAsia="宋体" w:hAnsi="宋体" w:cs="宋体" w:hint="eastAsia"/>
          <w:bCs/>
          <w:kern w:val="2"/>
          <w:sz w:val="21"/>
          <w:szCs w:val="21"/>
          <w:highlight w:val="yellow"/>
          <w:lang w:eastAsia="zh-CN"/>
        </w:rPr>
      </w:pPr>
      <w:r>
        <w:rPr>
          <w:rFonts w:ascii="宋体" w:eastAsia="宋体" w:hAnsi="宋体" w:cs="宋体" w:hint="eastAsia"/>
          <w:bCs/>
          <w:kern w:val="2"/>
          <w:sz w:val="21"/>
          <w:szCs w:val="21"/>
          <w:lang w:eastAsia="zh-CN"/>
        </w:rPr>
        <w:t>2、带★号条款为不可负偏离条款，不作为评分准则中的评分内容，如未响应或出现负偏离的，将作投标无效处理。带▲号参数为重要参数，其他参数（非▲号参数）为普通参数，如出现负偏离，将按照评分准则做扣分处理。如注明要求提供相关佐证材料的，需以佐证材料作为是否偏离的依据。</w:t>
      </w:r>
    </w:p>
    <w:tbl>
      <w:tblPr>
        <w:tblStyle w:val="TableNormal"/>
        <w:tblW w:w="5000" w:type="pct"/>
        <w:tblInd w:w="-1041" w:type="dxa"/>
        <w:tblLayout w:type="fixed"/>
        <w:tblCellMar>
          <w:top w:w="0" w:type="dxa"/>
          <w:left w:w="108" w:type="dxa"/>
          <w:bottom w:w="0" w:type="dxa"/>
          <w:right w:w="108" w:type="dxa"/>
        </w:tblCellMar>
      </w:tblPr>
      <w:tblGrid>
        <w:gridCol w:w="572"/>
        <w:gridCol w:w="1535"/>
        <w:gridCol w:w="6749"/>
      </w:tblGrid>
      <w:tr>
        <w:tblPrEx>
          <w:tblW w:w="5000" w:type="pct"/>
          <w:tblInd w:w="-1041" w:type="dxa"/>
          <w:tblLayout w:type="fixed"/>
          <w:tblCellMar>
            <w:top w:w="0" w:type="dxa"/>
            <w:left w:w="108" w:type="dxa"/>
            <w:bottom w:w="0" w:type="dxa"/>
            <w:right w:w="108" w:type="dxa"/>
          </w:tblCellMar>
        </w:tblPrEx>
        <w:trPr>
          <w:trHeight w:val="423"/>
        </w:trPr>
        <w:tc>
          <w:tcPr>
            <w:tcW w:w="645" w:type="dxa"/>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序号</w:t>
            </w:r>
          </w:p>
        </w:tc>
        <w:tc>
          <w:tcPr>
            <w:tcW w:w="1815" w:type="dxa"/>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货物名称</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招标技术要求</w:t>
            </w:r>
          </w:p>
        </w:tc>
      </w:tr>
      <w:tr>
        <w:tblPrEx>
          <w:tblW w:w="5000" w:type="pct"/>
          <w:tblInd w:w="-1041" w:type="dxa"/>
          <w:tblLayout w:type="fixed"/>
          <w:tblCellMar>
            <w:top w:w="0" w:type="dxa"/>
            <w:left w:w="108" w:type="dxa"/>
            <w:bottom w:w="0" w:type="dxa"/>
            <w:right w:w="108" w:type="dxa"/>
          </w:tblCellMar>
        </w:tblPrEx>
        <w:trPr>
          <w:trHeight w:val="423"/>
        </w:trPr>
        <w:tc>
          <w:tcPr>
            <w:tcW w:w="10613" w:type="dxa"/>
            <w:gridSpan w:val="3"/>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华越幼儿园</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山形靠背椅1/</w:t>
            </w:r>
            <w:r>
              <w:rPr>
                <w:rFonts w:ascii="宋体" w:eastAsia="宋体" w:hAnsi="宋体" w:cs="宋体" w:hint="eastAsia"/>
                <w:b/>
                <w:bCs/>
                <w:color w:val="FF0000"/>
                <w:sz w:val="21"/>
                <w:szCs w:val="21"/>
                <w:lang w:bidi="ar"/>
              </w:rPr>
              <w:t>核心产品</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bidi="ar"/>
              </w:rPr>
              <w:t>规格：L36xW31.5xH49cm（座高：25cm）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±2cm</w:t>
            </w:r>
            <w:r>
              <w:rPr>
                <w:rFonts w:ascii="宋体" w:eastAsia="宋体" w:hAnsi="宋体" w:cs="宋体" w:hint="eastAsia"/>
                <w:color w:val="000000"/>
                <w:sz w:val="21"/>
                <w:szCs w:val="21"/>
                <w:lang w:eastAsia="zh-CN" w:bidi="ar"/>
              </w:rPr>
              <w:t>）</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（1）框架采用榫卯工艺。</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（2）前后腿错落设计可满足叠放收纳。</w:t>
            </w:r>
          </w:p>
        </w:tc>
      </w:tr>
      <w:tr>
        <w:tblPrEx>
          <w:tblW w:w="5000" w:type="pct"/>
          <w:tblInd w:w="-1041" w:type="dxa"/>
          <w:tblLayout w:type="fixed"/>
          <w:tblCellMar>
            <w:top w:w="0" w:type="dxa"/>
            <w:left w:w="108" w:type="dxa"/>
            <w:bottom w:w="0" w:type="dxa"/>
            <w:right w:w="108" w:type="dxa"/>
          </w:tblCellMar>
        </w:tblPrEx>
        <w:trPr>
          <w:trHeight w:val="585"/>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（1）座板：采用12mm(±1mm)橡胶木纹饰面实木多层板。</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（2）椅背：采用15mm(±2mm)橡胶木纹饰面实木多层板。外形采用山形高低设计，圆滑美观；弧形靠背贴合腰背，适应人体腰部曲线特点，呵护儿童脊椎发育；靠背向后倾斜5°，靠背弧形凹深20mm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，使坐姿靠背更舒适。</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（3）椅脚：采用厚度21mm(±1mm)橡胶木原木，纹理均匀细致。底部使用塑料脚套包裹，尺寸为L47xW20xH37mm(±1mm)，加厚耐磨，底部凹凸槽位设计抓地力更强，更好防滑保护地面刮花并降低噪音。</w:t>
            </w:r>
          </w:p>
        </w:tc>
      </w:tr>
      <w:tr>
        <w:tblPrEx>
          <w:tblW w:w="5000" w:type="pct"/>
          <w:tblInd w:w="-1041" w:type="dxa"/>
          <w:tblLayout w:type="fixed"/>
          <w:tblCellMar>
            <w:top w:w="0" w:type="dxa"/>
            <w:left w:w="108" w:type="dxa"/>
            <w:bottom w:w="0" w:type="dxa"/>
            <w:right w:w="108" w:type="dxa"/>
          </w:tblCellMar>
        </w:tblPrEx>
        <w:trPr>
          <w:trHeight w:val="3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（4）油漆：采用的水性漆，全封闭涂装工艺，漆面光泽高透，颜色均匀。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253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sz w:val="21"/>
                <w:szCs w:val="21"/>
              </w:rPr>
            </w:pPr>
            <w:r>
              <w:rPr>
                <w:rFonts w:ascii="宋体" w:eastAsia="宋体" w:hAnsi="宋体" w:cs="宋体" w:hint="eastAsia"/>
                <w:b/>
                <w:bCs/>
                <w:sz w:val="21"/>
                <w:szCs w:val="21"/>
                <w:lang w:bidi="ar"/>
              </w:rPr>
              <w:t>▲（5）提供成品幼儿椅符合GB18584-2024、GB/T17657-2022、GB/T43002-2023标准的合格检测报告，检测项目要求：外观要求（木制件外观、人造板件外观、塑料件外观、木工要求、漆膜外观要求）符合标准要求，椅凳类力学性能（强度试验、稳定性试验）符合标准要求，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提供橡胶木拼板符合GB/T 31762-2015、GB/T 20284-2006、GB/T 8626-2007、GB 8624-2012、LY/T 2488-2015、GB/T 20285-2006、GB 18580-2017、GB/T 34722-2017、GB/T 39600-2021标准的合格检测报告，检测项目要求：外观质量要求符合标准要求；指接抗弯强度(气干密度＞0.47g/cm³：平均值≥35MPa，最小值≥28MPa）；侧拼抗剪强度（气干密度＞0.47g/cm³：最小的木破率≤70%：平均值≥8MPa，最小值≥5MPa）；甲醛释放量≤0.025mg/m³；表面耐划痕符合标准要求；表面耐磨磨耗值≤80mg/100r，磨100r之后留有花纹且不露底；表面耐干热、表面耐水蒸气、耐光色牢度、表面耐香烟灼烧≥4级；表面耐污染腐蚀、表面耐龟裂≥5级；苯酚释放量＜0.01mg/m³；燃烧性能（B1-C）、产烟特性（S1）、燃烧滴落物/微粒（d0)与烟气毒性（t1）符合标准要求。提供水性漆用GB/T23999-2009、GB/T 33394-2016、GB/T1741-2020、HG/T3950-2007标准的合格检测报告，检测项应满足：挥发性有机化合物（VOC）含量≤70g/L,甲醛含量≤5mg/kg，苯、甲苯、二甲苯、乙苯的总量≤50mg/kg，卤代烃≤100mg/kg，乙二醇醚及其酯类的总量≤50mg/kg，可溶性元素含量（锑、砷、铅、硒≤2mg/kg，钡、铬、汞≤1mg/kg，镉≤0.5mg/kg），烷基酚聚氧乙烯醚含量≤0.005%，防涂鸦性≤3级，不挥发物≥30%，通过耐冻融性测试不变质，耐水性、耐碱性、耐醇性符合标准要求，≥</w:t>
            </w:r>
            <w:r>
              <w:rPr>
                <w:rFonts w:ascii="宋体" w:eastAsia="宋体" w:hAnsi="宋体" w:cs="宋体" w:hint="eastAsia"/>
                <w:b/>
                <w:bCs/>
                <w:sz w:val="21"/>
                <w:szCs w:val="21"/>
                <w:lang w:eastAsia="zh-CN" w:bidi="ar"/>
              </w:rPr>
              <w:t>100</w:t>
            </w:r>
            <w:r>
              <w:rPr>
                <w:rFonts w:ascii="宋体" w:eastAsia="宋体" w:hAnsi="宋体" w:cs="宋体" w:hint="eastAsia"/>
                <w:b/>
                <w:bCs/>
                <w:sz w:val="21"/>
                <w:szCs w:val="21"/>
                <w:lang w:bidi="ar"/>
              </w:rPr>
              <w:t>H耐黄变性≤3级。上述需同时提供标注CMA标识的检测报告以及全国认证认可信息公共服务平台网站（http://cx.cnca.cn/CertECloud/qts/qts/qtsPage）查询截图作为得分依据，提供有效期内检测报告及相应截屏，不提供或提供不全的不得分。注：对应参数在检测报告中标注，成品名称需与检测报告名称一致，提供的检测报告须满足上述检测项目，原件备查。</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规格：L36xW31.5xH52cm（座高：27cm）(±2cm)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（1）框架采用榫卯工艺。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（2）前后腿错落设计可满足叠放收纳。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（1）座板：采用12mm(±1mm)橡胶木纹饰面实木多层板。</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背：采用15mm(±1mm)橡胶木纹饰面实木多层板。外形采用山形高低设计，圆滑美观；弧形靠背贴合腰背，适应人体腰部曲线特点，呵护儿童脊椎发育；靠背向后倾斜，靠背弧形凹深20mm(±2mm)，使坐姿靠背更舒适。</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（3）椅脚：采用厚度21mm(±2mm)橡胶木原木，纹理均匀细致。底部使用塑料脚套包裹，尺寸为L47xW20xH37mm(±1mm)，加厚耐磨，底部凹凸槽位设计抓地力更强，更好防滑保护地面刮花并降低噪音。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（4）油漆：采用的水性漆，全封闭涂装工艺，漆面光泽高透，颜色均匀。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山形靠背椅3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规格：L36xW31.5xH55cm（座高：29cm）(±2cm)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（1）框架采用榫卯工艺。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（2）前后腿错落设计可满足叠放收纳。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（1）座板：采用12mm(±1mm)橡胶木纹饰面实木多层板。</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（2）椅背：采用15mm(±1mm)橡胶木纹饰面实木多层板。外形采用山形高低设计，圆滑美观；弧形靠背贴合腰背，适应人体腰部曲线特点，呵护儿童脊椎发育；靠背向后倾斜</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5°，靠背弧形凹深20mm(±2mm)，使坐姿靠背更舒适。</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（3）椅脚：采用厚度21mm(±2mm)橡胶木原木，纹理均匀细致。底部使用塑料脚套包裹，尺寸为L47xW20xH37mm(±2mm)，加厚耐磨，底部凹凸槽位设计抓地力更强，更好防滑保护地面刮花并降低噪音。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一体成型可叠椅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规格：L47xW46.5xH73cm（座高41cm）(±2cm)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（1）椅子整体一次加工完成材料切割、一体成型，无须拼接，线条流畅。</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（2）几何图形挖孔设计，手提叠放轻松方便。</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（3）座板前高后低倾角设计，靠背弧形贴合腰背，适应人体曲线，符合人体力学，呵护儿童脊椎发育，孩子久坐不累。</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厚度≥15mm的实木多层板（弯板），椅子座高：410mm(±1mm)。座板底部与支撑脚弯曲处安装V型加固角码，角码采用塑料，打磨圆滑，尺寸为L127xW95xH27mm(±1mm)呈浅咖色，更好的还原自然原木色，有效增加支撑脚牢固强度。</w:t>
            </w:r>
          </w:p>
        </w:tc>
      </w:tr>
      <w:tr>
        <w:tblPrEx>
          <w:tblW w:w="5000" w:type="pct"/>
          <w:tblInd w:w="-1041" w:type="dxa"/>
          <w:tblLayout w:type="fixed"/>
          <w:tblCellMar>
            <w:top w:w="0" w:type="dxa"/>
            <w:left w:w="108" w:type="dxa"/>
            <w:bottom w:w="0" w:type="dxa"/>
            <w:right w:w="108" w:type="dxa"/>
          </w:tblCellMar>
        </w:tblPrEx>
        <w:trPr>
          <w:trHeight w:val="65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（2）椅脚与座板弧形相连一体成型，底部使用塑料脚套包裹，尺寸为41.8x18x42.8mm(±2mm)，加厚耐磨，防滑不易脱落，可有效保护地面刮花并降低噪音。</w:t>
            </w:r>
          </w:p>
        </w:tc>
      </w:tr>
      <w:tr>
        <w:tblPrEx>
          <w:tblW w:w="5000" w:type="pct"/>
          <w:tblInd w:w="-1041" w:type="dxa"/>
          <w:tblLayout w:type="fixed"/>
          <w:tblCellMar>
            <w:top w:w="0" w:type="dxa"/>
            <w:left w:w="108" w:type="dxa"/>
            <w:bottom w:w="0" w:type="dxa"/>
            <w:right w:w="108" w:type="dxa"/>
          </w:tblCellMar>
        </w:tblPrEx>
        <w:trPr>
          <w:trHeight w:val="34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（3）靠背圆矩形挖孔设计，手提叠放轻松方便。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人桌1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规格：L120xW60xH49cm(±2cm)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（2）所有螺丝位无毛刺不刮手，桌角及边沿采用R30mm(±1mm)圆角/圆边处理以及安全防撞设计，最大程度的避免儿童磕碰伤害，结构稳固。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（1）桌面：采用厚度30mm(±1mm)的橡胶木拼板搭配防火板贴面加工而成，耐刮耐磨，长时间使用不褪色、不容易开裂；长立水尺寸：L1062xW60xH18mm，短立水尺寸：L462xW60xH18mm(±2mm)。</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（2）桌脚：采橡胶木实木，厚实纹路清晰，尺寸为48x48mm(±1mm)，边沿均采用圆边处理（外侧边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规格：L120xW60xH52cm(±2cm)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（2）所有螺丝位无毛刺不刮手，桌角及边沿采用R30mm(±1mm)圆角/圆边处理以及安全防撞设计，最大程度的避免儿童磕碰伤害，结构稳固。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（1）桌面：采用厚度30mm(±2mm)的橡胶木拼板搭配防火板贴面加工而成，耐刮耐磨，长时间使用不褪色、不容易开裂；长立水尺寸：L1062xW60xH18mm(±2mm)，短立水尺寸：L462xW60xH18mm(±2mm)。</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原木6人桌3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规格：L120xW60xH55cm(±2cm)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（1）桌面：采用厚度30mm(±2mm)的橡胶木拼板搭配防火板贴面加工而成，耐刮耐磨，长时间使用不褪色、不容易开裂；长立水尺寸：L1062xW60xH18mm(±2mm)，短立水尺寸：L462xW60xH18mm(±2mm)。</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规格：Φ80xH49cm(±2cm)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（1）桌面：采用厚度30mm(±2mm)的橡胶木拼板搭配防火板贴面加工而成，耐刮耐磨，长时间使用不褪色、不容易开裂；立水尺寸L462xW60xH18mm(±2mm)结构稳固。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规格：Φ80xH52cm(±2cm)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R30mm圆角/圆边处理以及安全防撞设计，最大程度的避免儿童磕碰伤害。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（1）桌面：采用厚度30mm(±2mm)的橡胶木拼板搭配防火板贴面加工而成，长时间使用不褪色、不容易开裂；立水尺寸L462xW60xH18mm结构稳固。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w:t>
            </w:r>
            <w:r>
              <w:rPr>
                <w:rFonts w:ascii="宋体" w:eastAsia="宋体" w:hAnsi="宋体" w:cs="宋体" w:hint="eastAsia"/>
                <w:color w:val="000000"/>
                <w:sz w:val="21"/>
                <w:szCs w:val="21"/>
                <w:lang w:eastAsia="zh-CN" w:bidi="ar"/>
              </w:rPr>
              <w:t>用</w:t>
            </w:r>
            <w:r>
              <w:rPr>
                <w:rFonts w:ascii="宋体" w:eastAsia="宋体" w:hAnsi="宋体" w:cs="宋体" w:hint="eastAsia"/>
                <w:color w:val="000000"/>
                <w:sz w:val="21"/>
                <w:szCs w:val="21"/>
                <w:lang w:bidi="ar"/>
              </w:rPr>
              <w:t>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（3）产品整体采用的水性漆，全封闭涂装工艺，漆面附着能力强，通透度高。桌面封边采用的水性木蜡油封边，成分天然，分子机构细小，成膜牢固，密封性好。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原木圆桌3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规格：Φ80xH55cm(±2cm)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（1）桌面：采用厚度30mm(±2mm)的橡胶木拼板搭配防火板贴面加工而成，耐刮耐磨，长时间使用不褪色、不容易开裂；立水尺寸L462xW60xH18mm(±2mm)结构稳固。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规格：L60xW60xH49cm(±2cm)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（1）桌面：采用厚度30mm(±2mm)的橡胶木拼板搭配防火板贴面加工而成，长时间使用不褪色、不容易开裂；立水尺寸L462xW60xH18mm(±2mm)结构稳固。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（3）产品整体采用的水性漆，全封闭涂装工艺，漆面光泽高透，颜色均匀，附着能力强，通透度高。桌面封边采用的水性木蜡油封边，成分天然，分子机构细小，成膜牢固，密封性好。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规格：L60xW60xH52cm(±2cm)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（1）桌面：采用厚度30mm(±2mm)的橡胶木拼板搭配防火板贴面加工而成，耐刮耐磨，长时间使用不褪色、不容易开裂；立水尺寸L462xW60xH18mm(±2mm)结构稳固。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R25mm,其他三边</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（3）产品整体采用的水性漆，全封闭涂装工艺，漆面光泽高透，颜色均匀，附着能力强，通透度高。桌面封边采用的水性木蜡油封边，成分天然，分子机构细小，成膜牢固，密封性好。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原木4人桌3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规格：L60xW60xH55cm(±2cm)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（1）桌面：采用厚度30mm(±2mm)的橡胶木拼板搭配防火板贴面加工而成，耐刮耐磨，长时间使用不褪色、不容易开裂；立水尺寸L462xW60xH18mm(±2mm)结构稳固。</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（2）桌脚：采橡胶木实木，厚实纹路清晰，尺寸为48x48mm(±2mm)，边沿均采用圆边处理（外侧边R25mm,其他三边R10mm）；底部安装塑料脚垫，软性防滑，可有效保护地面刮花并降低噪音。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（3）产品整体采用的水性漆，全封闭涂装工艺，漆面光泽高透，颜色均匀，附着能力强，通透度高。桌面封边采用的水性木蜡油封边，成分天然，分子机构细小，成膜牢固，密封性好。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月亮桌</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可调节</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规格：L120xW60xH49/52/55cm 可调节高度(±2cm)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（1）桌面背面设置有</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4个塑料连接件，桌脚使用螺旋安装方式与桌面连接，方便拆卸。</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（2）桌脚底部安装可调节塑料件，可通过调整塑料件的数量来改变桌面的整体高度。</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（3）所有螺丝位无毛刺不刮手，桌角及边沿采用R30mm(±2mm)圆角/圆边处理以及安全防撞设计，最大程度的避免儿童磕碰伤害，结构稳固。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（1）桌面：采用厚度24mm(±2mm)的实木多层板，桌面与桌脚链接安装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塑料一次成型尺寸为L187xW150xH66mm(±2mm)的扇形脚座连接件，脚座设置一个外直径50mm(±2mm)连接桌脚，呈浅咖色，表面光滑无毛刺，线条圆润，桌脚直接螺旋拧上即完成安装，既省时省力又提高产品的互换性，延长使用寿命。</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用直径φ48mm(±2mm)的桦木原木搭配浅咖色塑料调节脚套环，螺旋结构方便调节，每个脚套环规格为φ48xH55mm(±2mm)，选择安装不同的数量可满足不同的高度需求，可调高度为490/520/550mm(±2mm)；桌脚底部是直径62mm(±2mm)高度40mm(±2mm)的塑料脚垫，脚垫底部安装可调螺旋塑料脚垫直径39.5mm(±2mm)，可适应个别不平整的地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r>
              <w:rPr>
                <w:rFonts w:ascii="宋体" w:eastAsia="宋体" w:hAnsi="宋体" w:cs="宋体" w:hint="eastAsia"/>
                <w:color w:val="000000"/>
                <w:sz w:val="21"/>
                <w:szCs w:val="21"/>
                <w:lang w:bidi="ar"/>
              </w:rPr>
              <w:t>层分类书柜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规格：L90xW30xH121cm (±2cm)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4层分类多方式收纳书架，能适用多种书籍的摆放。</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（2）顶部白板可擦写，能方便标签分类。</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（1）柜体采用厚度16mm(±2mm)的桦木纹/乳白色的双饰面浸渍胶膜纸饰面刨花板，及厚度18mm(±2mm)的乳白色的双饰面浸渍胶膜纸饰面实木多层板。顶部(白色挡板位置)。</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（2）围脚：底部安装塑料脚垫，高度为H10mm(±2mm)，直径17mm(±2mm)，软性防滑，可有效保护地面刮花并降低噪音。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（3）封边条：采用厚度不低于1.5mmPVC封边条，表面光滑平整，封边细腻硬度高，线条均匀，转角过渡自然，无脱胶，表面光滑平整无胶渍。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互动化妆台</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规格：桌:L79xW37xH91cm 椅:L36xW24xH26cm (±2cm)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（1）逼真梳妆台造型设计，搭配梳妆椅与亚克力镜子，能适用游戏场景下使用，提高趣味性。</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（3）所有螺丝位无毛刺不刮手，四角及边沿采用圆角/圆边处理以及安全防撞设计，最大程度的避免儿童磕碰伤害，不易倾倒。</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主体采用厚度12mm(±2mm)及18mm(±2mm)的实木多层板，抽屉盒底板采用厚度5mm桦木纹饰面实木纤维板。化妆台镜子采用亚克力镜面板材质，安全防摔，清晰度高，亚克力镜子尺寸为310x340mm(±2mm)，台面离地高度：520mm(±2mm)。</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（2）搭配1张梳妆椅，面板贴黑色防火板，可使用粉笔进行擦写；椅脚采用一体成型的可弯板，椅脚使用塑料脚套包裹，尺寸为36.5x22.5x44mm(±2mm)，加厚耐磨，防滑不易脱落，可有效保护地面刮花并降低噪音。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（4）油墨：采用水性油墨，颜色饱满。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互动小厨房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规格：L93xW30xH86cm (±2cm)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（1）逼真厨房功能设计，既能独立摆放模拟真实场景又易于搭配其他产品进行环创。</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（3）可旋转按钮仿真功能，可视化按键，增强游戏真实体验感。</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（1）柜体采用厚度15mm(±2mm)的桦木纹饰面橡胶木拼板，部分采用厚度12mm及15mm的实木多层板喷涂水性漆，背板采用厚度5mm(±2mm)的饰面实木纤维板。</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（2）柜体右侧为冰箱造型，独立一扇门，门板内装缓冲铰链，门板外拉手采用深咖色塑料一次成型，实现门板开合。柜体侧面与操作面板设有塑料挂钩。</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左侧为一个塑料一次成型呈奶白色的洗手台，尺寸L218xW218xH78mm(±2mm)；搭配2个可旋转的塑料成型2合1外直径35mm(±2mm)内直径18mm(±2mm)的旋转调节开关，一个长度70.5mm(±2mm)内径19mm(±2mm)的旋转水龙头；两个φ124mm(±2mm)的仿真灶炉。</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（4）柜体下方为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2个独立开合门，门板内装缓冲铰链，能实现门板开合；</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2个拉手采用采用深咖色塑料一次成型。门板中间采用透明亚克力板做卡通图案，门上方有</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4个可旋转的塑料成型2合1外直径35mm(±2mm)内直径18mm(±2mm)的旋转调节开关。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（8）油墨：采用水性油墨，颜色饱满，无毒无异味。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（9）亚克力板：采用透明亚克力板，表面光滑无缺陷，高透光性，无毒。</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（10）塑料板：采用食品级的塑料材质，感官要求。</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sz w:val="21"/>
                <w:szCs w:val="21"/>
              </w:rPr>
            </w:pPr>
            <w:r>
              <w:rPr>
                <w:rFonts w:ascii="宋体" w:eastAsia="宋体" w:hAnsi="宋体" w:cs="宋体" w:hint="eastAsia"/>
                <w:b/>
                <w:bCs/>
                <w:sz w:val="21"/>
                <w:szCs w:val="21"/>
              </w:rPr>
              <w:t>▲（11）提供由CMA认证的检测机构出具的互动小厨房成品型式试验检测报告，采用GB 28007-2011检测标准，检测项应满足：外观（木制件、金属件、塑料件、涂层）、木制件表面涂层/覆面材料（耐液、附着力、耐湿热、耐干热、耐冷热温差、抗冲击、耐磨）、木材含水率、结构安全（边缘及尖端、突出物、孔及间隙、折叠机构、封闭式家具）、力学性能（连接件试验、搁板支承件强度试验、顶板和底板静载荷试验、结构和底架强度试验、拉门耐久性试验、其他）、产品甲醛释放量、表面涂层可迁移元素（锑、砷、铅、硒、镉、铬、汞、钡）、塑料邻苯二甲酸酯、警示标识、标志、使用说明等判定合格符合标准要求。提供亚克力板用HG/T 3862-2006、GB/T 12000-2017、GB/T 11547-2008、GB/T 1043.1-2008、GB/T 1034-2008标准的合格检测报告，检测项应满足：在3个暴露循环试验[湿热≥</w:t>
            </w:r>
            <w:r>
              <w:rPr>
                <w:rFonts w:ascii="宋体" w:eastAsia="宋体" w:hAnsi="宋体" w:cs="宋体" w:hint="eastAsia"/>
                <w:b/>
                <w:bCs/>
                <w:sz w:val="21"/>
                <w:szCs w:val="21"/>
                <w:lang w:eastAsia="zh-CN"/>
              </w:rPr>
              <w:t>12</w:t>
            </w:r>
            <w:r>
              <w:rPr>
                <w:rFonts w:ascii="宋体" w:eastAsia="宋体" w:hAnsi="宋体" w:cs="宋体" w:hint="eastAsia"/>
                <w:b/>
                <w:bCs/>
                <w:sz w:val="21"/>
                <w:szCs w:val="21"/>
              </w:rPr>
              <w:t>0h→水喷雾≥</w:t>
            </w:r>
            <w:r>
              <w:rPr>
                <w:rFonts w:ascii="宋体" w:eastAsia="宋体" w:hAnsi="宋体" w:cs="宋体" w:hint="eastAsia"/>
                <w:b/>
                <w:bCs/>
                <w:sz w:val="21"/>
                <w:szCs w:val="21"/>
                <w:lang w:eastAsia="zh-CN"/>
              </w:rPr>
              <w:t>12</w:t>
            </w:r>
            <w:r>
              <w:rPr>
                <w:rFonts w:ascii="宋体" w:eastAsia="宋体" w:hAnsi="宋体" w:cs="宋体" w:hint="eastAsia"/>
                <w:b/>
                <w:bCs/>
                <w:sz w:val="21"/>
                <w:szCs w:val="21"/>
              </w:rPr>
              <w:t>0h→中性盐雾≥</w:t>
            </w:r>
            <w:r>
              <w:rPr>
                <w:rFonts w:ascii="宋体" w:eastAsia="宋体" w:hAnsi="宋体" w:cs="宋体" w:hint="eastAsia"/>
                <w:b/>
                <w:bCs/>
                <w:sz w:val="21"/>
                <w:szCs w:val="21"/>
                <w:lang w:eastAsia="zh-CN"/>
              </w:rPr>
              <w:t>12</w:t>
            </w:r>
            <w:r>
              <w:rPr>
                <w:rFonts w:ascii="宋体" w:eastAsia="宋体" w:hAnsi="宋体" w:cs="宋体" w:hint="eastAsia"/>
                <w:b/>
                <w:bCs/>
                <w:sz w:val="21"/>
                <w:szCs w:val="21"/>
              </w:rPr>
              <w:t>0h]后，试样黄色指数≤5，蒸馏水中浸泡24h吸水质量分数≤0.3%，依次浸泡以下溶液（24h）:100%蒸馏水，乙醇，肥皂液，清洁剂，次氯酸钠，30%过氧化氢，5%乙酸后外观无明显变化，耐液体化学试剂浸泡后的简支梁冲击强度≥14kJ/m²。提供塑料连接件符合HG/T 3862-2006、GB/T 12000-2017、GB/T 1034-2008、GB/T 1043.1-2008、GB/T 11547-2008标准的合格检测报告，检测项应满足：在3个暴露循环试验[湿热≥</w:t>
            </w:r>
            <w:r>
              <w:rPr>
                <w:rFonts w:ascii="宋体" w:eastAsia="宋体" w:hAnsi="宋体" w:cs="宋体" w:hint="eastAsia"/>
                <w:b/>
                <w:bCs/>
                <w:sz w:val="21"/>
                <w:szCs w:val="21"/>
                <w:lang w:eastAsia="zh-CN"/>
              </w:rPr>
              <w:t>12</w:t>
            </w:r>
            <w:r>
              <w:rPr>
                <w:rFonts w:ascii="宋体" w:eastAsia="宋体" w:hAnsi="宋体" w:cs="宋体" w:hint="eastAsia"/>
                <w:b/>
                <w:bCs/>
                <w:sz w:val="21"/>
                <w:szCs w:val="21"/>
              </w:rPr>
              <w:t>0h→水喷雾≥</w:t>
            </w:r>
            <w:r>
              <w:rPr>
                <w:rFonts w:ascii="宋体" w:eastAsia="宋体" w:hAnsi="宋体" w:cs="宋体" w:hint="eastAsia"/>
                <w:b/>
                <w:bCs/>
                <w:sz w:val="21"/>
                <w:szCs w:val="21"/>
                <w:lang w:eastAsia="zh-CN"/>
              </w:rPr>
              <w:t>12</w:t>
            </w:r>
            <w:r>
              <w:rPr>
                <w:rFonts w:ascii="宋体" w:eastAsia="宋体" w:hAnsi="宋体" w:cs="宋体" w:hint="eastAsia"/>
                <w:b/>
                <w:bCs/>
                <w:sz w:val="21"/>
                <w:szCs w:val="21"/>
              </w:rPr>
              <w:t>0h→中性盐雾≥</w:t>
            </w:r>
            <w:r>
              <w:rPr>
                <w:rFonts w:ascii="宋体" w:eastAsia="宋体" w:hAnsi="宋体" w:cs="宋体" w:hint="eastAsia"/>
                <w:b/>
                <w:bCs/>
                <w:sz w:val="21"/>
                <w:szCs w:val="21"/>
                <w:lang w:eastAsia="zh-CN"/>
              </w:rPr>
              <w:t>12</w:t>
            </w:r>
            <w:r>
              <w:rPr>
                <w:rFonts w:ascii="宋体" w:eastAsia="宋体" w:hAnsi="宋体" w:cs="宋体" w:hint="eastAsia"/>
                <w:b/>
                <w:bCs/>
                <w:sz w:val="21"/>
                <w:szCs w:val="21"/>
              </w:rPr>
              <w:t>0h]后，试样黄色指数≤50，放置温度23℃士1℃和相对湿度50%士5%的环境24h吸水质量分数≤0.05%，依次浸泡以下溶液:100%蒸馏水，乙醇，肥皂液，清洁剂，次氯酸钠，30%过氧化氢，5%乙酸后外观无明显变化，耐液体化学试剂浸泡后的简支梁冲击强度≥2kJ/m²。</w:t>
            </w:r>
            <w:r>
              <w:rPr>
                <w:rFonts w:ascii="宋体" w:eastAsia="宋体" w:hAnsi="宋体" w:cs="宋体" w:hint="eastAsia"/>
                <w:b/>
                <w:bCs/>
                <w:sz w:val="21"/>
                <w:szCs w:val="21"/>
                <w:lang w:bidi="ar"/>
              </w:rPr>
              <w:t>上述需同时提供标注CMA标识的检测报告以及全国认证认可信息公共服务平台网站（http://cx.cnca.cn/CertECloud/qts/qts/qtsPage）查询截图作为得分依据，提供有效期内检测报告及相应截屏，不提供或提供不全的不得分。注：对应参数在检测报告中标注，成品名称需与检测报告名称一致，提供的检测报告须满足上述检测项目，原件备查。</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简约书架（图书柜）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规格：L93xW30xH81cm(±2cm)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（1）书架与收纳柜结合，兼具收纳与学习功能。</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（1）架体：采用厚度16m(±2mm)m的桦木纹双饰面浸渍胶膜纸饰面刨花板。共</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四层书本搁置槽。</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（2）围脚：底部安装塑料脚垫，高度为H10mm(±2mm)，直径</w:t>
            </w:r>
            <w:bookmarkStart w:id="15" w:name="OLE_LINK3"/>
            <w:bookmarkStart w:id="16" w:name="OLE_LINK4"/>
            <w:r>
              <w:rPr>
                <w:rFonts w:ascii="宋体" w:eastAsia="宋体" w:hAnsi="宋体" w:cs="宋体" w:hint="eastAsia"/>
                <w:color w:val="000000"/>
                <w:sz w:val="21"/>
                <w:szCs w:val="21"/>
                <w:lang w:bidi="ar"/>
              </w:rPr>
              <w:t>17mm(±2mm)，软性防滑，可有效保护地面刮花并降低噪音。</w:t>
            </w:r>
            <w:bookmarkEnd w:id="15"/>
            <w:bookmarkEnd w:id="16"/>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281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sz w:val="21"/>
                <w:szCs w:val="21"/>
              </w:rPr>
            </w:pPr>
            <w:r>
              <w:rPr>
                <w:rFonts w:ascii="宋体" w:eastAsia="宋体" w:hAnsi="宋体" w:cs="宋体" w:hint="eastAsia"/>
                <w:b/>
                <w:bCs/>
                <w:sz w:val="21"/>
                <w:szCs w:val="21"/>
                <w:lang w:bidi="ar"/>
              </w:rPr>
              <w:t>▲（4）提供由CMA认证的检测机构出具的成品图书柜符合GB 28007-2011、GB/T43002-2023标准的合格检测报告，检测项目要求：结构安全（边缘及尖端、突出物、孔及间隙及其他）、柜类强度与耐久性（隔板支承件强度试验、顶板和底板静载荷试验、结构和底架强度试验）、甲醛释放量≤0.01mg/m³、苯，甲苯及二甲苯≤0.002mg/m³、TVOC≤0.5mg/m³。提供浸渍胶膜纸饰面刨花板符合GB18580-2017、GB/T 31762-2015、GB/T 20284-2006、GB/T 8626-2007、GB 8624-2012、GB/T20285-2006、GB/T4897-2015、GB/T 39600-2021标准的合格检测报告，检测项目要求：板内密度偏差、静曲强度、弹性模量、内胶合强度、表面胶合强度符合标准要求；潮湿状态下24h吸水厚度膨胀率≤14%；握螺钉力（板面≥900N，板边≥600N）；甲醛释放量≤0.025mg/m³；苯酚释放量＜0.01mg/m³；燃烧性能（B1-C）、产烟特性（S1）、燃烧滴落物/微粒（d0)与烟气毒性（t1）符合标准要求。</w:t>
            </w:r>
            <w:r>
              <w:rPr>
                <w:rFonts w:ascii="宋体" w:eastAsia="宋体" w:hAnsi="宋体" w:cs="宋体" w:hint="eastAsia"/>
                <w:b/>
                <w:bCs/>
                <w:sz w:val="21"/>
                <w:szCs w:val="21"/>
              </w:rPr>
              <w:t>出具幼儿柜符合GB18584-2024、GB/T17657-2022、GB/T43002-2023标准的合格检测报告，检测项目要求：外观要求（木制件外观、人造板件外观、塑料件外观、木工要求、漆膜外观要求）、力学性能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DBP、BBP、DEHP、DNOP≤0.001%，DINP、DIDP≤0.005%），多环芳烃（苯并[a]芘、18种多环芳烃(PAH)总量≤0.05mg/kg）。提供</w:t>
            </w:r>
            <w:r>
              <w:rPr>
                <w:rFonts w:ascii="宋体" w:eastAsia="宋体" w:hAnsi="宋体" w:cs="宋体" w:hint="eastAsia"/>
                <w:b/>
                <w:bCs/>
                <w:sz w:val="21"/>
                <w:szCs w:val="21"/>
                <w:lang w:eastAsia="zh-CN"/>
              </w:rPr>
              <w:t>环保</w:t>
            </w:r>
            <w:r>
              <w:rPr>
                <w:rFonts w:ascii="宋体" w:eastAsia="宋体" w:hAnsi="宋体" w:cs="宋体" w:hint="eastAsia"/>
                <w:b/>
                <w:bCs/>
                <w:sz w:val="21"/>
                <w:szCs w:val="21"/>
              </w:rPr>
              <w:t>塑料的合格检测报告，采用GB 6675.1-2014、GB 6675.4-2014、GB/T 16422.2-2022、GB/T 5470-2008、GB/T 1036-2008、GB/T 3682.1-2018、GB/T 11547-2008、GB/T 1043.1-2008、GB/T 1034-2008、GB/T 1041-2008检测标准，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经500h以上氙灯老化测试无开裂；经-40℃低温脆化温度测定无破裂符合标准要求。线膨胀系数5~10×10⁻⁵℃⁻¹，蒸馏水中浸泡</w:t>
            </w:r>
            <w:r>
              <w:rPr>
                <w:rFonts w:ascii="宋体" w:eastAsia="宋体" w:hAnsi="宋体" w:cs="宋体" w:hint="eastAsia"/>
                <w:b/>
                <w:bCs/>
                <w:sz w:val="21"/>
                <w:szCs w:val="21"/>
                <w:lang w:eastAsia="zh-CN"/>
              </w:rPr>
              <w:t>≥</w:t>
            </w:r>
            <w:r>
              <w:rPr>
                <w:rFonts w:ascii="宋体" w:eastAsia="宋体" w:hAnsi="宋体" w:cs="宋体" w:hint="eastAsia"/>
                <w:b/>
                <w:bCs/>
                <w:sz w:val="21"/>
                <w:szCs w:val="21"/>
              </w:rPr>
              <w:t>24h吸水质量分数≤0.1%，放置温度23℃士1℃和相对湿度50%士5%的环境24h吸水质量分数≤0.05%，压缩屈服强度≥90MPa，在一定温度（250℃）和负荷（10kg）下，熔体质量流动速率≥9g/10min，熔体体积流动速率≥79cm³/10min，依次浸泡以下溶液（24h）:100%蒸馏水，乙醇，肥皂液，清洁剂，次氯酸钠，30%过氧化氢，5%乙酸后外观无明显变化，耐液体化学试剂浸泡后的简支梁冲击强度≥2.5kJ/m²(侧向冲击)。</w:t>
            </w:r>
            <w:r>
              <w:rPr>
                <w:rFonts w:ascii="宋体" w:eastAsia="宋体" w:hAnsi="宋体" w:cs="宋体" w:hint="eastAsia"/>
                <w:b/>
                <w:bCs/>
                <w:sz w:val="21"/>
                <w:szCs w:val="21"/>
                <w:lang w:bidi="ar"/>
              </w:rPr>
              <w:t>上述需同时提供标注CMA标识的检测报告以及全国认证认可信息公共服务平台网站（http://cx.cnca.cn/CertECloud/qts/qts/qtsPage）查询截图作为得分依据，提供有效期内检测报告及相应截屏，不提供或提供不全的不得分。注：对应参数在检测报告中标注，成品名称需与检测报告名称一致，提供的检测报告须满足上述检测项目，原件备查。</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19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简约衣帽饰品柜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规格：L105xW40xH110cm(±2cm)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（1）多功能带轮衣帽收纳架，储物空间大，移动/固定便捷。</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（2）加厚亚克力镜子，模拟真实换装情景，兼具装饰、收纳与教玩功能，能与其他柜体组合搭配使用。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厚度15mm(±2mm)的桦木纹饰面橡胶木拼板。挂衣格内空：580x400x775mm(±2mm)，悬挂一个铝合金双筋扁管挂杆；柜子一边外侧安装亚克力材质镜子，冲击强度比玻璃镜高，不容易碎，尺寸L540xW260mm(±2mm)，镜子下方配置化妆收纳格。</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4个平底带刹车万向脚轮，脚轮运行平稳无声，可</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360°旋转，转动顺滑。</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（3）木蜡油：采用的水性木蜡油封边，成分天然，分子机构细小，成膜牢固，密封性好。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林中屋综合互动小厨房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规格：L90xW32xH102cm(±2cm)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（1）逼真综合厨房功能设计，树屋元素造型，既能独立摆放模拟真实场景又易于搭配其他产品进行环创。</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（3）可旋转按钮仿真功能，可视化按键，增强游戏真实体验感。</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（4）多功能带轮带刹车柜体，移动/固定便捷。</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（1）基材：主体采用厚度12mm(±2mm)和15mm(±2mm)厚度的桦木纹饰面橡胶木拼板以及厚度12mm(±2mm)和15mm(±2mm)厚度的实木多层板，背板采用厚度5mm(±2mm)的饰面实木纤维板。</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（2）柜体上方设置厨房储放功能，拉手为直径29mm(±2mm)白色锌合金拉手；门板采用透明亚克力板做通透处理。储存空间下方搭配塑料挂钩。</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柜面右侧为一个塑料一次成型呈奶白色的洗手台，尺寸L218xW218xH78mm(±2mm)；搭配可旋转的塑料成型2合1外直径35mm(±2mm)内直径18mm(±2mm)的旋转调节开关，一个长度70.5mm(±2mm)内径19mm(±2mm)的旋转水龙头；柜面左侧为两个φ124mm(±2mm)的仿真灶炉，搭配可旋转的塑料成型2合1</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外直径35mm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内直径18mm的旋转调节开关。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（4）柜体下方为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3个独立开合门，门板内装缓冲铰链，能实现门板开合；</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3个拉手均采用深咖色塑料。</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（5）柜子底部安装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1.5寸静音万向脚轮，脚轮运行平稳无声，可</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360°旋转，转动顺滑，其中2个脚轮带刹车功能，刹车灵敏，踏板不易断裂。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（8）油墨：采用水性油墨，颜色饱满。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（9）亚克力板：采用透明亚克力板。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（10）塑料板：采用食品级的塑料材质，感官要求。</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美术材料分类收纳柜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规格：L91xW50xH75cm(±2cm)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（1）可移动美术材料分类柜设计，能适用多场景下使用。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（2）结构多样化，配套塑料收纳盒，适用多种美术材料及工具的分类储存。</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（1）柜体采用厚度12mm(±2mm)和15mm(±2mm)的桦木纹饰面橡胶木拼板。顶部颜料杯放置架孔径：70mm(±2mm)（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2寸静音万向脚轮，脚轮运行平稳无声，可</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360°旋转，转动顺滑。</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（3）搭配：产品包含</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5个收纳盒，尺寸：L245xW150xH60mm(±2mm)，收纳盒采用塑料材质，呈浅咖色，圆滑无毛刺，一体成型设计，结构稳固。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8个杯子尺寸φ78xH94mm(±2mm)，杯子采用塑料材质，一体成型。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（4）木蜡油：采用水性木蜡油封边，成分天然，分子机构细小，成膜牢固，密封性好，无毒。</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美术纸筒柜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规格：L40xW40xH58cm(±2cm)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（1）车头美工造型设计，兼具装饰与收纳功能。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（1）柜体：采用厚度12mm(±2mm)双贴桦木纹饰面的橡胶木拼板，柜体</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四块竖板呈半月形，嵌入式安装，保留高低错落弧度造型，形成</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9格分类。</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（2）柜子底部安装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1.5寸静音带刹车万向脚轮，脚轮运行平稳无声，可</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360°旋转，转动顺滑。</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（3）采用水性木蜡油封边，成分天然，分子机构细小。</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（4）油墨：车头造型采用美工机喷绘工艺，搭配水性油墨，图案附着力好，生动立体不易褪色。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美术作品晾干柜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规格：L50xW40xH76cm(±2cm)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（1）卡槽定位设计，分布均匀，实现作品晾干网抽拉式取放，不易走位。</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（2）铁网表面采用静电粉末喷涂工艺，圆润光滑，防腐抗锈。</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w:t>
            </w:r>
          </w:p>
        </w:tc>
      </w:tr>
      <w:tr>
        <w:tblPrEx>
          <w:tblW w:w="5000" w:type="pct"/>
          <w:tblInd w:w="-1041" w:type="dxa"/>
          <w:tblLayout w:type="fixed"/>
          <w:tblCellMar>
            <w:top w:w="0" w:type="dxa"/>
            <w:left w:w="108" w:type="dxa"/>
            <w:bottom w:w="0" w:type="dxa"/>
            <w:right w:w="108" w:type="dxa"/>
          </w:tblCellMar>
        </w:tblPrEx>
        <w:trPr>
          <w:trHeight w:val="1694"/>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（1）柜体：采用厚度15mm(±2mm)双贴桦木纹饰面的橡胶木拼板。顶部收纳格内空尺寸：470x354x40mm(±2mm)；柜体内包含</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9个铁质晾干网，尺寸：L461xW388xH8mm(±2mm)，铁网每层均匀分布，层间距为：64mm(±2mm)；柜内安装9个塑料材质U型槽，呈卡其色，尺寸为L370mm(±2mm)，有利于柜体空间合理分布，铁网能准确滑入槽中，取放便捷。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1.5寸静音带刹车万向脚轮，脚轮运行平稳无声，可</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360°旋转，转动顺滑。</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（2）采用的水性木蜡油封边，成分天然，分子机构细小，成膜牢固，密封性好，无毒。</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秘密游戏树洞</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规格：L103xW42xH150cm(±2cm)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（1）特色高顶松元素造型设计，吊牌黑板可擦写，既能独立摆放模拟真实场景又易于搭配其他产品进行环创。</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（2）配件丰富，布艺装饰，软化环境，能适用多场景下使用，提高趣味性。</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18mm(±2mm)的实木多层板，前后造型挡板采用厚度12mm的实木多层板。前后造型板呈两层高顶松元素造型，最顶部（即树顶）采用R30mm(±2mm)圆角处理，造型板前后可挂小黑板。)。支撑圆棒采用桦木原木，共6条，尺寸为：φ22x396mm(±2mm)，屋顶搭配长2.4米(±2mm)的1条浅绿色半透帐纱以及1条白色半透帐纱，顶部使用一条魔术贴（无魔术贴）可轻松拆卸清洗。</w:t>
            </w:r>
          </w:p>
        </w:tc>
      </w:tr>
      <w:tr>
        <w:tblPrEx>
          <w:tblW w:w="5000" w:type="pct"/>
          <w:tblInd w:w="-1041" w:type="dxa"/>
          <w:tblLayout w:type="fixed"/>
          <w:tblCellMar>
            <w:top w:w="0" w:type="dxa"/>
            <w:left w:w="108" w:type="dxa"/>
            <w:bottom w:w="0" w:type="dxa"/>
            <w:right w:w="108" w:type="dxa"/>
          </w:tblCellMar>
        </w:tblPrEx>
        <w:trPr>
          <w:trHeight w:val="954"/>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vMerge/>
            <w:tcBorders>
              <w:top w:val="single" w:sz="4" w:space="0" w:color="000000"/>
              <w:left w:val="single" w:sz="4" w:space="0" w:color="000000"/>
              <w:bottom w:val="single" w:sz="4" w:space="0" w:color="000000"/>
              <w:right w:val="single" w:sz="4" w:space="0" w:color="000000"/>
            </w:tcBorders>
            <w:noWrap w:val="0"/>
            <w:vAlign w:val="center"/>
          </w:tcPr>
          <w:p>
            <w:pPr>
              <w:rPr>
                <w:rFonts w:ascii="宋体" w:eastAsia="宋体" w:hAnsi="宋体" w:cs="宋体" w:hint="eastAsia"/>
                <w:color w:val="000000"/>
                <w:sz w:val="21"/>
                <w:szCs w:val="21"/>
              </w:rPr>
            </w:pP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(2）坐垫面离地高度：280mm(±2mm)，坐垫呈灰白色，尺寸为L770xW390xH30mm(±2mm)，面料柔软透气不闷热，坐垫内部填充高弹海绵，回弹性强，能拆卸清洗；坐柜下是2个左右对称的收纳格，内空尺寸为L376xW396xH145mm(±2mm)。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(3)围脚：底部安装塑料脚垫，高度为H10mm(±2mm)，直径17mm(±2mm),共</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搭配：产品包含1块尺寸为L200xW150mm(±2mm)的吊牌黑板，表面贴黑色防火板，可使用粉笔进行擦写；1个450x450mm(±2mm)大小流苏方形抱枕，颜色姜黄色；1条浅绿色半透帐纱；1条白色半透帐纱；收纳布袋尺寸L300xW220mm(±2m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三层教具篮收纳柜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规格：L91xW30xH59cm(±2cm)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R10mm圆角/圆边处理以及安全防撞设计，最大程度的避免儿童磕碰伤害。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（1）柜体：采用15mm(±2mm)的橡胶木拼板。柜子长度内空：884(±2mm)mm，整体为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3层，共安装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8个浅咖色铁质圆管用于固定教具篮，包含</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9个教具篮，尺寸：L280xW260xH100mm(±2mm)，用于收纳各种教玩具物品，教具篮采用塑料材质，呈浅咖色，圆滑无毛刺，一体成型设计。</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（2）围脚：采用厚度18mm(±2mm)的橡胶木拼板。柜体与底部围脚采用塑料连接件实现翻板功能，脚轮为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涂色书架</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规格：L90xW30xH86cm(±2cm)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（1）书架与收纳柜结合，兼具收纳与学习功能。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（2）着色采用美工机喷绘工艺，附着力好，生动立体不易褪色。</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（1）架体：采用厚度15mm(±2mm)的桦木纹饰面橡胶木拼板。左侧为收纳柜，右侧为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4层书架，呈高低错落，便于竖放大小不同的图书，书架层板采用莫兰迪撞色美工颜色点缀，层次分明。</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（2）围脚：底部安装塑料脚垫，高度为H10mm(±2mm)，直径17mm(±2mm)，软性防滑，可有效保护地面刮花并降低噪音。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（4）油墨：采用水性油墨。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蜗牛造型柜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规格：L76xW31.5xH111cm(±2cm)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（1）动物造型设计，青草饰板点缀，兼具装饰与收纳功能。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（1）柜体：木色部分柜体采用厚度15mm(±2mm)的桦木纹饰面橡胶木拼板，颜色部分柜体采用厚度15mm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的实木多层板，背板采用厚度5mm(±2mm)的饰面实木纤维板。</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（2）顶层层板离侧板高度146mm(±2mm),离造型高度446mm(±2mm)。背板空间可用于展示使用。前围脚呈小草造型的绿色围脚，增加区角趣味。柜子底部安装塑料脚垫，高度为H10mm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，直径17mm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，软性防滑，可有效保护地面刮花并降低噪。</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（5）油墨：采用水性油墨。</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戏曲木偶台</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规格：L91xW32xH158cm(±2cm)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（1）传统戏曲元素木偶台造型设计，柜体白板可擦写，既能独立摆放模拟真实场景又易于搭配其他产品进行环创。</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（1）柜体采用厚度15mm（±1mm）的桦木纹饰面橡胶木拼板，顶部白板框采用厚度18mm的实木多层板，顶部造型板采用厚度12m(±2mm)m的实木多层板。</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柜体：顶部为戏曲华诞头饰造型，搭配1根铁艺圆棒，安装由涤纶纤维织造的仿棉麻材质篷布，窗帘可拆洗。产品顶板中间安装白板铭牌，尺寸为：245x110mm(±2mm)，可使用水性笔进行擦写；下层柜体正面安装长方形可吸附磁铁的白板，尺寸为910x520mm(±2m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（3）围脚：底部安装塑料脚垫，高度为H10mm(±2mm)，直径17mm(±2mm)，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（6）油墨：采用水性油墨，颜色饱满，无毒无异味。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29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仙人掌透明画板柜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规格：L91xW30xH130cm(±2cm)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（2）采用美工机喷绘工艺，搭配油墨，图案附着力好，生动立体不易褪色。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（3）双面透明亚克力画板，不同绘画方式，透视互动性强。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（4）柜顶仙人掌造型设计，兼具装饰、收纳与教玩功能，能与其他柜体组合搭配使用。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（1）柜体：通透两层4格分区，竖板分区清晰，画具收纳空间充足；面板开4个直径70mm通孔，可方便放笔筒；透明画板可使用水性笔书画，透明画板书写范围尺寸为：712x430mm。</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2mm)的实木多层板。柜体与底部围脚采用塑料连接件实现翻板功能，脚轮为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（3）搭配：配套4个φ79x95mm(±2mm)烟灰橄榄绿颜料杯/笔筒。</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（4）木蜡油：采用的水性木蜡油封边，成分天然，分子机构细小，成膜牢固，密封性好，无毒。</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（5）采用的水性漆，全封闭涂装工艺。</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（6）油墨：画架顶部造型采用美工机喷绘工艺，搭配水性油墨，图案附着力好，生动立体不易褪色。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雪糕筒造型书屋</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规格：L120xW110xH110cm(±2cm)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（1）大空间书屋造型搭配软垫，孩子们能躺能坐能趴，营造舒适的阅读环境。</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（2）多洞口和窗户设计，侧板喷涂雪糕元素图案，能提高幼儿互动性与阅读兴趣。</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（3）铁艺表面采用静电粉末喷涂工艺，圆润光滑，防腐抗锈。</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bidi="ar"/>
              </w:rPr>
              <w:t>（4）采用美工机喷绘工艺，搭配油墨，图案附着力好</w:t>
            </w:r>
            <w:r>
              <w:rPr>
                <w:rFonts w:ascii="宋体" w:eastAsia="宋体" w:hAnsi="宋体" w:cs="宋体" w:hint="eastAsia"/>
                <w:color w:val="000000"/>
                <w:sz w:val="21"/>
                <w:szCs w:val="21"/>
                <w:lang w:eastAsia="zh-CN" w:bidi="ar"/>
              </w:rPr>
              <w:t>。</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（5）所有螺丝位无毛刺不刮手，边角采用圆边/圆角处理以及安全防撞设计，最大程度的避免儿童磕碰伤害。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（1）柜体采用厚度18mm(±2mm)的实木多层板，底板采用厚度12mm(±2mm)的实木多层板。书架：尺寸：1164x830mm(±2mm)；书架分3层，层间隔为：240mm(±2mm)；书架靠背板倾斜度：</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18°（与垂直方向夹角）。</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（2）地垫：软垫尺寸：1165x925mm(±2mm)，厚度为30mm(±2mm)的软垫，触感轻柔、亲肤感强，耐磨免洗；内部填充高弹海绵，密度≥30kg/m³，回弹性强，不易变形，能拆卸清洗。</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（3）两侧板带拱门与圆形窗户镂空，拱门门洞尺寸：340x380m</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m)；屋顶为一个尺寸L1160x650mm(±2mm)的铁艺架子，采用冷轧铁艺，表面采用静电粉末喷涂工艺，中间8个固定条组成，间隔126mm(±2mm)，不易倾倒。搭配布艺L255xW140cm(±2cm)，浅咖色半透窗纱，可拆卸清洗。</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（4）底部安装塑料脚垫，高度为H10mm(±2mm)，直径17mm(±2mm)，共</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8个，软性防滑，可有效保护地面刮花并降低噪音。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（6）油墨：采用水性油墨，颜色饱满。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雪松造型双面书架</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可展开</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规格：L60xW80xH91.5cm（含轮）(±2cm)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（1）多功能带轮带刹车双面书架，书籍储存空间大，移动/固定便捷。</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（2）雪松元素造型设计，可活页式摆出各种角度，激发幼儿阅读兴趣。</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（1）采用厚度15mm（±1mm）的桦木纹饰面橡胶木拼板。书架挡板与垂直方向倾斜夹角为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20°；也可展开为一字型/L型靠墙摆放。</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（2）每部分书架底部安装</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4个</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1.5寸静音万向脚轮，脚轮运行平稳无声，可</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360°旋转，转动顺滑，其中</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2个脚轮带刹车功能，刹车灵敏，踏板不易断裂。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（3）木蜡油：</w:t>
            </w:r>
            <w:r>
              <w:rPr>
                <w:rFonts w:ascii="宋体" w:eastAsia="宋体" w:hAnsi="宋体" w:cs="宋体" w:hint="eastAsia"/>
                <w:color w:val="000000"/>
                <w:sz w:val="21"/>
                <w:szCs w:val="21"/>
                <w:lang w:eastAsia="zh-CN" w:bidi="ar"/>
              </w:rPr>
              <w:t>采用</w:t>
            </w:r>
            <w:r>
              <w:rPr>
                <w:rFonts w:ascii="宋体" w:eastAsia="宋体" w:hAnsi="宋体" w:cs="宋体" w:hint="eastAsia"/>
                <w:color w:val="000000"/>
                <w:sz w:val="21"/>
                <w:szCs w:val="21"/>
                <w:lang w:bidi="ar"/>
              </w:rPr>
              <w:t>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语言区私密角</w:t>
            </w:r>
            <w:r>
              <w:rPr>
                <w:rFonts w:ascii="宋体" w:eastAsia="宋体" w:hAnsi="宋体" w:cs="宋体" w:hint="eastAsia"/>
                <w:color w:val="000000"/>
                <w:sz w:val="21"/>
                <w:szCs w:val="21"/>
                <w:lang w:bidi="ar"/>
              </w:rPr>
              <w:t>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1、规格：L170cm*W93cm*H143cm(±2cm)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ENF级1.5cm（±1cm）厚桦木实木多层板，符合GB/T 39600-2021检测。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3、采用水性漆，经过两底一面工艺制作。耐黄变性符合GB/T 23999-2009的标准； 水性漆中的有害物质符合GB 18581-2020的检测。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5、配件：顶部搭配实木圆棒及白色幕帘，内部书架搭配实木圆棒，防止图书掉落，软包材质为PU，内含海绵，其中海绵符合GB/T 10802-2023检测。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语言区私密角</w:t>
            </w:r>
            <w:r>
              <w:rPr>
                <w:rFonts w:ascii="宋体" w:eastAsia="宋体" w:hAnsi="宋体" w:cs="宋体" w:hint="eastAsia"/>
                <w:color w:val="000000"/>
                <w:sz w:val="21"/>
                <w:szCs w:val="21"/>
                <w:lang w:bidi="ar"/>
              </w:rPr>
              <w:t>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1、规格：L191cm*W94cm*H127cm(±2cm)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2、柜体以两个两层有背板玩具柜中间用拱形幕帘门连接。幕帘门用拱形弯曲塑料固定于玩具柜两侧面，中间用螺丝将红色布料覆盖于拱形塑料支架上，形成拱形幕帘门。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3、采用ENF级15</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m(±2mm)及5</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 (±2mm)桦木实木多层板，符合GB/T 39600-2021检测。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4、采用绿水性漆，经过两底一面工艺制作。耐黄变性符合GB/T 23999-2009的标准； 水性漆中的有害物质符合GB 18581-2020的检测。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6、配件：幕帘搭配白色水晶纱装饰，符合GB/T 2912.1-2009的检测。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2</w:t>
            </w:r>
            <w:r>
              <w:rPr>
                <w:rFonts w:ascii="宋体" w:eastAsia="宋体" w:hAnsi="宋体" w:cs="宋体" w:hint="eastAsia"/>
                <w:color w:val="000000"/>
                <w:sz w:val="21"/>
                <w:szCs w:val="21"/>
                <w:lang w:bidi="ar"/>
              </w:rPr>
              <w:t>层</w:t>
            </w:r>
            <w:r>
              <w:rPr>
                <w:rFonts w:ascii="宋体" w:eastAsia="宋体" w:hAnsi="宋体" w:cs="宋体" w:hint="eastAsia"/>
                <w:color w:val="000000"/>
                <w:sz w:val="21"/>
                <w:szCs w:val="21"/>
                <w:lang w:bidi="ar"/>
              </w:rPr>
              <w:t>90°</w:t>
            </w:r>
            <w:r>
              <w:rPr>
                <w:rFonts w:ascii="宋体" w:eastAsia="宋体" w:hAnsi="宋体" w:cs="宋体" w:hint="eastAsia"/>
                <w:color w:val="000000"/>
                <w:sz w:val="21"/>
                <w:szCs w:val="21"/>
                <w:lang w:bidi="ar"/>
              </w:rPr>
              <w:t>弧形矮柜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规格：L84xW38.5xH59cm (±2cm)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（1）90°弧形设计，可搭配区角使用作转角连接。</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（1）柜体：采用16mm（±1mm）的橡胶木拼板。通透2层矮柜，上下内空高度为236mm(±2mm)，柜体呈</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90°弧形。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（2）围脚：采用厚度18mm（±1mm）的多层胶合弯板，柜子底部安装塑料脚垫，高度为H10mm(±2mm)，直径17mm(±2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2</w:t>
            </w:r>
            <w:r>
              <w:rPr>
                <w:rFonts w:ascii="宋体" w:eastAsia="宋体" w:hAnsi="宋体" w:cs="宋体" w:hint="eastAsia"/>
                <w:color w:val="000000"/>
                <w:sz w:val="21"/>
                <w:szCs w:val="21"/>
                <w:lang w:bidi="ar"/>
              </w:rPr>
              <w:t>层矮柜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可调节</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无背板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规格：L91.5xW30xH59cm(±2cm)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（2）层板可调设计，提高空间利用率。</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（1）柜体：采用16mm（±1mm）的橡胶木拼板。柜子长度内空：884mm（±1mm），上下两层，中间一块层板。柜子内侧配塑料一次成型呈浅咖色长度440mm（±1mm）的活动层板支撑条，内嵌式安装嵌入深度≥4.5mm，固定条凸</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11mm,灵活安全使用层板，不占用空间，共15个挡位、每挡28mm（±1mm），可实现层板自选放置高度。</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（2）围脚：采用厚度18mm（±1mm）的橡胶木拼板。柜体与底部围脚采用塑料连接件实现翻板功能，脚轮为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3</w:t>
            </w:r>
            <w:r>
              <w:rPr>
                <w:rFonts w:ascii="宋体" w:eastAsia="宋体" w:hAnsi="宋体" w:cs="宋体" w:hint="eastAsia"/>
                <w:color w:val="000000"/>
                <w:sz w:val="21"/>
                <w:szCs w:val="21"/>
                <w:lang w:bidi="ar"/>
              </w:rPr>
              <w:t>层矮柜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可调节</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无背板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规格：L91.5xW30xH59cm(±2cm)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（2）层板可调设计，提高空间利用率。</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（3）所有螺丝位无毛刺不刮手，四角及边沿采用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m)的橡胶木拼板。柜子长度内空：884mm(±2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m)，上中下三层，中间两块层板。柜子内侧配塑料一次成型呈浅咖色长度440mm(±</w:t>
            </w:r>
            <w:r>
              <w:rPr>
                <w:rFonts w:ascii="宋体" w:eastAsia="宋体" w:hAnsi="宋体" w:cs="宋体" w:hint="eastAsia"/>
                <w:color w:val="000000"/>
                <w:sz w:val="21"/>
                <w:szCs w:val="21"/>
                <w:lang w:eastAsia="zh-CN" w:bidi="ar"/>
              </w:rPr>
              <w:t>2m</w:t>
            </w:r>
            <w:r>
              <w:rPr>
                <w:rFonts w:ascii="宋体" w:eastAsia="宋体" w:hAnsi="宋体" w:cs="宋体" w:hint="eastAsia"/>
                <w:color w:val="000000"/>
                <w:sz w:val="21"/>
                <w:szCs w:val="21"/>
                <w:lang w:bidi="ar"/>
              </w:rPr>
              <w:t>m)的活动层板支撑条，内嵌式安装嵌入深度≥4.5mm(±2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m)，固定条凸</w:t>
            </w:r>
            <w:r>
              <w:rPr>
                <w:rFonts w:ascii="宋体" w:eastAsia="宋体" w:hAnsi="宋体" w:cs="宋体" w:hint="eastAsia"/>
                <w:color w:val="000000"/>
                <w:sz w:val="21"/>
                <w:szCs w:val="21"/>
                <w:lang w:eastAsia="zh-CN" w:bidi="ar"/>
              </w:rPr>
              <w:t>大于等于</w:t>
            </w:r>
            <w:r>
              <w:rPr>
                <w:rFonts w:ascii="宋体" w:eastAsia="宋体" w:hAnsi="宋体" w:cs="宋体" w:hint="eastAsia"/>
                <w:color w:val="000000"/>
                <w:sz w:val="21"/>
                <w:szCs w:val="21"/>
                <w:lang w:bidi="ar"/>
              </w:rPr>
              <w:t>11mm(±2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m),灵活安全使用层板，不占用空间，共</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15个挡位、每挡28mm，可实现层板自选放置高度。</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m)的橡胶木拼板。柜体与底部围脚采用塑料连接件实现翻板功能，脚轮为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3</w:t>
            </w:r>
            <w:r>
              <w:rPr>
                <w:rFonts w:ascii="宋体" w:eastAsia="宋体" w:hAnsi="宋体" w:cs="宋体" w:hint="eastAsia"/>
                <w:color w:val="000000"/>
                <w:sz w:val="21"/>
                <w:szCs w:val="21"/>
                <w:lang w:bidi="ar"/>
              </w:rPr>
              <w:t>层高柜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全背板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规格：L91.5xW30xH80cm(±2cm)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（1）柜体：采用16mm（±1mm）的橡胶木拼板。三层无竖板，层格内空均为：884x280x222mm（±1mm），满足较大型玩教具收纳。背板采用厚度5mm（±1mm）的饰实木纤维板。</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（2）围脚：采用厚度18mm（±1mm）的橡胶木拼板。柜体与底部围脚采用塑料连接件实现翻板功能，脚轮为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r>
              <w:rPr>
                <w:rFonts w:ascii="宋体" w:eastAsia="宋体" w:hAnsi="宋体" w:cs="宋体" w:hint="eastAsia"/>
                <w:color w:val="000000"/>
                <w:sz w:val="21"/>
                <w:szCs w:val="21"/>
                <w:lang w:bidi="ar"/>
              </w:rPr>
              <w:t>层可调柜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规格：L91.5xW30xH80cm(±2cm)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（2）层板可调设计，提高空间利用率。</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（1）柜体：采用16mm（±1mm）的橡胶木拼板。共四层，底层含背板内空：884x280x162mm(±2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m)，上面三层含两块层板。柜子内侧配L440mm(±2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m)活动层板支撑条，内嵌式安装嵌入深度≥4.5mm，固定条凸11mm(±2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m)，灵活安全使用层板，不占用空间，共</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15个挡位、每挡28mm(±2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m)，可实现层板自选放置高度。背板采用厚度5mm（±1mm）的饰面实木纤维板。</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（2）围脚：采用厚度18mm（±1mm）的橡胶木拼板。柜体与底部围脚采用塑料连接件实现翻板功能，脚轮为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39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5</w:t>
            </w:r>
            <w:r>
              <w:rPr>
                <w:rFonts w:ascii="宋体" w:eastAsia="宋体" w:hAnsi="宋体" w:cs="宋体" w:hint="eastAsia"/>
                <w:color w:val="000000"/>
                <w:sz w:val="21"/>
                <w:szCs w:val="21"/>
                <w:lang w:bidi="ar"/>
              </w:rPr>
              <w:t>格分区矮柜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无背板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规格：L91.5xW30xH59cm(±2cm)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（1）柜体：采用16mm（±1mm）的橡胶木拼板。上层两个格子，内空尺寸：434x300x236mm（±1mm）,下层三个格子，内空尺寸：284x300x236mm（±1mm）。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（2）围脚：采用厚度18mm（±1mm）的橡胶木拼板。柜体与底部围脚采用塑料连接件实现翻板功能，脚轮为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格分区矮柜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无背板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规格：L91.5xW30xH59cm (±2cm)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（1）采用翻板活动轮工艺，移动/固定自由切换。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（1）柜体：采用16mm(±1mm）的橡胶木拼板。中间用三块层板分成相等的六格分区，每个格子内空：284x300x236mm(±2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（2）围脚：采用厚度18mm（±1mm）的橡胶木拼板。柜体与底部围脚采用塑料连接件实现翻板功能，脚轮为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寸静音万向轮，安装在围脚侧板内，当家具固定时，围脚侧板向下翻，万向轮则隐藏于侧板内；当家具需要移动时，围脚侧板向上翻，塑料连接件卡扣对侧板进行固定，万向轮支撑起家具的重量，无须抬起轻松实现家具位置转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（3）采用的水性漆，全封闭涂装工艺，漆面光泽高透，颜色均匀。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原木阶梯组合柜</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无背板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规格：3层：L30xW30xH80cm(±2cm) 2层：L30xW30xH59cm(±2cm) 1层：L30xW30xH34cm(±2cm)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（1）三个柜体可独立使用，灵活搭配，高低错落，可满足不同层次区角搭配。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（2）所有螺丝位无毛刺不刮手，四角及边沿采用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（1）柜体：采用16mm(±2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m)的橡胶木拼板。所有柜子组合使用呈阶梯状，格子内空长均为：267mm。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（2）围脚：柜子底部安装塑料脚垫，高度为H10mm(±2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m)，直径17mm(±2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阅读书屋</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规格：L123.5xW130xH141cm(±2cm)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（1）小屋造型设计，书架与收纳柜结合，兼具装饰、收纳与学习功能。</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（2）书架双面使用，可摆放更多书籍，书屋内可坐可躺，营造阅读氛围，适应幼儿不同的阅读体验。</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（1）整体呈小屋造型，采用厚度18mm(±2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m)的桦木纹饰面橡胶木拼板，其中矮柜高度：300mm(±2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m)，分</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3格，格子内空尺寸：360x245x194mm(±2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p>
        </w:tc>
      </w:tr>
      <w:tr>
        <w:tblPrEx>
          <w:tblW w:w="5000" w:type="pct"/>
          <w:tblInd w:w="-1041" w:type="dxa"/>
          <w:tblLayout w:type="fixed"/>
          <w:tblCellMar>
            <w:top w:w="0" w:type="dxa"/>
            <w:left w:w="108" w:type="dxa"/>
            <w:bottom w:w="0" w:type="dxa"/>
            <w:right w:w="108" w:type="dxa"/>
          </w:tblCellMar>
        </w:tblPrEx>
        <w:trPr>
          <w:trHeight w:val="524"/>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（2）书架内空尺寸：1160x70x200mm(±2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m)，书架两面都可放置书籍。</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（3）屋顶顶部横梁尺寸1200x80x18mm(±2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m)，利用塑料一次成型的角码固定，屋顶采用涤纶纤维织造的仿棉麻材质篷布长度L177xW120cm(±2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m)。侧边可搭配窗纱，篷布与窗纱均可拆洗。</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（4）前后门的门帘采用半透明纱布大L61xW120cm(±2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m)、小L35xW120cm(±2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m)（4条为1套.分左右）共</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4块，利用魔术贴可拆卸清洗。</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（5）整套产品底部安装塑料脚垫，高度为H10mm(±2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m)，直径17mm(±2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m)，共14个软性防滑，可有效保护地面刮花并降低噪音。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（6）木蜡油：采用水性木蜡油封边，成分天然，分子机构细小，成膜牢固，密封性好。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387"/>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生活区柜子</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1、规格：L180cm*W50cm*H60cm(±2cm)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2、基材:采用厚度18mm（±1mm）的大芯板，板材甲醛释放量≤0.05mg/m3，外观质量、理化性能等符合国家标准。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35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5、台面加盖一块石英石；</w:t>
            </w:r>
          </w:p>
        </w:tc>
      </w:tr>
      <w:tr>
        <w:tblPrEx>
          <w:tblW w:w="5000" w:type="pct"/>
          <w:tblInd w:w="-1041" w:type="dxa"/>
          <w:tblLayout w:type="fixed"/>
          <w:tblCellMar>
            <w:top w:w="0" w:type="dxa"/>
            <w:left w:w="108" w:type="dxa"/>
            <w:bottom w:w="0" w:type="dxa"/>
            <w:right w:w="108" w:type="dxa"/>
          </w:tblCellMar>
        </w:tblPrEx>
        <w:trPr>
          <w:trHeight w:val="351"/>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塑料叠床</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1、规格：L140cm*W58cm*H20cm(±2cm)</w:t>
            </w:r>
          </w:p>
        </w:tc>
      </w:tr>
      <w:tr>
        <w:tblPrEx>
          <w:tblW w:w="5000" w:type="pct"/>
          <w:tblInd w:w="-1041" w:type="dxa"/>
          <w:tblLayout w:type="fixed"/>
          <w:tblCellMar>
            <w:top w:w="0" w:type="dxa"/>
            <w:left w:w="108" w:type="dxa"/>
            <w:bottom w:w="0" w:type="dxa"/>
            <w:right w:w="108" w:type="dxa"/>
          </w:tblCellMar>
        </w:tblPrEx>
        <w:trPr>
          <w:trHeight w:val="35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2、床面采用pvc网布，透气性强，床脚采用TPE材质。</w:t>
            </w:r>
          </w:p>
        </w:tc>
      </w:tr>
      <w:tr>
        <w:tblPrEx>
          <w:tblW w:w="5000" w:type="pct"/>
          <w:tblInd w:w="-1041" w:type="dxa"/>
          <w:tblLayout w:type="fixed"/>
          <w:tblCellMar>
            <w:top w:w="0" w:type="dxa"/>
            <w:left w:w="108" w:type="dxa"/>
            <w:bottom w:w="0" w:type="dxa"/>
            <w:right w:w="108" w:type="dxa"/>
          </w:tblCellMar>
        </w:tblPrEx>
        <w:trPr>
          <w:trHeight w:val="35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3.床架采用直径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25mm铁管制成，表面喷塑，不易变色，牢固性好。</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351"/>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塑料床配托盘</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1、规格：伸缩范围L131-158*W57-83*H11cm(±2cm)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2、托架采用注塑工艺，加厚设计，一次成型，并设有可调尺。框架采用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0.6cm厚不锈钢。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3、精致万向轮铁质轴承，带刹车固定稳妥。轮子采用橡胶轮，对地面无损害。采用静音模式。</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杯架</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r>
              <w:rPr>
                <w:rFonts w:ascii="宋体" w:eastAsia="宋体" w:hAnsi="宋体" w:cs="宋体" w:hint="eastAsia"/>
                <w:color w:val="000000"/>
                <w:sz w:val="21"/>
                <w:szCs w:val="21"/>
                <w:lang w:bidi="ar"/>
              </w:rPr>
              <w:t>、规格：</w:t>
            </w:r>
            <w:r>
              <w:rPr>
                <w:rFonts w:ascii="宋体" w:eastAsia="宋体" w:hAnsi="宋体" w:cs="宋体" w:hint="eastAsia"/>
                <w:color w:val="000000"/>
                <w:sz w:val="21"/>
                <w:szCs w:val="21"/>
                <w:lang w:bidi="ar"/>
              </w:rPr>
              <w:t>L70xW10xH70cm(±5cm)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纱窗门</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r>
              <w:rPr>
                <w:rFonts w:ascii="宋体" w:eastAsia="宋体" w:hAnsi="宋体" w:cs="宋体" w:hint="eastAsia"/>
                <w:color w:val="000000"/>
                <w:sz w:val="21"/>
                <w:szCs w:val="21"/>
                <w:lang w:bidi="ar"/>
              </w:rPr>
              <w:t>、规格：</w:t>
            </w:r>
            <w:r>
              <w:rPr>
                <w:rFonts w:ascii="宋体" w:eastAsia="宋体" w:hAnsi="宋体" w:cs="宋体" w:hint="eastAsia"/>
                <w:color w:val="000000"/>
                <w:sz w:val="21"/>
                <w:szCs w:val="21"/>
                <w:lang w:bidi="ar"/>
              </w:rPr>
              <w:t>L70xH70cm(±5cm)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2、材质：采用铝合金和加密纱网。</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w:t>
            </w:r>
            <w:r>
              <w:rPr>
                <w:rFonts w:ascii="宋体" w:eastAsia="宋体" w:hAnsi="宋体" w:cs="宋体" w:hint="eastAsia"/>
                <w:color w:val="000000"/>
                <w:sz w:val="21"/>
                <w:szCs w:val="21"/>
                <w:lang w:bidi="ar"/>
              </w:rPr>
              <w:t>、折叠隐形：关上纱门时，纱门隐藏在边框中。</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地垫收纳架</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不含垫子）</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1、规格：L45*L45cm*H96cm(±2cm)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ENF级桦木实木多层板，符合GB/T 39600-2021检测；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3、采用绿水性漆封边，经过两底一面工艺制作。耐黄变性符合GB/T  23999-2009的标准； 水性漆中的有害物质符合GB 18581-2020的检测。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49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1、规格：L80*W40*H105cm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2、基材：采用樟子松，木质坚硬稳定性强，木材含水率、气干密度符合国家标准；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2、图案：柜面配置高清图案及雕刻柱子造型。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1、规格：L100*W69*H30cm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2、基材：板芯采用中纤板，表面高温烤漆耐磨层；</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3、桌脚：圆润桌角防磕碰；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4、脚垫：配置防滑脚垫，放置刮伤地板。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5、颜色：白色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1、规格：L150*W78*H85cm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2、材质：采用羊羔绒面料，直接包面，沉稳舒适；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3、海棉：采用高密度定型海棉，密度为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45KG/M3，理化性能应符合国家现行标准，软硬适中，压膜量达到国家现行检测标准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4、框架：符合QB/T2280国家标准实木内架。木材干燥</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12%含水率，并经防腐，防蛀处理。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1、规格：直径56*H67cm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2、基材：采用符合E1标准的中纤板或更高标准，经过防虫、防腐等化学处理；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3、面材：采用厚度≥0.6mm天然木皮，双面光滑平直，颜色、厚度均匀；木纹清晰、美观、颜色均匀、不易腐蚀、抗弯强度适中、断裂强度适中；经防虫防腐处理,具有很好的油漆与染料的保持能力及尺寸稳定性。</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漆：符合E0级标准聚脂PU漆，漆膜丰满，漆膜坚硬耐磨、光泽高，有优异的耐化学性、耐热性，良好的附着力、耐黄变、高透明度，抗刮性良好、耐磨，光泽柔和、手感细腻、硬度高；无气泡、爆裂等缺陷；达到GB18581-2001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1、规格：L53*W48*H68cm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2、基材：采用符合E1标准的中纤板或更高标准，经过防虫、防腐等化学处理；</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3、面材：采用厚度≥0.6mm天然木皮，双面光滑平直，颜色、厚度均匀；木纹清晰、美观、颜色均匀、不易腐蚀、抗弯强度适中、断裂强度适中；经防虫防腐处理,具有很好的油漆与染料的保持能力及尺寸稳定性。</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4、油漆：符合</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0级标准聚脂PU漆，漆膜丰满，漆膜坚硬耐磨、光泽高，有优异的耐化学性、耐热性，良好的附着力、耐黄变、高透明度，抗刮性良好、耐磨，光泽柔和、手感细腻、硬度高；无气泡、爆裂等缺陷；达到GB18581-2001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5、面料：艺术刺绣，舒适坐垫。</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1、规格：直径57*H68cm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2、基材：采用桦木，木质坚硬稳定性强，木材含水率、气干密度符合国家标准；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3、花纹：手工回执的复古花纹配上复古的金色装饰，勾勒出艺术的设计美感，打破家具的纯粹，与木色呼应出和谐的色彩；</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4、造型脚：圆润的树脂雕刻造型脚，表面光滑细腻，立体感强，复古的绿色和复古金色的点缀从而让圆台脚多了分悦目的设计美感。</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1、规格：直径44*H61cm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2、基材：采用树木，木质坚硬稳定性强，木材含水率、气干密度符合国家标准；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3、雕花：采用工艺更严苛的雕花工艺；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4、面板：采用钢化玻璃面板，易清洁，使用不局促。</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1、规格：L54*W44*H71cm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2、基材：采用桦木及桦木多层板，木质坚硬稳定性强，木材含水率、气干密度符合国家标准；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4、抽面及颜色：抽面采用桐木+饰面铁艺雕花，颜色是彩绘做旧胡桃色。</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1、规格：L65*W45*H140cm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2、基材：采用藤条捆绑编织而成为了保证美观牢固，四周还用整根藤条做了细腻的包边；</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3、边角：圆润的防撞边角设计，避免磕碰受伤。</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1、规格：L43*W37*H55cm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2、基材：采用楠木制作，木质坚硬稳定性强，木材含水率、气干密度符合国家标准；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4、桌面：长虹玻璃；</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5、网纹：ABS塑料材质，美观透气。</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59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语言区沙发3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1、规格：L60*W60*H39cm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2、椅架：采用橡胶木实木制作，木质坚硬稳定性强，木材含水率、气干密度符合国家标准；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4、编织：采用牛皮纸绳精编而成。</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1、规格：直径38*H62cm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2、材质：采用加厚板材，稳固性强；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3、底座：圆盘底座有力着地，可靠不易摇晃，铁艺框架结构稳定。</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1、规格：L140*W31*H93cm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2、基材：采用衫木实木，木质坚硬稳定性强，木材含水率、气干密度符合国家标准；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4、木门：复古雕花做旧工艺。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1、规格：L64*W34*H140cm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2、基材：采用藤条捆绑编织而成为了保证美观牢固，四周还用整根藤条；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3、边角：圆润的防撞边角设计，避免磕碰受伤。</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1、规格：L100*W40*H85cm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4、木门：藤编木门保证柜内空气流通；</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5、高脚：高脚设计，柜腿内收，靠近墙放贴合度高。</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转角架3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1、规格：L36*W26*H110cm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2、基材：采用楠木制作，木质坚硬稳定性强，木材含水率、气干密度符合国家标准；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4、边角：圆润打磨，光滑无毛刺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5、腿部：高挑腿部，方便打扫，清洁无忧。</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屏风</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陈列</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1、规格：L80*H120cm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2、基材：采用樟子松或云杉制作，木质坚硬稳定性强，木材含水率、气干密度符合国家标准；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3、油漆：采用高温碳化+喷涂木蜡，双重防腐工艺不惧风吹日晒；</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4、木料：木条加宽≥2.5cm，用料足。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1、规格：直径60*H60cm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2、基材：采用实木制作，木质坚硬稳定性强，木材含水率、气干密度符合国家标准；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巴比伦沙发椅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1、规格：Ll14*W80*H43cm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2、材质：麻绒布艺，直接包面，沉稳舒适；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3、海棉：采用高密度定型海棉，密度为</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45KG/M3，理化性能应符合国家现行标准，软硬适中，压膜量达到国家现行检测标准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4、框架：符合QB/T2280国家标准实木内架。木材干燥至</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12%含水率，并经防腐，防蛀处理。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天鹅蛋沙发</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规格：L78*W75*H44cm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2、材质：麻绒布艺，直接包面，沉稳舒适；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3、海棉：采用高密度定型海棉，密度为</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45KG/M3，理化性能应符合国家现行标准，软硬适中，压膜量达到国家现行检测标准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4、框架：符合QB/T2280国家标准实木内架。木材干燥</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12%含水率，并经防腐，防蛀处理。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69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1、规格：直径44*H61cm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2、基材：采用树木，木质坚硬稳定性强，木材含水率、气干密度符合国家标准；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3、雕花：采用工艺更严苛的雕花工艺；</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4、面板：采用钢化玻璃面板，易清洁，使用不局促。</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私密小屋</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1、规格：L130*W94*H157cm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2、基材：采用榉木制作，木质坚硬稳定性强，木材含水率、气干密度符合国家标准；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1、规格：L88*W33*H93cm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2、基材：采用桐木实木制作，纹理细腻清晰；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4、柜腿：经典柜腿造型，稳重承重。</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4、五金件：精致复古金属把手。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1、规格：L60*W60*H60cm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2、骨架：采用合金材质，高温烤漆不生锈；</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3、桌面：钢化玻璃桌面易清理打理；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4、藤编：户外PE藤编</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摇摇椅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1、规格：L95*W75*H100cm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2、骨架：采用合金材质，高温烤漆不生锈；</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3、藤编：户外PE藤编</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单椅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1、规格：L57*W56*H83cm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2、骨架：采用合金材质，高温烤漆不生锈；</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3、藤编：户外PE藤编</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诱导桌5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1、规格：直径45*H61cm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2、基材：实木腿采用松木实木制作，桌面</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E1级中纤板双贴水曲柳实木皮；</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特色区域柜6</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1、规格：L80*W36*H86cm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2、基材：采用桐木实木制作，木质坚硬稳定性强，木材含水率、气干密度符合国家标准；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4、柜门：柜门表面采用了八角藤编工艺，选用藤条，看起来简单，制作却非常讲究，呈现别样质感。</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语言区桌子5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1、规格：L120*W60*H35cm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2、基材：采用大叶松实木制作，木质坚硬稳定性强，木材含水率、气干密度符合国家标准；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主椅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1、规格：L60*W52*H35cm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2、基材：采用大叶松实木制作，木质坚硬稳定性强，木材含水率、气干密度符合国家标准；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79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蒲团</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1、规格：L50*H10cm</w:t>
            </w:r>
            <w:r>
              <w:rPr>
                <w:rFonts w:ascii="宋体" w:eastAsia="宋体" w:hAnsi="宋体" w:cs="宋体" w:hint="eastAsia"/>
                <w:color w:val="000000"/>
                <w:sz w:val="21"/>
                <w:szCs w:val="21"/>
                <w:lang w:bidi="ar"/>
              </w:rPr>
              <w:t>(±5cm)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2、材质：采用天然蒲草编织，圆弧造型不搁腿；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3、内置：珍珠棉高弹棉填充，久坐不变形。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置物架</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w:t>
            </w:r>
            <w:r>
              <w:rPr>
                <w:rFonts w:ascii="宋体" w:eastAsia="宋体" w:hAnsi="宋体" w:cs="宋体" w:hint="eastAsia"/>
                <w:color w:val="000000"/>
                <w:sz w:val="21"/>
                <w:szCs w:val="21"/>
                <w:lang w:bidi="ar"/>
              </w:rPr>
              <w:t>、规格：</w:t>
            </w:r>
            <w:r>
              <w:rPr>
                <w:rFonts w:ascii="宋体" w:eastAsia="宋体" w:hAnsi="宋体" w:cs="宋体" w:hint="eastAsia"/>
                <w:color w:val="000000"/>
                <w:sz w:val="21"/>
                <w:szCs w:val="21"/>
                <w:lang w:bidi="ar"/>
              </w:rPr>
              <w:t>L60*W30*H109cm(±5cm)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2、基材：采用松木制作，木质坚硬稳定性强，木材含水率、气干密度符合国家标准；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沙画桌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1、规格：L455*W230*H60cm</w:t>
            </w:r>
            <w:r>
              <w:rPr>
                <w:rFonts w:ascii="宋体" w:eastAsia="宋体" w:hAnsi="宋体" w:cs="宋体" w:hint="eastAsia"/>
                <w:color w:val="000000"/>
                <w:sz w:val="21"/>
                <w:szCs w:val="21"/>
                <w:lang w:bidi="ar"/>
              </w:rPr>
              <w:t>(±10cm)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1、规格：L(620+230)*H85cm（±10cm）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2、基材:采用厚度18mm（±1mm）的大芯板，板材甲醛释放量≤0.05mg/m3，外观质量、理化性能等符合国家标准。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树枝屏风</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1.规格：L110*H220cm（±10cm）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2、材质：采用纯实木，含水率低于 8%，经过防虫、防腐等化学处理，密度 </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700KG/m3以上，持久不变形，材质坚硬钢性强，承托力达</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 xml:space="preserve"> 200KG；</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3、油漆：采用水性漆，在恒温、恒湿高度防尘的面漆房喷涂面漆。经过最先进饱和漆工艺精心处理，从而保证台面平整无颗粒、气泡、渣点，颜色均匀；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1.规格：L150*W90*H48cm（±10cm）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2.材质：采用纯实木，含水率低于 8%，经过防虫、防腐等化学处理，密度</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 xml:space="preserve"> 700KG/m3以上，持久不变形，材质坚硬钢性强，承托力达 </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200KG；</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3.油漆：采用水性漆，在恒温、恒湿高度防尘的面漆房喷涂面漆。经过最先进饱和漆工艺精心处理，从而保证台面平整无颗粒、气泡、渣点，颜色均匀；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美术凳</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1.规格：直径28*H30cm（±10cm）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2.基材：采用香樟木制作。木纹整洁交错，外形美观有光泽，木质坚硬稳定性强，木材含水率、气干密度符合国家标准；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圆凳</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1.规格：直径28*H30cm（±10cm）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2.基材：采用松木实木制作。木纹整洁交错，外形美观有光泽，木质坚硬稳定性强，木材含水率、气干密度符合国家标准；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87</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1、规格：L430*W350*H210cm（±10cm）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2、基材:柜体采用厚度18mm（±1mm）的</w:t>
            </w:r>
            <w:r>
              <w:rPr>
                <w:rFonts w:ascii="宋体" w:eastAsia="宋体" w:hAnsi="宋体" w:cs="宋体" w:hint="eastAsia"/>
                <w:sz w:val="21"/>
                <w:szCs w:val="21"/>
                <w:lang w:eastAsia="zh-CN"/>
              </w:rPr>
              <w:t>≥</w:t>
            </w:r>
            <w:r>
              <w:rPr>
                <w:rFonts w:ascii="宋体" w:eastAsia="宋体" w:hAnsi="宋体" w:cs="宋体" w:hint="eastAsia"/>
                <w:sz w:val="21"/>
                <w:szCs w:val="21"/>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lang w:bidi="ar"/>
              </w:rPr>
            </w:pPr>
            <w:r>
              <w:rPr>
                <w:rFonts w:ascii="宋体" w:eastAsia="宋体" w:hAnsi="宋体" w:cs="宋体" w:hint="eastAsia"/>
                <w:sz w:val="21"/>
                <w:szCs w:val="21"/>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甘蔗板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1、规格：L100*H210cm（±10cm）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2、基材:采用厚度18mm（±1mm）的欧松板，板材甲醛释放量≤0.05mg/m3，外观质量、理化性能等符合国家标准。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3、边框：选用松木制作，木纹整洁交错，木质坚硬稳定性强，木材含水率、气干密度符合国家标准；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89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软木板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1、规格：L100*H210cm（±10cm）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2、材质：</w:t>
            </w:r>
            <w:r>
              <w:rPr>
                <w:rFonts w:ascii="宋体" w:eastAsia="宋体" w:hAnsi="宋体" w:cs="宋体" w:hint="eastAsia"/>
                <w:sz w:val="21"/>
                <w:szCs w:val="21"/>
                <w:lang w:eastAsia="zh-CN"/>
              </w:rPr>
              <w:t>≥</w:t>
            </w:r>
            <w:r>
              <w:rPr>
                <w:rFonts w:ascii="宋体" w:eastAsia="宋体" w:hAnsi="宋体" w:cs="宋体" w:hint="eastAsia"/>
                <w:sz w:val="21"/>
                <w:szCs w:val="21"/>
              </w:rPr>
              <w:t>10mm专用防水底板+专用防霉胶+</w:t>
            </w:r>
            <w:r>
              <w:rPr>
                <w:rFonts w:ascii="宋体" w:eastAsia="宋体" w:hAnsi="宋体" w:cs="宋体" w:hint="eastAsia"/>
                <w:sz w:val="21"/>
                <w:szCs w:val="21"/>
                <w:lang w:eastAsia="zh-CN"/>
              </w:rPr>
              <w:t>≥</w:t>
            </w:r>
            <w:r>
              <w:rPr>
                <w:rFonts w:ascii="宋体" w:eastAsia="宋体" w:hAnsi="宋体" w:cs="宋体" w:hint="eastAsia"/>
                <w:sz w:val="21"/>
                <w:szCs w:val="21"/>
              </w:rPr>
              <w:t>10mm原木色软木板，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3、制作要求：材料、复合国家质量标准。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90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十五格玩具柜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1、规格：L122cm*W33cm*H91cm（±1cm）</w:t>
            </w:r>
          </w:p>
        </w:tc>
      </w:tr>
      <w:tr>
        <w:tblPrEx>
          <w:tblW w:w="5000" w:type="pct"/>
          <w:tblInd w:w="-1041" w:type="dxa"/>
          <w:tblLayout w:type="fixed"/>
          <w:tblCellMar>
            <w:top w:w="0" w:type="dxa"/>
            <w:left w:w="108" w:type="dxa"/>
            <w:bottom w:w="0" w:type="dxa"/>
            <w:right w:w="108" w:type="dxa"/>
          </w:tblCellMar>
        </w:tblPrEx>
        <w:trPr>
          <w:trHeight w:val="716"/>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2、从上至下分为2部分，第一部分为活动层板，第二部分为材料存放格。第一部分的活动层板可分为左中右3部分，每部分内径尺寸长度不短于 38cm（±2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，宽度不小于 29.5cm（±2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，高度不低于 31.5cm（±2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，左右两部分，每部分可均匀的放置5块可移动挡板，挡板横向放置，挡板与挡板间距为 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。中间部分，格内可均匀的放置4块可移动挡板，挡板竖向放置，挡板与挡板的间距为 7cm（±2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。所有挡板均为厚度为 0.5cm（±2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的实木、桦木。 第二部分材料存放格被分为3层，每层均匀的放置5个储存格，内径尺寸长度不短于 30cm（±2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，宽度不小于22cm（±2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，高度不低于 15.5cm（±2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，可以放置尺寸31*20*13.5cm（±2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的收纳盒，储物格自下而上第二三2层下方层板可拆卸。可抽式层板厚度为 0.5cm（±2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左右。柜体用螺丝加以固定。</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ENF级15</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厚及5</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±2mm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厚桦木实木多层板，符合GB/T 39600-2021检测。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4、采用水性漆，经过两底一面工艺制作。耐黄变性符合GB/T 23999-2009的标准； 水性漆中的有害物质符合GB 18581-2020的检测。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5、五金件选用五金，色泽丰富，锑、砷、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91</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材料展示抽屉桌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1、规格：L110*W110*H54cm（±1cm）；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ENF级桦木实木多层板，符合GB/T 39600-2021检测，其中桌面采用透明亚克力。</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3、采用水性漆封边，经过两底一面工艺制作。耐黄变性符合GB/T  23999-2009的标准； 水性漆中的有害物质符合GB 18581-2020的检测。</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4、五金件选用五金，色泽丰富，锑、砷、 钡、镉、铬、铅、汞、硒可迁移元素符合GB 6675.4-2014的检测结果。</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5、配件：桌面采用透明PC板，可展示抽屉里材料，抽屉多格隔断，细化收纳功能。含美术材料</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92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树枝灯</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1、规格：L90*W32cm（±10cm）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2、材质：采用树脂玻璃钢材质，厚实稳固，不易开裂；表面仿木纹手工刷色，质感细腻；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3、光条：软硅胶导光条，透光均匀，灯光柔和不刺眼；</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4、吸顶盘：铁艺吸顶盘，木纹手工刷色，多道上色工序制作而成，不易生锈耐腐蚀；</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b/>
                <w:bCs/>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5、五金件：厚实五金锁线扣，不易生锈。</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1、规格：L140*W70*H75cm（±10cm）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2、基材：桌面采用厚度25mm（±</w:t>
            </w:r>
            <w:r>
              <w:rPr>
                <w:rFonts w:ascii="宋体" w:eastAsia="宋体" w:hAnsi="宋体" w:cs="宋体" w:hint="eastAsia"/>
                <w:color w:val="000000"/>
                <w:sz w:val="21"/>
                <w:szCs w:val="21"/>
                <w:lang w:eastAsia="zh-CN" w:bidi="ar"/>
              </w:rPr>
              <w:t>1mm</w:t>
            </w:r>
            <w:r>
              <w:rPr>
                <w:rFonts w:ascii="宋体" w:eastAsia="宋体" w:hAnsi="宋体" w:cs="宋体" w:hint="eastAsia"/>
                <w:color w:val="000000"/>
                <w:sz w:val="21"/>
                <w:szCs w:val="21"/>
                <w:lang w:bidi="ar"/>
              </w:rPr>
              <w:t>）的橡胶木实木，木质坚硬稳定性强，木材含水率、气干密度符合国家标准；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1、规格：L140*W60*H75cm（±10cm）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2、基材:桌面采用厚度25mm（±1mm）的</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6、桌架采用冷轧钢，表面木纹热转印；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1、规格：L120*W60*H75cm（±10cm）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2、基材:桌面采用厚度25mm（±1mm）的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6、桌架采用冷轧钢，表面木纹热转印；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1、规格：L130*W60*H75cm（±10cm）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2、基材:桌面采用厚度25mm（±1mm）的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4、封边条：采用PVC封边条，表面光滑平整，无毒，封边细腻硬度高，线条均匀，转角过渡自然，无脱胶，表面光滑平整无胶渍。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6、桌架采用冷轧钢，表面木纹热转印；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音控桌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1、规格：L120*W60*H75cm（±10cm）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2、基材:桌面采用厚度25mm（±1mm）的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6、桌架采用冷轧钢，表面木纹热转印；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活动柜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1、规格：L39.6*W40.4*H50cm（±10cm）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99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1、规格：Ll66.8*W66.8*H86-96cm（±10cm）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2、椅座：采用实木坐板，表面采用水性漆，表面增加软包，增加座椅舒适感；</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3、扶手：采用冷轧钢+实木；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1、规格：L56*W45*H42cm（±10cm）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5、脚垫采用PP材质，静音、防滑。</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b/>
                <w:bCs/>
                <w:sz w:val="21"/>
                <w:szCs w:val="21"/>
                <w:lang w:bidi="ar"/>
              </w:rPr>
              <w:t>▲提供橡胶木教师椅成品检测报告，采用GB/T 35607-2024、GB/T 36022-2018、LY/T 1985-2011、GB/T 3324-2017，检测项需满足：1、甲醛释放量，苯、甲苯、二甲苯，总挥发性有机化合物未检出均未检出；2、氨释放量未检出；</w:t>
            </w:r>
            <w:r>
              <w:rPr>
                <w:rFonts w:ascii="宋体" w:eastAsia="宋体" w:hAnsi="宋体" w:cs="宋体" w:hint="eastAsia"/>
                <w:b/>
                <w:bCs/>
                <w:sz w:val="21"/>
                <w:szCs w:val="21"/>
                <w:lang w:eastAsia="zh-CN" w:bidi="ar"/>
              </w:rPr>
              <w:t>3</w:t>
            </w:r>
            <w:r>
              <w:rPr>
                <w:rFonts w:ascii="宋体" w:eastAsia="宋体" w:hAnsi="宋体" w:cs="宋体" w:hint="eastAsia"/>
                <w:b/>
                <w:bCs/>
                <w:sz w:val="21"/>
                <w:szCs w:val="21"/>
                <w:lang w:bidi="ar"/>
              </w:rPr>
              <w:t>、五氯苯酚未检出;</w:t>
            </w:r>
            <w:r>
              <w:rPr>
                <w:rFonts w:ascii="宋体" w:eastAsia="宋体" w:hAnsi="宋体" w:cs="宋体" w:hint="eastAsia"/>
                <w:b/>
                <w:bCs/>
                <w:sz w:val="21"/>
                <w:szCs w:val="21"/>
                <w:lang w:eastAsia="zh-CN" w:bidi="ar"/>
              </w:rPr>
              <w:t>4</w:t>
            </w:r>
            <w:r>
              <w:rPr>
                <w:rFonts w:ascii="宋体" w:eastAsia="宋体" w:hAnsi="宋体" w:cs="宋体" w:hint="eastAsia"/>
                <w:b/>
                <w:bCs/>
                <w:sz w:val="21"/>
                <w:szCs w:val="21"/>
                <w:lang w:bidi="ar"/>
              </w:rPr>
              <w:t>、表面理化性能 漆膜（耐液性、耐湿热、耐干热、附着力）符合检测标准。出具实木橡胶木拼板抽样检验检测报告，采用符合 GB/T3324-2024、GB/T4893.7-2013、GB/T 4893.4-2023、GB/T6739-2022、GB/T 42898-2023、GB/T40908-2021检测方法，检测项应满足：1、木材外观（贯通裂缝、虫蛀、腐朽材、树脂囊、节子）符合要求；2、木材含水率≤8.7%；3、漆膜（耐冷热温差、附着力、硬度）符合要求；4</w:t>
            </w:r>
            <w:r>
              <w:rPr>
                <w:rFonts w:ascii="宋体" w:eastAsia="宋体" w:hAnsi="宋体" w:cs="宋体" w:hint="eastAsia"/>
                <w:b/>
                <w:bCs/>
                <w:sz w:val="21"/>
                <w:szCs w:val="21"/>
                <w:lang w:eastAsia="zh-CN" w:bidi="ar"/>
              </w:rPr>
              <w:t>、</w:t>
            </w:r>
            <w:r>
              <w:rPr>
                <w:rFonts w:ascii="宋体" w:eastAsia="宋体" w:hAnsi="宋体" w:cs="宋体" w:hint="eastAsia"/>
                <w:b/>
                <w:bCs/>
                <w:sz w:val="21"/>
                <w:szCs w:val="21"/>
                <w:lang w:bidi="ar"/>
              </w:rPr>
              <w:t>总半挥发性有机化合物TSVOC释放量未检出；</w:t>
            </w:r>
            <w:r>
              <w:rPr>
                <w:rFonts w:ascii="宋体" w:eastAsia="宋体" w:hAnsi="宋体" w:cs="宋体" w:hint="eastAsia"/>
                <w:b/>
                <w:bCs/>
                <w:sz w:val="21"/>
                <w:szCs w:val="21"/>
                <w:lang w:eastAsia="zh-CN" w:bidi="ar"/>
              </w:rPr>
              <w:t>5</w:t>
            </w:r>
            <w:r>
              <w:rPr>
                <w:rFonts w:ascii="宋体" w:eastAsia="宋体" w:hAnsi="宋体" w:cs="宋体" w:hint="eastAsia"/>
                <w:b/>
                <w:bCs/>
                <w:sz w:val="21"/>
                <w:szCs w:val="21"/>
                <w:lang w:bidi="ar"/>
              </w:rPr>
              <w:t>、有机磷阻燃剂未检出。出具油漆实木拼接板检验依据GB/T 36022-2018、GB/T 27904-2011、QB/T 2761-2006 检测项目：（1）甲醛释放量未检出；（2）燃烧性能 B1 级（热释放速率峰值≤27.6KW；5min 内放出的总能量≤3.1MJ；最大烟密度≤64.2%）；（3）热释放总量≤4.0；（4）最大质量损失率≤4.1%；（5）一氧化碳浓度（最大）≤170ppm；（6）二氧化碳浓度（最大）≤1400ppm；（7）氨释放量未检出；（8）试件无整体燃烧；（9）净化性能 甲醛去除率（24h）达到50.4%。出具PP(聚丙烯)抽样检验检测依据GB/T32487-2016、GB/T16422.2-2022、GB/T250-2008、GB/T1043.1-2008、GB/T</w:t>
            </w:r>
            <w:r>
              <w:rPr>
                <w:rFonts w:ascii="宋体" w:eastAsia="宋体" w:hAnsi="宋体" w:cs="宋体" w:hint="eastAsia"/>
                <w:b/>
                <w:bCs/>
                <w:sz w:val="21"/>
                <w:szCs w:val="21"/>
                <w:lang w:eastAsia="zh-CN" w:bidi="ar"/>
              </w:rPr>
              <w:t xml:space="preserve"> </w:t>
            </w:r>
            <w:r>
              <w:rPr>
                <w:rFonts w:ascii="宋体" w:eastAsia="宋体" w:hAnsi="宋体" w:cs="宋体" w:hint="eastAsia"/>
                <w:b/>
                <w:bCs/>
                <w:sz w:val="21"/>
                <w:szCs w:val="21"/>
                <w:lang w:bidi="ar"/>
              </w:rPr>
              <w:t>1634.1-2019、GB/T1034-2008.GB/T 9341-2008、GB/T 19466.6-2009检测应满足：（1）重金属：可溶性镉、铬、铅、汞等未检出；（2）塑料件外观：应无裂纹、明显变形、缩水、针孔，应无凹陷、飞边、折皱、疙瘩，应无气泡、杂质、伤痕、白印，表面应光洁、应无划痕、毛刺、拉毛、污渍，应无明显色差；（3）耐老化性：≥100h，冲击强度的保持率≥77.6%，外观颜色变色评级≥5级；（4）弯曲强度≥21.4Mpa；（5）负荷变形温度≥76℃；（6）燃烧性能等级≥B2（E级）；（7）氧化诱导时间（210℃）≥2.8min；（8）吸水性≥0.09%。</w:t>
            </w:r>
            <w:r>
              <w:rPr>
                <w:rFonts w:ascii="宋体" w:eastAsia="宋体" w:hAnsi="宋体" w:cs="宋体" w:hint="eastAsia"/>
                <w:b/>
                <w:bCs/>
                <w:sz w:val="21"/>
                <w:szCs w:val="21"/>
                <w:lang w:bidi="ar"/>
              </w:rPr>
              <w:t>上述需同时提供标注CMA标识的检测报告以及全国认证认可信息公共服务平台网站（http://cx.cnca.cn/CertECloud/qts/qts/qtsPage）查询截图作为得分依据，提供有效期内检测报告及相应截屏，不提供或提供不全的不得分。注：对应参数在检测报告中标注，成品名称需与检测报告名称一致，提供的检测报告须满足上述检测项目，原件备查。</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1、规格：L59*W60*H111-120cm（±10cm）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2、灰色PP加玻纤头枕带上下升降功能（无衣架）</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3、灰色PP加玻纤椅背(无腰条)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4、背网特定八字网系列，座布特定蚂蚁弹力布系列</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5、椅座全新木板+定型海绵(无座壳)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5、PP灰色固定连体扶手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2.5mm厚原位锁定同步倾仰底盘</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100#沉口</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5公分黑色气杆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8、</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∮320mm灰色尼龙脚</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9、</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∮25/50mm PA黑色轮子</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实木椅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1、规格：L59*W44*H42cm（±10cm）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1、规格：L95*W38*H200cm（±10cm）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2、基材：采用厚度18mm（±1mm）的橡胶木实木，木质坚硬稳定性强，木材含水率、气干密度符合国家标准；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1、规格：L95*W38*H200cm（±10cm）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2、基材：采用厚度18mm（±1mm）的橡胶木实木，木质坚硬稳定性强，木材含水率、气干密度符合国家标准；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1、规格：L80*W40*H75cm（±10cm）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6、配置：石英石面板。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1、规格：L80*W40*H75cm（±10cm）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6、配置：石英石面板。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长茶几</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1、规格：L120*W60*H45cm（±10cm）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二人位沙发</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1、规格：L160*W70*H45cm（±10cm）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109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圆茶几</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1、规格：L60*W60*H45cm（±10cm）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沙发椅（单人位）</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1、规格：L70*W70*H45cm（±10cm）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茶几</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1、规格：L60*W60*H45cm（±10cm）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1、规格：L90*W38*H200cm（±10cm）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2、基材：采用厚度18mm（±</w:t>
            </w:r>
            <w:r>
              <w:rPr>
                <w:rFonts w:ascii="宋体" w:eastAsia="宋体" w:hAnsi="宋体" w:cs="宋体" w:hint="eastAsia"/>
                <w:color w:val="000000"/>
                <w:sz w:val="21"/>
                <w:szCs w:val="21"/>
                <w:lang w:eastAsia="zh-CN" w:bidi="ar"/>
              </w:rPr>
              <w:t>1mm</w:t>
            </w:r>
            <w:r>
              <w:rPr>
                <w:rFonts w:ascii="宋体" w:eastAsia="宋体" w:hAnsi="宋体" w:cs="宋体" w:hint="eastAsia"/>
                <w:color w:val="000000"/>
                <w:sz w:val="21"/>
                <w:szCs w:val="21"/>
                <w:lang w:bidi="ar"/>
              </w:rPr>
              <w:t>）的橡胶木实木，木质坚硬稳定性强，木材含水率、气干密度符合国家标准；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5、部分门板采用藤编门板。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1、规格：L60*W38*H200cm（±10cm）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2、基材：桌面采用厚度18mm（±</w:t>
            </w:r>
            <w:r>
              <w:rPr>
                <w:rFonts w:ascii="宋体" w:eastAsia="宋体" w:hAnsi="宋体" w:cs="宋体" w:hint="eastAsia"/>
                <w:color w:val="000000"/>
                <w:sz w:val="21"/>
                <w:szCs w:val="21"/>
                <w:lang w:eastAsia="zh-CN" w:bidi="ar"/>
              </w:rPr>
              <w:t>1mm</w:t>
            </w:r>
            <w:r>
              <w:rPr>
                <w:rFonts w:ascii="宋体" w:eastAsia="宋体" w:hAnsi="宋体" w:cs="宋体" w:hint="eastAsia"/>
                <w:color w:val="000000"/>
                <w:sz w:val="21"/>
                <w:szCs w:val="21"/>
                <w:lang w:bidi="ar"/>
              </w:rPr>
              <w:t>）的橡胶木实木，木质坚硬稳定性强，木材含水率、气干密度符合国家标准；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1、规格：L160*W38*H60cm（±10cm）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2、基材：桌面采用厚度18mm（±</w:t>
            </w:r>
            <w:r>
              <w:rPr>
                <w:rFonts w:ascii="宋体" w:eastAsia="宋体" w:hAnsi="宋体" w:cs="宋体" w:hint="eastAsia"/>
                <w:color w:val="000000"/>
                <w:sz w:val="21"/>
                <w:szCs w:val="21"/>
                <w:lang w:eastAsia="zh-CN" w:bidi="ar"/>
              </w:rPr>
              <w:t>1mm</w:t>
            </w:r>
            <w:r>
              <w:rPr>
                <w:rFonts w:ascii="宋体" w:eastAsia="宋体" w:hAnsi="宋体" w:cs="宋体" w:hint="eastAsia"/>
                <w:color w:val="000000"/>
                <w:sz w:val="21"/>
                <w:szCs w:val="21"/>
                <w:lang w:bidi="ar"/>
              </w:rPr>
              <w:t>）的橡胶木实木，木质坚硬稳定性强，木材含水率、气干密度符合国家标准；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茶台矮柜1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1、规格：L110*W38*H80cm（±10cm）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6、门板采用藤编门板。</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7、配置：嵌入式茶盘+垃圾桶：盖及桶材质304不锈钢。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1、规格：L90*W40*H200cm（±10cm）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茶台矮柜2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1、规格：L90*W40*H85cm（±10cm）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1、规格：L90*W40*H80cm（±10cm）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119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1、规格：L90*W30*H80cm（±10cm）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1、规格：L90*W40*H260cm（±10cm）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1、规格：L90*W40*H260cm（±10cm）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会议桌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1、规格：L600*W200*H75cm（±10cm）分两张制作;</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会议椅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1、规格：L42*W45*H42cm（±10cm）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1、规格：L120*W40*H75cm（±10cm）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6、洗手盆正下方柜体采用铝合金柜体，防水、防潮。包含解决柜子进水及排水系统的正常使用。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7、配置：轨道插座+沥水篮+4个304不锈钢水龙头+2个垃圾桶：盖及桶材质304不锈钢。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1、规格：L120*W40*H75cm（±10cm）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4、封边条：采用PVC封边条，表面光滑平整，无毒，封边细腻硬度高，线条均匀，转角过渡自然，无脱胶，表面光滑平整无胶渍。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6、面板配石英石。</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储物柜6</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1、规格：L120*W32*H85cm（±10cm）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诊断床</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1、规格：L136*W50*H40cm（±10cm）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隔离床</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1、规格：L140*W50*H40cm（±10cm）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129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床垫</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1、规格：L130*W460*H5cm（±5cm）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lang w:bidi="ar"/>
              </w:rPr>
            </w:pPr>
            <w:r>
              <w:rPr>
                <w:rFonts w:ascii="宋体" w:eastAsia="宋体" w:hAnsi="宋体" w:cs="宋体" w:hint="eastAsia"/>
                <w:sz w:val="21"/>
                <w:szCs w:val="21"/>
              </w:rPr>
              <w:t>2、材质：采用长棕丝，质地坚实，耐磨性好。</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3、面料：高透气，柔软防滑。</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沙发（三人位）</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1、规格：L180*W70*H80cm（±10cm）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2、基材：采用白蜡木加藤编；</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沙发（单人位）</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1、规格：L80*W70*H80cm（±10cm）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2、基材：采用白蜡木加藤编；</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茶几</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1、规格：L110*W50*H42cm（±10cm）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2、基材：采用白蜡木，木质坚硬稳定性强，木材含水率、气干密度符合国家标准；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杂志刊</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1、规格：L200*H170cm（±10cm）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2、基材：采用松木+藤编，木质坚硬稳定性强，木材含水率、气干密度符合国家标准；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1、规格：L130*W40*H200cm（±10cm）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4、封边条：采用PVC封边条，表面光滑平整，无毒，封边细腻硬度高，线条均匀，转角过渡自然，无脱胶，表面光滑平整无胶渍。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储物柜7</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1、规格：L130*W40*H80cm（±10cm）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储物柜8</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1、规格：L80*W40*H80cm（±10cm）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1、规格：L95*W40*H200cm（±10cm）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书柜6</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1、规格：L140*W40*H200cm（±10cm）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139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储物柜9</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1、规格：L140*W40*H80cm（±10cm）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4、封边条：采用PVC封边条，表面光滑平整，无毒，封边细腻硬度高，线条均匀，转角过渡自然，无脱胶，表面光滑平整无胶渍。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储物柜10</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1、规格：L95*W40*H80cm（±10cm）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大板桌1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1、规格：L360*W110*H75cm（±10cm）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大板桌2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1、规格：L450*W120*H75cm（±10cm）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水台柜3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1、规格：L100*W48*H75cm（±10cm）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6、洗手盆正下方柜体采用铝合金柜体，防水、防潮。包含解决柜子进水及排水系统的正常使用。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7、配置：轨道插座+沥水篮+4个304不锈钢水龙头+2个垃圾桶：盖及桶材质304不锈钢。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文件柜6</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1、规格：L75*W40*H200cm（±10cm）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1、规格：L100*W40*H85cm（±10cm）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1、规格：L75*W40*H85cm（±10cm）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办公桌5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1、规格：L200*W50*H105cm（±10cm）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2、基材:采用厚度25mm（±1mm）的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1、规格：L39*W39*H60cm（±10cm）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149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转角柜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1、规格：L30*W30*H268cm（±10cm）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1、规格：L50*H190cm（±10cm）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文件矮柜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1、规格：L110*W40*H90cm（±10cm）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6、配置：垃圾桶：盖材质304不锈钢，桶材质201不锈钢。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152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文件柜7</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1、规格：L90*W35*H240cm（±10cm）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153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书柜7</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1、规格：L90*W35*H240cm（±10cm）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折叠桌（挡板白色）</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1、规格：L160*W60*H75cm（±10cm）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2、基材:面板采用厚度25mm（±1mm）的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6、轮子：采用可刹车静音轮，反复测试不故障，带锁扣，固定牢靠。</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折叠椅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1、规格：L48*W51*H45cm（±10cm）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2、材质：椅架采用钢制喷涂</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3、坐垫及靠背：采用PP塑料</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长餐桌1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1、规格：L120*W60*H75cm（±10cm）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方餐桌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1、规格：L60*W60*H75cm（±10cm）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158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圆桌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1、规格：L150*H75cm（±10cm）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387"/>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159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餐椅1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1、规格：L32*W32*H42cm（±10cm）</w:t>
            </w:r>
          </w:p>
        </w:tc>
      </w:tr>
      <w:tr>
        <w:tblPrEx>
          <w:tblW w:w="5000" w:type="pct"/>
          <w:tblInd w:w="-1041" w:type="dxa"/>
          <w:tblLayout w:type="fixed"/>
          <w:tblCellMar>
            <w:top w:w="0" w:type="dxa"/>
            <w:left w:w="108" w:type="dxa"/>
            <w:bottom w:w="0" w:type="dxa"/>
            <w:right w:w="108" w:type="dxa"/>
          </w:tblCellMar>
        </w:tblPrEx>
        <w:trPr>
          <w:trHeight w:val="38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2、基材：采用橡胶木实木，厚实纹路清晰。</w:t>
            </w:r>
          </w:p>
        </w:tc>
      </w:tr>
      <w:tr>
        <w:tblPrEx>
          <w:tblW w:w="5000" w:type="pct"/>
          <w:tblInd w:w="-1041" w:type="dxa"/>
          <w:tblLayout w:type="fixed"/>
          <w:tblCellMar>
            <w:top w:w="0" w:type="dxa"/>
            <w:left w:w="108" w:type="dxa"/>
            <w:bottom w:w="0" w:type="dxa"/>
            <w:right w:w="108" w:type="dxa"/>
          </w:tblCellMar>
        </w:tblPrEx>
        <w:trPr>
          <w:trHeight w:val="387"/>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160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长餐桌2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1、规格：L133*W35*H105cm（±10cm）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2、基材：采用松木实木，厚实纹路清晰。</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161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餐椅2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1、规格：L39*W39*H60cm（±10cm）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162 </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洞洞板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1、规格：L132*H120cm（±10cm）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2、材质：采用特厚钢材，扎实用料不变形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3、折弯：两次20mm（±1mm）折弯无焊接一体成型；</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4、工艺：金属仿木纹真实自然。</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163 </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磁吸白板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1、规格：L132*H120（±10cm）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2、材质：采用磁吸白板，水性树脂高温烤漆；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3、边框：采用松木制作而成；</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4、特性：流畅笔触、无痕檫写、磁力吸附。</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164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置物柜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1、规格：L149*W40*H250cm（±10cm）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165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储物柜体</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1、规格：L83*W50*H44cm（±10cm）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2、基材:柜体采用厚度18mm（±1mm）的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5、洗手盆正下方柜体采用铝合金柜体，防水、防潮。包含解决柜子进水及排水系统的正常使用。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6、配置：轨道插座+沥水篮+4个304不锈钢水龙头+2个垃圾桶：盖及桶材质304不锈钢。</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166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洗手池</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1、规格：L420*W50*H31cm（±10cm）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2、台面基材采用石英石，不渗水，不发黄，不褪色，硬度高，莫氏6及硬度，不惧重量撞击。</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 xml:space="preserve">167 </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组合隔断洞洞板</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1、规格：L148*H258cm（±10cm）</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2、材质：屏风采用白蜡木实木，洞洞板采用</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EO级杉木基材大芯生态板。</w:t>
            </w:r>
          </w:p>
        </w:tc>
      </w:tr>
      <w:tr>
        <w:tblPrEx>
          <w:tblW w:w="5000" w:type="pct"/>
          <w:tblInd w:w="-1041" w:type="dxa"/>
          <w:tblLayout w:type="fixed"/>
          <w:tblCellMar>
            <w:top w:w="0" w:type="dxa"/>
            <w:left w:w="108" w:type="dxa"/>
            <w:bottom w:w="0" w:type="dxa"/>
            <w:right w:w="108" w:type="dxa"/>
          </w:tblCellMar>
        </w:tblPrEx>
        <w:trPr>
          <w:trHeight w:val="1413"/>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3、油漆：采用水性漆，全封闭涂装工艺，漆面光泽高透，颜色均匀，抗菌率≥99%符合GB/T 21866-2008、GB/T 21510-2008标准要求；有害物质限量符合GB 18581-2020、HJ 2537-2014标准要求；耐黄变检测符合GB/T 23999-2009标准要求，经500h以上耐人工气候老化检测结果为粉化0级，涂膜无起泡、无剥落、无裂纹符合GB/T 1865-2009、GB/T 1766-2008标准要求。</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4、五金件：采用五金，可迁移元素中锑、钡、镉、铅、硒、砷、铬、汞八大金属含量符合GB 6675.4-2014标准要求；防腐抗锈，经中性盐雾测试无生锈、无气泡、无粉化等腐蚀现象，符合GB/T 10125-2021标准要求。</w:t>
            </w:r>
          </w:p>
        </w:tc>
      </w:tr>
      <w:tr>
        <w:tblPrEx>
          <w:tblW w:w="5000" w:type="pct"/>
          <w:tblInd w:w="-1041" w:type="dxa"/>
          <w:tblLayout w:type="fixed"/>
          <w:tblCellMar>
            <w:top w:w="0" w:type="dxa"/>
            <w:left w:w="108" w:type="dxa"/>
            <w:bottom w:w="0" w:type="dxa"/>
            <w:right w:w="108" w:type="dxa"/>
          </w:tblCellMar>
        </w:tblPrEx>
        <w:trPr>
          <w:trHeight w:val="459"/>
        </w:trPr>
        <w:tc>
          <w:tcPr>
            <w:tcW w:w="10613" w:type="dxa"/>
            <w:gridSpan w:val="3"/>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lang w:bidi="ar"/>
              </w:rPr>
              <w:t>博誉府幼儿园</w:t>
            </w:r>
          </w:p>
        </w:tc>
      </w:tr>
      <w:tr>
        <w:tblPrEx>
          <w:tblW w:w="5000" w:type="pct"/>
          <w:tblInd w:w="-1041" w:type="dxa"/>
          <w:tblLayout w:type="fixed"/>
          <w:tblCellMar>
            <w:top w:w="0" w:type="dxa"/>
            <w:left w:w="108" w:type="dxa"/>
            <w:bottom w:w="0" w:type="dxa"/>
            <w:right w:w="108" w:type="dxa"/>
          </w:tblCellMar>
        </w:tblPrEx>
        <w:trPr>
          <w:trHeight w:val="405"/>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1、规格：L360.8*W37.5*H42.7cm*2（±10cm）</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0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5、备注：户型一2间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169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1、规格：L154*W37.5*H200cm（±10cm）*2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6、备注：户型一2间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170</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1、规格：L150*H39.8cm（±10cm）*2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6、备注：户型一2间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171</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1、规格：L360*H39.8cm（±10cm）*2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6、备注：户型一2间</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1、规格：L361*W37.5*H42.7cm（±10cm）*6</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6、备注：户型二3间、户型三1间、户型七2间</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1、规格：L139.6*W37.5*H200cm（±10cm）*3</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6、备注：户型二3间</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174</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1、规格：L630*H40cm（±10cm）*3</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95"/>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6、备注：户型二3间</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175</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1、规格：L120*W37.5*H200cm（±10cm）*1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6、备注：户型三1间、户型七2间</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176</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1、规格：L480*H40cm（±10cm）*1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6、备注：户型三1间</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177</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1、规格：L120*H240cm（±10cm）*2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1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6、备注：户型三1间、户型四1间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178</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1、规格：L360.6*W37.5*H42.7cm（±10cm）*1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w:t>
            </w:r>
            <w:r>
              <w:rPr>
                <w:rFonts w:ascii="宋体" w:eastAsia="宋体" w:hAnsi="宋体" w:cs="宋体" w:hint="eastAsia"/>
                <w:color w:val="000000"/>
                <w:sz w:val="21"/>
                <w:szCs w:val="21"/>
                <w:lang w:eastAsia="zh-CN" w:bidi="ar"/>
              </w:rPr>
              <w:t>用</w:t>
            </w:r>
            <w:r>
              <w:rPr>
                <w:rFonts w:ascii="宋体" w:eastAsia="宋体" w:hAnsi="宋体" w:cs="宋体" w:hint="eastAsia"/>
                <w:color w:val="000000"/>
                <w:sz w:val="21"/>
                <w:szCs w:val="21"/>
                <w:lang w:bidi="ar"/>
              </w:rPr>
              <w:t>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6、备注：户型四1间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179</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1、规格：L244*H40cm（±10cm）*1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6、备注：户型四1间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180</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1、规格：L363*W37.5*H42.7cm（±10cm）*1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6、备注：户型五1间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181</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幼儿家私顶柜装饰板6</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1、规格：L363*H40cm（±10cm）*1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w:t>
            </w:r>
            <w:r>
              <w:rPr>
                <w:rFonts w:ascii="宋体" w:eastAsia="宋体" w:hAnsi="宋体" w:cs="宋体" w:hint="eastAsia"/>
                <w:color w:val="000000"/>
                <w:sz w:val="21"/>
                <w:szCs w:val="21"/>
                <w:lang w:eastAsia="zh-CN" w:bidi="ar"/>
              </w:rPr>
              <w:t>用</w:t>
            </w:r>
            <w:r>
              <w:rPr>
                <w:rFonts w:ascii="宋体" w:eastAsia="宋体" w:hAnsi="宋体" w:cs="宋体" w:hint="eastAsia"/>
                <w:color w:val="000000"/>
                <w:sz w:val="21"/>
                <w:szCs w:val="21"/>
                <w:lang w:bidi="ar"/>
              </w:rPr>
              <w:t>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6、备注：户型五1间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182</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1、规格：L104.5*H240cm（±10cm）*1</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6、备注：户型五1间</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183</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幼儿家私顶柜5</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1、规格：L255.6*W37.5*H42.7cm（±10cm）*2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54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62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62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62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6、备注：户型六2间</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184</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幼儿家私顶柜装饰板7</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1、规格：L513.6*H40cm（±10cm）*2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6、备注：户型六2间</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185</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1、规格：L154*W37.5*H200cm（±10cm）*2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59"/>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6、备注：户型六2间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储物高柜3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1、规格：L189.4*W37.5*H200cm（±10cm）*2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6、备注：户型七2间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187</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幼儿家私顶柜装饰板8</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1、规格：L640*H40cm（±10cm）*2</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6、备注：户型七2间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188</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木制洞洞板3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1、规格：L94*H240cm（±10cm）*2</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6、备注：户型七2间</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189</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人桌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规格：L120xW60xH49cm(±2cm)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R30mm(±1mm)圆角/圆边处理以及安全防撞设计，最大程度的避免儿童磕碰伤害，结构稳固。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（1）桌面：采用厚度30mm(±1mm)的橡胶木拼板搭配防火板贴面加工而成，耐刮耐磨，长时间使用不褪色、不容易开裂；长立水尺寸：L1062xW60xH18mm（±2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，短立水尺寸：L462xW60xH18mm（±2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w:t>
            </w:r>
            <w:r>
              <w:rPr>
                <w:rFonts w:ascii="宋体" w:eastAsia="宋体" w:hAnsi="宋体" w:cs="宋体" w:hint="eastAsia"/>
                <w:color w:val="000000"/>
                <w:sz w:val="21"/>
                <w:szCs w:val="21"/>
                <w:lang w:eastAsia="zh-CN" w:bidi="ar"/>
              </w:rPr>
              <w:t>用</w:t>
            </w:r>
            <w:r>
              <w:rPr>
                <w:rFonts w:ascii="宋体" w:eastAsia="宋体" w:hAnsi="宋体" w:cs="宋体" w:hint="eastAsia"/>
                <w:color w:val="000000"/>
                <w:sz w:val="21"/>
                <w:szCs w:val="21"/>
                <w:lang w:bidi="ar"/>
              </w:rPr>
              <w:t>橡胶木实木，厚实纹路清晰，尺寸为48x48mm(±1mm)，边沿均采用圆边处理（外侧边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R25mm,其他三边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（3）产品整体采用的水性漆，全封闭涂装工艺，漆面光泽高透，颜色均匀，附着能力强，通透度高。桌面封边采用的水性木蜡油封边，成分天然，分子机构细小，成膜牢固，密封性好。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30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sz w:val="21"/>
                <w:szCs w:val="21"/>
              </w:rPr>
            </w:pPr>
            <w:r>
              <w:rPr>
                <w:rFonts w:ascii="宋体" w:eastAsia="宋体" w:hAnsi="宋体" w:cs="宋体" w:hint="eastAsia"/>
                <w:b/>
                <w:bCs/>
                <w:sz w:val="21"/>
                <w:szCs w:val="21"/>
              </w:rPr>
              <w:t>▲提供由CMA认证的检测机构出具的成品幼儿桌符合GB18584-2024、GB/T17657-2022、GB/T43002-2023、GB20286-2006、QB/T4371-2012标准的合格检测报告，检测项目要求：外观要求（木制件外观、人造板件外观、塑料件外观、木工要求、漆膜外观要求）符合标准要求，桌台类力学性能（稳定性试验、强度和耐久性试验）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热释放速率峰值≤50kw;5min内放出的总能量≤5MJ；最大烟密度≤70%。</w:t>
            </w:r>
            <w:r>
              <w:rPr>
                <w:rFonts w:ascii="宋体" w:eastAsia="宋体" w:hAnsi="宋体" w:cs="宋体" w:hint="eastAsia"/>
                <w:b/>
                <w:bCs/>
                <w:sz w:val="21"/>
                <w:szCs w:val="21"/>
                <w:lang w:bidi="ar"/>
              </w:rPr>
              <w:t>出具橡胶脚套符合GB/T4498.1-2013、GB/T10707-2008、SN/T1877.4-2007、GB/T 29608-2013、SN/T 3814-2014标准的合格检测报告，检测应满足：1、橡胶灰分；2、橡胶燃烧性能-氧指数；3、多环芳烃未检出；4、邻苯二甲酸酯未检出；5、短链氯化石蜡；提供二合一连接件GB/T 28203-2011、GB/T 351-2019、GB/T4334-2020、GB/T 226-2015，检测应满足：1、外观：金属件表面应无锈蚀、毛刺刃口、露底，应光滑平整,应无起泡、泛黄、花斑、烧焦、裂纹、划痕、磕碰伤等缺陷。2、金属漆膜耐腐蚀，100h内,观察在溶剂中的样本上划道两侧3mm以外,应无气泡产生;100h后,检查划道两侧3mm以外,应无锈迹、剥落、起皱、变色和失光等现象。3、电阻率；4、晶间腐蚀；5、低倍组织。</w:t>
            </w:r>
            <w:r>
              <w:rPr>
                <w:rFonts w:ascii="宋体" w:eastAsia="宋体" w:hAnsi="宋体" w:cs="宋体" w:hint="eastAsia"/>
                <w:b/>
                <w:bCs/>
                <w:sz w:val="21"/>
                <w:szCs w:val="21"/>
                <w:lang w:bidi="ar"/>
              </w:rPr>
              <w:t>上述需同时提供标注CMA标识的检测报告以及全国认证认可信息公共服务平台网站（http://cx.cnca.cn/CertECloud/qts/qts/qtsPage）查询截图作为得分依据，提供有效期内检测报告及相应截屏，不提供或提供不全的不得分。注：对应参数在检测报告中标注，成品名称需与检测报告名称一致，提供的检测报告须满足上述检测项目，原件备查。</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190</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4人书包鞋柜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 xml:space="preserve">规格：L40.5xW30xH116cm（±2cm） </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（1）基材：柜体采用厚度15mm（±1mm）的桦木纹饰面橡胶木拼板，背板采用厚度5mm</w:t>
            </w:r>
            <w:r>
              <w:rPr>
                <w:rFonts w:ascii="宋体" w:eastAsia="宋体" w:hAnsi="宋体" w:cs="宋体" w:hint="eastAsia"/>
                <w:sz w:val="21"/>
                <w:szCs w:val="21"/>
                <w:lang w:eastAsia="zh-CN"/>
              </w:rPr>
              <w:t>（</w:t>
            </w:r>
            <w:r>
              <w:rPr>
                <w:rFonts w:ascii="宋体" w:eastAsia="宋体" w:hAnsi="宋体" w:cs="宋体" w:hint="eastAsia"/>
                <w:sz w:val="21"/>
                <w:szCs w:val="21"/>
                <w:lang w:eastAsia="zh-CN"/>
              </w:rPr>
              <w:t>±2mm</w:t>
            </w:r>
            <w:r>
              <w:rPr>
                <w:rFonts w:ascii="宋体" w:eastAsia="宋体" w:hAnsi="宋体" w:cs="宋体" w:hint="eastAsia"/>
                <w:sz w:val="21"/>
                <w:szCs w:val="21"/>
                <w:lang w:eastAsia="zh-CN"/>
              </w:rPr>
              <w:t>）</w:t>
            </w:r>
            <w:r>
              <w:rPr>
                <w:rFonts w:ascii="宋体" w:eastAsia="宋体" w:hAnsi="宋体" w:cs="宋体" w:hint="eastAsia"/>
                <w:sz w:val="21"/>
                <w:szCs w:val="21"/>
              </w:rPr>
              <w:t>的饰面实木纤维板。</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（2）木蜡油：采用水性木蜡油封边，成分天然，分子机构细小，成膜牢固，密封性好，无毒，符合国家标准要求。</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（3）五金件：采用五金，稳固不松动，五金表面经防锈处理，符合国家标准要求。</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（4）脚垫：底部安装塑料脚垫，软性防滑，采用无毒材质，符合国家标准要求。</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（5）标识铭牌：可拆卸，方便换取名字标识，采用无毒PP塑料材质，不易开裂，符合国家标准要求。</w:t>
            </w:r>
          </w:p>
        </w:tc>
      </w:tr>
      <w:tr>
        <w:tblPrEx>
          <w:tblW w:w="5000" w:type="pct"/>
          <w:tblInd w:w="-1041" w:type="dxa"/>
          <w:tblLayout w:type="fixed"/>
          <w:tblCellMar>
            <w:top w:w="0" w:type="dxa"/>
            <w:left w:w="108" w:type="dxa"/>
            <w:bottom w:w="0" w:type="dxa"/>
            <w:right w:w="108" w:type="dxa"/>
          </w:tblCellMar>
        </w:tblPrEx>
        <w:trPr>
          <w:trHeight w:val="618"/>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sz w:val="21"/>
                <w:szCs w:val="21"/>
              </w:rPr>
              <w:t>（6）棱角及边缘：倒圆或倒角处理，安全防撞设计。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191</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幼儿床</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规格：L140xW60xH17cm （±2cm）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（1）叠加卡扣配件设计，安全不易跌落。</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（2）活动床可堆叠构造，节省空间。</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（1）边框采用厚度18mm（±1mm）的桦木纹饰面橡胶木拼板，床板采用厚度≥8mm的白色饰面实木多层板，脚柱采用橡胶木原木，材质厚实坚固，纹理均匀细致。床内空尺寸：1342x540mm（±2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，床板增加安全透气孔，床板两段拼接；床板离地高度110mm（±2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(含脚垫),扶手上边沿离床板面最大高度60mm（±2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。最小高度40mm（±2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（2）脚柱：脚柱顶部配装浅咖色的塑料堆叠装饰盖呈扇形，尺寸：L58.5xW48.5xH18mm（±2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，盖子上有直径20mm（±2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高7mm（±2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的卡扣位置；配合床脚底部的浅咖色的塑料防滑脚垫，Φ19xH6.4mm（±2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,堆叠时脚垫置于堆叠盖凹孔位置，牢固不走位。</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（3）木蜡油：采用水性木蜡油封边，分子机构细小，成膜牢固，密封性好。</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192</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床托</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规格：L146xW66xH15cm (±2cm)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（1）与通用叠床搭配使用，便于多张叠床的搬移。</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（2）铁质表面采用静电粉末喷涂工艺，圆润光滑，防腐抗锈。</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（1）采用厚度18mm（±1mm）的实木多层板；框架采用冷轧铁艺，表面采用静电粉末喷涂工艺。</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（2）放置内空为：1418x612mm（±2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；2根L1450xW20xH40mm（±2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（壁厚2.0mm）卡其色镀锌方管；推车四周增加三角卡扣，尺寸为高50mm（±2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，长度100mm（±2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；底部安装</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4个高度为80mm（±2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的平底万向带刹车脚轮，脚轮运行平稳无声，可360°旋转，转动顺滑，刹车灵敏，踏板不易断裂。</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（3）油漆：采用水性漆，全封闭涂装工艺，漆面光泽高透，颜色均匀。</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193</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原木拱桥椅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规格：L30xW30xH50cm</w:t>
            </w:r>
            <w:r>
              <w:rPr>
                <w:rFonts w:ascii="宋体" w:eastAsia="宋体" w:hAnsi="宋体" w:cs="宋体" w:hint="eastAsia"/>
                <w:color w:val="000000"/>
                <w:sz w:val="21"/>
                <w:szCs w:val="21"/>
                <w:lang w:eastAsia="zh-CN" w:bidi="ar"/>
              </w:rPr>
              <w:t>(座高25cm）</w:t>
            </w:r>
            <w:r>
              <w:rPr>
                <w:rFonts w:ascii="宋体" w:eastAsia="宋体" w:hAnsi="宋体" w:cs="宋体" w:hint="eastAsia"/>
                <w:color w:val="000000"/>
                <w:sz w:val="21"/>
                <w:szCs w:val="21"/>
                <w:lang w:bidi="ar"/>
              </w:rPr>
              <w:t>（±2cm）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（1）整体为工字框架，拆装结构，使用木梢做榫孔定位加固安装，使用二合一、自攻丝进行连接，组搭安装便捷。</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（2）背板拱桥元素造型、圆孔提手设计，兼具美观与实用。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（1）座板：采用厚度12mm（±2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的实木多层板双贴橡胶木纹皮；座高:250mm（±2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；座深:270mm（±2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；座宽:290mm（±2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（2）椅背：采用厚度18mm(±</w:t>
            </w:r>
            <w:r>
              <w:rPr>
                <w:rFonts w:ascii="宋体" w:eastAsia="宋体" w:hAnsi="宋体" w:cs="宋体" w:hint="eastAsia"/>
                <w:color w:val="000000"/>
                <w:sz w:val="21"/>
                <w:szCs w:val="21"/>
                <w:lang w:eastAsia="zh-CN" w:bidi="ar"/>
              </w:rPr>
              <w:t>1m</w:t>
            </w:r>
            <w:r>
              <w:rPr>
                <w:rFonts w:ascii="宋体" w:eastAsia="宋体" w:hAnsi="宋体" w:cs="宋体" w:hint="eastAsia"/>
                <w:color w:val="000000"/>
                <w:sz w:val="21"/>
                <w:szCs w:val="21"/>
                <w:lang w:bidi="ar"/>
              </w:rPr>
              <w:t>m)的饰面实木多层板双贴橡胶木纹皮，顶部为原木色木拱桥造型，中间椭圆提手孔设计手提便携。</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（3）椅脚：椅脚厚度22mm（±2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、其余框架厚度18mm（±2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的橡胶木拼板，底部安装塑料脚垫，高度为H6.5mm（±2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m)，直径19mm（±2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shd w:val="clear" w:color="auto" w:fill="auto"/>
            <w:noWrap w:val="0"/>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shd w:val="clear" w:color="auto" w:fill="FFFFFF"/>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（4）产品整体采用水性漆，全封闭涂装工艺，漆面光泽高透，颜色均匀，附着能力强，通透度高。座板及靠背采用水性木蜡油封边，成分天然，分子机构细小，成膜牢固，密封性好。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194</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人桌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规格：L120xW60xH55cm(±2cm)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R30mm(±1mm)圆角/圆边处理以及安全防撞设计，最大程度的避免儿童磕碰伤害，结构稳固。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（1）桌面：采用厚度30mm(±1mm)的橡胶木拼板搭配防火板贴面加工而成，耐刮耐磨，长时间使用不褪色、不容易开裂；长立水尺寸：L1062xW60xH18mm（±2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，短立水尺寸：L462xW60xH18mm（±2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w:t>
            </w:r>
            <w:r>
              <w:rPr>
                <w:rFonts w:ascii="宋体" w:eastAsia="宋体" w:hAnsi="宋体" w:cs="宋体" w:hint="eastAsia"/>
                <w:color w:val="000000"/>
                <w:sz w:val="21"/>
                <w:szCs w:val="21"/>
                <w:lang w:eastAsia="zh-CN" w:bidi="ar"/>
              </w:rPr>
              <w:t>用</w:t>
            </w:r>
            <w:r>
              <w:rPr>
                <w:rFonts w:ascii="宋体" w:eastAsia="宋体" w:hAnsi="宋体" w:cs="宋体" w:hint="eastAsia"/>
                <w:color w:val="000000"/>
                <w:sz w:val="21"/>
                <w:szCs w:val="21"/>
                <w:lang w:bidi="ar"/>
              </w:rPr>
              <w:t>橡胶木实木，厚实纹路清晰，尺寸为48x48mm(±1mm)，边沿均采用圆边处理（外侧边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R25mm,其他三边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（3）产品整体采用水性漆，全封闭涂装工艺，漆面光泽高透，颜色均匀，附着能力强，通透度高。桌面封边采用的水性木蜡油封边，成分天然，分子机构细小，成膜牢固，密封性好。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195</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w:t>
            </w:r>
            <w:r>
              <w:rPr>
                <w:rFonts w:ascii="宋体" w:eastAsia="宋体" w:hAnsi="宋体" w:cs="宋体" w:hint="eastAsia"/>
                <w:color w:val="000000"/>
                <w:sz w:val="21"/>
                <w:szCs w:val="21"/>
                <w:lang w:bidi="ar"/>
              </w:rPr>
              <w:t>层分类书柜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规格：L90xW30xH121cm (±2cm)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（1）4层分类多方式收纳书架，能适用多种书籍的摆放。</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（2）顶部白板可擦写，能方便标签分类。</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（1）柜体采用厚度16mm(±2mm)的桦木纹/乳白色的双饰面浸渍胶膜纸饰面刨花板，及厚度18mm(±2mm)的乳白色的双饰面浸渍胶膜纸饰面实木多层板。顶部(白色挡板位置)。</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（2）围脚：底部安装塑料脚垫，高度为H10mm(±2mm)，直径17mm(±2mm)，软性防滑，可有效保护地面刮花并降低噪音。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（3）封边条：采用厚度不低于1.5mmPVC封边条，表面光滑平整，无毒，封边细腻硬度高，线条均匀，转角过渡自然，无脱胶，表面光滑平整无胶渍。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196</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原木</w:t>
            </w: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人桌</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规格：L120xW60xH55cm(±2cm)</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1、工艺设计：</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（1）采用立水工艺，结构支撑性强，防止桌面下沉。</w:t>
            </w:r>
          </w:p>
        </w:tc>
      </w:tr>
      <w:tr>
        <w:tblPrEx>
          <w:tblW w:w="5000" w:type="pct"/>
          <w:tblInd w:w="-1041" w:type="dxa"/>
          <w:tblLayout w:type="fixed"/>
          <w:tblCellMar>
            <w:top w:w="0" w:type="dxa"/>
            <w:left w:w="108" w:type="dxa"/>
            <w:bottom w:w="0" w:type="dxa"/>
            <w:right w:w="108" w:type="dxa"/>
          </w:tblCellMar>
        </w:tblPrEx>
        <w:trPr>
          <w:trHeight w:val="57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（2）所有螺丝位无毛刺不刮手，桌角及边沿采用</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R30mm圆角/圆边处理以及安全防撞设计，最大程度的避免儿童磕碰伤害，结构稳固。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441"/>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2、外观结构及材质：</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（1）桌面：采用厚度30mm(±1mm)的橡胶木拼板搭配防火板贴面加工而成，耐刮耐磨，长时间使用不褪色、不容易开裂；长立水尺寸：L1062xW60xH18mm（±2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，短立水尺寸：L462xW60xH18mm（±2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（2）桌脚：采橡胶木实木，厚实纹路清晰，尺寸为48x48mm(±1mm)，边沿均采用圆边处理（外侧边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R25mm,其他三边</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R10mm）；底部安装塑料脚垫，软性防滑，可有效保护地面刮花并降低噪音。</w:t>
            </w:r>
          </w:p>
        </w:tc>
      </w:tr>
      <w:tr>
        <w:tblPrEx>
          <w:tblW w:w="5000" w:type="pct"/>
          <w:tblInd w:w="-1041" w:type="dxa"/>
          <w:tblLayout w:type="fixed"/>
          <w:tblCellMar>
            <w:top w:w="0" w:type="dxa"/>
            <w:left w:w="108" w:type="dxa"/>
            <w:bottom w:w="0" w:type="dxa"/>
            <w:right w:w="108" w:type="dxa"/>
          </w:tblCellMar>
        </w:tblPrEx>
        <w:trPr>
          <w:trHeight w:val="85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（3）产品整体采用水性漆，全封闭涂装工艺，漆面光泽高透，颜色均匀，附着能力强，通透度高。桌面封边采用水性木蜡油封边，成分天然，分子机构细小，成膜牢固，密封性好。</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197</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书桌储物柜1</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1、规格：L154*W50*H200（±10cm）*2</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198</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书桌储物柜2</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1、规格：L129*W50*H200（±10cm）*3</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199</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书桌储物柜3</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1、规格：L148*W50*H200（±10cm）*3</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200</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书桌储物柜4</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1、规格：L145*W50*H200（±10cm）*2</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2、基材:柜体采用厚度16mm（±5mm）的</w:t>
            </w:r>
            <w:bookmarkStart w:id="17" w:name="OLE_LINK7"/>
            <w:bookmarkStart w:id="18" w:name="OLE_LINK6"/>
            <w:r>
              <w:rPr>
                <w:rFonts w:ascii="宋体" w:eastAsia="宋体" w:hAnsi="宋体" w:cs="宋体" w:hint="eastAsia"/>
                <w:sz w:val="21"/>
                <w:szCs w:val="21"/>
                <w:lang w:eastAsia="zh-CN"/>
              </w:rPr>
              <w:t>≥</w:t>
            </w:r>
            <w:r>
              <w:rPr>
                <w:rFonts w:ascii="宋体" w:eastAsia="宋体" w:hAnsi="宋体" w:cs="宋体" w:hint="eastAsia"/>
                <w:color w:val="000000"/>
                <w:sz w:val="21"/>
                <w:szCs w:val="21"/>
                <w:lang w:bidi="ar"/>
              </w:rPr>
              <w:t>EO</w:t>
            </w:r>
            <w:bookmarkEnd w:id="17"/>
            <w:bookmarkEnd w:id="18"/>
            <w:r>
              <w:rPr>
                <w:rFonts w:ascii="宋体" w:eastAsia="宋体" w:hAnsi="宋体" w:cs="宋体" w:hint="eastAsia"/>
                <w:color w:val="000000"/>
                <w:sz w:val="21"/>
                <w:szCs w:val="21"/>
                <w:lang w:bidi="ar"/>
              </w:rPr>
              <w:t>级实木多层板，板材甲醛释放量≤0.05mg/m3，外观质量、理化性能等符合国家标准。</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3、饰面：采用三聚氰胺纸饰面；</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4、封边条：采用PVC封边条，表面光滑平整，封边细腻硬度高，线条均匀，转角过渡自然，无脱胶，表面光滑平整无胶渍。</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5、五金件：采用五金，防腐抗锈，经中性盐雾测试无生锈、无气泡、无粉化等腐蚀现象。</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201</w:t>
            </w:r>
          </w:p>
        </w:tc>
        <w:tc>
          <w:tcPr>
            <w:tcW w:w="181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办公椅</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1、规格：L47xW46.5xH73cm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eastAsia="zh-CN" w:bidi="ar"/>
              </w:rPr>
              <w:t>坐高41cm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（±2cm）</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2、工艺设计：</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（1）椅子整体由多轴CNC一次加工完成材料切割、一体成型，无须拼接，线条流畅。</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（2）几何图形挖孔设计，手提叠放轻松方便。</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（3）座板前高后低倾角设计，靠背弧形贴合腰背，适应人体曲线，符合人体力学，呵护儿童脊椎发育，孩子久坐不累。</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（4）所有螺丝位无毛刺不刮手，边角采用圆边/圆角处理以及安全防撞设计，最大程度的避免儿童磕碰伤害，结构稳固。</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3、外观结构及材质：</w:t>
            </w:r>
          </w:p>
        </w:tc>
      </w:tr>
      <w:tr>
        <w:tblPrEx>
          <w:tblW w:w="5000" w:type="pct"/>
          <w:tblInd w:w="-1041" w:type="dxa"/>
          <w:tblLayout w:type="fixed"/>
          <w:tblCellMar>
            <w:top w:w="0" w:type="dxa"/>
            <w:left w:w="108" w:type="dxa"/>
            <w:bottom w:w="0" w:type="dxa"/>
            <w:right w:w="108" w:type="dxa"/>
          </w:tblCellMar>
        </w:tblPrEx>
        <w:trPr>
          <w:trHeight w:val="113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（1）采用厚度≥15mm的实木多层板（弯板），椅子座高：410mm（±2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，座宽：420~425mm（±2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。座板底部与支撑脚弯曲处安装V型加固角码，角码采用塑料，打磨圆滑，尺寸为L127xW95xH27m</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（±2</w:t>
            </w:r>
            <w:r>
              <w:rPr>
                <w:rFonts w:ascii="宋体" w:eastAsia="宋体" w:hAnsi="宋体" w:cs="宋体" w:hint="eastAsia"/>
                <w:color w:val="000000"/>
                <w:sz w:val="21"/>
                <w:szCs w:val="21"/>
                <w:lang w:eastAsia="zh-CN" w:bidi="ar"/>
              </w:rPr>
              <w:t>m</w:t>
            </w:r>
            <w:r>
              <w:rPr>
                <w:rFonts w:ascii="宋体" w:eastAsia="宋体" w:hAnsi="宋体" w:cs="宋体" w:hint="eastAsia"/>
                <w:color w:val="000000"/>
                <w:sz w:val="21"/>
                <w:szCs w:val="21"/>
                <w:lang w:bidi="ar"/>
              </w:rPr>
              <w:t>m</w:t>
            </w:r>
            <w:r>
              <w:rPr>
                <w:rFonts w:ascii="宋体" w:eastAsia="宋体" w:hAnsi="宋体" w:cs="宋体" w:hint="eastAsia"/>
                <w:color w:val="000000"/>
                <w:sz w:val="21"/>
                <w:szCs w:val="21"/>
                <w:lang w:eastAsia="zh-CN" w:bidi="ar"/>
              </w:rPr>
              <w:t>）</w:t>
            </w:r>
            <w:r>
              <w:rPr>
                <w:rFonts w:ascii="宋体" w:eastAsia="宋体" w:hAnsi="宋体" w:cs="宋体" w:hint="eastAsia"/>
                <w:color w:val="000000"/>
                <w:sz w:val="21"/>
                <w:szCs w:val="21"/>
                <w:lang w:bidi="ar"/>
              </w:rPr>
              <w:t>呈浅咖色，更好的还原自然原木色，有效增加支撑脚牢固强度。</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（2）椅脚与座板弧形相连一体成型，底部使用塑料脚套包裹，尺寸为41.8x18x42.8mm(±2mm)，加厚耐磨，防滑不易脱落，可有效保护地面刮花并降低噪音。</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（3）靠背圆矩形挖孔设计，靠背高度34cm(±2cm)手提叠放轻松方便。</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202</w:t>
            </w:r>
          </w:p>
        </w:tc>
        <w:tc>
          <w:tcPr>
            <w:tcW w:w="1815" w:type="dxa"/>
            <w:vMerge w:val="restart"/>
            <w:tcBorders>
              <w:top w:val="single" w:sz="4" w:space="0" w:color="000000"/>
              <w:left w:val="single" w:sz="4" w:space="0" w:color="000000"/>
              <w:bottom w:val="single" w:sz="4" w:space="0" w:color="000000"/>
              <w:right w:val="single" w:sz="4" w:space="0" w:color="000000"/>
            </w:tcBorders>
            <w:noWrap w:val="0"/>
            <w:vAlign w:val="center"/>
          </w:tcPr>
          <w:p>
            <w:pPr>
              <w:widowControl/>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储物柜</w:t>
            </w: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1、规格：L119*W40*H130cm（±10cm）</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2、基材：采用橡胶木实木，木质坚硬稳定性强，木材含水率、气干密度符合国家标准；</w:t>
            </w:r>
          </w:p>
        </w:tc>
      </w:tr>
      <w:tr>
        <w:tblPrEx>
          <w:tblW w:w="5000" w:type="pct"/>
          <w:tblInd w:w="-1041" w:type="dxa"/>
          <w:tblLayout w:type="fixed"/>
          <w:tblCellMar>
            <w:top w:w="0" w:type="dxa"/>
            <w:left w:w="108" w:type="dxa"/>
            <w:bottom w:w="0" w:type="dxa"/>
            <w:right w:w="108" w:type="dxa"/>
          </w:tblCellMar>
        </w:tblPrEx>
        <w:trPr>
          <w:trHeight w:val="603"/>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3、油漆：采用水性漆，经多道工序打磨、喷漆、漆膜平滑，漆膜硬度高，通透性好，实木纹理清晰；</w:t>
            </w:r>
          </w:p>
        </w:tc>
      </w:tr>
      <w:tr>
        <w:tblPrEx>
          <w:tblW w:w="5000" w:type="pct"/>
          <w:tblInd w:w="-1041" w:type="dxa"/>
          <w:tblLayout w:type="fixed"/>
          <w:tblCellMar>
            <w:top w:w="0" w:type="dxa"/>
            <w:left w:w="108" w:type="dxa"/>
            <w:bottom w:w="0" w:type="dxa"/>
            <w:right w:w="108" w:type="dxa"/>
          </w:tblCellMar>
        </w:tblPrEx>
        <w:trPr>
          <w:trHeight w:val="612"/>
        </w:trPr>
        <w:tc>
          <w:tcPr>
            <w:tcW w:w="645" w:type="dxa"/>
            <w:vMerge/>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hAnsi="宋体" w:cs="宋体" w:hint="eastAsia"/>
                <w:color w:val="000000"/>
                <w:sz w:val="21"/>
                <w:szCs w:val="21"/>
              </w:rPr>
            </w:pPr>
          </w:p>
        </w:tc>
        <w:tc>
          <w:tcPr>
            <w:tcW w:w="1815" w:type="dxa"/>
            <w:vMerge/>
            <w:tcBorders>
              <w:top w:val="single" w:sz="4" w:space="0" w:color="000000"/>
              <w:left w:val="single" w:sz="4" w:space="0" w:color="000000"/>
              <w:bottom w:val="single" w:sz="4" w:space="0" w:color="000000"/>
              <w:right w:val="single" w:sz="4" w:space="0" w:color="000000"/>
            </w:tcBorders>
            <w:noWrap w:val="0"/>
            <w:vAlign w:val="center"/>
          </w:tcPr>
          <w:p>
            <w:pPr>
              <w:jc w:val="center"/>
              <w:rPr>
                <w:rFonts w:ascii="宋体" w:eastAsia="宋体" w:hAnsi="宋体" w:cs="宋体" w:hint="eastAsia"/>
                <w:color w:val="000000"/>
                <w:sz w:val="21"/>
                <w:szCs w:val="21"/>
              </w:rPr>
            </w:pPr>
          </w:p>
        </w:tc>
        <w:tc>
          <w:tcPr>
            <w:tcW w:w="8153" w:type="dxa"/>
            <w:tcBorders>
              <w:top w:val="single" w:sz="4" w:space="0" w:color="000000"/>
              <w:left w:val="single" w:sz="4" w:space="0" w:color="000000"/>
              <w:bottom w:val="single" w:sz="4" w:space="0" w:color="000000"/>
              <w:right w:val="single" w:sz="4" w:space="0" w:color="000000"/>
            </w:tcBorders>
            <w:noWrap w:val="0"/>
            <w:vAlign w:val="center"/>
          </w:tcPr>
          <w:p>
            <w:pPr>
              <w:widowControl/>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4、五金件：采用五金，防腐抗锈，经中性盐雾测试无生锈、无气泡、无粉化等腐蚀现象。</w:t>
            </w:r>
          </w:p>
        </w:tc>
      </w:tr>
    </w:tbl>
    <w:p>
      <w:pPr>
        <w:widowControl w:val="0"/>
        <w:jc w:val="both"/>
        <w:rPr>
          <w:rFonts w:ascii="Calibri" w:eastAsia="宋体" w:hAnsi="Calibri"/>
          <w:bCs/>
          <w:kern w:val="2"/>
          <w:sz w:val="21"/>
          <w:szCs w:val="21"/>
          <w:lang w:eastAsia="zh-CN"/>
        </w:rPr>
      </w:pPr>
    </w:p>
    <w:p>
      <w:pPr>
        <w:keepNext/>
        <w:keepLines/>
        <w:widowControl w:val="0"/>
        <w:spacing w:before="120" w:beforeLines="50" w:after="120" w:afterLines="50" w:line="416" w:lineRule="auto"/>
        <w:jc w:val="center"/>
        <w:outlineLvl w:val="2"/>
        <w:rPr>
          <w:rFonts w:ascii="宋体" w:eastAsia="宋体" w:hAnsi="宋体" w:hint="eastAsia"/>
          <w:b/>
          <w:bCs/>
          <w:kern w:val="2"/>
          <w:sz w:val="28"/>
          <w:szCs w:val="28"/>
          <w:highlight w:val="yellow"/>
          <w:lang w:eastAsia="zh-CN"/>
        </w:rPr>
      </w:pPr>
      <w:r>
        <w:rPr>
          <w:rFonts w:ascii="宋体" w:eastAsia="宋体" w:hAnsi="宋体" w:cstheme="minorBidi" w:hint="eastAsia"/>
          <w:b/>
          <w:bCs/>
          <w:kern w:val="2"/>
          <w:sz w:val="28"/>
          <w:szCs w:val="28"/>
          <w:lang w:eastAsia="zh-CN"/>
        </w:rPr>
        <w:t>六、样品清单</w:t>
      </w:r>
    </w:p>
    <w:tbl>
      <w:tblPr>
        <w:tblStyle w:val="TableNormal"/>
        <w:tblW w:w="5000" w:type="pct"/>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10"/>
        <w:gridCol w:w="1070"/>
        <w:gridCol w:w="598"/>
        <w:gridCol w:w="533"/>
        <w:gridCol w:w="896"/>
        <w:gridCol w:w="5149"/>
      </w:tblGrid>
      <w:tr>
        <w:tblPrEx>
          <w:tblW w:w="5000" w:type="pct"/>
          <w:tblInd w:w="-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89"/>
        </w:trPr>
        <w:tc>
          <w:tcPr>
            <w:tcW w:w="700"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序号</w:t>
            </w:r>
          </w:p>
        </w:tc>
        <w:tc>
          <w:tcPr>
            <w:tcW w:w="1272"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名称</w:t>
            </w:r>
          </w:p>
        </w:tc>
        <w:tc>
          <w:tcPr>
            <w:tcW w:w="686"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数量</w:t>
            </w:r>
          </w:p>
        </w:tc>
        <w:tc>
          <w:tcPr>
            <w:tcW w:w="605"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单位</w:t>
            </w:r>
          </w:p>
        </w:tc>
        <w:tc>
          <w:tcPr>
            <w:tcW w:w="1056"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规格</w:t>
            </w:r>
          </w:p>
        </w:tc>
        <w:tc>
          <w:tcPr>
            <w:tcW w:w="6339" w:type="dxa"/>
            <w:noWrap w:val="0"/>
            <w:vAlign w:val="center"/>
          </w:tcPr>
          <w:p>
            <w:pPr>
              <w:jc w:val="center"/>
              <w:rPr>
                <w:rFonts w:ascii="宋体" w:eastAsia="宋体" w:hAnsi="宋体" w:cs="宋体" w:hint="eastAsia"/>
                <w:b/>
                <w:bCs/>
                <w:sz w:val="21"/>
                <w:szCs w:val="21"/>
              </w:rPr>
            </w:pPr>
            <w:r>
              <w:rPr>
                <w:rFonts w:ascii="宋体" w:eastAsia="宋体" w:hAnsi="宋体" w:cs="宋体" w:hint="eastAsia"/>
                <w:b/>
                <w:bCs/>
                <w:sz w:val="21"/>
                <w:szCs w:val="21"/>
              </w:rPr>
              <w:t>材质及其他技术要求</w:t>
            </w:r>
          </w:p>
        </w:tc>
      </w:tr>
      <w:tr>
        <w:tblPrEx>
          <w:tblW w:w="5000" w:type="pct"/>
          <w:tblInd w:w="-1051" w:type="dxa"/>
          <w:tblLayout w:type="fixed"/>
          <w:tblCellMar>
            <w:top w:w="0" w:type="dxa"/>
            <w:left w:w="108" w:type="dxa"/>
            <w:bottom w:w="0" w:type="dxa"/>
            <w:right w:w="108" w:type="dxa"/>
          </w:tblCellMar>
        </w:tblPrEx>
        <w:trPr>
          <w:trHeight w:val="6493"/>
        </w:trPr>
        <w:tc>
          <w:tcPr>
            <w:tcW w:w="700"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1</w:t>
            </w:r>
          </w:p>
        </w:tc>
        <w:tc>
          <w:tcPr>
            <w:tcW w:w="1272"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原木5格分区矮柜.可拆黑白板</w:t>
            </w:r>
          </w:p>
        </w:tc>
        <w:tc>
          <w:tcPr>
            <w:tcW w:w="686"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1</w:t>
            </w:r>
          </w:p>
        </w:tc>
        <w:tc>
          <w:tcPr>
            <w:tcW w:w="605"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个</w:t>
            </w:r>
          </w:p>
        </w:tc>
        <w:tc>
          <w:tcPr>
            <w:tcW w:w="1056" w:type="dxa"/>
            <w:noWrap w:val="0"/>
            <w:vAlign w:val="center"/>
          </w:tcPr>
          <w:p>
            <w:pPr>
              <w:jc w:val="center"/>
              <w:rPr>
                <w:rFonts w:ascii="宋体" w:eastAsia="宋体" w:hAnsi="宋体" w:cs="宋体" w:hint="eastAsia"/>
                <w:sz w:val="21"/>
                <w:szCs w:val="21"/>
              </w:rPr>
            </w:pPr>
            <w:r>
              <w:rPr>
                <w:rFonts w:ascii="宋体" w:eastAsia="宋体" w:hAnsi="宋体" w:cs="宋体" w:hint="eastAsia"/>
                <w:sz w:val="21"/>
                <w:szCs w:val="21"/>
              </w:rPr>
              <w:t>L91.5xW31xH59cm（</w:t>
            </w:r>
            <w:r>
              <w:rPr>
                <w:rFonts w:ascii="宋体" w:eastAsia="宋体" w:hAnsi="宋体" w:cs="宋体" w:hint="eastAsia"/>
                <w:color w:val="000000"/>
                <w:sz w:val="21"/>
                <w:szCs w:val="21"/>
                <w:lang w:bidi="ar"/>
              </w:rPr>
              <w:t>±1cm</w:t>
            </w:r>
            <w:r>
              <w:rPr>
                <w:rFonts w:ascii="宋体" w:eastAsia="宋体" w:hAnsi="宋体" w:cs="宋体" w:hint="eastAsia"/>
                <w:sz w:val="21"/>
                <w:szCs w:val="21"/>
              </w:rPr>
              <w:t>）</w:t>
            </w:r>
          </w:p>
        </w:tc>
        <w:tc>
          <w:tcPr>
            <w:tcW w:w="6339" w:type="dxa"/>
            <w:noWrap w:val="0"/>
            <w:vAlign w:val="top"/>
          </w:tcPr>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1、功能设计：</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1）采用翻板活动轮工艺，当家具固定时，围脚侧板向下翻，万向轮则隐藏于侧板内；当家具需要移动时，围脚侧板向上翻，塑料连接件卡扣对侧板进行固定，万向轮支撑起家具的重量，无须抬起轻松实现家具位置转移。</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（2）背板链接处使用塑料扣件可随意切换黑白背板。</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（3）柜面教具盒带有扣件，不影响柜子靠墙面使用，稳固不易掉落。分类卡件可根据不同区角场景变化布置相应材料，自由分配空间，灵活多变。</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2、外观结构：</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（1）柜体：上层两个格子，下层三个格子。</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（2）背板：尺寸≥895x500x14mm（±2mm）注塑封边黑白板，注塑封边紧固不易脱落；黑白板使用背板扣件实现固定，塑料扣件尺寸分别为≥80x65x60.5mm（±2mm）与≥80x61x15mm（±2mm）。</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围脚：底部围脚与柜体链接采用4个塑料一体成型2合1连接件，大链接件呈倒“Z"形状，实现翻板功能之余还能减少侧板与地面之前的摩擦，尺寸≥L76.5xW70mm（±2mm），小扣件呈“一”形状，尺寸≥L69xW36mm（±2mm），与大扣件内嵌入一个内圆实现翻转；围板内侧安装4个2寸静音万向轮脚轮。</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（4）配套：柜面增加收纳教具篮，教具篮为塑料一体成型带扣件，尺寸为≥L439xW305xH88mm（±2mm）,单侧扣件设计，可堆叠；搭配塑料活动分类卡件，尺寸为：≥L317xW30xH61mm（±2mm）。</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3、材质用料：</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（1）基材：柜体采用厚度≥16mm（±2mm）的橡胶木拼板，围脚采用厚度≥18mm（±2mm）的橡胶木拼板。</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（2）油漆：采用的水性漆，全封闭涂装工艺，漆面光泽高透。</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（3）五金件：采用五金。</w:t>
            </w:r>
          </w:p>
          <w:p>
            <w:pPr>
              <w:widowControl/>
              <w:textAlignment w:val="center"/>
              <w:rPr>
                <w:rFonts w:ascii="宋体" w:eastAsia="宋体" w:hAnsi="宋体" w:cs="宋体" w:hint="eastAsia"/>
                <w:color w:val="000000"/>
                <w:sz w:val="21"/>
                <w:szCs w:val="21"/>
                <w:lang w:bidi="ar"/>
              </w:rPr>
            </w:pPr>
            <w:r>
              <w:rPr>
                <w:rFonts w:ascii="宋体" w:eastAsia="宋体" w:hAnsi="宋体" w:cs="宋体" w:hint="eastAsia"/>
                <w:color w:val="000000"/>
                <w:sz w:val="21"/>
                <w:szCs w:val="21"/>
                <w:lang w:bidi="ar"/>
              </w:rPr>
              <w:t>（4）塑料连接件：采用塑料。</w:t>
            </w:r>
          </w:p>
          <w:p>
            <w:pPr>
              <w:widowControl/>
              <w:textAlignment w:val="center"/>
              <w:rPr>
                <w:rFonts w:ascii="宋体" w:eastAsia="宋体" w:hAnsi="宋体" w:cs="宋体" w:hint="eastAsia"/>
                <w:sz w:val="21"/>
                <w:szCs w:val="21"/>
              </w:rPr>
            </w:pPr>
            <w:r>
              <w:rPr>
                <w:rFonts w:ascii="宋体" w:eastAsia="宋体" w:hAnsi="宋体" w:cs="宋体" w:hint="eastAsia"/>
                <w:color w:val="000000"/>
                <w:sz w:val="21"/>
                <w:szCs w:val="21"/>
                <w:lang w:bidi="ar"/>
              </w:rPr>
              <w:t>（5）脚轮：2寸TPR（±2mm）静音万向轮。</w:t>
            </w:r>
          </w:p>
        </w:tc>
      </w:tr>
    </w:tbl>
    <w:p>
      <w:pPr>
        <w:spacing w:before="60" w:beforeLines="25" w:after="60" w:afterLines="25" w:line="360" w:lineRule="auto"/>
        <w:ind w:firstLine="393" w:firstLineChars="187"/>
        <w:rPr>
          <w:rFonts w:ascii="宋体" w:hAnsi="宋体" w:cs="宋体"/>
          <w:sz w:val="21"/>
          <w:szCs w:val="21"/>
          <w:lang w:eastAsia="zh-CN" w:bidi="ar"/>
        </w:rPr>
      </w:pPr>
    </w:p>
    <w:p>
      <w:pPr>
        <w:keepNext/>
        <w:keepLines/>
        <w:widowControl w:val="0"/>
        <w:numPr>
          <w:ilvl w:val="0"/>
          <w:numId w:val="3"/>
        </w:numPr>
        <w:spacing w:before="120" w:beforeLines="50" w:after="120" w:afterLines="50" w:line="416" w:lineRule="auto"/>
        <w:jc w:val="center"/>
        <w:outlineLvl w:val="2"/>
        <w:rPr>
          <w:rFonts w:ascii="宋体" w:eastAsia="宋体" w:hAnsi="宋体" w:hint="eastAsia"/>
          <w:b/>
          <w:bCs/>
          <w:kern w:val="2"/>
          <w:sz w:val="28"/>
          <w:szCs w:val="28"/>
          <w:lang w:eastAsia="zh-CN"/>
        </w:rPr>
      </w:pPr>
      <w:r>
        <w:rPr>
          <w:rFonts w:ascii="宋体" w:eastAsia="宋体" w:hAnsi="宋体" w:cstheme="minorBidi" w:hint="eastAsia"/>
          <w:b/>
          <w:bCs/>
          <w:kern w:val="2"/>
          <w:sz w:val="28"/>
          <w:szCs w:val="28"/>
          <w:lang w:eastAsia="zh-CN"/>
        </w:rPr>
        <w:t>图纸</w:t>
      </w:r>
    </w:p>
    <w:p>
      <w:pPr>
        <w:rPr>
          <w:rFonts w:hint="eastAsia"/>
          <w:b/>
          <w:lang w:eastAsia="zh-CN"/>
        </w:rPr>
      </w:pPr>
      <w:r>
        <w:rPr>
          <w:rFonts w:hint="eastAsia"/>
          <w:b/>
        </w:rPr>
        <w:t xml:space="preserve"> </w:t>
      </w:r>
      <w:r>
        <w:rPr>
          <w:rFonts w:hint="eastAsia"/>
          <w:b/>
          <w:lang w:eastAsia="zh-CN"/>
        </w:rPr>
        <w:t>1、小班、中班、大班平面图</w:t>
      </w:r>
    </w:p>
    <w:p>
      <w:r>
        <w:drawing>
          <wp:inline distT="0" distB="0" distL="114300" distR="114300">
            <wp:extent cx="5290820" cy="5022850"/>
            <wp:effectExtent l="0" t="0" r="5080"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xmlns:r="http://schemas.openxmlformats.org/officeDocument/2006/relationships" r:embed="rId4"/>
                    <a:stretch>
                      <a:fillRect/>
                    </a:stretch>
                  </pic:blipFill>
                  <pic:spPr>
                    <a:xfrm>
                      <a:off x="0" y="0"/>
                      <a:ext cx="5290820" cy="5022850"/>
                    </a:xfrm>
                    <a:prstGeom prst="rect">
                      <a:avLst/>
                    </a:prstGeom>
                    <a:noFill/>
                    <a:ln>
                      <a:noFill/>
                    </a:ln>
                  </pic:spPr>
                </pic:pic>
              </a:graphicData>
            </a:graphic>
          </wp:inline>
        </w:drawing>
      </w:r>
      <w:r>
        <w:drawing>
          <wp:inline distT="0" distB="0" distL="114300" distR="114300">
            <wp:extent cx="5481955" cy="5258435"/>
            <wp:effectExtent l="0" t="0" r="4445" b="184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xmlns:r="http://schemas.openxmlformats.org/officeDocument/2006/relationships" r:embed="rId5"/>
                    <a:stretch>
                      <a:fillRect/>
                    </a:stretch>
                  </pic:blipFill>
                  <pic:spPr>
                    <a:xfrm>
                      <a:off x="0" y="0"/>
                      <a:ext cx="5481955" cy="5258435"/>
                    </a:xfrm>
                    <a:prstGeom prst="rect">
                      <a:avLst/>
                    </a:prstGeom>
                    <a:noFill/>
                    <a:ln>
                      <a:noFill/>
                    </a:ln>
                  </pic:spPr>
                </pic:pic>
              </a:graphicData>
            </a:graphic>
          </wp:inline>
        </w:drawing>
      </w:r>
      <w:r>
        <w:drawing>
          <wp:inline distT="0" distB="0" distL="114300" distR="114300">
            <wp:extent cx="5269865" cy="5046345"/>
            <wp:effectExtent l="0" t="0" r="6985"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xmlns:r="http://schemas.openxmlformats.org/officeDocument/2006/relationships" r:embed="rId6"/>
                    <a:stretch>
                      <a:fillRect/>
                    </a:stretch>
                  </pic:blipFill>
                  <pic:spPr>
                    <a:xfrm>
                      <a:off x="0" y="0"/>
                      <a:ext cx="5269865" cy="5046345"/>
                    </a:xfrm>
                    <a:prstGeom prst="rect">
                      <a:avLst/>
                    </a:prstGeom>
                    <a:noFill/>
                    <a:ln>
                      <a:noFill/>
                    </a:ln>
                  </pic:spPr>
                </pic:pic>
              </a:graphicData>
            </a:graphic>
          </wp:inline>
        </w:drawing>
      </w:r>
    </w:p>
    <w:p/>
    <w:p>
      <w:pPr>
        <w:rPr>
          <w:rFonts w:eastAsia="宋体"/>
          <w:lang w:eastAsia="zh-CN"/>
        </w:rPr>
      </w:pPr>
      <w:r>
        <w:rPr>
          <w:rFonts w:hint="eastAsia"/>
          <w:lang w:eastAsia="zh-CN"/>
        </w:rPr>
        <w:t>2、美术室平面图</w:t>
      </w:r>
    </w:p>
    <w:p>
      <w:r>
        <w:drawing>
          <wp:inline distT="0" distB="0" distL="114300" distR="114300">
            <wp:extent cx="5267960" cy="4082415"/>
            <wp:effectExtent l="0" t="0" r="8890" b="1333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xmlns:r="http://schemas.openxmlformats.org/officeDocument/2006/relationships" r:embed="rId7"/>
                    <a:stretch>
                      <a:fillRect/>
                    </a:stretch>
                  </pic:blipFill>
                  <pic:spPr>
                    <a:xfrm>
                      <a:off x="0" y="0"/>
                      <a:ext cx="5267960" cy="4082415"/>
                    </a:xfrm>
                    <a:prstGeom prst="rect">
                      <a:avLst/>
                    </a:prstGeom>
                    <a:noFill/>
                    <a:ln>
                      <a:noFill/>
                    </a:ln>
                  </pic:spPr>
                </pic:pic>
              </a:graphicData>
            </a:graphic>
          </wp:inline>
        </w:drawing>
      </w:r>
    </w:p>
    <w:p/>
    <w:p>
      <w:pPr>
        <w:rPr>
          <w:rFonts w:ascii="宋体" w:hAnsi="宋体" w:cs="宋体" w:hint="eastAsia"/>
          <w:b/>
          <w:bCs/>
          <w:szCs w:val="21"/>
        </w:rPr>
      </w:pPr>
      <w:r>
        <w:rPr>
          <w:rFonts w:hint="eastAsia"/>
          <w:lang w:eastAsia="zh-CN"/>
        </w:rPr>
        <w:t>3、</w:t>
      </w:r>
      <w:r>
        <w:rPr>
          <w:rFonts w:ascii="宋体" w:hAnsi="宋体" w:cs="宋体" w:hint="eastAsia"/>
          <w:b/>
          <w:bCs/>
          <w:szCs w:val="21"/>
        </w:rPr>
        <w:t>园长办公室（2间）、副园长+安全主任办公室（1间）、</w:t>
      </w:r>
      <w:r>
        <w:rPr>
          <w:rFonts w:ascii="宋体" w:hAnsi="宋体" w:cs="宋体" w:hint="eastAsia"/>
          <w:b/>
          <w:bCs/>
          <w:szCs w:val="21"/>
          <w:lang w:eastAsia="zh-CN"/>
        </w:rPr>
        <w:t>财务室（1间）、</w:t>
      </w:r>
      <w:r>
        <w:rPr>
          <w:rFonts w:ascii="宋体" w:hAnsi="宋体" w:cs="宋体" w:hint="eastAsia"/>
          <w:b/>
          <w:bCs/>
          <w:szCs w:val="21"/>
        </w:rPr>
        <w:t>教师办公室（</w:t>
      </w:r>
      <w:r>
        <w:rPr>
          <w:rFonts w:ascii="宋体" w:hAnsi="宋体" w:cs="宋体" w:hint="eastAsia"/>
          <w:b/>
          <w:bCs/>
          <w:szCs w:val="21"/>
          <w:lang w:eastAsia="zh-CN"/>
        </w:rPr>
        <w:t>2</w:t>
      </w:r>
      <w:r>
        <w:rPr>
          <w:rFonts w:ascii="宋体" w:hAnsi="宋体" w:cs="宋体" w:hint="eastAsia"/>
          <w:b/>
          <w:bCs/>
          <w:szCs w:val="21"/>
        </w:rPr>
        <w:t>间）、保健室（1间）、会议室（1间）</w:t>
      </w:r>
    </w:p>
    <w:p>
      <w:pPr>
        <w:rPr>
          <w:rFonts w:ascii="宋体" w:hAnsi="宋体" w:cs="宋体" w:hint="eastAsia"/>
          <w:b/>
          <w:bCs/>
          <w:szCs w:val="21"/>
        </w:rPr>
      </w:pPr>
      <w:r>
        <w:drawing>
          <wp:inline distT="0" distB="0" distL="114300" distR="114300">
            <wp:extent cx="2799080" cy="3872865"/>
            <wp:effectExtent l="0" t="0" r="1270"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xmlns:r="http://schemas.openxmlformats.org/officeDocument/2006/relationships" r:embed="rId8"/>
                    <a:stretch>
                      <a:fillRect/>
                    </a:stretch>
                  </pic:blipFill>
                  <pic:spPr>
                    <a:xfrm>
                      <a:off x="0" y="0"/>
                      <a:ext cx="2799080" cy="3872865"/>
                    </a:xfrm>
                    <a:prstGeom prst="rect">
                      <a:avLst/>
                    </a:prstGeom>
                    <a:noFill/>
                    <a:ln>
                      <a:noFill/>
                    </a:ln>
                  </pic:spPr>
                </pic:pic>
              </a:graphicData>
            </a:graphic>
          </wp:inline>
        </w:drawing>
      </w:r>
    </w:p>
    <w:p>
      <w:r>
        <w:drawing>
          <wp:inline distT="0" distB="0" distL="114300" distR="114300">
            <wp:extent cx="3317875" cy="3804920"/>
            <wp:effectExtent l="0" t="0" r="15875" b="508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xmlns:r="http://schemas.openxmlformats.org/officeDocument/2006/relationships" r:embed="rId9"/>
                    <a:stretch>
                      <a:fillRect/>
                    </a:stretch>
                  </pic:blipFill>
                  <pic:spPr>
                    <a:xfrm>
                      <a:off x="0" y="0"/>
                      <a:ext cx="3317875" cy="3804920"/>
                    </a:xfrm>
                    <a:prstGeom prst="rect">
                      <a:avLst/>
                    </a:prstGeom>
                    <a:noFill/>
                    <a:ln>
                      <a:noFill/>
                    </a:ln>
                  </pic:spPr>
                </pic:pic>
              </a:graphicData>
            </a:graphic>
          </wp:inline>
        </w:drawing>
      </w:r>
      <w:r>
        <w:drawing>
          <wp:inline distT="0" distB="0" distL="114300" distR="114300">
            <wp:extent cx="4363085" cy="3556635"/>
            <wp:effectExtent l="0" t="0" r="18415" b="57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xmlns:r="http://schemas.openxmlformats.org/officeDocument/2006/relationships" r:embed="rId10"/>
                    <a:stretch>
                      <a:fillRect/>
                    </a:stretch>
                  </pic:blipFill>
                  <pic:spPr>
                    <a:xfrm>
                      <a:off x="0" y="0"/>
                      <a:ext cx="4363085" cy="3556635"/>
                    </a:xfrm>
                    <a:prstGeom prst="rect">
                      <a:avLst/>
                    </a:prstGeom>
                    <a:noFill/>
                    <a:ln>
                      <a:noFill/>
                    </a:ln>
                  </pic:spPr>
                </pic:pic>
              </a:graphicData>
            </a:graphic>
          </wp:inline>
        </w:drawing>
      </w:r>
      <w:r>
        <w:drawing>
          <wp:inline distT="0" distB="0" distL="114300" distR="114300">
            <wp:extent cx="3314700" cy="4566285"/>
            <wp:effectExtent l="0" t="0" r="0" b="57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xmlns:r="http://schemas.openxmlformats.org/officeDocument/2006/relationships" r:embed="rId11"/>
                    <a:stretch>
                      <a:fillRect/>
                    </a:stretch>
                  </pic:blipFill>
                  <pic:spPr>
                    <a:xfrm>
                      <a:off x="0" y="0"/>
                      <a:ext cx="3314700" cy="4566285"/>
                    </a:xfrm>
                    <a:prstGeom prst="rect">
                      <a:avLst/>
                    </a:prstGeom>
                    <a:noFill/>
                    <a:ln>
                      <a:noFill/>
                    </a:ln>
                  </pic:spPr>
                </pic:pic>
              </a:graphicData>
            </a:graphic>
          </wp:inline>
        </w:drawing>
      </w:r>
      <w:r>
        <w:drawing>
          <wp:inline distT="0" distB="0" distL="114300" distR="114300">
            <wp:extent cx="5261610" cy="3205480"/>
            <wp:effectExtent l="0" t="0" r="15240" b="139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xmlns:r="http://schemas.openxmlformats.org/officeDocument/2006/relationships" r:embed="rId12"/>
                    <a:stretch>
                      <a:fillRect/>
                    </a:stretch>
                  </pic:blipFill>
                  <pic:spPr>
                    <a:xfrm>
                      <a:off x="0" y="0"/>
                      <a:ext cx="5261610" cy="3205480"/>
                    </a:xfrm>
                    <a:prstGeom prst="rect">
                      <a:avLst/>
                    </a:prstGeom>
                    <a:noFill/>
                    <a:ln>
                      <a:noFill/>
                    </a:ln>
                  </pic:spPr>
                </pic:pic>
              </a:graphicData>
            </a:graphic>
          </wp:inline>
        </w:drawing>
      </w:r>
      <w:r>
        <w:drawing>
          <wp:inline distT="0" distB="0" distL="114300" distR="114300">
            <wp:extent cx="5270500" cy="6304915"/>
            <wp:effectExtent l="0" t="0" r="6350" b="635"/>
            <wp:docPr id="19" name="图片 10" descr="54430a92af38ad6a6331c874c0c5e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54430a92af38ad6a6331c874c0c5e42c"/>
                    <pic:cNvPicPr>
                      <a:picLocks noChangeAspect="1"/>
                    </pic:cNvPicPr>
                  </pic:nvPicPr>
                  <pic:blipFill>
                    <a:blip xmlns:r="http://schemas.openxmlformats.org/officeDocument/2006/relationships" r:embed="rId13"/>
                    <a:stretch>
                      <a:fillRect/>
                    </a:stretch>
                  </pic:blipFill>
                  <pic:spPr>
                    <a:xfrm>
                      <a:off x="0" y="0"/>
                      <a:ext cx="5270500" cy="6304915"/>
                    </a:xfrm>
                    <a:prstGeom prst="rect">
                      <a:avLst/>
                    </a:prstGeom>
                    <a:noFill/>
                    <a:ln>
                      <a:noFill/>
                    </a:ln>
                  </pic:spPr>
                </pic:pic>
              </a:graphicData>
            </a:graphic>
          </wp:inline>
        </w:drawing>
      </w:r>
      <w:r>
        <w:drawing>
          <wp:inline distT="0" distB="0" distL="114300" distR="114300">
            <wp:extent cx="5362575" cy="3352165"/>
            <wp:effectExtent l="0" t="0" r="9525" b="63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xmlns:r="http://schemas.openxmlformats.org/officeDocument/2006/relationships" r:embed="rId14"/>
                    <a:stretch>
                      <a:fillRect/>
                    </a:stretch>
                  </pic:blipFill>
                  <pic:spPr>
                    <a:xfrm>
                      <a:off x="0" y="0"/>
                      <a:ext cx="5362575" cy="3352165"/>
                    </a:xfrm>
                    <a:prstGeom prst="rect">
                      <a:avLst/>
                    </a:prstGeom>
                    <a:noFill/>
                    <a:ln>
                      <a:noFill/>
                    </a:ln>
                  </pic:spPr>
                </pic:pic>
              </a:graphicData>
            </a:graphic>
          </wp:inline>
        </w:drawing>
      </w:r>
      <w:r>
        <w:drawing>
          <wp:inline distT="0" distB="0" distL="114300" distR="114300">
            <wp:extent cx="5542915" cy="3736975"/>
            <wp:effectExtent l="0" t="0" r="635" b="1587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xmlns:r="http://schemas.openxmlformats.org/officeDocument/2006/relationships" r:embed="rId15">
                      <a:lum bright="-6000"/>
                    </a:blip>
                    <a:stretch>
                      <a:fillRect/>
                    </a:stretch>
                  </pic:blipFill>
                  <pic:spPr>
                    <a:xfrm>
                      <a:off x="0" y="0"/>
                      <a:ext cx="5542915" cy="3736975"/>
                    </a:xfrm>
                    <a:prstGeom prst="rect">
                      <a:avLst/>
                    </a:prstGeom>
                    <a:noFill/>
                    <a:ln>
                      <a:noFill/>
                    </a:ln>
                  </pic:spPr>
                </pic:pic>
              </a:graphicData>
            </a:graphic>
          </wp:inline>
        </w:drawing>
      </w:r>
    </w:p>
    <w:p>
      <w:pPr>
        <w:numPr>
          <w:ilvl w:val="0"/>
          <w:numId w:val="4"/>
        </w:numPr>
        <w:rPr>
          <w:rFonts w:hint="eastAsia"/>
          <w:lang w:eastAsia="zh-CN"/>
        </w:rPr>
      </w:pPr>
      <w:r>
        <w:rPr>
          <w:rFonts w:hint="eastAsia"/>
          <w:lang w:eastAsia="zh-CN"/>
        </w:rPr>
        <w:t>教职工餐厅平面图</w:t>
      </w:r>
    </w:p>
    <w:p>
      <w:pPr>
        <w:numPr>
          <w:ilvl w:val="0"/>
          <w:numId w:val="0"/>
        </w:numPr>
        <w:spacing w:line="360" w:lineRule="auto"/>
        <w:ind w:left="0" w:firstLine="0"/>
        <w:rPr>
          <w:rFonts w:hint="eastAsia"/>
          <w:b/>
          <w:bCs/>
          <w:lang w:eastAsia="zh-CN"/>
        </w:rPr>
      </w:pPr>
      <w:r>
        <w:drawing>
          <wp:inline distT="0" distB="0" distL="114300" distR="114300">
            <wp:extent cx="5269865" cy="4034155"/>
            <wp:effectExtent l="0" t="0" r="6985" b="44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xmlns:r="http://schemas.openxmlformats.org/officeDocument/2006/relationships" r:embed="rId16"/>
                    <a:stretch>
                      <a:fillRect/>
                    </a:stretch>
                  </pic:blipFill>
                  <pic:spPr>
                    <a:xfrm>
                      <a:off x="0" y="0"/>
                      <a:ext cx="5269865" cy="4034155"/>
                    </a:xfrm>
                    <a:prstGeom prst="rect">
                      <a:avLst/>
                    </a:prstGeom>
                    <a:noFill/>
                    <a:ln>
                      <a:noFill/>
                    </a:ln>
                  </pic:spPr>
                </pic:pic>
              </a:graphicData>
            </a:graphic>
          </wp:inline>
        </w:drawing>
      </w:r>
    </w:p>
    <w:p>
      <w:pPr>
        <w:keepNext/>
        <w:keepLines/>
        <w:widowControl w:val="0"/>
        <w:spacing w:before="120" w:beforeLines="50" w:after="120" w:afterLines="50" w:line="416" w:lineRule="auto"/>
        <w:jc w:val="center"/>
        <w:outlineLvl w:val="2"/>
        <w:rPr>
          <w:rFonts w:ascii="宋体" w:eastAsia="宋体" w:hAnsi="宋体" w:hint="eastAsia"/>
          <w:b/>
          <w:bCs/>
          <w:kern w:val="2"/>
          <w:sz w:val="28"/>
          <w:szCs w:val="28"/>
          <w:lang w:eastAsia="zh-CN"/>
        </w:rPr>
      </w:pPr>
      <w:r>
        <w:rPr>
          <w:rFonts w:ascii="宋体" w:eastAsia="宋体" w:hAnsi="宋体" w:cstheme="minorBidi" w:hint="eastAsia"/>
          <w:b/>
          <w:bCs/>
          <w:kern w:val="2"/>
          <w:sz w:val="28"/>
          <w:szCs w:val="28"/>
          <w:lang w:eastAsia="zh-CN"/>
        </w:rPr>
        <w:t>八、付款方式（具体以合同签订为准）</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 xml:space="preserve">1、合同签订后  </w:t>
      </w:r>
      <w:r>
        <w:rPr>
          <w:rFonts w:ascii="宋体" w:hAnsi="宋体" w:cs="宋体" w:hint="eastAsia"/>
          <w:sz w:val="21"/>
          <w:szCs w:val="21"/>
          <w:lang w:eastAsia="zh-CN" w:bidi="ar"/>
        </w:rPr>
        <w:t>/</w:t>
      </w:r>
      <w:r>
        <w:rPr>
          <w:rFonts w:ascii="宋体" w:hAnsi="宋体" w:cs="宋体" w:hint="eastAsia"/>
          <w:sz w:val="21"/>
          <w:szCs w:val="21"/>
          <w:lang w:bidi="ar"/>
        </w:rPr>
        <w:t xml:space="preserve"> 个工作日内，采购人向中标供应商支付合同总价【</w:t>
      </w:r>
      <w:r>
        <w:rPr>
          <w:rFonts w:ascii="宋体" w:hAnsi="宋体" w:cs="宋体" w:hint="eastAsia"/>
          <w:sz w:val="21"/>
          <w:szCs w:val="21"/>
          <w:lang w:eastAsia="zh-CN" w:bidi="ar"/>
        </w:rPr>
        <w:t>/</w:t>
      </w:r>
      <w:r>
        <w:rPr>
          <w:rFonts w:ascii="宋体" w:hAnsi="宋体" w:cs="宋体" w:hint="eastAsia"/>
          <w:sz w:val="21"/>
          <w:szCs w:val="21"/>
          <w:lang w:bidi="ar"/>
        </w:rPr>
        <w:t>】%的款项；</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 xml:space="preserve">2、全部货物送到采购人指定地点、完成安装并验收合格后 </w:t>
      </w:r>
      <w:r>
        <w:rPr>
          <w:rFonts w:ascii="宋体" w:hAnsi="宋体" w:cs="宋体" w:hint="eastAsia"/>
          <w:sz w:val="21"/>
          <w:szCs w:val="21"/>
          <w:lang w:eastAsia="zh-CN" w:bidi="ar"/>
        </w:rPr>
        <w:t>30</w:t>
      </w:r>
      <w:r>
        <w:rPr>
          <w:rFonts w:ascii="宋体" w:hAnsi="宋体" w:cs="宋体" w:hint="eastAsia"/>
          <w:sz w:val="21"/>
          <w:szCs w:val="21"/>
          <w:lang w:bidi="ar"/>
        </w:rPr>
        <w:t xml:space="preserve"> 个工作日内，采购人向中标供应商支付合同总价【</w:t>
      </w:r>
      <w:r>
        <w:rPr>
          <w:rFonts w:ascii="宋体" w:hAnsi="宋体" w:cs="宋体" w:hint="eastAsia"/>
          <w:sz w:val="21"/>
          <w:szCs w:val="21"/>
          <w:lang w:eastAsia="zh-CN" w:bidi="ar"/>
        </w:rPr>
        <w:t>100</w:t>
      </w:r>
      <w:r>
        <w:rPr>
          <w:rFonts w:ascii="宋体" w:hAnsi="宋体" w:cs="宋体" w:hint="eastAsia"/>
          <w:sz w:val="21"/>
          <w:szCs w:val="21"/>
          <w:lang w:bidi="ar"/>
        </w:rPr>
        <w:t>】%的款项；</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3、因财政资金拨款未到位而导致甲方未在约定期限内支付合同费用的，中标供应商不得要求采购人承担逾期付款的违约责任。每次付款前，中标供应商应需先提供相应额度的正规发票给采购人，以便办理支付手续。</w:t>
      </w:r>
    </w:p>
    <w:p>
      <w:pPr>
        <w:keepNext/>
        <w:keepLines/>
        <w:widowControl w:val="0"/>
        <w:spacing w:before="120" w:beforeLines="50" w:after="120" w:afterLines="50" w:line="416" w:lineRule="auto"/>
        <w:jc w:val="center"/>
        <w:outlineLvl w:val="2"/>
        <w:rPr>
          <w:rFonts w:ascii="宋体" w:eastAsia="宋体" w:hAnsi="宋体" w:hint="eastAsia"/>
          <w:b/>
          <w:bCs/>
          <w:kern w:val="2"/>
          <w:sz w:val="28"/>
          <w:szCs w:val="28"/>
          <w:lang w:eastAsia="zh-CN"/>
        </w:rPr>
      </w:pPr>
      <w:r>
        <w:rPr>
          <w:rFonts w:ascii="宋体" w:eastAsia="宋体" w:hAnsi="宋体" w:cstheme="minorBidi" w:hint="eastAsia"/>
          <w:b/>
          <w:bCs/>
          <w:kern w:val="2"/>
          <w:sz w:val="28"/>
          <w:szCs w:val="28"/>
          <w:lang w:eastAsia="zh-CN"/>
        </w:rPr>
        <w:t>九、投标报价要求</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1、本项目服务费采用包干制，应包括服务成本、法定税费和利润。由投标人根据采购文件所提供的资料自行测算投标报价；一经中标，投标报价总价作为中标单位与采购单位签定的合同金额，合同期限内不做调整；</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2、投标人应根据其成本自行决定报价。评审小组认为投标人的报价明显低于其他通过符合性审查投标人的报价，有可能影响服务质量或不能诚信履约的，将会要求该投标人在评审现场合理的时间内提供书面说明，必要时提交相关证明材料。投标人不能证明其报价合理性的，评审委员会应将其作为无效投标处理。若评审小组对是否须由投标人作出报价合理性说明，以及书面说明是否采纳等判断不一致的，按照“少数服从多数”的原则确定评审小组的意见。</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3、投标人的投标报价不得超过财政预算限额，如设投标最高限价的，报价不得超过最高限价；</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4、投标人的投标报价，应是本项目采购范围和采购文件及合同条款上所列的各项内容中所述的全部，不得以任何理由予以重复，并以投标人在中提出的综合单价或总价为依据；</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5、除非社会代理机构通过修改采购文件予以更正，否则，投标人应毫无例外地按采购文件所列的清单中项目和数量填报综合单价和合价。投标人未填综合单价或合价的项目，视作该项费用已包括在其它有价款的综合单价或合价内；</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6、投标人应先到项目地点踏勘以充分了解项目的位置、情况、道路及任何其它足以影响投标报价的情况，任何因忽视或误解项目情况而导致的索赔或服务期限延长申请将不获批准；</w:t>
      </w:r>
    </w:p>
    <w:p>
      <w:pPr>
        <w:spacing w:before="60" w:beforeLines="25" w:after="60" w:afterLines="25"/>
        <w:ind w:firstLine="393" w:firstLineChars="187"/>
        <w:rPr>
          <w:rFonts w:ascii="宋体" w:hAnsi="宋体" w:cs="宋体" w:hint="eastAsia"/>
          <w:sz w:val="21"/>
          <w:szCs w:val="21"/>
          <w:lang w:bidi="ar"/>
        </w:rPr>
      </w:pPr>
      <w:r>
        <w:rPr>
          <w:rFonts w:ascii="宋体" w:hAnsi="宋体" w:cs="宋体" w:hint="eastAsia"/>
          <w:sz w:val="21"/>
          <w:szCs w:val="21"/>
          <w:lang w:bidi="ar"/>
        </w:rPr>
        <w:t>7、投标人不得期望通过索赔等方式获取补偿，否则，除可能遭到拒绝外，还可能将被作为不良行为记录在案，并可能影响其以后参加龙华区教育系统自行采购的项目投标。各投标人在投标报价时，应充分考虑投标报价的风险。</w:t>
      </w:r>
    </w:p>
    <w:p>
      <w:pPr>
        <w:keepNext/>
        <w:keepLines/>
        <w:widowControl w:val="0"/>
        <w:spacing w:before="120" w:beforeLines="50" w:after="120" w:afterLines="50" w:line="416" w:lineRule="auto"/>
        <w:jc w:val="center"/>
        <w:outlineLvl w:val="2"/>
        <w:rPr>
          <w:rFonts w:ascii="宋体" w:eastAsia="宋体" w:hAnsi="宋体" w:hint="eastAsia"/>
          <w:b/>
          <w:bCs/>
          <w:kern w:val="2"/>
          <w:sz w:val="28"/>
          <w:szCs w:val="28"/>
          <w:lang w:eastAsia="zh-CN"/>
        </w:rPr>
      </w:pPr>
      <w:r>
        <w:rPr>
          <w:rFonts w:ascii="宋体" w:eastAsia="宋体" w:hAnsi="宋体" w:cstheme="minorBidi" w:hint="eastAsia"/>
          <w:b/>
          <w:bCs/>
          <w:kern w:val="2"/>
          <w:sz w:val="28"/>
          <w:szCs w:val="28"/>
          <w:lang w:eastAsia="zh-CN"/>
        </w:rPr>
        <w:t>十、注意事项</w:t>
      </w:r>
    </w:p>
    <w:p>
      <w:pPr>
        <w:ind w:firstLine="393" w:firstLineChars="187"/>
        <w:rPr>
          <w:rFonts w:ascii="宋体" w:eastAsia="宋体" w:hAnsi="宋体" w:cs="宋体" w:hint="eastAsia"/>
          <w:sz w:val="21"/>
          <w:szCs w:val="21"/>
        </w:rPr>
      </w:pPr>
      <w:r>
        <w:rPr>
          <w:rFonts w:ascii="宋体" w:eastAsia="宋体" w:hAnsi="宋体" w:cs="宋体" w:hint="eastAsia"/>
          <w:sz w:val="21"/>
          <w:szCs w:val="21"/>
        </w:rPr>
        <w:t>1、中标供应商不得将项目非法分包或转包给任何单位和个人。否则，采购单位有权即刻终止合同，并要求中标供应商赔偿相应损失。</w:t>
      </w:r>
    </w:p>
    <w:p>
      <w:pPr>
        <w:ind w:firstLine="393" w:firstLineChars="187"/>
        <w:rPr>
          <w:rFonts w:ascii="宋体" w:eastAsia="宋体" w:hAnsi="宋体" w:cs="宋体" w:hint="eastAsia"/>
          <w:sz w:val="21"/>
          <w:szCs w:val="21"/>
        </w:rPr>
      </w:pPr>
      <w:r>
        <w:rPr>
          <w:rFonts w:ascii="宋体" w:eastAsia="宋体" w:hAnsi="宋体" w:cs="宋体" w:hint="eastAsia"/>
          <w:sz w:val="21"/>
          <w:szCs w:val="21"/>
        </w:rPr>
        <w:t>2、投标人使用的标准必须是国际公认或国家、或地方政府颁布的同等或更高的标准，如投标人使用的标准低于上述标准,评审委员会将有权不予接受，投标人必须列表将明显的差异详细说明。</w:t>
      </w:r>
    </w:p>
    <w:p>
      <w:pPr>
        <w:ind w:firstLine="393" w:firstLineChars="187"/>
        <w:rPr>
          <w:rFonts w:ascii="宋体" w:eastAsia="宋体" w:hAnsi="宋体" w:cs="宋体" w:hint="eastAsia"/>
          <w:sz w:val="21"/>
          <w:szCs w:val="21"/>
        </w:rPr>
      </w:pPr>
      <w:r>
        <w:rPr>
          <w:rFonts w:ascii="宋体" w:eastAsia="宋体" w:hAnsi="宋体" w:cs="宋体" w:hint="eastAsia"/>
          <w:sz w:val="21"/>
          <w:szCs w:val="21"/>
        </w:rPr>
        <w:t>3、供应商须在质疑期内一次性提出针对同一采购程序环节的质疑。</w:t>
      </w:r>
    </w:p>
    <w:p>
      <w:pPr>
        <w:ind w:firstLine="393" w:firstLineChars="187"/>
        <w:rPr>
          <w:rFonts w:ascii="宋体" w:eastAsia="宋体" w:hAnsi="宋体" w:cs="宋体" w:hint="eastAsia"/>
          <w:sz w:val="21"/>
          <w:szCs w:val="21"/>
          <w:lang w:eastAsia="zh-CN"/>
        </w:rPr>
      </w:pPr>
      <w:r>
        <w:rPr>
          <w:rFonts w:ascii="宋体" w:eastAsia="宋体" w:hAnsi="宋体" w:cs="宋体" w:hint="eastAsia"/>
          <w:sz w:val="21"/>
          <w:szCs w:val="21"/>
        </w:rPr>
        <w:t>4、本项目按照深圳市龙华区教育局的相关采购规定执行，招标文件未明确的事项，参照政府采购有关法律法规执行</w:t>
      </w:r>
      <w:r>
        <w:rPr>
          <w:rFonts w:ascii="宋体" w:eastAsia="宋体" w:hAnsi="宋体" w:cs="宋体" w:hint="eastAsia"/>
          <w:sz w:val="21"/>
          <w:szCs w:val="21"/>
          <w:lang w:eastAsia="zh-CN"/>
        </w:rPr>
        <w:t>。</w:t>
      </w:r>
    </w:p>
    <w:p>
      <w:pPr>
        <w:spacing w:line="360" w:lineRule="auto"/>
        <w:jc w:val="left"/>
        <w:rPr>
          <w:rFonts w:ascii="宋体" w:eastAsia="宋体" w:hAnsi="宋体" w:hint="eastAsia"/>
          <w:b/>
          <w:bCs/>
          <w:kern w:val="2"/>
          <w:sz w:val="28"/>
          <w:szCs w:val="28"/>
          <w:lang w:eastAsia="zh-CN"/>
        </w:rPr>
      </w:pPr>
    </w:p>
    <w:p>
      <w:pPr>
        <w:widowControl w:val="0"/>
        <w:ind w:firstLine="420" w:firstLineChars="200"/>
        <w:jc w:val="both"/>
        <w:rPr>
          <w:rFonts w:ascii="Calibri" w:eastAsia="宋体" w:hAnsi="Calibri"/>
          <w:bCs/>
          <w:kern w:val="2"/>
          <w:sz w:val="21"/>
          <w:szCs w:val="21"/>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spacing w:line="360" w:lineRule="auto"/>
        <w:rPr>
          <w:rFonts w:ascii="Calibri" w:eastAsia="宋体" w:hAnsi="Calibri"/>
          <w:b/>
          <w:bCs/>
          <w:kern w:val="2"/>
          <w:sz w:val="21"/>
          <w:szCs w:val="22"/>
          <w:lang w:eastAsia="zh-CN"/>
        </w:rPr>
      </w:pPr>
    </w:p>
    <w:p>
      <w:pPr>
        <w:spacing w:line="360" w:lineRule="auto"/>
        <w:rPr>
          <w:rFonts w:ascii="Calibri" w:eastAsia="宋体" w:hAnsi="Calibri"/>
          <w:b/>
          <w:bCs/>
          <w:kern w:val="2"/>
          <w:sz w:val="21"/>
          <w:szCs w:val="22"/>
          <w:lang w:eastAsia="zh-CN"/>
        </w:rPr>
      </w:pPr>
    </w:p>
    <w:p>
      <w:pPr>
        <w:spacing w:line="360" w:lineRule="auto"/>
        <w:rPr>
          <w:rFonts w:ascii="Calibri" w:eastAsia="宋体" w:hAnsi="Calibri"/>
          <w:b/>
          <w:bCs/>
          <w:kern w:val="2"/>
          <w:sz w:val="21"/>
          <w:szCs w:val="22"/>
          <w:lang w:eastAsia="zh-CN"/>
        </w:rPr>
      </w:pPr>
    </w:p>
    <w:p>
      <w:pPr>
        <w:spacing w:line="360" w:lineRule="auto"/>
        <w:rPr>
          <w:rFonts w:ascii="Calibri" w:eastAsia="宋体" w:hAnsi="Calibri"/>
          <w:b/>
          <w:bCs/>
          <w:kern w:val="2"/>
          <w:sz w:val="21"/>
          <w:szCs w:val="22"/>
          <w:lang w:eastAsia="zh-CN"/>
        </w:rPr>
      </w:pPr>
    </w:p>
    <w:p>
      <w:pPr>
        <w:spacing w:line="360" w:lineRule="auto"/>
        <w:rPr>
          <w:rFonts w:ascii="Calibri" w:eastAsia="宋体" w:hAnsi="Calibri"/>
          <w:b/>
          <w:bCs/>
          <w:kern w:val="2"/>
          <w:sz w:val="21"/>
          <w:szCs w:val="22"/>
          <w:lang w:eastAsia="zh-CN"/>
        </w:rPr>
      </w:pPr>
    </w:p>
    <w:p>
      <w:pPr>
        <w:spacing w:line="360" w:lineRule="auto"/>
        <w:rPr>
          <w:rFonts w:ascii="Calibri" w:eastAsia="宋体" w:hAnsi="Calibri"/>
          <w:b/>
          <w:bCs/>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spacing w:after="120"/>
        <w:ind w:left="480" w:firstLine="420" w:leftChars="200" w:firstLineChars="200"/>
        <w:jc w:val="both"/>
        <w:rPr>
          <w:rFonts w:ascii="Calibri" w:eastAsia="宋体" w:hAnsi="Calibri"/>
          <w:kern w:val="2"/>
          <w:sz w:val="21"/>
          <w:szCs w:val="22"/>
          <w:lang w:eastAsia="zh-CN"/>
        </w:rPr>
      </w:pPr>
    </w:p>
    <w:p>
      <w:pPr>
        <w:keepNext/>
        <w:keepLines/>
        <w:widowControl w:val="0"/>
        <w:adjustRightInd w:val="0"/>
        <w:spacing w:line="320" w:lineRule="atLeast"/>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第四章  投标文件组成要求及格式</w:t>
      </w:r>
    </w:p>
    <w:p>
      <w:pPr>
        <w:widowControl w:val="0"/>
        <w:spacing w:line="360" w:lineRule="auto"/>
        <w:jc w:val="both"/>
        <w:rPr>
          <w:rFonts w:ascii="Calibri" w:eastAsia="宋体" w:hAnsi="Calibri"/>
          <w:b/>
          <w:bCs/>
          <w:kern w:val="2"/>
          <w:szCs w:val="22"/>
          <w:lang w:eastAsia="zh-CN"/>
        </w:rPr>
      </w:pPr>
      <w:bookmarkStart w:id="19" w:name="_Hlk72257167"/>
    </w:p>
    <w:bookmarkEnd w:id="19"/>
    <w:p>
      <w:pPr>
        <w:spacing w:line="320" w:lineRule="atLeast"/>
        <w:outlineLvl w:val="2"/>
        <w:rPr>
          <w:rFonts w:ascii="宋体" w:eastAsia="黑体" w:hAnsi="宋体" w:hint="eastAsia"/>
          <w:bCs/>
          <w:kern w:val="44"/>
          <w:lang w:eastAsia="zh-CN"/>
        </w:rPr>
      </w:pPr>
      <w:r>
        <w:rPr>
          <w:rFonts w:ascii="宋体" w:eastAsia="黑体" w:hAnsi="宋体" w:hint="eastAsia"/>
          <w:bCs/>
          <w:kern w:val="44"/>
          <w:lang w:eastAsia="zh-CN"/>
        </w:rPr>
        <w:t>投标文件组成：</w:t>
      </w:r>
    </w:p>
    <w:p>
      <w:pPr>
        <w:ind w:firstLine="960" w:firstLineChars="400"/>
        <w:rPr>
          <w:lang w:eastAsia="zh-CN"/>
        </w:rPr>
      </w:pPr>
      <w:bookmarkStart w:id="20" w:name="_Hlk194503600"/>
      <w:bookmarkStart w:id="21" w:name="_Hlk72257771"/>
      <w:r>
        <w:rPr>
          <w:rFonts w:hint="eastAsia"/>
          <w:lang w:eastAsia="zh-CN"/>
        </w:rPr>
        <w:t>（</w:t>
      </w:r>
      <w:bookmarkStart w:id="22" w:name="_Hlk194504074"/>
      <w:r>
        <w:rPr>
          <w:rFonts w:hint="eastAsia"/>
          <w:lang w:eastAsia="zh-CN"/>
        </w:rPr>
        <w:t>1）投标函</w:t>
      </w:r>
    </w:p>
    <w:p>
      <w:pPr>
        <w:ind w:firstLine="960" w:firstLineChars="400"/>
        <w:rPr>
          <w:lang w:eastAsia="zh-CN"/>
        </w:rPr>
      </w:pPr>
      <w:r>
        <w:rPr>
          <w:rFonts w:hint="eastAsia"/>
          <w:lang w:eastAsia="zh-CN"/>
        </w:rPr>
        <w:t>（2）龙华区教育局自行采购投标及履约承诺函</w:t>
      </w:r>
    </w:p>
    <w:p>
      <w:pPr>
        <w:ind w:firstLine="960" w:firstLineChars="400"/>
        <w:rPr>
          <w:lang w:eastAsia="zh-CN"/>
        </w:rPr>
      </w:pPr>
      <w:r>
        <w:rPr>
          <w:rFonts w:hint="eastAsia"/>
          <w:lang w:eastAsia="zh-CN"/>
        </w:rPr>
        <w:t>（3）投标人情况及资格证明文件</w:t>
      </w:r>
    </w:p>
    <w:p>
      <w:pPr>
        <w:ind w:firstLine="960" w:firstLineChars="400"/>
        <w:rPr>
          <w:lang w:eastAsia="zh-CN"/>
        </w:rPr>
      </w:pPr>
      <w:r>
        <w:rPr>
          <w:rFonts w:hint="eastAsia"/>
          <w:lang w:eastAsia="zh-CN"/>
        </w:rPr>
        <w:t>（</w:t>
      </w:r>
      <w:r>
        <w:rPr>
          <w:rFonts w:eastAsia="宋体" w:hint="eastAsia"/>
          <w:lang w:eastAsia="zh-CN"/>
        </w:rPr>
        <w:t>4</w:t>
      </w:r>
      <w:r>
        <w:rPr>
          <w:rFonts w:hint="eastAsia"/>
          <w:lang w:eastAsia="zh-CN"/>
        </w:rPr>
        <w:t>）分项报价清单</w:t>
      </w:r>
    </w:p>
    <w:p>
      <w:pPr>
        <w:ind w:firstLine="960" w:firstLineChars="400"/>
        <w:rPr>
          <w:lang w:eastAsia="zh-CN"/>
        </w:rPr>
      </w:pPr>
      <w:r>
        <w:rPr>
          <w:rFonts w:hint="eastAsia"/>
          <w:lang w:eastAsia="zh-CN"/>
        </w:rPr>
        <w:t>（</w:t>
      </w:r>
      <w:r>
        <w:rPr>
          <w:rFonts w:eastAsia="宋体" w:hint="eastAsia"/>
          <w:lang w:eastAsia="zh-CN"/>
        </w:rPr>
        <w:t>5</w:t>
      </w:r>
      <w:r>
        <w:rPr>
          <w:rFonts w:hint="eastAsia"/>
          <w:lang w:eastAsia="zh-CN"/>
        </w:rPr>
        <w:t>）股东构成审查表</w:t>
      </w:r>
    </w:p>
    <w:p>
      <w:pPr>
        <w:ind w:firstLine="960" w:firstLineChars="400"/>
        <w:rPr>
          <w:rFonts w:hint="eastAsia"/>
          <w:lang w:eastAsia="zh-CN"/>
        </w:rPr>
      </w:pPr>
      <w:r>
        <w:rPr>
          <w:rFonts w:hint="eastAsia"/>
          <w:lang w:eastAsia="zh-CN"/>
        </w:rPr>
        <w:t>（</w:t>
      </w:r>
      <w:r>
        <w:rPr>
          <w:rFonts w:eastAsia="宋体" w:hint="eastAsia"/>
          <w:lang w:eastAsia="zh-CN"/>
        </w:rPr>
        <w:t>6</w:t>
      </w:r>
      <w:r>
        <w:rPr>
          <w:rFonts w:hint="eastAsia"/>
          <w:lang w:eastAsia="zh-CN"/>
        </w:rPr>
        <w:t>）法定代表人（负责人）证明书</w:t>
      </w:r>
    </w:p>
    <w:p>
      <w:pPr>
        <w:ind w:firstLine="960" w:firstLineChars="400"/>
        <w:rPr>
          <w:rFonts w:hint="eastAsia"/>
          <w:lang w:eastAsia="zh-CN"/>
        </w:rPr>
      </w:pPr>
      <w:r>
        <w:rPr>
          <w:rFonts w:hint="eastAsia"/>
          <w:lang w:eastAsia="zh-CN"/>
        </w:rPr>
        <w:t>（</w:t>
      </w:r>
      <w:r>
        <w:rPr>
          <w:rFonts w:hint="eastAsia"/>
          <w:lang w:eastAsia="zh-CN"/>
        </w:rPr>
        <w:t>7</w:t>
      </w:r>
      <w:r>
        <w:rPr>
          <w:rFonts w:hint="eastAsia"/>
          <w:lang w:eastAsia="zh-CN"/>
        </w:rPr>
        <w:t>）供应商基本情况表</w:t>
      </w:r>
    </w:p>
    <w:p>
      <w:pPr>
        <w:ind w:firstLine="960" w:firstLineChars="400"/>
        <w:rPr>
          <w:lang w:eastAsia="zh-CN"/>
        </w:rPr>
      </w:pPr>
      <w:r>
        <w:rPr>
          <w:rFonts w:hint="eastAsia"/>
          <w:lang w:eastAsia="zh-CN"/>
        </w:rPr>
        <w:t>（</w:t>
      </w:r>
      <w:r>
        <w:rPr>
          <w:rFonts w:eastAsia="宋体" w:hint="eastAsia"/>
          <w:lang w:eastAsia="zh-CN"/>
        </w:rPr>
        <w:t>8</w:t>
      </w:r>
      <w:r>
        <w:rPr>
          <w:rFonts w:hint="eastAsia"/>
          <w:lang w:eastAsia="zh-CN"/>
        </w:rPr>
        <w:t>）投标文件签署授权委托书</w:t>
      </w:r>
    </w:p>
    <w:p>
      <w:pPr>
        <w:ind w:firstLine="960" w:firstLineChars="400"/>
        <w:rPr>
          <w:lang w:eastAsia="zh-CN"/>
        </w:rPr>
      </w:pPr>
      <w:r>
        <w:rPr>
          <w:rFonts w:hint="eastAsia"/>
          <w:lang w:eastAsia="zh-CN"/>
        </w:rPr>
        <w:t>（</w:t>
      </w:r>
      <w:r>
        <w:rPr>
          <w:rFonts w:eastAsia="宋体" w:hint="eastAsia"/>
          <w:lang w:eastAsia="zh-CN"/>
        </w:rPr>
        <w:t>9</w:t>
      </w:r>
      <w:r>
        <w:rPr>
          <w:rFonts w:hint="eastAsia"/>
          <w:lang w:eastAsia="zh-CN"/>
        </w:rPr>
        <w:t>）实质性条款响应情况表</w:t>
      </w:r>
    </w:p>
    <w:p>
      <w:pPr>
        <w:ind w:firstLine="960" w:firstLineChars="400"/>
        <w:rPr>
          <w:lang w:eastAsia="zh-CN"/>
        </w:rPr>
      </w:pPr>
      <w:r>
        <w:rPr>
          <w:rFonts w:hint="eastAsia"/>
          <w:lang w:eastAsia="zh-CN"/>
        </w:rPr>
        <w:t>（</w:t>
      </w:r>
      <w:r>
        <w:rPr>
          <w:rFonts w:eastAsia="宋体" w:hint="eastAsia"/>
          <w:lang w:eastAsia="zh-CN"/>
        </w:rPr>
        <w:t>10</w:t>
      </w:r>
      <w:r>
        <w:rPr>
          <w:rFonts w:hint="eastAsia"/>
          <w:lang w:eastAsia="zh-CN"/>
        </w:rPr>
        <w:t>）技术要求偏离表</w:t>
      </w:r>
    </w:p>
    <w:p>
      <w:pPr>
        <w:ind w:firstLine="960" w:firstLineChars="400"/>
        <w:rPr>
          <w:lang w:eastAsia="zh-CN"/>
        </w:rPr>
      </w:pPr>
      <w:r>
        <w:rPr>
          <w:rFonts w:hint="eastAsia"/>
          <w:lang w:eastAsia="zh-CN"/>
        </w:rPr>
        <w:t>（</w:t>
      </w:r>
      <w:r>
        <w:rPr>
          <w:rFonts w:eastAsia="宋体" w:hint="eastAsia"/>
          <w:lang w:eastAsia="zh-CN"/>
        </w:rPr>
        <w:t>11</w:t>
      </w:r>
      <w:r>
        <w:rPr>
          <w:rFonts w:hint="eastAsia"/>
          <w:lang w:eastAsia="zh-CN"/>
        </w:rPr>
        <w:t>）商务要求偏离表</w:t>
      </w:r>
    </w:p>
    <w:p>
      <w:pPr>
        <w:ind w:firstLine="960" w:firstLineChars="400"/>
        <w:rPr>
          <w:lang w:eastAsia="zh-CN"/>
        </w:rPr>
      </w:pPr>
      <w:r>
        <w:rPr>
          <w:rFonts w:hint="eastAsia"/>
          <w:lang w:eastAsia="zh-CN"/>
        </w:rPr>
        <w:t>（</w:t>
      </w:r>
      <w:r>
        <w:rPr>
          <w:rFonts w:eastAsia="宋体" w:hint="eastAsia"/>
          <w:lang w:eastAsia="zh-CN"/>
        </w:rPr>
        <w:t>12</w:t>
      </w:r>
      <w:r>
        <w:rPr>
          <w:rFonts w:hint="eastAsia"/>
          <w:lang w:eastAsia="zh-CN"/>
        </w:rPr>
        <w:t>）技术保障措施</w:t>
      </w:r>
    </w:p>
    <w:p>
      <w:pPr>
        <w:ind w:firstLine="960" w:firstLineChars="400"/>
        <w:rPr>
          <w:lang w:eastAsia="zh-CN"/>
        </w:rPr>
      </w:pPr>
      <w:r>
        <w:rPr>
          <w:rFonts w:hint="eastAsia"/>
          <w:lang w:eastAsia="zh-CN"/>
        </w:rPr>
        <w:t>（</w:t>
      </w:r>
      <w:r>
        <w:rPr>
          <w:rFonts w:eastAsia="宋体" w:hint="eastAsia"/>
          <w:lang w:eastAsia="zh-CN"/>
        </w:rPr>
        <w:t>13</w:t>
      </w:r>
      <w:r>
        <w:rPr>
          <w:rFonts w:hint="eastAsia"/>
          <w:lang w:eastAsia="zh-CN"/>
        </w:rPr>
        <w:t>）效果图</w:t>
      </w:r>
    </w:p>
    <w:p>
      <w:pPr>
        <w:ind w:firstLine="960" w:firstLineChars="400"/>
        <w:rPr>
          <w:rFonts w:hint="eastAsia"/>
          <w:lang w:eastAsia="zh-CN"/>
        </w:rPr>
      </w:pPr>
      <w:r>
        <w:rPr>
          <w:rFonts w:hint="eastAsia"/>
          <w:lang w:eastAsia="zh-CN"/>
        </w:rPr>
        <w:t>（14）售后服务评价</w:t>
      </w:r>
    </w:p>
    <w:p>
      <w:pPr>
        <w:ind w:firstLine="960" w:firstLineChars="400"/>
        <w:rPr>
          <w:rFonts w:hint="eastAsia"/>
          <w:lang w:eastAsia="zh-CN"/>
        </w:rPr>
      </w:pPr>
      <w:r>
        <w:rPr>
          <w:rFonts w:hint="eastAsia"/>
          <w:lang w:eastAsia="zh-CN"/>
        </w:rPr>
        <w:t>（</w:t>
      </w:r>
      <w:r>
        <w:rPr>
          <w:rFonts w:hint="eastAsia"/>
          <w:lang w:eastAsia="zh-CN"/>
        </w:rPr>
        <w:t>15</w:t>
      </w:r>
      <w:r>
        <w:rPr>
          <w:rFonts w:hint="eastAsia"/>
          <w:lang w:eastAsia="zh-CN"/>
        </w:rPr>
        <w:t>）样品</w:t>
      </w:r>
    </w:p>
    <w:p>
      <w:pPr>
        <w:ind w:firstLine="960" w:firstLineChars="400"/>
        <w:rPr>
          <w:rFonts w:hint="eastAsia"/>
          <w:lang w:eastAsia="zh-CN"/>
        </w:rPr>
      </w:pPr>
      <w:r>
        <w:rPr>
          <w:rFonts w:hint="eastAsia"/>
          <w:lang w:eastAsia="zh-CN"/>
        </w:rPr>
        <w:t>（</w:t>
      </w:r>
      <w:r>
        <w:rPr>
          <w:rFonts w:hint="eastAsia"/>
          <w:lang w:eastAsia="zh-CN"/>
        </w:rPr>
        <w:t>16</w:t>
      </w:r>
      <w:r>
        <w:rPr>
          <w:rFonts w:hint="eastAsia"/>
          <w:lang w:eastAsia="zh-CN"/>
        </w:rPr>
        <w:t>）同类项目业绩</w:t>
      </w:r>
    </w:p>
    <w:p>
      <w:pPr>
        <w:ind w:firstLine="960" w:firstLineChars="400"/>
        <w:rPr>
          <w:rFonts w:hint="eastAsia"/>
          <w:lang w:eastAsia="zh-CN"/>
        </w:rPr>
      </w:pPr>
      <w:r>
        <w:rPr>
          <w:rFonts w:hint="eastAsia"/>
          <w:lang w:eastAsia="zh-CN"/>
        </w:rPr>
        <w:t>（</w:t>
      </w:r>
      <w:r>
        <w:rPr>
          <w:rFonts w:hint="eastAsia"/>
          <w:lang w:eastAsia="zh-CN"/>
        </w:rPr>
        <w:t>17</w:t>
      </w:r>
      <w:r>
        <w:rPr>
          <w:rFonts w:hint="eastAsia"/>
          <w:lang w:eastAsia="zh-CN"/>
        </w:rPr>
        <w:t>）环保产品</w:t>
      </w:r>
    </w:p>
    <w:p>
      <w:pPr>
        <w:ind w:firstLine="960" w:firstLineChars="400"/>
        <w:rPr>
          <w:rFonts w:ascii="宋体" w:hAnsi="宋体" w:cs="宋体"/>
          <w:lang w:eastAsia="zh-CN"/>
        </w:rPr>
      </w:pPr>
      <w:r>
        <w:rPr>
          <w:rFonts w:hint="eastAsia"/>
          <w:lang w:eastAsia="zh-CN"/>
        </w:rPr>
        <w:t>（</w:t>
      </w:r>
      <w:r>
        <w:rPr>
          <w:rFonts w:eastAsia="宋体" w:hint="eastAsia"/>
          <w:lang w:eastAsia="zh-CN"/>
        </w:rPr>
        <w:t>1</w:t>
      </w:r>
      <w:r>
        <w:rPr>
          <w:rFonts w:eastAsia="宋体" w:hint="eastAsia"/>
          <w:lang w:eastAsia="zh-CN"/>
        </w:rPr>
        <w:t>8</w:t>
      </w:r>
      <w:r>
        <w:rPr>
          <w:rFonts w:hint="eastAsia"/>
          <w:lang w:eastAsia="zh-CN"/>
        </w:rPr>
        <w:t>）诚信承诺函</w:t>
      </w:r>
    </w:p>
    <w:p>
      <w:pPr>
        <w:ind w:firstLine="960" w:firstLineChars="400"/>
        <w:rPr>
          <w:lang w:eastAsia="zh-CN"/>
        </w:rPr>
      </w:pPr>
      <w:r>
        <w:rPr>
          <w:rFonts w:hint="eastAsia"/>
          <w:lang w:eastAsia="zh-CN"/>
        </w:rPr>
        <w:t>（</w:t>
      </w:r>
      <w:r>
        <w:rPr>
          <w:rFonts w:hint="eastAsia"/>
          <w:lang w:eastAsia="zh-CN"/>
        </w:rPr>
        <w:t>19</w:t>
      </w:r>
      <w:r>
        <w:rPr>
          <w:rFonts w:hint="eastAsia"/>
          <w:lang w:eastAsia="zh-CN"/>
        </w:rPr>
        <w:t>）投标人认为需要加以说明的其他内容</w:t>
      </w:r>
    </w:p>
    <w:bookmarkEnd w:id="20"/>
    <w:bookmarkEnd w:id="22"/>
    <w:p>
      <w:pPr>
        <w:widowControl w:val="0"/>
        <w:spacing w:line="320" w:lineRule="atLeast"/>
        <w:jc w:val="both"/>
        <w:rPr>
          <w:rFonts w:ascii="宋体" w:eastAsia="宋体" w:hAnsi="宋体" w:hint="eastAsia"/>
          <w:b/>
          <w:kern w:val="2"/>
          <w:lang w:eastAsia="zh-CN"/>
        </w:rPr>
      </w:pPr>
      <w:r>
        <w:rPr>
          <w:rFonts w:ascii="宋体" w:eastAsia="宋体" w:hAnsi="宋体" w:cstheme="minorBidi" w:hint="eastAsia"/>
          <w:b/>
          <w:kern w:val="2"/>
          <w:lang w:eastAsia="zh-CN"/>
        </w:rPr>
        <w:t>备注：</w:t>
      </w:r>
    </w:p>
    <w:p>
      <w:pPr>
        <w:widowControl w:val="0"/>
        <w:snapToGrid w:val="0"/>
        <w:spacing w:line="320" w:lineRule="atLeast"/>
        <w:ind w:firstLine="480" w:firstLineChars="200"/>
        <w:jc w:val="both"/>
        <w:rPr>
          <w:rFonts w:ascii="宋体" w:eastAsia="宋体" w:hAnsi="宋体" w:hint="eastAsia"/>
          <w:b/>
          <w:kern w:val="2"/>
          <w:lang w:eastAsia="zh-CN"/>
        </w:rPr>
      </w:pPr>
      <w:r>
        <w:rPr>
          <w:rFonts w:ascii="宋体" w:eastAsia="宋体" w:hAnsi="宋体" w:cstheme="minorBidi" w:hint="eastAsia"/>
          <w:b/>
          <w:kern w:val="2"/>
          <w:lang w:eastAsia="zh-CN"/>
        </w:rPr>
        <w:t>1.本项目为网上电子投标项目，投标文件不需法人或授权委托人另行签字，无需加盖单位公章，招标文件另有规定的除外。</w:t>
      </w:r>
    </w:p>
    <w:p>
      <w:pPr>
        <w:widowControl w:val="0"/>
        <w:snapToGrid w:val="0"/>
        <w:spacing w:after="60" w:afterLines="25"/>
        <w:ind w:firstLine="480" w:firstLineChars="200"/>
        <w:jc w:val="both"/>
        <w:rPr>
          <w:rFonts w:ascii="宋体" w:eastAsia="黑体" w:hAnsi="宋体" w:hint="eastAsia"/>
          <w:bCs/>
          <w:kern w:val="44"/>
          <w:sz w:val="32"/>
          <w:szCs w:val="32"/>
          <w:lang w:eastAsia="zh-CN"/>
        </w:rPr>
      </w:pPr>
      <w:bookmarkStart w:id="23" w:name="_Hlk72263559"/>
      <w:r>
        <w:rPr>
          <w:rFonts w:ascii="宋体" w:eastAsia="宋体" w:hAnsi="宋体" w:cstheme="minorBidi" w:hint="eastAsia"/>
          <w:b/>
          <w:kern w:val="2"/>
          <w:lang w:eastAsia="zh-CN"/>
        </w:rPr>
        <w:t>2.关于填写“开标一览表”的说明：“开标一览表”中除“投标总价”外，其他信息不作评审依据。</w:t>
      </w:r>
      <w:bookmarkEnd w:id="21"/>
      <w:bookmarkEnd w:id="23"/>
      <w:r>
        <w:rPr>
          <w:rFonts w:ascii="宋体" w:eastAsia="黑体" w:hAnsi="宋体"/>
          <w:bCs/>
          <w:kern w:val="44"/>
          <w:sz w:val="32"/>
          <w:szCs w:val="32"/>
          <w:lang w:eastAsia="zh-CN"/>
        </w:rPr>
        <w:br w:type="page"/>
      </w:r>
    </w:p>
    <w:p>
      <w:pPr>
        <w:keepNext/>
        <w:keepLines/>
        <w:widowControl w:val="0"/>
        <w:spacing w:before="120" w:after="120"/>
        <w:jc w:val="center"/>
        <w:outlineLvl w:val="2"/>
        <w:rPr>
          <w:rFonts w:ascii="黑体" w:eastAsia="黑体"/>
          <w:b/>
          <w:bCs/>
          <w:kern w:val="2"/>
          <w:sz w:val="30"/>
          <w:szCs w:val="22"/>
          <w:lang w:eastAsia="zh-CN"/>
        </w:rPr>
      </w:pPr>
      <w:r>
        <w:rPr>
          <w:rFonts w:ascii="黑体" w:eastAsia="黑体" w:hint="eastAsia"/>
          <w:b/>
          <w:bCs/>
          <w:kern w:val="2"/>
          <w:sz w:val="30"/>
          <w:szCs w:val="22"/>
          <w:lang w:eastAsia="zh-CN"/>
        </w:rPr>
        <w:t>一、投标函</w:t>
      </w:r>
    </w:p>
    <w:p>
      <w:pPr>
        <w:widowControl w:val="0"/>
        <w:spacing w:line="360" w:lineRule="auto"/>
        <w:jc w:val="both"/>
        <w:rPr>
          <w:rFonts w:ascii="宋体" w:eastAsia="宋体" w:hAnsi="宋体" w:hint="eastAsia"/>
          <w:kern w:val="2"/>
          <w:sz w:val="21"/>
          <w:szCs w:val="21"/>
          <w:lang w:eastAsia="zh-CN"/>
        </w:rPr>
      </w:pPr>
      <w:bookmarkStart w:id="24" w:name="_Hlk72257506"/>
      <w:r>
        <w:rPr>
          <w:rFonts w:ascii="宋体" w:eastAsia="宋体" w:hAnsi="宋体" w:cstheme="minorBidi" w:hint="eastAsia"/>
          <w:kern w:val="2"/>
          <w:sz w:val="21"/>
          <w:szCs w:val="21"/>
          <w:lang w:eastAsia="zh-CN"/>
        </w:rPr>
        <w:t>致：</w:t>
      </w:r>
      <w:r>
        <w:rPr>
          <w:rFonts w:ascii="宋体" w:eastAsia="宋体" w:hAnsi="宋体" w:cstheme="minorBidi" w:hint="eastAsia"/>
          <w:b/>
          <w:color w:val="000000"/>
          <w:kern w:val="2"/>
          <w:sz w:val="21"/>
          <w:szCs w:val="21"/>
          <w:u w:val="single"/>
          <w:lang w:eastAsia="zh-CN"/>
        </w:rPr>
        <w:t>深圳市千里招标代理有限公司</w:t>
      </w:r>
    </w:p>
    <w:p>
      <w:pPr>
        <w:widowControl w:val="0"/>
        <w:spacing w:line="360" w:lineRule="auto"/>
        <w:ind w:firstLine="420" w:firstLineChars="200"/>
        <w:jc w:val="both"/>
        <w:rPr>
          <w:rFonts w:ascii="宋体" w:eastAsia="宋体" w:hAnsi="宋体" w:hint="eastAsia"/>
          <w:kern w:val="2"/>
          <w:sz w:val="21"/>
          <w:szCs w:val="21"/>
          <w:lang w:eastAsia="zh-CN"/>
        </w:rPr>
      </w:pPr>
      <w:bookmarkStart w:id="25" w:name="_Hlk73818812"/>
      <w:r>
        <w:rPr>
          <w:rFonts w:ascii="Calibri" w:eastAsia="宋体" w:hAnsi="Calibri" w:cstheme="minorBidi" w:hint="eastAsia"/>
          <w:kern w:val="2"/>
          <w:sz w:val="21"/>
          <w:szCs w:val="21"/>
          <w:lang w:eastAsia="zh-CN"/>
        </w:rPr>
        <w:t>1、根据已收到贵单位的项目编号为LHAZXDL-2025-00685的</w:t>
      </w:r>
      <w:r>
        <w:rPr>
          <w:rFonts w:ascii="Calibri" w:eastAsia="宋体" w:hAnsi="Calibri" w:cstheme="minorBidi" w:hint="eastAsia"/>
          <w:kern w:val="2"/>
          <w:sz w:val="21"/>
          <w:szCs w:val="21"/>
          <w:u w:val="thick"/>
          <w:lang w:eastAsia="zh-CN"/>
        </w:rPr>
        <w:t>幼儿园家私采购</w:t>
      </w:r>
      <w:r>
        <w:rPr>
          <w:rFonts w:ascii="Calibri" w:eastAsia="宋体" w:hAnsi="Calibri" w:cstheme="minorBidi" w:hint="eastAsia"/>
          <w:kern w:val="2"/>
          <w:sz w:val="21"/>
          <w:szCs w:val="21"/>
          <w:lang w:eastAsia="zh-CN"/>
        </w:rPr>
        <w:t>项目的招标文件，遵照《深圳经济特区政府采购条例》和《深圳网上政府采购管理暂行办法》等有关规定，我单位经研究上述招标文件的专用条款及通用条款后，</w:t>
      </w:r>
      <w:bookmarkStart w:id="26" w:name="_Hlk72263588"/>
      <w:r>
        <w:rPr>
          <w:rFonts w:ascii="Calibri" w:eastAsia="宋体" w:hAnsi="Calibri" w:cstheme="minorBidi" w:hint="eastAsia"/>
          <w:kern w:val="2"/>
          <w:sz w:val="21"/>
          <w:szCs w:val="21"/>
          <w:lang w:eastAsia="zh-CN"/>
        </w:rPr>
        <w:t>愿意按照招标文件要求承包上述项目并修补其任何缺陷。</w:t>
      </w:r>
      <w:bookmarkEnd w:id="26"/>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kern w:val="2"/>
          <w:sz w:val="21"/>
          <w:szCs w:val="21"/>
          <w:lang w:eastAsia="zh-CN"/>
        </w:rPr>
        <w:t>2</w:t>
      </w:r>
      <w:r>
        <w:rPr>
          <w:rFonts w:ascii="宋体" w:eastAsia="宋体" w:hAnsi="宋体" w:cstheme="minorBidi" w:hint="eastAsia"/>
          <w:kern w:val="2"/>
          <w:sz w:val="21"/>
          <w:szCs w:val="21"/>
          <w:lang w:eastAsia="zh-CN"/>
        </w:rPr>
        <w:t>、</w:t>
      </w:r>
      <w:bookmarkStart w:id="27" w:name="_Hlk73819847"/>
      <w:r>
        <w:rPr>
          <w:rFonts w:ascii="宋体" w:eastAsia="宋体" w:hAnsi="宋体" w:cstheme="minorBidi" w:hint="eastAsia"/>
          <w:kern w:val="2"/>
          <w:sz w:val="21"/>
          <w:szCs w:val="21"/>
          <w:lang w:eastAsia="zh-CN"/>
        </w:rPr>
        <w:t>投标价格见</w:t>
      </w:r>
      <w:r>
        <w:rPr>
          <w:rFonts w:ascii="Calibri" w:eastAsia="宋体" w:hAnsi="Calibri" w:cstheme="minorBidi" w:hint="eastAsia"/>
          <w:kern w:val="2"/>
          <w:sz w:val="21"/>
          <w:szCs w:val="21"/>
          <w:lang w:eastAsia="zh-CN"/>
        </w:rPr>
        <w:t>投标书编制软件中《开标一览表》中填写的投标总价。</w:t>
      </w:r>
      <w:bookmarkEnd w:id="27"/>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3、如果我单位中标，我单位将按照招标文件的要求足额提交履约担保。</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4、我单位同意所递交的投标文件在“对通用条款的补充内容”中明确的投标有效期内有效，在此期间内我单位的投标有可能中标，我方将受此约束。</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5、除非另外达成协议并生效，贵单位的中标通知书和本投标文件将构成合同的重要内容。</w:t>
      </w:r>
    </w:p>
    <w:p>
      <w:pPr>
        <w:widowControl w:val="0"/>
        <w:spacing w:line="360" w:lineRule="auto"/>
        <w:ind w:left="480" w:left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6、我单位理解贵单位将不受必须接受所收到的最低报价或其它任何投标文件的约束。</w:t>
      </w:r>
      <w:bookmarkEnd w:id="25"/>
    </w:p>
    <w:p>
      <w:pPr>
        <w:widowControl w:val="0"/>
        <w:spacing w:line="360" w:lineRule="auto"/>
        <w:ind w:left="480" w:leftChars="200"/>
        <w:jc w:val="both"/>
        <w:rPr>
          <w:rFonts w:ascii="宋体" w:eastAsia="宋体" w:hAnsi="宋体" w:hint="eastAsia"/>
          <w:b/>
          <w:kern w:val="2"/>
          <w:sz w:val="21"/>
          <w:szCs w:val="21"/>
          <w:lang w:eastAsia="zh-CN"/>
        </w:rPr>
      </w:pPr>
      <w:r>
        <w:rPr>
          <w:rFonts w:ascii="宋体" w:eastAsia="宋体" w:hAnsi="宋体" w:cstheme="minorBidi" w:hint="eastAsia"/>
          <w:b/>
          <w:kern w:val="2"/>
          <w:sz w:val="21"/>
          <w:szCs w:val="21"/>
          <w:lang w:eastAsia="zh-CN"/>
        </w:rPr>
        <w:t>7</w:t>
      </w:r>
      <w:r>
        <w:rPr>
          <w:rFonts w:ascii="宋体" w:eastAsia="宋体" w:hAnsi="宋体" w:cstheme="minorBidi"/>
          <w:b/>
          <w:kern w:val="2"/>
          <w:sz w:val="21"/>
          <w:szCs w:val="21"/>
          <w:lang w:eastAsia="zh-CN"/>
        </w:rPr>
        <w:t>、如我单位提交样品，且未在规定时间内取回样品的，视同放弃取回，同意深圳市千里招标代理有限公司对我单位提交的样品进行清理。</w:t>
      </w:r>
    </w:p>
    <w:p>
      <w:pPr>
        <w:widowControl w:val="0"/>
        <w:spacing w:line="360" w:lineRule="auto"/>
        <w:ind w:left="480" w:firstLine="210" w:leftChars="200" w:firstLineChars="100"/>
        <w:jc w:val="both"/>
        <w:rPr>
          <w:rFonts w:ascii="Calibri" w:eastAsia="宋体" w:hAnsi="Calibri"/>
          <w:kern w:val="2"/>
          <w:sz w:val="21"/>
          <w:szCs w:val="21"/>
          <w:lang w:eastAsia="zh-CN"/>
        </w:rPr>
      </w:pPr>
    </w:p>
    <w:p>
      <w:pPr>
        <w:widowControl w:val="0"/>
        <w:spacing w:line="360" w:lineRule="auto"/>
        <w:ind w:left="480" w:firstLine="210" w:leftChars="200" w:firstLineChars="1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投标人：</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；单位地址：</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left="480" w:firstLine="210" w:leftChars="200" w:firstLineChars="1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法定代表人（负责人）或其授权委托代理人：</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left="480" w:firstLine="210" w:leftChars="200" w:firstLineChars="100"/>
        <w:jc w:val="both"/>
        <w:rPr>
          <w:rFonts w:ascii="Calibri" w:eastAsia="宋体" w:hAnsi="Calibri"/>
          <w:kern w:val="2"/>
          <w:sz w:val="21"/>
          <w:szCs w:val="21"/>
          <w:lang w:eastAsia="zh-CN"/>
        </w:rPr>
      </w:pPr>
      <w:r>
        <w:rPr>
          <w:rFonts w:eastAsia="宋体" w:hAnsi="Calibri" w:cstheme="minorBidi" w:hint="eastAsia"/>
          <w:kern w:val="2"/>
          <w:sz w:val="21"/>
          <w:szCs w:val="21"/>
          <w:lang w:eastAsia="zh-CN"/>
        </w:rPr>
        <w:t>开户银行名称：</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left="480" w:firstLine="210" w:leftChars="200" w:firstLineChars="100"/>
        <w:jc w:val="both"/>
        <w:rPr>
          <w:rFonts w:ascii="Calibri" w:eastAsia="宋体" w:hAnsi="Calibri"/>
          <w:kern w:val="2"/>
          <w:sz w:val="21"/>
          <w:szCs w:val="21"/>
          <w:lang w:eastAsia="zh-CN"/>
        </w:rPr>
      </w:pPr>
      <w:r>
        <w:rPr>
          <w:rFonts w:eastAsia="宋体" w:hAnsi="Calibri" w:cstheme="minorBidi" w:hint="eastAsia"/>
          <w:kern w:val="2"/>
          <w:sz w:val="21"/>
          <w:szCs w:val="21"/>
          <w:lang w:eastAsia="zh-CN"/>
        </w:rPr>
        <w:t>开户银行账号：</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left="480" w:firstLine="210" w:leftChars="200" w:firstLineChars="1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邮政编码：</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电话：</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传真：</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left="480" w:firstLine="210" w:leftChars="200" w:firstLineChars="100"/>
        <w:jc w:val="both"/>
        <w:rPr>
          <w:rFonts w:ascii="Calibri" w:eastAsia="宋体" w:hAnsi="Calibri"/>
          <w:kern w:val="2"/>
          <w:szCs w:val="22"/>
          <w:lang w:eastAsia="zh-CN"/>
        </w:rPr>
      </w:pPr>
      <w:r>
        <w:rPr>
          <w:rFonts w:ascii="宋体" w:eastAsia="宋体" w:hAnsi="宋体" w:cstheme="minorBidi" w:hint="eastAsia"/>
          <w:kern w:val="2"/>
          <w:sz w:val="21"/>
          <w:szCs w:val="21"/>
          <w:lang w:eastAsia="zh-CN"/>
        </w:rPr>
        <w:t>日期：</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年</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月</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日</w:t>
      </w: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p>
      <w:pPr>
        <w:widowControl w:val="0"/>
        <w:jc w:val="both"/>
        <w:rPr>
          <w:rFonts w:ascii="黑体" w:eastAsia="黑体" w:hAnsi="宋体" w:hint="eastAsia"/>
          <w:kern w:val="2"/>
          <w:sz w:val="21"/>
          <w:szCs w:val="22"/>
          <w:lang w:eastAsia="zh-CN"/>
        </w:rPr>
      </w:pPr>
    </w:p>
    <w:bookmarkEnd w:id="24"/>
    <w:p>
      <w:pPr>
        <w:keepNext/>
        <w:keepLines/>
        <w:widowControl w:val="0"/>
        <w:spacing w:before="120" w:after="120"/>
        <w:jc w:val="center"/>
        <w:outlineLvl w:val="2"/>
        <w:rPr>
          <w:rFonts w:ascii="黑体" w:eastAsia="黑体"/>
          <w:b/>
          <w:bCs/>
          <w:kern w:val="2"/>
          <w:sz w:val="30"/>
          <w:szCs w:val="22"/>
          <w:lang w:eastAsia="zh-CN"/>
        </w:rPr>
      </w:pPr>
      <w:r>
        <w:rPr>
          <w:rFonts w:ascii="黑体" w:eastAsia="黑体" w:hint="eastAsia"/>
          <w:b/>
          <w:bCs/>
          <w:kern w:val="2"/>
          <w:sz w:val="30"/>
          <w:szCs w:val="22"/>
          <w:lang w:eastAsia="zh-CN"/>
        </w:rPr>
        <w:t>二、龙华区教育局自行采购投标及履约承诺函</w:t>
      </w:r>
    </w:p>
    <w:p>
      <w:pPr>
        <w:widowControl w:val="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致：</w:t>
      </w:r>
      <w:r>
        <w:rPr>
          <w:rFonts w:ascii="宋体" w:eastAsia="宋体" w:hAnsi="宋体" w:cs="宋体" w:hint="eastAsia"/>
          <w:kern w:val="2"/>
          <w:sz w:val="21"/>
          <w:szCs w:val="21"/>
          <w:u w:val="single"/>
          <w:lang w:eastAsia="zh-CN"/>
        </w:rPr>
        <w:t>深圳市千里招标代理有限公司</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我单位承诺：</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1.我单位本招标项目所提供的货物或服务未侵犯知识产权。</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2.我单位参与本项目投标前三年内，在经营活动中没有重大违法记录。</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3.我单位参与本项目政府采购活动时不存在被有关部门禁止参与政府采购活动且在有效期内的情况。</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4.我单位具备《中华人民共和国政府采购法》第二十二条第一款规定的六项条件。</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5.我单位未被列入失信被执行人、重大税收违法案件当事人名单（税收违法黑名单）、政府采购严重违法失信行为记录名单。</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我单位严格遵守政府采购相关法律，投标做到诚实，不造假，不围标、串标、陪标，不存在编制、加密或上传标书的设备mac地址与其他投标人相同的情形。</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9.</w:t>
      </w:r>
      <w:r>
        <w:rPr>
          <w:rFonts w:ascii="宋体" w:eastAsia="宋体" w:hAnsi="宋体" w:cstheme="minorBidi" w:hint="eastAsia"/>
          <w:kern w:val="2"/>
          <w:sz w:val="21"/>
          <w:szCs w:val="21"/>
          <w:lang w:eastAsia="zh-CN"/>
        </w:rPr>
        <w:t>我单位承诺参与本项目非联合体投标，不选用进口产品参与投标，中标后项目不转包，未经采购人同意不进行分包。</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10.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11.我单位保证，若所投货物涉及《财政部生态环境部关于印发节能产品政府采购品目清单的通知》（财库〔2019〕19号）列明的政府采购强制产品，则所投该产品符合节能产品的认证要求，则所投该产品符合节能产品的认证要求。若所投产品包括数据中心相关设备的，应满足财政部《绿色数据中心政府采购需求标准（试行）》（财办库〔2023〕7号）要求。</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12.我单位承诺，为采购项目提供整体设计、规范编制或者项目管理、监理、检测等服务的供应商，不再参加该采购项目同一合同项下的其他采购活动。</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13.我单位承诺，符合《中华人民共和国政府采购法实施条例》第十八条第一款规定，不存在我单位与其他供应商的负责人为同一人或者存在直接控股、管理关系的情况。</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14.所投标（响应）的货物、工程或服务，不存在侵犯知识产权的情况；已知悉并同意中标（成交）结果信息公示（公开）的内容。</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15.本单位（公司）不存在《深圳市财政局政府采购供应商信用信息管理办法》（深财规</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2023〕3号）列明的严重违法失信行为：（一）供应商因违法经营受到刑事处罚或者责令停产停业、吊销许可证或者执照、较大数额罚款等行政处罚的；（二）供应商受到财政部门禁止参与政府采购活动行政处罚的（处罚期限届满的除外）；（三）供应商被列入失信被执行人名单的；（四）供应商被列入重大税收违法案件当事人名单的；（五）依法应予联合惩戒的其他严重失信行为。</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16.我单位自愿遵照龙华区教育系统自行采购的有关管理制度和规定，并自愿接受龙华区教育局和财政部门的有关监督。</w:t>
      </w:r>
    </w:p>
    <w:p>
      <w:pPr>
        <w:widowControl w:val="0"/>
        <w:ind w:firstLine="645"/>
        <w:jc w:val="both"/>
        <w:rPr>
          <w:rFonts w:ascii="宋体" w:eastAsia="宋体" w:hAnsi="宋体" w:cs="宋体" w:hint="eastAsia"/>
          <w:kern w:val="2"/>
          <w:sz w:val="21"/>
          <w:szCs w:val="21"/>
          <w:lang w:eastAsia="zh-CN"/>
        </w:rPr>
      </w:pPr>
      <w:r>
        <w:rPr>
          <w:rFonts w:ascii="宋体" w:eastAsia="宋体" w:hAnsi="宋体" w:cstheme="minorBidi" w:hint="eastAsia"/>
          <w:color w:val="FF0000"/>
          <w:sz w:val="21"/>
          <w:szCs w:val="22"/>
          <w:lang w:eastAsia="zh-CN"/>
        </w:rPr>
        <w:t>17.如果我单位中标，将依照本项目招标文件要求，在接到深圳市千里招标代理有限公司通知（包括但不限于电话、短信通知）后3个工作日内，缴纳招标代理服务费。</w:t>
      </w:r>
    </w:p>
    <w:p>
      <w:pPr>
        <w:widowControl w:val="0"/>
        <w:ind w:firstLine="645"/>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以上承诺，如有违反，采购单位或龙华区教育局或财政部门可暂停我方两年内参与龙华区教育系统自行采购和深圳政府采购智慧平台深圳政府采购自行采购系统的投标资格，并愿承担由此给采购人带来的损失。以上承诺，如有违反，愿依照国家相关法律法规处理。</w:t>
      </w:r>
    </w:p>
    <w:p>
      <w:pPr>
        <w:widowControl w:val="0"/>
        <w:spacing w:line="560" w:lineRule="exact"/>
        <w:jc w:val="both"/>
        <w:rPr>
          <w:rFonts w:ascii="宋体" w:eastAsia="宋体" w:hAnsi="宋体" w:cs="宋体" w:hint="eastAsia"/>
          <w:kern w:val="2"/>
          <w:sz w:val="18"/>
          <w:szCs w:val="18"/>
          <w:lang w:eastAsia="zh-CN"/>
        </w:rPr>
      </w:pPr>
    </w:p>
    <w:p>
      <w:pPr>
        <w:widowControl w:val="0"/>
        <w:spacing w:before="60" w:beforeLines="25" w:after="60" w:afterLines="25"/>
        <w:jc w:val="right"/>
        <w:rPr>
          <w:rFonts w:ascii="Calibri" w:eastAsia="宋体" w:hAnsi="Calibri"/>
          <w:kern w:val="2"/>
          <w:sz w:val="21"/>
          <w:szCs w:val="22"/>
          <w:lang w:eastAsia="zh-CN"/>
        </w:rPr>
      </w:pPr>
      <w:r>
        <w:rPr>
          <w:rFonts w:ascii="Calibri" w:eastAsia="宋体" w:hAnsi="Calibri" w:cstheme="minorBidi" w:hint="eastAsia"/>
          <w:kern w:val="2"/>
          <w:sz w:val="21"/>
          <w:szCs w:val="21"/>
          <w:lang w:eastAsia="zh-CN"/>
        </w:rPr>
        <w:t>投标人：</w:t>
      </w:r>
      <w:r>
        <w:rPr>
          <w:rFonts w:ascii="宋体" w:eastAsia="宋体" w:hAnsi="宋体" w:cstheme="minorBidi" w:hint="eastAsia"/>
          <w:kern w:val="2"/>
          <w:sz w:val="21"/>
          <w:szCs w:val="21"/>
          <w:u w:val="single"/>
          <w:lang w:eastAsia="zh-CN"/>
        </w:rPr>
        <w:t xml:space="preserve">                </w:t>
      </w:r>
      <w:r>
        <w:rPr>
          <w:rFonts w:ascii="Calibri" w:eastAsia="宋体" w:hAnsi="Calibri" w:cstheme="minorBidi" w:hint="eastAsia"/>
          <w:color w:val="FFFFFF"/>
          <w:kern w:val="2"/>
          <w:sz w:val="21"/>
          <w:szCs w:val="21"/>
          <w:u w:val="single"/>
          <w:lang w:eastAsia="zh-CN"/>
        </w:rPr>
        <w:t>.</w:t>
      </w:r>
    </w:p>
    <w:p>
      <w:pPr>
        <w:widowControl w:val="0"/>
        <w:ind w:firstLine="645"/>
        <w:jc w:val="right"/>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日期：</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年</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月</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日</w:t>
      </w:r>
    </w:p>
    <w:p>
      <w:pPr>
        <w:widowControl w:val="0"/>
        <w:jc w:val="both"/>
        <w:rPr>
          <w:rFonts w:ascii="宋体" w:eastAsia="宋体" w:hAnsi="宋体" w:cs="宋体" w:hint="eastAsia"/>
          <w:b/>
          <w:bCs/>
          <w:color w:val="FF0000"/>
          <w:kern w:val="2"/>
          <w:sz w:val="21"/>
          <w:szCs w:val="21"/>
          <w:lang w:eastAsia="zh-CN"/>
        </w:rPr>
      </w:pPr>
    </w:p>
    <w:p>
      <w:pPr>
        <w:widowControl w:val="0"/>
        <w:jc w:val="right"/>
        <w:rPr>
          <w:rFonts w:ascii="宋体" w:eastAsia="宋体" w:hAnsi="宋体" w:hint="eastAsia"/>
          <w:color w:val="FF0000"/>
          <w:kern w:val="2"/>
          <w:sz w:val="21"/>
          <w:szCs w:val="21"/>
          <w:lang w:eastAsia="zh-CN"/>
        </w:rPr>
      </w:pPr>
      <w:r>
        <w:rPr>
          <w:rFonts w:ascii="宋体" w:eastAsia="宋体" w:hAnsi="宋体" w:cs="宋体" w:hint="eastAsia"/>
          <w:b/>
          <w:bCs/>
          <w:color w:val="FF0000"/>
          <w:kern w:val="2"/>
          <w:sz w:val="21"/>
          <w:szCs w:val="21"/>
          <w:lang w:eastAsia="zh-CN"/>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val="0"/>
        <w:ind w:firstLine="645"/>
        <w:jc w:val="both"/>
        <w:rPr>
          <w:rFonts w:ascii="宋体" w:eastAsia="宋体" w:hAnsi="宋体" w:hint="eastAsia"/>
          <w:kern w:val="2"/>
          <w:sz w:val="21"/>
          <w:szCs w:val="21"/>
          <w:lang w:eastAsia="zh-CN"/>
        </w:rPr>
      </w:pPr>
    </w:p>
    <w:p>
      <w:pPr>
        <w:widowControl w:val="0"/>
        <w:jc w:val="both"/>
        <w:rPr>
          <w:rFonts w:ascii="宋体" w:eastAsia="宋体" w:hAnsi="Calibri"/>
          <w:b/>
          <w:kern w:val="2"/>
          <w:sz w:val="21"/>
          <w:szCs w:val="21"/>
          <w:lang w:eastAsia="zh-CN"/>
        </w:rPr>
      </w:pPr>
    </w:p>
    <w:p>
      <w:pPr>
        <w:widowControl w:val="0"/>
        <w:ind w:firstLine="480" w:firstLineChars="200"/>
        <w:jc w:val="center"/>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widowControl w:val="0"/>
        <w:spacing w:after="120"/>
        <w:ind w:left="480" w:firstLine="480" w:leftChars="200" w:firstLineChars="200"/>
        <w:jc w:val="both"/>
        <w:rPr>
          <w:rFonts w:ascii="Calibri" w:eastAsia="宋体" w:hAnsi="宋体" w:hint="eastAsia"/>
          <w:b/>
          <w:bCs/>
          <w:kern w:val="2"/>
          <w:szCs w:val="22"/>
          <w:lang w:eastAsia="zh-CN"/>
        </w:rPr>
      </w:pPr>
    </w:p>
    <w:p>
      <w:pPr>
        <w:keepNext/>
        <w:keepLines/>
        <w:widowControl w:val="0"/>
        <w:spacing w:before="260" w:after="260"/>
        <w:jc w:val="center"/>
        <w:outlineLvl w:val="2"/>
        <w:rPr>
          <w:rFonts w:ascii="黑体" w:eastAsia="黑体" w:hAnsi="宋体" w:hint="eastAsia"/>
          <w:b/>
          <w:kern w:val="2"/>
          <w:sz w:val="30"/>
          <w:szCs w:val="30"/>
          <w:lang w:eastAsia="zh-CN"/>
        </w:rPr>
      </w:pPr>
      <w:r>
        <w:rPr>
          <w:rFonts w:ascii="黑体" w:eastAsia="黑体" w:hAnsi="宋体" w:cstheme="minorBidi" w:hint="eastAsia"/>
          <w:b/>
          <w:kern w:val="2"/>
          <w:sz w:val="30"/>
          <w:szCs w:val="30"/>
          <w:lang w:eastAsia="zh-CN"/>
        </w:rPr>
        <w:t>三、投标人情况及资格证明文件</w:t>
      </w:r>
    </w:p>
    <w:p>
      <w:pPr>
        <w:widowControl w:val="0"/>
        <w:jc w:val="both"/>
        <w:rPr>
          <w:rFonts w:ascii="Calibri" w:eastAsia="宋体" w:hAnsi="Calibri"/>
          <w:b/>
          <w:bCs/>
          <w:kern w:val="2"/>
          <w:szCs w:val="22"/>
          <w:lang w:eastAsia="zh-CN"/>
        </w:rPr>
      </w:pPr>
    </w:p>
    <w:p>
      <w:pPr>
        <w:widowControl w:val="0"/>
        <w:ind w:firstLine="2640" w:firstLineChars="1100"/>
        <w:jc w:val="both"/>
        <w:outlineLvl w:val="3"/>
        <w:rPr>
          <w:rFonts w:ascii="黑体" w:eastAsia="黑体" w:hAnsi="宋体" w:hint="eastAsia"/>
          <w:bCs/>
          <w:szCs w:val="32"/>
          <w:lang w:eastAsia="zh-CN"/>
        </w:rPr>
      </w:pPr>
      <w:bookmarkStart w:id="28" w:name="_Hlk72257590"/>
      <w:r>
        <w:rPr>
          <w:rFonts w:ascii="黑体" w:eastAsia="黑体" w:hAnsi="宋体" w:cstheme="minorBidi" w:hint="eastAsia"/>
          <w:bCs/>
          <w:szCs w:val="32"/>
          <w:lang w:eastAsia="zh-CN"/>
        </w:rPr>
        <w:t>（一）投标人资格证明文件</w:t>
      </w:r>
    </w:p>
    <w:p>
      <w:pPr>
        <w:widowControl w:val="0"/>
        <w:spacing w:before="120" w:beforeLines="50"/>
        <w:ind w:firstLine="420" w:firstLineChars="200"/>
        <w:jc w:val="both"/>
        <w:rPr>
          <w:rFonts w:ascii="Calibri" w:eastAsia="宋体" w:hAnsi="Calibri"/>
          <w:b/>
          <w:bCs/>
          <w:color w:val="FF0000"/>
          <w:kern w:val="2"/>
          <w:sz w:val="21"/>
          <w:szCs w:val="22"/>
          <w:lang w:eastAsia="zh-CN"/>
        </w:rPr>
      </w:pPr>
      <w:r>
        <w:rPr>
          <w:rFonts w:ascii="Calibri" w:eastAsia="宋体" w:hAnsi="Calibri" w:cstheme="minorBidi" w:hint="eastAsia"/>
          <w:b/>
          <w:bCs/>
          <w:color w:val="FF0000"/>
          <w:kern w:val="2"/>
          <w:sz w:val="21"/>
          <w:szCs w:val="22"/>
          <w:lang w:eastAsia="zh-CN"/>
        </w:rPr>
        <w:t>（特别提示：投标人须按本招标文件第一册第一章招标公告“申请人的资格要求”（即投标人资格要求）提供相关的资格证明资料，未提供或提供不完整、不符合要求的，将作投标无效处理，其中要求提供《龙华区教育局自行采购投标及履约承诺函》且已在“二、龙华区教育局自行采购投标及履约承诺函”章节中提供了，此处可不重复提供。）</w:t>
      </w:r>
    </w:p>
    <w:p>
      <w:pPr>
        <w:widowControl w:val="0"/>
        <w:jc w:val="both"/>
        <w:rPr>
          <w:rFonts w:ascii="Calibri" w:eastAsia="宋体" w:hAnsi="Calibri"/>
          <w:b/>
          <w:bCs/>
          <w:kern w:val="2"/>
          <w:szCs w:val="22"/>
          <w:lang w:eastAsia="zh-CN"/>
        </w:rPr>
      </w:pPr>
    </w:p>
    <w:p>
      <w:pPr>
        <w:widowControl w:val="0"/>
        <w:ind w:firstLine="480" w:firstLineChars="200"/>
        <w:jc w:val="both"/>
        <w:outlineLvl w:val="3"/>
        <w:rPr>
          <w:rFonts w:ascii="黑体" w:eastAsia="黑体" w:hAnsi="宋体" w:hint="eastAsia"/>
          <w:bCs/>
          <w:szCs w:val="32"/>
          <w:lang w:eastAsia="zh-CN"/>
        </w:rPr>
      </w:pPr>
      <w:bookmarkStart w:id="29" w:name="_Hlk72257908"/>
      <w:r>
        <w:rPr>
          <w:rFonts w:ascii="黑体" w:eastAsia="黑体" w:hAnsi="宋体" w:cstheme="minorBidi" w:hint="eastAsia"/>
          <w:bCs/>
          <w:szCs w:val="32"/>
          <w:lang w:eastAsia="zh-CN"/>
        </w:rPr>
        <w:t>（二）中小企业声明函、残疾人福利性单位声明函及监狱企业声明函</w:t>
      </w:r>
    </w:p>
    <w:bookmarkEnd w:id="28"/>
    <w:p>
      <w:pPr>
        <w:widowControl w:val="0"/>
        <w:jc w:val="both"/>
        <w:rPr>
          <w:rFonts w:ascii="Calibri" w:eastAsia="宋体" w:hAnsi="Calibri"/>
          <w:sz w:val="21"/>
          <w:szCs w:val="22"/>
          <w:lang w:eastAsia="zh-CN"/>
        </w:rPr>
      </w:pPr>
      <w:r>
        <w:rPr>
          <w:rFonts w:ascii="Calibri" w:eastAsia="宋体" w:hAnsi="Calibri" w:cstheme="minorBidi" w:hint="eastAsia"/>
          <w:sz w:val="21"/>
          <w:szCs w:val="22"/>
          <w:lang w:eastAsia="zh-CN"/>
        </w:rPr>
        <w:t>填写指引：</w:t>
      </w:r>
    </w:p>
    <w:p>
      <w:pPr>
        <w:widowControl w:val="0"/>
        <w:jc w:val="both"/>
        <w:rPr>
          <w:rFonts w:ascii="Calibri" w:eastAsia="宋体" w:hAnsi="Calibri"/>
          <w:kern w:val="2"/>
          <w:sz w:val="21"/>
          <w:szCs w:val="22"/>
          <w:lang w:eastAsia="zh-CN"/>
        </w:rPr>
      </w:pPr>
      <w:r>
        <w:rPr>
          <w:rFonts w:ascii="Calibri" w:eastAsia="宋体" w:hAnsi="宋体" w:cstheme="minorBidi" w:hint="eastAsia"/>
          <w:bCs/>
          <w:sz w:val="21"/>
          <w:szCs w:val="22"/>
          <w:lang w:eastAsia="zh-CN"/>
        </w:rPr>
        <w:t>1、该部分内容由投标人根据自身实际情况填写，不符合要求的投标人可以不填写或直接删除相应的声明函。</w:t>
      </w:r>
      <w:r>
        <w:rPr>
          <w:rFonts w:ascii="Calibri" w:eastAsia="宋体" w:hAnsi="Calibri" w:cstheme="minorBidi" w:hint="eastAsia"/>
          <w:kern w:val="2"/>
          <w:sz w:val="21"/>
          <w:szCs w:val="22"/>
          <w:lang w:eastAsia="zh-CN"/>
        </w:rPr>
        <w:t>投标人提供的声明函不属实的，属于提供虚假资料谋取中标，依照《中华人民共和国政府采购法》等国家有关规定追究相应责任。</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2、该部分内容填写需要参考的相关文件：</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r>
        <w:rPr>
          <w:rFonts w:ascii="Calibri" w:eastAsia="宋体" w:hAnsi="Calibri" w:cstheme="minorBidi"/>
          <w:kern w:val="2"/>
          <w:sz w:val="21"/>
          <w:szCs w:val="22"/>
          <w:lang w:eastAsia="zh-CN"/>
        </w:rPr>
        <w:t>1</w:t>
      </w:r>
      <w:r>
        <w:rPr>
          <w:rFonts w:ascii="Calibri" w:eastAsia="宋体" w:hAnsi="Calibri" w:cstheme="minorBidi" w:hint="eastAsia"/>
          <w:kern w:val="2"/>
          <w:sz w:val="21"/>
          <w:szCs w:val="22"/>
          <w:lang w:eastAsia="zh-CN"/>
        </w:rPr>
        <w:t>)财政部《政府采购促进中小企业发展管理办法》（财库〔2020〕46号）；</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r>
        <w:rPr>
          <w:rFonts w:ascii="Calibri" w:eastAsia="宋体" w:hAnsi="Calibri" w:cstheme="minorBidi"/>
          <w:kern w:val="2"/>
          <w:sz w:val="21"/>
          <w:szCs w:val="22"/>
          <w:lang w:eastAsia="zh-CN"/>
        </w:rPr>
        <w:t>2</w:t>
      </w:r>
      <w:r>
        <w:rPr>
          <w:rFonts w:ascii="Calibri" w:eastAsia="宋体" w:hAnsi="Calibri" w:cstheme="minorBidi" w:hint="eastAsia"/>
          <w:kern w:val="2"/>
          <w:sz w:val="21"/>
          <w:szCs w:val="22"/>
          <w:lang w:eastAsia="zh-CN"/>
        </w:rPr>
        <w:t>)《工业和信息化部、国家统计局、国家发展和改革委员会、财政部关于印发中小企业划型标准规定的通知》（工信部联企业〔2011〕300号，以下简称3</w:t>
      </w:r>
      <w:r>
        <w:rPr>
          <w:rFonts w:ascii="Calibri" w:eastAsia="宋体" w:hAnsi="Calibri" w:cstheme="minorBidi"/>
          <w:kern w:val="2"/>
          <w:sz w:val="21"/>
          <w:szCs w:val="22"/>
          <w:lang w:eastAsia="zh-CN"/>
        </w:rPr>
        <w:t>00</w:t>
      </w:r>
      <w:r>
        <w:rPr>
          <w:rFonts w:ascii="Calibri" w:eastAsia="宋体" w:hAnsi="Calibri" w:cstheme="minorBidi" w:hint="eastAsia"/>
          <w:kern w:val="2"/>
          <w:sz w:val="21"/>
          <w:szCs w:val="22"/>
          <w:lang w:eastAsia="zh-CN"/>
        </w:rPr>
        <w:t>号文）；</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(3)《统计上大中小微型企业划分办法(2017)》（国统字〔2017〕213号）；</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(4)《关于促进残疾人就业政府采购政策的通知》（财库〔2017〕141号）；</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(5)《关于政府采购支持监狱企业发展有关问题的通知》（财库〔2014〕68号）</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3、请依照提供的格式和内容填写声明函，不要随意变更格式；声明函不需要盖章或签字；满足多项优惠政策的投标人，不重复享受多项价格扣除政策。</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4、声明函具体填写要求：</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（1）声明是中小企业须填写《中小企业声明函》的以下内容：</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第一处，在“单位名称”下划线处如实填写采购人名称（深圳市千里招标代理有限公司不是本项目的采购人，而是组织实施机构）；</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第二处，在“项目名称”下划线处如实填写采购项目名称；</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第四处，在“招标文件中明确的所属行业”下划线处填写采购标的对应的中小企业划分标准所属行业（所属行业可在招标文件第一册第二章“对通用条款的补充内容及其他关键信息”章节查看）；</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中小企业声明函》中制造商所属行业应当与招标文件要求的行业相一致，供应商如有疑问，可根据《国民经济行业分类》（GB/T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（2）声明是残疾人福利性单位须填写《残疾人福利性单位声明函》的相关内容，具体参照以上《中小企业声明函》填写要求执行。</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（3）声明是监狱企业须填写《监狱企业声明函》的三项内容（填写位置的字体已加粗），具体参照以上《中小企业声明函》填写要求执行。</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widowControl w:val="0"/>
        <w:ind w:firstLine="420" w:firstLineChars="200"/>
        <w:jc w:val="both"/>
        <w:rPr>
          <w:rFonts w:ascii="Calibri" w:eastAsia="宋体" w:hAnsi="Calibri"/>
          <w:kern w:val="2"/>
          <w:sz w:val="21"/>
          <w:szCs w:val="22"/>
          <w:lang w:eastAsia="zh-CN"/>
        </w:rPr>
      </w:pPr>
    </w:p>
    <w:p>
      <w:pPr>
        <w:widowControl w:val="0"/>
        <w:numPr>
          <w:ilvl w:val="0"/>
          <w:numId w:val="5"/>
        </w:numPr>
        <w:jc w:val="center"/>
        <w:outlineLvl w:val="3"/>
        <w:rPr>
          <w:rFonts w:ascii="Calibri" w:eastAsia="宋体" w:hAnsi="Calibri"/>
          <w:b/>
          <w:kern w:val="2"/>
          <w:szCs w:val="22"/>
          <w:lang w:eastAsia="zh-CN"/>
        </w:rPr>
      </w:pPr>
      <w:r>
        <w:rPr>
          <w:rFonts w:ascii="Calibri" w:eastAsia="宋体" w:hAnsi="Calibri" w:cstheme="minorBidi"/>
          <w:b/>
          <w:kern w:val="2"/>
          <w:szCs w:val="22"/>
          <w:lang w:eastAsia="zh-CN"/>
        </w:rPr>
        <w:t>中小企业声明函（货物）</w:t>
      </w:r>
    </w:p>
    <w:p>
      <w:pPr>
        <w:widowControl w:val="0"/>
        <w:spacing w:line="360" w:lineRule="auto"/>
        <w:jc w:val="both"/>
        <w:rPr>
          <w:rFonts w:ascii="Calibri" w:eastAsia="宋体" w:hAnsi="Calibri"/>
          <w:b/>
          <w:bCs/>
          <w:kern w:val="2"/>
          <w:szCs w:val="22"/>
          <w:lang w:eastAsia="zh-CN"/>
        </w:rPr>
      </w:pP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本公司（联合体）郑重声明，根据《政府采购促进中小企业发展管理办法》（财库﹝2020﹞46号）的规定，本公司（联合体）参加</w:t>
      </w:r>
      <w:r>
        <w:rPr>
          <w:rFonts w:ascii="宋体" w:eastAsia="宋体" w:hAnsi="宋体" w:cs="宋体" w:hint="eastAsia"/>
          <w:b/>
          <w:bCs/>
          <w:i/>
          <w:iCs/>
          <w:kern w:val="2"/>
          <w:sz w:val="21"/>
          <w:szCs w:val="21"/>
          <w:u w:val="single"/>
          <w:lang w:eastAsia="zh-CN"/>
        </w:rPr>
        <w:t>（单位名称）</w:t>
      </w:r>
      <w:r>
        <w:rPr>
          <w:rFonts w:ascii="宋体" w:eastAsia="宋体" w:hAnsi="宋体" w:cs="宋体" w:hint="eastAsia"/>
          <w:kern w:val="2"/>
          <w:sz w:val="21"/>
          <w:szCs w:val="21"/>
          <w:lang w:eastAsia="zh-CN"/>
        </w:rPr>
        <w:t>的</w:t>
      </w:r>
      <w:r>
        <w:rPr>
          <w:rFonts w:ascii="宋体" w:eastAsia="宋体" w:hAnsi="宋体" w:cs="宋体" w:hint="eastAsia"/>
          <w:b/>
          <w:bCs/>
          <w:i/>
          <w:iCs/>
          <w:kern w:val="2"/>
          <w:sz w:val="21"/>
          <w:szCs w:val="21"/>
          <w:u w:val="single"/>
          <w:lang w:eastAsia="zh-CN"/>
        </w:rPr>
        <w:t>（项目名称）</w:t>
      </w:r>
      <w:r>
        <w:rPr>
          <w:rFonts w:ascii="宋体" w:eastAsia="宋体" w:hAnsi="宋体" w:cs="宋体" w:hint="eastAsia"/>
          <w:kern w:val="2"/>
          <w:sz w:val="21"/>
          <w:szCs w:val="21"/>
          <w:lang w:eastAsia="zh-CN"/>
        </w:rPr>
        <w:t>采购活动，提供的货物全部由符合政策要求的中小企业制造。相关企业（含联合体中的中小企业、签订分包意向协议的中小企业）的具体情况如下：</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1.</w:t>
      </w:r>
      <w:r>
        <w:rPr>
          <w:rFonts w:ascii="宋体" w:eastAsia="宋体" w:hAnsi="宋体" w:cs="宋体" w:hint="eastAsia"/>
          <w:b/>
          <w:bCs/>
          <w:i/>
          <w:iCs/>
          <w:kern w:val="2"/>
          <w:sz w:val="21"/>
          <w:szCs w:val="21"/>
          <w:u w:val="single"/>
          <w:lang w:eastAsia="zh-CN"/>
        </w:rPr>
        <w:t>（标的名称）</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（工业）</w:t>
      </w:r>
      <w:r>
        <w:rPr>
          <w:rFonts w:ascii="宋体" w:eastAsia="宋体" w:hAnsi="宋体" w:cs="宋体" w:hint="eastAsia"/>
          <w:kern w:val="2"/>
          <w:sz w:val="21"/>
          <w:szCs w:val="21"/>
          <w:lang w:eastAsia="zh-CN"/>
        </w:rPr>
        <w:t>行业；</w:t>
      </w:r>
      <w:r>
        <w:rPr>
          <w:rFonts w:ascii="宋体" w:eastAsia="宋体" w:hAnsi="宋体" w:cs="宋体" w:hint="eastAsia"/>
          <w:b/>
          <w:kern w:val="2"/>
          <w:sz w:val="21"/>
          <w:szCs w:val="21"/>
          <w:lang w:eastAsia="zh-CN"/>
        </w:rPr>
        <w:t>制造商</w:t>
      </w:r>
      <w:r>
        <w:rPr>
          <w:rFonts w:ascii="宋体" w:eastAsia="宋体" w:hAnsi="宋体" w:cs="宋体" w:hint="eastAsia"/>
          <w:kern w:val="2"/>
          <w:sz w:val="21"/>
          <w:szCs w:val="21"/>
          <w:lang w:eastAsia="zh-CN"/>
        </w:rPr>
        <w:t>为</w:t>
      </w:r>
      <w:r>
        <w:rPr>
          <w:rFonts w:ascii="宋体" w:eastAsia="宋体" w:hAnsi="宋体" w:cs="宋体" w:hint="eastAsia"/>
          <w:b/>
          <w:bCs/>
          <w:i/>
          <w:iCs/>
          <w:kern w:val="2"/>
          <w:sz w:val="21"/>
          <w:szCs w:val="21"/>
          <w:u w:val="single"/>
          <w:lang w:eastAsia="zh-CN"/>
        </w:rPr>
        <w:t>（企业名称，要求制造商本身所属行业应当与招标文件要求的行业相一致）</w:t>
      </w:r>
      <w:r>
        <w:rPr>
          <w:rFonts w:ascii="宋体" w:eastAsia="宋体" w:hAnsi="宋体" w:cs="宋体" w:hint="eastAsia"/>
          <w:kern w:val="2"/>
          <w:sz w:val="21"/>
          <w:szCs w:val="21"/>
          <w:lang w:eastAsia="zh-CN"/>
        </w:rPr>
        <w:t>，从业人员人，营业收入为万元，资产总额为万元，属于</w:t>
      </w:r>
      <w:r>
        <w:rPr>
          <w:rFonts w:ascii="宋体" w:eastAsia="宋体" w:hAnsi="宋体" w:cs="宋体" w:hint="eastAsia"/>
          <w:b/>
          <w:bCs/>
          <w:i/>
          <w:iCs/>
          <w:kern w:val="2"/>
          <w:sz w:val="21"/>
          <w:szCs w:val="21"/>
          <w:u w:val="single"/>
          <w:lang w:eastAsia="zh-CN"/>
        </w:rPr>
        <w:t>（中型企业、小型企业、微型企业）</w:t>
      </w:r>
      <w:r>
        <w:rPr>
          <w:rFonts w:ascii="宋体" w:eastAsia="宋体" w:hAnsi="宋体" w:cs="宋体" w:hint="eastAsia"/>
          <w:kern w:val="2"/>
          <w:sz w:val="21"/>
          <w:szCs w:val="21"/>
          <w:lang w:eastAsia="zh-CN"/>
        </w:rPr>
        <w:t>；</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2.</w:t>
      </w:r>
      <w:r>
        <w:rPr>
          <w:rFonts w:ascii="宋体" w:eastAsia="宋体" w:hAnsi="宋体" w:cs="宋体" w:hint="eastAsia"/>
          <w:b/>
          <w:bCs/>
          <w:i/>
          <w:iCs/>
          <w:kern w:val="2"/>
          <w:sz w:val="21"/>
          <w:szCs w:val="21"/>
          <w:u w:val="single"/>
          <w:lang w:eastAsia="zh-CN"/>
        </w:rPr>
        <w:t>（标的名称）</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（工业）</w:t>
      </w:r>
      <w:r>
        <w:rPr>
          <w:rFonts w:ascii="宋体" w:eastAsia="宋体" w:hAnsi="宋体" w:cs="宋体" w:hint="eastAsia"/>
          <w:kern w:val="2"/>
          <w:sz w:val="21"/>
          <w:szCs w:val="21"/>
          <w:lang w:eastAsia="zh-CN"/>
        </w:rPr>
        <w:t>行业；</w:t>
      </w:r>
      <w:r>
        <w:rPr>
          <w:rFonts w:ascii="宋体" w:eastAsia="宋体" w:hAnsi="宋体" w:cs="宋体" w:hint="eastAsia"/>
          <w:b/>
          <w:kern w:val="2"/>
          <w:sz w:val="21"/>
          <w:szCs w:val="21"/>
          <w:lang w:eastAsia="zh-CN"/>
        </w:rPr>
        <w:t>制造商</w:t>
      </w:r>
      <w:r>
        <w:rPr>
          <w:rFonts w:ascii="宋体" w:eastAsia="宋体" w:hAnsi="宋体" w:cs="宋体" w:hint="eastAsia"/>
          <w:kern w:val="2"/>
          <w:sz w:val="21"/>
          <w:szCs w:val="21"/>
          <w:lang w:eastAsia="zh-CN"/>
        </w:rPr>
        <w:t>为</w:t>
      </w:r>
      <w:r>
        <w:rPr>
          <w:rFonts w:ascii="宋体" w:eastAsia="宋体" w:hAnsi="宋体" w:cs="宋体" w:hint="eastAsia"/>
          <w:b/>
          <w:bCs/>
          <w:i/>
          <w:iCs/>
          <w:kern w:val="2"/>
          <w:sz w:val="21"/>
          <w:szCs w:val="21"/>
          <w:u w:val="single"/>
          <w:lang w:eastAsia="zh-CN"/>
        </w:rPr>
        <w:t>（企业名称，要求制造商本身所属行业应当与招标文件要求的行业相一致）</w:t>
      </w:r>
      <w:r>
        <w:rPr>
          <w:rFonts w:ascii="宋体" w:eastAsia="宋体" w:hAnsi="宋体" w:cs="宋体" w:hint="eastAsia"/>
          <w:kern w:val="2"/>
          <w:sz w:val="21"/>
          <w:szCs w:val="21"/>
          <w:lang w:eastAsia="zh-CN"/>
        </w:rPr>
        <w:t>，从业人员人，营业收入为万元，资产总额为万元，属于</w:t>
      </w:r>
      <w:r>
        <w:rPr>
          <w:rFonts w:ascii="宋体" w:eastAsia="宋体" w:hAnsi="宋体" w:cs="宋体" w:hint="eastAsia"/>
          <w:b/>
          <w:bCs/>
          <w:i/>
          <w:iCs/>
          <w:kern w:val="2"/>
          <w:sz w:val="21"/>
          <w:szCs w:val="21"/>
          <w:u w:val="single"/>
          <w:lang w:eastAsia="zh-CN"/>
        </w:rPr>
        <w:t>（中型企业、小型企业、微型企业）</w:t>
      </w:r>
      <w:r>
        <w:rPr>
          <w:rFonts w:ascii="宋体" w:eastAsia="宋体" w:hAnsi="宋体" w:cs="宋体" w:hint="eastAsia"/>
          <w:kern w:val="2"/>
          <w:sz w:val="21"/>
          <w:szCs w:val="21"/>
          <w:lang w:eastAsia="zh-CN"/>
        </w:rPr>
        <w:t>；</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以上企业，不属于大企业的分支机构，不存在控股股东为大企业的情形，也不存在与大企业的负责人为同一人的情形。</w:t>
      </w:r>
    </w:p>
    <w:p>
      <w:pPr>
        <w:widowControl w:val="0"/>
        <w:spacing w:line="360" w:lineRule="auto"/>
        <w:ind w:firstLine="420" w:firstLineChars="200"/>
        <w:jc w:val="both"/>
        <w:rPr>
          <w:rFonts w:ascii="宋体" w:eastAsia="宋体" w:hAnsi="宋体" w:cs="宋体" w:hint="eastAsia"/>
          <w:kern w:val="2"/>
          <w:sz w:val="21"/>
          <w:szCs w:val="21"/>
          <w:lang w:eastAsia="zh-CN"/>
        </w:rPr>
      </w:pPr>
      <w:bookmarkStart w:id="30" w:name="_Hlk73562203"/>
      <w:r>
        <w:rPr>
          <w:rFonts w:ascii="Calibri" w:eastAsia="宋体" w:hAnsi="Calibri" w:cstheme="minorBidi" w:hint="eastAsia"/>
          <w:color w:val="FF0000"/>
          <w:kern w:val="2"/>
          <w:sz w:val="21"/>
          <w:szCs w:val="22"/>
          <w:lang w:eastAsia="zh-CN"/>
        </w:rPr>
        <w:t>本项目所属行业：工业；</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本投标人对上述声明内容的真实性负责。如有虚假，将依法承担相应责任。</w:t>
      </w:r>
    </w:p>
    <w:p>
      <w:pPr>
        <w:widowControl w:val="0"/>
        <w:spacing w:line="360" w:lineRule="auto"/>
        <w:ind w:firstLine="420" w:firstLineChars="200"/>
        <w:jc w:val="both"/>
        <w:rPr>
          <w:rFonts w:eastAsia="宋体"/>
          <w:kern w:val="2"/>
          <w:lang w:eastAsia="zh-CN"/>
        </w:rPr>
      </w:pPr>
      <w:r>
        <w:rPr>
          <w:rFonts w:ascii="宋体" w:eastAsia="宋体" w:hAnsi="宋体" w:cs="宋体" w:hint="eastAsia"/>
          <w:kern w:val="2"/>
          <w:sz w:val="21"/>
          <w:szCs w:val="21"/>
          <w:lang w:eastAsia="zh-CN"/>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号）第二十条规定，投标人按照本办法规定提供声明函内容不实的，属于提供虚假材料谋取中标，依照《政府采购法》等政府采购有关法律法规规定追究相应责任。</w:t>
      </w:r>
      <w:bookmarkEnd w:id="30"/>
    </w:p>
    <w:p>
      <w:pPr>
        <w:widowControl w:val="0"/>
        <w:jc w:val="center"/>
        <w:outlineLvl w:val="3"/>
        <w:rPr>
          <w:rFonts w:ascii="Calibri" w:eastAsia="宋体" w:hAnsi="Calibri"/>
          <w:b/>
          <w:kern w:val="2"/>
          <w:szCs w:val="22"/>
          <w:lang w:eastAsia="zh-CN"/>
        </w:rPr>
      </w:pPr>
      <w:r>
        <w:rPr>
          <w:rFonts w:ascii="Calibri" w:eastAsia="宋体" w:hAnsi="Calibri" w:cstheme="minorBidi" w:hint="eastAsia"/>
          <w:b/>
          <w:kern w:val="2"/>
          <w:szCs w:val="22"/>
          <w:lang w:eastAsia="zh-CN"/>
        </w:rPr>
        <w:t>2、残疾人福利性单位声明函（货物类）</w:t>
      </w:r>
    </w:p>
    <w:p>
      <w:pPr>
        <w:widowControl w:val="0"/>
        <w:jc w:val="both"/>
        <w:rPr>
          <w:rFonts w:ascii="Calibri" w:eastAsia="宋体" w:hAnsi="Calibri"/>
          <w:b/>
          <w:bCs/>
          <w:kern w:val="2"/>
          <w:sz w:val="21"/>
          <w:szCs w:val="22"/>
          <w:lang w:eastAsia="zh-CN"/>
        </w:rPr>
      </w:pPr>
    </w:p>
    <w:p>
      <w:pPr>
        <w:widowControl w:val="0"/>
        <w:spacing w:line="360" w:lineRule="auto"/>
        <w:ind w:firstLine="420" w:firstLineChars="200"/>
        <w:jc w:val="both"/>
        <w:rPr>
          <w:rFonts w:ascii="宋体" w:eastAsia="宋体" w:hAnsi="宋体" w:cs="宋体" w:hint="eastAsia"/>
          <w:kern w:val="2"/>
          <w:sz w:val="21"/>
          <w:szCs w:val="21"/>
          <w:lang w:eastAsia="zh-CN"/>
        </w:rPr>
      </w:pPr>
      <w:bookmarkStart w:id="31" w:name="_Hlk73562331"/>
      <w:bookmarkStart w:id="32" w:name="_Hlk73562245"/>
      <w:r>
        <w:rPr>
          <w:rFonts w:ascii="宋体" w:eastAsia="宋体" w:hAnsi="宋体" w:cs="宋体" w:hint="eastAsia"/>
          <w:kern w:val="2"/>
          <w:sz w:val="21"/>
          <w:szCs w:val="21"/>
          <w:lang w:eastAsia="zh-CN"/>
        </w:rPr>
        <w:t>本单位郑重声明，根据《财政部民政部中国残疾人联合会关于促进残疾人就业政府采购政策的通知》（财库〔2017〕141号）的规定，本单位为符合条件的残疾人福利性单位，且本单位参加</w:t>
      </w:r>
      <w:r>
        <w:rPr>
          <w:rFonts w:ascii="宋体" w:eastAsia="宋体" w:hAnsi="宋体" w:cs="宋体" w:hint="eastAsia"/>
          <w:b/>
          <w:bCs/>
          <w:i/>
          <w:iCs/>
          <w:kern w:val="2"/>
          <w:sz w:val="21"/>
          <w:szCs w:val="21"/>
          <w:u w:val="single"/>
          <w:lang w:eastAsia="zh-CN"/>
        </w:rPr>
        <w:t>（单位名称）</w:t>
      </w:r>
      <w:r>
        <w:rPr>
          <w:rFonts w:ascii="宋体" w:eastAsia="宋体" w:hAnsi="宋体" w:cs="宋体" w:hint="eastAsia"/>
          <w:kern w:val="2"/>
          <w:sz w:val="21"/>
          <w:szCs w:val="21"/>
          <w:lang w:eastAsia="zh-CN"/>
        </w:rPr>
        <w:t>单位的</w:t>
      </w:r>
      <w:r>
        <w:rPr>
          <w:rFonts w:ascii="宋体" w:eastAsia="宋体" w:hAnsi="宋体" w:cs="宋体" w:hint="eastAsia"/>
          <w:b/>
          <w:bCs/>
          <w:i/>
          <w:iCs/>
          <w:kern w:val="2"/>
          <w:sz w:val="21"/>
          <w:szCs w:val="21"/>
          <w:u w:val="single"/>
          <w:lang w:eastAsia="zh-CN"/>
        </w:rPr>
        <w:t>（项目名称）</w:t>
      </w:r>
      <w:r>
        <w:rPr>
          <w:rFonts w:ascii="宋体" w:eastAsia="宋体" w:hAnsi="宋体" w:cs="宋体" w:hint="eastAsia"/>
          <w:kern w:val="2"/>
          <w:sz w:val="21"/>
          <w:szCs w:val="21"/>
          <w:lang w:eastAsia="zh-CN"/>
        </w:rPr>
        <w:t>项目采购活动提供本单位制造的货物（由本单位承担工程/提供服务），或者提供其他残疾人福利性单位制造的货物（不包括使用非残疾人福利性单位注册商标的货物）。</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本单位对上述声明的真实性负责。如有虚假，将依法承担相应责任。</w:t>
      </w:r>
    </w:p>
    <w:p>
      <w:pPr>
        <w:widowControl w:val="0"/>
        <w:spacing w:line="360" w:lineRule="auto"/>
        <w:ind w:firstLine="420" w:firstLineChars="200"/>
        <w:jc w:val="both"/>
        <w:rPr>
          <w:rFonts w:ascii="宋体" w:eastAsia="宋体" w:hAnsi="宋体" w:cs="宋体" w:hint="eastAsia"/>
          <w:kern w:val="2"/>
          <w:sz w:val="21"/>
          <w:szCs w:val="21"/>
          <w:lang w:eastAsia="zh-CN"/>
        </w:rPr>
      </w:pPr>
      <w:r>
        <w:rPr>
          <w:rFonts w:ascii="宋体" w:eastAsia="宋体" w:hAnsi="宋体" w:cs="宋体" w:hint="eastAsia"/>
          <w:kern w:val="2"/>
          <w:sz w:val="21"/>
          <w:szCs w:val="21"/>
          <w:lang w:eastAsia="zh-CN"/>
        </w:rPr>
        <w:t>本投标人已知悉《财政部民政部中国残疾人联合会关于促进残疾人就业政府采购政策的通知》（财库〔2017〕141号）的规定，承诺提供的声明函内容是真实的，如提供声明函内容不实，则依法追究相关法律责任。</w:t>
      </w:r>
      <w:bookmarkEnd w:id="31"/>
    </w:p>
    <w:bookmarkEnd w:id="32"/>
    <w:p>
      <w:pPr>
        <w:widowControl w:val="0"/>
        <w:ind w:firstLine="420" w:firstLineChars="200"/>
        <w:jc w:val="both"/>
        <w:rPr>
          <w:rFonts w:ascii="宋体" w:eastAsia="宋体" w:hAnsi="宋体" w:hint="eastAsia"/>
          <w:kern w:val="2"/>
          <w:sz w:val="21"/>
          <w:szCs w:val="21"/>
          <w:lang w:eastAsia="zh-CN"/>
        </w:rPr>
      </w:pPr>
    </w:p>
    <w:p>
      <w:pPr>
        <w:widowControl w:val="0"/>
        <w:ind w:firstLine="420" w:firstLineChars="200"/>
        <w:jc w:val="both"/>
        <w:rPr>
          <w:rFonts w:ascii="宋体" w:eastAsia="宋体" w:hAnsi="宋体" w:hint="eastAsia"/>
          <w:kern w:val="2"/>
          <w:sz w:val="21"/>
          <w:szCs w:val="21"/>
          <w:lang w:eastAsia="zh-CN"/>
        </w:rPr>
      </w:pPr>
    </w:p>
    <w:p>
      <w:pPr>
        <w:widowControl w:val="0"/>
        <w:jc w:val="center"/>
        <w:outlineLvl w:val="3"/>
        <w:rPr>
          <w:rFonts w:ascii="Calibri" w:eastAsia="宋体" w:hAnsi="Calibri"/>
          <w:b/>
          <w:kern w:val="2"/>
          <w:szCs w:val="22"/>
          <w:lang w:eastAsia="zh-CN"/>
        </w:rPr>
      </w:pPr>
      <w:r>
        <w:rPr>
          <w:rFonts w:ascii="Calibri" w:eastAsia="宋体" w:hAnsi="Calibri" w:cstheme="minorBidi" w:hint="eastAsia"/>
          <w:b/>
          <w:kern w:val="2"/>
          <w:szCs w:val="22"/>
          <w:lang w:eastAsia="zh-CN"/>
        </w:rPr>
        <w:t>3、监狱企业声明函【货物类，提供监狱企业货物的供应商如需享受优惠政策，还须另行提供省级以上监狱管理局、戒毒管理局（含新疆生产建设兵团）出具的监狱企业证明文件】</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本投标人郑重声明，根据《财政部司法部关于政府采购支持监狱企业发展有关问题的通知》（财库〔</w:t>
      </w:r>
      <w:r>
        <w:rPr>
          <w:rFonts w:ascii="宋体" w:eastAsia="宋体" w:hAnsi="宋体" w:cstheme="minorBidi"/>
          <w:kern w:val="2"/>
          <w:sz w:val="21"/>
          <w:szCs w:val="21"/>
          <w:lang w:eastAsia="zh-CN"/>
        </w:rPr>
        <w:t>2014</w:t>
      </w:r>
      <w:r>
        <w:rPr>
          <w:rFonts w:ascii="宋体" w:eastAsia="宋体" w:hAnsi="宋体" w:cstheme="minorBidi" w:hint="eastAsia"/>
          <w:kern w:val="2"/>
          <w:sz w:val="21"/>
          <w:szCs w:val="21"/>
          <w:lang w:eastAsia="zh-CN"/>
        </w:rPr>
        <w:t>〕</w:t>
      </w:r>
      <w:r>
        <w:rPr>
          <w:rFonts w:ascii="宋体" w:eastAsia="宋体" w:hAnsi="宋体" w:cstheme="minorBidi"/>
          <w:kern w:val="2"/>
          <w:sz w:val="21"/>
          <w:szCs w:val="21"/>
          <w:lang w:eastAsia="zh-CN"/>
        </w:rPr>
        <w:t>68</w:t>
      </w:r>
      <w:r>
        <w:rPr>
          <w:rFonts w:ascii="宋体" w:eastAsia="宋体" w:hAnsi="宋体" w:cstheme="minorBidi" w:hint="eastAsia"/>
          <w:kern w:val="2"/>
          <w:sz w:val="21"/>
          <w:szCs w:val="21"/>
          <w:lang w:eastAsia="zh-CN"/>
        </w:rPr>
        <w:t>号）的规定，本投标人</w:t>
      </w:r>
      <w:r>
        <w:rPr>
          <w:rFonts w:ascii="宋体" w:eastAsia="宋体" w:hAnsi="宋体" w:cstheme="minorBidi"/>
          <w:kern w:val="2"/>
          <w:sz w:val="21"/>
          <w:szCs w:val="21"/>
          <w:lang w:eastAsia="zh-CN"/>
        </w:rPr>
        <w:t>参加</w:t>
      </w:r>
      <w:r>
        <w:rPr>
          <w:rFonts w:ascii="宋体" w:eastAsia="宋体" w:hAnsi="宋体" w:cstheme="minorBidi"/>
          <w:b/>
          <w:bCs/>
          <w:i/>
          <w:iCs/>
          <w:kern w:val="2"/>
          <w:sz w:val="21"/>
          <w:szCs w:val="21"/>
          <w:u w:val="single"/>
          <w:lang w:eastAsia="zh-CN"/>
        </w:rPr>
        <w:t>（</w:t>
      </w:r>
      <w:r>
        <w:rPr>
          <w:rFonts w:ascii="宋体" w:eastAsia="宋体" w:hAnsi="宋体" w:cstheme="minorBidi" w:hint="eastAsia"/>
          <w:b/>
          <w:bCs/>
          <w:i/>
          <w:iCs/>
          <w:kern w:val="2"/>
          <w:sz w:val="21"/>
          <w:szCs w:val="21"/>
          <w:u w:val="single"/>
          <w:lang w:eastAsia="zh-CN"/>
        </w:rPr>
        <w:t>采购人</w:t>
      </w:r>
      <w:r>
        <w:rPr>
          <w:rFonts w:ascii="宋体" w:eastAsia="宋体" w:hAnsi="宋体" w:cstheme="minorBidi"/>
          <w:b/>
          <w:bCs/>
          <w:i/>
          <w:iCs/>
          <w:kern w:val="2"/>
          <w:sz w:val="21"/>
          <w:szCs w:val="21"/>
          <w:u w:val="single"/>
          <w:lang w:eastAsia="zh-CN"/>
        </w:rPr>
        <w:t>名称）</w:t>
      </w:r>
      <w:r>
        <w:rPr>
          <w:rFonts w:ascii="宋体" w:eastAsia="宋体" w:hAnsi="宋体" w:cstheme="minorBidi"/>
          <w:kern w:val="2"/>
          <w:sz w:val="21"/>
          <w:szCs w:val="21"/>
          <w:lang w:eastAsia="zh-CN"/>
        </w:rPr>
        <w:t>的</w:t>
      </w:r>
      <w:r>
        <w:rPr>
          <w:rFonts w:ascii="宋体" w:eastAsia="宋体" w:hAnsi="宋体" w:cstheme="minorBidi"/>
          <w:b/>
          <w:bCs/>
          <w:i/>
          <w:iCs/>
          <w:kern w:val="2"/>
          <w:sz w:val="21"/>
          <w:szCs w:val="21"/>
          <w:u w:val="single"/>
          <w:lang w:eastAsia="zh-CN"/>
        </w:rPr>
        <w:t>（项目名称）</w:t>
      </w:r>
      <w:r>
        <w:rPr>
          <w:rFonts w:ascii="宋体" w:eastAsia="宋体" w:hAnsi="宋体" w:cstheme="minorBidi"/>
          <w:kern w:val="2"/>
          <w:sz w:val="21"/>
          <w:szCs w:val="21"/>
          <w:lang w:eastAsia="zh-CN"/>
        </w:rPr>
        <w:t>采购活动，提供的货物全部由符合政策要求的</w:t>
      </w:r>
      <w:r>
        <w:rPr>
          <w:rFonts w:ascii="宋体" w:eastAsia="宋体" w:hAnsi="宋体" w:cstheme="minorBidi" w:hint="eastAsia"/>
          <w:kern w:val="2"/>
          <w:sz w:val="21"/>
          <w:szCs w:val="21"/>
          <w:lang w:eastAsia="zh-CN"/>
        </w:rPr>
        <w:t>监狱企业</w:t>
      </w:r>
      <w:r>
        <w:rPr>
          <w:rFonts w:ascii="宋体" w:eastAsia="宋体" w:hAnsi="宋体" w:cstheme="minorBidi"/>
          <w:kern w:val="2"/>
          <w:sz w:val="21"/>
          <w:szCs w:val="21"/>
          <w:lang w:eastAsia="zh-CN"/>
        </w:rPr>
        <w:t>制造。相关</w:t>
      </w:r>
      <w:r>
        <w:rPr>
          <w:rFonts w:ascii="宋体" w:eastAsia="宋体" w:hAnsi="宋体" w:cstheme="minorBidi" w:hint="eastAsia"/>
          <w:kern w:val="2"/>
          <w:sz w:val="21"/>
          <w:szCs w:val="21"/>
          <w:lang w:eastAsia="zh-CN"/>
        </w:rPr>
        <w:t>监狱企业</w:t>
      </w:r>
      <w:r>
        <w:rPr>
          <w:rFonts w:ascii="宋体" w:eastAsia="宋体" w:hAnsi="宋体" w:cstheme="minorBidi"/>
          <w:kern w:val="2"/>
          <w:sz w:val="21"/>
          <w:szCs w:val="21"/>
          <w:lang w:eastAsia="zh-CN"/>
        </w:rPr>
        <w:t>的具体情况如下：</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kern w:val="2"/>
          <w:sz w:val="21"/>
          <w:szCs w:val="21"/>
          <w:lang w:eastAsia="zh-CN"/>
        </w:rPr>
        <w:t>1.</w:t>
      </w:r>
      <w:r>
        <w:rPr>
          <w:rFonts w:ascii="宋体" w:eastAsia="宋体" w:hAnsi="宋体" w:cstheme="minorBidi"/>
          <w:b/>
          <w:bCs/>
          <w:i/>
          <w:iCs/>
          <w:kern w:val="2"/>
          <w:sz w:val="21"/>
          <w:szCs w:val="21"/>
          <w:u w:val="single"/>
          <w:lang w:eastAsia="zh-CN"/>
        </w:rPr>
        <w:t>（标的名称）</w:t>
      </w:r>
      <w:r>
        <w:rPr>
          <w:rFonts w:ascii="宋体" w:eastAsia="宋体" w:hAnsi="宋体" w:cstheme="minorBidi" w:hint="eastAsia"/>
          <w:kern w:val="2"/>
          <w:sz w:val="21"/>
          <w:szCs w:val="21"/>
          <w:lang w:eastAsia="zh-CN"/>
        </w:rPr>
        <w:t>，</w:t>
      </w:r>
      <w:r>
        <w:rPr>
          <w:rFonts w:ascii="宋体" w:eastAsia="宋体" w:hAnsi="宋体" w:cstheme="minorBidi"/>
          <w:kern w:val="2"/>
          <w:sz w:val="21"/>
          <w:szCs w:val="21"/>
          <w:lang w:eastAsia="zh-CN"/>
        </w:rPr>
        <w:t>制造商为</w:t>
      </w:r>
      <w:r>
        <w:rPr>
          <w:rFonts w:ascii="宋体" w:eastAsia="宋体" w:hAnsi="宋体" w:cstheme="minorBidi"/>
          <w:b/>
          <w:bCs/>
          <w:i/>
          <w:iCs/>
          <w:kern w:val="2"/>
          <w:sz w:val="21"/>
          <w:szCs w:val="21"/>
          <w:u w:val="single"/>
          <w:lang w:eastAsia="zh-CN"/>
        </w:rPr>
        <w:t>（</w:t>
      </w:r>
      <w:r>
        <w:rPr>
          <w:rFonts w:ascii="宋体" w:eastAsia="宋体" w:hAnsi="宋体" w:cstheme="minorBidi" w:hint="eastAsia"/>
          <w:b/>
          <w:bCs/>
          <w:i/>
          <w:iCs/>
          <w:kern w:val="2"/>
          <w:sz w:val="21"/>
          <w:szCs w:val="21"/>
          <w:u w:val="single"/>
          <w:lang w:eastAsia="zh-CN"/>
        </w:rPr>
        <w:t>企业</w:t>
      </w:r>
      <w:r>
        <w:rPr>
          <w:rFonts w:ascii="宋体" w:eastAsia="宋体" w:hAnsi="宋体" w:cstheme="minorBidi"/>
          <w:b/>
          <w:bCs/>
          <w:i/>
          <w:iCs/>
          <w:kern w:val="2"/>
          <w:sz w:val="21"/>
          <w:szCs w:val="21"/>
          <w:u w:val="single"/>
          <w:lang w:eastAsia="zh-CN"/>
        </w:rPr>
        <w:t>名称）</w:t>
      </w:r>
      <w:r>
        <w:rPr>
          <w:rFonts w:ascii="宋体" w:eastAsia="宋体" w:hAnsi="宋体" w:cstheme="minorBidi"/>
          <w:kern w:val="2"/>
          <w:sz w:val="21"/>
          <w:szCs w:val="21"/>
          <w:lang w:eastAsia="zh-CN"/>
        </w:rPr>
        <w:t>，属于</w:t>
      </w:r>
      <w:r>
        <w:rPr>
          <w:rFonts w:ascii="宋体" w:eastAsia="宋体" w:hAnsi="宋体" w:cstheme="minorBidi" w:hint="eastAsia"/>
          <w:b/>
          <w:bCs/>
          <w:kern w:val="2"/>
          <w:sz w:val="21"/>
          <w:szCs w:val="21"/>
          <w:u w:val="single"/>
          <w:lang w:eastAsia="zh-CN"/>
        </w:rPr>
        <w:t>监狱企业</w:t>
      </w:r>
      <w:r>
        <w:rPr>
          <w:rFonts w:ascii="宋体" w:eastAsia="宋体" w:hAnsi="宋体" w:cstheme="minorBidi"/>
          <w:kern w:val="2"/>
          <w:sz w:val="21"/>
          <w:szCs w:val="21"/>
          <w:lang w:eastAsia="zh-CN"/>
        </w:rPr>
        <w:t>；</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kern w:val="2"/>
          <w:sz w:val="21"/>
          <w:szCs w:val="21"/>
          <w:lang w:eastAsia="zh-CN"/>
        </w:rPr>
        <w:t>2.</w:t>
      </w:r>
      <w:r>
        <w:rPr>
          <w:rFonts w:ascii="宋体" w:eastAsia="宋体" w:hAnsi="宋体" w:cstheme="minorBidi"/>
          <w:b/>
          <w:bCs/>
          <w:i/>
          <w:iCs/>
          <w:kern w:val="2"/>
          <w:sz w:val="21"/>
          <w:szCs w:val="21"/>
          <w:u w:val="single"/>
          <w:lang w:eastAsia="zh-CN"/>
        </w:rPr>
        <w:t>（标的名称）</w:t>
      </w:r>
      <w:r>
        <w:rPr>
          <w:rFonts w:ascii="宋体" w:eastAsia="宋体" w:hAnsi="宋体" w:cstheme="minorBidi" w:hint="eastAsia"/>
          <w:kern w:val="2"/>
          <w:sz w:val="21"/>
          <w:szCs w:val="21"/>
          <w:lang w:eastAsia="zh-CN"/>
        </w:rPr>
        <w:t>，</w:t>
      </w:r>
      <w:r>
        <w:rPr>
          <w:rFonts w:ascii="宋体" w:eastAsia="宋体" w:hAnsi="宋体" w:cstheme="minorBidi"/>
          <w:kern w:val="2"/>
          <w:sz w:val="21"/>
          <w:szCs w:val="21"/>
          <w:lang w:eastAsia="zh-CN"/>
        </w:rPr>
        <w:t>制造商为</w:t>
      </w:r>
      <w:r>
        <w:rPr>
          <w:rFonts w:ascii="宋体" w:eastAsia="宋体" w:hAnsi="宋体" w:cstheme="minorBidi"/>
          <w:b/>
          <w:bCs/>
          <w:i/>
          <w:iCs/>
          <w:kern w:val="2"/>
          <w:sz w:val="21"/>
          <w:szCs w:val="21"/>
          <w:u w:val="single"/>
          <w:lang w:eastAsia="zh-CN"/>
        </w:rPr>
        <w:t>（</w:t>
      </w:r>
      <w:r>
        <w:rPr>
          <w:rFonts w:ascii="宋体" w:eastAsia="宋体" w:hAnsi="宋体" w:cstheme="minorBidi" w:hint="eastAsia"/>
          <w:b/>
          <w:bCs/>
          <w:i/>
          <w:iCs/>
          <w:kern w:val="2"/>
          <w:sz w:val="21"/>
          <w:szCs w:val="21"/>
          <w:u w:val="single"/>
          <w:lang w:eastAsia="zh-CN"/>
        </w:rPr>
        <w:t>企业</w:t>
      </w:r>
      <w:r>
        <w:rPr>
          <w:rFonts w:ascii="宋体" w:eastAsia="宋体" w:hAnsi="宋体" w:cstheme="minorBidi"/>
          <w:b/>
          <w:bCs/>
          <w:i/>
          <w:iCs/>
          <w:kern w:val="2"/>
          <w:sz w:val="21"/>
          <w:szCs w:val="21"/>
          <w:u w:val="single"/>
          <w:lang w:eastAsia="zh-CN"/>
        </w:rPr>
        <w:t>名称）</w:t>
      </w:r>
      <w:r>
        <w:rPr>
          <w:rFonts w:ascii="宋体" w:eastAsia="宋体" w:hAnsi="宋体" w:cstheme="minorBidi"/>
          <w:kern w:val="2"/>
          <w:sz w:val="21"/>
          <w:szCs w:val="21"/>
          <w:lang w:eastAsia="zh-CN"/>
        </w:rPr>
        <w:t>，属于</w:t>
      </w:r>
      <w:r>
        <w:rPr>
          <w:rFonts w:ascii="宋体" w:eastAsia="宋体" w:hAnsi="宋体" w:cstheme="minorBidi" w:hint="eastAsia"/>
          <w:b/>
          <w:bCs/>
          <w:kern w:val="2"/>
          <w:sz w:val="21"/>
          <w:szCs w:val="21"/>
          <w:u w:val="single"/>
          <w:lang w:eastAsia="zh-CN"/>
        </w:rPr>
        <w:t>监狱企业</w:t>
      </w:r>
      <w:r>
        <w:rPr>
          <w:rFonts w:ascii="宋体" w:eastAsia="宋体" w:hAnsi="宋体" w:cstheme="minorBidi" w:hint="eastAsia"/>
          <w:kern w:val="2"/>
          <w:sz w:val="21"/>
          <w:szCs w:val="21"/>
          <w:lang w:eastAsia="zh-CN"/>
        </w:rPr>
        <w:t>。</w:t>
      </w:r>
    </w:p>
    <w:p>
      <w:pPr>
        <w:widowControl w:val="0"/>
        <w:jc w:val="both"/>
        <w:rPr>
          <w:rFonts w:ascii="Calibri" w:eastAsia="宋体" w:hAnsi="Calibri"/>
          <w:kern w:val="2"/>
          <w:sz w:val="21"/>
          <w:szCs w:val="22"/>
          <w:lang w:eastAsia="zh-CN"/>
        </w:rPr>
      </w:pPr>
      <w:r>
        <w:rPr>
          <w:rFonts w:ascii="Calibri" w:eastAsia="宋体" w:hAnsi="Calibri" w:cstheme="minorBidi"/>
          <w:kern w:val="2"/>
          <w:sz w:val="21"/>
          <w:szCs w:val="22"/>
          <w:lang w:eastAsia="zh-CN"/>
        </w:rPr>
        <w:t>……</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kern w:val="2"/>
          <w:sz w:val="21"/>
          <w:szCs w:val="21"/>
          <w:lang w:eastAsia="zh-CN"/>
        </w:rPr>
        <w:t>本</w:t>
      </w:r>
      <w:r>
        <w:rPr>
          <w:rFonts w:ascii="宋体" w:eastAsia="宋体" w:hAnsi="宋体" w:cstheme="minorBidi" w:hint="eastAsia"/>
          <w:kern w:val="2"/>
          <w:sz w:val="21"/>
          <w:szCs w:val="21"/>
          <w:lang w:eastAsia="zh-CN"/>
        </w:rPr>
        <w:t>投标人</w:t>
      </w:r>
      <w:r>
        <w:rPr>
          <w:rFonts w:ascii="宋体" w:eastAsia="宋体" w:hAnsi="宋体" w:cstheme="minorBidi"/>
          <w:kern w:val="2"/>
          <w:sz w:val="21"/>
          <w:szCs w:val="21"/>
          <w:lang w:eastAsia="zh-CN"/>
        </w:rPr>
        <w:t>对上述声明内容的真实性负责。如有虚假，将依法承担相应责任。</w:t>
      </w:r>
    </w:p>
    <w:p>
      <w:pPr>
        <w:widowControl w:val="0"/>
        <w:spacing w:line="360" w:lineRule="auto"/>
        <w:ind w:firstLine="420" w:firstLineChars="200"/>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附：省级以上监狱管理局、戒毒管理局（含新疆生产建设兵团）出具的监狱企业证明文件。</w:t>
      </w:r>
      <w:bookmarkEnd w:id="29"/>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ind w:firstLine="420" w:firstLineChars="200"/>
        <w:jc w:val="both"/>
        <w:rPr>
          <w:rFonts w:ascii="宋体" w:eastAsia="宋体" w:hAnsi="宋体" w:hint="eastAsia"/>
          <w:kern w:val="2"/>
          <w:sz w:val="21"/>
          <w:szCs w:val="21"/>
          <w:lang w:eastAsia="zh-CN"/>
        </w:rPr>
      </w:pPr>
    </w:p>
    <w:p>
      <w:pPr>
        <w:widowControl w:val="0"/>
        <w:spacing w:line="360" w:lineRule="auto"/>
        <w:jc w:val="both"/>
        <w:rPr>
          <w:rFonts w:ascii="宋体" w:eastAsia="宋体" w:hAnsi="宋体" w:hint="eastAsia"/>
          <w:kern w:val="2"/>
          <w:sz w:val="21"/>
          <w:szCs w:val="21"/>
          <w:lang w:eastAsia="zh-CN"/>
        </w:rPr>
      </w:pPr>
    </w:p>
    <w:p>
      <w:pPr>
        <w:keepNext/>
        <w:keepLines/>
        <w:pageBreakBefore/>
        <w:widowControl w:val="0"/>
        <w:adjustRightInd w:val="0"/>
        <w:snapToGrid w:val="0"/>
        <w:spacing w:line="360" w:lineRule="auto"/>
        <w:jc w:val="center"/>
        <w:textAlignment w:val="baseline"/>
        <w:outlineLvl w:val="2"/>
        <w:rPr>
          <w:rFonts w:ascii="黑体" w:eastAsia="黑体" w:hAnsi="宋体" w:hint="eastAsia"/>
          <w:b/>
          <w:kern w:val="2"/>
          <w:sz w:val="30"/>
          <w:szCs w:val="30"/>
          <w:lang w:eastAsia="zh-CN"/>
        </w:rPr>
      </w:pPr>
      <w:r>
        <w:rPr>
          <w:rFonts w:ascii="黑体" w:eastAsia="黑体" w:hAnsi="宋体" w:cstheme="minorBidi" w:hint="eastAsia"/>
          <w:b/>
          <w:kern w:val="2"/>
          <w:sz w:val="30"/>
          <w:szCs w:val="30"/>
          <w:lang w:eastAsia="zh-CN"/>
        </w:rPr>
        <w:t>四、分项报价清单</w:t>
      </w:r>
    </w:p>
    <w:p>
      <w:pPr>
        <w:widowControl w:val="0"/>
        <w:spacing w:after="60" w:afterLines="25" w:line="300" w:lineRule="auto"/>
        <w:jc w:val="both"/>
        <w:rPr>
          <w:rFonts w:ascii="Arial" w:eastAsia="宋体" w:hAnsi="Arial" w:cs="Arial"/>
          <w:kern w:val="2"/>
          <w:sz w:val="21"/>
          <w:lang w:eastAsia="zh-CN"/>
        </w:rPr>
      </w:pPr>
      <w:r>
        <w:rPr>
          <w:rFonts w:ascii="Arial" w:eastAsia="宋体" w:hAnsi="Arial" w:cs="Arial" w:hint="eastAsia"/>
          <w:color w:val="000000"/>
          <w:kern w:val="2"/>
          <w:sz w:val="21"/>
          <w:lang w:eastAsia="zh-CN"/>
        </w:rPr>
        <w:t>投标单位（投标人）名称：</w:t>
      </w:r>
    </w:p>
    <w:p>
      <w:pPr>
        <w:widowControl w:val="0"/>
        <w:tabs>
          <w:tab w:val="left" w:pos="720"/>
        </w:tabs>
        <w:spacing w:after="60" w:afterLines="25" w:line="300" w:lineRule="auto"/>
        <w:jc w:val="center"/>
        <w:rPr>
          <w:rFonts w:ascii="Arial" w:eastAsia="宋体" w:hAnsi="Arial"/>
          <w:b/>
          <w:kern w:val="2"/>
          <w:lang w:eastAsia="zh-CN"/>
        </w:rPr>
      </w:pPr>
      <w:r>
        <w:rPr>
          <w:rFonts w:ascii="Arial" w:eastAsia="宋体" w:hAnsi="Arial" w:hint="eastAsia"/>
          <w:b/>
          <w:kern w:val="2"/>
          <w:lang w:eastAsia="zh-CN"/>
        </w:rPr>
        <w:t>（一）项目报价表</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74"/>
        <w:gridCol w:w="760"/>
        <w:gridCol w:w="760"/>
        <w:gridCol w:w="760"/>
        <w:gridCol w:w="760"/>
        <w:gridCol w:w="760"/>
        <w:gridCol w:w="760"/>
        <w:gridCol w:w="760"/>
        <w:gridCol w:w="836"/>
        <w:gridCol w:w="836"/>
        <w:gridCol w:w="990"/>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85"/>
          <w:jc w:val="center"/>
        </w:trPr>
        <w:tc>
          <w:tcPr>
            <w:tcW w:w="494"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序号</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货物名称</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品牌</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规格/型号</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制造商名称</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原产地</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数量</w:t>
            </w:r>
          </w:p>
        </w:tc>
        <w:tc>
          <w:tcPr>
            <w:tcW w:w="429"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单位</w:t>
            </w:r>
          </w:p>
        </w:tc>
        <w:tc>
          <w:tcPr>
            <w:tcW w:w="472"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单价(元)</w:t>
            </w:r>
          </w:p>
        </w:tc>
        <w:tc>
          <w:tcPr>
            <w:tcW w:w="472"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合价(元)</w:t>
            </w:r>
          </w:p>
        </w:tc>
        <w:tc>
          <w:tcPr>
            <w:tcW w:w="558"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预算金额（元）</w:t>
            </w:r>
          </w:p>
        </w:tc>
      </w:tr>
      <w:tr>
        <w:tblPrEx>
          <w:tblW w:w="5000" w:type="pct"/>
          <w:jc w:val="center"/>
          <w:tblLayout w:type="fixed"/>
          <w:tblCellMar>
            <w:top w:w="0" w:type="dxa"/>
            <w:left w:w="108" w:type="dxa"/>
            <w:bottom w:w="0" w:type="dxa"/>
            <w:right w:w="108" w:type="dxa"/>
          </w:tblCellMar>
        </w:tblPrEx>
        <w:trPr>
          <w:trHeight w:val="90"/>
          <w:jc w:val="center"/>
        </w:trPr>
        <w:tc>
          <w:tcPr>
            <w:tcW w:w="494"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1</w:t>
            </w: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558" w:type="pct"/>
            <w:vMerge w:val="restart"/>
            <w:vAlign w:val="center"/>
          </w:tcPr>
          <w:p>
            <w:pPr>
              <w:widowControl w:val="0"/>
              <w:jc w:val="both"/>
              <w:rPr>
                <w:rFonts w:ascii="Calibri" w:eastAsia="宋体" w:hAnsi="Calibri"/>
                <w:kern w:val="2"/>
                <w:sz w:val="21"/>
                <w:szCs w:val="21"/>
                <w:lang w:eastAsia="zh-CN"/>
              </w:rPr>
            </w:pPr>
          </w:p>
        </w:tc>
      </w:tr>
      <w:tr>
        <w:tblPrEx>
          <w:tblW w:w="5000" w:type="pct"/>
          <w:jc w:val="center"/>
          <w:tblLayout w:type="fixed"/>
          <w:tblCellMar>
            <w:top w:w="0" w:type="dxa"/>
            <w:left w:w="108" w:type="dxa"/>
            <w:bottom w:w="0" w:type="dxa"/>
            <w:right w:w="108" w:type="dxa"/>
          </w:tblCellMar>
        </w:tblPrEx>
        <w:trPr>
          <w:trHeight w:val="450"/>
          <w:jc w:val="center"/>
        </w:trPr>
        <w:tc>
          <w:tcPr>
            <w:tcW w:w="494"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2</w:t>
            </w: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558" w:type="pct"/>
            <w:vMerge/>
            <w:vAlign w:val="center"/>
          </w:tcPr>
          <w:p>
            <w:pPr>
              <w:widowControl w:val="0"/>
              <w:jc w:val="both"/>
              <w:rPr>
                <w:rFonts w:ascii="Calibri" w:eastAsia="宋体" w:hAnsi="Calibri"/>
                <w:kern w:val="2"/>
                <w:sz w:val="21"/>
                <w:szCs w:val="21"/>
                <w:lang w:eastAsia="zh-CN"/>
              </w:rPr>
            </w:pPr>
          </w:p>
        </w:tc>
      </w:tr>
      <w:tr>
        <w:tblPrEx>
          <w:tblW w:w="5000" w:type="pct"/>
          <w:jc w:val="center"/>
          <w:tblLayout w:type="fixed"/>
          <w:tblCellMar>
            <w:top w:w="0" w:type="dxa"/>
            <w:left w:w="108" w:type="dxa"/>
            <w:bottom w:w="0" w:type="dxa"/>
            <w:right w:w="108" w:type="dxa"/>
          </w:tblCellMar>
        </w:tblPrEx>
        <w:trPr>
          <w:trHeight w:val="400"/>
          <w:jc w:val="center"/>
        </w:trPr>
        <w:tc>
          <w:tcPr>
            <w:tcW w:w="494"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3</w:t>
            </w: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558" w:type="pct"/>
            <w:vMerge/>
            <w:vAlign w:val="center"/>
          </w:tcPr>
          <w:p>
            <w:pPr>
              <w:widowControl w:val="0"/>
              <w:jc w:val="both"/>
              <w:rPr>
                <w:rFonts w:ascii="Calibri" w:eastAsia="宋体" w:hAnsi="Calibri"/>
                <w:kern w:val="2"/>
                <w:sz w:val="21"/>
                <w:szCs w:val="21"/>
                <w:lang w:eastAsia="zh-CN"/>
              </w:rPr>
            </w:pPr>
          </w:p>
        </w:tc>
      </w:tr>
      <w:tr>
        <w:tblPrEx>
          <w:tblW w:w="5000" w:type="pct"/>
          <w:jc w:val="center"/>
          <w:tblLayout w:type="fixed"/>
          <w:tblCellMar>
            <w:top w:w="0" w:type="dxa"/>
            <w:left w:w="108" w:type="dxa"/>
            <w:bottom w:w="0" w:type="dxa"/>
            <w:right w:w="108" w:type="dxa"/>
          </w:tblCellMar>
        </w:tblPrEx>
        <w:trPr>
          <w:trHeight w:val="320"/>
          <w:jc w:val="center"/>
        </w:trPr>
        <w:tc>
          <w:tcPr>
            <w:tcW w:w="494" w:type="pct"/>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w:t>
            </w: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29"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472" w:type="pct"/>
            <w:vAlign w:val="center"/>
          </w:tcPr>
          <w:p>
            <w:pPr>
              <w:widowControl w:val="0"/>
              <w:jc w:val="both"/>
              <w:rPr>
                <w:rFonts w:ascii="Calibri" w:eastAsia="宋体" w:hAnsi="Calibri"/>
                <w:kern w:val="2"/>
                <w:sz w:val="21"/>
                <w:szCs w:val="21"/>
                <w:lang w:eastAsia="zh-CN"/>
              </w:rPr>
            </w:pPr>
          </w:p>
        </w:tc>
        <w:tc>
          <w:tcPr>
            <w:tcW w:w="558" w:type="pct"/>
            <w:vMerge/>
            <w:vAlign w:val="center"/>
          </w:tcPr>
          <w:p>
            <w:pPr>
              <w:widowControl w:val="0"/>
              <w:jc w:val="both"/>
              <w:rPr>
                <w:rFonts w:ascii="Calibri" w:eastAsia="宋体" w:hAnsi="Calibri"/>
                <w:kern w:val="2"/>
                <w:sz w:val="21"/>
                <w:szCs w:val="21"/>
                <w:lang w:eastAsia="zh-CN"/>
              </w:rPr>
            </w:pPr>
          </w:p>
        </w:tc>
      </w:tr>
      <w:tr>
        <w:tblPrEx>
          <w:tblW w:w="5000" w:type="pct"/>
          <w:jc w:val="center"/>
          <w:tblLayout w:type="fixed"/>
          <w:tblCellMar>
            <w:top w:w="0" w:type="dxa"/>
            <w:left w:w="108" w:type="dxa"/>
            <w:bottom w:w="0" w:type="dxa"/>
            <w:right w:w="108" w:type="dxa"/>
          </w:tblCellMar>
        </w:tblPrEx>
        <w:trPr>
          <w:trHeight w:val="450"/>
          <w:jc w:val="center"/>
        </w:trPr>
        <w:tc>
          <w:tcPr>
            <w:tcW w:w="2639" w:type="pct"/>
            <w:gridSpan w:val="6"/>
            <w:vAlign w:val="center"/>
          </w:tcPr>
          <w:p>
            <w:pPr>
              <w:widowControl w:val="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投标总价（以上各项之和；币种：人民币；单位：元）</w:t>
            </w:r>
          </w:p>
        </w:tc>
        <w:tc>
          <w:tcPr>
            <w:tcW w:w="2361" w:type="pct"/>
            <w:gridSpan w:val="5"/>
            <w:vAlign w:val="center"/>
          </w:tcPr>
          <w:p>
            <w:pPr>
              <w:widowControl w:val="0"/>
              <w:jc w:val="both"/>
              <w:rPr>
                <w:rFonts w:ascii="Calibri" w:eastAsia="宋体" w:hAnsi="Calibri"/>
                <w:kern w:val="2"/>
                <w:sz w:val="21"/>
                <w:szCs w:val="21"/>
                <w:lang w:eastAsia="zh-CN"/>
              </w:rPr>
            </w:pPr>
          </w:p>
        </w:tc>
      </w:tr>
    </w:tbl>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填写说明：</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1.本表可根据实际需要增加相关内容，但原有的格式内容不得删减；</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2.“品牌”可以与商标一致，也可以填写便于区分其他公司商品的制造商简称或者制造商认可的品牌名称。</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3.如所投货物属于定制类的非量产货物或无具体型号的货物，可以在“规格/型号”一栏仅填写规格信息而不填写型号信息（型号信息用“定制”描述即可）；此类填写错误或缺漏（所投货物为定制类的非量产货物但供应商却错误填报了型号）可能带来的不利后果由供应商承担。</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4.“原产地”是指该货物的实际生产加工地，而非品牌所在地。</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5.所投货物均应填写制造商名称。“制造商”是指产品制造厂商，产品代工制造的，应填写接受委托生产制造的制造商。</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6.以上分项报价表的投标总价应当与开标一览表的投标总价一致。</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7.单价、合价和投标总价为包干价，即三者均应包含货物的价款、包装、运输、装卸、安装、调试、技术指导、培训、咨询、服务、保险、税费、检测、验收合格交付使用之前以及技术和售后服务等其他各项有关费用。</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8.所有价格应按“招标文件”中规定的货币单位填写；投标总价应为以上各分项价格之和；投标总价和项目报价表中单个采购预算条目报价均不得超过对应的预算金额（或设定的预算金额下的最高限价），否则将导致投标无效。</w:t>
      </w:r>
    </w:p>
    <w:p>
      <w:pPr>
        <w:wordWrap w:val="0"/>
        <w:autoSpaceDE w:val="0"/>
        <w:autoSpaceDN w:val="0"/>
        <w:spacing w:line="400" w:lineRule="exact"/>
        <w:ind w:right="32"/>
        <w:jc w:val="both"/>
        <w:rPr>
          <w:rFonts w:eastAsia="宋体"/>
          <w:kern w:val="2"/>
          <w:sz w:val="21"/>
          <w:lang w:eastAsia="zh-CN"/>
        </w:rPr>
      </w:pPr>
      <w:r>
        <w:rPr>
          <w:rFonts w:eastAsia="宋体" w:hint="eastAsia"/>
          <w:kern w:val="2"/>
          <w:sz w:val="21"/>
          <w:lang w:eastAsia="zh-CN"/>
        </w:rPr>
        <w:t>★9.如未提供《（一）项目报价表》或者不按《第三章用户需求书：二、货物需求明细》要求填报、漏报或错报的将作投标无效处理。</w:t>
      </w:r>
    </w:p>
    <w:p>
      <w:pPr>
        <w:widowControl w:val="0"/>
        <w:spacing w:after="120"/>
        <w:ind w:left="480" w:firstLine="420" w:leftChars="200" w:firstLineChars="200"/>
        <w:jc w:val="both"/>
        <w:rPr>
          <w:rFonts w:eastAsia="宋体"/>
          <w:kern w:val="2"/>
          <w:sz w:val="21"/>
          <w:lang w:eastAsia="zh-CN"/>
        </w:rPr>
      </w:pPr>
    </w:p>
    <w:p>
      <w:pPr>
        <w:widowControl w:val="0"/>
        <w:spacing w:after="120"/>
        <w:jc w:val="both"/>
        <w:rPr>
          <w:rFonts w:eastAsia="宋体"/>
          <w:kern w:val="2"/>
          <w:sz w:val="21"/>
          <w:lang w:eastAsia="zh-CN"/>
        </w:rPr>
      </w:pPr>
    </w:p>
    <w:p>
      <w:pPr>
        <w:widowControl w:val="0"/>
        <w:spacing w:after="120"/>
        <w:jc w:val="both"/>
        <w:rPr>
          <w:rFonts w:eastAsia="宋体"/>
          <w:kern w:val="2"/>
          <w:sz w:val="21"/>
          <w:lang w:eastAsia="zh-CN"/>
        </w:rPr>
      </w:pPr>
    </w:p>
    <w:p>
      <w:pPr>
        <w:widowControl w:val="0"/>
        <w:tabs>
          <w:tab w:val="left" w:pos="720"/>
        </w:tabs>
        <w:spacing w:after="60" w:afterLines="25" w:line="300" w:lineRule="auto"/>
        <w:jc w:val="center"/>
        <w:rPr>
          <w:rFonts w:ascii="Arial" w:eastAsia="宋体" w:hAnsi="Arial"/>
          <w:b/>
          <w:kern w:val="2"/>
          <w:lang w:eastAsia="zh-CN"/>
        </w:rPr>
      </w:pPr>
      <w:r>
        <w:rPr>
          <w:rFonts w:ascii="Arial" w:eastAsia="宋体" w:hAnsi="Arial" w:hint="eastAsia"/>
          <w:b/>
          <w:kern w:val="2"/>
          <w:lang w:eastAsia="zh-CN"/>
        </w:rPr>
        <w:t>（二）核心产品品牌</w:t>
      </w:r>
    </w:p>
    <w:p>
      <w:pPr>
        <w:widowControl w:val="0"/>
        <w:spacing w:after="120"/>
        <w:ind w:left="480" w:firstLine="420" w:leftChars="200" w:firstLineChars="200"/>
        <w:jc w:val="both"/>
        <w:rPr>
          <w:rFonts w:ascii="Calibri" w:eastAsia="宋体" w:hAnsi="Calibri"/>
          <w:kern w:val="2"/>
          <w:sz w:val="21"/>
          <w:szCs w:val="22"/>
          <w:lang w:eastAsia="zh-CN"/>
        </w:rPr>
      </w:pPr>
    </w:p>
    <w:p>
      <w:pPr>
        <w:widowControl w:val="0"/>
        <w:ind w:firstLine="480" w:firstLineChars="200"/>
        <w:jc w:val="both"/>
        <w:rPr>
          <w:rFonts w:ascii="宋体" w:eastAsia="宋体" w:hAnsi="宋体" w:hint="eastAsia"/>
          <w:b/>
          <w:kern w:val="2"/>
          <w:szCs w:val="22"/>
          <w:lang w:eastAsia="zh-CN"/>
        </w:rPr>
      </w:pPr>
      <w:r>
        <w:rPr>
          <w:rFonts w:ascii="Calibri" w:eastAsia="宋体" w:hAnsi="Calibri" w:cstheme="minorBidi" w:hint="eastAsia"/>
          <w:b/>
          <w:kern w:val="2"/>
          <w:szCs w:val="22"/>
          <w:lang w:eastAsia="zh-CN"/>
        </w:rPr>
        <w:t>我单位所投核心产品的品牌为：</w:t>
      </w:r>
      <w:r>
        <w:rPr>
          <w:rFonts w:ascii="Calibri" w:eastAsia="宋体" w:hAnsi="Calibri" w:cstheme="minorBidi" w:hint="eastAsia"/>
          <w:b/>
          <w:kern w:val="2"/>
          <w:szCs w:val="22"/>
          <w:u w:val="single"/>
          <w:lang w:eastAsia="zh-CN"/>
        </w:rPr>
        <w:t xml:space="preserve">               </w:t>
      </w:r>
      <w:r>
        <w:rPr>
          <w:rFonts w:ascii="Calibri" w:eastAsia="宋体" w:hAnsi="Calibri" w:cstheme="minorBidi" w:hint="eastAsia"/>
          <w:b/>
          <w:kern w:val="2"/>
          <w:szCs w:val="22"/>
          <w:lang w:eastAsia="zh-CN"/>
        </w:rPr>
        <w:t>。</w:t>
      </w:r>
    </w:p>
    <w:p>
      <w:pPr>
        <w:wordWrap w:val="0"/>
        <w:autoSpaceDE w:val="0"/>
        <w:autoSpaceDN w:val="0"/>
        <w:spacing w:line="400" w:lineRule="exact"/>
        <w:ind w:right="808" w:firstLine="420" w:firstLineChars="200"/>
        <w:jc w:val="both"/>
        <w:rPr>
          <w:rFonts w:ascii="Arial" w:eastAsia="宋体" w:hAnsi="Arial"/>
          <w:b/>
          <w:kern w:val="2"/>
          <w:sz w:val="21"/>
          <w:lang w:eastAsia="zh-CN"/>
        </w:rPr>
      </w:pPr>
      <w:r>
        <w:rPr>
          <w:rFonts w:eastAsia="宋体" w:hint="eastAsia"/>
          <w:kern w:val="2"/>
          <w:sz w:val="21"/>
          <w:lang w:eastAsia="zh-CN"/>
        </w:rPr>
        <w:t>备注：单一产品采购项目，核心产品即为该单一产品。</w:t>
      </w:r>
    </w:p>
    <w:p>
      <w:pPr>
        <w:wordWrap w:val="0"/>
        <w:autoSpaceDE w:val="0"/>
        <w:autoSpaceDN w:val="0"/>
        <w:spacing w:line="400" w:lineRule="exact"/>
        <w:ind w:right="808" w:firstLine="420" w:firstLineChars="200"/>
        <w:jc w:val="both"/>
        <w:rPr>
          <w:rFonts w:eastAsia="宋体"/>
          <w:kern w:val="2"/>
          <w:sz w:val="21"/>
          <w:lang w:eastAsia="zh-CN"/>
        </w:rPr>
      </w:pPr>
    </w:p>
    <w:p>
      <w:pPr>
        <w:widowControl w:val="0"/>
        <w:tabs>
          <w:tab w:val="left" w:pos="720"/>
        </w:tabs>
        <w:spacing w:after="60" w:afterLines="25" w:line="300" w:lineRule="auto"/>
        <w:jc w:val="center"/>
        <w:rPr>
          <w:rFonts w:ascii="Arial" w:eastAsia="宋体" w:hAnsi="Arial"/>
          <w:b/>
          <w:kern w:val="2"/>
          <w:lang w:eastAsia="zh-CN"/>
        </w:rPr>
      </w:pPr>
      <w:r>
        <w:rPr>
          <w:rFonts w:ascii="Arial" w:eastAsia="宋体" w:hAnsi="Arial" w:hint="eastAsia"/>
          <w:b/>
          <w:kern w:val="2"/>
          <w:lang w:eastAsia="zh-CN"/>
        </w:rPr>
        <w:t>（三）可选配件报价清单（非项目需求要求的必备配件，此部分不包括在总报价内）</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注：格式可以参照《（一）项目报价表》表格，并提供相应的品牌/规格/型号、原产地、制造商信息（没有品牌、型号的，用“定制”描述即可）、单价等详细信息</w:t>
      </w:r>
    </w:p>
    <w:p>
      <w:pPr>
        <w:wordWrap w:val="0"/>
        <w:autoSpaceDE w:val="0"/>
        <w:autoSpaceDN w:val="0"/>
        <w:spacing w:line="400" w:lineRule="exact"/>
        <w:ind w:right="808" w:firstLine="420" w:firstLineChars="200"/>
        <w:jc w:val="both"/>
        <w:rPr>
          <w:rFonts w:eastAsia="宋体"/>
          <w:kern w:val="2"/>
          <w:sz w:val="21"/>
          <w:lang w:eastAsia="zh-CN"/>
        </w:rPr>
      </w:pPr>
    </w:p>
    <w:p>
      <w:pPr>
        <w:widowControl w:val="0"/>
        <w:tabs>
          <w:tab w:val="left" w:pos="720"/>
        </w:tabs>
        <w:spacing w:after="60" w:afterLines="25" w:line="300" w:lineRule="auto"/>
        <w:jc w:val="center"/>
        <w:rPr>
          <w:rFonts w:ascii="Arial" w:eastAsia="宋体" w:hAnsi="Arial"/>
          <w:b/>
          <w:kern w:val="2"/>
          <w:lang w:eastAsia="zh-CN"/>
        </w:rPr>
      </w:pPr>
      <w:r>
        <w:rPr>
          <w:rFonts w:ascii="Arial" w:eastAsia="宋体" w:hAnsi="Arial" w:hint="eastAsia"/>
          <w:b/>
          <w:kern w:val="2"/>
          <w:lang w:eastAsia="zh-CN"/>
        </w:rPr>
        <w:t>（四）供应商认为需要涉及的其他内容报价清单</w:t>
      </w: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widowControl w:val="0"/>
        <w:spacing w:after="120"/>
        <w:jc w:val="both"/>
        <w:rPr>
          <w:rFonts w:ascii="Calibri" w:eastAsia="宋体" w:hAnsi="Calibri"/>
          <w:kern w:val="2"/>
          <w:sz w:val="21"/>
          <w:szCs w:val="22"/>
          <w:lang w:eastAsia="zh-CN"/>
        </w:rPr>
      </w:pPr>
    </w:p>
    <w:p>
      <w:pPr>
        <w:keepNext/>
        <w:keepLines/>
        <w:spacing w:before="260" w:after="260"/>
        <w:jc w:val="center"/>
        <w:outlineLvl w:val="2"/>
        <w:rPr>
          <w:rFonts w:ascii="黑体" w:eastAsia="黑体" w:hAnsi="宋体" w:hint="eastAsia"/>
          <w:b/>
          <w:kern w:val="2"/>
          <w:sz w:val="30"/>
          <w:szCs w:val="30"/>
          <w:lang w:eastAsia="zh-CN"/>
        </w:rPr>
      </w:pPr>
      <w:r>
        <w:rPr>
          <w:rFonts w:ascii="黑体" w:eastAsia="黑体" w:hAnsi="宋体" w:hint="eastAsia"/>
          <w:b/>
          <w:kern w:val="2"/>
          <w:sz w:val="30"/>
          <w:szCs w:val="30"/>
          <w:lang w:eastAsia="zh-CN"/>
        </w:rPr>
        <w:t>五、股东构成审查表</w:t>
      </w:r>
    </w:p>
    <w:p>
      <w:pPr>
        <w:keepNext/>
        <w:keepLines/>
        <w:widowControl w:val="0"/>
        <w:numPr>
          <w:ilvl w:val="0"/>
          <w:numId w:val="6"/>
        </w:numPr>
        <w:spacing w:line="360" w:lineRule="auto"/>
        <w:jc w:val="both"/>
        <w:outlineLvl w:val="2"/>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提供投标人所在地的市场监督管理部门“商事登记簿查询（商事主体登记及备案信息查询）”查询截图或提供国家企业信用信息公示系统截图；</w:t>
      </w:r>
    </w:p>
    <w:p>
      <w:pPr>
        <w:keepNext/>
        <w:keepLines/>
        <w:widowControl w:val="0"/>
        <w:spacing w:line="360" w:lineRule="auto"/>
        <w:jc w:val="both"/>
        <w:rPr>
          <w:rFonts w:ascii="宋体" w:eastAsia="宋体" w:hAnsi="宋体" w:cs="宋体" w:hint="eastAsia"/>
          <w:kern w:val="2"/>
          <w:sz w:val="21"/>
          <w:szCs w:val="22"/>
          <w:lang w:eastAsia="zh-CN"/>
        </w:rPr>
      </w:pPr>
      <w:r>
        <w:rPr>
          <w:rFonts w:ascii="宋体" w:eastAsia="宋体" w:hAnsi="宋体" w:cs="宋体" w:hint="eastAsia"/>
          <w:b/>
          <w:bCs/>
          <w:kern w:val="2"/>
          <w:sz w:val="21"/>
          <w:szCs w:val="22"/>
          <w:lang w:eastAsia="zh-CN"/>
        </w:rPr>
        <w:t>参考示例1：</w:t>
      </w:r>
      <w:r>
        <w:rPr>
          <w:rFonts w:ascii="宋体" w:eastAsia="宋体" w:hAnsi="宋体" w:cs="宋体" w:hint="eastAsia"/>
          <w:kern w:val="2"/>
          <w:sz w:val="21"/>
          <w:szCs w:val="22"/>
          <w:lang w:eastAsia="zh-CN"/>
        </w:rPr>
        <w:t>“深圳市市场监督管理局——商事登记簿查询（商事主体登记及备案信息查询）：</w:t>
      </w:r>
      <w:hyperlink r:id="rId17" w:history="1">
        <w:r>
          <w:rPr>
            <w:rFonts w:ascii="宋体" w:eastAsia="宋体" w:hAnsi="宋体" w:cs="宋体" w:hint="eastAsia"/>
            <w:color w:val="0000FF"/>
            <w:kern w:val="2"/>
            <w:sz w:val="21"/>
            <w:szCs w:val="22"/>
            <w:u w:val="single"/>
            <w:lang w:eastAsia="zh-CN"/>
          </w:rPr>
          <w:t>https://amr.sz.gov.cn/outer/entSelect/gs.html”。</w:t>
        </w:r>
      </w:hyperlink>
    </w:p>
    <w:p>
      <w:pPr>
        <w:spacing w:line="360" w:lineRule="auto"/>
        <w:ind w:firstLine="480" w:firstLineChars="200"/>
        <w:rPr>
          <w:rFonts w:ascii="宋体" w:eastAsia="宋体" w:hAnsi="宋体" w:hint="eastAsia"/>
          <w:bCs/>
          <w:kern w:val="2"/>
          <w:sz w:val="21"/>
          <w:szCs w:val="21"/>
          <w:lang w:eastAsia="zh-CN"/>
        </w:rPr>
      </w:pPr>
      <w:r>
        <w:rPr>
          <w:rFonts w:ascii="宋体" w:eastAsia="宋体" w:hAnsi="宋体"/>
          <w:szCs w:val="21"/>
        </w:rPr>
        <w:drawing>
          <wp:inline distT="0" distB="0" distL="0" distR="0">
            <wp:extent cx="4886325" cy="4972050"/>
            <wp:effectExtent l="0" t="0" r="9525" b="0"/>
            <wp:docPr id="21" name="图片 21" descr="12e5581987e7a988a89e173886a9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e5581987e7a988a89e173886a93ac"/>
                    <pic:cNvPicPr>
                      <a:picLocks noChangeAspect="1" noChangeArrowheads="1"/>
                    </pic:cNvPicPr>
                  </pic:nvPicPr>
                  <pic:blipFill>
                    <a:blip xmlns:r="http://schemas.openxmlformats.org/officeDocument/2006/relationships" r:embed="rId18"/>
                    <a:stretch>
                      <a:fillRect/>
                    </a:stretch>
                  </pic:blipFill>
                  <pic:spPr>
                    <a:xfrm>
                      <a:off x="0" y="0"/>
                      <a:ext cx="4886325" cy="4972050"/>
                    </a:xfrm>
                    <a:prstGeom prst="rect">
                      <a:avLst/>
                    </a:prstGeom>
                    <a:noFill/>
                    <a:ln w="9525">
                      <a:noFill/>
                      <a:miter lim="800000"/>
                      <a:headEnd/>
                      <a:tailEnd/>
                    </a:ln>
                  </pic:spPr>
                </pic:pic>
              </a:graphicData>
            </a:graphic>
          </wp:inline>
        </w:drawing>
      </w:r>
    </w:p>
    <w:p>
      <w:pPr>
        <w:rPr>
          <w:rFonts w:ascii="Calibri" w:eastAsia="宋体" w:hAnsi="Calibri"/>
          <w:kern w:val="2"/>
          <w:sz w:val="21"/>
          <w:szCs w:val="22"/>
          <w:lang w:eastAsia="zh-CN"/>
        </w:rPr>
      </w:pPr>
      <w:r>
        <w:rPr>
          <w:rFonts w:ascii="宋体" w:eastAsia="宋体" w:hAnsi="宋体"/>
          <w:szCs w:val="21"/>
        </w:rPr>
        <w:drawing>
          <wp:inline distT="0" distB="0" distL="0" distR="0">
            <wp:extent cx="5267325" cy="2543175"/>
            <wp:effectExtent l="0" t="0" r="9525" b="9525"/>
            <wp:docPr id="22" name="图片 22" descr="d908ea879b86cdd1bf2ab44944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908ea879b86cdd1bf2ab4494434741"/>
                    <pic:cNvPicPr>
                      <a:picLocks noChangeAspect="1" noChangeArrowheads="1"/>
                    </pic:cNvPicPr>
                  </pic:nvPicPr>
                  <pic:blipFill>
                    <a:blip xmlns:r="http://schemas.openxmlformats.org/officeDocument/2006/relationships" r:embed="rId19"/>
                    <a:stretch>
                      <a:fillRect/>
                    </a:stretch>
                  </pic:blipFill>
                  <pic:spPr>
                    <a:xfrm>
                      <a:off x="0" y="0"/>
                      <a:ext cx="5267325" cy="2543175"/>
                    </a:xfrm>
                    <a:prstGeom prst="rect">
                      <a:avLst/>
                    </a:prstGeom>
                    <a:noFill/>
                    <a:ln w="9525">
                      <a:noFill/>
                      <a:miter lim="800000"/>
                      <a:headEnd/>
                      <a:tailEnd/>
                    </a:ln>
                  </pic:spPr>
                </pic:pic>
              </a:graphicData>
            </a:graphic>
          </wp:inline>
        </w:drawing>
      </w:r>
    </w:p>
    <w:p>
      <w:pPr>
        <w:widowControl w:val="0"/>
        <w:spacing w:line="360" w:lineRule="auto"/>
        <w:rPr>
          <w:rFonts w:ascii="宋体" w:eastAsia="宋体" w:hAnsi="宋体" w:cs="宋体" w:hint="eastAsia"/>
          <w:color w:val="0000FF"/>
          <w:kern w:val="2"/>
          <w:sz w:val="21"/>
          <w:szCs w:val="21"/>
          <w:u w:val="single"/>
          <w:lang w:eastAsia="zh-CN"/>
        </w:rPr>
      </w:pPr>
      <w:r>
        <w:rPr>
          <w:rFonts w:ascii="宋体" w:eastAsia="宋体" w:hAnsi="宋体" w:cs="宋体" w:hint="eastAsia"/>
          <w:b/>
          <w:bCs/>
          <w:kern w:val="2"/>
          <w:sz w:val="21"/>
          <w:szCs w:val="21"/>
          <w:lang w:eastAsia="zh-CN"/>
        </w:rPr>
        <w:t>参考示例2：</w:t>
      </w:r>
      <w:r>
        <w:rPr>
          <w:rFonts w:ascii="宋体" w:eastAsia="宋体" w:hAnsi="宋体" w:cs="宋体" w:hint="eastAsia"/>
          <w:kern w:val="2"/>
          <w:sz w:val="21"/>
          <w:szCs w:val="21"/>
          <w:lang w:eastAsia="zh-CN"/>
        </w:rPr>
        <w:t>提供国家企业信用信息公示系统截图。网址：</w:t>
      </w:r>
      <w:hyperlink r:id="rId20" w:history="1">
        <w:r>
          <w:rPr>
            <w:rFonts w:ascii="宋体" w:eastAsia="宋体" w:hAnsi="宋体" w:cs="宋体" w:hint="eastAsia"/>
            <w:color w:val="0000FF"/>
            <w:kern w:val="2"/>
            <w:sz w:val="21"/>
            <w:szCs w:val="21"/>
            <w:u w:val="single"/>
            <w:lang w:eastAsia="zh-CN"/>
          </w:rPr>
          <w:t>https://www.gsxt.gov.cn/corp-query-homepage.html</w:t>
        </w:r>
      </w:hyperlink>
    </w:p>
    <w:p>
      <w:pPr>
        <w:widowControl w:val="0"/>
        <w:spacing w:line="360" w:lineRule="auto"/>
        <w:jc w:val="both"/>
        <w:rPr>
          <w:rFonts w:ascii="Calibri" w:eastAsia="宋体" w:hAnsi="Calibri"/>
          <w:b/>
          <w:bCs/>
          <w:kern w:val="2"/>
          <w:sz w:val="21"/>
          <w:szCs w:val="22"/>
          <w:lang w:eastAsia="zh-CN"/>
        </w:rPr>
      </w:pPr>
      <w:r>
        <w:drawing>
          <wp:inline distT="0" distB="0" distL="114300" distR="114300">
            <wp:extent cx="5471795" cy="4735830"/>
            <wp:effectExtent l="0" t="0" r="14605"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xmlns:r="http://schemas.openxmlformats.org/officeDocument/2006/relationships" r:embed="rId21"/>
                    <a:stretch>
                      <a:fillRect/>
                    </a:stretch>
                  </pic:blipFill>
                  <pic:spPr>
                    <a:xfrm>
                      <a:off x="0" y="0"/>
                      <a:ext cx="5471795" cy="4735830"/>
                    </a:xfrm>
                    <a:prstGeom prst="rect">
                      <a:avLst/>
                    </a:prstGeom>
                    <a:noFill/>
                    <a:ln>
                      <a:noFill/>
                    </a:ln>
                  </pic:spPr>
                </pic:pic>
              </a:graphicData>
            </a:graphic>
          </wp:inline>
        </w:drawing>
      </w:r>
    </w:p>
    <w:p>
      <w:pPr>
        <w:widowControl w:val="0"/>
        <w:spacing w:line="360" w:lineRule="auto"/>
        <w:jc w:val="both"/>
        <w:rPr>
          <w:rFonts w:ascii="宋体" w:eastAsia="宋体" w:hAnsi="宋体" w:cs="宋体" w:hint="eastAsia"/>
          <w:b/>
          <w:bCs/>
          <w:color w:val="FF0000"/>
          <w:kern w:val="2"/>
          <w:sz w:val="21"/>
          <w:szCs w:val="22"/>
          <w:highlight w:val="yellow"/>
          <w:lang w:eastAsia="zh-CN"/>
        </w:rPr>
      </w:pPr>
      <w:r>
        <w:rPr>
          <w:rFonts w:ascii="宋体" w:eastAsia="宋体" w:hAnsi="宋体" w:cs="宋体" w:hint="eastAsia"/>
          <w:b/>
          <w:bCs/>
          <w:color w:val="FF0000"/>
          <w:kern w:val="2"/>
          <w:sz w:val="21"/>
          <w:szCs w:val="22"/>
          <w:highlight w:val="yellow"/>
          <w:lang w:eastAsia="zh-CN"/>
        </w:rPr>
        <w:t>提示：如果投标供应商存在单位负责人为同一人，或者存在直接控股、间接控股、管理关系等情形，将被纳入交易监管平台产生示警信息，由此产生的负面影响，由投标人自行承担。</w:t>
      </w:r>
    </w:p>
    <w:p>
      <w:pPr>
        <w:widowControl w:val="0"/>
        <w:jc w:val="both"/>
        <w:rPr>
          <w:rFonts w:ascii="Calibri" w:eastAsia="宋体" w:hAnsi="Calibri"/>
          <w:kern w:val="2"/>
          <w:sz w:val="21"/>
          <w:szCs w:val="22"/>
          <w:lang w:eastAsia="zh-CN"/>
        </w:rPr>
      </w:pPr>
    </w:p>
    <w:p>
      <w:pPr>
        <w:widowControl w:val="0"/>
        <w:spacing w:line="360" w:lineRule="auto"/>
        <w:jc w:val="both"/>
        <w:rPr>
          <w:rFonts w:ascii="Calibri" w:eastAsia="宋体" w:hAnsi="Calibri"/>
          <w:color w:val="FF0000"/>
          <w:kern w:val="2"/>
          <w:sz w:val="21"/>
          <w:szCs w:val="22"/>
          <w:lang w:eastAsia="zh-CN"/>
        </w:rPr>
      </w:pPr>
      <w:r>
        <w:rPr>
          <w:rFonts w:ascii="宋体" w:eastAsia="宋体" w:hAnsi="宋体" w:cstheme="minorBidi" w:hint="eastAsia"/>
          <w:b/>
          <w:color w:val="FF0000"/>
          <w:kern w:val="2"/>
          <w:sz w:val="21"/>
          <w:szCs w:val="22"/>
          <w:lang w:eastAsia="zh-CN"/>
        </w:rPr>
        <w:t>注：</w:t>
      </w:r>
      <w:r>
        <w:rPr>
          <w:rFonts w:ascii="宋体" w:eastAsia="宋体" w:hAnsi="宋体" w:cstheme="minorBidi" w:hint="eastAsia"/>
          <w:b/>
          <w:color w:val="FF0000"/>
          <w:kern w:val="2"/>
          <w:sz w:val="21"/>
          <w:szCs w:val="22"/>
          <w:highlight w:val="yellow"/>
          <w:lang w:eastAsia="zh-CN"/>
        </w:rPr>
        <w:t>若投标供应商因自身的单位性质无法截图的，无需提供截图，例如事业单位或协会等社会组织。</w:t>
      </w:r>
    </w:p>
    <w:p>
      <w:pPr>
        <w:widowControl w:val="0"/>
        <w:spacing w:after="120"/>
        <w:jc w:val="both"/>
        <w:rPr>
          <w:rFonts w:ascii="宋体" w:eastAsia="宋体" w:hAnsi="宋体" w:cs="宋体" w:hint="eastAsia"/>
          <w:kern w:val="2"/>
          <w:sz w:val="21"/>
          <w:szCs w:val="22"/>
          <w:lang w:eastAsia="zh-CN"/>
        </w:rPr>
      </w:pPr>
    </w:p>
    <w:p>
      <w:pPr>
        <w:keepNext/>
        <w:keepLines/>
        <w:widowControl w:val="0"/>
        <w:spacing w:line="360" w:lineRule="auto"/>
        <w:jc w:val="both"/>
        <w:outlineLvl w:val="2"/>
        <w:rPr>
          <w:rFonts w:ascii="宋体" w:eastAsia="宋体" w:hAnsi="宋体" w:cs="宋体" w:hint="eastAsia"/>
          <w:kern w:val="2"/>
          <w:sz w:val="21"/>
          <w:szCs w:val="22"/>
          <w:lang w:eastAsia="zh-CN"/>
        </w:rPr>
      </w:pPr>
      <w:r>
        <w:rPr>
          <w:rFonts w:ascii="宋体" w:eastAsia="宋体" w:hAnsi="宋体" w:cs="宋体" w:hint="eastAsia"/>
          <w:kern w:val="2"/>
          <w:sz w:val="21"/>
          <w:szCs w:val="22"/>
          <w:lang w:eastAsia="zh-CN"/>
        </w:rPr>
        <w:t>2、股东构成审查表</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2299"/>
        <w:gridCol w:w="6557"/>
      </w:tblGrid>
      <w:tr>
        <w:tblPrEx>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PrEx>
        <w:trPr>
          <w:trHeight w:val="589"/>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投标人名称</w:t>
            </w:r>
          </w:p>
        </w:tc>
        <w:tc>
          <w:tcPr>
            <w:tcW w:w="6315"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napToGrid w:val="0"/>
              <w:spacing w:line="360" w:lineRule="auto"/>
              <w:rPr>
                <w:rFonts w:ascii="宋体" w:eastAsia="宋体" w:hAnsi="宋体" w:cs="宋体" w:hint="eastAsia"/>
                <w:color w:val="000000"/>
                <w:kern w:val="2"/>
                <w:sz w:val="21"/>
                <w:szCs w:val="21"/>
                <w:lang w:eastAsia="zh-CN"/>
              </w:rPr>
            </w:pPr>
          </w:p>
        </w:tc>
      </w:tr>
      <w:tr>
        <w:tblPrEx>
          <w:tblW w:w="5000" w:type="pct"/>
          <w:tblInd w:w="0" w:type="dxa"/>
          <w:tblLayout w:type="fixed"/>
          <w:tblCellMar>
            <w:top w:w="0" w:type="dxa"/>
            <w:left w:w="108" w:type="dxa"/>
            <w:bottom w:w="0" w:type="dxa"/>
            <w:right w:w="108" w:type="dxa"/>
          </w:tblCellMar>
        </w:tblPrEx>
        <w:trPr>
          <w:trHeight w:val="794"/>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本单位负责人（法定代表人）姓名</w:t>
            </w:r>
          </w:p>
        </w:tc>
        <w:tc>
          <w:tcPr>
            <w:tcW w:w="6315"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napToGrid w:val="0"/>
              <w:spacing w:line="360" w:lineRule="auto"/>
              <w:rPr>
                <w:rFonts w:ascii="宋体" w:eastAsia="宋体" w:hAnsi="宋体" w:cs="宋体" w:hint="eastAsia"/>
                <w:color w:val="000000"/>
                <w:kern w:val="2"/>
                <w:sz w:val="21"/>
                <w:szCs w:val="21"/>
                <w:lang w:eastAsia="zh-CN"/>
              </w:rPr>
            </w:pPr>
          </w:p>
        </w:tc>
      </w:tr>
      <w:tr>
        <w:tblPrEx>
          <w:tblW w:w="5000" w:type="pct"/>
          <w:tblInd w:w="0" w:type="dxa"/>
          <w:tblLayout w:type="fixed"/>
          <w:tblCellMar>
            <w:top w:w="0" w:type="dxa"/>
            <w:left w:w="108" w:type="dxa"/>
            <w:bottom w:w="0" w:type="dxa"/>
            <w:right w:w="108" w:type="dxa"/>
          </w:tblCellMar>
        </w:tblPrEx>
        <w:trPr>
          <w:trHeight w:val="1418"/>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是否存在本单位的控股股东</w:t>
            </w:r>
          </w:p>
        </w:tc>
        <w:tc>
          <w:tcPr>
            <w:tcW w:w="6315"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napToGrid w:val="0"/>
              <w:spacing w:line="360" w:lineRule="auto"/>
              <w:rPr>
                <w:rFonts w:ascii="宋体" w:eastAsia="宋体" w:hAnsi="宋体" w:cs="宋体" w:hint="eastAsia"/>
                <w:color w:val="000000"/>
                <w:kern w:val="2"/>
                <w:sz w:val="21"/>
                <w:szCs w:val="21"/>
                <w:u w:val="single"/>
                <w:lang w:eastAsia="zh-CN"/>
              </w:rPr>
            </w:pPr>
            <w:r>
              <w:rPr>
                <w:rFonts w:ascii="宋体" w:eastAsia="宋体" w:hAnsi="宋体" w:cs="宋体" w:hint="eastAsia"/>
                <w:color w:val="000000"/>
                <w:kern w:val="2"/>
                <w:sz w:val="21"/>
                <w:szCs w:val="21"/>
                <w:lang w:eastAsia="zh-CN"/>
              </w:rPr>
              <w:t>□是，其控股股东为：</w:t>
            </w:r>
            <w:r>
              <w:rPr>
                <w:rFonts w:ascii="宋体" w:eastAsia="宋体" w:hAnsi="宋体" w:cs="宋体" w:hint="eastAsia"/>
                <w:color w:val="000000"/>
                <w:kern w:val="2"/>
                <w:sz w:val="21"/>
                <w:szCs w:val="21"/>
                <w:u w:val="single"/>
                <w:lang w:eastAsia="zh-CN"/>
              </w:rPr>
              <w:t xml:space="preserve">       </w:t>
            </w:r>
            <w:r>
              <w:rPr>
                <w:rFonts w:ascii="宋体" w:eastAsia="宋体" w:hAnsi="宋体" w:cs="宋体" w:hint="eastAsia"/>
                <w:color w:val="000000"/>
                <w:kern w:val="2"/>
                <w:sz w:val="21"/>
                <w:szCs w:val="21"/>
                <w:lang w:eastAsia="zh-CN"/>
              </w:rPr>
              <w:t>，股份占比：</w:t>
            </w:r>
            <w:r>
              <w:rPr>
                <w:rFonts w:ascii="宋体" w:eastAsia="宋体" w:hAnsi="宋体" w:cs="宋体" w:hint="eastAsia"/>
                <w:color w:val="000000"/>
                <w:kern w:val="2"/>
                <w:sz w:val="21"/>
                <w:szCs w:val="21"/>
                <w:u w:val="single"/>
                <w:lang w:eastAsia="zh-CN"/>
              </w:rPr>
              <w:t xml:space="preserve">       </w:t>
            </w:r>
            <w:r>
              <w:rPr>
                <w:rFonts w:ascii="宋体" w:eastAsia="宋体" w:hAnsi="宋体" w:cs="宋体" w:hint="eastAsia"/>
                <w:color w:val="000000"/>
                <w:kern w:val="2"/>
                <w:sz w:val="21"/>
                <w:szCs w:val="21"/>
                <w:lang w:eastAsia="zh-CN"/>
              </w:rPr>
              <w:t>；</w:t>
            </w:r>
          </w:p>
          <w:p>
            <w:pPr>
              <w:widowControl w:val="0"/>
              <w:autoSpaceDE w:val="0"/>
              <w:autoSpaceDN w:val="0"/>
              <w:adjustRightInd w:val="0"/>
              <w:snapToGrid w:val="0"/>
              <w:spacing w:line="360" w:lineRule="auto"/>
              <w:rPr>
                <w:rFonts w:ascii="宋体" w:eastAsia="宋体" w:hAnsi="宋体" w:cs="宋体" w:hint="eastAsia"/>
                <w:color w:val="000000"/>
                <w:kern w:val="2"/>
                <w:sz w:val="21"/>
                <w:szCs w:val="21"/>
                <w:lang w:eastAsia="zh-CN"/>
              </w:rPr>
            </w:pPr>
            <w:r>
              <w:rPr>
                <w:rFonts w:ascii="宋体" w:eastAsia="宋体" w:hAnsi="宋体" w:cs="宋体" w:hint="eastAsia"/>
                <w:color w:val="000000"/>
                <w:kern w:val="2"/>
                <w:sz w:val="21"/>
                <w:szCs w:val="21"/>
                <w:lang w:eastAsia="zh-CN"/>
              </w:rPr>
              <w:t>其他主要股东及其股份占比：</w:t>
            </w:r>
            <w:r>
              <w:rPr>
                <w:rFonts w:ascii="宋体" w:eastAsia="宋体" w:hAnsi="宋体" w:cs="宋体" w:hint="eastAsia"/>
                <w:color w:val="000000"/>
                <w:kern w:val="2"/>
                <w:sz w:val="21"/>
                <w:szCs w:val="21"/>
                <w:u w:val="single"/>
                <w:lang w:eastAsia="zh-CN"/>
              </w:rPr>
              <w:t xml:space="preserve">                </w:t>
            </w:r>
            <w:r>
              <w:rPr>
                <w:rFonts w:ascii="宋体" w:eastAsia="宋体" w:hAnsi="宋体" w:cs="宋体" w:hint="eastAsia"/>
                <w:color w:val="000000"/>
                <w:kern w:val="2"/>
                <w:sz w:val="21"/>
                <w:szCs w:val="21"/>
                <w:lang w:eastAsia="zh-CN"/>
              </w:rPr>
              <w:t>。</w:t>
            </w:r>
          </w:p>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color w:val="000000"/>
                <w:kern w:val="2"/>
                <w:sz w:val="21"/>
                <w:szCs w:val="21"/>
                <w:lang w:eastAsia="zh-CN"/>
              </w:rPr>
              <w:t>□否</w:t>
            </w:r>
          </w:p>
        </w:tc>
      </w:tr>
      <w:tr>
        <w:tblPrEx>
          <w:tblW w:w="5000" w:type="pct"/>
          <w:tblInd w:w="0" w:type="dxa"/>
          <w:tblLayout w:type="fixed"/>
          <w:tblCellMar>
            <w:top w:w="0" w:type="dxa"/>
            <w:left w:w="108" w:type="dxa"/>
            <w:bottom w:w="0" w:type="dxa"/>
            <w:right w:w="108" w:type="dxa"/>
          </w:tblCellMar>
        </w:tblPrEx>
        <w:trPr>
          <w:trHeight w:val="1136"/>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是否存在“与本单位存在管理关系的单位”</w:t>
            </w:r>
          </w:p>
        </w:tc>
        <w:tc>
          <w:tcPr>
            <w:tcW w:w="6315"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napToGrid w:val="0"/>
              <w:spacing w:line="360" w:lineRule="auto"/>
              <w:rPr>
                <w:rFonts w:ascii="宋体" w:eastAsia="宋体" w:hAnsi="宋体" w:cs="宋体" w:hint="eastAsia"/>
                <w:color w:val="000000"/>
                <w:kern w:val="2"/>
                <w:sz w:val="21"/>
                <w:szCs w:val="21"/>
                <w:u w:val="single"/>
                <w:lang w:eastAsia="zh-CN"/>
              </w:rPr>
            </w:pPr>
            <w:r>
              <w:rPr>
                <w:rFonts w:ascii="宋体" w:eastAsia="宋体" w:hAnsi="宋体" w:cs="宋体" w:hint="eastAsia"/>
                <w:color w:val="000000"/>
                <w:kern w:val="2"/>
                <w:sz w:val="21"/>
                <w:szCs w:val="21"/>
                <w:lang w:eastAsia="zh-CN"/>
              </w:rPr>
              <w:t>□是，该单位为：</w:t>
            </w:r>
          </w:p>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color w:val="000000"/>
                <w:kern w:val="2"/>
                <w:sz w:val="21"/>
                <w:szCs w:val="21"/>
                <w:lang w:eastAsia="zh-CN"/>
              </w:rPr>
              <w:t>□否</w:t>
            </w:r>
          </w:p>
        </w:tc>
      </w:tr>
      <w:tr>
        <w:tblPrEx>
          <w:tblW w:w="5000" w:type="pct"/>
          <w:tblInd w:w="0" w:type="dxa"/>
          <w:tblLayout w:type="fixed"/>
          <w:tblCellMar>
            <w:top w:w="0" w:type="dxa"/>
            <w:left w:w="108" w:type="dxa"/>
            <w:bottom w:w="0" w:type="dxa"/>
            <w:right w:w="108" w:type="dxa"/>
          </w:tblCellMar>
        </w:tblPrEx>
        <w:trPr>
          <w:trHeight w:val="1077"/>
        </w:trPr>
        <w:tc>
          <w:tcPr>
            <w:tcW w:w="2214" w:type="dxa"/>
            <w:tcBorders>
              <w:top w:val="single" w:sz="4" w:space="0" w:color="000000"/>
              <w:left w:val="single" w:sz="4" w:space="0" w:color="000000"/>
              <w:bottom w:val="single" w:sz="4" w:space="0" w:color="000000"/>
              <w:right w:val="single" w:sz="4" w:space="0" w:color="000000"/>
            </w:tcBorders>
            <w:shd w:val="clear" w:color="auto" w:fill="D9E2F3"/>
            <w:vAlign w:val="center"/>
          </w:tcPr>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是否存在“与招标人有利害关系”的情况</w:t>
            </w:r>
          </w:p>
        </w:tc>
        <w:tc>
          <w:tcPr>
            <w:tcW w:w="6315"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snapToGrid w:val="0"/>
              <w:spacing w:line="360" w:lineRule="auto"/>
              <w:rPr>
                <w:rFonts w:ascii="宋体" w:eastAsia="宋体" w:hAnsi="宋体" w:cs="宋体" w:hint="eastAsia"/>
                <w:color w:val="000000"/>
                <w:kern w:val="2"/>
                <w:sz w:val="21"/>
                <w:szCs w:val="21"/>
                <w:u w:val="single"/>
                <w:lang w:eastAsia="zh-CN"/>
              </w:rPr>
            </w:pPr>
            <w:r>
              <w:rPr>
                <w:rFonts w:ascii="宋体" w:eastAsia="宋体" w:hAnsi="宋体" w:cs="宋体" w:hint="eastAsia"/>
                <w:color w:val="000000"/>
                <w:kern w:val="2"/>
                <w:sz w:val="21"/>
                <w:szCs w:val="21"/>
                <w:lang w:eastAsia="zh-CN"/>
              </w:rPr>
              <w:t>□是，与招标人的关系为：</w:t>
            </w:r>
          </w:p>
          <w:p>
            <w:pPr>
              <w:widowControl w:val="0"/>
              <w:autoSpaceDE w:val="0"/>
              <w:autoSpaceDN w:val="0"/>
              <w:adjustRightInd w:val="0"/>
              <w:snapToGrid w:val="0"/>
              <w:spacing w:line="360" w:lineRule="auto"/>
              <w:rPr>
                <w:rFonts w:ascii="宋体" w:eastAsia="宋体" w:hAnsi="宋体" w:cs="宋体" w:hint="eastAsia"/>
                <w:color w:val="000000"/>
                <w:kern w:val="2"/>
                <w:sz w:val="21"/>
                <w:szCs w:val="21"/>
                <w:lang w:eastAsia="zh-CN"/>
              </w:rPr>
            </w:pPr>
            <w:r>
              <w:rPr>
                <w:rFonts w:ascii="宋体" w:eastAsia="宋体" w:hAnsi="宋体" w:cs="宋体" w:hint="eastAsia"/>
                <w:color w:val="000000"/>
                <w:kern w:val="2"/>
                <w:sz w:val="21"/>
                <w:szCs w:val="21"/>
                <w:lang w:eastAsia="zh-CN"/>
              </w:rPr>
              <w:t>□否</w:t>
            </w:r>
          </w:p>
        </w:tc>
      </w:tr>
    </w:tbl>
    <w:p>
      <w:pPr>
        <w:widowControl w:val="0"/>
        <w:autoSpaceDE w:val="0"/>
        <w:autoSpaceDN w:val="0"/>
        <w:adjustRightInd w:val="0"/>
        <w:snapToGrid w:val="0"/>
        <w:spacing w:line="360" w:lineRule="auto"/>
        <w:rPr>
          <w:rFonts w:ascii="宋体" w:eastAsia="宋体" w:hAnsi="宋体" w:cs="宋体" w:hint="eastAsia"/>
          <w:b/>
          <w:bCs/>
          <w:color w:val="000000"/>
          <w:kern w:val="2"/>
          <w:sz w:val="21"/>
          <w:szCs w:val="21"/>
          <w:lang w:eastAsia="zh-CN"/>
        </w:rPr>
      </w:pPr>
      <w:r>
        <w:rPr>
          <w:rFonts w:ascii="宋体" w:eastAsia="宋体" w:hAnsi="宋体" w:cs="宋体" w:hint="eastAsia"/>
          <w:b/>
          <w:bCs/>
          <w:color w:val="000000"/>
          <w:kern w:val="2"/>
          <w:sz w:val="21"/>
          <w:szCs w:val="21"/>
          <w:lang w:eastAsia="zh-CN"/>
        </w:rPr>
        <w:t>注：</w:t>
      </w:r>
    </w:p>
    <w:p>
      <w:pPr>
        <w:widowControl w:val="0"/>
        <w:autoSpaceDE w:val="0"/>
        <w:autoSpaceDN w:val="0"/>
        <w:adjustRightInd w:val="0"/>
        <w:snapToGrid w:val="0"/>
        <w:spacing w:line="360" w:lineRule="auto"/>
        <w:rPr>
          <w:rFonts w:ascii="宋体" w:eastAsia="宋体" w:hAnsi="宋体" w:cs="宋体" w:hint="eastAsia"/>
          <w:bCs/>
          <w:color w:val="000000"/>
          <w:kern w:val="2"/>
          <w:sz w:val="21"/>
          <w:szCs w:val="21"/>
          <w:lang w:eastAsia="zh-CN"/>
        </w:rPr>
      </w:pPr>
      <w:r>
        <w:rPr>
          <w:rFonts w:ascii="宋体" w:eastAsia="宋体" w:hAnsi="宋体" w:cs="宋体" w:hint="eastAsia"/>
          <w:bCs/>
          <w:color w:val="000000"/>
          <w:kern w:val="2"/>
          <w:sz w:val="21"/>
          <w:szCs w:val="21"/>
          <w:lang w:eastAsia="zh-CN"/>
        </w:rPr>
        <w:t>1、控股是指：其出资额占有限责任公司资本总额百分之五十以上或其持有的股份占股份有限公司股本总额百分之五十以上的股东；出资额或者持有股份的比例虽然不足百分之五十，但依其出资额或者或其持有的股份享有的表决权已足以对股东会、股东大会的决议产生重大影响的股东；</w:t>
      </w:r>
    </w:p>
    <w:p>
      <w:pPr>
        <w:widowControl w:val="0"/>
        <w:autoSpaceDE w:val="0"/>
        <w:autoSpaceDN w:val="0"/>
        <w:adjustRightInd w:val="0"/>
        <w:snapToGrid w:val="0"/>
        <w:spacing w:line="360" w:lineRule="auto"/>
        <w:rPr>
          <w:rFonts w:ascii="宋体" w:eastAsia="宋体" w:hAnsi="宋体" w:cs="宋体" w:hint="eastAsia"/>
          <w:bCs/>
          <w:color w:val="000000"/>
          <w:kern w:val="2"/>
          <w:sz w:val="21"/>
          <w:szCs w:val="21"/>
          <w:lang w:eastAsia="zh-CN"/>
        </w:rPr>
      </w:pPr>
      <w:r>
        <w:rPr>
          <w:rFonts w:ascii="宋体" w:eastAsia="宋体" w:hAnsi="宋体" w:cs="宋体" w:hint="eastAsia"/>
          <w:bCs/>
          <w:color w:val="000000"/>
          <w:kern w:val="2"/>
          <w:sz w:val="21"/>
          <w:szCs w:val="21"/>
          <w:lang w:eastAsia="zh-CN"/>
        </w:rPr>
        <w:t>2、投标人需如实填写上述信息，如查实上述信息与实际不符，视为提供虚假证明材料骗取中标，投标人应承担相应法律后果。</w:t>
      </w: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spacing w:line="360" w:lineRule="auto"/>
        <w:rPr>
          <w:rFonts w:hint="eastAsia"/>
          <w:b/>
          <w:bCs/>
          <w:lang w:eastAsia="zh-CN"/>
        </w:rPr>
      </w:pPr>
    </w:p>
    <w:p>
      <w:pPr>
        <w:widowControl w:val="0"/>
        <w:spacing w:after="60" w:afterLines="25" w:line="300" w:lineRule="auto"/>
        <w:jc w:val="left"/>
        <w:rPr>
          <w:rFonts w:ascii="Arial" w:eastAsia="宋体" w:hAnsi="Arial"/>
          <w:b/>
          <w:kern w:val="2"/>
          <w:sz w:val="21"/>
          <w:szCs w:val="22"/>
          <w:lang w:eastAsia="zh-CN"/>
        </w:rPr>
      </w:pPr>
    </w:p>
    <w:p>
      <w:pPr>
        <w:jc w:val="center"/>
        <w:rPr>
          <w:rFonts w:ascii="Arial" w:eastAsia="宋体" w:hAnsi="Arial"/>
          <w:kern w:val="2"/>
          <w:sz w:val="21"/>
          <w:lang w:eastAsia="zh-CN"/>
        </w:rPr>
      </w:pPr>
      <w:r>
        <w:rPr>
          <w:rFonts w:ascii="Arial" w:eastAsia="宋体" w:hAnsi="Arial" w:cstheme="minorBidi"/>
          <w:kern w:val="2"/>
          <w:sz w:val="21"/>
          <w:szCs w:val="22"/>
          <w:lang w:eastAsia="zh-CN"/>
        </w:rPr>
        <w:br w:type="page"/>
      </w:r>
    </w:p>
    <w:p>
      <w:pPr>
        <w:keepNext/>
        <w:keepLines/>
        <w:widowControl w:val="0"/>
        <w:spacing w:before="260" w:after="260"/>
        <w:jc w:val="center"/>
        <w:outlineLvl w:val="2"/>
        <w:rPr>
          <w:rFonts w:ascii="黑体" w:eastAsia="黑体" w:hAnsi="宋体" w:hint="eastAsia"/>
          <w:b/>
          <w:kern w:val="2"/>
          <w:sz w:val="30"/>
          <w:szCs w:val="30"/>
          <w:lang w:eastAsia="zh-CN"/>
        </w:rPr>
      </w:pPr>
      <w:r>
        <w:rPr>
          <w:rFonts w:ascii="黑体" w:eastAsia="黑体" w:hAnsi="宋体" w:cstheme="minorBidi" w:hint="eastAsia"/>
          <w:b/>
          <w:kern w:val="2"/>
          <w:sz w:val="30"/>
          <w:szCs w:val="30"/>
          <w:lang w:eastAsia="zh-CN"/>
        </w:rPr>
        <w:t>六、</w:t>
      </w:r>
      <w:bookmarkStart w:id="33" w:name="_Hlk72092499"/>
      <w:r>
        <w:rPr>
          <w:rFonts w:ascii="黑体" w:eastAsia="黑体" w:hAnsi="宋体" w:cstheme="minorBidi" w:hint="eastAsia"/>
          <w:b/>
          <w:kern w:val="2"/>
          <w:sz w:val="30"/>
          <w:szCs w:val="30"/>
          <w:lang w:eastAsia="zh-CN"/>
        </w:rPr>
        <w:t>法定代表人（负责人）证明书</w:t>
      </w:r>
      <w:bookmarkEnd w:id="33"/>
    </w:p>
    <w:p>
      <w:pPr>
        <w:widowControl w:val="0"/>
        <w:jc w:val="both"/>
        <w:rPr>
          <w:rFonts w:ascii="Calibri" w:eastAsia="宋体" w:hAnsi="Calibri"/>
          <w:kern w:val="2"/>
          <w:szCs w:val="22"/>
          <w:lang w:eastAsia="zh-CN"/>
        </w:rPr>
      </w:pPr>
    </w:p>
    <w:p>
      <w:pPr>
        <w:widowControl w:val="0"/>
        <w:spacing w:line="360" w:lineRule="auto"/>
        <w:jc w:val="both"/>
        <w:rPr>
          <w:rFonts w:ascii="Calibri" w:eastAsia="宋体" w:hAnsi="Calibri"/>
          <w:kern w:val="2"/>
          <w:sz w:val="21"/>
          <w:szCs w:val="21"/>
          <w:lang w:eastAsia="zh-CN"/>
        </w:rPr>
      </w:pP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（姓名），现任我单位职务，为法定代表人（负责人），身份证件号为：</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，联系电话：</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特此证明。</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说明：1、法定代表人为投标人（企业事业单位、国家机关、社会团体）的主要行政负责人。</w:t>
      </w:r>
    </w:p>
    <w:p>
      <w:pPr>
        <w:widowControl w:val="0"/>
        <w:numPr>
          <w:ilvl w:val="0"/>
          <w:numId w:val="7"/>
        </w:numPr>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本证明书要供法定代表人（负责人）相关身份证明文件：身份证扫描件（正反两面）；港澳台居民可提供来往通行证扫描件；非中国国籍管辖范围人员，可提供公安部门认可的身份证明材料扫描件。</w:t>
      </w:r>
    </w:p>
    <w:p>
      <w:pPr>
        <w:widowControl w:val="0"/>
        <w:numPr>
          <w:ilvl w:val="0"/>
          <w:numId w:val="7"/>
        </w:numPr>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本项目投标授权代表为法定代表人（负责人）的，无需提供《投标文件签署授权委托书》。</w:t>
      </w:r>
    </w:p>
    <w:p>
      <w:pPr>
        <w:widowControl w:val="0"/>
        <w:numPr>
          <w:ilvl w:val="0"/>
          <w:numId w:val="7"/>
        </w:numPr>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内容必须填写真实、清楚，涂改无效，不得转让、买卖。</w:t>
      </w:r>
    </w:p>
    <w:p>
      <w:pPr>
        <w:widowControl w:val="0"/>
        <w:spacing w:line="360" w:lineRule="auto"/>
        <w:jc w:val="both"/>
        <w:rPr>
          <w:rFonts w:ascii="Calibri" w:eastAsia="宋体" w:hAnsi="Calibri"/>
          <w:kern w:val="2"/>
          <w:sz w:val="21"/>
          <w:szCs w:val="21"/>
          <w:lang w:eastAsia="zh-CN"/>
        </w:rPr>
      </w:pPr>
      <w:r>
        <w:rPr>
          <w:rFonts w:hint="eastAsia"/>
          <w:b/>
          <w:color w:val="FF0000"/>
          <w:lang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428"/>
        <w:gridCol w:w="4428"/>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268"/>
        </w:trPr>
        <w:tc>
          <w:tcPr>
            <w:tcW w:w="4529" w:type="dxa"/>
          </w:tcPr>
          <w:p>
            <w:pPr>
              <w:jc w:val="center"/>
              <w:rPr>
                <w:rFonts w:ascii="Calibri" w:hAnsi="Calibri"/>
                <w:kern w:val="2"/>
                <w:sz w:val="21"/>
                <w:szCs w:val="22"/>
                <w:lang w:eastAsia="zh-CN"/>
              </w:rPr>
            </w:pPr>
            <w:r>
              <w:rPr>
                <w:rFonts w:ascii="Calibri" w:hAnsi="Calibri" w:cstheme="minorBidi" w:hint="eastAsia"/>
                <w:kern w:val="2"/>
                <w:sz w:val="21"/>
                <w:szCs w:val="22"/>
                <w:lang w:eastAsia="zh-CN"/>
              </w:rPr>
              <w:t>证件扫描件正面</w:t>
            </w:r>
          </w:p>
          <w:p>
            <w:pPr>
              <w:spacing w:line="360" w:lineRule="auto"/>
              <w:jc w:val="center"/>
              <w:rPr>
                <w:rFonts w:ascii="Calibri" w:hAnsi="Calibri"/>
                <w:b/>
                <w:bCs/>
                <w:kern w:val="2"/>
                <w:szCs w:val="22"/>
                <w:lang w:eastAsia="zh-CN"/>
              </w:rPr>
            </w:pPr>
          </w:p>
          <w:p>
            <w:pPr>
              <w:spacing w:line="360" w:lineRule="auto"/>
              <w:jc w:val="center"/>
              <w:rPr>
                <w:rFonts w:ascii="Calibri" w:hAnsi="Calibri"/>
                <w:kern w:val="2"/>
                <w:szCs w:val="22"/>
                <w:lang w:eastAsia="zh-CN"/>
              </w:rPr>
            </w:pPr>
          </w:p>
        </w:tc>
        <w:tc>
          <w:tcPr>
            <w:tcW w:w="4530" w:type="dxa"/>
          </w:tcPr>
          <w:p>
            <w:pPr>
              <w:jc w:val="center"/>
              <w:rPr>
                <w:rFonts w:ascii="Calibri" w:hAnsi="Calibri"/>
                <w:kern w:val="2"/>
                <w:sz w:val="21"/>
                <w:szCs w:val="22"/>
                <w:lang w:eastAsia="zh-CN"/>
              </w:rPr>
            </w:pPr>
            <w:r>
              <w:rPr>
                <w:rFonts w:ascii="Calibri" w:hAnsi="Calibri" w:cstheme="minorBidi" w:hint="eastAsia"/>
                <w:kern w:val="2"/>
                <w:sz w:val="21"/>
                <w:szCs w:val="22"/>
                <w:lang w:eastAsia="zh-CN"/>
              </w:rPr>
              <w:t>证件扫描件反面</w:t>
            </w:r>
          </w:p>
          <w:p>
            <w:pPr>
              <w:spacing w:line="360" w:lineRule="auto"/>
              <w:jc w:val="center"/>
              <w:rPr>
                <w:rFonts w:ascii="Calibri" w:hAnsi="Calibri"/>
                <w:b/>
                <w:bCs/>
                <w:kern w:val="2"/>
                <w:szCs w:val="22"/>
                <w:lang w:eastAsia="zh-CN"/>
              </w:rPr>
            </w:pPr>
          </w:p>
          <w:p>
            <w:pPr>
              <w:spacing w:line="360" w:lineRule="auto"/>
              <w:jc w:val="center"/>
              <w:rPr>
                <w:rFonts w:ascii="Calibri" w:hAnsi="Calibri"/>
                <w:kern w:val="2"/>
                <w:szCs w:val="22"/>
                <w:lang w:eastAsia="zh-CN"/>
              </w:rPr>
            </w:pPr>
          </w:p>
        </w:tc>
      </w:tr>
    </w:tbl>
    <w:p>
      <w:pPr>
        <w:widowControl w:val="0"/>
        <w:jc w:val="both"/>
        <w:rPr>
          <w:rFonts w:ascii="Calibri" w:eastAsia="宋体" w:hAnsi="Calibri"/>
          <w:kern w:val="2"/>
          <w:szCs w:val="22"/>
          <w:lang w:eastAsia="zh-CN"/>
        </w:rPr>
      </w:pPr>
    </w:p>
    <w:p>
      <w:pPr>
        <w:widowControl w:val="0"/>
        <w:spacing w:after="120"/>
        <w:ind w:left="480" w:firstLine="480" w:leftChars="200" w:firstLineChars="200"/>
        <w:jc w:val="both"/>
        <w:rPr>
          <w:rFonts w:ascii="Calibri" w:eastAsia="宋体" w:hAnsi="Calibri"/>
          <w:kern w:val="2"/>
          <w:szCs w:val="22"/>
          <w:lang w:eastAsia="zh-CN"/>
        </w:rPr>
      </w:pPr>
    </w:p>
    <w:p>
      <w:pPr>
        <w:widowControl w:val="0"/>
        <w:spacing w:after="120"/>
        <w:ind w:left="480" w:firstLine="480" w:leftChars="200" w:firstLineChars="200"/>
        <w:jc w:val="both"/>
        <w:rPr>
          <w:rFonts w:ascii="Calibri" w:eastAsia="宋体" w:hAnsi="Calibri"/>
          <w:kern w:val="2"/>
          <w:szCs w:val="22"/>
          <w:lang w:eastAsia="zh-CN"/>
        </w:rPr>
      </w:pPr>
    </w:p>
    <w:p>
      <w:pPr>
        <w:widowControl w:val="0"/>
        <w:spacing w:after="120"/>
        <w:ind w:left="480" w:firstLine="480" w:leftChars="200" w:firstLineChars="200"/>
        <w:jc w:val="both"/>
        <w:rPr>
          <w:rFonts w:ascii="Calibri" w:eastAsia="宋体" w:hAnsi="Calibri"/>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keepNext/>
        <w:keepLines/>
        <w:spacing w:before="120" w:after="120"/>
        <w:jc w:val="center"/>
        <w:outlineLvl w:val="2"/>
        <w:rPr>
          <w:rFonts w:ascii="黑体" w:eastAsia="黑体" w:hAnsi="宋体" w:hint="eastAsia"/>
          <w:bCs/>
          <w:kern w:val="2"/>
          <w:szCs w:val="32"/>
        </w:rPr>
      </w:pPr>
      <w:r>
        <w:rPr>
          <w:rFonts w:ascii="黑体" w:eastAsia="黑体" w:hAnsi="宋体" w:hint="eastAsia"/>
          <w:bCs/>
          <w:kern w:val="2"/>
          <w:szCs w:val="32"/>
          <w:lang w:eastAsia="zh-CN"/>
        </w:rPr>
        <w:t>七、</w:t>
      </w:r>
      <w:r>
        <w:rPr>
          <w:rFonts w:ascii="黑体" w:eastAsia="黑体" w:hAnsi="宋体" w:hint="eastAsia"/>
          <w:bCs/>
          <w:kern w:val="2"/>
          <w:szCs w:val="32"/>
        </w:rPr>
        <w:t>供应商基本情况表</w:t>
      </w:r>
    </w:p>
    <w:tbl>
      <w:tblPr>
        <w:tblStyle w:val="TableNormal"/>
        <w:tblW w:w="5000" w:type="pct"/>
        <w:tblInd w:w="0" w:type="dxa"/>
        <w:tblLayout w:type="fixed"/>
        <w:tblCellMar>
          <w:top w:w="0" w:type="dxa"/>
          <w:left w:w="108" w:type="dxa"/>
          <w:bottom w:w="0" w:type="dxa"/>
          <w:right w:w="108" w:type="dxa"/>
        </w:tblCellMar>
      </w:tblPr>
      <w:tblGrid>
        <w:gridCol w:w="730"/>
        <w:gridCol w:w="669"/>
        <w:gridCol w:w="1590"/>
        <w:gridCol w:w="939"/>
        <w:gridCol w:w="783"/>
        <w:gridCol w:w="1188"/>
        <w:gridCol w:w="1486"/>
        <w:gridCol w:w="1471"/>
      </w:tblGrid>
      <w:tr>
        <w:tblPrEx>
          <w:tblW w:w="5000" w:type="pct"/>
          <w:tblInd w:w="0" w:type="dxa"/>
          <w:tblLayout w:type="fixed"/>
          <w:tblCellMar>
            <w:top w:w="0" w:type="dxa"/>
            <w:left w:w="108" w:type="dxa"/>
            <w:bottom w:w="0" w:type="dxa"/>
            <w:right w:w="108" w:type="dxa"/>
          </w:tblCellMar>
        </w:tblPrEx>
        <w:tc>
          <w:tcPr>
            <w:tcW w:w="141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投标（响应）供应商</w:t>
            </w:r>
          </w:p>
        </w:tc>
        <w:tc>
          <w:tcPr>
            <w:tcW w:w="2553"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项目名称及编号</w:t>
            </w:r>
          </w:p>
        </w:tc>
        <w:tc>
          <w:tcPr>
            <w:tcW w:w="2985"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r>
      <w:tr>
        <w:tblPrEx>
          <w:tblW w:w="5000" w:type="pct"/>
          <w:tblInd w:w="0" w:type="dxa"/>
          <w:tblLayout w:type="fixed"/>
          <w:tblCellMar>
            <w:top w:w="0" w:type="dxa"/>
            <w:left w:w="108" w:type="dxa"/>
            <w:bottom w:w="0" w:type="dxa"/>
            <w:right w:w="108" w:type="dxa"/>
          </w:tblCellMar>
        </w:tblPrEx>
        <w:tc>
          <w:tcPr>
            <w:tcW w:w="8941" w:type="dxa"/>
            <w:gridSpan w:val="8"/>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lang w:eastAsia="zh-CN"/>
              </w:rPr>
            </w:pPr>
            <w:r>
              <w:rPr>
                <w:b/>
                <w:bCs/>
                <w:kern w:val="2"/>
                <w:lang w:eastAsia="zh-CN"/>
              </w:rPr>
              <w:t>投标（响应）供应商相关人员情况</w:t>
            </w: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序号</w:t>
            </w:r>
          </w:p>
        </w:tc>
        <w:tc>
          <w:tcPr>
            <w:tcW w:w="228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职务</w:t>
            </w:r>
          </w:p>
        </w:tc>
        <w:tc>
          <w:tcPr>
            <w:tcW w:w="947"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姓名</w:t>
            </w:r>
          </w:p>
        </w:tc>
        <w:tc>
          <w:tcPr>
            <w:tcW w:w="1991"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身份证号码</w:t>
            </w:r>
          </w:p>
        </w:tc>
        <w:tc>
          <w:tcPr>
            <w:tcW w:w="1500"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劳动合同</w:t>
            </w:r>
          </w:p>
          <w:p>
            <w:pPr>
              <w:spacing w:line="360" w:lineRule="auto"/>
              <w:rPr>
                <w:b/>
                <w:bCs/>
                <w:kern w:val="2"/>
              </w:rPr>
            </w:pPr>
            <w:r>
              <w:rPr>
                <w:b/>
                <w:bCs/>
                <w:kern w:val="2"/>
              </w:rPr>
              <w:t>关系单位</w:t>
            </w:r>
          </w:p>
        </w:tc>
        <w:tc>
          <w:tcPr>
            <w:tcW w:w="1485"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缴纳社会</w:t>
            </w:r>
          </w:p>
          <w:p>
            <w:pPr>
              <w:spacing w:line="360" w:lineRule="auto"/>
              <w:rPr>
                <w:b/>
                <w:bCs/>
                <w:kern w:val="2"/>
              </w:rPr>
            </w:pPr>
            <w:r>
              <w:rPr>
                <w:b/>
                <w:bCs/>
                <w:kern w:val="2"/>
              </w:rPr>
              <w:t>保险单位</w:t>
            </w: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1</w:t>
            </w:r>
          </w:p>
        </w:tc>
        <w:tc>
          <w:tcPr>
            <w:tcW w:w="2282" w:type="dxa"/>
            <w:gridSpan w:val="2"/>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r>
              <w:rPr>
                <w:b/>
                <w:bCs/>
                <w:kern w:val="2"/>
                <w:lang w:eastAsia="zh-CN"/>
              </w:rPr>
              <w:t>法定代表人/单位负责人/主要经营负责人</w:t>
            </w:r>
          </w:p>
        </w:tc>
        <w:tc>
          <w:tcPr>
            <w:tcW w:w="947" w:type="dxa"/>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p>
        </w:tc>
        <w:tc>
          <w:tcPr>
            <w:tcW w:w="1991" w:type="dxa"/>
            <w:gridSpan w:val="2"/>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p>
        </w:tc>
        <w:tc>
          <w:tcPr>
            <w:tcW w:w="1500" w:type="dxa"/>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p>
        </w:tc>
        <w:tc>
          <w:tcPr>
            <w:tcW w:w="1485" w:type="dxa"/>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2</w:t>
            </w:r>
          </w:p>
        </w:tc>
        <w:tc>
          <w:tcPr>
            <w:tcW w:w="2282"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r>
              <w:rPr>
                <w:b/>
                <w:bCs/>
                <w:kern w:val="2"/>
              </w:rPr>
              <w:t>项目投标授权代表人</w:t>
            </w:r>
          </w:p>
        </w:tc>
        <w:tc>
          <w:tcPr>
            <w:tcW w:w="947" w:type="dxa"/>
            <w:tcBorders>
              <w:top w:val="single" w:sz="4" w:space="0" w:color="auto"/>
              <w:left w:val="nil"/>
              <w:bottom w:val="single" w:sz="4" w:space="0" w:color="auto"/>
              <w:right w:val="single" w:sz="4" w:space="0" w:color="auto"/>
            </w:tcBorders>
            <w:vAlign w:val="center"/>
          </w:tcPr>
          <w:p>
            <w:pPr>
              <w:spacing w:line="360" w:lineRule="auto"/>
              <w:rPr>
                <w:b/>
                <w:bCs/>
                <w:kern w:val="2"/>
              </w:rPr>
            </w:pPr>
          </w:p>
        </w:tc>
        <w:tc>
          <w:tcPr>
            <w:tcW w:w="1991"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p>
        </w:tc>
        <w:tc>
          <w:tcPr>
            <w:tcW w:w="1500" w:type="dxa"/>
            <w:tcBorders>
              <w:top w:val="single" w:sz="4" w:space="0" w:color="auto"/>
              <w:left w:val="nil"/>
              <w:bottom w:val="single" w:sz="4" w:space="0" w:color="auto"/>
              <w:right w:val="single" w:sz="4" w:space="0" w:color="auto"/>
            </w:tcBorders>
            <w:vAlign w:val="center"/>
          </w:tcPr>
          <w:p>
            <w:pPr>
              <w:spacing w:line="360" w:lineRule="auto"/>
              <w:rPr>
                <w:b/>
                <w:bCs/>
                <w:kern w:val="2"/>
              </w:rPr>
            </w:pPr>
          </w:p>
        </w:tc>
        <w:tc>
          <w:tcPr>
            <w:tcW w:w="1485" w:type="dxa"/>
            <w:tcBorders>
              <w:top w:val="single" w:sz="4" w:space="0" w:color="auto"/>
              <w:left w:val="nil"/>
              <w:bottom w:val="single" w:sz="4" w:space="0" w:color="auto"/>
              <w:right w:val="single" w:sz="4" w:space="0" w:color="auto"/>
            </w:tcBorders>
            <w:vAlign w:val="center"/>
          </w:tcPr>
          <w:p>
            <w:pPr>
              <w:spacing w:line="360" w:lineRule="auto"/>
              <w:rPr>
                <w:b/>
                <w:bCs/>
                <w:kern w:val="2"/>
              </w:rPr>
            </w:pP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3</w:t>
            </w:r>
          </w:p>
        </w:tc>
        <w:tc>
          <w:tcPr>
            <w:tcW w:w="228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项目负责人</w:t>
            </w:r>
          </w:p>
        </w:tc>
        <w:tc>
          <w:tcPr>
            <w:tcW w:w="947"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500"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485"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4</w:t>
            </w:r>
          </w:p>
        </w:tc>
        <w:tc>
          <w:tcPr>
            <w:tcW w:w="228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主要技术人员</w:t>
            </w:r>
          </w:p>
        </w:tc>
        <w:tc>
          <w:tcPr>
            <w:tcW w:w="947"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500"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485"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5</w:t>
            </w:r>
          </w:p>
        </w:tc>
        <w:tc>
          <w:tcPr>
            <w:tcW w:w="228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投标文件编制人员</w:t>
            </w:r>
          </w:p>
        </w:tc>
        <w:tc>
          <w:tcPr>
            <w:tcW w:w="947"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500"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c>
          <w:tcPr>
            <w:tcW w:w="1485"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p>
        </w:tc>
      </w:tr>
      <w:tr>
        <w:tblPrEx>
          <w:tblW w:w="5000" w:type="pct"/>
          <w:tblInd w:w="0" w:type="dxa"/>
          <w:tblLayout w:type="fixed"/>
          <w:tblCellMar>
            <w:top w:w="0" w:type="dxa"/>
            <w:left w:w="108" w:type="dxa"/>
            <w:bottom w:w="0" w:type="dxa"/>
            <w:right w:w="108" w:type="dxa"/>
          </w:tblCellMar>
        </w:tblPrEx>
        <w:tc>
          <w:tcPr>
            <w:tcW w:w="8941" w:type="dxa"/>
            <w:gridSpan w:val="8"/>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lang w:eastAsia="zh-CN"/>
              </w:rPr>
            </w:pPr>
            <w:r>
              <w:rPr>
                <w:b/>
                <w:bCs/>
                <w:kern w:val="2"/>
                <w:lang w:eastAsia="zh-CN"/>
              </w:rPr>
              <w:t>说明：同一职务有多人担任（如主要技术人员），应分行填写。</w:t>
            </w:r>
          </w:p>
        </w:tc>
      </w:tr>
      <w:tr>
        <w:tblPrEx>
          <w:tblW w:w="5000" w:type="pct"/>
          <w:tblInd w:w="0" w:type="dxa"/>
          <w:tblLayout w:type="fixed"/>
          <w:tblCellMar>
            <w:top w:w="0" w:type="dxa"/>
            <w:left w:w="108" w:type="dxa"/>
            <w:bottom w:w="0" w:type="dxa"/>
            <w:right w:w="108" w:type="dxa"/>
          </w:tblCellMar>
        </w:tblPrEx>
        <w:trPr>
          <w:trHeight w:val="539"/>
        </w:trPr>
        <w:tc>
          <w:tcPr>
            <w:tcW w:w="8941" w:type="dxa"/>
            <w:gridSpan w:val="8"/>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lang w:eastAsia="zh-CN"/>
              </w:rPr>
            </w:pPr>
            <w:r>
              <w:rPr>
                <w:b/>
                <w:bCs/>
                <w:kern w:val="2"/>
                <w:lang w:eastAsia="zh-CN"/>
              </w:rPr>
              <w:t>投标（响应）供应商关联关系情况</w:t>
            </w: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序号</w:t>
            </w:r>
          </w:p>
        </w:tc>
        <w:tc>
          <w:tcPr>
            <w:tcW w:w="2282"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关联关系类型</w:t>
            </w:r>
          </w:p>
        </w:tc>
        <w:tc>
          <w:tcPr>
            <w:tcW w:w="1738" w:type="dxa"/>
            <w:gridSpan w:val="2"/>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关联主体名称</w:t>
            </w:r>
          </w:p>
        </w:tc>
        <w:tc>
          <w:tcPr>
            <w:tcW w:w="4185" w:type="dxa"/>
            <w:gridSpan w:val="3"/>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备注</w:t>
            </w:r>
          </w:p>
        </w:tc>
      </w:tr>
      <w:tr>
        <w:tblPrEx>
          <w:tblW w:w="5000" w:type="pct"/>
          <w:tblInd w:w="0" w:type="dxa"/>
          <w:tblLayout w:type="fixed"/>
          <w:tblCellMar>
            <w:top w:w="0" w:type="dxa"/>
            <w:left w:w="108" w:type="dxa"/>
            <w:bottom w:w="0" w:type="dxa"/>
            <w:right w:w="108" w:type="dxa"/>
          </w:tblCellMar>
        </w:tblPrEx>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1</w:t>
            </w:r>
          </w:p>
        </w:tc>
        <w:tc>
          <w:tcPr>
            <w:tcW w:w="2282"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r>
              <w:rPr>
                <w:b/>
                <w:bCs/>
                <w:kern w:val="2"/>
              </w:rPr>
              <w:t>控股股东</w:t>
            </w:r>
          </w:p>
        </w:tc>
        <w:tc>
          <w:tcPr>
            <w:tcW w:w="1738"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p>
        </w:tc>
        <w:tc>
          <w:tcPr>
            <w:tcW w:w="4185" w:type="dxa"/>
            <w:gridSpan w:val="3"/>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r>
              <w:rPr>
                <w:b/>
                <w:bCs/>
                <w:kern w:val="2"/>
                <w:lang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W w:w="5000" w:type="pct"/>
          <w:tblInd w:w="0" w:type="dxa"/>
          <w:tblLayout w:type="fixed"/>
          <w:tblCellMar>
            <w:top w:w="0" w:type="dxa"/>
            <w:left w:w="108" w:type="dxa"/>
            <w:bottom w:w="0" w:type="dxa"/>
            <w:right w:w="108" w:type="dxa"/>
          </w:tblCellMar>
        </w:tblPrEx>
        <w:trPr>
          <w:trHeight w:val="789"/>
        </w:trPr>
        <w:tc>
          <w:tcPr>
            <w:tcW w:w="736" w:type="dxa"/>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rPr>
            </w:pPr>
            <w:r>
              <w:rPr>
                <w:b/>
                <w:bCs/>
                <w:kern w:val="2"/>
              </w:rPr>
              <w:t>2</w:t>
            </w:r>
          </w:p>
        </w:tc>
        <w:tc>
          <w:tcPr>
            <w:tcW w:w="2282"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r>
              <w:rPr>
                <w:b/>
                <w:bCs/>
                <w:kern w:val="2"/>
              </w:rPr>
              <w:t>管理关系</w:t>
            </w:r>
          </w:p>
        </w:tc>
        <w:tc>
          <w:tcPr>
            <w:tcW w:w="1738" w:type="dxa"/>
            <w:gridSpan w:val="2"/>
            <w:tcBorders>
              <w:top w:val="single" w:sz="4" w:space="0" w:color="auto"/>
              <w:left w:val="nil"/>
              <w:bottom w:val="single" w:sz="4" w:space="0" w:color="auto"/>
              <w:right w:val="single" w:sz="4" w:space="0" w:color="auto"/>
            </w:tcBorders>
            <w:vAlign w:val="center"/>
          </w:tcPr>
          <w:p>
            <w:pPr>
              <w:spacing w:line="360" w:lineRule="auto"/>
              <w:rPr>
                <w:b/>
                <w:bCs/>
                <w:kern w:val="2"/>
              </w:rPr>
            </w:pPr>
          </w:p>
        </w:tc>
        <w:tc>
          <w:tcPr>
            <w:tcW w:w="4185" w:type="dxa"/>
            <w:gridSpan w:val="3"/>
            <w:tcBorders>
              <w:top w:val="single" w:sz="4" w:space="0" w:color="auto"/>
              <w:left w:val="nil"/>
              <w:bottom w:val="single" w:sz="4" w:space="0" w:color="auto"/>
              <w:right w:val="single" w:sz="4" w:space="0" w:color="auto"/>
            </w:tcBorders>
            <w:vAlign w:val="center"/>
          </w:tcPr>
          <w:p>
            <w:pPr>
              <w:spacing w:line="360" w:lineRule="auto"/>
              <w:rPr>
                <w:b/>
                <w:bCs/>
                <w:kern w:val="2"/>
                <w:lang w:eastAsia="zh-CN"/>
              </w:rPr>
            </w:pPr>
            <w:r>
              <w:rPr>
                <w:b/>
                <w:bCs/>
                <w:kern w:val="2"/>
                <w:lang w:eastAsia="zh-CN"/>
              </w:rPr>
              <w:t>指对投标（响应）供应商不具有出资持股关系，但对其存在管理关系的主体。</w:t>
            </w:r>
          </w:p>
        </w:tc>
      </w:tr>
      <w:tr>
        <w:tblPrEx>
          <w:tblW w:w="5000" w:type="pct"/>
          <w:tblInd w:w="0" w:type="dxa"/>
          <w:tblLayout w:type="fixed"/>
          <w:tblCellMar>
            <w:top w:w="0" w:type="dxa"/>
            <w:left w:w="108" w:type="dxa"/>
            <w:bottom w:w="0" w:type="dxa"/>
            <w:right w:w="108" w:type="dxa"/>
          </w:tblCellMar>
        </w:tblPrEx>
        <w:trPr>
          <w:trHeight w:val="455"/>
        </w:trPr>
        <w:tc>
          <w:tcPr>
            <w:tcW w:w="8941" w:type="dxa"/>
            <w:gridSpan w:val="8"/>
            <w:tcBorders>
              <w:top w:val="single" w:sz="4" w:space="0" w:color="auto"/>
              <w:left w:val="single" w:sz="4" w:space="0" w:color="auto"/>
              <w:bottom w:val="single" w:sz="4" w:space="0" w:color="auto"/>
              <w:right w:val="single" w:sz="4" w:space="0" w:color="auto"/>
            </w:tcBorders>
            <w:vAlign w:val="center"/>
          </w:tcPr>
          <w:p>
            <w:pPr>
              <w:spacing w:line="360" w:lineRule="auto"/>
              <w:rPr>
                <w:b/>
                <w:bCs/>
                <w:kern w:val="2"/>
                <w:lang w:eastAsia="zh-CN"/>
              </w:rPr>
            </w:pPr>
            <w:r>
              <w:rPr>
                <w:b/>
                <w:bCs/>
                <w:kern w:val="2"/>
                <w:lang w:eastAsia="zh-CN"/>
              </w:rPr>
              <w:t>说明：同一关联关系类型有多个主体的，应分行填写。</w:t>
            </w:r>
          </w:p>
        </w:tc>
      </w:tr>
    </w:tbl>
    <w:p>
      <w:pPr>
        <w:widowControl w:val="0"/>
        <w:spacing w:line="360" w:lineRule="auto"/>
        <w:ind w:firstLine="420" w:firstLineChars="200"/>
        <w:jc w:val="both"/>
        <w:rPr>
          <w:rFonts w:ascii="宋体" w:eastAsia="宋体" w:hAnsi="宋体" w:hint="eastAsia"/>
          <w:kern w:val="2"/>
          <w:sz w:val="21"/>
          <w:szCs w:val="21"/>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spacing w:line="360" w:lineRule="auto"/>
        <w:rPr>
          <w:rFonts w:ascii="Calibri" w:eastAsia="宋体" w:hAnsi="Calibri"/>
          <w:b/>
          <w:bCs/>
          <w:kern w:val="2"/>
          <w:szCs w:val="22"/>
          <w:lang w:eastAsia="zh-CN"/>
        </w:rPr>
      </w:pPr>
    </w:p>
    <w:p>
      <w:pPr>
        <w:widowControl w:val="0"/>
        <w:spacing w:after="120"/>
        <w:ind w:left="480" w:firstLine="480" w:leftChars="200" w:firstLineChars="200"/>
        <w:jc w:val="both"/>
        <w:rPr>
          <w:rFonts w:ascii="Calibri" w:eastAsia="宋体" w:hAnsi="Calibri"/>
          <w:kern w:val="2"/>
          <w:szCs w:val="22"/>
          <w:lang w:eastAsia="zh-CN"/>
        </w:rPr>
      </w:pPr>
    </w:p>
    <w:p>
      <w:pPr>
        <w:widowControl w:val="0"/>
        <w:spacing w:after="120"/>
        <w:ind w:left="480" w:firstLine="480" w:leftChars="200" w:firstLineChars="200"/>
        <w:jc w:val="both"/>
        <w:rPr>
          <w:rFonts w:ascii="Calibri" w:eastAsia="宋体" w:hAnsi="Calibri"/>
          <w:kern w:val="2"/>
          <w:szCs w:val="22"/>
          <w:lang w:eastAsia="zh-CN"/>
        </w:rPr>
      </w:pPr>
    </w:p>
    <w:p>
      <w:pPr>
        <w:widowControl w:val="0"/>
        <w:spacing w:after="120"/>
        <w:jc w:val="both"/>
        <w:rPr>
          <w:rFonts w:ascii="Calibri" w:eastAsia="宋体" w:hAnsi="Calibri"/>
          <w:kern w:val="2"/>
          <w:szCs w:val="22"/>
          <w:lang w:eastAsia="zh-CN"/>
        </w:rPr>
      </w:pPr>
    </w:p>
    <w:p>
      <w:pPr>
        <w:widowControl w:val="0"/>
        <w:spacing w:after="120"/>
        <w:jc w:val="both"/>
        <w:rPr>
          <w:rFonts w:ascii="Calibri" w:eastAsia="宋体" w:hAnsi="Calibri"/>
          <w:kern w:val="2"/>
          <w:szCs w:val="22"/>
          <w:lang w:eastAsia="zh-CN"/>
        </w:rPr>
      </w:pPr>
    </w:p>
    <w:p>
      <w:pPr>
        <w:keepNext/>
        <w:keepLines/>
        <w:widowControl w:val="0"/>
        <w:spacing w:before="120" w:after="120"/>
        <w:jc w:val="center"/>
        <w:outlineLvl w:val="2"/>
        <w:rPr>
          <w:rFonts w:ascii="黑体" w:eastAsia="黑体"/>
          <w:b/>
          <w:bCs/>
          <w:kern w:val="2"/>
          <w:sz w:val="30"/>
          <w:szCs w:val="22"/>
          <w:lang w:eastAsia="zh-CN"/>
        </w:rPr>
      </w:pPr>
      <w:r>
        <w:rPr>
          <w:rFonts w:ascii="黑体" w:eastAsia="黑体" w:hint="eastAsia"/>
          <w:b/>
          <w:bCs/>
          <w:kern w:val="2"/>
          <w:sz w:val="30"/>
          <w:szCs w:val="22"/>
          <w:lang w:eastAsia="zh-CN"/>
        </w:rPr>
        <w:t>八、投标文件签署授权委托书</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本授权委托书声明：我</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（姓名）系</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（投标人名称）的法定代表人（负责人），现授权委托</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（姓名）为我单位签署本项目已递交的投标文件的法定代表人（负责人）的授权委托代理人，代理人全权代表我所签署的本项目已递交的投标文件内容我均承认。</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代理人无转委托权，特此委托。</w:t>
      </w:r>
    </w:p>
    <w:p>
      <w:pPr>
        <w:widowControl w:val="0"/>
        <w:spacing w:line="360" w:lineRule="auto"/>
        <w:ind w:firstLine="420" w:firstLineChars="200"/>
        <w:jc w:val="both"/>
        <w:rPr>
          <w:rFonts w:ascii="Calibri" w:eastAsia="宋体" w:hAnsi="Calibri"/>
          <w:kern w:val="2"/>
          <w:sz w:val="21"/>
          <w:szCs w:val="21"/>
          <w:lang w:eastAsia="zh-CN"/>
        </w:rPr>
      </w:pP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代理人：</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身份证件号：</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，职务：</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联系电话：</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，手机：</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，电子邮箱：</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w:t>
      </w:r>
    </w:p>
    <w:p>
      <w:pPr>
        <w:widowControl w:val="0"/>
        <w:spacing w:line="360" w:lineRule="auto"/>
        <w:ind w:firstLine="420" w:firstLineChars="200"/>
        <w:jc w:val="both"/>
        <w:rPr>
          <w:rFonts w:ascii="Calibri" w:eastAsia="宋体" w:hAnsi="Calibri"/>
          <w:kern w:val="2"/>
          <w:sz w:val="21"/>
          <w:szCs w:val="21"/>
          <w:lang w:eastAsia="zh-CN"/>
        </w:rPr>
      </w:pPr>
      <w:r>
        <w:rPr>
          <w:rFonts w:ascii="Calibri" w:eastAsia="宋体" w:hAnsi="Calibri" w:cstheme="minorBidi" w:hint="eastAsia"/>
          <w:kern w:val="2"/>
          <w:sz w:val="21"/>
          <w:szCs w:val="21"/>
          <w:lang w:eastAsia="zh-CN"/>
        </w:rPr>
        <w:t>授权委托日期：</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年</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月</w:t>
      </w:r>
      <w:r>
        <w:rPr>
          <w:rFonts w:ascii="Calibri" w:eastAsia="宋体" w:hAnsi="Calibri" w:cstheme="minorBidi" w:hint="eastAsia"/>
          <w:kern w:val="2"/>
          <w:sz w:val="21"/>
          <w:szCs w:val="21"/>
          <w:u w:val="single"/>
          <w:lang w:eastAsia="zh-CN"/>
        </w:rPr>
        <w:t xml:space="preserve">       </w:t>
      </w:r>
      <w:r>
        <w:rPr>
          <w:rFonts w:ascii="Calibri" w:eastAsia="宋体" w:hAnsi="Calibri" w:cstheme="minorBidi" w:hint="eastAsia"/>
          <w:kern w:val="2"/>
          <w:sz w:val="21"/>
          <w:szCs w:val="21"/>
          <w:lang w:eastAsia="zh-CN"/>
        </w:rPr>
        <w:t>日。</w:t>
      </w:r>
    </w:p>
    <w:p>
      <w:pPr>
        <w:widowControl w:val="0"/>
        <w:spacing w:line="360" w:lineRule="auto"/>
        <w:ind w:firstLine="420" w:firstLineChars="200"/>
        <w:jc w:val="both"/>
        <w:rPr>
          <w:rFonts w:ascii="Calibri" w:eastAsia="宋体" w:hAnsi="Calibri"/>
          <w:b/>
          <w:color w:val="FF0000"/>
          <w:kern w:val="2"/>
          <w:sz w:val="21"/>
          <w:szCs w:val="21"/>
          <w:lang w:eastAsia="zh-CN"/>
        </w:rPr>
      </w:pPr>
      <w:r>
        <w:rPr>
          <w:rFonts w:ascii="Calibri" w:eastAsia="宋体" w:hAnsi="Calibri" w:cstheme="minorBidi" w:hint="eastAsia"/>
          <w:b/>
          <w:color w:val="FF0000"/>
          <w:kern w:val="2"/>
          <w:sz w:val="21"/>
          <w:szCs w:val="21"/>
          <w:lang w:eastAsia="zh-CN"/>
        </w:rPr>
        <w:t>附：1、请提供代理人身份证扫描件（正反两面）；港澳台居民可提供来往通行证扫描件；非中国国籍管辖范围人员，可提供公安部门认可的身份证明材料扫描件。</w:t>
      </w:r>
    </w:p>
    <w:p>
      <w:pPr>
        <w:ind w:firstLine="420" w:firstLineChars="200"/>
        <w:rPr>
          <w:rFonts w:ascii="宋体" w:eastAsia="宋体" w:hAnsi="宋体" w:cs="Arial" w:hint="eastAsia"/>
          <w:b/>
          <w:bCs/>
          <w:sz w:val="21"/>
          <w:szCs w:val="21"/>
          <w:lang w:eastAsia="zh-CN"/>
        </w:rPr>
      </w:pPr>
      <w:r>
        <w:rPr>
          <w:rFonts w:hint="eastAsia"/>
          <w:sz w:val="21"/>
          <w:szCs w:val="21"/>
          <w:lang w:eastAsia="zh-CN"/>
        </w:rPr>
        <w:t>2、</w:t>
      </w:r>
      <w:r>
        <w:rPr>
          <w:rFonts w:ascii="宋体" w:eastAsia="宋体" w:hAnsi="宋体" w:cs="Arial" w:hint="eastAsia"/>
          <w:b/>
          <w:bCs/>
          <w:sz w:val="21"/>
          <w:szCs w:val="21"/>
          <w:lang w:eastAsia="zh-CN"/>
        </w:rPr>
        <w:t>投标时提供项目投标授权代表人近三个月（含开标当月）中的任意一个月的社会保险证明。</w:t>
      </w:r>
    </w:p>
    <w:p>
      <w:pPr>
        <w:ind w:firstLine="420" w:firstLineChars="200"/>
        <w:rPr>
          <w:rFonts w:ascii="宋体" w:eastAsia="宋体" w:hAnsi="宋体" w:cs="Arial" w:hint="eastAsia"/>
          <w:bCs/>
          <w:sz w:val="21"/>
          <w:szCs w:val="21"/>
          <w:lang w:eastAsia="zh-CN"/>
        </w:rPr>
      </w:pPr>
      <w:r>
        <w:rPr>
          <w:rFonts w:ascii="宋体" w:eastAsia="宋体" w:hAnsi="宋体" w:cs="Arial" w:hint="eastAsia"/>
          <w:bCs/>
          <w:sz w:val="21"/>
          <w:szCs w:val="21"/>
          <w:lang w:eastAsia="zh-CN"/>
        </w:rPr>
        <w:t>注：</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（1）</w:t>
      </w:r>
      <w:r>
        <w:rPr>
          <w:rFonts w:ascii="宋体" w:eastAsia="宋体" w:hAnsi="宋体" w:cs="Arial" w:hint="eastAsia"/>
          <w:bCs/>
          <w:sz w:val="21"/>
          <w:szCs w:val="21"/>
          <w:lang w:eastAsia="zh-CN"/>
        </w:rPr>
        <w:t>投标人应如实提供上述人员的社会保险证明，如上述人员的社会保险未由投标人缴纳，亦须提供相应单位为其缴纳的社会保险证明。</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（2）</w:t>
      </w:r>
      <w:r>
        <w:rPr>
          <w:rFonts w:ascii="宋体" w:eastAsia="宋体" w:hAnsi="宋体" w:cs="Arial" w:hint="eastAsia"/>
          <w:bCs/>
          <w:sz w:val="21"/>
          <w:szCs w:val="21"/>
          <w:lang w:eastAsia="zh-CN"/>
        </w:rPr>
        <w:t>投标人为新成立企业且成立时间不足一个月可提供加盖投标人公章的情况说明或者证明材料亦视为符合。</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（3）</w:t>
      </w:r>
      <w:r>
        <w:rPr>
          <w:rFonts w:ascii="宋体" w:eastAsia="宋体" w:hAnsi="宋体" w:cs="Arial" w:hint="eastAsia"/>
          <w:bCs/>
          <w:sz w:val="21"/>
          <w:szCs w:val="21"/>
          <w:lang w:eastAsia="zh-CN"/>
        </w:rPr>
        <w:t>若为退休人员，提供退休证明。</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（4）</w:t>
      </w:r>
      <w:r>
        <w:rPr>
          <w:rFonts w:ascii="宋体" w:eastAsia="宋体" w:hAnsi="宋体" w:cs="Arial" w:hint="eastAsia"/>
          <w:bCs/>
          <w:sz w:val="21"/>
          <w:szCs w:val="21"/>
          <w:lang w:eastAsia="zh-CN"/>
        </w:rPr>
        <w:t>如依法不需要缴纳社会保险的，应提供相应文件证明。</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（5）</w:t>
      </w:r>
      <w:r>
        <w:rPr>
          <w:rFonts w:ascii="宋体" w:eastAsia="宋体" w:hAnsi="宋体" w:cs="Arial" w:hint="eastAsia"/>
          <w:bCs/>
          <w:sz w:val="21"/>
          <w:szCs w:val="21"/>
          <w:lang w:eastAsia="zh-CN"/>
        </w:rPr>
        <w:t>若因为社保部门或税务部门原因无法提供的，需提供劳动合同及社保部门或税务部门官方通知证明（或官网公告截图）。</w:t>
      </w:r>
    </w:p>
    <w:p>
      <w:pPr>
        <w:ind w:firstLine="420" w:firstLineChars="200"/>
        <w:rPr>
          <w:rFonts w:ascii="宋体" w:eastAsia="宋体" w:hAnsi="宋体" w:cs="Arial" w:hint="eastAsia"/>
          <w:bCs/>
          <w:sz w:val="21"/>
          <w:szCs w:val="21"/>
          <w:lang w:eastAsia="zh-CN"/>
        </w:rPr>
      </w:pPr>
      <w:r>
        <w:rPr>
          <w:rFonts w:ascii="宋体" w:hAnsi="宋体" w:cs="Arial" w:hint="eastAsia"/>
          <w:bCs/>
          <w:sz w:val="21"/>
          <w:szCs w:val="21"/>
          <w:lang w:eastAsia="zh-CN"/>
        </w:rPr>
        <w:t>（6）</w:t>
      </w:r>
      <w:r>
        <w:rPr>
          <w:rFonts w:ascii="宋体" w:eastAsia="宋体" w:hAnsi="宋体" w:cs="Arial" w:hint="eastAsia"/>
          <w:bCs/>
          <w:sz w:val="21"/>
          <w:szCs w:val="21"/>
          <w:lang w:eastAsia="zh-CN"/>
        </w:rPr>
        <w:t>如本项目未安排项目投标授权代表人的，无需提供投标授权代表人的社保。</w:t>
      </w:r>
    </w:p>
    <w:p>
      <w:pPr>
        <w:widowControl w:val="0"/>
        <w:spacing w:line="360" w:lineRule="auto"/>
        <w:ind w:firstLine="420" w:firstLineChars="200"/>
        <w:jc w:val="both"/>
        <w:rPr>
          <w:rFonts w:ascii="Calibri" w:eastAsia="宋体" w:hAnsi="Calibri"/>
          <w:b/>
          <w:color w:val="FF0000"/>
          <w:kern w:val="2"/>
          <w:sz w:val="21"/>
          <w:szCs w:val="21"/>
          <w:lang w:eastAsia="zh-CN"/>
        </w:rPr>
      </w:pPr>
      <w:r>
        <w:rPr>
          <w:rFonts w:hint="eastAsia"/>
          <w:b/>
          <w:color w:val="FF0000"/>
          <w:sz w:val="21"/>
          <w:szCs w:val="21"/>
          <w:lang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427"/>
        <w:gridCol w:w="4429"/>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218"/>
        </w:trPr>
        <w:tc>
          <w:tcPr>
            <w:tcW w:w="4269" w:type="dxa"/>
          </w:tcPr>
          <w:p>
            <w:pPr>
              <w:jc w:val="center"/>
              <w:rPr>
                <w:rFonts w:ascii="Calibri" w:hAnsi="Calibri"/>
                <w:kern w:val="2"/>
                <w:sz w:val="21"/>
                <w:szCs w:val="22"/>
                <w:lang w:eastAsia="zh-CN"/>
              </w:rPr>
            </w:pPr>
            <w:r>
              <w:rPr>
                <w:rFonts w:hAnsi="Calibri" w:cstheme="minorBidi" w:hint="eastAsia"/>
                <w:kern w:val="2"/>
                <w:sz w:val="21"/>
                <w:szCs w:val="22"/>
                <w:lang w:eastAsia="zh-CN"/>
              </w:rPr>
              <w:t>证件扫描件正面</w:t>
            </w:r>
          </w:p>
          <w:p>
            <w:pPr>
              <w:spacing w:line="360" w:lineRule="auto"/>
              <w:jc w:val="center"/>
              <w:rPr>
                <w:rFonts w:ascii="Calibri" w:hAnsi="Calibri"/>
                <w:b/>
                <w:bCs/>
                <w:kern w:val="2"/>
                <w:szCs w:val="22"/>
                <w:lang w:eastAsia="zh-CN"/>
              </w:rPr>
            </w:pPr>
          </w:p>
          <w:p>
            <w:pPr>
              <w:spacing w:line="360" w:lineRule="auto"/>
              <w:jc w:val="center"/>
              <w:rPr>
                <w:rFonts w:ascii="Calibri" w:hAnsi="Calibri"/>
                <w:kern w:val="2"/>
                <w:szCs w:val="22"/>
                <w:lang w:eastAsia="zh-CN"/>
              </w:rPr>
            </w:pPr>
          </w:p>
        </w:tc>
        <w:tc>
          <w:tcPr>
            <w:tcW w:w="4270" w:type="dxa"/>
          </w:tcPr>
          <w:p>
            <w:pPr>
              <w:jc w:val="center"/>
              <w:rPr>
                <w:rFonts w:ascii="Calibri" w:hAnsi="Calibri"/>
                <w:kern w:val="2"/>
                <w:sz w:val="21"/>
                <w:szCs w:val="22"/>
                <w:lang w:eastAsia="zh-CN"/>
              </w:rPr>
            </w:pPr>
            <w:r>
              <w:rPr>
                <w:rFonts w:hAnsi="Calibri" w:cstheme="minorBidi" w:hint="eastAsia"/>
                <w:kern w:val="2"/>
                <w:sz w:val="21"/>
                <w:szCs w:val="22"/>
                <w:lang w:eastAsia="zh-CN"/>
              </w:rPr>
              <w:t>证件扫描件反面</w:t>
            </w:r>
          </w:p>
          <w:p>
            <w:pPr>
              <w:spacing w:line="360" w:lineRule="auto"/>
              <w:jc w:val="center"/>
              <w:rPr>
                <w:rFonts w:ascii="Calibri" w:hAnsi="Calibri"/>
                <w:b/>
                <w:bCs/>
                <w:kern w:val="2"/>
                <w:szCs w:val="22"/>
                <w:lang w:eastAsia="zh-CN"/>
              </w:rPr>
            </w:pPr>
          </w:p>
          <w:p>
            <w:pPr>
              <w:spacing w:line="360" w:lineRule="auto"/>
              <w:jc w:val="center"/>
              <w:rPr>
                <w:rFonts w:ascii="Calibri" w:hAnsi="Calibri"/>
                <w:kern w:val="2"/>
                <w:szCs w:val="22"/>
                <w:lang w:eastAsia="zh-CN"/>
              </w:rPr>
            </w:pPr>
          </w:p>
        </w:tc>
      </w:tr>
    </w:tbl>
    <w:p>
      <w:pPr>
        <w:widowControl w:val="0"/>
        <w:tabs>
          <w:tab w:val="left" w:pos="651"/>
        </w:tabs>
        <w:snapToGrid w:val="0"/>
        <w:jc w:val="center"/>
        <w:rPr>
          <w:rFonts w:ascii="黑体" w:eastAsia="黑体" w:hAnsi="Calibri"/>
          <w:lang w:eastAsia="zh-CN"/>
        </w:rPr>
      </w:pPr>
    </w:p>
    <w:p>
      <w:pPr>
        <w:widowControl w:val="0"/>
        <w:spacing w:after="120"/>
        <w:ind w:left="480" w:firstLine="480" w:leftChars="200" w:firstLineChars="200"/>
        <w:jc w:val="both"/>
        <w:rPr>
          <w:rFonts w:ascii="黑体" w:eastAsia="黑体" w:hAnsi="Calibri"/>
          <w:lang w:eastAsia="zh-CN"/>
        </w:rPr>
      </w:pPr>
    </w:p>
    <w:p>
      <w:pPr>
        <w:widowControl w:val="0"/>
        <w:spacing w:after="120"/>
        <w:ind w:left="480" w:firstLine="480" w:leftChars="200" w:firstLineChars="200"/>
        <w:jc w:val="both"/>
        <w:rPr>
          <w:rFonts w:ascii="黑体" w:eastAsia="黑体" w:hAnsi="Calibri"/>
          <w:lang w:eastAsia="zh-CN"/>
        </w:rPr>
      </w:pPr>
    </w:p>
    <w:p>
      <w:pPr>
        <w:widowControl w:val="0"/>
        <w:spacing w:after="120"/>
        <w:ind w:left="480" w:firstLine="480" w:leftChars="200" w:firstLineChars="200"/>
        <w:jc w:val="both"/>
        <w:rPr>
          <w:rFonts w:ascii="黑体" w:eastAsia="黑体" w:hAnsi="Calibri"/>
          <w:lang w:eastAsia="zh-CN"/>
        </w:rPr>
      </w:pPr>
    </w:p>
    <w:p>
      <w:pPr>
        <w:widowControl w:val="0"/>
        <w:jc w:val="center"/>
        <w:rPr>
          <w:rFonts w:ascii="黑体" w:eastAsia="黑体" w:hAnsi="Calibri"/>
          <w:b/>
          <w:kern w:val="2"/>
          <w:sz w:val="30"/>
          <w:szCs w:val="22"/>
          <w:lang w:eastAsia="zh-CN"/>
        </w:rPr>
      </w:pPr>
      <w:r>
        <w:rPr>
          <w:rFonts w:ascii="黑体" w:eastAsia="黑体" w:hAnsi="Calibri" w:cstheme="minorBidi" w:hint="eastAsia"/>
          <w:b/>
          <w:kern w:val="2"/>
          <w:sz w:val="30"/>
          <w:szCs w:val="22"/>
          <w:lang w:eastAsia="zh-CN"/>
        </w:rPr>
        <w:t>九、</w:t>
      </w:r>
      <w:bookmarkStart w:id="34" w:name="_Hlk72092634"/>
      <w:r>
        <w:rPr>
          <w:rFonts w:ascii="黑体" w:eastAsia="黑体" w:hAnsi="Calibri" w:cstheme="minorBidi" w:hint="eastAsia"/>
          <w:b/>
          <w:kern w:val="2"/>
          <w:sz w:val="30"/>
          <w:szCs w:val="22"/>
          <w:lang w:eastAsia="zh-CN"/>
        </w:rPr>
        <w:t>实质性条款响应情况表</w:t>
      </w:r>
      <w:bookmarkEnd w:id="34"/>
    </w:p>
    <w:p>
      <w:pPr>
        <w:widowControl w:val="0"/>
        <w:snapToGrid w:val="0"/>
        <w:jc w:val="both"/>
        <w:rPr>
          <w:rFonts w:ascii="Arial" w:eastAsia="宋体" w:hAnsi="Arial" w:cs="Arial"/>
          <w:kern w:val="2"/>
          <w:lang w:eastAsia="zh-CN"/>
        </w:rPr>
      </w:pPr>
      <w:r>
        <w:rPr>
          <w:rFonts w:ascii="Arial" w:eastAsia="宋体" w:hAnsi="Arial" w:cs="Arial" w:hint="eastAsia"/>
          <w:color w:val="000000"/>
          <w:kern w:val="2"/>
          <w:lang w:eastAsia="zh-CN"/>
        </w:rPr>
        <w:t>投标单位（投标人）名称：</w:t>
      </w:r>
    </w:p>
    <w:p>
      <w:pPr>
        <w:widowControl w:val="0"/>
        <w:snapToGrid w:val="0"/>
        <w:jc w:val="both"/>
        <w:rPr>
          <w:rFonts w:ascii="宋体" w:eastAsia="宋体" w:hAnsi="宋体" w:hint="eastAsia"/>
          <w:b/>
          <w:kern w:val="2"/>
          <w:lang w:eastAsia="zh-CN"/>
        </w:rPr>
      </w:pPr>
    </w:p>
    <w:tbl>
      <w:tblPr>
        <w:tblStyle w:val="TableNormal"/>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0" w:type="dxa"/>
          <w:left w:w="108" w:type="dxa"/>
          <w:bottom w:w="0" w:type="dxa"/>
          <w:right w:w="108" w:type="dxa"/>
        </w:tblCellMar>
      </w:tblPr>
      <w:tblGrid>
        <w:gridCol w:w="578"/>
        <w:gridCol w:w="3657"/>
        <w:gridCol w:w="2047"/>
        <w:gridCol w:w="1632"/>
        <w:gridCol w:w="942"/>
      </w:tblGrid>
      <w:tr>
        <w:tblPrEx>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0" w:type="dxa"/>
            <w:left w:w="108" w:type="dxa"/>
            <w:bottom w:w="0" w:type="dxa"/>
            <w:right w:w="108" w:type="dxa"/>
          </w:tblCellMar>
        </w:tblPrEx>
        <w:trPr>
          <w:trHeight w:val="529"/>
          <w:jc w:val="center"/>
        </w:trPr>
        <w:tc>
          <w:tcPr>
            <w:tcW w:w="602" w:type="dxa"/>
            <w:vAlign w:val="center"/>
          </w:tcPr>
          <w:p>
            <w:pPr>
              <w:widowControl w:val="0"/>
              <w:jc w:val="center"/>
              <w:rPr>
                <w:rFonts w:ascii="宋体" w:eastAsia="宋体" w:hAnsi="宋体" w:cs="Arial" w:hint="eastAsia"/>
                <w:b/>
                <w:kern w:val="2"/>
                <w:sz w:val="21"/>
                <w:szCs w:val="21"/>
                <w:lang w:eastAsia="zh-CN"/>
              </w:rPr>
            </w:pPr>
            <w:r>
              <w:rPr>
                <w:rFonts w:ascii="宋体" w:eastAsia="宋体" w:hAnsi="宋体" w:cs="Arial" w:hint="eastAsia"/>
                <w:b/>
                <w:kern w:val="2"/>
                <w:sz w:val="21"/>
                <w:szCs w:val="21"/>
                <w:lang w:eastAsia="zh-CN"/>
              </w:rPr>
              <w:t>序号</w:t>
            </w:r>
          </w:p>
        </w:tc>
        <w:tc>
          <w:tcPr>
            <w:tcW w:w="3901" w:type="dxa"/>
            <w:vAlign w:val="center"/>
          </w:tcPr>
          <w:p>
            <w:pPr>
              <w:widowControl w:val="0"/>
              <w:jc w:val="center"/>
              <w:rPr>
                <w:rFonts w:ascii="宋体" w:eastAsia="宋体" w:hAnsi="宋体" w:cs="Arial" w:hint="eastAsia"/>
                <w:b/>
                <w:kern w:val="2"/>
                <w:sz w:val="21"/>
                <w:szCs w:val="21"/>
                <w:lang w:eastAsia="zh-CN"/>
              </w:rPr>
            </w:pPr>
            <w:r>
              <w:rPr>
                <w:rFonts w:ascii="宋体" w:eastAsia="宋体" w:hAnsi="宋体" w:cs="Arial" w:hint="eastAsia"/>
                <w:b/>
                <w:kern w:val="2"/>
                <w:sz w:val="21"/>
                <w:szCs w:val="21"/>
                <w:lang w:eastAsia="zh-CN"/>
              </w:rPr>
              <w:t>实质性条款具体内容</w:t>
            </w:r>
          </w:p>
        </w:tc>
        <w:tc>
          <w:tcPr>
            <w:tcW w:w="2176" w:type="dxa"/>
            <w:vAlign w:val="center"/>
          </w:tcPr>
          <w:p>
            <w:pPr>
              <w:widowControl w:val="0"/>
              <w:jc w:val="center"/>
              <w:rPr>
                <w:rFonts w:ascii="宋体" w:eastAsia="宋体" w:hAnsi="宋体" w:cs="Arial" w:hint="eastAsia"/>
                <w:b/>
                <w:kern w:val="2"/>
                <w:sz w:val="21"/>
                <w:szCs w:val="21"/>
                <w:lang w:eastAsia="zh-CN"/>
              </w:rPr>
            </w:pPr>
            <w:r>
              <w:rPr>
                <w:rFonts w:ascii="宋体" w:eastAsia="宋体" w:hAnsi="宋体" w:cs="Arial" w:hint="eastAsia"/>
                <w:b/>
                <w:kern w:val="2"/>
                <w:sz w:val="21"/>
                <w:szCs w:val="21"/>
                <w:lang w:eastAsia="zh-CN"/>
              </w:rPr>
              <w:t>投标文件响应</w:t>
            </w:r>
          </w:p>
        </w:tc>
        <w:tc>
          <w:tcPr>
            <w:tcW w:w="1732" w:type="dxa"/>
          </w:tcPr>
          <w:p>
            <w:pPr>
              <w:widowControl w:val="0"/>
              <w:spacing w:before="120" w:beforeLines="50"/>
              <w:jc w:val="center"/>
              <w:rPr>
                <w:rFonts w:ascii="宋体" w:eastAsia="宋体" w:hAnsi="宋体" w:cs="Arial" w:hint="eastAsia"/>
                <w:b/>
                <w:kern w:val="2"/>
                <w:sz w:val="21"/>
                <w:szCs w:val="21"/>
                <w:lang w:eastAsia="zh-CN"/>
              </w:rPr>
            </w:pPr>
            <w:r>
              <w:rPr>
                <w:rFonts w:ascii="宋体" w:eastAsia="宋体" w:hAnsi="宋体" w:cs="Arial" w:hint="eastAsia"/>
                <w:b/>
                <w:kern w:val="2"/>
                <w:sz w:val="21"/>
                <w:szCs w:val="21"/>
                <w:lang w:eastAsia="zh-CN"/>
              </w:rPr>
              <w:t>偏离情况</w:t>
            </w:r>
          </w:p>
        </w:tc>
        <w:tc>
          <w:tcPr>
            <w:tcW w:w="992" w:type="dxa"/>
            <w:vAlign w:val="center"/>
          </w:tcPr>
          <w:p>
            <w:pPr>
              <w:widowControl w:val="0"/>
              <w:jc w:val="center"/>
              <w:rPr>
                <w:rFonts w:ascii="宋体" w:eastAsia="宋体" w:hAnsi="宋体" w:cs="Arial" w:hint="eastAsia"/>
                <w:b/>
                <w:kern w:val="2"/>
                <w:sz w:val="21"/>
                <w:szCs w:val="21"/>
                <w:lang w:eastAsia="zh-CN"/>
              </w:rPr>
            </w:pPr>
            <w:r>
              <w:rPr>
                <w:rFonts w:ascii="宋体" w:eastAsia="宋体" w:hAnsi="宋体" w:cs="Arial" w:hint="eastAsia"/>
                <w:b/>
                <w:kern w:val="2"/>
                <w:sz w:val="21"/>
                <w:szCs w:val="21"/>
                <w:lang w:eastAsia="zh-CN"/>
              </w:rPr>
              <w:t>说明</w:t>
            </w:r>
          </w:p>
        </w:tc>
      </w:tr>
      <w:tr>
        <w:tblPrEx>
          <w:tblW w:w="5000" w:type="pct"/>
          <w:jc w:val="center"/>
          <w:tblLayout w:type="fixed"/>
          <w:tblCellMar>
            <w:top w:w="0" w:type="dxa"/>
            <w:left w:w="108" w:type="dxa"/>
            <w:bottom w:w="0" w:type="dxa"/>
            <w:right w:w="108" w:type="dxa"/>
          </w:tblCellMar>
        </w:tblPrEx>
        <w:trPr>
          <w:trHeight w:val="1060"/>
          <w:jc w:val="center"/>
        </w:trPr>
        <w:tc>
          <w:tcPr>
            <w:tcW w:w="602" w:type="dxa"/>
            <w:vAlign w:val="center"/>
          </w:tcPr>
          <w:p>
            <w:pPr>
              <w:widowControl w:val="0"/>
              <w:spacing w:line="300" w:lineRule="auto"/>
              <w:jc w:val="center"/>
              <w:rPr>
                <w:rFonts w:ascii="宋体" w:eastAsia="宋体" w:hAnsi="宋体" w:hint="eastAsia"/>
                <w:b/>
                <w:color w:val="FF0000"/>
                <w:sz w:val="21"/>
                <w:szCs w:val="21"/>
                <w:lang w:eastAsia="zh-CN"/>
              </w:rPr>
            </w:pPr>
            <w:r>
              <w:rPr>
                <w:rFonts w:ascii="宋体" w:eastAsia="宋体" w:hAnsi="宋体" w:hint="eastAsia"/>
                <w:b/>
                <w:color w:val="FF0000"/>
                <w:sz w:val="21"/>
                <w:szCs w:val="21"/>
                <w:lang w:eastAsia="zh-CN"/>
              </w:rPr>
              <w:t>1</w:t>
            </w:r>
          </w:p>
        </w:tc>
        <w:tc>
          <w:tcPr>
            <w:tcW w:w="3901" w:type="dxa"/>
            <w:vAlign w:val="center"/>
          </w:tcPr>
          <w:p>
            <w:pPr>
              <w:widowControl w:val="0"/>
              <w:spacing w:line="300" w:lineRule="auto"/>
              <w:jc w:val="center"/>
              <w:rPr>
                <w:rFonts w:ascii="宋体" w:eastAsia="宋体" w:hAnsi="宋体" w:hint="eastAsia"/>
                <w:b/>
                <w:color w:val="FF0000"/>
                <w:sz w:val="21"/>
                <w:szCs w:val="21"/>
                <w:lang w:eastAsia="zh-CN"/>
              </w:rPr>
            </w:pPr>
            <w:r>
              <w:rPr>
                <w:rFonts w:ascii="宋体" w:eastAsia="宋体" w:hAnsi="宋体" w:hint="eastAsia"/>
                <w:b/>
                <w:color w:val="FF0000"/>
                <w:sz w:val="21"/>
                <w:szCs w:val="21"/>
                <w:lang w:eastAsia="zh-CN"/>
              </w:rPr>
              <w:t>本项目招标文件中所有带★号条款内容</w:t>
            </w:r>
          </w:p>
        </w:tc>
        <w:tc>
          <w:tcPr>
            <w:tcW w:w="2176" w:type="dxa"/>
            <w:vAlign w:val="center"/>
          </w:tcPr>
          <w:p>
            <w:pPr>
              <w:widowControl w:val="0"/>
              <w:spacing w:line="300" w:lineRule="auto"/>
              <w:jc w:val="center"/>
              <w:rPr>
                <w:rFonts w:ascii="宋体" w:eastAsia="宋体" w:hAnsi="宋体" w:hint="eastAsia"/>
                <w:b/>
                <w:sz w:val="21"/>
                <w:szCs w:val="21"/>
                <w:lang w:eastAsia="zh-CN"/>
              </w:rPr>
            </w:pPr>
            <w:r>
              <w:rPr>
                <w:rFonts w:ascii="宋体" w:eastAsia="宋体" w:hAnsi="宋体" w:hint="eastAsia"/>
                <w:b/>
                <w:sz w:val="21"/>
                <w:szCs w:val="21"/>
                <w:lang w:eastAsia="zh-CN"/>
              </w:rPr>
              <w:t>完全响应</w:t>
            </w:r>
          </w:p>
        </w:tc>
        <w:tc>
          <w:tcPr>
            <w:tcW w:w="1732" w:type="dxa"/>
            <w:vAlign w:val="center"/>
          </w:tcPr>
          <w:p>
            <w:pPr>
              <w:widowControl w:val="0"/>
              <w:spacing w:line="300" w:lineRule="auto"/>
              <w:jc w:val="center"/>
              <w:rPr>
                <w:rFonts w:ascii="宋体" w:eastAsia="宋体" w:hAnsi="宋体" w:hint="eastAsia"/>
                <w:b/>
                <w:sz w:val="21"/>
                <w:szCs w:val="21"/>
                <w:lang w:eastAsia="zh-CN"/>
              </w:rPr>
            </w:pPr>
            <w:r>
              <w:rPr>
                <w:rFonts w:ascii="宋体" w:eastAsia="宋体" w:hAnsi="宋体" w:hint="eastAsia"/>
                <w:b/>
                <w:sz w:val="21"/>
                <w:szCs w:val="21"/>
                <w:lang w:eastAsia="zh-CN"/>
              </w:rPr>
              <w:t>无偏离</w:t>
            </w:r>
          </w:p>
        </w:tc>
        <w:tc>
          <w:tcPr>
            <w:tcW w:w="992" w:type="dxa"/>
            <w:vAlign w:val="center"/>
          </w:tcPr>
          <w:p>
            <w:pPr>
              <w:widowControl w:val="0"/>
              <w:spacing w:line="300" w:lineRule="auto"/>
              <w:jc w:val="center"/>
              <w:rPr>
                <w:rFonts w:ascii="宋体" w:eastAsia="宋体" w:hAnsi="宋体" w:hint="eastAsia"/>
                <w:b/>
                <w:color w:val="FF0000"/>
                <w:sz w:val="21"/>
                <w:szCs w:val="21"/>
                <w:lang w:eastAsia="zh-CN"/>
              </w:rPr>
            </w:pPr>
          </w:p>
        </w:tc>
      </w:tr>
    </w:tbl>
    <w:p>
      <w:pPr>
        <w:widowControl w:val="0"/>
        <w:snapToGrid w:val="0"/>
        <w:jc w:val="both"/>
        <w:rPr>
          <w:rFonts w:ascii="宋体" w:eastAsia="宋体" w:hAnsi="宋体" w:hint="eastAsia"/>
          <w:kern w:val="2"/>
          <w:lang w:eastAsia="zh-CN"/>
        </w:rPr>
      </w:pPr>
    </w:p>
    <w:p>
      <w:pPr>
        <w:widowControl w:val="0"/>
        <w:snapToGrid w:val="0"/>
        <w:jc w:val="both"/>
        <w:rPr>
          <w:rFonts w:ascii="宋体" w:eastAsia="宋体" w:hAnsi="宋体" w:hint="eastAsia"/>
          <w:b/>
          <w:kern w:val="2"/>
          <w:lang w:eastAsia="zh-CN"/>
        </w:rPr>
      </w:pPr>
      <w:r>
        <w:rPr>
          <w:rFonts w:ascii="宋体" w:eastAsia="宋体" w:hAnsi="宋体" w:hint="eastAsia"/>
          <w:b/>
          <w:kern w:val="2"/>
          <w:lang w:eastAsia="zh-CN"/>
        </w:rPr>
        <w:t>填写说明：</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1、上表所列各项均为不可负偏离条款。</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2、“投标文件响应”一栏应当详细填写投标人自身响应情况，而不能不合理照搬照抄招标文件实质性条款具体内容。</w:t>
      </w:r>
      <w:r>
        <w:rPr>
          <w:rFonts w:ascii="宋体" w:eastAsia="宋体" w:hAnsi="宋体" w:cs="宋体" w:hint="eastAsia"/>
          <w:b/>
          <w:bCs/>
          <w:kern w:val="2"/>
          <w:lang w:eastAsia="zh-CN"/>
        </w:rPr>
        <w:t>如完全满足实质性条款具体内容可填写“完全响应”，除招标文件另有注明外，不强制要求逐条列出响应。</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3、“偏离情况”一栏应填写</w:t>
      </w:r>
      <w:r>
        <w:rPr>
          <w:rFonts w:ascii="宋体" w:eastAsia="宋体" w:hAnsi="宋体" w:cs="宋体" w:hint="eastAsia"/>
          <w:kern w:val="2"/>
          <w:lang w:eastAsia="zh-CN"/>
        </w:rPr>
        <w:t>“</w:t>
      </w:r>
      <w:r>
        <w:rPr>
          <w:rFonts w:ascii="宋体" w:eastAsia="宋体" w:hAnsi="宋体" w:cs="宋体" w:hint="eastAsia"/>
          <w:b/>
          <w:bCs/>
          <w:kern w:val="2"/>
          <w:lang w:eastAsia="zh-CN"/>
        </w:rPr>
        <w:t>正偏离</w:t>
      </w:r>
      <w:r>
        <w:rPr>
          <w:rFonts w:ascii="宋体" w:eastAsia="宋体" w:hAnsi="宋体" w:cs="宋体" w:hint="eastAsia"/>
          <w:kern w:val="2"/>
          <w:lang w:eastAsia="zh-CN"/>
        </w:rPr>
        <w:t>”或“</w:t>
      </w:r>
      <w:r>
        <w:rPr>
          <w:rFonts w:ascii="宋体" w:eastAsia="宋体" w:hAnsi="宋体" w:cs="宋体" w:hint="eastAsia"/>
          <w:b/>
          <w:bCs/>
          <w:kern w:val="2"/>
          <w:lang w:eastAsia="zh-CN"/>
        </w:rPr>
        <w:t>负偏离</w:t>
      </w:r>
      <w:r>
        <w:rPr>
          <w:rFonts w:ascii="宋体" w:eastAsia="宋体" w:hAnsi="宋体" w:cs="宋体" w:hint="eastAsia"/>
          <w:kern w:val="2"/>
          <w:lang w:eastAsia="zh-CN"/>
        </w:rPr>
        <w:t>”或“</w:t>
      </w:r>
      <w:r>
        <w:rPr>
          <w:rFonts w:ascii="宋体" w:eastAsia="宋体" w:hAnsi="宋体" w:cs="宋体" w:hint="eastAsia"/>
          <w:b/>
          <w:bCs/>
          <w:kern w:val="2"/>
          <w:lang w:eastAsia="zh-CN"/>
        </w:rPr>
        <w:t>无偏离</w:t>
      </w:r>
      <w:r>
        <w:rPr>
          <w:rFonts w:ascii="宋体" w:eastAsia="宋体" w:hAnsi="宋体" w:cs="宋体" w:hint="eastAsia"/>
          <w:kern w:val="2"/>
          <w:lang w:eastAsia="zh-CN"/>
        </w:rPr>
        <w:t>”</w:t>
      </w:r>
      <w:r>
        <w:rPr>
          <w:rFonts w:ascii="宋体" w:eastAsia="宋体" w:hAnsi="宋体" w:cs="宋体" w:hint="eastAsia"/>
          <w:bCs/>
          <w:kern w:val="2"/>
          <w:lang w:eastAsia="zh-CN"/>
        </w:rPr>
        <w:t>，“正偏离”表示“投标响应优于实质性条款具体内容要求”，“负偏离”表示“投标响应不满足实质性条款具体内容要求”，“无偏离”表示“投标响应与实质性条款具体内容要求一致”。</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4、评审委员会有权对投标响应情况作出判断。</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5、实质性响应条款“投标响应情况”与投标文件其它内容冲突的，以实质性响应条款“投标响应情况”为准。</w:t>
      </w:r>
    </w:p>
    <w:p>
      <w:pPr>
        <w:widowControl w:val="0"/>
        <w:spacing w:line="276" w:lineRule="auto"/>
        <w:ind w:firstLine="480" w:firstLineChars="200"/>
        <w:jc w:val="both"/>
        <w:rPr>
          <w:rFonts w:ascii="宋体" w:eastAsia="宋体" w:hAnsi="宋体" w:cs="宋体" w:hint="eastAsia"/>
          <w:bCs/>
          <w:kern w:val="2"/>
          <w:lang w:eastAsia="zh-CN"/>
        </w:rPr>
      </w:pPr>
      <w:r>
        <w:rPr>
          <w:rFonts w:ascii="宋体" w:eastAsia="宋体" w:hAnsi="宋体" w:cs="宋体" w:hint="eastAsia"/>
          <w:bCs/>
          <w:kern w:val="2"/>
          <w:lang w:eastAsia="zh-CN"/>
        </w:rPr>
        <w:t>6、以上实质性条款中要求提供证明材料，需如实提供证明材料扫描件，在“说明”一栏中列明证明材料的位置，以便评审；未要求提供证明材料的，投标人可以不提供。</w:t>
      </w: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widowControl w:val="0"/>
        <w:jc w:val="both"/>
        <w:rPr>
          <w:rFonts w:ascii="宋体" w:eastAsia="宋体" w:hAnsi="宋体" w:hint="eastAsia"/>
          <w:b/>
          <w:bCs/>
          <w:szCs w:val="20"/>
          <w:lang w:eastAsia="zh-CN"/>
        </w:rPr>
      </w:pPr>
    </w:p>
    <w:p>
      <w:pPr>
        <w:keepNext/>
        <w:keepLines/>
        <w:widowControl w:val="0"/>
        <w:spacing w:before="260" w:after="260"/>
        <w:jc w:val="center"/>
        <w:outlineLvl w:val="2"/>
        <w:rPr>
          <w:rFonts w:ascii="黑体" w:eastAsia="黑体" w:hAnsi="宋体" w:hint="eastAsia"/>
          <w:b/>
          <w:kern w:val="2"/>
          <w:sz w:val="30"/>
          <w:szCs w:val="30"/>
          <w:lang w:eastAsia="zh-CN"/>
        </w:rPr>
      </w:pPr>
      <w:r>
        <w:rPr>
          <w:rFonts w:ascii="黑体" w:eastAsia="黑体" w:hAnsi="宋体" w:cstheme="minorBidi" w:hint="eastAsia"/>
          <w:b/>
          <w:kern w:val="2"/>
          <w:sz w:val="30"/>
          <w:szCs w:val="30"/>
          <w:lang w:eastAsia="zh-CN"/>
        </w:rPr>
        <w:t>十、技术要求偏离表</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2"/>
        <w:gridCol w:w="1125"/>
        <w:gridCol w:w="2646"/>
        <w:gridCol w:w="2519"/>
        <w:gridCol w:w="1077"/>
        <w:gridCol w:w="787"/>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236"/>
          <w:jc w:val="center"/>
        </w:trPr>
        <w:tc>
          <w:tcPr>
            <w:tcW w:w="776"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序号</w:t>
            </w:r>
          </w:p>
        </w:tc>
        <w:tc>
          <w:tcPr>
            <w:tcW w:w="1266"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货物名称</w:t>
            </w:r>
          </w:p>
        </w:tc>
        <w:tc>
          <w:tcPr>
            <w:tcW w:w="3028"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招标技术要求</w:t>
            </w:r>
          </w:p>
        </w:tc>
        <w:tc>
          <w:tcPr>
            <w:tcW w:w="2881"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投标技术响应</w:t>
            </w:r>
          </w:p>
        </w:tc>
        <w:tc>
          <w:tcPr>
            <w:tcW w:w="1210"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偏离情况</w:t>
            </w:r>
          </w:p>
        </w:tc>
        <w:tc>
          <w:tcPr>
            <w:tcW w:w="874"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说明</w:t>
            </w:r>
          </w:p>
        </w:tc>
      </w:tr>
      <w:tr>
        <w:tblPrEx>
          <w:tblW w:w="5000" w:type="pct"/>
          <w:jc w:val="center"/>
          <w:tblLayout w:type="fixed"/>
          <w:tblCellMar>
            <w:top w:w="0" w:type="dxa"/>
            <w:left w:w="108" w:type="dxa"/>
            <w:bottom w:w="0" w:type="dxa"/>
            <w:right w:w="108" w:type="dxa"/>
          </w:tblCellMar>
        </w:tblPrEx>
        <w:trPr>
          <w:trHeight w:val="119"/>
          <w:jc w:val="center"/>
        </w:trPr>
        <w:tc>
          <w:tcPr>
            <w:tcW w:w="776" w:type="dxa"/>
            <w:vMerge w:val="restart"/>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1</w:t>
            </w:r>
          </w:p>
        </w:tc>
        <w:tc>
          <w:tcPr>
            <w:tcW w:w="1266" w:type="dxa"/>
            <w:vMerge w:val="restart"/>
            <w:vAlign w:val="center"/>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19"/>
          <w:jc w:val="center"/>
        </w:trPr>
        <w:tc>
          <w:tcPr>
            <w:tcW w:w="776" w:type="dxa"/>
            <w:vMerge/>
            <w:vAlign w:val="center"/>
          </w:tcPr>
          <w:p>
            <w:pPr>
              <w:widowControl w:val="0"/>
              <w:jc w:val="both"/>
              <w:rPr>
                <w:rFonts w:ascii="Calibri" w:eastAsia="宋体" w:hAnsi="Calibri"/>
                <w:kern w:val="2"/>
                <w:sz w:val="21"/>
                <w:szCs w:val="22"/>
                <w:lang w:eastAsia="zh-CN"/>
              </w:rPr>
            </w:pPr>
          </w:p>
        </w:tc>
        <w:tc>
          <w:tcPr>
            <w:tcW w:w="1266" w:type="dxa"/>
            <w:vMerge/>
            <w:vAlign w:val="center"/>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19"/>
          <w:jc w:val="center"/>
        </w:trPr>
        <w:tc>
          <w:tcPr>
            <w:tcW w:w="776" w:type="dxa"/>
            <w:vMerge/>
          </w:tcPr>
          <w:p>
            <w:pPr>
              <w:widowControl w:val="0"/>
              <w:jc w:val="both"/>
              <w:rPr>
                <w:rFonts w:ascii="Calibri" w:eastAsia="宋体" w:hAnsi="Calibri"/>
                <w:kern w:val="2"/>
                <w:sz w:val="21"/>
                <w:szCs w:val="22"/>
                <w:lang w:eastAsia="zh-CN"/>
              </w:rPr>
            </w:pPr>
          </w:p>
        </w:tc>
        <w:tc>
          <w:tcPr>
            <w:tcW w:w="1266" w:type="dxa"/>
            <w:vMerge/>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22"/>
          <w:jc w:val="center"/>
        </w:trPr>
        <w:tc>
          <w:tcPr>
            <w:tcW w:w="776" w:type="dxa"/>
            <w:vMerge/>
          </w:tcPr>
          <w:p>
            <w:pPr>
              <w:widowControl w:val="0"/>
              <w:jc w:val="both"/>
              <w:rPr>
                <w:rFonts w:ascii="Calibri" w:eastAsia="宋体" w:hAnsi="Calibri"/>
                <w:kern w:val="2"/>
                <w:sz w:val="21"/>
                <w:szCs w:val="22"/>
                <w:lang w:eastAsia="zh-CN"/>
              </w:rPr>
            </w:pPr>
          </w:p>
        </w:tc>
        <w:tc>
          <w:tcPr>
            <w:tcW w:w="1266" w:type="dxa"/>
            <w:vMerge/>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22"/>
          <w:jc w:val="center"/>
        </w:trPr>
        <w:tc>
          <w:tcPr>
            <w:tcW w:w="776" w:type="dxa"/>
            <w:vMerge w:val="restart"/>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1266" w:type="dxa"/>
            <w:vMerge w:val="restart"/>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22"/>
          <w:jc w:val="center"/>
        </w:trPr>
        <w:tc>
          <w:tcPr>
            <w:tcW w:w="776" w:type="dxa"/>
            <w:vMerge/>
          </w:tcPr>
          <w:p>
            <w:pPr>
              <w:widowControl w:val="0"/>
              <w:jc w:val="both"/>
              <w:rPr>
                <w:rFonts w:ascii="Calibri" w:eastAsia="宋体" w:hAnsi="Calibri"/>
                <w:kern w:val="2"/>
                <w:sz w:val="21"/>
                <w:szCs w:val="22"/>
                <w:lang w:eastAsia="zh-CN"/>
              </w:rPr>
            </w:pPr>
          </w:p>
        </w:tc>
        <w:tc>
          <w:tcPr>
            <w:tcW w:w="1266" w:type="dxa"/>
            <w:vMerge/>
          </w:tcPr>
          <w:p>
            <w:pPr>
              <w:widowControl w:val="0"/>
              <w:jc w:val="both"/>
              <w:rPr>
                <w:rFonts w:ascii="Calibri" w:eastAsia="宋体" w:hAnsi="Calibri"/>
                <w:kern w:val="2"/>
                <w:sz w:val="21"/>
                <w:szCs w:val="22"/>
                <w:lang w:eastAsia="zh-CN"/>
              </w:rPr>
            </w:pPr>
          </w:p>
        </w:tc>
        <w:tc>
          <w:tcPr>
            <w:tcW w:w="3028"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881" w:type="dxa"/>
          </w:tcPr>
          <w:p>
            <w:pPr>
              <w:widowControl w:val="0"/>
              <w:jc w:val="both"/>
              <w:rPr>
                <w:rFonts w:ascii="Calibri" w:eastAsia="宋体" w:hAnsi="Calibri"/>
                <w:kern w:val="2"/>
                <w:sz w:val="21"/>
                <w:szCs w:val="22"/>
                <w:lang w:eastAsia="zh-CN"/>
              </w:rPr>
            </w:pPr>
          </w:p>
        </w:tc>
        <w:tc>
          <w:tcPr>
            <w:tcW w:w="1210" w:type="dxa"/>
          </w:tcPr>
          <w:p>
            <w:pPr>
              <w:widowControl w:val="0"/>
              <w:jc w:val="both"/>
              <w:rPr>
                <w:rFonts w:ascii="Calibri" w:eastAsia="宋体" w:hAnsi="Calibri"/>
                <w:kern w:val="2"/>
                <w:sz w:val="21"/>
                <w:szCs w:val="22"/>
                <w:lang w:eastAsia="zh-CN"/>
              </w:rPr>
            </w:pPr>
          </w:p>
        </w:tc>
        <w:tc>
          <w:tcPr>
            <w:tcW w:w="874" w:type="dxa"/>
          </w:tcPr>
          <w:p>
            <w:pPr>
              <w:widowControl w:val="0"/>
              <w:jc w:val="both"/>
              <w:rPr>
                <w:rFonts w:ascii="Calibri" w:eastAsia="宋体" w:hAnsi="Calibri"/>
                <w:kern w:val="2"/>
                <w:sz w:val="21"/>
                <w:szCs w:val="22"/>
                <w:lang w:eastAsia="zh-CN"/>
              </w:rPr>
            </w:pPr>
          </w:p>
        </w:tc>
      </w:tr>
    </w:tbl>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填写说明：</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1、技术要求偏离表的序号、货物名称、招标技术要求等栏目对应“用户需求书”中的“技术要求部分”章节相关内容。</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2、“投标技术响应”一栏必须一一对照“招标技术要求”，详细填写投标人自身投标货物的具体参数，而不能不合理照搬照抄招标文件的技术要求，以体现具体响应情况。“投标技术响应”必须与所投产品客观实际保持一致，响应不实且情节严重的，经查实，将依法记入供应商诚信档案或受到行政处罚。</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3、“偏离情况”一栏填写如实填写</w:t>
      </w:r>
      <w:r>
        <w:rPr>
          <w:rFonts w:ascii="Calibri" w:eastAsia="宋体" w:hAnsi="Calibri" w:cstheme="minorBidi" w:hint="eastAsia"/>
          <w:b/>
          <w:kern w:val="2"/>
          <w:sz w:val="21"/>
          <w:szCs w:val="22"/>
          <w:lang w:eastAsia="zh-CN"/>
        </w:rPr>
        <w:t>“正偏离”、“负偏离”或“无偏离”</w:t>
      </w:r>
      <w:r>
        <w:rPr>
          <w:rFonts w:ascii="Calibri" w:eastAsia="宋体" w:hAnsi="Calibri" w:cstheme="minorBidi" w:hint="eastAsia"/>
          <w:kern w:val="2"/>
          <w:sz w:val="21"/>
          <w:szCs w:val="22"/>
          <w:lang w:eastAsia="zh-CN"/>
        </w:rPr>
        <w:t>，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带★号条款为不可负偏离条款，不作为评分准则中的评分内容，如未响应或出现负偏离的，将做投标无效处理。“偏离情况”必须与所投产品客观实际保持一致，响应不实且情节严重的，经查实，将依法记入供应商诚信档案或受到行政处罚。</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4、未要求提供证明资料的招标技术要求，可以不提供证明资料（如实响应即可）。</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5、证明资料条款响应要求：要求提供证明资料（且已对证明资料的形式、内容作出明确要求）进行响应的条款，应当在“说明”一栏中列明是否提供了符合要求的证明资料，以及所提供证明资料在投标文件的所在节点（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6、投标人提供的证明资料，均要求原件备查。</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7、评审委员会有权对投标人是否存在虚假响应予以认定，并视情况经招标机构报主管部门进行处理；</w:t>
      </w:r>
    </w:p>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8、除招标文件另有注明外，投标文件其它位置如出现与本表中投标参数不一致的信息，均以本表信息为准。</w:t>
      </w: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widowControl w:val="0"/>
        <w:jc w:val="both"/>
        <w:rPr>
          <w:rFonts w:ascii="Calibri" w:eastAsia="宋体" w:hAnsi="Calibri"/>
          <w:kern w:val="2"/>
          <w:sz w:val="21"/>
          <w:szCs w:val="22"/>
          <w:lang w:eastAsia="zh-CN"/>
        </w:rPr>
      </w:pP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十一、商务要求偏离表</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42"/>
        <w:gridCol w:w="1456"/>
        <w:gridCol w:w="2484"/>
        <w:gridCol w:w="2404"/>
        <w:gridCol w:w="1172"/>
        <w:gridCol w:w="698"/>
      </w:tblGrid>
      <w:tr>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69"/>
          <w:jc w:val="center"/>
        </w:trPr>
        <w:tc>
          <w:tcPr>
            <w:tcW w:w="681" w:type="dxa"/>
            <w:vAlign w:val="center"/>
          </w:tcPr>
          <w:p>
            <w:pPr>
              <w:widowControl w:val="0"/>
              <w:jc w:val="both"/>
              <w:rPr>
                <w:rFonts w:ascii="Calibri" w:eastAsia="宋体" w:hAnsi="Calibri"/>
                <w:b/>
                <w:kern w:val="2"/>
                <w:sz w:val="21"/>
                <w:szCs w:val="22"/>
                <w:lang w:eastAsia="zh-CN"/>
              </w:rPr>
            </w:pPr>
            <w:r>
              <w:rPr>
                <w:rFonts w:ascii="Calibri" w:eastAsia="宋体" w:hAnsi="Calibri" w:cstheme="minorBidi" w:hint="eastAsia"/>
                <w:kern w:val="2"/>
                <w:sz w:val="21"/>
                <w:szCs w:val="22"/>
                <w:lang w:eastAsia="zh-CN"/>
              </w:rPr>
              <w:t>序号</w:t>
            </w:r>
          </w:p>
        </w:tc>
        <w:tc>
          <w:tcPr>
            <w:tcW w:w="1573" w:type="dxa"/>
            <w:vAlign w:val="center"/>
          </w:tcPr>
          <w:p>
            <w:pPr>
              <w:widowControl w:val="0"/>
              <w:jc w:val="both"/>
              <w:rPr>
                <w:rFonts w:ascii="Calibri" w:eastAsia="宋体" w:hAnsi="Calibri"/>
                <w:kern w:val="2"/>
                <w:sz w:val="21"/>
                <w:szCs w:val="22"/>
                <w:lang w:eastAsia="zh-CN"/>
              </w:rPr>
            </w:pPr>
            <w:r>
              <w:rPr>
                <w:rFonts w:eastAsia="宋体" w:hint="eastAsia"/>
                <w:kern w:val="2"/>
                <w:sz w:val="21"/>
                <w:lang w:eastAsia="zh-CN"/>
              </w:rPr>
              <w:t>目录</w:t>
            </w:r>
          </w:p>
        </w:tc>
        <w:tc>
          <w:tcPr>
            <w:tcW w:w="2700" w:type="dxa"/>
            <w:vAlign w:val="center"/>
          </w:tcPr>
          <w:p>
            <w:pPr>
              <w:widowControl w:val="0"/>
              <w:jc w:val="both"/>
              <w:rPr>
                <w:rFonts w:ascii="Calibri" w:eastAsia="宋体" w:hAnsi="Calibri"/>
                <w:b/>
                <w:kern w:val="2"/>
                <w:sz w:val="21"/>
                <w:szCs w:val="22"/>
                <w:lang w:eastAsia="zh-CN"/>
              </w:rPr>
            </w:pPr>
            <w:r>
              <w:rPr>
                <w:rFonts w:eastAsia="宋体" w:hint="eastAsia"/>
                <w:kern w:val="2"/>
                <w:sz w:val="21"/>
                <w:lang w:eastAsia="zh-CN"/>
              </w:rPr>
              <w:t>采购</w:t>
            </w:r>
            <w:r>
              <w:rPr>
                <w:rFonts w:ascii="Calibri" w:eastAsia="宋体" w:hAnsi="Calibri" w:cstheme="minorBidi" w:hint="eastAsia"/>
                <w:kern w:val="2"/>
                <w:sz w:val="21"/>
                <w:szCs w:val="22"/>
                <w:lang w:eastAsia="zh-CN"/>
              </w:rPr>
              <w:t>商务要求</w:t>
            </w:r>
          </w:p>
        </w:tc>
        <w:tc>
          <w:tcPr>
            <w:tcW w:w="2613" w:type="dxa"/>
            <w:vAlign w:val="center"/>
          </w:tcPr>
          <w:p>
            <w:pPr>
              <w:widowControl w:val="0"/>
              <w:jc w:val="both"/>
              <w:rPr>
                <w:rFonts w:ascii="Calibri" w:eastAsia="宋体" w:hAnsi="Calibri"/>
                <w:b/>
                <w:kern w:val="2"/>
                <w:sz w:val="21"/>
                <w:szCs w:val="22"/>
                <w:lang w:eastAsia="zh-CN"/>
              </w:rPr>
            </w:pPr>
            <w:r>
              <w:rPr>
                <w:rFonts w:ascii="Calibri" w:eastAsia="宋体" w:hAnsi="Calibri" w:cstheme="minorBidi" w:hint="eastAsia"/>
                <w:kern w:val="2"/>
                <w:sz w:val="21"/>
                <w:szCs w:val="22"/>
                <w:lang w:eastAsia="zh-CN"/>
              </w:rPr>
              <w:t>投标商务响应</w:t>
            </w:r>
          </w:p>
        </w:tc>
        <w:tc>
          <w:tcPr>
            <w:tcW w:w="1262" w:type="dxa"/>
            <w:vAlign w:val="center"/>
          </w:tcPr>
          <w:p>
            <w:pPr>
              <w:widowControl w:val="0"/>
              <w:jc w:val="both"/>
              <w:rPr>
                <w:rFonts w:ascii="Calibri" w:eastAsia="宋体" w:hAnsi="Calibri"/>
                <w:b/>
                <w:kern w:val="2"/>
                <w:sz w:val="21"/>
                <w:szCs w:val="22"/>
                <w:lang w:eastAsia="zh-CN"/>
              </w:rPr>
            </w:pPr>
            <w:r>
              <w:rPr>
                <w:rFonts w:ascii="Calibri" w:eastAsia="宋体" w:hAnsi="Calibri" w:cstheme="minorBidi" w:hint="eastAsia"/>
                <w:kern w:val="2"/>
                <w:sz w:val="21"/>
                <w:szCs w:val="22"/>
                <w:lang w:eastAsia="zh-CN"/>
              </w:rPr>
              <w:t>偏离情况</w:t>
            </w:r>
          </w:p>
        </w:tc>
        <w:tc>
          <w:tcPr>
            <w:tcW w:w="743" w:type="dxa"/>
            <w:vAlign w:val="center"/>
          </w:tcPr>
          <w:p>
            <w:pPr>
              <w:widowControl w:val="0"/>
              <w:jc w:val="both"/>
              <w:rPr>
                <w:rFonts w:ascii="Calibri" w:eastAsia="宋体" w:hAnsi="Calibri"/>
                <w:b/>
                <w:kern w:val="2"/>
                <w:sz w:val="21"/>
                <w:szCs w:val="22"/>
                <w:lang w:eastAsia="zh-CN"/>
              </w:rPr>
            </w:pPr>
            <w:r>
              <w:rPr>
                <w:rFonts w:ascii="Calibri" w:eastAsia="宋体" w:hAnsi="Calibri" w:cstheme="minorBidi" w:hint="eastAsia"/>
                <w:kern w:val="2"/>
                <w:sz w:val="21"/>
                <w:szCs w:val="22"/>
                <w:lang w:eastAsia="zh-CN"/>
              </w:rPr>
              <w:t>说明</w:t>
            </w:r>
          </w:p>
        </w:tc>
      </w:tr>
      <w:tr>
        <w:tblPrEx>
          <w:tblW w:w="5000" w:type="pct"/>
          <w:jc w:val="center"/>
          <w:tblLayout w:type="fixed"/>
          <w:tblCellMar>
            <w:top w:w="0" w:type="dxa"/>
            <w:left w:w="108" w:type="dxa"/>
            <w:bottom w:w="0" w:type="dxa"/>
            <w:right w:w="108" w:type="dxa"/>
          </w:tblCellMar>
        </w:tblPrEx>
        <w:trPr>
          <w:trHeight w:val="187"/>
          <w:jc w:val="center"/>
        </w:trPr>
        <w:tc>
          <w:tcPr>
            <w:tcW w:w="9572" w:type="dxa"/>
            <w:gridSpan w:val="6"/>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（一）免费保修期内售后服务要求</w:t>
            </w:r>
          </w:p>
        </w:tc>
      </w:tr>
      <w:tr>
        <w:tblPrEx>
          <w:tblW w:w="5000" w:type="pct"/>
          <w:jc w:val="center"/>
          <w:tblLayout w:type="fixed"/>
          <w:tblCellMar>
            <w:top w:w="0" w:type="dxa"/>
            <w:left w:w="108" w:type="dxa"/>
            <w:bottom w:w="0" w:type="dxa"/>
            <w:right w:w="108" w:type="dxa"/>
          </w:tblCellMar>
        </w:tblPrEx>
        <w:trPr>
          <w:trHeight w:val="187"/>
          <w:jc w:val="center"/>
        </w:trPr>
        <w:tc>
          <w:tcPr>
            <w:tcW w:w="681"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1</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r>
              <w:rPr>
                <w:rFonts w:ascii="Calibri" w:eastAsia="宋体" w:hAnsi="Calibri" w:cstheme="minorBidi"/>
                <w:kern w:val="2"/>
                <w:sz w:val="21"/>
                <w:szCs w:val="22"/>
                <w:lang w:eastAsia="zh-CN"/>
              </w:rPr>
              <w:t>***</w:t>
            </w:r>
          </w:p>
        </w:tc>
        <w:tc>
          <w:tcPr>
            <w:tcW w:w="2700" w:type="dxa"/>
          </w:tcPr>
          <w:p>
            <w:pPr>
              <w:widowControl w:val="0"/>
              <w:jc w:val="both"/>
              <w:rPr>
                <w:rFonts w:ascii="Calibri" w:eastAsia="宋体" w:hAnsi="Calibri"/>
                <w:b/>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87"/>
          <w:jc w:val="center"/>
        </w:trPr>
        <w:tc>
          <w:tcPr>
            <w:tcW w:w="681" w:type="dxa"/>
            <w:vAlign w:val="center"/>
          </w:tcPr>
          <w:p>
            <w:pPr>
              <w:widowControl w:val="0"/>
              <w:jc w:val="both"/>
              <w:rPr>
                <w:rFonts w:ascii="Calibri" w:eastAsia="宋体" w:hAnsi="Calibri"/>
                <w:kern w:val="2"/>
                <w:sz w:val="21"/>
                <w:szCs w:val="22"/>
                <w:lang w:eastAsia="zh-CN"/>
              </w:rPr>
            </w:pPr>
            <w:r>
              <w:rPr>
                <w:rFonts w:ascii="Calibri" w:eastAsia="宋体" w:hAnsi="Calibri" w:cstheme="minorBidi"/>
                <w:kern w:val="2"/>
                <w:sz w:val="21"/>
                <w:szCs w:val="22"/>
                <w:lang w:eastAsia="zh-CN"/>
              </w:rPr>
              <w:t>2</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bCs/>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87"/>
          <w:jc w:val="center"/>
        </w:trPr>
        <w:tc>
          <w:tcPr>
            <w:tcW w:w="681" w:type="dxa"/>
            <w:vAlign w:val="center"/>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bCs/>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87"/>
          <w:jc w:val="center"/>
        </w:trPr>
        <w:tc>
          <w:tcPr>
            <w:tcW w:w="9572" w:type="dxa"/>
            <w:gridSpan w:val="6"/>
          </w:tcPr>
          <w:p>
            <w:pPr>
              <w:widowControl w:val="0"/>
              <w:jc w:val="both"/>
              <w:rPr>
                <w:rFonts w:ascii="Calibri" w:eastAsia="宋体" w:hAnsi="Calibri"/>
                <w:bCs/>
                <w:kern w:val="2"/>
                <w:sz w:val="21"/>
                <w:szCs w:val="22"/>
                <w:lang w:eastAsia="zh-CN"/>
              </w:rPr>
            </w:pPr>
            <w:r>
              <w:rPr>
                <w:rFonts w:ascii="Calibri" w:eastAsia="宋体" w:hAnsi="Calibri" w:cstheme="minorBidi" w:hint="eastAsia"/>
                <w:kern w:val="2"/>
                <w:sz w:val="21"/>
                <w:szCs w:val="22"/>
                <w:lang w:eastAsia="zh-CN"/>
              </w:rPr>
              <w:t>（二）其他商务要求</w:t>
            </w:r>
          </w:p>
        </w:tc>
      </w:tr>
      <w:tr>
        <w:tblPrEx>
          <w:tblW w:w="5000" w:type="pct"/>
          <w:jc w:val="center"/>
          <w:tblLayout w:type="fixed"/>
          <w:tblCellMar>
            <w:top w:w="0" w:type="dxa"/>
            <w:left w:w="108" w:type="dxa"/>
            <w:bottom w:w="0" w:type="dxa"/>
            <w:right w:w="108" w:type="dxa"/>
          </w:tblCellMar>
        </w:tblPrEx>
        <w:trPr>
          <w:trHeight w:val="191"/>
          <w:jc w:val="center"/>
        </w:trPr>
        <w:tc>
          <w:tcPr>
            <w:tcW w:w="681"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1</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91"/>
          <w:jc w:val="center"/>
        </w:trPr>
        <w:tc>
          <w:tcPr>
            <w:tcW w:w="681"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2</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91"/>
          <w:jc w:val="center"/>
        </w:trPr>
        <w:tc>
          <w:tcPr>
            <w:tcW w:w="681"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3</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r>
        <w:tblPrEx>
          <w:tblW w:w="5000" w:type="pct"/>
          <w:jc w:val="center"/>
          <w:tblLayout w:type="fixed"/>
          <w:tblCellMar>
            <w:top w:w="0" w:type="dxa"/>
            <w:left w:w="108" w:type="dxa"/>
            <w:bottom w:w="0" w:type="dxa"/>
            <w:right w:w="108" w:type="dxa"/>
          </w:tblCellMar>
        </w:tblPrEx>
        <w:trPr>
          <w:trHeight w:val="191"/>
          <w:jc w:val="center"/>
        </w:trPr>
        <w:tc>
          <w:tcPr>
            <w:tcW w:w="681"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4</w:t>
            </w:r>
          </w:p>
        </w:tc>
        <w:tc>
          <w:tcPr>
            <w:tcW w:w="1573"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700" w:type="dxa"/>
          </w:tcPr>
          <w:p>
            <w:pPr>
              <w:widowControl w:val="0"/>
              <w:jc w:val="both"/>
              <w:rPr>
                <w:rFonts w:ascii="Calibri" w:eastAsia="宋体" w:hAnsi="Calibri"/>
                <w:kern w:val="2"/>
                <w:sz w:val="21"/>
                <w:szCs w:val="22"/>
                <w:lang w:eastAsia="zh-CN"/>
              </w:rPr>
            </w:pPr>
            <w:r>
              <w:rPr>
                <w:rFonts w:ascii="Calibri" w:eastAsia="宋体" w:hAnsi="Calibri" w:cstheme="minorBidi" w:hint="eastAsia"/>
                <w:kern w:val="2"/>
                <w:sz w:val="21"/>
                <w:szCs w:val="22"/>
                <w:lang w:eastAsia="zh-CN"/>
              </w:rPr>
              <w:t>……</w:t>
            </w:r>
          </w:p>
        </w:tc>
        <w:tc>
          <w:tcPr>
            <w:tcW w:w="2613" w:type="dxa"/>
          </w:tcPr>
          <w:p>
            <w:pPr>
              <w:widowControl w:val="0"/>
              <w:jc w:val="both"/>
              <w:rPr>
                <w:rFonts w:ascii="Calibri" w:eastAsia="宋体" w:hAnsi="Calibri"/>
                <w:kern w:val="2"/>
                <w:sz w:val="21"/>
                <w:szCs w:val="22"/>
                <w:lang w:eastAsia="zh-CN"/>
              </w:rPr>
            </w:pPr>
          </w:p>
        </w:tc>
        <w:tc>
          <w:tcPr>
            <w:tcW w:w="1262" w:type="dxa"/>
          </w:tcPr>
          <w:p>
            <w:pPr>
              <w:widowControl w:val="0"/>
              <w:jc w:val="both"/>
              <w:rPr>
                <w:rFonts w:ascii="Calibri" w:eastAsia="宋体" w:hAnsi="Calibri"/>
                <w:kern w:val="2"/>
                <w:sz w:val="21"/>
                <w:szCs w:val="22"/>
                <w:lang w:eastAsia="zh-CN"/>
              </w:rPr>
            </w:pPr>
          </w:p>
        </w:tc>
        <w:tc>
          <w:tcPr>
            <w:tcW w:w="743" w:type="dxa"/>
          </w:tcPr>
          <w:p>
            <w:pPr>
              <w:widowControl w:val="0"/>
              <w:jc w:val="both"/>
              <w:rPr>
                <w:rFonts w:ascii="Calibri" w:eastAsia="宋体" w:hAnsi="Calibri"/>
                <w:kern w:val="2"/>
                <w:sz w:val="21"/>
                <w:szCs w:val="22"/>
                <w:lang w:eastAsia="zh-CN"/>
              </w:rPr>
            </w:pPr>
          </w:p>
        </w:tc>
      </w:tr>
    </w:tbl>
    <w:p>
      <w:pPr>
        <w:widowControl w:val="0"/>
        <w:jc w:val="both"/>
        <w:rPr>
          <w:rFonts w:ascii="Calibri" w:eastAsia="宋体" w:hAnsi="Calibri"/>
          <w:kern w:val="2"/>
          <w:sz w:val="21"/>
          <w:szCs w:val="22"/>
          <w:lang w:eastAsia="zh-CN"/>
        </w:rPr>
      </w:pP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《商务要求偏离表》编制指引：</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1、商务要求偏离表的序号、目录、招标商务要求等栏目对应“用户需求书”中的“商务要求”章节相关内容。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2、“投标商务响应”一栏必须一一对照“采购商务要求”，详细填写自身响应情况，而不能不合理照搬照抄招标文件的商务要求，以体现具体响应情况。</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3、“偏离情况”一栏填写如实填写</w:t>
      </w:r>
      <w:r>
        <w:rPr>
          <w:rFonts w:eastAsia="宋体" w:hint="eastAsia"/>
          <w:b/>
          <w:kern w:val="2"/>
          <w:sz w:val="21"/>
          <w:lang w:eastAsia="zh-CN"/>
        </w:rPr>
        <w:t>“正偏离”、“负偏离”或“无偏离”，</w:t>
      </w:r>
      <w:r>
        <w:rPr>
          <w:rFonts w:eastAsia="宋体" w:hint="eastAsia"/>
          <w:kern w:val="2"/>
          <w:sz w:val="21"/>
          <w:lang w:eastAsia="zh-CN"/>
        </w:rPr>
        <w:t>其中：“正偏离”表示“投标响应优于招标商务要求”，“负偏离”表示“投标响应不满足招标商务要求”，“无偏离”表示“投标响应与招标商务要求一致”。</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“投标商务响应”对比“采购商务要求”存在响应不全（包括未响应整项招标商务要求或者未响应一项招标商务要求的部分内容），均视为“负偏离”。</w:t>
      </w:r>
    </w:p>
    <w:p>
      <w:pPr>
        <w:numPr>
          <w:ilvl w:val="0"/>
          <w:numId w:val="7"/>
        </w:num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带★号条款为不可偏离条款，如未响应或出现负偏离的，将作投标无效处理。</w:t>
      </w:r>
    </w:p>
    <w:p>
      <w:pPr>
        <w:wordWrap w:val="0"/>
        <w:autoSpaceDE w:val="0"/>
        <w:autoSpaceDN w:val="0"/>
        <w:spacing w:line="400" w:lineRule="exact"/>
        <w:ind w:right="808"/>
        <w:jc w:val="both"/>
        <w:rPr>
          <w:rFonts w:eastAsia="宋体"/>
          <w:kern w:val="2"/>
          <w:sz w:val="21"/>
          <w:lang w:eastAsia="zh-CN"/>
        </w:rPr>
      </w:pPr>
    </w:p>
    <w:p>
      <w:pPr>
        <w:wordWrap w:val="0"/>
        <w:autoSpaceDE w:val="0"/>
        <w:autoSpaceDN w:val="0"/>
        <w:spacing w:line="400" w:lineRule="exact"/>
        <w:ind w:right="808"/>
        <w:jc w:val="both"/>
        <w:rPr>
          <w:rFonts w:eastAsia="宋体"/>
          <w:kern w:val="2"/>
          <w:sz w:val="21"/>
          <w:lang w:eastAsia="zh-CN"/>
        </w:rPr>
      </w:pPr>
    </w:p>
    <w:p>
      <w:pPr>
        <w:wordWrap w:val="0"/>
        <w:autoSpaceDE w:val="0"/>
        <w:autoSpaceDN w:val="0"/>
        <w:spacing w:line="400" w:lineRule="exact"/>
        <w:ind w:right="808"/>
        <w:jc w:val="both"/>
        <w:rPr>
          <w:rFonts w:eastAsia="宋体"/>
          <w:kern w:val="2"/>
          <w:sz w:val="21"/>
          <w:lang w:eastAsia="zh-CN"/>
        </w:rPr>
      </w:pPr>
    </w:p>
    <w:p>
      <w:pPr>
        <w:wordWrap w:val="0"/>
        <w:autoSpaceDE w:val="0"/>
        <w:autoSpaceDN w:val="0"/>
        <w:spacing w:line="400" w:lineRule="exact"/>
        <w:ind w:right="808"/>
        <w:jc w:val="both"/>
        <w:rPr>
          <w:rFonts w:eastAsia="宋体"/>
          <w:kern w:val="2"/>
          <w:sz w:val="21"/>
          <w:lang w:eastAsia="zh-CN"/>
        </w:rPr>
      </w:pPr>
    </w:p>
    <w:p>
      <w:pPr>
        <w:widowControl w:val="0"/>
        <w:ind w:firstLine="420" w:firstLineChars="200"/>
        <w:jc w:val="both"/>
        <w:rPr>
          <w:rFonts w:ascii="Calibri" w:eastAsia="宋体" w:hAnsi="Calibri"/>
          <w:bCs/>
          <w:kern w:val="2"/>
          <w:sz w:val="21"/>
          <w:szCs w:val="21"/>
          <w:lang w:eastAsia="zh-CN"/>
        </w:rPr>
      </w:pP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十二、技术保障措施</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十三、效果图</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十四、售后服务评价</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十五、样品</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十六、同类项目业绩</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十七、环保产品</w:t>
      </w: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十八、诚信承诺函</w:t>
      </w:r>
    </w:p>
    <w:p>
      <w:pPr>
        <w:spacing w:line="360" w:lineRule="auto"/>
        <w:rPr>
          <w:rFonts w:ascii="宋体" w:eastAsia="宋体" w:hAnsi="宋体" w:hint="eastAsia"/>
          <w:b/>
          <w:szCs w:val="21"/>
          <w:lang w:eastAsia="zh-CN"/>
        </w:rPr>
      </w:pPr>
      <w:r>
        <w:rPr>
          <w:rFonts w:ascii="宋体" w:eastAsia="宋体" w:hAnsi="宋体" w:hint="eastAsia"/>
          <w:b/>
          <w:szCs w:val="21"/>
          <w:lang w:eastAsia="zh-CN"/>
        </w:rPr>
        <w:t>致：深圳市千里招标代理有限公司</w:t>
      </w:r>
    </w:p>
    <w:p>
      <w:pPr>
        <w:spacing w:line="360" w:lineRule="auto"/>
        <w:ind w:firstLine="480" w:firstLineChars="200"/>
        <w:rPr>
          <w:rFonts w:ascii="宋体" w:eastAsia="宋体" w:hAnsi="宋体" w:hint="eastAsia"/>
          <w:szCs w:val="21"/>
          <w:lang w:eastAsia="zh-CN"/>
        </w:rPr>
      </w:pPr>
      <w:r>
        <w:rPr>
          <w:rFonts w:ascii="宋体" w:eastAsia="宋体" w:hAnsi="宋体" w:hint="eastAsia"/>
          <w:szCs w:val="21"/>
          <w:lang w:eastAsia="zh-CN"/>
        </w:rPr>
        <w:t>我公司承诺近三年内在采购招标投标活动中，不存在以下情形：</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（一）被纪检监察部门立案调查，违法违规事实成立的；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（二）未按本条例规定签订、履行采购合同，造成严重后果的；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（三）隐瞒真实情况，提供虚假资料的；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（四）以非法手段排斥其他供应商参与竞争的；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（五）与其他采购参加人串通投标的；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（六）在采购活动中应当回避而未回避的；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（七）恶意投诉的；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（八）向采购项目相关人行贿或者提供其他不当利益的；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（九）阻碍、抗拒主管部门监督检查的；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（十）履约检查不合格或者评价为差的；</w:t>
      </w:r>
    </w:p>
    <w:p>
      <w:pPr>
        <w:tabs>
          <w:tab w:val="left" w:pos="567"/>
        </w:tabs>
        <w:spacing w:line="360" w:lineRule="auto"/>
        <w:ind w:left="420"/>
        <w:rPr>
          <w:rFonts w:ascii="宋体" w:eastAsia="宋体" w:hAnsi="宋体" w:hint="eastAsia"/>
          <w:sz w:val="21"/>
          <w:szCs w:val="21"/>
          <w:lang w:eastAsia="zh-CN"/>
        </w:rPr>
      </w:pPr>
      <w:r>
        <w:rPr>
          <w:rFonts w:ascii="宋体" w:eastAsia="宋体" w:hAnsi="宋体" w:hint="eastAsia"/>
          <w:sz w:val="21"/>
          <w:szCs w:val="21"/>
          <w:lang w:eastAsia="zh-CN"/>
        </w:rPr>
        <w:t>（十一）重大违法犯罪记录和被财政等政府主管部门处以禁止参与政府采购活动的情况；</w:t>
      </w:r>
    </w:p>
    <w:p>
      <w:pPr>
        <w:spacing w:line="360" w:lineRule="auto"/>
        <w:ind w:firstLine="480" w:firstLineChars="200"/>
        <w:rPr>
          <w:rFonts w:ascii="宋体" w:eastAsia="宋体" w:hAnsi="宋体" w:hint="eastAsia"/>
          <w:szCs w:val="21"/>
          <w:lang w:eastAsia="zh-CN"/>
        </w:rPr>
      </w:pPr>
      <w:r>
        <w:rPr>
          <w:rFonts w:ascii="宋体" w:eastAsia="宋体" w:hAnsi="宋体" w:hint="eastAsia"/>
          <w:szCs w:val="21"/>
          <w:lang w:eastAsia="zh-CN"/>
        </w:rPr>
        <w:t>（十二）主管部门认定的其他情形。</w:t>
      </w:r>
    </w:p>
    <w:p>
      <w:pPr>
        <w:spacing w:line="360" w:lineRule="auto"/>
        <w:ind w:firstLine="480" w:firstLineChars="200"/>
        <w:rPr>
          <w:rFonts w:ascii="宋体" w:eastAsia="宋体" w:hAnsi="宋体" w:hint="eastAsia"/>
          <w:szCs w:val="21"/>
          <w:lang w:eastAsia="zh-CN"/>
        </w:rPr>
      </w:pPr>
      <w:r>
        <w:rPr>
          <w:rFonts w:ascii="宋体" w:eastAsia="宋体" w:hAnsi="宋体" w:hint="eastAsia"/>
          <w:szCs w:val="21"/>
          <w:lang w:eastAsia="zh-CN"/>
        </w:rPr>
        <w:t>如我司存在以上情形，被有关主管部门按照《深圳经济特区政府采购条例》第57条处罚、或者上述行为超出法定追诉时效未被追诉、或者上述情节轻微未给予禁止参加政府采购的行政处罚，我司自愿承担虚假应标以及其他一切不利的法律后果。</w:t>
      </w:r>
    </w:p>
    <w:p>
      <w:pPr>
        <w:spacing w:line="360" w:lineRule="auto"/>
        <w:ind w:firstLine="480" w:firstLineChars="200"/>
        <w:rPr>
          <w:rFonts w:ascii="宋体" w:eastAsia="宋体" w:hAnsi="宋体" w:hint="eastAsia"/>
          <w:szCs w:val="21"/>
          <w:lang w:eastAsia="zh-CN"/>
        </w:rPr>
      </w:pPr>
      <w:r>
        <w:rPr>
          <w:rFonts w:ascii="宋体" w:eastAsia="宋体" w:hAnsi="宋体" w:hint="eastAsia"/>
          <w:szCs w:val="21"/>
          <w:lang w:eastAsia="zh-CN"/>
        </w:rPr>
        <w:t>特此承诺。</w:t>
      </w:r>
    </w:p>
    <w:p>
      <w:pPr>
        <w:spacing w:line="360" w:lineRule="auto"/>
        <w:jc w:val="both"/>
        <w:rPr>
          <w:rFonts w:ascii="宋体" w:eastAsia="宋体" w:hAnsi="宋体" w:hint="eastAsia"/>
          <w:szCs w:val="21"/>
          <w:lang w:eastAsia="zh-CN"/>
        </w:rPr>
      </w:pPr>
    </w:p>
    <w:p>
      <w:pPr>
        <w:spacing w:line="360" w:lineRule="auto"/>
        <w:rPr>
          <w:rFonts w:ascii="宋体" w:eastAsia="宋体" w:hAnsi="宋体" w:hint="eastAsia"/>
          <w:szCs w:val="21"/>
          <w:lang w:eastAsia="zh-CN"/>
        </w:rPr>
      </w:pPr>
    </w:p>
    <w:p>
      <w:pPr>
        <w:spacing w:line="360" w:lineRule="auto"/>
        <w:ind w:firstLine="3600" w:firstLineChars="1500"/>
        <w:rPr>
          <w:rFonts w:ascii="宋体" w:eastAsia="宋体" w:hAnsi="宋体" w:hint="eastAsia"/>
          <w:szCs w:val="21"/>
          <w:lang w:eastAsia="zh-CN"/>
        </w:rPr>
      </w:pPr>
      <w:r>
        <w:rPr>
          <w:rFonts w:ascii="宋体" w:eastAsia="宋体" w:hAnsi="宋体" w:hint="eastAsia"/>
          <w:szCs w:val="21"/>
          <w:lang w:eastAsia="zh-CN"/>
        </w:rPr>
        <w:t>投标单位：</w:t>
      </w:r>
    </w:p>
    <w:p>
      <w:pPr>
        <w:spacing w:line="360" w:lineRule="auto"/>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r>
        <w:rPr>
          <w:rFonts w:ascii="宋体" w:eastAsia="宋体" w:hAnsi="宋体" w:hint="eastAsia"/>
          <w:szCs w:val="21"/>
          <w:lang w:eastAsia="zh-CN"/>
        </w:rPr>
        <w:t>日期：</w:t>
      </w:r>
      <w:r>
        <w:rPr>
          <w:rFonts w:ascii="宋体" w:eastAsia="宋体" w:hAnsi="宋体" w:hint="eastAsia"/>
          <w:szCs w:val="21"/>
          <w:u w:val="single"/>
          <w:lang w:eastAsia="zh-CN"/>
        </w:rPr>
        <w:t xml:space="preserve">     </w:t>
      </w:r>
      <w:r>
        <w:rPr>
          <w:rFonts w:ascii="宋体" w:eastAsia="宋体" w:hAnsi="宋体" w:hint="eastAsia"/>
          <w:szCs w:val="21"/>
          <w:lang w:eastAsia="zh-CN"/>
        </w:rPr>
        <w:t>年</w:t>
      </w:r>
      <w:r>
        <w:rPr>
          <w:rFonts w:ascii="宋体" w:eastAsia="宋体" w:hAnsi="宋体" w:hint="eastAsia"/>
          <w:szCs w:val="21"/>
          <w:u w:val="single"/>
          <w:lang w:eastAsia="zh-CN"/>
        </w:rPr>
        <w:t xml:space="preserve">     </w:t>
      </w:r>
      <w:r>
        <w:rPr>
          <w:rFonts w:ascii="宋体" w:eastAsia="宋体" w:hAnsi="宋体" w:hint="eastAsia"/>
          <w:szCs w:val="21"/>
          <w:lang w:eastAsia="zh-CN"/>
        </w:rPr>
        <w:t>月</w:t>
      </w:r>
      <w:r>
        <w:rPr>
          <w:rFonts w:ascii="宋体" w:eastAsia="宋体" w:hAnsi="宋体" w:hint="eastAsia"/>
          <w:szCs w:val="21"/>
          <w:u w:val="single"/>
          <w:lang w:eastAsia="zh-CN"/>
        </w:rPr>
        <w:t xml:space="preserve">     </w:t>
      </w:r>
      <w:r>
        <w:rPr>
          <w:rFonts w:ascii="宋体" w:eastAsia="宋体" w:hAnsi="宋体" w:hint="eastAsia"/>
          <w:szCs w:val="21"/>
          <w:lang w:eastAsia="zh-CN"/>
        </w:rPr>
        <w:t>日</w:t>
      </w: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jc w:val="right"/>
        <w:rPr>
          <w:rFonts w:ascii="宋体" w:eastAsia="宋体" w:hAnsi="宋体" w:hint="eastAsia"/>
          <w:szCs w:val="21"/>
          <w:lang w:eastAsia="zh-CN"/>
        </w:rPr>
      </w:pPr>
    </w:p>
    <w:p>
      <w:pPr>
        <w:spacing w:line="360" w:lineRule="auto"/>
        <w:rPr>
          <w:rFonts w:ascii="黑体" w:eastAsia="黑体" w:hAnsi="宋体" w:hint="eastAsia"/>
          <w:kern w:val="2"/>
          <w:szCs w:val="20"/>
          <w:highlight w:val="yellow"/>
          <w:lang w:eastAsia="zh-CN"/>
        </w:rPr>
      </w:pPr>
    </w:p>
    <w:p>
      <w:pPr>
        <w:keepNext/>
        <w:keepLines/>
        <w:widowControl w:val="0"/>
        <w:spacing w:before="260" w:after="260"/>
        <w:jc w:val="center"/>
        <w:outlineLvl w:val="2"/>
        <w:rPr>
          <w:rFonts w:ascii="黑体" w:eastAsia="黑体" w:hAnsi="宋体" w:hint="eastAsia"/>
          <w:b/>
          <w:bCs/>
          <w:kern w:val="2"/>
          <w:sz w:val="30"/>
          <w:szCs w:val="30"/>
          <w:lang w:eastAsia="zh-CN"/>
        </w:rPr>
      </w:pPr>
      <w:r>
        <w:rPr>
          <w:rFonts w:ascii="黑体" w:eastAsia="黑体" w:hAnsi="宋体" w:cstheme="minorBidi" w:hint="eastAsia"/>
          <w:b/>
          <w:bCs/>
          <w:kern w:val="2"/>
          <w:sz w:val="30"/>
          <w:szCs w:val="30"/>
          <w:lang w:eastAsia="zh-CN"/>
        </w:rPr>
        <w:t>十九、</w:t>
      </w:r>
      <w:bookmarkStart w:id="35" w:name="_Hlk72062872"/>
      <w:r>
        <w:rPr>
          <w:rFonts w:ascii="黑体" w:eastAsia="黑体" w:hAnsi="宋体" w:cstheme="minorBidi" w:hint="eastAsia"/>
          <w:b/>
          <w:bCs/>
          <w:kern w:val="2"/>
          <w:sz w:val="30"/>
          <w:szCs w:val="30"/>
          <w:lang w:eastAsia="zh-CN"/>
        </w:rPr>
        <w:t>投标人认为需要加以说明的其他内容</w:t>
      </w:r>
      <w:bookmarkEnd w:id="35"/>
    </w:p>
    <w:p>
      <w:pPr>
        <w:jc w:val="center"/>
        <w:rPr>
          <w:rFonts w:ascii="黑体" w:eastAsia="黑体" w:hAnsi="宋体" w:hint="eastAsia"/>
          <w:szCs w:val="20"/>
          <w:lang w:eastAsia="zh-CN"/>
        </w:rPr>
      </w:pPr>
      <w:r>
        <w:rPr>
          <w:rFonts w:ascii="黑体" w:eastAsia="黑体" w:hAnsi="宋体" w:cstheme="minorBidi" w:hint="eastAsia"/>
          <w:szCs w:val="20"/>
          <w:lang w:eastAsia="zh-CN"/>
        </w:rPr>
        <w:t>（一）政府采购违法行为风险知悉确认书</w:t>
      </w:r>
    </w:p>
    <w:p>
      <w:pPr>
        <w:jc w:val="center"/>
        <w:rPr>
          <w:rFonts w:ascii="黑体" w:eastAsia="黑体" w:hAnsi="宋体" w:hint="eastAsia"/>
          <w:szCs w:val="20"/>
          <w:lang w:eastAsia="zh-CN"/>
        </w:rPr>
      </w:pPr>
    </w:p>
    <w:p>
      <w:pPr>
        <w:spacing w:after="120" w:afterLines="50" w:line="360" w:lineRule="exact"/>
        <w:ind w:firstLine="480" w:firstLineChars="200"/>
        <w:rPr>
          <w:rFonts w:ascii="宋体" w:eastAsia="宋体" w:hAnsi="宋体" w:cs="宋体" w:hint="eastAsia"/>
          <w:b/>
          <w:bCs/>
          <w:lang w:eastAsia="zh-CN"/>
        </w:rPr>
      </w:pPr>
      <w:r>
        <w:rPr>
          <w:rFonts w:ascii="宋体" w:eastAsia="宋体" w:hAnsi="宋体" w:cs="宋体" w:hint="eastAsia"/>
          <w:b/>
          <w:bCs/>
          <w:lang w:eastAsia="zh-CN"/>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9"/>
        <w:gridCol w:w="8117"/>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51"/>
        </w:trPr>
        <w:tc>
          <w:tcPr>
            <w:tcW w:w="711" w:type="dxa"/>
          </w:tcPr>
          <w:p>
            <w:pPr>
              <w:spacing w:line="400" w:lineRule="exact"/>
              <w:jc w:val="center"/>
              <w:rPr>
                <w:rFonts w:ascii="宋体" w:hAnsi="宋体" w:cs="宋体" w:hint="eastAsia"/>
              </w:rPr>
            </w:pPr>
            <w:r>
              <w:rPr>
                <w:rFonts w:ascii="宋体" w:hAnsi="宋体" w:cs="宋体" w:hint="eastAsia"/>
              </w:rPr>
              <w:t>序号</w:t>
            </w:r>
          </w:p>
        </w:tc>
        <w:tc>
          <w:tcPr>
            <w:tcW w:w="7811" w:type="dxa"/>
          </w:tcPr>
          <w:p>
            <w:pPr>
              <w:spacing w:line="400" w:lineRule="exact"/>
              <w:jc w:val="center"/>
              <w:rPr>
                <w:rFonts w:ascii="宋体" w:hAnsi="宋体" w:cs="宋体" w:hint="eastAsia"/>
                <w:lang w:eastAsia="zh-CN"/>
              </w:rPr>
            </w:pPr>
            <w:r>
              <w:rPr>
                <w:rFonts w:ascii="宋体" w:hAnsi="宋体" w:cs="宋体" w:hint="eastAsia"/>
                <w:b/>
                <w:bCs/>
                <w:lang w:eastAsia="zh-CN"/>
              </w:rPr>
              <w:t>供应商参与投标禁止情形</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hint="eastAsia"/>
              </w:rPr>
            </w:pPr>
            <w:r>
              <w:rPr>
                <w:rFonts w:ascii="宋体" w:hAnsi="宋体" w:cs="宋体" w:hint="eastAsia"/>
              </w:rPr>
              <w:t>1</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与其他投标供应商的法定代表人、主要经营负责人、投标授权代表人、项目负责人、主要技术人员为</w:t>
            </w:r>
            <w:r>
              <w:rPr>
                <w:rFonts w:ascii="宋体" w:hAnsi="宋体" w:cs="宋体" w:hint="eastAsia"/>
                <w:b/>
                <w:bCs/>
                <w:lang w:eastAsia="zh-CN"/>
              </w:rPr>
              <w:t>同一人、属同一单位或者在同一单位缴纳社会保险</w:t>
            </w:r>
            <w:r>
              <w:rPr>
                <w:rFonts w:ascii="宋体" w:hAnsi="宋体" w:cs="宋体" w:hint="eastAsia"/>
                <w:lang w:eastAsia="zh-CN"/>
              </w:rPr>
              <w:t>。</w:t>
            </w:r>
          </w:p>
        </w:tc>
      </w:tr>
      <w:tr>
        <w:tblPrEx>
          <w:tblW w:w="5000" w:type="pct"/>
          <w:tblInd w:w="0" w:type="dxa"/>
          <w:tblLayout w:type="fixed"/>
          <w:tblCellMar>
            <w:top w:w="0" w:type="dxa"/>
            <w:left w:w="108" w:type="dxa"/>
            <w:bottom w:w="0" w:type="dxa"/>
            <w:right w:w="108" w:type="dxa"/>
          </w:tblCellMar>
        </w:tblPrEx>
        <w:trPr>
          <w:trHeight w:val="90"/>
        </w:trPr>
        <w:tc>
          <w:tcPr>
            <w:tcW w:w="711" w:type="dxa"/>
          </w:tcPr>
          <w:p>
            <w:pPr>
              <w:spacing w:line="400" w:lineRule="exact"/>
              <w:jc w:val="center"/>
              <w:rPr>
                <w:rFonts w:ascii="宋体" w:hAnsi="宋体" w:cs="宋体" w:hint="eastAsia"/>
              </w:rPr>
            </w:pPr>
            <w:r>
              <w:rPr>
                <w:rFonts w:ascii="宋体" w:hAnsi="宋体" w:cs="宋体" w:hint="eastAsia"/>
              </w:rPr>
              <w:t>2</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参与本项目政府采购活动时，与其他投标供应商存在单位负责人为</w:t>
            </w:r>
            <w:r>
              <w:rPr>
                <w:rFonts w:ascii="宋体" w:hAnsi="宋体" w:cs="宋体" w:hint="eastAsia"/>
                <w:b/>
                <w:bCs/>
                <w:lang w:eastAsia="zh-CN"/>
              </w:rPr>
              <w:t>同一人或直接控股、管理关系</w:t>
            </w:r>
            <w:r>
              <w:rPr>
                <w:rFonts w:ascii="宋体" w:hAnsi="宋体" w:cs="宋体" w:hint="eastAsia"/>
                <w:lang w:eastAsia="zh-CN"/>
              </w:rPr>
              <w:t>。</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hint="eastAsia"/>
              </w:rPr>
            </w:pPr>
            <w:r>
              <w:rPr>
                <w:rFonts w:ascii="宋体" w:hAnsi="宋体" w:cs="宋体" w:hint="eastAsia"/>
              </w:rPr>
              <w:t>3</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与其他投标供应商的投标文件或部分投标文件</w:t>
            </w:r>
            <w:r>
              <w:rPr>
                <w:rFonts w:ascii="宋体" w:hAnsi="宋体" w:cs="宋体" w:hint="eastAsia"/>
                <w:b/>
                <w:bCs/>
                <w:lang w:eastAsia="zh-CN"/>
              </w:rPr>
              <w:t>相互混装或存在非正常一致</w:t>
            </w:r>
            <w:r>
              <w:rPr>
                <w:rFonts w:ascii="宋体" w:hAnsi="宋体" w:cs="宋体" w:hint="eastAsia"/>
                <w:lang w:eastAsia="zh-CN"/>
              </w:rPr>
              <w:t>。</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hint="eastAsia"/>
              </w:rPr>
            </w:pPr>
            <w:r>
              <w:rPr>
                <w:rFonts w:ascii="宋体" w:hAnsi="宋体" w:cs="宋体" w:hint="eastAsia"/>
              </w:rPr>
              <w:t>4</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与其他投标供应商的投标文件由</w:t>
            </w:r>
            <w:r>
              <w:rPr>
                <w:rFonts w:ascii="宋体" w:hAnsi="宋体" w:cs="宋体" w:hint="eastAsia"/>
                <w:b/>
                <w:bCs/>
                <w:lang w:eastAsia="zh-CN"/>
              </w:rPr>
              <w:t>同一单位或者同一人编制</w:t>
            </w:r>
            <w:r>
              <w:rPr>
                <w:rFonts w:ascii="宋体" w:hAnsi="宋体" w:cs="宋体" w:hint="eastAsia"/>
                <w:lang w:eastAsia="zh-CN"/>
              </w:rPr>
              <w:t>，或者使用</w:t>
            </w:r>
            <w:r>
              <w:rPr>
                <w:rFonts w:ascii="宋体" w:hAnsi="宋体" w:cs="宋体" w:hint="eastAsia"/>
                <w:b/>
                <w:bCs/>
                <w:lang w:eastAsia="zh-CN"/>
              </w:rPr>
              <w:t>同一设备编制</w:t>
            </w:r>
            <w:r>
              <w:rPr>
                <w:rFonts w:ascii="宋体" w:hAnsi="宋体" w:cs="宋体" w:hint="eastAsia"/>
                <w:lang w:eastAsia="zh-CN"/>
              </w:rPr>
              <w:t>（“文件制作机器码”“文件创建标识码”一致）。</w:t>
            </w:r>
          </w:p>
        </w:tc>
      </w:tr>
      <w:tr>
        <w:tblPrEx>
          <w:tblW w:w="5000" w:type="pct"/>
          <w:tblInd w:w="0" w:type="dxa"/>
          <w:tblLayout w:type="fixed"/>
          <w:tblCellMar>
            <w:top w:w="0" w:type="dxa"/>
            <w:left w:w="108" w:type="dxa"/>
            <w:bottom w:w="0" w:type="dxa"/>
            <w:right w:w="108" w:type="dxa"/>
          </w:tblCellMar>
        </w:tblPrEx>
        <w:trPr>
          <w:trHeight w:val="90"/>
        </w:trPr>
        <w:tc>
          <w:tcPr>
            <w:tcW w:w="711" w:type="dxa"/>
          </w:tcPr>
          <w:p>
            <w:pPr>
              <w:spacing w:line="400" w:lineRule="exact"/>
              <w:jc w:val="center"/>
              <w:rPr>
                <w:rFonts w:ascii="宋体" w:hAnsi="宋体" w:cs="宋体" w:hint="eastAsia"/>
              </w:rPr>
            </w:pPr>
            <w:r>
              <w:rPr>
                <w:rFonts w:ascii="宋体" w:hAnsi="宋体" w:cs="宋体" w:hint="eastAsia"/>
              </w:rPr>
              <w:t>5</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提供</w:t>
            </w:r>
            <w:r>
              <w:rPr>
                <w:rFonts w:ascii="宋体" w:hAnsi="宋体" w:cs="宋体" w:hint="eastAsia"/>
                <w:b/>
                <w:bCs/>
                <w:lang w:eastAsia="zh-CN"/>
              </w:rPr>
              <w:t>未经出具机构核实</w:t>
            </w:r>
            <w:r>
              <w:rPr>
                <w:rFonts w:ascii="宋体" w:hAnsi="宋体" w:cs="宋体" w:hint="eastAsia"/>
                <w:lang w:eastAsia="zh-CN"/>
              </w:rPr>
              <w:t>的虚假的检验检测报告、业绩材料、社保缴纳证明、学历学位证书、职称认证证书等材料。</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hint="eastAsia"/>
              </w:rPr>
            </w:pPr>
            <w:r>
              <w:rPr>
                <w:rFonts w:ascii="宋体" w:hAnsi="宋体" w:cs="宋体" w:hint="eastAsia"/>
              </w:rPr>
              <w:t>6</w:t>
            </w:r>
          </w:p>
        </w:tc>
        <w:tc>
          <w:tcPr>
            <w:tcW w:w="7811" w:type="dxa"/>
            <w:vAlign w:val="center"/>
          </w:tcPr>
          <w:p>
            <w:pPr>
              <w:spacing w:line="400" w:lineRule="exact"/>
              <w:jc w:val="left"/>
              <w:rPr>
                <w:rFonts w:ascii="宋体" w:hAnsi="宋体" w:cs="宋体" w:hint="eastAsia"/>
                <w:lang w:eastAsia="zh-CN"/>
              </w:rPr>
            </w:pPr>
            <w:r>
              <w:rPr>
                <w:rFonts w:ascii="宋体" w:hAnsi="宋体" w:cs="宋体" w:hint="eastAsia"/>
                <w:lang w:eastAsia="zh-CN"/>
              </w:rPr>
              <w:t>擅自将投标密钥或电子营业执照出借他人使用或未妥善保管。</w:t>
            </w:r>
          </w:p>
        </w:tc>
      </w:tr>
    </w:tbl>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b/>
          <w:bCs/>
          <w:kern w:val="2"/>
          <w:lang w:eastAsia="zh-CN"/>
        </w:rPr>
        <w:t>一、本公司已充分知悉“隐瞒真实情况，提供虚假资料”的法定情形，相关情形包括但不限于</w:t>
      </w:r>
      <w:r>
        <w:rPr>
          <w:rFonts w:ascii="宋体" w:eastAsia="宋体" w:hAnsi="宋体" w:cs="仿宋_GB2312" w:hint="eastAsia"/>
          <w:kern w:val="2"/>
          <w:lang w:eastAsia="zh-CN"/>
        </w:rPr>
        <w:t>：</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（一）通过转让或者租借等方式从其他单位获取资格或者资质证书投标的。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（二）由其他单位或者其他单位负责人在投标供应商编制的投标文件上加盖印章或者签字的。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（三）项目负责人或者主要技术人员不是本单位人员的。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（四）投标保证金不是从投标供应商基本账户转出的。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（五）其他隐瞒真实情况、提供虚假资料的行为。</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b/>
          <w:bCs/>
          <w:kern w:val="2"/>
          <w:lang w:eastAsia="zh-CN"/>
        </w:rPr>
        <w:t>二、本公司已充分知悉“与其他采购参加人串通投标”的法定情形，相关情形包括但不限于：</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（一）投标供应商之间相互约定给予未中标的供应商利益补偿。</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（二）不同投标供应商的法定代表人、主要经营负责人、项目投标授权代表人、项目负责人、主要技术人员为同一人、属同一单位或者在同一单位缴纳社会保险。</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（三）不同投标供应商的投标文件由同一单位或者同一人编制，或者由同一人分阶段参与编制的。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（四）不同投标供应商的投标文件或部分投标文件相互混装。</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（五）不同投标供应商的投标文件内容存在非正常一致。</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（六）由同一单位工作人员为两家以上（含两家）供应商进行同一项投标活动的。</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（七）不同投标人的投标报价呈规律性差异。</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（八）不同投标人的投标保证金从同一单位或者个人的账户转出。</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（九）主管部门依照法律、法规认定的其他情形。</w:t>
      </w:r>
    </w:p>
    <w:p>
      <w:pPr>
        <w:widowControl w:val="0"/>
        <w:spacing w:line="579" w:lineRule="exact"/>
        <w:ind w:firstLine="480" w:firstLineChars="200"/>
        <w:jc w:val="both"/>
        <w:rPr>
          <w:rFonts w:ascii="宋体" w:eastAsia="宋体" w:hAnsi="宋体" w:cs="仿宋_GB2312" w:hint="eastAsia"/>
          <w:b/>
          <w:bCs/>
          <w:kern w:val="2"/>
          <w:lang w:eastAsia="zh-CN"/>
        </w:rPr>
      </w:pPr>
      <w:r>
        <w:rPr>
          <w:rFonts w:ascii="宋体" w:eastAsia="宋体" w:hAnsi="宋体" w:cs="仿宋_GB2312" w:hint="eastAsia"/>
          <w:b/>
          <w:bCs/>
          <w:kern w:val="2"/>
          <w:lang w:eastAsia="zh-CN"/>
        </w:rPr>
        <w:t>三、本公司已充分知悉下列情形所对应的法律风险，并在投标前已对相关风险事项进行排查。</w:t>
      </w:r>
    </w:p>
    <w:p>
      <w:pPr>
        <w:widowControl w:val="0"/>
        <w:spacing w:line="579" w:lineRule="exact"/>
        <w:ind w:firstLine="480" w:firstLineChars="200"/>
        <w:jc w:val="both"/>
        <w:rPr>
          <w:rFonts w:ascii="宋体" w:eastAsia="宋体" w:hAnsi="宋体" w:cs="仿宋_GB2312" w:hint="eastAsia"/>
          <w:b/>
          <w:bCs/>
          <w:kern w:val="2"/>
          <w:lang w:eastAsia="zh-CN"/>
        </w:rPr>
      </w:pPr>
      <w:r>
        <w:rPr>
          <w:rFonts w:ascii="宋体" w:eastAsia="宋体" w:hAnsi="宋体" w:cs="仿宋_GB2312" w:hint="eastAsia"/>
          <w:kern w:val="2"/>
          <w:lang w:eastAsia="zh-CN"/>
        </w:rPr>
        <w:t>（一）对于</w:t>
      </w:r>
      <w:r>
        <w:rPr>
          <w:rFonts w:ascii="宋体" w:eastAsia="宋体" w:hAnsi="宋体" w:hint="eastAsia"/>
          <w:kern w:val="2"/>
          <w:lang w:eastAsia="zh-CN"/>
        </w:rPr>
        <w:t>从</w:t>
      </w:r>
      <w:r>
        <w:rPr>
          <w:rFonts w:ascii="宋体" w:eastAsia="宋体" w:hAnsi="宋体" w:cs="仿宋_GB2312" w:hint="eastAsia"/>
          <w:kern w:val="2"/>
          <w:lang w:eastAsia="zh-CN"/>
        </w:rPr>
        <w:t>其他主体</w:t>
      </w:r>
      <w:r>
        <w:rPr>
          <w:rFonts w:ascii="宋体" w:eastAsia="宋体" w:hAnsi="宋体" w:hint="eastAsia"/>
          <w:kern w:val="2"/>
          <w:lang w:eastAsia="zh-CN"/>
        </w:rPr>
        <w:t>获取</w:t>
      </w:r>
      <w:r>
        <w:rPr>
          <w:rFonts w:ascii="宋体" w:eastAsia="宋体" w:hAnsi="宋体" w:cs="仿宋_GB2312" w:hint="eastAsia"/>
          <w:kern w:val="2"/>
          <w:lang w:eastAsia="zh-CN"/>
        </w:rPr>
        <w:t>的投标资料，供应商应审慎核查，确保投标资料的真实性。</w:t>
      </w:r>
      <w:r>
        <w:rPr>
          <w:rFonts w:ascii="宋体" w:eastAsia="宋体" w:hAnsi="宋体" w:cs="仿宋_GB2312" w:hint="eastAsia"/>
          <w:b/>
          <w:bCs/>
          <w:kern w:val="2"/>
          <w:lang w:eastAsia="zh-CN"/>
        </w:rPr>
        <w:t>如主管部门查实投标文件中存在虚假资料的，无论相关资料是否由第三方或本公司员工提供，均不影响主管部门对供应商存在“隐瞒真实情况，提供虚假资料”违法行为的认定。</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（二）对于涉及国家机关出具的公文、证件、证明材料等文件，一旦涉嫌虚假，经查实，主管部门将依法从严处理，并移送有关部门追究法律责任；涉嫌犯罪的，主管部门将一并移送司法机关追究法律责任。</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（三）对于涉及安全生产、特种作业、抢险救灾、防疫等政府采购项目，供应商实施提供虚假资料、串通投标等违法行为的，主管部门将依法从严处理。</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（四）供应商应严格规范项目授权代表、员工参与招标投标的行为，加强对投标文件的审核。项目授权代表、员工</w:t>
      </w:r>
      <w:r>
        <w:rPr>
          <w:rFonts w:ascii="宋体" w:eastAsia="宋体" w:hAnsi="宋体" w:hint="eastAsia"/>
          <w:kern w:val="2"/>
          <w:lang w:eastAsia="zh-CN"/>
        </w:rPr>
        <w:t>编制、上传</w:t>
      </w:r>
      <w:r>
        <w:rPr>
          <w:rFonts w:ascii="宋体" w:eastAsia="宋体" w:hAnsi="宋体" w:cs="仿宋_GB2312" w:hint="eastAsia"/>
          <w:kern w:val="2"/>
          <w:lang w:eastAsia="zh-CN"/>
        </w:rPr>
        <w:t>投标文件</w:t>
      </w:r>
      <w:r>
        <w:rPr>
          <w:rFonts w:ascii="宋体" w:eastAsia="宋体" w:hAnsi="宋体" w:hint="eastAsia"/>
          <w:kern w:val="2"/>
          <w:lang w:eastAsia="zh-CN"/>
        </w:rPr>
        <w:t>等行为</w:t>
      </w:r>
      <w:r>
        <w:rPr>
          <w:rFonts w:ascii="宋体" w:eastAsia="宋体" w:hAnsi="宋体" w:cs="仿宋_GB2312" w:hint="eastAsia"/>
          <w:kern w:val="2"/>
          <w:lang w:eastAsia="zh-CN"/>
        </w:rPr>
        <w:t>违反政府采购法律法规或招标文件要求的，投标供应商应当依法承担相应法律责任。</w:t>
      </w:r>
    </w:p>
    <w:p>
      <w:pPr>
        <w:widowControl w:val="0"/>
        <w:spacing w:line="579" w:lineRule="exact"/>
        <w:ind w:firstLine="480" w:firstLineChars="200"/>
        <w:rPr>
          <w:rFonts w:ascii="宋体" w:eastAsia="宋体" w:hAnsi="宋体" w:cs="仿宋_GB2312" w:hint="eastAsia"/>
          <w:kern w:val="2"/>
          <w:lang w:eastAsia="zh-CN"/>
        </w:rPr>
      </w:pPr>
      <w:r>
        <w:rPr>
          <w:rFonts w:ascii="宋体" w:eastAsia="宋体" w:hAnsi="宋体" w:cs="仿宋_GB2312" w:hint="eastAsia"/>
          <w:kern w:val="2"/>
          <w:lang w:eastAsia="zh-CN"/>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pPr>
        <w:widowControl w:val="0"/>
        <w:spacing w:line="579" w:lineRule="exact"/>
        <w:ind w:firstLine="480" w:firstLineChars="200"/>
        <w:jc w:val="both"/>
        <w:rPr>
          <w:rFonts w:ascii="宋体" w:eastAsia="宋体" w:hAnsi="宋体" w:cs="仿宋_GB2312" w:hint="eastAsia"/>
          <w:kern w:val="2"/>
          <w:lang w:eastAsia="zh-CN"/>
        </w:rPr>
      </w:pPr>
      <w:r>
        <w:rPr>
          <w:rFonts w:ascii="宋体" w:eastAsia="宋体" w:hAnsi="宋体" w:cs="仿宋_GB2312" w:hint="eastAsia"/>
          <w:kern w:val="2"/>
          <w:lang w:eastAsia="zh-CN"/>
        </w:rPr>
        <w:t>（六）单位负责人为同一人或者存在直接控股、管理关系的不同供应商，不得参加同一合同项下的政府采购活动。相关情形</w:t>
      </w:r>
      <w:r>
        <w:rPr>
          <w:rFonts w:ascii="宋体" w:eastAsia="宋体" w:hAnsi="宋体" w:hint="eastAsia"/>
          <w:kern w:val="2"/>
          <w:lang w:eastAsia="zh-CN"/>
        </w:rPr>
        <w:t>如</w:t>
      </w:r>
      <w:r>
        <w:rPr>
          <w:rFonts w:ascii="宋体" w:eastAsia="宋体" w:hAnsi="宋体" w:cs="仿宋_GB2312" w:hint="eastAsia"/>
          <w:kern w:val="2"/>
          <w:lang w:eastAsia="zh-CN"/>
        </w:rPr>
        <w:t>查实，依法作投标无效处理；涉嫌串通投标等违法行为的，主管部门将依法调查处理。</w:t>
      </w:r>
    </w:p>
    <w:p>
      <w:pPr>
        <w:widowControl w:val="0"/>
        <w:spacing w:line="579" w:lineRule="exact"/>
        <w:ind w:firstLine="480" w:firstLineChars="200"/>
        <w:jc w:val="both"/>
        <w:rPr>
          <w:rFonts w:ascii="宋体" w:eastAsia="宋体" w:hAnsi="宋体" w:cs="仿宋_GB2312" w:hint="eastAsia"/>
          <w:b/>
          <w:bCs/>
          <w:kern w:val="2"/>
          <w:lang w:eastAsia="zh-CN"/>
        </w:rPr>
      </w:pPr>
      <w:r>
        <w:rPr>
          <w:rFonts w:ascii="宋体" w:eastAsia="宋体" w:hAnsi="宋体" w:cs="仿宋_GB2312" w:hint="eastAsia"/>
          <w:b/>
          <w:bCs/>
          <w:kern w:val="2"/>
          <w:lang w:eastAsia="zh-CN"/>
        </w:rPr>
        <w:t>四、本公司已充分知悉政府采购违法、违规行为的法律后果。</w:t>
      </w:r>
      <w:r>
        <w:rPr>
          <w:rFonts w:ascii="宋体" w:eastAsia="宋体" w:hAnsi="宋体" w:cs="仿宋_GB2312" w:hint="eastAsia"/>
          <w:kern w:val="2"/>
          <w:lang w:eastAsia="zh-CN"/>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widowControl w:val="0"/>
        <w:spacing w:line="579" w:lineRule="exact"/>
        <w:ind w:firstLine="480" w:firstLineChars="200"/>
        <w:jc w:val="both"/>
        <w:rPr>
          <w:rFonts w:ascii="宋体" w:eastAsia="宋体" w:hAnsi="宋体" w:cs="仿宋_GB2312" w:hint="eastAsia"/>
          <w:color w:val="FF0000"/>
          <w:kern w:val="2"/>
          <w:lang w:eastAsia="zh-CN"/>
        </w:rPr>
      </w:pPr>
      <w:r>
        <w:rPr>
          <w:rFonts w:ascii="宋体" w:eastAsia="宋体" w:hAnsi="宋体" w:cs="仿宋_GB2312" w:hint="eastAsia"/>
          <w:color w:val="FF0000"/>
          <w:kern w:val="2"/>
          <w:lang w:eastAsia="zh-CN"/>
        </w:rPr>
        <w:t>我司已阅读并确认：“本公司已仔细阅读《政府采购违法行为风险知悉确认书》，充分知悉违法行为的法律后果，并承诺将严谨、诚信、依法依规参与政府采购活动”。</w:t>
      </w:r>
    </w:p>
    <w:p>
      <w:pPr>
        <w:widowControl w:val="0"/>
        <w:spacing w:line="579" w:lineRule="exact"/>
        <w:jc w:val="both"/>
        <w:rPr>
          <w:rFonts w:ascii="宋体" w:eastAsia="宋体" w:hAnsi="宋体" w:cs="仿宋_GB2312" w:hint="eastAsia"/>
          <w:kern w:val="2"/>
          <w:u w:val="single"/>
          <w:lang w:eastAsia="zh-CN"/>
        </w:rPr>
      </w:pPr>
    </w:p>
    <w:p>
      <w:pPr>
        <w:widowControl w:val="0"/>
        <w:spacing w:line="560" w:lineRule="exact"/>
        <w:jc w:val="both"/>
        <w:rPr>
          <w:rFonts w:ascii="宋体" w:eastAsia="宋体" w:hAnsi="宋体" w:cs="宋体" w:hint="eastAsia"/>
          <w:kern w:val="2"/>
          <w:sz w:val="18"/>
          <w:szCs w:val="18"/>
          <w:lang w:eastAsia="zh-CN"/>
        </w:rPr>
      </w:pPr>
    </w:p>
    <w:p>
      <w:pPr>
        <w:widowControl w:val="0"/>
        <w:spacing w:before="60" w:beforeLines="25" w:after="60" w:afterLines="25"/>
        <w:jc w:val="right"/>
        <w:rPr>
          <w:rFonts w:ascii="Calibri" w:eastAsia="宋体" w:hAnsi="Calibri"/>
          <w:kern w:val="2"/>
          <w:sz w:val="21"/>
          <w:szCs w:val="22"/>
          <w:lang w:eastAsia="zh-CN"/>
        </w:rPr>
      </w:pPr>
      <w:r>
        <w:rPr>
          <w:rFonts w:ascii="Calibri" w:eastAsia="宋体" w:hAnsi="Calibri" w:cstheme="minorBidi" w:hint="eastAsia"/>
          <w:kern w:val="2"/>
          <w:sz w:val="21"/>
          <w:szCs w:val="21"/>
          <w:lang w:eastAsia="zh-CN"/>
        </w:rPr>
        <w:t>投标人：</w:t>
      </w:r>
      <w:r>
        <w:rPr>
          <w:rFonts w:ascii="宋体" w:eastAsia="宋体" w:hAnsi="宋体" w:cstheme="minorBidi" w:hint="eastAsia"/>
          <w:kern w:val="2"/>
          <w:sz w:val="21"/>
          <w:szCs w:val="21"/>
          <w:u w:val="single"/>
          <w:lang w:eastAsia="zh-CN"/>
        </w:rPr>
        <w:t xml:space="preserve">                </w:t>
      </w:r>
      <w:r>
        <w:rPr>
          <w:rFonts w:ascii="Calibri" w:eastAsia="宋体" w:hAnsi="Calibri" w:cstheme="minorBidi" w:hint="eastAsia"/>
          <w:color w:val="FFFFFF"/>
          <w:kern w:val="2"/>
          <w:sz w:val="21"/>
          <w:szCs w:val="21"/>
          <w:u w:val="single"/>
          <w:lang w:eastAsia="zh-CN"/>
        </w:rPr>
        <w:t>.</w:t>
      </w:r>
    </w:p>
    <w:p>
      <w:pPr>
        <w:widowControl w:val="0"/>
        <w:ind w:firstLine="645"/>
        <w:jc w:val="right"/>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日期：</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年</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月</w:t>
      </w:r>
      <w:r>
        <w:rPr>
          <w:rFonts w:ascii="宋体" w:eastAsia="宋体" w:hAnsi="宋体" w:cstheme="minorBidi" w:hint="eastAsia"/>
          <w:kern w:val="2"/>
          <w:sz w:val="21"/>
          <w:szCs w:val="21"/>
          <w:u w:val="single"/>
          <w:lang w:eastAsia="zh-CN"/>
        </w:rPr>
        <w:t xml:space="preserve">    </w:t>
      </w:r>
      <w:r>
        <w:rPr>
          <w:rFonts w:ascii="宋体" w:eastAsia="宋体" w:hAnsi="宋体" w:cstheme="minorBidi" w:hint="eastAsia"/>
          <w:kern w:val="2"/>
          <w:sz w:val="21"/>
          <w:szCs w:val="21"/>
          <w:lang w:eastAsia="zh-CN"/>
        </w:rPr>
        <w:t>日</w:t>
      </w:r>
    </w:p>
    <w:p>
      <w:pPr>
        <w:widowControl w:val="0"/>
        <w:adjustRightInd w:val="0"/>
        <w:snapToGrid w:val="0"/>
        <w:spacing w:line="360" w:lineRule="auto"/>
        <w:ind w:firstLine="494" w:firstLineChars="206"/>
        <w:rPr>
          <w:rFonts w:ascii="宋体" w:eastAsia="宋体" w:hAnsi="宋体" w:cs="仿宋_GB2312" w:hint="eastAsia"/>
          <w:kern w:val="2"/>
          <w:lang w:eastAsia="zh-CN"/>
        </w:rPr>
      </w:pPr>
    </w:p>
    <w:p>
      <w:pPr>
        <w:autoSpaceDE w:val="0"/>
        <w:autoSpaceDN w:val="0"/>
        <w:spacing w:line="400" w:lineRule="exact"/>
        <w:ind w:firstLine="480" w:firstLineChars="200"/>
        <w:rPr>
          <w:rFonts w:ascii="宋体" w:eastAsia="宋体" w:hAnsi="宋体" w:cs="仿宋_GB2312" w:hint="eastAsia"/>
          <w:kern w:val="2"/>
          <w:lang w:eastAsia="zh-CN"/>
        </w:rPr>
      </w:pPr>
      <w:r>
        <w:rPr>
          <w:rFonts w:ascii="宋体" w:eastAsia="宋体" w:hAnsi="宋体" w:cs="仿宋_GB2312" w:hint="eastAsia"/>
          <w:kern w:val="2"/>
          <w:lang w:eastAsia="zh-CN"/>
        </w:rPr>
        <w:t>注：根据《深圳市财政局关于采购文件增加风险告知有关事项的通知》（深财购〔2022〕22号），该风险知悉确认书用于对供应商违法行为的警示，不作为供应商资格性审查及符合性审查条件。</w:t>
      </w:r>
    </w:p>
    <w:p>
      <w:pPr>
        <w:autoSpaceDE w:val="0"/>
        <w:autoSpaceDN w:val="0"/>
        <w:spacing w:line="400" w:lineRule="exact"/>
        <w:ind w:firstLine="480" w:firstLineChars="200"/>
        <w:rPr>
          <w:rFonts w:ascii="宋体" w:eastAsia="宋体" w:hAnsi="宋体" w:cs="仿宋_GB2312" w:hint="eastAsia"/>
          <w:kern w:val="2"/>
          <w:lang w:eastAsia="zh-CN"/>
        </w:rPr>
      </w:pPr>
    </w:p>
    <w:p>
      <w:pPr>
        <w:autoSpaceDE w:val="0"/>
        <w:autoSpaceDN w:val="0"/>
        <w:spacing w:line="400" w:lineRule="exact"/>
        <w:ind w:firstLine="480" w:firstLineChars="200"/>
        <w:rPr>
          <w:rFonts w:ascii="宋体" w:eastAsia="宋体" w:hAnsi="宋体" w:cs="仿宋_GB2312" w:hint="eastAsia"/>
          <w:kern w:val="2"/>
          <w:lang w:eastAsia="zh-CN"/>
        </w:rPr>
      </w:pPr>
    </w:p>
    <w:p>
      <w:pPr>
        <w:autoSpaceDE w:val="0"/>
        <w:autoSpaceDN w:val="0"/>
        <w:spacing w:line="400" w:lineRule="exact"/>
        <w:ind w:firstLine="480" w:firstLineChars="200"/>
        <w:rPr>
          <w:rFonts w:ascii="宋体" w:eastAsia="宋体" w:hAnsi="宋体" w:cs="仿宋_GB2312" w:hint="eastAsia"/>
          <w:kern w:val="2"/>
          <w:lang w:eastAsia="zh-CN"/>
        </w:rPr>
      </w:pPr>
    </w:p>
    <w:p>
      <w:pPr>
        <w:jc w:val="center"/>
        <w:rPr>
          <w:rFonts w:ascii="黑体" w:eastAsia="黑体" w:hAnsi="宋体" w:hint="eastAsia"/>
          <w:szCs w:val="20"/>
          <w:lang w:eastAsia="zh-CN"/>
        </w:rPr>
      </w:pPr>
      <w:r>
        <w:rPr>
          <w:rFonts w:ascii="黑体" w:eastAsia="黑体" w:hAnsi="宋体" w:cstheme="minorBidi" w:hint="eastAsia"/>
          <w:szCs w:val="20"/>
          <w:lang w:eastAsia="zh-CN"/>
        </w:rPr>
        <w:t>（二）投标人认为需要加以说明的其他内容（格式自定）</w:t>
      </w:r>
    </w:p>
    <w:p>
      <w:pPr>
        <w:widowControl w:val="0"/>
        <w:spacing w:after="60" w:afterLines="25" w:line="300" w:lineRule="auto"/>
        <w:jc w:val="both"/>
        <w:rPr>
          <w:rFonts w:ascii="Arial" w:eastAsia="宋体" w:hAnsi="Arial"/>
          <w:kern w:val="2"/>
          <w:lang w:eastAsia="zh-CN"/>
        </w:rPr>
      </w:pPr>
    </w:p>
    <w:p>
      <w:pPr>
        <w:widowControl w:val="0"/>
        <w:spacing w:after="60" w:afterLines="25" w:line="300" w:lineRule="auto"/>
        <w:jc w:val="both"/>
        <w:rPr>
          <w:rFonts w:ascii="Arial" w:eastAsia="宋体" w:hAnsi="Arial"/>
          <w:kern w:val="2"/>
          <w:highlight w:val="yellow"/>
          <w:lang w:eastAsia="zh-CN"/>
        </w:rPr>
      </w:pPr>
      <w:r>
        <w:rPr>
          <w:rFonts w:ascii="宋体" w:eastAsia="宋体" w:hAnsi="宋体" w:cs="宋体" w:hint="eastAsia"/>
          <w:b/>
          <w:bCs/>
          <w:sz w:val="21"/>
          <w:szCs w:val="21"/>
          <w:highlight w:val="yellow"/>
          <w:lang w:eastAsia="zh-CN"/>
        </w:rPr>
        <w:t>申请人的资格要求，</w:t>
      </w:r>
      <w:r>
        <w:rPr>
          <w:rFonts w:ascii="宋体" w:eastAsia="宋体" w:hAnsi="宋体" w:cs="宋体" w:hint="eastAsia"/>
          <w:b/>
          <w:bCs/>
          <w:color w:val="000000"/>
          <w:sz w:val="21"/>
          <w:szCs w:val="21"/>
          <w:highlight w:val="yellow"/>
          <w:lang w:eastAsia="zh-CN"/>
        </w:rPr>
        <w:t>提供《供应商基本情况表》及相关人员近3个月内的任意一个月社保缴交凭证证明（由供应商填写《供应商基本情况表》相关信息）（社保放至“投标人认为需要加以说明的其他内容”即可）。</w:t>
      </w:r>
    </w:p>
    <w:p>
      <w:pPr>
        <w:widowControl w:val="0"/>
        <w:spacing w:after="60" w:afterLines="25" w:line="300" w:lineRule="auto"/>
        <w:jc w:val="both"/>
        <w:rPr>
          <w:rFonts w:ascii="Arial" w:eastAsia="宋体" w:hAnsi="Arial"/>
          <w:kern w:val="2"/>
          <w:lang w:eastAsia="zh-CN"/>
        </w:rPr>
      </w:pPr>
    </w:p>
    <w:p>
      <w:pPr>
        <w:widowControl w:val="0"/>
        <w:spacing w:after="60" w:afterLines="25" w:line="300" w:lineRule="auto"/>
        <w:jc w:val="both"/>
        <w:rPr>
          <w:rFonts w:ascii="Arial" w:eastAsia="宋体" w:hAnsi="Arial"/>
          <w:kern w:val="2"/>
          <w:lang w:eastAsia="zh-CN"/>
        </w:rPr>
      </w:pPr>
    </w:p>
    <w:p>
      <w:pPr>
        <w:widowControl w:val="0"/>
        <w:spacing w:after="60" w:afterLines="25" w:line="300" w:lineRule="auto"/>
        <w:jc w:val="both"/>
        <w:rPr>
          <w:rFonts w:ascii="Arial" w:eastAsia="宋体" w:hAnsi="Arial"/>
          <w:kern w:val="2"/>
          <w:lang w:eastAsia="zh-CN"/>
        </w:rPr>
      </w:pPr>
    </w:p>
    <w:p>
      <w:pPr>
        <w:widowControl w:val="0"/>
        <w:spacing w:after="60" w:afterLines="25" w:line="300" w:lineRule="auto"/>
        <w:jc w:val="both"/>
        <w:rPr>
          <w:rFonts w:ascii="Arial" w:eastAsia="宋体" w:hAnsi="Arial"/>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spacing w:line="360" w:lineRule="auto"/>
        <w:rPr>
          <w:rFonts w:ascii="Arial" w:eastAsia="宋体" w:hAnsi="Arial"/>
          <w:b/>
          <w:bCs/>
          <w:kern w:val="2"/>
          <w:lang w:eastAsia="zh-CN"/>
        </w:rPr>
      </w:pPr>
    </w:p>
    <w:p>
      <w:pPr>
        <w:keepNext/>
        <w:keepLines/>
        <w:widowControl w:val="0"/>
        <w:adjustRightInd w:val="0"/>
        <w:spacing w:before="260" w:after="260"/>
        <w:jc w:val="center"/>
        <w:textAlignment w:val="baseline"/>
        <w:outlineLvl w:val="1"/>
        <w:rPr>
          <w:rFonts w:ascii="宋体" w:eastAsia="宋体" w:hAnsi="宋体" w:hint="eastAsia"/>
          <w:b/>
          <w:bCs/>
          <w:sz w:val="28"/>
          <w:szCs w:val="28"/>
          <w:lang w:eastAsia="zh-CN"/>
        </w:rPr>
      </w:pPr>
      <w:r>
        <w:rPr>
          <w:rFonts w:ascii="宋体" w:eastAsia="宋体" w:hAnsi="宋体" w:hint="eastAsia"/>
          <w:b/>
          <w:bCs/>
          <w:sz w:val="28"/>
          <w:szCs w:val="28"/>
          <w:lang w:eastAsia="zh-CN"/>
        </w:rPr>
        <w:t>第五章  合同条款及格式</w:t>
      </w:r>
    </w:p>
    <w:p>
      <w:pPr>
        <w:jc w:val="center"/>
        <w:rPr>
          <w:rFonts w:ascii="宋体" w:eastAsia="宋体" w:hAnsi="宋体" w:cs="宋体" w:hint="eastAsia"/>
          <w:b/>
          <w:sz w:val="21"/>
          <w:szCs w:val="21"/>
        </w:rPr>
      </w:pPr>
      <w:r>
        <w:rPr>
          <w:rFonts w:ascii="宋体" w:eastAsia="宋体" w:hAnsi="宋体" w:cs="宋体" w:hint="eastAsia"/>
          <w:b/>
          <w:sz w:val="21"/>
          <w:szCs w:val="21"/>
        </w:rPr>
        <w:t>有专业类别的格式合同范本请选择相应的合同</w:t>
      </w:r>
    </w:p>
    <w:p>
      <w:pPr>
        <w:jc w:val="center"/>
        <w:rPr>
          <w:rFonts w:ascii="宋体" w:eastAsia="宋体" w:hAnsi="宋体" w:cs="宋体" w:hint="eastAsia"/>
          <w:b/>
          <w:sz w:val="21"/>
          <w:szCs w:val="21"/>
        </w:rPr>
      </w:pPr>
      <w:r>
        <w:rPr>
          <w:rFonts w:ascii="宋体" w:eastAsia="宋体" w:hAnsi="宋体" w:cs="宋体" w:hint="eastAsia"/>
          <w:b/>
          <w:sz w:val="21"/>
          <w:szCs w:val="21"/>
        </w:rPr>
        <w:t>（仅供参考，采购单位需填写项目关键信息和违约责任条款）</w:t>
      </w:r>
    </w:p>
    <w:p>
      <w:pPr>
        <w:jc w:val="left"/>
        <w:rPr>
          <w:rFonts w:ascii="宋体" w:eastAsia="宋体" w:hAnsi="宋体" w:cs="宋体" w:hint="eastAsia"/>
          <w:sz w:val="21"/>
          <w:szCs w:val="21"/>
        </w:rPr>
      </w:pPr>
      <w:r>
        <w:rPr>
          <w:rFonts w:ascii="宋体" w:eastAsia="宋体" w:hAnsi="宋体" w:cs="宋体" w:hint="eastAsia"/>
          <w:sz w:val="21"/>
          <w:szCs w:val="21"/>
        </w:rPr>
        <w:t>采购人：</w:t>
      </w:r>
      <w:r>
        <w:rPr>
          <w:rFonts w:ascii="宋体" w:eastAsia="宋体" w:hAnsi="宋体" w:cs="宋体" w:hint="eastAsia"/>
          <w:sz w:val="21"/>
          <w:szCs w:val="21"/>
          <w:u w:val="single"/>
        </w:rPr>
        <w:t xml:space="preserve">           </w:t>
      </w:r>
    </w:p>
    <w:p>
      <w:pPr>
        <w:jc w:val="left"/>
        <w:rPr>
          <w:rFonts w:ascii="宋体" w:eastAsia="宋体" w:hAnsi="宋体" w:cs="宋体" w:hint="eastAsia"/>
          <w:sz w:val="21"/>
          <w:szCs w:val="21"/>
        </w:rPr>
      </w:pPr>
      <w:r>
        <w:rPr>
          <w:rFonts w:ascii="宋体" w:eastAsia="宋体" w:hAnsi="宋体" w:cs="宋体" w:hint="eastAsia"/>
          <w:sz w:val="21"/>
          <w:szCs w:val="21"/>
        </w:rPr>
        <w:t>供应商：</w:t>
      </w:r>
      <w:r>
        <w:rPr>
          <w:rFonts w:ascii="宋体" w:eastAsia="宋体" w:hAnsi="宋体" w:cs="宋体" w:hint="eastAsia"/>
          <w:sz w:val="21"/>
          <w:szCs w:val="21"/>
          <w:u w:val="single"/>
        </w:rPr>
        <w:t xml:space="preserve">           </w:t>
      </w:r>
    </w:p>
    <w:p>
      <w:pPr>
        <w:jc w:val="left"/>
        <w:rPr>
          <w:rFonts w:ascii="宋体" w:eastAsia="宋体" w:hAnsi="宋体" w:cs="宋体" w:hint="eastAsia"/>
          <w:sz w:val="21"/>
          <w:szCs w:val="21"/>
        </w:rPr>
      </w:pP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根据深圳市****</w:t>
      </w:r>
      <w:r>
        <w:rPr>
          <w:rFonts w:ascii="宋体" w:eastAsia="宋体" w:hAnsi="宋体" w:cs="宋体" w:hint="eastAsia"/>
          <w:sz w:val="21"/>
          <w:szCs w:val="21"/>
          <w:u w:val="single"/>
        </w:rPr>
        <w:t xml:space="preserve">        </w:t>
      </w:r>
      <w:r>
        <w:rPr>
          <w:rFonts w:ascii="宋体" w:eastAsia="宋体" w:hAnsi="宋体" w:cs="宋体" w:hint="eastAsia"/>
          <w:sz w:val="21"/>
          <w:szCs w:val="21"/>
        </w:rPr>
        <w:t>号采购项目的投标结果，由</w:t>
      </w:r>
      <w:r>
        <w:rPr>
          <w:rFonts w:ascii="宋体" w:eastAsia="宋体" w:hAnsi="宋体" w:cs="宋体" w:hint="eastAsia"/>
          <w:sz w:val="21"/>
          <w:szCs w:val="21"/>
          <w:u w:val="single"/>
        </w:rPr>
        <w:t xml:space="preserve">       </w:t>
      </w:r>
      <w:r>
        <w:rPr>
          <w:rFonts w:ascii="宋体" w:eastAsia="宋体" w:hAnsi="宋体" w:cs="宋体" w:hint="eastAsia"/>
          <w:sz w:val="21"/>
          <w:szCs w:val="21"/>
        </w:rPr>
        <w:t>单位为中标方。按照有关规定，经深圳市</w:t>
      </w:r>
      <w:r>
        <w:rPr>
          <w:rFonts w:ascii="宋体" w:eastAsia="宋体" w:hAnsi="宋体" w:cs="宋体" w:hint="eastAsia"/>
          <w:sz w:val="21"/>
          <w:szCs w:val="21"/>
          <w:u w:val="single"/>
        </w:rPr>
        <w:t xml:space="preserve">           </w:t>
      </w:r>
      <w:r>
        <w:rPr>
          <w:rFonts w:ascii="宋体" w:eastAsia="宋体" w:hAnsi="宋体" w:cs="宋体" w:hint="eastAsia"/>
          <w:sz w:val="21"/>
          <w:szCs w:val="21"/>
        </w:rPr>
        <w:t>（以下简称甲方）和</w:t>
      </w:r>
      <w:r>
        <w:rPr>
          <w:rFonts w:ascii="宋体" w:eastAsia="宋体" w:hAnsi="宋体" w:cs="宋体" w:hint="eastAsia"/>
          <w:sz w:val="21"/>
          <w:szCs w:val="21"/>
          <w:u w:val="single"/>
        </w:rPr>
        <w:t xml:space="preserve">           </w:t>
      </w:r>
      <w:r>
        <w:rPr>
          <w:rFonts w:ascii="宋体" w:eastAsia="宋体" w:hAnsi="宋体" w:cs="宋体" w:hint="eastAsia"/>
          <w:sz w:val="21"/>
          <w:szCs w:val="21"/>
        </w:rPr>
        <w:t>单位（以下简称乙方）协商，达成以下合同条款：</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第一条  合同标的</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乙方根据甲方需求提供下列货物：</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货物名称、规格及数量详见</w:t>
      </w:r>
      <w:r>
        <w:rPr>
          <w:rFonts w:ascii="宋体" w:eastAsia="宋体" w:hAnsi="宋体" w:cs="宋体" w:hint="eastAsia"/>
          <w:b/>
          <w:sz w:val="21"/>
          <w:szCs w:val="21"/>
          <w:u w:val="single"/>
        </w:rPr>
        <w:t xml:space="preserve">                  </w:t>
      </w:r>
      <w:r>
        <w:rPr>
          <w:rFonts w:ascii="宋体" w:eastAsia="宋体" w:hAnsi="宋体" w:cs="宋体" w:hint="eastAsia"/>
          <w:sz w:val="21"/>
          <w:szCs w:val="21"/>
        </w:rPr>
        <w:t>。</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第二条  合同价款</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本合同项下总价款为</w:t>
      </w:r>
      <w:r>
        <w:rPr>
          <w:rFonts w:ascii="宋体" w:eastAsia="宋体" w:hAnsi="宋体" w:cs="宋体" w:hint="eastAsia"/>
          <w:sz w:val="21"/>
          <w:szCs w:val="21"/>
          <w:u w:val="single"/>
        </w:rPr>
        <w:t xml:space="preserve">              </w:t>
      </w:r>
      <w:r>
        <w:rPr>
          <w:rFonts w:ascii="宋体" w:eastAsia="宋体" w:hAnsi="宋体" w:cs="宋体" w:hint="eastAsia"/>
          <w:sz w:val="21"/>
          <w:szCs w:val="21"/>
        </w:rPr>
        <w:t>（大写）人民币，分项价款详见</w:t>
      </w:r>
      <w:r>
        <w:rPr>
          <w:rFonts w:ascii="宋体" w:eastAsia="宋体" w:hAnsi="宋体" w:cs="宋体" w:hint="eastAsia"/>
          <w:b/>
          <w:sz w:val="21"/>
          <w:szCs w:val="21"/>
          <w:u w:val="single"/>
        </w:rPr>
        <w:t xml:space="preserve">          </w:t>
      </w:r>
      <w:r>
        <w:rPr>
          <w:rFonts w:ascii="宋体" w:eastAsia="宋体" w:hAnsi="宋体" w:cs="宋体" w:hint="eastAsia"/>
          <w:sz w:val="21"/>
          <w:szCs w:val="21"/>
        </w:rPr>
        <w:t>。本合同总价款已包括乙方为履行本合同义务所发生的一切费用，系固定不变价格，且不随通货膨胀的影响而波动。</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第三条  权利保证</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第四条  质量保证</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1、乙方所提供的货物的技术规格符合采购文件规定的技术规格，货物符合中华人民共和国的设计和制造生产标准或行业标准。</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2、乙方应保证货物是全新、未使用过的原装合格正品（包括零部件），并完全符合甲方要求的质量、规格和性能的要求。如货物安装或配置了软件的，乙方保证相关软件均为正版软件。</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3、乙方保证交货时一并提供货物的质量合格凭证或文件。</w:t>
      </w:r>
    </w:p>
    <w:p>
      <w:pPr>
        <w:spacing w:line="360" w:lineRule="auto"/>
        <w:jc w:val="left"/>
        <w:rPr>
          <w:rFonts w:ascii="宋体" w:eastAsia="宋体" w:hAnsi="宋体" w:cs="宋体" w:hint="eastAsia"/>
          <w:sz w:val="21"/>
          <w:szCs w:val="21"/>
        </w:rPr>
      </w:pP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第五条  交货和验收</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1、乙方应按照本合同或招投标文件规定的时间和方式向甲方交付货物，交货地点由甲方指定。因交货产生的费用由乙方自行承担。</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4、甲方应当在到货后的</w:t>
      </w:r>
      <w:r>
        <w:rPr>
          <w:rFonts w:ascii="宋体" w:eastAsia="宋体" w:hAnsi="宋体" w:cs="宋体" w:hint="eastAsia"/>
          <w:sz w:val="21"/>
          <w:szCs w:val="21"/>
          <w:u w:val="single"/>
        </w:rPr>
        <w:t xml:space="preserve">       </w:t>
      </w:r>
      <w:r>
        <w:rPr>
          <w:rFonts w:ascii="宋体" w:eastAsia="宋体" w:hAnsi="宋体" w:cs="宋体" w:hint="eastAsia"/>
          <w:sz w:val="21"/>
          <w:szCs w:val="21"/>
        </w:rPr>
        <w:t>个工作日内对货物进行验收；需要乙方对货物或系统进行安装调试的，甲方应在货物安装调试完毕后的</w:t>
      </w:r>
      <w:r>
        <w:rPr>
          <w:rFonts w:ascii="宋体" w:eastAsia="宋体" w:hAnsi="宋体" w:cs="宋体" w:hint="eastAsia"/>
          <w:sz w:val="21"/>
          <w:szCs w:val="21"/>
          <w:u w:val="single"/>
        </w:rPr>
        <w:t xml:space="preserve">       </w:t>
      </w:r>
      <w:r>
        <w:rPr>
          <w:rFonts w:ascii="宋体" w:eastAsia="宋体" w:hAnsi="宋体" w:cs="宋体" w:hint="eastAsia"/>
          <w:sz w:val="21"/>
          <w:szCs w:val="21"/>
        </w:rPr>
        <w:t>个工作日内进行质量验收。</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第六条  保修及其他服务</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1、乙方应按照国家有关法律法规规章和“三包”规定和采购文件的要求及乙方在投标文件的相关承诺提供保修及其他服务。</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第七条  履约保证金</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1、乙方应在签订本合同之日，向甲方或甲方指定的机构提交履约保证金_________元。</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2、如乙方未能履行合同规定的义务，甲方有权从履约保证金中取得补偿。</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3、甲方在乙方履行完毕本合同项下全部义务后______天内无息退还乙方。</w:t>
      </w:r>
    </w:p>
    <w:p>
      <w:pPr>
        <w:spacing w:line="360" w:lineRule="auto"/>
        <w:ind w:firstLine="560"/>
        <w:jc w:val="left"/>
        <w:rPr>
          <w:rFonts w:ascii="宋体" w:eastAsia="宋体" w:hAnsi="宋体" w:cs="宋体" w:hint="eastAsia"/>
          <w:sz w:val="21"/>
          <w:szCs w:val="21"/>
        </w:rPr>
      </w:pP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第八条   付款方式</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按照招标文件规定的付款方式进行支付。</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第九条    违约责任</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１、甲方无正当理由拒收货物、拒付货物款的，由甲方向乙方偿付合同总价的【】%违约金。</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２、甲方未按合同规定的期限向乙方支付货款的，每逾期1天甲方向乙方偿付欠款总额的【】‰滞纳金，但累计滞纳金总额不超过欠款总额的【】% 。</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３、乙方逾期交付货物的，每逾期1天，乙方向甲方偿付逾期交货部分货款总额的【】‰的滞纳金。如乙方逾期交货达</w:t>
      </w:r>
      <w:r>
        <w:rPr>
          <w:rFonts w:ascii="宋体" w:eastAsia="宋体" w:hAnsi="宋体" w:cs="宋体" w:hint="eastAsia"/>
          <w:sz w:val="21"/>
          <w:szCs w:val="21"/>
          <w:u w:val="single"/>
        </w:rPr>
        <w:t xml:space="preserve">    </w:t>
      </w:r>
      <w:r>
        <w:rPr>
          <w:rFonts w:ascii="宋体" w:eastAsia="宋体" w:hAnsi="宋体" w:cs="宋体" w:hint="eastAsia"/>
          <w:sz w:val="21"/>
          <w:szCs w:val="21"/>
        </w:rPr>
        <w:t>天，甲方有权解除合同，履约保证金不予退回，同时乙方应向甲方支付合同总价【】％的违约金。</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4、乙方所交付的货物品种、型号、规格不符合合同规定的，甲方有权拒收。甲方拒收的，乙方应向甲方支付货款总额【】%的违约金。</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5、在乙方承诺的或国家规定的质量保证期内（取两者中最长的期限），如经乙方两次维修或更换，货物仍不能达到合同约定的质量标准，甲方有权退货，乙方应退回全部货款并赔偿甲方因此遭受的损失。</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6、乙方未履行本合同项下的其他义务或违反其在投标文件中的相关承诺的，应按合同总价款的【】%向甲方承担违约责任。</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第十条    合同的变更和终止</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除《中华人民共和国政府采购法》第４９条、第５０条第二款规定的情形外，本合同一经签订，甲乙双方不得擅自变更、中止或终止合同。</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第十一条   争议的解决</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2、因履行本合同引起的或与本合同有关的争议，甲、乙双方应首先通过友好协商解决，如果协商不能解决争议，则向甲方所在地有管辖权的人民法院提起诉讼；</w:t>
      </w:r>
    </w:p>
    <w:p>
      <w:pPr>
        <w:spacing w:line="360" w:lineRule="auto"/>
        <w:ind w:firstLine="560"/>
        <w:jc w:val="left"/>
        <w:rPr>
          <w:rFonts w:ascii="宋体" w:eastAsia="宋体" w:hAnsi="宋体" w:cs="宋体" w:hint="eastAsia"/>
          <w:b/>
          <w:sz w:val="21"/>
          <w:szCs w:val="21"/>
        </w:rPr>
      </w:pPr>
      <w:r>
        <w:rPr>
          <w:rFonts w:ascii="宋体" w:eastAsia="宋体" w:hAnsi="宋体" w:cs="宋体" w:hint="eastAsia"/>
          <w:b/>
          <w:sz w:val="21"/>
          <w:szCs w:val="21"/>
        </w:rPr>
        <w:t>第十二条   合同生效及其他</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1、下列文件均为本合同的重要组成部分：</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（1）本项目的采购文件、答疑及补充通知；</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（2）本项目中标的投标文件；</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（3）本合同执行中共同签署的补充与修正文件。</w:t>
      </w:r>
    </w:p>
    <w:p>
      <w:pPr>
        <w:spacing w:line="360" w:lineRule="auto"/>
        <w:rPr>
          <w:rFonts w:ascii="宋体" w:eastAsia="宋体" w:hAnsi="宋体" w:cs="宋体" w:hint="eastAsia"/>
          <w:b/>
          <w:bCs/>
          <w:sz w:val="21"/>
          <w:szCs w:val="21"/>
        </w:rPr>
      </w:pPr>
      <w:r>
        <w:rPr>
          <w:rFonts w:ascii="宋体" w:eastAsia="宋体" w:hAnsi="宋体" w:cs="宋体" w:hint="eastAsia"/>
          <w:b/>
          <w:bCs/>
          <w:sz w:val="21"/>
          <w:szCs w:val="21"/>
        </w:rPr>
        <w:t xml:space="preserve">   </w:t>
      </w:r>
      <w:r>
        <w:rPr>
          <w:rFonts w:ascii="宋体" w:eastAsia="宋体" w:hAnsi="宋体" w:cs="宋体" w:hint="eastAsia"/>
          <w:bCs/>
          <w:sz w:val="21"/>
          <w:szCs w:val="21"/>
        </w:rPr>
        <w:t xml:space="preserve"> 以上文件互为补充，如果出现内容冲突的情况，为准的优先顺序为（2）、（1）、（3）。</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2、本合同一式___份，甲、乙方双方各执份，具有同等法律效力。本合同自双方法人代表签字（盖章）认可之日起生效。</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3、本合同未尽事宜，双方友好协商，达成解决方案，经双方签字后，可作为本合同的有效附件。</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本合同未尽事宜，双方友好协商，达成解决方案，经双方签字后，可作为本合同的有效附件。</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甲方（采购人）：   （盖章）       乙方（供应商）：    （盖章）</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 xml:space="preserve">法定代表人：                     法定代表人： </w:t>
      </w:r>
    </w:p>
    <w:p>
      <w:pPr>
        <w:spacing w:line="360" w:lineRule="auto"/>
        <w:ind w:firstLine="560"/>
        <w:jc w:val="left"/>
        <w:rPr>
          <w:rFonts w:ascii="宋体" w:eastAsia="宋体" w:hAnsi="宋体" w:cs="宋体" w:hint="eastAsia"/>
          <w:sz w:val="21"/>
          <w:szCs w:val="21"/>
        </w:rPr>
      </w:pPr>
      <w:r>
        <w:rPr>
          <w:rFonts w:ascii="宋体" w:eastAsia="宋体" w:hAnsi="宋体" w:cs="宋体" w:hint="eastAsia"/>
          <w:sz w:val="21"/>
          <w:szCs w:val="21"/>
        </w:rPr>
        <w:t>委托代理人：                     委托代理人：</w:t>
      </w:r>
    </w:p>
    <w:p>
      <w:pPr>
        <w:ind w:firstLine="525" w:firstLineChars="250"/>
        <w:rPr>
          <w:rFonts w:ascii="宋体" w:eastAsia="宋体" w:hAnsi="宋体" w:cs="宋体" w:hint="eastAsia"/>
          <w:sz w:val="21"/>
          <w:szCs w:val="21"/>
        </w:rPr>
      </w:pPr>
      <w:r>
        <w:rPr>
          <w:rFonts w:ascii="宋体" w:eastAsia="宋体" w:hAnsi="宋体" w:cs="宋体" w:hint="eastAsia"/>
          <w:sz w:val="21"/>
          <w:szCs w:val="21"/>
        </w:rPr>
        <w:t>日期：   年     月    日         日期：   年     月    日</w:t>
      </w:r>
    </w:p>
    <w:p>
      <w:pPr>
        <w:jc w:val="center"/>
        <w:rPr>
          <w:rFonts w:ascii="宋体" w:eastAsia="宋体" w:hAnsi="宋体" w:hint="eastAsia"/>
          <w:b/>
          <w:kern w:val="2"/>
          <w:sz w:val="21"/>
          <w:szCs w:val="21"/>
          <w:lang w:eastAsia="zh-CN"/>
        </w:rPr>
      </w:pPr>
      <w:r>
        <w:rPr>
          <w:rFonts w:ascii="宋体" w:eastAsia="宋体" w:hAnsi="宋体" w:hint="eastAsia"/>
          <w:b/>
          <w:kern w:val="2"/>
          <w:sz w:val="21"/>
          <w:szCs w:val="21"/>
          <w:lang w:eastAsia="zh-CN"/>
        </w:rPr>
        <w:t>注：本合同样本仅供参考，具体条款内容由采购单位和中标单位协商确定。</w:t>
      </w: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spacing w:line="360" w:lineRule="auto"/>
        <w:rPr>
          <w:rFonts w:ascii="宋体" w:eastAsia="宋体" w:hAnsi="宋体" w:hint="eastAsia"/>
          <w:b/>
          <w:bCs/>
          <w:kern w:val="2"/>
          <w:sz w:val="21"/>
          <w:szCs w:val="21"/>
          <w:lang w:eastAsia="zh-CN"/>
        </w:rPr>
      </w:pPr>
    </w:p>
    <w:p>
      <w:pPr>
        <w:spacing w:line="360" w:lineRule="auto"/>
        <w:rPr>
          <w:rFonts w:ascii="宋体" w:eastAsia="宋体" w:hAnsi="宋体" w:hint="eastAsia"/>
          <w:b/>
          <w:bCs/>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jc w:val="center"/>
        <w:rPr>
          <w:rFonts w:ascii="宋体" w:eastAsia="宋体" w:hAnsi="宋体" w:hint="eastAsia"/>
          <w:b/>
          <w:kern w:val="2"/>
          <w:sz w:val="21"/>
          <w:szCs w:val="21"/>
          <w:lang w:eastAsia="zh-CN"/>
        </w:rPr>
      </w:pPr>
    </w:p>
    <w:p>
      <w:pPr>
        <w:keepNext/>
        <w:keepLines/>
        <w:widowControl w:val="0"/>
        <w:spacing w:before="340" w:after="60" w:afterLines="25" w:line="578" w:lineRule="auto"/>
        <w:jc w:val="center"/>
        <w:outlineLvl w:val="0"/>
        <w:rPr>
          <w:rFonts w:ascii="Arial" w:eastAsia="宋体" w:hAnsi="Arial"/>
          <w:b/>
          <w:bCs/>
          <w:kern w:val="44"/>
          <w:sz w:val="32"/>
          <w:szCs w:val="32"/>
          <w:lang w:eastAsia="zh-CN"/>
        </w:rPr>
      </w:pPr>
      <w:r>
        <w:rPr>
          <w:rFonts w:ascii="Arial" w:eastAsia="宋体" w:hAnsi="Arial" w:hint="eastAsia"/>
          <w:b/>
          <w:bCs/>
          <w:kern w:val="44"/>
          <w:sz w:val="32"/>
          <w:szCs w:val="32"/>
          <w:lang w:eastAsia="zh-CN"/>
        </w:rPr>
        <w:t>第二册  通用条款（公开招标）</w:t>
      </w: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36" w:name="_Toc1312"/>
      <w:r>
        <w:rPr>
          <w:rFonts w:ascii="Arial" w:eastAsia="宋体" w:hAnsi="Arial" w:hint="eastAsia"/>
          <w:b/>
          <w:kern w:val="2"/>
          <w:sz w:val="32"/>
          <w:lang w:eastAsia="zh-CN"/>
        </w:rPr>
        <w:t>第一章  总则</w:t>
      </w:r>
      <w:bookmarkEnd w:id="36"/>
    </w:p>
    <w:p>
      <w:pPr>
        <w:wordWrap w:val="0"/>
        <w:autoSpaceDE w:val="0"/>
        <w:autoSpaceDN w:val="0"/>
        <w:spacing w:line="360" w:lineRule="auto"/>
        <w:ind w:right="808" w:firstLine="480" w:firstLineChars="200"/>
        <w:jc w:val="both"/>
        <w:rPr>
          <w:rFonts w:eastAsia="宋体"/>
          <w:b/>
          <w:kern w:val="2"/>
          <w:lang w:eastAsia="zh-CN"/>
        </w:rPr>
      </w:pPr>
      <w:r>
        <w:rPr>
          <w:rFonts w:eastAsia="宋体"/>
          <w:b/>
          <w:kern w:val="2"/>
          <w:lang w:eastAsia="zh-CN"/>
        </w:rPr>
        <w:t>1.通用条款说明</w:t>
      </w:r>
    </w:p>
    <w:p>
      <w:pPr>
        <w:wordWrap w:val="0"/>
        <w:autoSpaceDE w:val="0"/>
        <w:autoSpaceDN w:val="0"/>
        <w:spacing w:line="360" w:lineRule="auto"/>
        <w:ind w:right="808" w:firstLine="480" w:firstLineChars="200"/>
        <w:jc w:val="both"/>
        <w:rPr>
          <w:rFonts w:eastAsia="宋体"/>
          <w:bCs/>
          <w:kern w:val="2"/>
          <w:lang w:eastAsia="zh-CN"/>
        </w:rPr>
      </w:pPr>
      <w:r>
        <w:rPr>
          <w:rFonts w:eastAsia="宋体"/>
          <w:bCs/>
          <w:kern w:val="2"/>
          <w:lang w:eastAsia="zh-CN"/>
        </w:rPr>
        <w:t>1.1采购代理机构发出招标文件通用条款版本，列出深圳市政府采购项目进行招标采购所适用的通用条款内容。如有需要，采购代理机构可以对通用条款的内容进行补充。</w:t>
      </w:r>
    </w:p>
    <w:p>
      <w:pPr>
        <w:wordWrap w:val="0"/>
        <w:autoSpaceDE w:val="0"/>
        <w:autoSpaceDN w:val="0"/>
        <w:spacing w:line="360" w:lineRule="auto"/>
        <w:ind w:right="808" w:firstLine="480" w:firstLineChars="200"/>
        <w:jc w:val="both"/>
        <w:rPr>
          <w:rFonts w:eastAsia="宋体"/>
          <w:bCs/>
          <w:kern w:val="2"/>
          <w:lang w:eastAsia="zh-CN"/>
        </w:rPr>
      </w:pPr>
      <w:r>
        <w:rPr>
          <w:rFonts w:eastAsia="宋体"/>
          <w:bCs/>
          <w:kern w:val="2"/>
          <w:lang w:eastAsia="zh-CN"/>
        </w:rPr>
        <w:t>1.2招标文件分为第一册“专用条款”和第二册“通用条款”。</w:t>
      </w:r>
    </w:p>
    <w:p>
      <w:pPr>
        <w:wordWrap w:val="0"/>
        <w:autoSpaceDE w:val="0"/>
        <w:autoSpaceDN w:val="0"/>
        <w:spacing w:line="360" w:lineRule="auto"/>
        <w:ind w:right="808" w:firstLine="480" w:firstLineChars="200"/>
        <w:jc w:val="both"/>
        <w:rPr>
          <w:rFonts w:eastAsia="宋体"/>
          <w:bCs/>
          <w:kern w:val="2"/>
          <w:lang w:eastAsia="zh-CN"/>
        </w:rPr>
      </w:pPr>
      <w:r>
        <w:rPr>
          <w:rFonts w:eastAsia="宋体"/>
          <w:bCs/>
          <w:kern w:val="2"/>
          <w:lang w:eastAsia="zh-CN"/>
        </w:rPr>
        <w:t>1.3“专用条款”是对本次采购项目的具体要求，包含招标公告、对通用条款的补充内容及其他关键信息、用户需求书、投标文件格式及附件、合同条款及格式等内容。</w:t>
      </w:r>
    </w:p>
    <w:p>
      <w:pPr>
        <w:wordWrap w:val="0"/>
        <w:autoSpaceDE w:val="0"/>
        <w:autoSpaceDN w:val="0"/>
        <w:spacing w:line="360" w:lineRule="auto"/>
        <w:ind w:right="808" w:firstLine="480" w:firstLineChars="200"/>
        <w:jc w:val="both"/>
        <w:rPr>
          <w:rFonts w:eastAsia="宋体"/>
          <w:bCs/>
          <w:kern w:val="2"/>
          <w:lang w:eastAsia="zh-CN"/>
        </w:rPr>
      </w:pPr>
      <w:r>
        <w:rPr>
          <w:rFonts w:eastAsia="宋体"/>
          <w:bCs/>
          <w:kern w:val="2"/>
          <w:lang w:eastAsia="zh-CN"/>
        </w:rPr>
        <w:t>1.4“通用条款”是适用于政府采购公开招标项目的基础性条款，具有普遍性和通用性。</w:t>
      </w:r>
    </w:p>
    <w:p>
      <w:pPr>
        <w:wordWrap w:val="0"/>
        <w:autoSpaceDE w:val="0"/>
        <w:autoSpaceDN w:val="0"/>
        <w:spacing w:line="360" w:lineRule="auto"/>
        <w:ind w:right="808" w:firstLine="480" w:firstLineChars="200"/>
        <w:jc w:val="both"/>
        <w:rPr>
          <w:rFonts w:eastAsia="宋体"/>
          <w:bCs/>
          <w:kern w:val="2"/>
          <w:lang w:eastAsia="zh-CN"/>
        </w:rPr>
      </w:pPr>
      <w:r>
        <w:rPr>
          <w:rFonts w:eastAsia="宋体"/>
          <w:bCs/>
          <w:kern w:val="2"/>
          <w:lang w:eastAsia="zh-CN"/>
        </w:rPr>
        <w:t>1.5“专用条款”和“通用条款”表述不一致或有冲突时，以“专用条款”为准。</w:t>
      </w:r>
    </w:p>
    <w:p>
      <w:pPr>
        <w:wordWrap w:val="0"/>
        <w:autoSpaceDE w:val="0"/>
        <w:autoSpaceDN w:val="0"/>
        <w:spacing w:line="360" w:lineRule="auto"/>
        <w:ind w:right="808" w:firstLine="480" w:firstLineChars="200"/>
        <w:jc w:val="both"/>
        <w:rPr>
          <w:rFonts w:eastAsia="宋体"/>
          <w:b/>
          <w:kern w:val="2"/>
          <w:lang w:eastAsia="zh-CN"/>
        </w:rPr>
      </w:pPr>
      <w:r>
        <w:rPr>
          <w:rFonts w:eastAsia="宋体"/>
          <w:b/>
          <w:kern w:val="2"/>
          <w:lang w:eastAsia="zh-CN"/>
        </w:rPr>
        <w:t>2．招标说明</w:t>
      </w:r>
    </w:p>
    <w:p>
      <w:pPr>
        <w:wordWrap w:val="0"/>
        <w:autoSpaceDE w:val="0"/>
        <w:autoSpaceDN w:val="0"/>
        <w:spacing w:line="360" w:lineRule="auto"/>
        <w:ind w:right="808" w:firstLine="480" w:firstLineChars="200"/>
        <w:jc w:val="both"/>
        <w:rPr>
          <w:rFonts w:eastAsia="宋体"/>
          <w:kern w:val="2"/>
          <w:lang w:eastAsia="zh-CN"/>
        </w:rPr>
      </w:pPr>
      <w:r>
        <w:rPr>
          <w:rFonts w:eastAsia="宋体"/>
          <w:kern w:val="2"/>
          <w:lang w:eastAsia="zh-CN"/>
        </w:rPr>
        <w:t>本项目按照《深圳经济特区政府采购条例》、《深圳经济特区政府采购条例实施细则》及政府采购其他法律法规，通过公开招标方式确定中标供应商。</w:t>
      </w:r>
    </w:p>
    <w:p>
      <w:pPr>
        <w:wordWrap w:val="0"/>
        <w:autoSpaceDE w:val="0"/>
        <w:autoSpaceDN w:val="0"/>
        <w:spacing w:line="360" w:lineRule="auto"/>
        <w:ind w:right="808" w:firstLine="480" w:firstLineChars="200"/>
        <w:jc w:val="both"/>
        <w:rPr>
          <w:rFonts w:eastAsia="宋体"/>
          <w:b/>
          <w:kern w:val="2"/>
          <w:lang w:eastAsia="zh-CN"/>
        </w:rPr>
      </w:pPr>
      <w:r>
        <w:rPr>
          <w:rFonts w:eastAsia="宋体"/>
          <w:b/>
          <w:kern w:val="2"/>
          <w:lang w:eastAsia="zh-CN"/>
        </w:rPr>
        <w:t>3．定义</w:t>
      </w:r>
    </w:p>
    <w:p>
      <w:pPr>
        <w:wordWrap w:val="0"/>
        <w:autoSpaceDE w:val="0"/>
        <w:autoSpaceDN w:val="0"/>
        <w:spacing w:line="360" w:lineRule="auto"/>
        <w:ind w:right="808" w:firstLine="480" w:firstLineChars="200"/>
        <w:jc w:val="both"/>
        <w:rPr>
          <w:rFonts w:eastAsia="宋体"/>
          <w:kern w:val="2"/>
          <w:lang w:eastAsia="zh-CN"/>
        </w:rPr>
      </w:pPr>
      <w:r>
        <w:rPr>
          <w:rFonts w:eastAsia="宋体"/>
          <w:kern w:val="2"/>
          <w:lang w:eastAsia="zh-CN"/>
        </w:rPr>
        <w:t>招标文件中下列术语应解释为：</w:t>
      </w:r>
    </w:p>
    <w:p>
      <w:pPr>
        <w:wordWrap w:val="0"/>
        <w:autoSpaceDE w:val="0"/>
        <w:autoSpaceDN w:val="0"/>
        <w:spacing w:line="360" w:lineRule="auto"/>
        <w:ind w:right="808" w:firstLine="480" w:firstLineChars="200"/>
        <w:jc w:val="both"/>
        <w:rPr>
          <w:rFonts w:eastAsia="宋体"/>
          <w:kern w:val="2"/>
          <w:lang w:eastAsia="zh-CN"/>
        </w:rPr>
      </w:pPr>
      <w:r>
        <w:rPr>
          <w:rFonts w:eastAsia="宋体"/>
          <w:kern w:val="2"/>
          <w:lang w:eastAsia="zh-CN"/>
        </w:rPr>
        <w:t>3.1“采购人”：指利用财政性资金依法进行政府采购的国家机关、事业单位、团体组织；</w:t>
      </w:r>
    </w:p>
    <w:p>
      <w:pPr>
        <w:wordWrap w:val="0"/>
        <w:autoSpaceDE w:val="0"/>
        <w:autoSpaceDN w:val="0"/>
        <w:spacing w:line="360" w:lineRule="auto"/>
        <w:ind w:right="808" w:firstLine="480" w:firstLineChars="200"/>
        <w:jc w:val="both"/>
        <w:rPr>
          <w:rFonts w:eastAsia="宋体"/>
          <w:kern w:val="2"/>
          <w:lang w:eastAsia="zh-CN"/>
        </w:rPr>
      </w:pPr>
      <w:r>
        <w:rPr>
          <w:rFonts w:eastAsia="宋体"/>
          <w:kern w:val="2"/>
          <w:lang w:eastAsia="zh-CN"/>
        </w:rPr>
        <w:t>3.2“采购代理机构”是</w:t>
      </w:r>
      <w:r>
        <w:rPr>
          <w:rFonts w:eastAsia="宋体" w:hint="eastAsia"/>
          <w:kern w:val="2"/>
          <w:lang w:eastAsia="zh-CN"/>
        </w:rPr>
        <w:t>指根据采购人的委托，代理采购事宜的机构</w:t>
      </w:r>
      <w:r>
        <w:rPr>
          <w:rFonts w:eastAsia="宋体"/>
          <w:kern w:val="2"/>
          <w:lang w:eastAsia="zh-CN"/>
        </w:rPr>
        <w:t>；本文件所述的“采购代理机构”指</w:t>
      </w:r>
      <w:r>
        <w:rPr>
          <w:rFonts w:eastAsia="宋体" w:hint="eastAsia"/>
          <w:kern w:val="2"/>
          <w:lang w:eastAsia="zh-CN"/>
        </w:rPr>
        <w:t>深圳市千里招标代理有限公司</w:t>
      </w:r>
      <w:r>
        <w:rPr>
          <w:rFonts w:eastAsia="宋体"/>
          <w:kern w:val="2"/>
          <w:lang w:eastAsia="zh-CN"/>
        </w:rPr>
        <w:t>；</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3.3“投标人”，即供应商，指参加投标竞争并愿意按照招标文件要求向采购人提供货物、工程或者服务的依法成立的法人、其他组织或者自然人；</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3.4“评审委员会”是依据《深圳经济特区政府采购条例》、《深圳经济特区政府采购条例实施细则》等有关规定组建的专门负责本次招标其评审工作的临时性机构；</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3.5“日期”指公历日；</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3.6“合同”指由本次招标所产生的合同或合约文件；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3.7“电子投标文件”指利用深圳政府采购自行采购系统投标文件制作专用软件（以下简称：投标文件制作软件）制作的投标文件,适用于网上投标；（投标文件制作软件可从“下载地址：https://zxcg.szggzy.com/home/index.html深圳市自行采购系统投标文件编制工具”下载）</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3.8“网上投标”指通过深圳市自行采购系统网站上传电子投标文件；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3.9招标文件中的标题或题名仅起引导作用，而不应视为对招标文件内容的理解和解释。</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4.政府采购供应商责任</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4.1欢迎诚信、有实力和有社会责任心的供应商参与政府采购事业。</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4.2投标人应当遵循公平竞争的原则，不得恶意串通，不得妨碍其他投标人的竞争行为，不得损害采购人或者其他投标人的合法权益。如违反上述要求，经核实后，供应商的投标无效。</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5．投标人参加政府采购的条件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5.1投标人应在投标前在深圳交易集团有限公司政府采购业务分公司进行注册并办理电子密钥。《供应商注册及信息变更指引》详见www.szggzy.com网站“交易服务指南-政府采购”。</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5.2投标人资格要求</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参加本项目的投标人应具备的资格条件详见本项目招标公告中“投标人资格要求”（即申请人的资格要求）的内容。</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5.3联合体投标</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5.3.1以下有关联合体投标的条款仅适用于允许投标人组成联合体投标的项目。</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5.3.2由两个或两个以上的自然人、法人或者其他组织可以组成一个联合体，以一个供应商的身份共同投标时，应符合以下原则：</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（1）投标联合体各方参加政府采购活动应当具备下列条件：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1、具有独立承担民事责任的能力；</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2、有良好的商业信誉和健全的财务会计制度；</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3、具有履行合同所必需的设备和专业技术能力；</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4、有依法缴纳税收和社会保障资金的良好记录；</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5、参加政府采购活动前三年内，在经营活动中没有重大违法记录；</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6、法律、行政法规规定的其他条件。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（2）在投标截止前，投标联合体各方均应注册成采购代理机构供应商；</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（3）联合体中有同类资质的供应商按照联合体分工承担相同工作的，应当按照资质等级较低的供应商确定资质等级；</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（4）是否允许联合体参加投标，应当由采购人和采购代理机构根据项目的实际情况和潜在供应商的数量自主决定，如果决定接受联合体投标则应当在招标公告中明示；</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（5）投标人的投标文件及中标后签署的合同协议对联合体各方均具有法律约束力；</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（6）联合体各方应当签订联合体投标协议，明确约定各方拟承担的工作和责任，并将该协议随投标文件一并递交给采购代理机构；</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（7）联合体中标后，联合体各方应当共同与采购人签订合同，就中标项目向采购人承担连带责任；</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（9）本通用条款中“投标人”一词亦指联合体各方，专用条款另有规定或说明的除外。</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6．政策导向</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6.1政府采购支持本国产品、支持中小企业、监狱企业和残疾人福利性单位发展，支持乡村产业振兴，支持创新、节能减排、绿色环保等。</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6.2本项目落实深圳市政府采购供应商诚信管理政策要求。</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6.3本项目支持投标人性别平等的相关政策。</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7.本项目若涉及采购货物，则合格的货物及相应服务应满足以下要求：</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7.1必须是全新、未使用过的原装合格正品（包括零部件），如安装或配置了软件的，须为正版软件。</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7.2国产的货物及其有关服务必须符合中华人民共和国的设计、制造生产标准及行业标准。招标公告有其他要求的，亦应符合其要求。</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7.4投标人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7.5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7.6工期要求：投标人在投标时对其所投项目应提交交货进度、交货计划等，在合同规定的时间内完成项目实施工作。</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7.7投标人必须承担的设备运输、安装调试、验收检测和提供设备操作说明书、图纸等其他相关及类似的义务。</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8．投标费用</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不论投标结果如何，投标人应承担其编制投标文件与递交投标文件所涉及的一切费用。</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9．踏勘现场</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9.1如有需要（详见专用条款），采购人或采购代理机构将组织投标人对项目现场及周围环境进行踏勘，以便投标人获取有关编制投标文件和签署合同所需的资料。踏勘现场所发生的费用由投标人自行承担。投标人应按招标文件所约定的时间、地点踏勘现场。</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9.2投标人及其人员经过采购人的允许，可以进入采购人的项目现场踏勘。若招标文件要求投标人于统一时间地点踏勘现场的，投标人应当按时前往。</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9.3采购人应当通过采购代理机构向投标人提供有关现场的书面资料和数据。</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9.4任何人或任何组织在踏勘现场时向投标人提供的任何书面资料或口头承诺，未经采购代理机构在网上发布或书面通知，均作无效处理。</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9.5未参与踏勘现场不作为否定投标人资格的理由。</w:t>
      </w:r>
    </w:p>
    <w:p>
      <w:pPr>
        <w:wordWrap w:val="0"/>
        <w:autoSpaceDE w:val="0"/>
        <w:autoSpaceDN w:val="0"/>
        <w:spacing w:line="360" w:lineRule="auto"/>
        <w:ind w:right="808" w:firstLine="480" w:firstLineChars="200"/>
        <w:jc w:val="both"/>
        <w:rPr>
          <w:rFonts w:eastAsia="宋体"/>
          <w:b/>
          <w:kern w:val="2"/>
          <w:lang w:eastAsia="zh-CN"/>
        </w:rPr>
      </w:pPr>
      <w:r>
        <w:rPr>
          <w:rFonts w:eastAsia="宋体" w:hint="eastAsia"/>
          <w:b/>
          <w:kern w:val="2"/>
          <w:lang w:eastAsia="zh-CN"/>
        </w:rPr>
        <w:t>10．标前会议</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10.1如采购人或采购代理机构认为有必要组织标前会议，投标人应按照招标文件规定的时间或采购代理机构另行书面通知（包括采购代理机构网站发布方式，如更正公告等）的时间和地点，参与标前会议。</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10.2任何人或任何组织在标前会议时向投标人提供的任何书面资料或口头承诺，未经采购代理机构在网上发布或书面通知，均作无效处理。</w:t>
      </w:r>
    </w:p>
    <w:p>
      <w:pPr>
        <w:wordWrap w:val="0"/>
        <w:autoSpaceDE w:val="0"/>
        <w:autoSpaceDN w:val="0"/>
        <w:spacing w:line="360" w:lineRule="auto"/>
        <w:ind w:right="808" w:firstLine="480" w:firstLineChars="200"/>
        <w:jc w:val="both"/>
        <w:rPr>
          <w:rFonts w:eastAsia="宋体"/>
          <w:kern w:val="2"/>
          <w:lang w:eastAsia="zh-CN"/>
        </w:rPr>
      </w:pPr>
      <w:r>
        <w:rPr>
          <w:rFonts w:eastAsia="宋体" w:hint="eastAsia"/>
          <w:kern w:val="2"/>
          <w:lang w:eastAsia="zh-CN"/>
        </w:rPr>
        <w:t>10.3未参与标前会议不作为否定投标人资格的理由。</w:t>
      </w:r>
      <w:r>
        <w:rPr>
          <w:rFonts w:eastAsia="宋体" w:hint="eastAsia"/>
          <w:kern w:val="2"/>
          <w:lang w:eastAsia="zh-CN"/>
        </w:rPr>
        <w:br w:type="page"/>
      </w: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37" w:name="_Toc696"/>
      <w:r>
        <w:rPr>
          <w:rFonts w:ascii="Arial" w:eastAsia="宋体" w:hAnsi="Arial" w:hint="eastAsia"/>
          <w:b/>
          <w:kern w:val="2"/>
          <w:sz w:val="32"/>
          <w:lang w:eastAsia="zh-CN"/>
        </w:rPr>
        <w:t>第二章</w:t>
      </w:r>
      <w:bookmarkStart w:id="38" w:name="_Toc16272"/>
      <w:bookmarkStart w:id="39" w:name="_Toc4237"/>
      <w:bookmarkStart w:id="40" w:name="_Toc25500"/>
      <w:r>
        <w:rPr>
          <w:rFonts w:ascii="Arial" w:eastAsia="宋体" w:hAnsi="Arial" w:hint="eastAsia"/>
          <w:b/>
          <w:kern w:val="2"/>
          <w:sz w:val="32"/>
          <w:lang w:eastAsia="zh-CN"/>
        </w:rPr>
        <w:t xml:space="preserve">  招标文件</w:t>
      </w:r>
      <w:bookmarkEnd w:id="37"/>
      <w:bookmarkEnd w:id="38"/>
      <w:bookmarkEnd w:id="39"/>
      <w:bookmarkEnd w:id="40"/>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1</w:t>
      </w:r>
      <w:r>
        <w:rPr>
          <w:rFonts w:eastAsia="宋体" w:hint="eastAsia"/>
          <w:kern w:val="2"/>
          <w:sz w:val="21"/>
          <w:lang w:eastAsia="zh-CN"/>
        </w:rPr>
        <w:t>．</w:t>
      </w:r>
      <w:bookmarkStart w:id="41" w:name="_Hlk72399819"/>
      <w:r>
        <w:rPr>
          <w:rFonts w:eastAsia="宋体" w:hint="eastAsia"/>
          <w:kern w:val="2"/>
          <w:sz w:val="21"/>
          <w:lang w:eastAsia="zh-CN"/>
        </w:rPr>
        <w:t>招标文件的编制与组成</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1</w:t>
      </w:r>
      <w:r>
        <w:rPr>
          <w:rFonts w:eastAsia="宋体" w:hint="eastAsia"/>
          <w:kern w:val="2"/>
          <w:sz w:val="21"/>
          <w:lang w:eastAsia="zh-CN"/>
        </w:rPr>
        <w:t>.1招标文件除以下内容外，采购代理机构在招标期间发出的澄清或修改等相关公告或通知内容，均是招标文件的组成部分，对投标人起约束作用；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招标文件包括下列内容：</w:t>
      </w:r>
    </w:p>
    <w:p>
      <w:pPr>
        <w:widowControl w:val="0"/>
        <w:ind w:left="480" w:firstLine="412" w:leftChars="200" w:firstLineChars="196"/>
        <w:jc w:val="both"/>
        <w:rPr>
          <w:rFonts w:ascii="宋体" w:eastAsia="宋体" w:hAnsi="宋体" w:hint="eastAsia"/>
          <w:b/>
          <w:kern w:val="2"/>
          <w:sz w:val="21"/>
          <w:szCs w:val="21"/>
          <w:lang w:eastAsia="zh-CN"/>
        </w:rPr>
      </w:pPr>
      <w:r>
        <w:rPr>
          <w:rFonts w:ascii="宋体" w:eastAsia="宋体" w:hAnsi="宋体" w:cstheme="minorBidi" w:hint="eastAsia"/>
          <w:b/>
          <w:kern w:val="2"/>
          <w:sz w:val="21"/>
          <w:szCs w:val="21"/>
          <w:lang w:eastAsia="zh-CN"/>
        </w:rPr>
        <w:t>第一册  专用条款</w:t>
      </w:r>
    </w:p>
    <w:p>
      <w:pPr>
        <w:widowControl w:val="0"/>
        <w:ind w:left="1234" w:leftChars="514"/>
        <w:jc w:val="both"/>
        <w:rPr>
          <w:rFonts w:ascii="宋体" w:eastAsia="宋体" w:hAnsi="宋体" w:hint="eastAsia"/>
          <w:b/>
          <w:kern w:val="2"/>
          <w:sz w:val="21"/>
          <w:szCs w:val="21"/>
          <w:lang w:eastAsia="zh-CN"/>
        </w:rPr>
      </w:pPr>
      <w:r>
        <w:rPr>
          <w:rFonts w:ascii="宋体" w:eastAsia="宋体" w:hAnsi="宋体" w:cstheme="minorBidi" w:hint="eastAsia"/>
          <w:b/>
          <w:kern w:val="2"/>
          <w:sz w:val="21"/>
          <w:szCs w:val="21"/>
          <w:lang w:eastAsia="zh-CN"/>
        </w:rPr>
        <w:t>关键信息</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第一章  招标公告</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第二章  对通用条款的补充内容及其他关键信息</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第三章  用户需求书</w:t>
      </w:r>
    </w:p>
    <w:p>
      <w:pPr>
        <w:widowControl w:val="0"/>
        <w:ind w:left="720" w:firstLine="412" w:leftChars="300" w:firstLineChars="196"/>
        <w:jc w:val="both"/>
        <w:rPr>
          <w:rFonts w:ascii="宋体" w:eastAsia="宋体" w:hAnsi="宋体" w:hint="eastAsia"/>
          <w:kern w:val="2"/>
          <w:sz w:val="21"/>
          <w:szCs w:val="21"/>
          <w:lang w:eastAsia="zh-CN"/>
        </w:rPr>
      </w:pPr>
      <w:r>
        <w:rPr>
          <w:rFonts w:ascii="Calibri" w:eastAsia="宋体" w:hAnsi="Calibri" w:cstheme="minorBidi" w:hint="eastAsia"/>
          <w:kern w:val="2"/>
          <w:sz w:val="21"/>
          <w:szCs w:val="22"/>
          <w:lang w:eastAsia="zh-CN"/>
        </w:rPr>
        <w:t xml:space="preserve">第四章 </w:t>
      </w:r>
      <w:r>
        <w:rPr>
          <w:rFonts w:ascii="Calibri" w:eastAsia="宋体" w:hAnsi="Calibri" w:cstheme="minorBidi"/>
          <w:kern w:val="2"/>
          <w:sz w:val="21"/>
          <w:szCs w:val="22"/>
          <w:lang w:eastAsia="zh-CN"/>
        </w:rPr>
        <w:t xml:space="preserve"> </w:t>
      </w:r>
      <w:r>
        <w:rPr>
          <w:rFonts w:ascii="Calibri" w:eastAsia="宋体" w:hAnsi="Calibri" w:cstheme="minorBidi" w:hint="eastAsia"/>
          <w:kern w:val="2"/>
          <w:sz w:val="21"/>
          <w:szCs w:val="22"/>
          <w:lang w:eastAsia="zh-CN"/>
        </w:rPr>
        <w:t>投标文件格式及附件</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第五章  合同条款及格式</w:t>
      </w:r>
    </w:p>
    <w:p>
      <w:pPr>
        <w:widowControl w:val="0"/>
        <w:ind w:left="480" w:firstLine="412" w:leftChars="200" w:firstLineChars="196"/>
        <w:jc w:val="both"/>
        <w:rPr>
          <w:rFonts w:ascii="宋体" w:eastAsia="宋体" w:hAnsi="宋体" w:hint="eastAsia"/>
          <w:b/>
          <w:kern w:val="2"/>
          <w:sz w:val="21"/>
          <w:szCs w:val="21"/>
          <w:lang w:eastAsia="zh-CN"/>
        </w:rPr>
      </w:pPr>
      <w:r>
        <w:rPr>
          <w:rFonts w:ascii="宋体" w:eastAsia="宋体" w:hAnsi="宋体" w:cstheme="minorBidi" w:hint="eastAsia"/>
          <w:b/>
          <w:kern w:val="2"/>
          <w:sz w:val="21"/>
          <w:szCs w:val="21"/>
          <w:lang w:eastAsia="zh-CN"/>
        </w:rPr>
        <w:t>第二册  通用条款</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第一章  总则</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第二章  招标文件</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第三章  投标文件的编制</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第四章  投标文件的递交</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第五章  开标</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第六章  评审要求</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第七章  评审程序及评审方法</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第八章  定标及公示</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第九章  公开采购失败的后续处理</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第十章  合同的授予与备案</w:t>
      </w:r>
    </w:p>
    <w:p>
      <w:pPr>
        <w:widowControl w:val="0"/>
        <w:ind w:left="720" w:firstLine="412" w:leftChars="300" w:firstLineChars="196"/>
        <w:jc w:val="both"/>
        <w:rPr>
          <w:rFonts w:ascii="宋体" w:eastAsia="宋体" w:hAnsi="宋体" w:hint="eastAsia"/>
          <w:kern w:val="2"/>
          <w:sz w:val="21"/>
          <w:szCs w:val="21"/>
          <w:lang w:eastAsia="zh-CN"/>
        </w:rPr>
      </w:pPr>
      <w:r>
        <w:rPr>
          <w:rFonts w:ascii="宋体" w:eastAsia="宋体" w:hAnsi="宋体" w:cstheme="minorBidi" w:hint="eastAsia"/>
          <w:kern w:val="2"/>
          <w:sz w:val="21"/>
          <w:szCs w:val="21"/>
          <w:lang w:eastAsia="zh-CN"/>
        </w:rPr>
        <w:t>第十一章  质疑处理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1</w:t>
      </w:r>
      <w:r>
        <w:rPr>
          <w:rFonts w:eastAsia="宋体" w:hint="eastAsia"/>
          <w:kern w:val="2"/>
          <w:sz w:val="21"/>
          <w:lang w:eastAsia="zh-CN"/>
        </w:rPr>
        <w:t>.2投标人下载招标文件后，应仔细检查招标文件的所有内容，如有疑问应在答疑截止时间之前向采购代理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wordWrap w:val="0"/>
        <w:autoSpaceDE w:val="0"/>
        <w:autoSpaceDN w:val="0"/>
        <w:spacing w:line="400" w:lineRule="exact"/>
        <w:ind w:right="808" w:firstLine="420" w:firstLineChars="200"/>
        <w:jc w:val="both"/>
        <w:rPr>
          <w:rFonts w:eastAsia="宋体"/>
          <w:kern w:val="2"/>
          <w:sz w:val="21"/>
          <w:szCs w:val="21"/>
          <w:lang w:eastAsia="zh-CN"/>
        </w:rPr>
      </w:pPr>
      <w:r>
        <w:rPr>
          <w:rFonts w:eastAsia="宋体" w:hint="eastAsia"/>
          <w:kern w:val="2"/>
          <w:sz w:val="21"/>
          <w:szCs w:val="21"/>
          <w:lang w:eastAsia="zh-CN"/>
        </w:rPr>
        <w:t>1</w:t>
      </w:r>
      <w:r>
        <w:rPr>
          <w:rFonts w:eastAsia="宋体"/>
          <w:kern w:val="2"/>
          <w:sz w:val="21"/>
          <w:szCs w:val="21"/>
          <w:lang w:eastAsia="zh-CN"/>
        </w:rPr>
        <w:t>1</w:t>
      </w:r>
      <w:r>
        <w:rPr>
          <w:rFonts w:eastAsia="宋体" w:hint="eastAsia"/>
          <w:kern w:val="2"/>
          <w:sz w:val="21"/>
          <w:szCs w:val="21"/>
          <w:lang w:eastAsia="zh-CN"/>
        </w:rPr>
        <w:t>.3</w:t>
      </w:r>
      <w:r>
        <w:rPr>
          <w:rFonts w:eastAsia="宋体" w:hint="eastAsia"/>
          <w:kern w:val="2"/>
          <w:sz w:val="21"/>
          <w:lang w:eastAsia="zh-CN"/>
        </w:rPr>
        <w:t>任何人或任何组织向投标人提交的任何书面或口头资料，未经采购代理机构在网上发布或书面通知，均作无效处理，不得作为招标文件的组成部分。采购代理机构对投标人由此而做出的推论、理解和结论概不负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2</w:t>
      </w:r>
      <w:r>
        <w:rPr>
          <w:rFonts w:eastAsia="宋体" w:hint="eastAsia"/>
          <w:kern w:val="2"/>
          <w:sz w:val="21"/>
          <w:lang w:eastAsia="zh-CN"/>
        </w:rPr>
        <w:t>．招标文件的澄清</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2</w:t>
      </w:r>
      <w:r>
        <w:rPr>
          <w:rFonts w:eastAsia="宋体" w:hint="eastAsia"/>
          <w:kern w:val="2"/>
          <w:sz w:val="21"/>
          <w:lang w:eastAsia="zh-CN"/>
        </w:rPr>
        <w:t>.1招标文件澄清的目的是澄清、解答投标人在查阅招标文件后或现场踏勘中可能提出的与投标有关的疑问或询问。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2</w:t>
      </w:r>
      <w:r>
        <w:rPr>
          <w:rFonts w:eastAsia="宋体" w:hint="eastAsia"/>
          <w:kern w:val="2"/>
          <w:sz w:val="21"/>
          <w:lang w:eastAsia="zh-CN"/>
        </w:rPr>
        <w:t>.2投标人如对招标文件内容有疑问，应当在招标公告规定的澄清（提问）截止时间前以网上提问的形式通过网上政府采购系统提交采购代理机构。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2</w:t>
      </w:r>
      <w:r>
        <w:rPr>
          <w:rFonts w:eastAsia="宋体" w:hint="eastAsia"/>
          <w:kern w:val="2"/>
          <w:sz w:val="21"/>
          <w:lang w:eastAsia="zh-CN"/>
        </w:rPr>
        <w:t>.3不论是采购代理机构根据需要主动对招标文件进行必要的澄清或是根据投标人的要求对招标文件做出澄清，采购代理机构都将在投标截止日期前以书面形式（包括采购代理机构网站发布方式）答复或发送给所有投标人。答复内容是招标文件的组成部分，对投标人起约束作用，其有效性按照本通用条款第1</w:t>
      </w:r>
      <w:r>
        <w:rPr>
          <w:rFonts w:eastAsia="宋体"/>
          <w:kern w:val="2"/>
          <w:sz w:val="21"/>
          <w:lang w:eastAsia="zh-CN"/>
        </w:rPr>
        <w:t>3.3</w:t>
      </w:r>
      <w:r>
        <w:rPr>
          <w:rFonts w:eastAsia="宋体" w:hint="eastAsia"/>
          <w:kern w:val="2"/>
          <w:sz w:val="21"/>
          <w:lang w:eastAsia="zh-CN"/>
        </w:rPr>
        <w:t>、1</w:t>
      </w:r>
      <w:r>
        <w:rPr>
          <w:rFonts w:eastAsia="宋体"/>
          <w:kern w:val="2"/>
          <w:sz w:val="21"/>
          <w:lang w:eastAsia="zh-CN"/>
        </w:rPr>
        <w:t>3.4</w:t>
      </w:r>
      <w:r>
        <w:rPr>
          <w:rFonts w:eastAsia="宋体" w:hint="eastAsia"/>
          <w:kern w:val="2"/>
          <w:sz w:val="21"/>
          <w:lang w:eastAsia="zh-CN"/>
        </w:rPr>
        <w:t>款规定执行。</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3．招标文件的修改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3.1招标文件发出后，在投标截止日期前任何时候，确需要变更招标文件内容的，采购代理机构可主动或在解答投标人提出的澄清问题时对招标文件进行修改。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3.2招标文件的修改以书面形式（包括采购代理机构网站发布方式，如更正公告等）发送给所有投标人，招标文件的修改内容作为招标文件的组成部分，并具有约束力。</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3.3招标文件、招标文件澄清答复内容、招标文件修改补充内容均以书面形式（包括采购代理机构网站公开发布方式，如更正公告等）明确的内容为准。当招标文件、修改补充通知、招标文件澄清答复内容相互矛盾时，以最后发出的内容为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3.4采购代理机构保证招标文件澄清答复内容和招标文件修改补充内容在投标截止时间前以书面形式（包括采购代理机构网站发布方式，如更正公告等）发送给所有投标人。为使投标人在编制投标文件时有充分时间对招标文件的修改部分进行研究，采购代理机构可以酌情延长递交投标文件的截止日期。</w:t>
      </w:r>
      <w:bookmarkEnd w:id="41"/>
    </w:p>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42" w:name="_Toc13741"/>
      <w:bookmarkStart w:id="43" w:name="_Toc31413"/>
      <w:bookmarkStart w:id="44" w:name="_Toc18814"/>
      <w:bookmarkStart w:id="45" w:name="_Toc17279"/>
      <w:r>
        <w:rPr>
          <w:rFonts w:ascii="Arial" w:eastAsia="宋体" w:hAnsi="Arial" w:hint="eastAsia"/>
          <w:b/>
          <w:kern w:val="2"/>
          <w:sz w:val="32"/>
          <w:lang w:eastAsia="zh-CN"/>
        </w:rPr>
        <w:t>第三章  投标文件的编制</w:t>
      </w:r>
      <w:bookmarkEnd w:id="42"/>
      <w:bookmarkEnd w:id="43"/>
      <w:bookmarkEnd w:id="44"/>
      <w:bookmarkEnd w:id="45"/>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14．</w:t>
      </w:r>
      <w:bookmarkStart w:id="46" w:name="_Hlk72400236"/>
      <w:r>
        <w:rPr>
          <w:rFonts w:eastAsia="宋体" w:hint="eastAsia"/>
          <w:kern w:val="2"/>
          <w:sz w:val="21"/>
          <w:lang w:eastAsia="zh-CN"/>
        </w:rPr>
        <w:t>投标文件的语言及度量单位</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14.1投标人与采购代理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14.2除技术规范另有规定外，投标文件使用的度量单位，均采用中华人民共和国法定计量单位。</w:t>
      </w:r>
    </w:p>
    <w:bookmarkEnd w:id="46"/>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15．</w:t>
      </w:r>
      <w:bookmarkStart w:id="47" w:name="_Hlk72401567"/>
      <w:r>
        <w:rPr>
          <w:rFonts w:eastAsia="宋体" w:hint="eastAsia"/>
          <w:kern w:val="2"/>
          <w:sz w:val="21"/>
          <w:lang w:eastAsia="zh-CN"/>
        </w:rPr>
        <w:t>投标文件的组成</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具体内容在招标文件专用条款中进行规定。</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16．投标文件格式</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投标文件包括本通用条款第</w:t>
      </w:r>
      <w:r>
        <w:rPr>
          <w:rFonts w:eastAsia="宋体"/>
          <w:kern w:val="2"/>
          <w:sz w:val="21"/>
          <w:lang w:eastAsia="zh-CN"/>
        </w:rPr>
        <w:t>15条中规定的内容。如招标文件提供了投标文件格式，则</w:t>
      </w:r>
      <w:r>
        <w:rPr>
          <w:rFonts w:eastAsia="宋体" w:hint="eastAsia"/>
          <w:b/>
          <w:bCs/>
          <w:kern w:val="2"/>
          <w:sz w:val="21"/>
          <w:lang w:eastAsia="zh-CN"/>
        </w:rPr>
        <w:t>投标人提交的投标文件应毫无例外地使用招标文件所提供的相应格式</w:t>
      </w:r>
      <w:r>
        <w:rPr>
          <w:rFonts w:eastAsia="宋体" w:hint="eastAsia"/>
          <w:kern w:val="2"/>
          <w:sz w:val="21"/>
          <w:lang w:eastAsia="zh-CN"/>
        </w:rPr>
        <w:t>（表格均可按同样格式扩展）。</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17．投标货币</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本项目的投标报价应以人民币计。</w:t>
      </w:r>
    </w:p>
    <w:bookmarkEnd w:id="47"/>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w:t>
      </w:r>
      <w:bookmarkStart w:id="48" w:name="_Hlk72401735"/>
      <w:r>
        <w:rPr>
          <w:rFonts w:eastAsia="宋体" w:hint="eastAsia"/>
          <w:kern w:val="2"/>
          <w:sz w:val="21"/>
          <w:lang w:eastAsia="zh-CN"/>
        </w:rPr>
        <w:t>证明投标文件投标技术方案的合格性和符合招标文件规定的文件要求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w:t>
      </w:r>
      <w:r>
        <w:rPr>
          <w:rFonts w:eastAsia="宋体"/>
          <w:kern w:val="2"/>
          <w:sz w:val="21"/>
          <w:lang w:eastAsia="zh-CN"/>
        </w:rPr>
        <w:t>.1</w:t>
      </w:r>
      <w:r>
        <w:rPr>
          <w:rFonts w:eastAsia="宋体" w:hint="eastAsia"/>
          <w:kern w:val="2"/>
          <w:sz w:val="21"/>
          <w:lang w:eastAsia="zh-CN"/>
        </w:rPr>
        <w:t>投标人应提交证明文件，证明其投标技术方案项下的货物和服务的合格性符合招标文件规定。该投标技术方案及其证明文件均作为投标文件组成部分。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8</w:t>
      </w:r>
      <w:r>
        <w:rPr>
          <w:rFonts w:eastAsia="宋体"/>
          <w:kern w:val="2"/>
          <w:sz w:val="21"/>
          <w:lang w:eastAsia="zh-CN"/>
        </w:rPr>
        <w:t>.2</w:t>
      </w:r>
      <w:r>
        <w:rPr>
          <w:rFonts w:eastAsia="宋体" w:hint="eastAsia"/>
          <w:kern w:val="2"/>
          <w:sz w:val="21"/>
          <w:lang w:eastAsia="zh-CN"/>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18.2.1主要技术指标和性能的详细说明。</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18.2.</w:t>
      </w:r>
      <w:r>
        <w:rPr>
          <w:rFonts w:eastAsia="宋体"/>
          <w:kern w:val="2"/>
          <w:sz w:val="21"/>
          <w:lang w:eastAsia="zh-CN"/>
        </w:rPr>
        <w:t>2</w:t>
      </w:r>
      <w:r>
        <w:rPr>
          <w:rFonts w:eastAsia="宋体" w:hint="eastAsia"/>
          <w:kern w:val="2"/>
          <w:sz w:val="21"/>
          <w:lang w:eastAsia="zh-CN"/>
        </w:rPr>
        <w:t>投标产品从采购人开始使用至招标文件中规定的周期内正常、连续地使用所必须的备件和专用工具清单，包括备件和专用工具的货源及现行价格。</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18.2.</w:t>
      </w:r>
      <w:r>
        <w:rPr>
          <w:rFonts w:eastAsia="宋体"/>
          <w:kern w:val="2"/>
          <w:sz w:val="21"/>
          <w:lang w:eastAsia="zh-CN"/>
        </w:rPr>
        <w:t>3</w:t>
      </w:r>
      <w:r>
        <w:rPr>
          <w:rFonts w:eastAsia="宋体" w:hint="eastAsia"/>
          <w:kern w:val="2"/>
          <w:sz w:val="21"/>
          <w:lang w:eastAsia="zh-CN"/>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要求能够使用电脑阅读、识别和判断；</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18.2.5我国政府机构出具的产品检验和核准证件应为证件正面、背面和附件标注的全部具体内容；产品检验和核准证件的尺寸和清晰度应该能够在电脑上被阅读、识别和判断，提供原件扫描件。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18.3相关资料不符合18.2款要求的，评审委员会有权认定为投标技术方案不合格响应，其相关分数予以扣减或作投标无效处理。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8</w:t>
      </w:r>
      <w:r>
        <w:rPr>
          <w:rFonts w:eastAsia="宋体"/>
          <w:kern w:val="2"/>
          <w:sz w:val="21"/>
          <w:lang w:eastAsia="zh-CN"/>
        </w:rPr>
        <w:t>.</w:t>
      </w:r>
      <w:r>
        <w:rPr>
          <w:rFonts w:eastAsia="宋体" w:hint="eastAsia"/>
          <w:kern w:val="2"/>
          <w:sz w:val="21"/>
          <w:lang w:eastAsia="zh-CN"/>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满足要求，由评审委员会来评判。</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18.5除非另有规定或说明，投标人对同一项目投标时，不得同时提供两套或两套以上的投标方案。</w:t>
      </w:r>
    </w:p>
    <w:bookmarkEnd w:id="48"/>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19．</w:t>
      </w:r>
      <w:bookmarkStart w:id="49" w:name="_Hlk72402034"/>
      <w:r>
        <w:rPr>
          <w:rFonts w:eastAsia="宋体" w:hint="eastAsia"/>
          <w:kern w:val="2"/>
          <w:sz w:val="21"/>
          <w:lang w:eastAsia="zh-CN"/>
        </w:rPr>
        <w:t>投标文件其他证明文件的要求</w:t>
      </w:r>
    </w:p>
    <w:p>
      <w:pPr>
        <w:wordWrap w:val="0"/>
        <w:autoSpaceDE w:val="0"/>
        <w:autoSpaceDN w:val="0"/>
        <w:spacing w:line="400" w:lineRule="exact"/>
        <w:ind w:right="808" w:firstLine="420" w:firstLineChars="200"/>
        <w:jc w:val="both"/>
        <w:rPr>
          <w:rFonts w:eastAsia="宋体"/>
          <w:color w:val="FF0000"/>
          <w:kern w:val="2"/>
          <w:sz w:val="21"/>
          <w:lang w:eastAsia="zh-CN"/>
        </w:rPr>
      </w:pPr>
      <w:r>
        <w:rPr>
          <w:rFonts w:eastAsia="宋体" w:hint="eastAsia"/>
          <w:kern w:val="2"/>
          <w:sz w:val="21"/>
          <w:lang w:eastAsia="zh-CN"/>
        </w:rPr>
        <w:t>19.1</w:t>
      </w:r>
      <w:bookmarkStart w:id="50" w:name="_Hlk71407299"/>
      <w:r>
        <w:rPr>
          <w:rFonts w:eastAsia="宋体" w:hint="eastAsia"/>
          <w:kern w:val="2"/>
          <w:sz w:val="21"/>
          <w:lang w:eastAsia="zh-CN"/>
        </w:rPr>
        <w:t>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50"/>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20．投标有效期</w:t>
      </w:r>
    </w:p>
    <w:bookmarkEnd w:id="49"/>
    <w:p>
      <w:pPr>
        <w:wordWrap w:val="0"/>
        <w:autoSpaceDE w:val="0"/>
        <w:autoSpaceDN w:val="0"/>
        <w:spacing w:line="400" w:lineRule="exact"/>
        <w:ind w:right="808" w:firstLine="420" w:firstLineChars="200"/>
        <w:jc w:val="both"/>
        <w:rPr>
          <w:rFonts w:eastAsia="宋体"/>
          <w:kern w:val="2"/>
          <w:sz w:val="21"/>
          <w:lang w:eastAsia="zh-CN"/>
        </w:rPr>
      </w:pPr>
      <w:bookmarkStart w:id="51" w:name="_Hlk72402214"/>
      <w:r>
        <w:rPr>
          <w:rFonts w:eastAsia="宋体" w:hint="eastAsia"/>
          <w:kern w:val="2"/>
          <w:sz w:val="21"/>
          <w:lang w:eastAsia="zh-CN"/>
        </w:rPr>
        <w:t>20.1投标有效期为</w:t>
      </w:r>
      <w:r>
        <w:rPr>
          <w:rFonts w:ascii="Arial" w:eastAsia="宋体" w:hAnsi="Arial" w:cs="Arial" w:hint="eastAsia"/>
          <w:kern w:val="2"/>
          <w:sz w:val="21"/>
          <w:lang w:eastAsia="zh-CN"/>
        </w:rPr>
        <w:t>从投标截止之日算起的日历天数。</w:t>
      </w:r>
      <w:r>
        <w:rPr>
          <w:rFonts w:eastAsia="宋体" w:hint="eastAsia"/>
          <w:kern w:val="2"/>
          <w:sz w:val="21"/>
          <w:lang w:eastAsia="zh-CN"/>
        </w:rPr>
        <w:t>在此期限内，所有投标文件均保持有效。</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20.2在特殊情况下，采购代理机构在原定的投标有效期满之前，采购代理机构可以根据需要以书面形式（包括采购代理机构网站公开发布方式）向投标人提出延长投标有效期的要求，对此要求投标人须以书面形式予以答复，投标人可以拒绝采购代理机构此项要求，其投标在原投标有效期满后不再有效。同意延长投标有效期的投标人不能要求也不允许修改其投标文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20</w:t>
      </w:r>
      <w:r>
        <w:rPr>
          <w:rFonts w:eastAsia="宋体"/>
          <w:kern w:val="2"/>
          <w:sz w:val="21"/>
          <w:lang w:eastAsia="zh-CN"/>
        </w:rPr>
        <w:t>.3</w:t>
      </w:r>
      <w:r>
        <w:rPr>
          <w:rFonts w:eastAsia="宋体" w:hint="eastAsia"/>
          <w:kern w:val="2"/>
          <w:sz w:val="21"/>
          <w:lang w:eastAsia="zh-CN"/>
        </w:rPr>
        <w:t>中标供应商的投标文件有效期，截止于完成本招标文件规定的全部项目内容，并通过竣工验收及保修期结束。</w:t>
      </w:r>
    </w:p>
    <w:bookmarkEnd w:id="51"/>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21．</w:t>
      </w:r>
      <w:bookmarkStart w:id="52" w:name="_Hlk72402325"/>
      <w:r>
        <w:rPr>
          <w:rFonts w:eastAsia="宋体" w:hint="eastAsia"/>
          <w:kern w:val="2"/>
          <w:sz w:val="21"/>
          <w:lang w:eastAsia="zh-CN"/>
        </w:rPr>
        <w:t>关于投标保证金</w:t>
      </w:r>
    </w:p>
    <w:p>
      <w:pPr>
        <w:wordWrap w:val="0"/>
        <w:autoSpaceDE w:val="0"/>
        <w:autoSpaceDN w:val="0"/>
        <w:spacing w:line="400" w:lineRule="exact"/>
        <w:ind w:right="808"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21.1</w:t>
      </w:r>
      <w:r>
        <w:rPr>
          <w:rFonts w:eastAsia="宋体" w:hint="eastAsia"/>
          <w:kern w:val="2"/>
          <w:sz w:val="21"/>
          <w:lang w:eastAsia="zh-CN"/>
        </w:rPr>
        <w:t>根据《深圳市财政局关于调整政府采购投标（响应）保证金管理政策的通知》（深财购〔2021〕51号）文的规定，本项目不收取投标保证金。</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22．投标人的替代方案</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22.2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2"/>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w:t>
      </w:r>
      <w:bookmarkStart w:id="53" w:name="_Hlk72402860"/>
      <w:r>
        <w:rPr>
          <w:rFonts w:eastAsia="宋体"/>
          <w:kern w:val="2"/>
          <w:sz w:val="21"/>
          <w:lang w:eastAsia="zh-CN"/>
        </w:rPr>
        <w:t>投标文件的</w:t>
      </w:r>
      <w:r>
        <w:rPr>
          <w:rFonts w:eastAsia="宋体" w:hint="eastAsia"/>
          <w:kern w:val="2"/>
          <w:sz w:val="21"/>
          <w:lang w:eastAsia="zh-CN"/>
        </w:rPr>
        <w:t>制作</w:t>
      </w:r>
      <w:r>
        <w:rPr>
          <w:rFonts w:eastAsia="宋体"/>
          <w:kern w:val="2"/>
          <w:sz w:val="21"/>
          <w:lang w:eastAsia="zh-CN"/>
        </w:rPr>
        <w:t>要求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23.1投标人应准备所投项目的电子投标文件一份。</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23.2投标人在使用《投标书编制软件》编制投标书时须注意：</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23.2.1导入《投标书编制软件》的招标文件项目编号、包号应与以此制作的投标文件项目编号、包号一致。例如，不能将甲项目A包的招标书导入《投标书编制软件》，制作乙项目B包的投标书。</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23.2.2不能用非本公司的电子密钥加密本公司的投标文件，或者用其它公司的登录用户上传本公司的投标文件。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23.2.3要求用《投标书编制软件》编制投标书的包，不能用其它方式编制投标书。编制投标文件时，电脑须连通互联网。</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23.2.4投标文件不能带病毒。采购代理机构将用专业杀毒软件对投标文件进行病毒检测，如果这两种软件均报告发现病毒，则采购代理机构认为该投标文件带病毒。</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23.2.6投标人在编辑投标文件时，在投标文件目录中属于本节点内容的必须在本节点中填写，填写到其他节点或附件，一切后果由供应商自行承担。</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23.2.7投标文件编写完成后，必须用属于投标人的电子密钥或电子营业执照进行加密，否则视同未盖公章，将导致投标文件无效。</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23.2.8采购代理机构不接受投标截止时间后递交的纸质、电子、传真等所有形式的投标文件。由于对网上政府采购系统操作不熟悉或自身电脑、网络等原因导致不能在投标截止时间之前上传投标文件，采购代理机构概不负责。建议于开标前一个工作日完成投标文件的制作与上传，如上传确有困难，请及时咨询。</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23.2.9如果开标时出现网络故障、技术故障，影响了政府采购活动，采购代理机构有权采取措施如延期、接受无法从网上上传的投标书等，以保障政府采购活动的公开、公平和公正。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23.3电报、电话、传真形式的投标概不接受。</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23.4经投标人电子密钥或电子营业执照加密的投标文件无须盖章或签字，专用条款另有要求的除外。</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b/>
          <w:kern w:val="2"/>
          <w:sz w:val="21"/>
          <w:lang w:eastAsia="zh-CN"/>
        </w:rPr>
        <w:t>23.5</w:t>
      </w:r>
      <w:r>
        <w:rPr>
          <w:rFonts w:eastAsia="宋体" w:hint="eastAsia"/>
          <w:kern w:val="2"/>
          <w:sz w:val="21"/>
          <w:lang w:eastAsia="zh-CN"/>
        </w:rPr>
        <w:t>各类资格（资质）文件提供扫描件，专用条款另有要求的除外。</w:t>
      </w:r>
      <w:bookmarkEnd w:id="53"/>
    </w:p>
    <w:p>
      <w:pPr>
        <w:wordWrap w:val="0"/>
        <w:autoSpaceDE w:val="0"/>
        <w:autoSpaceDN w:val="0"/>
        <w:spacing w:line="360" w:lineRule="auto"/>
        <w:ind w:right="808" w:firstLine="480" w:firstLineChars="200"/>
        <w:jc w:val="both"/>
        <w:rPr>
          <w:rFonts w:eastAsia="宋体"/>
          <w:b/>
          <w:kern w:val="2"/>
          <w:lang w:eastAsia="zh-CN"/>
        </w:rPr>
      </w:pPr>
    </w:p>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54" w:name="_Toc18062"/>
      <w:bookmarkStart w:id="55" w:name="_Toc21427"/>
      <w:bookmarkStart w:id="56" w:name="_Toc28552"/>
      <w:bookmarkStart w:id="57" w:name="_Toc26761"/>
      <w:r>
        <w:rPr>
          <w:rFonts w:ascii="Arial" w:eastAsia="宋体" w:hAnsi="Arial" w:hint="eastAsia"/>
          <w:b/>
          <w:kern w:val="2"/>
          <w:sz w:val="32"/>
          <w:lang w:eastAsia="zh-CN"/>
        </w:rPr>
        <w:t>第四章</w:t>
      </w:r>
      <w:bookmarkStart w:id="58" w:name="_Toc30105"/>
      <w:r>
        <w:rPr>
          <w:rFonts w:ascii="Arial" w:eastAsia="宋体" w:hAnsi="Arial" w:hint="eastAsia"/>
          <w:b/>
          <w:kern w:val="2"/>
          <w:sz w:val="32"/>
          <w:lang w:eastAsia="zh-CN"/>
        </w:rPr>
        <w:t xml:space="preserve">  投标文件的</w:t>
      </w:r>
      <w:bookmarkEnd w:id="54"/>
      <w:r>
        <w:rPr>
          <w:rFonts w:ascii="Arial" w:eastAsia="宋体" w:hAnsi="Arial" w:hint="eastAsia"/>
          <w:b/>
          <w:kern w:val="2"/>
          <w:sz w:val="32"/>
          <w:lang w:eastAsia="zh-CN"/>
        </w:rPr>
        <w:t>递交</w:t>
      </w:r>
      <w:bookmarkEnd w:id="55"/>
      <w:bookmarkEnd w:id="56"/>
      <w:bookmarkEnd w:id="57"/>
      <w:bookmarkEnd w:id="58"/>
    </w:p>
    <w:p>
      <w:pPr>
        <w:wordWrap w:val="0"/>
        <w:autoSpaceDE w:val="0"/>
        <w:autoSpaceDN w:val="0"/>
        <w:spacing w:line="400" w:lineRule="exact"/>
        <w:ind w:right="808" w:firstLine="420" w:firstLineChars="200"/>
        <w:jc w:val="both"/>
        <w:rPr>
          <w:rFonts w:eastAsia="宋体"/>
          <w:kern w:val="2"/>
          <w:sz w:val="21"/>
          <w:lang w:eastAsia="zh-CN"/>
        </w:rPr>
      </w:pPr>
      <w:bookmarkStart w:id="59" w:name="_Hlk72405459"/>
      <w:r>
        <w:rPr>
          <w:rFonts w:eastAsia="宋体" w:hint="eastAsia"/>
          <w:kern w:val="2"/>
          <w:sz w:val="21"/>
          <w:lang w:eastAsia="zh-CN"/>
        </w:rPr>
        <w:t>24．投标文件的保密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24.1在投标文件制作完成后，生成后会选择是否加密投标文件，如不加密则直接点击生成文件即可，如需加密请插入CA锁，点击加密后生成文件，需输入CA锁密码即可加密成功。加密后会提示文件生成成功！</w:t>
      </w:r>
      <w:r>
        <w:rPr>
          <w:rFonts w:eastAsia="宋体" w:hint="eastAsia"/>
          <w:kern w:val="2"/>
          <w:sz w:val="21"/>
          <w:highlight w:val="yellow"/>
          <w:lang w:eastAsia="zh-CN"/>
        </w:rPr>
        <w:t>(注意：加密的投标文件开标时须使用加密文件时使用的锁在项目规定时间内解密！)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24.2若采购项目出现延期情况：</w:t>
      </w:r>
    </w:p>
    <w:p>
      <w:pPr>
        <w:wordWrap w:val="0"/>
        <w:autoSpaceDE w:val="0"/>
        <w:autoSpaceDN w:val="0"/>
        <w:spacing w:line="400" w:lineRule="exact"/>
        <w:ind w:right="808" w:firstLine="420" w:firstLineChars="200"/>
        <w:jc w:val="both"/>
        <w:rPr>
          <w:rFonts w:ascii="黑体" w:eastAsia="黑体"/>
          <w:kern w:val="2"/>
          <w:lang w:eastAsia="zh-CN"/>
        </w:rPr>
      </w:pPr>
      <w:r>
        <w:rPr>
          <w:rFonts w:eastAsia="宋体" w:hint="eastAsia"/>
          <w:kern w:val="2"/>
          <w:sz w:val="21"/>
          <w:lang w:eastAsia="zh-CN"/>
        </w:rPr>
        <w:t>如果供下载的招标文件有更新，投标人必须重新下载招标文件、重新制作投标文件、重新加密投标文件、重新上传投标文件。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25．上传投标文件及投标截止日期</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25</w:t>
      </w:r>
      <w:r>
        <w:rPr>
          <w:rFonts w:eastAsia="宋体"/>
          <w:kern w:val="2"/>
          <w:sz w:val="21"/>
          <w:lang w:eastAsia="zh-CN"/>
        </w:rPr>
        <w:t>.</w:t>
      </w:r>
      <w:r>
        <w:rPr>
          <w:rFonts w:eastAsia="宋体" w:hint="eastAsia"/>
          <w:kern w:val="2"/>
          <w:sz w:val="21"/>
          <w:lang w:eastAsia="zh-CN"/>
        </w:rPr>
        <w:t>1实行网上投标，</w:t>
      </w:r>
      <w:r>
        <w:rPr>
          <w:rFonts w:eastAsia="宋体"/>
          <w:kern w:val="2"/>
          <w:sz w:val="21"/>
          <w:lang w:eastAsia="zh-CN"/>
        </w:rPr>
        <w:t>投标人必须</w:t>
      </w:r>
      <w:r>
        <w:rPr>
          <w:rFonts w:eastAsia="宋体" w:hint="eastAsia"/>
          <w:kern w:val="2"/>
          <w:sz w:val="21"/>
          <w:lang w:eastAsia="zh-CN"/>
        </w:rPr>
        <w:t>在招标</w:t>
      </w:r>
      <w:r>
        <w:rPr>
          <w:rFonts w:eastAsia="宋体"/>
          <w:kern w:val="2"/>
          <w:sz w:val="21"/>
          <w:lang w:eastAsia="zh-CN"/>
        </w:rPr>
        <w:t>文件规定的投标截止时间前</w:t>
      </w:r>
      <w:r>
        <w:rPr>
          <w:rFonts w:eastAsia="宋体" w:hint="eastAsia"/>
          <w:kern w:val="2"/>
          <w:sz w:val="21"/>
          <w:lang w:eastAsia="zh-CN"/>
        </w:rPr>
        <w:t>用电子密钥登录“深圳政府采购自行采购系统（https://trade.szggzy.com/ggzy/center/#/login）”上传投标文件。如上传过程中遇到问题，可拨打采购公告中的技术支持电话。如多次上传均告失败，请在投标截止时间之前携带加密后的电子投标文件送达至</w:t>
      </w:r>
      <w:r>
        <w:rPr>
          <w:rFonts w:ascii="宋体" w:eastAsia="宋体" w:hAnsi="宋体" w:cstheme="minorBidi" w:hint="eastAsia"/>
          <w:b/>
          <w:bCs/>
          <w:kern w:val="2"/>
          <w:sz w:val="21"/>
          <w:szCs w:val="21"/>
          <w:lang w:eastAsia="zh-CN"/>
        </w:rPr>
        <w:t>深圳公共资源交易中心（深圳交易集团有限公司政府采购业务分公司）</w:t>
      </w:r>
      <w:r>
        <w:rPr>
          <w:rFonts w:ascii="宋体" w:eastAsia="宋体" w:hAnsi="宋体" w:cstheme="minorBidi" w:hint="eastAsia"/>
          <w:b/>
          <w:bCs/>
          <w:kern w:val="2"/>
          <w:sz w:val="21"/>
          <w:szCs w:val="22"/>
          <w:lang w:eastAsia="zh-CN"/>
        </w:rPr>
        <w:t>（地址：深圳市南山区沙河西路3185号南山智谷A座（深圳交易集团总部大楼）3楼）</w:t>
      </w:r>
      <w:r>
        <w:rPr>
          <w:rFonts w:eastAsia="宋体" w:hint="eastAsia"/>
          <w:b/>
          <w:bCs/>
          <w:kern w:val="2"/>
          <w:sz w:val="21"/>
          <w:szCs w:val="21"/>
          <w:lang w:eastAsia="zh-CN"/>
        </w:rPr>
        <w:t>协助上传，但上传过程中投标截止时间到达仍无法上传成功的，由投标人自行负责。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25.2采购代理机构可以按本通用条款第13条规定，通过修改招标文件自行决定酌情延长投标截止期。在此情况下，采购代理机构、采购人和投标人受投标截止期制约的所有权利和义务均应延长至新的截止期。</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25</w:t>
      </w:r>
      <w:r>
        <w:rPr>
          <w:rFonts w:eastAsia="宋体"/>
          <w:kern w:val="2"/>
          <w:sz w:val="21"/>
          <w:lang w:eastAsia="zh-CN"/>
        </w:rPr>
        <w:t>.</w:t>
      </w:r>
      <w:r>
        <w:rPr>
          <w:rFonts w:eastAsia="宋体" w:hint="eastAsia"/>
          <w:kern w:val="2"/>
          <w:sz w:val="21"/>
          <w:lang w:eastAsia="zh-CN"/>
        </w:rPr>
        <w:t>3投标截止时间以后不得上传投标文件。</w:t>
      </w:r>
    </w:p>
    <w:bookmarkEnd w:id="59"/>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26.样品、现场演示、方案讲解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26.1样品、现场演示、方案讲解等事项在招标文件专用条款中进行规定。</w:t>
      </w:r>
    </w:p>
    <w:p>
      <w:pPr>
        <w:wordWrap w:val="0"/>
        <w:autoSpaceDE w:val="0"/>
        <w:autoSpaceDN w:val="0"/>
        <w:spacing w:line="400" w:lineRule="exact"/>
        <w:ind w:right="808" w:firstLine="420" w:firstLineChars="200"/>
        <w:jc w:val="both"/>
        <w:rPr>
          <w:rFonts w:eastAsia="宋体"/>
          <w:kern w:val="2"/>
          <w:sz w:val="21"/>
          <w:lang w:eastAsia="zh-CN"/>
        </w:rPr>
      </w:pPr>
      <w:bookmarkStart w:id="60" w:name="_Hlk72428346"/>
      <w:r>
        <w:rPr>
          <w:rFonts w:eastAsia="宋体"/>
          <w:kern w:val="2"/>
          <w:sz w:val="21"/>
          <w:lang w:eastAsia="zh-CN"/>
        </w:rPr>
        <w:t>2</w:t>
      </w:r>
      <w:r>
        <w:rPr>
          <w:rFonts w:eastAsia="宋体" w:hint="eastAsia"/>
          <w:kern w:val="2"/>
          <w:sz w:val="21"/>
          <w:lang w:eastAsia="zh-CN"/>
        </w:rPr>
        <w:t>7．</w:t>
      </w:r>
      <w:r>
        <w:rPr>
          <w:rFonts w:eastAsia="宋体"/>
          <w:kern w:val="2"/>
          <w:sz w:val="21"/>
          <w:lang w:eastAsia="zh-CN"/>
        </w:rPr>
        <w:t>投标文件的修改和撤销</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7</w:t>
      </w:r>
      <w:r>
        <w:rPr>
          <w:rFonts w:eastAsia="宋体"/>
          <w:kern w:val="2"/>
          <w:sz w:val="21"/>
          <w:lang w:eastAsia="zh-CN"/>
        </w:rPr>
        <w:t>.</w:t>
      </w:r>
      <w:r>
        <w:rPr>
          <w:rFonts w:eastAsia="宋体" w:hint="eastAsia"/>
          <w:kern w:val="2"/>
          <w:sz w:val="21"/>
          <w:lang w:eastAsia="zh-CN"/>
        </w:rPr>
        <w:t>1</w:t>
      </w:r>
      <w:r>
        <w:rPr>
          <w:rFonts w:eastAsia="宋体"/>
          <w:kern w:val="2"/>
          <w:sz w:val="21"/>
          <w:lang w:eastAsia="zh-CN"/>
        </w:rPr>
        <w:t>投标方在提交投标文件后可对其投标文件进行修改</w:t>
      </w:r>
      <w:r>
        <w:rPr>
          <w:rFonts w:eastAsia="宋体" w:hint="eastAsia"/>
          <w:kern w:val="2"/>
          <w:sz w:val="21"/>
          <w:lang w:eastAsia="zh-CN"/>
        </w:rPr>
        <w:t>并重新上传投标文件</w:t>
      </w:r>
      <w:r>
        <w:rPr>
          <w:rFonts w:eastAsia="宋体"/>
          <w:kern w:val="2"/>
          <w:sz w:val="21"/>
          <w:lang w:eastAsia="zh-CN"/>
        </w:rPr>
        <w:t>或</w:t>
      </w:r>
      <w:r>
        <w:rPr>
          <w:rFonts w:eastAsia="宋体" w:hint="eastAsia"/>
          <w:kern w:val="2"/>
          <w:sz w:val="21"/>
          <w:lang w:eastAsia="zh-CN"/>
        </w:rPr>
        <w:t>在网上进行</w:t>
      </w:r>
      <w:r>
        <w:rPr>
          <w:rFonts w:eastAsia="宋体"/>
          <w:kern w:val="2"/>
          <w:sz w:val="21"/>
          <w:lang w:eastAsia="zh-CN"/>
        </w:rPr>
        <w:t>撤销</w:t>
      </w:r>
      <w:r>
        <w:rPr>
          <w:rFonts w:eastAsia="宋体" w:hint="eastAsia"/>
          <w:kern w:val="2"/>
          <w:sz w:val="21"/>
          <w:lang w:eastAsia="zh-CN"/>
        </w:rPr>
        <w:t>投标的操作</w:t>
      </w:r>
      <w:r>
        <w:rPr>
          <w:rFonts w:eastAsia="宋体"/>
          <w:kern w:val="2"/>
          <w:sz w:val="21"/>
          <w:lang w:eastAsia="zh-CN"/>
        </w:rPr>
        <w:t>。</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7</w:t>
      </w:r>
      <w:r>
        <w:rPr>
          <w:rFonts w:eastAsia="宋体"/>
          <w:kern w:val="2"/>
          <w:sz w:val="21"/>
          <w:lang w:eastAsia="zh-CN"/>
        </w:rPr>
        <w:t>.</w:t>
      </w:r>
      <w:r>
        <w:rPr>
          <w:rFonts w:eastAsia="宋体" w:hint="eastAsia"/>
          <w:kern w:val="2"/>
          <w:sz w:val="21"/>
          <w:lang w:eastAsia="zh-CN"/>
        </w:rPr>
        <w:t>2</w:t>
      </w:r>
      <w:r>
        <w:rPr>
          <w:rFonts w:eastAsia="宋体"/>
          <w:kern w:val="2"/>
          <w:sz w:val="21"/>
          <w:lang w:eastAsia="zh-CN"/>
        </w:rPr>
        <w:t>投标截止时间以后不得修改投标文件。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7</w:t>
      </w:r>
      <w:r>
        <w:rPr>
          <w:rFonts w:eastAsia="宋体"/>
          <w:kern w:val="2"/>
          <w:sz w:val="21"/>
          <w:lang w:eastAsia="zh-CN"/>
        </w:rPr>
        <w:t>.</w:t>
      </w:r>
      <w:r>
        <w:rPr>
          <w:rFonts w:eastAsia="宋体" w:hint="eastAsia"/>
          <w:kern w:val="2"/>
          <w:sz w:val="21"/>
          <w:lang w:eastAsia="zh-CN"/>
        </w:rPr>
        <w:t>3从投标截止期至投标人在投标文件中确定的投标有效期之间的这段时间内，投标人不得撤回其投标。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27.4采购代理机构不退还投标文件，专用条款另有规定的除外。</w:t>
      </w:r>
    </w:p>
    <w:bookmarkEnd w:id="60"/>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61" w:name="第五章1"/>
      <w:bookmarkEnd w:id="61"/>
      <w:bookmarkStart w:id="62" w:name="_Toc73517666"/>
      <w:bookmarkStart w:id="63" w:name="_Toc100052391"/>
      <w:bookmarkStart w:id="64" w:name="_Toc1658"/>
      <w:bookmarkStart w:id="65" w:name="_Toc14713"/>
      <w:bookmarkStart w:id="66" w:name="_Toc2041"/>
      <w:bookmarkStart w:id="67" w:name="_Toc73518144"/>
      <w:bookmarkStart w:id="68" w:name="_Toc101074881"/>
      <w:bookmarkStart w:id="69" w:name="_Toc13806"/>
      <w:r>
        <w:rPr>
          <w:rFonts w:ascii="Arial" w:eastAsia="宋体" w:hAnsi="Arial" w:hint="eastAsia"/>
          <w:b/>
          <w:kern w:val="2"/>
          <w:sz w:val="32"/>
          <w:lang w:eastAsia="zh-CN"/>
        </w:rPr>
        <w:t>第五章</w:t>
      </w:r>
      <w:bookmarkStart w:id="70" w:name="_Toc4434"/>
      <w:r>
        <w:rPr>
          <w:rFonts w:ascii="Arial" w:eastAsia="宋体" w:hAnsi="Arial" w:hint="eastAsia"/>
          <w:b/>
          <w:kern w:val="2"/>
          <w:sz w:val="32"/>
          <w:lang w:eastAsia="zh-CN"/>
        </w:rPr>
        <w:t xml:space="preserve">  开标</w:t>
      </w:r>
      <w:bookmarkEnd w:id="62"/>
      <w:bookmarkEnd w:id="63"/>
      <w:bookmarkEnd w:id="64"/>
      <w:bookmarkEnd w:id="65"/>
      <w:bookmarkEnd w:id="66"/>
      <w:bookmarkEnd w:id="67"/>
      <w:bookmarkEnd w:id="68"/>
      <w:bookmarkEnd w:id="69"/>
      <w:bookmarkEnd w:id="70"/>
    </w:p>
    <w:p>
      <w:pPr>
        <w:wordWrap w:val="0"/>
        <w:autoSpaceDE w:val="0"/>
        <w:autoSpaceDN w:val="0"/>
        <w:spacing w:line="400" w:lineRule="exact"/>
        <w:ind w:right="808" w:firstLine="420" w:firstLineChars="200"/>
        <w:jc w:val="both"/>
        <w:rPr>
          <w:rFonts w:eastAsia="宋体"/>
          <w:kern w:val="2"/>
          <w:sz w:val="21"/>
          <w:lang w:eastAsia="zh-CN"/>
        </w:rPr>
      </w:pPr>
      <w:bookmarkStart w:id="71" w:name="_Toc73518146"/>
      <w:bookmarkStart w:id="72" w:name="_Toc73517668"/>
      <w:bookmarkStart w:id="73" w:name="_Toc101074882"/>
      <w:bookmarkStart w:id="74" w:name="_Toc100052393"/>
      <w:r>
        <w:rPr>
          <w:rFonts w:eastAsia="宋体" w:hint="eastAsia"/>
          <w:kern w:val="2"/>
          <w:sz w:val="21"/>
          <w:lang w:eastAsia="zh-CN"/>
        </w:rPr>
        <w:t>28．开标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8</w:t>
      </w:r>
      <w:r>
        <w:rPr>
          <w:rFonts w:eastAsia="宋体"/>
          <w:kern w:val="2"/>
          <w:sz w:val="21"/>
          <w:lang w:eastAsia="zh-CN"/>
        </w:rPr>
        <w:t>.</w:t>
      </w:r>
      <w:r>
        <w:rPr>
          <w:rFonts w:eastAsia="宋体" w:hint="eastAsia"/>
          <w:kern w:val="2"/>
          <w:sz w:val="21"/>
          <w:lang w:eastAsia="zh-CN"/>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28.2采购代理机构将在满足开标条件（①解密时间结束，解密后的投标供应商数量满足开标要求或②解密时间结束前所有投标供应商均完成投标文件解密）后，对投标文件进行开标，并在网上公布开标结果。</w:t>
      </w:r>
    </w:p>
    <w:p>
      <w:pPr>
        <w:wordWrap w:val="0"/>
        <w:autoSpaceDE w:val="0"/>
        <w:autoSpaceDN w:val="0"/>
        <w:spacing w:line="360" w:lineRule="auto"/>
        <w:ind w:right="808" w:firstLine="480" w:firstLineChars="200"/>
        <w:jc w:val="both"/>
        <w:rPr>
          <w:rFonts w:eastAsia="宋体"/>
          <w:b/>
          <w:kern w:val="2"/>
          <w:lang w:eastAsia="zh-CN"/>
        </w:rPr>
      </w:pPr>
    </w:p>
    <w:bookmarkEnd w:id="71"/>
    <w:bookmarkEnd w:id="72"/>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75" w:name="第六章1"/>
      <w:bookmarkEnd w:id="75"/>
      <w:bookmarkStart w:id="76" w:name="_Toc27869"/>
      <w:bookmarkStart w:id="77" w:name="_Toc29197"/>
      <w:bookmarkStart w:id="78" w:name="_Toc7319"/>
      <w:bookmarkStart w:id="79" w:name="_Toc20179"/>
      <w:r>
        <w:rPr>
          <w:rFonts w:ascii="Arial" w:eastAsia="宋体" w:hAnsi="Arial" w:hint="eastAsia"/>
          <w:b/>
          <w:kern w:val="2"/>
          <w:sz w:val="32"/>
          <w:lang w:eastAsia="zh-CN"/>
        </w:rPr>
        <w:t>第六章</w:t>
      </w:r>
      <w:bookmarkStart w:id="80" w:name="_Toc29225"/>
      <w:r>
        <w:rPr>
          <w:rFonts w:ascii="Arial" w:eastAsia="宋体" w:hAnsi="Arial" w:hint="eastAsia"/>
          <w:b/>
          <w:kern w:val="2"/>
          <w:sz w:val="32"/>
          <w:lang w:eastAsia="zh-CN"/>
        </w:rPr>
        <w:t xml:space="preserve">  评审要求</w:t>
      </w:r>
      <w:bookmarkEnd w:id="73"/>
      <w:bookmarkEnd w:id="74"/>
      <w:bookmarkEnd w:id="76"/>
      <w:bookmarkEnd w:id="77"/>
      <w:bookmarkEnd w:id="78"/>
      <w:bookmarkEnd w:id="79"/>
      <w:bookmarkEnd w:id="80"/>
    </w:p>
    <w:p>
      <w:pPr>
        <w:wordWrap w:val="0"/>
        <w:autoSpaceDE w:val="0"/>
        <w:autoSpaceDN w:val="0"/>
        <w:spacing w:line="400" w:lineRule="exact"/>
        <w:ind w:right="808" w:firstLine="420" w:firstLineChars="200"/>
        <w:jc w:val="both"/>
        <w:rPr>
          <w:rFonts w:eastAsia="宋体"/>
          <w:kern w:val="2"/>
          <w:sz w:val="21"/>
          <w:lang w:eastAsia="zh-CN"/>
        </w:rPr>
      </w:pPr>
      <w:bookmarkStart w:id="81" w:name="第七章1"/>
      <w:bookmarkEnd w:id="81"/>
      <w:bookmarkStart w:id="82" w:name="_Toc19125"/>
      <w:bookmarkStart w:id="83" w:name="_Toc1296"/>
      <w:bookmarkStart w:id="84" w:name="_Toc101074883"/>
      <w:bookmarkStart w:id="85" w:name="_Toc100052397"/>
      <w:bookmarkStart w:id="86" w:name="_Toc20125"/>
      <w:r>
        <w:rPr>
          <w:rFonts w:eastAsia="宋体" w:hint="eastAsia"/>
          <w:kern w:val="2"/>
          <w:sz w:val="21"/>
          <w:lang w:eastAsia="zh-CN"/>
        </w:rPr>
        <w:t>29．评审委员会组成</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29.1网上开标结束后召开评审会议，</w:t>
      </w:r>
      <w:r>
        <w:rPr>
          <w:rFonts w:eastAsia="宋体" w:hint="eastAsia"/>
          <w:kern w:val="2"/>
          <w:sz w:val="21"/>
          <w:szCs w:val="21"/>
          <w:lang w:eastAsia="zh-CN"/>
        </w:rPr>
        <w:t>评审委员会</w:t>
      </w:r>
      <w:r>
        <w:rPr>
          <w:rFonts w:eastAsia="宋体" w:hint="eastAsia"/>
          <w:kern w:val="2"/>
          <w:sz w:val="21"/>
          <w:lang w:eastAsia="zh-CN"/>
        </w:rPr>
        <w:t>由采购代理机构依法组建，负责评审活动。</w:t>
      </w:r>
    </w:p>
    <w:p>
      <w:pPr>
        <w:wordWrap w:val="0"/>
        <w:autoSpaceDE w:val="0"/>
        <w:autoSpaceDN w:val="0"/>
        <w:spacing w:line="400" w:lineRule="exact"/>
        <w:ind w:right="808" w:firstLine="420" w:firstLineChars="200"/>
        <w:jc w:val="both"/>
        <w:rPr>
          <w:rFonts w:eastAsia="宋体"/>
          <w:kern w:val="2"/>
          <w:sz w:val="21"/>
          <w:lang w:eastAsia="zh-CN"/>
        </w:rPr>
      </w:pPr>
      <w:bookmarkStart w:id="87" w:name="_Hlk72436580"/>
      <w:r>
        <w:rPr>
          <w:rFonts w:eastAsia="宋体" w:hint="eastAsia"/>
          <w:kern w:val="2"/>
          <w:sz w:val="21"/>
          <w:lang w:eastAsia="zh-CN"/>
        </w:rPr>
        <w:t>评审委员会由采购人代表和评审专家组成，成员人数应当为5人以上单数（部分条件下为7人以上单数），其中评审专家不得少于成员总数的三分之二。</w:t>
      </w:r>
      <w:bookmarkEnd w:id="87"/>
      <w:r>
        <w:rPr>
          <w:rFonts w:eastAsia="宋体" w:hint="eastAsia"/>
          <w:kern w:val="2"/>
          <w:sz w:val="21"/>
          <w:lang w:eastAsia="zh-CN"/>
        </w:rPr>
        <w:t>评定分离项目</w:t>
      </w:r>
      <w:r>
        <w:rPr>
          <w:rFonts w:eastAsia="宋体"/>
          <w:kern w:val="2"/>
          <w:sz w:val="21"/>
          <w:lang w:eastAsia="zh-CN"/>
        </w:rPr>
        <w:t>评审专家</w:t>
      </w:r>
      <w:r>
        <w:rPr>
          <w:rFonts w:eastAsia="宋体" w:hint="eastAsia"/>
          <w:kern w:val="2"/>
          <w:sz w:val="21"/>
          <w:lang w:eastAsia="zh-CN"/>
        </w:rPr>
        <w:t>均</w:t>
      </w:r>
      <w:r>
        <w:rPr>
          <w:rFonts w:eastAsia="宋体"/>
          <w:kern w:val="2"/>
          <w:sz w:val="21"/>
          <w:lang w:eastAsia="zh-CN"/>
        </w:rPr>
        <w:t>由</w:t>
      </w:r>
      <w:r>
        <w:rPr>
          <w:rFonts w:eastAsia="宋体" w:hint="eastAsia"/>
          <w:kern w:val="2"/>
          <w:sz w:val="21"/>
          <w:lang w:eastAsia="zh-CN"/>
        </w:rPr>
        <w:t>评审专家组成。</w:t>
      </w:r>
      <w:r>
        <w:rPr>
          <w:rFonts w:eastAsia="宋体" w:hint="eastAsia"/>
          <w:kern w:val="2"/>
          <w:sz w:val="21"/>
          <w:szCs w:val="21"/>
          <w:lang w:eastAsia="zh-CN"/>
        </w:rPr>
        <w:t>评审专家一般是</w:t>
      </w:r>
      <w:r>
        <w:rPr>
          <w:rFonts w:eastAsia="宋体" w:hint="eastAsia"/>
          <w:kern w:val="2"/>
          <w:sz w:val="21"/>
          <w:lang w:eastAsia="zh-CN"/>
        </w:rPr>
        <w:t>从深圳市政府采购评审专家库中随机抽取。采购人代表须持本单位签发的《评审授权书》参加评审。</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29.2评审定标应当遵循公平、公正、科学、择优的原则。</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29.3评审活动依法进行，任何单位和个人不得非法干预评标过程和结果。</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29.4评审过程中不允许违背评标程序或采用招标文件未载明的评标方法或评标因素进行评标。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29.5开标后，直到签订合同为止，凡属于对投标文件的审查、澄清、评价和比较的有关资料以及中标候选人的推荐情况、与评审有关的其他任何情况均严格保密（信息公开的内容除外）。</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30．向评审委员会提供的资料</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30.1公开发布的招标文件，包括图纸、服务清单、答疑文件等；</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30.2其他评标必须的资料。</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30.3</w:t>
      </w:r>
      <w:r>
        <w:rPr>
          <w:rFonts w:eastAsia="宋体" w:hint="eastAsia"/>
          <w:kern w:val="2"/>
          <w:sz w:val="21"/>
          <w:szCs w:val="21"/>
          <w:lang w:eastAsia="zh-CN"/>
        </w:rPr>
        <w:t>评审委员会</w:t>
      </w:r>
      <w:r>
        <w:rPr>
          <w:rFonts w:eastAsia="宋体" w:hint="eastAsia"/>
          <w:kern w:val="2"/>
          <w:sz w:val="21"/>
          <w:lang w:eastAsia="zh-CN"/>
        </w:rPr>
        <w:t>应当认真研究招标文件，至少应了解熟悉以下内容：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（1）招标的目的；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（2）招标项目需求的范围和性质；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（3）招标文件规定的投标人的资格、财政预算限额、商务条款；</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（4）招标文件规定的评标程序、评标方法和评标因素；</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（5）招标文件所列示的资格性审查表及符合性审查表。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31．独立评审</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w:t>
      </w:r>
      <w:r>
        <w:rPr>
          <w:rFonts w:eastAsia="宋体"/>
          <w:kern w:val="2"/>
          <w:sz w:val="21"/>
          <w:lang w:eastAsia="zh-CN"/>
        </w:rPr>
        <w:t>1</w:t>
      </w:r>
      <w:r>
        <w:rPr>
          <w:rFonts w:eastAsia="宋体" w:hint="eastAsia"/>
          <w:kern w:val="2"/>
          <w:sz w:val="21"/>
          <w:lang w:eastAsia="zh-CN"/>
        </w:rPr>
        <w:t>.1</w:t>
      </w:r>
      <w:r>
        <w:rPr>
          <w:rFonts w:eastAsia="宋体" w:hint="eastAsia"/>
          <w:kern w:val="2"/>
          <w:sz w:val="21"/>
          <w:szCs w:val="21"/>
          <w:lang w:eastAsia="zh-CN"/>
        </w:rPr>
        <w:t>评审委员会</w:t>
      </w:r>
      <w:r>
        <w:rPr>
          <w:rFonts w:eastAsia="宋体" w:hint="eastAsia"/>
          <w:kern w:val="2"/>
          <w:sz w:val="21"/>
          <w:lang w:eastAsia="zh-CN"/>
        </w:rPr>
        <w:t>成员的评标活动应当独立进行，并应遵循投标文件初审、澄清有关问题、比较与评价、确定中标供应商、编写评审报告的工作程序。</w:t>
      </w: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88" w:name="_Toc18761"/>
      <w:r>
        <w:rPr>
          <w:rFonts w:ascii="Arial" w:eastAsia="宋体" w:hAnsi="Arial" w:hint="eastAsia"/>
          <w:b/>
          <w:kern w:val="2"/>
          <w:sz w:val="32"/>
          <w:lang w:eastAsia="zh-CN"/>
        </w:rPr>
        <w:t>第七章</w:t>
      </w:r>
      <w:bookmarkStart w:id="89" w:name="_Toc26636"/>
      <w:r>
        <w:rPr>
          <w:rFonts w:ascii="Arial" w:eastAsia="宋体" w:hAnsi="Arial" w:hint="eastAsia"/>
          <w:b/>
          <w:kern w:val="2"/>
          <w:sz w:val="32"/>
          <w:lang w:eastAsia="zh-CN"/>
        </w:rPr>
        <w:t xml:space="preserve">  评审程序</w:t>
      </w:r>
      <w:bookmarkStart w:id="90" w:name="_Toc73518149"/>
      <w:bookmarkStart w:id="91" w:name="_Toc73517671"/>
      <w:r>
        <w:rPr>
          <w:rFonts w:ascii="Arial" w:eastAsia="宋体" w:hAnsi="Arial" w:hint="eastAsia"/>
          <w:b/>
          <w:kern w:val="2"/>
          <w:sz w:val="32"/>
          <w:lang w:eastAsia="zh-CN"/>
        </w:rPr>
        <w:t>及评审方法</w:t>
      </w:r>
      <w:bookmarkEnd w:id="82"/>
      <w:bookmarkEnd w:id="83"/>
      <w:bookmarkEnd w:id="84"/>
      <w:bookmarkEnd w:id="85"/>
      <w:bookmarkEnd w:id="86"/>
      <w:bookmarkEnd w:id="88"/>
      <w:bookmarkEnd w:id="89"/>
    </w:p>
    <w:bookmarkEnd w:id="90"/>
    <w:bookmarkEnd w:id="91"/>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32．投标文件初审</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32.1投标文件初审包括资格性审查和符合性审查。</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资格性审查：依据法律法规和招标文件的规定，对投标文件中的资格证明等进行审查，以确定投标供应商是否具备投标资格。</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符合性审查：依据招标文件的规定，对投标文件的有效性、完整性和对招标文件的响应程度进行审查，以确定是否满足符合性审查的要求。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32.2投标文件初审内容请详见《资格性审查表》和《符合性审查表》部分。投标人若有一条审查不通过则按投标无效处理。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32.3投标文件初审中关于供应商家数的计算：</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eastAsia="宋体" w:hint="eastAsia"/>
          <w:kern w:val="2"/>
          <w:sz w:val="21"/>
          <w:szCs w:val="21"/>
          <w:lang w:eastAsia="zh-CN"/>
        </w:rPr>
        <w:t>评审委员会</w:t>
      </w:r>
      <w:r>
        <w:rPr>
          <w:rFonts w:eastAsia="宋体" w:hint="eastAsia"/>
          <w:kern w:val="2"/>
          <w:sz w:val="21"/>
          <w:lang w:eastAsia="zh-CN"/>
        </w:rPr>
        <w:t>按照招标文件规定的方式确定一个投标人获得中标人推荐资格，招标文件未规定的采取随机抽取方式确定，其他同品牌投标人不作为中标候选人。</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32.3.3非单一产品采购项目，采购人应当根据采购项目技术构成、产品价格比重等合理确定核心产品，并在招标文件中载明。多家投标人提供的核心产品品牌相同的，按前两款规定处理。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32.4投标人投标文件作无效处理的情形，具体包括但不限于以下：</w:t>
      </w:r>
    </w:p>
    <w:p>
      <w:pPr>
        <w:wordWrap w:val="0"/>
        <w:autoSpaceDE w:val="0"/>
        <w:autoSpaceDN w:val="0"/>
        <w:spacing w:line="400" w:lineRule="exact"/>
        <w:ind w:right="808" w:firstLine="420" w:firstLineChars="200"/>
        <w:jc w:val="both"/>
        <w:rPr>
          <w:rFonts w:eastAsia="宋体"/>
          <w:kern w:val="2"/>
          <w:sz w:val="21"/>
          <w:lang w:eastAsia="zh-CN"/>
        </w:rPr>
      </w:pPr>
      <w:r>
        <w:rPr>
          <w:rFonts w:ascii="宋体" w:eastAsia="宋体" w:hAnsi="宋体" w:hint="eastAsia"/>
          <w:kern w:val="2"/>
          <w:sz w:val="21"/>
          <w:lang w:eastAsia="zh-CN"/>
        </w:rPr>
        <w:t>32.4.1</w:t>
      </w:r>
      <w:r>
        <w:rPr>
          <w:rFonts w:eastAsia="宋体" w:hint="eastAsia"/>
          <w:kern w:val="2"/>
          <w:sz w:val="21"/>
          <w:lang w:eastAsia="zh-CN"/>
        </w:rPr>
        <w:t>不同投标人的投标文件由同一单位或者同一个人编制，或者由同一个人分阶段参与编制；</w:t>
      </w:r>
    </w:p>
    <w:p>
      <w:pPr>
        <w:wordWrap w:val="0"/>
        <w:autoSpaceDE w:val="0"/>
        <w:autoSpaceDN w:val="0"/>
        <w:spacing w:line="400" w:lineRule="exact"/>
        <w:ind w:right="808" w:firstLine="420" w:firstLineChars="200"/>
        <w:jc w:val="both"/>
        <w:rPr>
          <w:rFonts w:eastAsia="宋体"/>
          <w:kern w:val="2"/>
          <w:sz w:val="21"/>
          <w:lang w:eastAsia="zh-CN"/>
        </w:rPr>
      </w:pPr>
      <w:r>
        <w:rPr>
          <w:rFonts w:ascii="宋体" w:eastAsia="宋体" w:hAnsi="宋体"/>
          <w:kern w:val="2"/>
          <w:sz w:val="21"/>
          <w:lang w:eastAsia="zh-CN"/>
        </w:rPr>
        <w:t>32.4.</w:t>
      </w:r>
      <w:r>
        <w:rPr>
          <w:rFonts w:ascii="宋体" w:eastAsia="宋体" w:hAnsi="宋体" w:hint="eastAsia"/>
          <w:kern w:val="2"/>
          <w:sz w:val="21"/>
          <w:lang w:eastAsia="zh-CN"/>
        </w:rPr>
        <w:t>2</w:t>
      </w:r>
      <w:r>
        <w:rPr>
          <w:rFonts w:eastAsia="宋体" w:hint="eastAsia"/>
          <w:kern w:val="2"/>
          <w:sz w:val="21"/>
          <w:lang w:eastAsia="zh-CN"/>
        </w:rPr>
        <w:t>不同投标人委托同一单位或者个人办理投标事宜；</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32.4.3不同投标人的投标文件载明的项目管理成员或者联系人员为同一人；</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32.4.4不同投标人的投标文件异常一致或者投标报价呈规律性差异；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32.4.5</w:t>
      </w:r>
      <w:r>
        <w:rPr>
          <w:rFonts w:eastAsia="宋体"/>
          <w:kern w:val="2"/>
          <w:sz w:val="21"/>
          <w:lang w:eastAsia="zh-CN"/>
        </w:rPr>
        <w:t>不同投标供应商的投标文件或部分投标文件相互混装</w:t>
      </w:r>
      <w:r>
        <w:rPr>
          <w:rFonts w:eastAsia="宋体" w:hint="eastAsia"/>
          <w:kern w:val="2"/>
          <w:sz w:val="21"/>
          <w:lang w:eastAsia="zh-CN"/>
        </w:rPr>
        <w:t>；</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32.4.6投标供应商之间相互约定给予未中标的供应商利益补偿；</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32.4.7不同投标供应商的法定代表人、主要经营负责人、项目投标授权代表人、项目负责人、主要技术人员为同一人、属同一单位或者同一单位缴纳社会保险；</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32.4.8不同投标供应商的投标文件内容存在非正常一致；</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32.4.9在同一单位工作人员为两家以上（含两家）供应商进行同一项投标活动；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32.4.10主管部门依照法律、法规认定的其他情形。</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32.5对不属于《资格性审查表》和《符合性审查表》所列的其他情形，除专用条款另有规定和32.4条款所列情形外，不得作为投标无效的理由。</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33．澄清有关问题</w:t>
      </w:r>
    </w:p>
    <w:p>
      <w:pPr>
        <w:wordWrap w:val="0"/>
        <w:autoSpaceDE w:val="0"/>
        <w:autoSpaceDN w:val="0"/>
        <w:spacing w:line="400" w:lineRule="exact"/>
        <w:ind w:right="808" w:firstLine="420" w:firstLineChars="200"/>
        <w:jc w:val="both"/>
        <w:rPr>
          <w:rFonts w:eastAsia="宋体"/>
          <w:kern w:val="2"/>
          <w:sz w:val="21"/>
          <w:lang w:eastAsia="zh-CN"/>
        </w:rPr>
      </w:pPr>
      <w:bookmarkStart w:id="92" w:name="_Hlk71407321"/>
      <w:r>
        <w:rPr>
          <w:rFonts w:eastAsia="宋体" w:hint="eastAsia"/>
          <w:kern w:val="2"/>
          <w:sz w:val="21"/>
          <w:lang w:eastAsia="zh-CN"/>
        </w:rPr>
        <w:t>3</w:t>
      </w:r>
      <w:r>
        <w:rPr>
          <w:rFonts w:eastAsia="宋体"/>
          <w:kern w:val="2"/>
          <w:sz w:val="21"/>
          <w:lang w:eastAsia="zh-CN"/>
        </w:rPr>
        <w:t>3.1</w:t>
      </w:r>
      <w:r>
        <w:rPr>
          <w:rFonts w:eastAsia="宋体" w:hint="eastAsia"/>
          <w:kern w:val="2"/>
          <w:sz w:val="21"/>
          <w:lang w:eastAsia="zh-CN"/>
        </w:rPr>
        <w:t>对招标文件中描述有歧义或前后不一致的地方（不含</w:t>
      </w:r>
      <w:r>
        <w:rPr>
          <w:rFonts w:eastAsia="宋体"/>
          <w:kern w:val="2"/>
          <w:sz w:val="21"/>
          <w:szCs w:val="21"/>
          <w:lang w:eastAsia="zh-CN"/>
        </w:rPr>
        <w:t>招标文件存在歧义、重大缺陷导致评</w:t>
      </w:r>
      <w:r>
        <w:rPr>
          <w:rFonts w:eastAsia="宋体" w:hint="eastAsia"/>
          <w:kern w:val="2"/>
          <w:sz w:val="21"/>
          <w:szCs w:val="21"/>
          <w:lang w:eastAsia="zh-CN"/>
        </w:rPr>
        <w:t>审</w:t>
      </w:r>
      <w:r>
        <w:rPr>
          <w:rFonts w:eastAsia="宋体"/>
          <w:kern w:val="2"/>
          <w:sz w:val="21"/>
          <w:szCs w:val="21"/>
          <w:lang w:eastAsia="zh-CN"/>
        </w:rPr>
        <w:t>工作无法进行</w:t>
      </w:r>
      <w:r>
        <w:rPr>
          <w:rFonts w:eastAsia="宋体" w:hint="eastAsia"/>
          <w:kern w:val="2"/>
          <w:sz w:val="21"/>
          <w:szCs w:val="21"/>
          <w:lang w:eastAsia="zh-CN"/>
        </w:rPr>
        <w:t>的情况）</w:t>
      </w:r>
      <w:r>
        <w:rPr>
          <w:rFonts w:eastAsia="宋体" w:hint="eastAsia"/>
          <w:kern w:val="2"/>
          <w:sz w:val="21"/>
          <w:lang w:eastAsia="zh-CN"/>
        </w:rPr>
        <w:t>，评审委员会有权进行评判，但对同一条款的评判应适用于每个投标人。</w:t>
      </w:r>
      <w:bookmarkEnd w:id="92"/>
    </w:p>
    <w:p>
      <w:pPr>
        <w:wordWrap w:val="0"/>
        <w:autoSpaceDE w:val="0"/>
        <w:autoSpaceDN w:val="0"/>
        <w:spacing w:line="400" w:lineRule="exact"/>
        <w:ind w:right="808" w:firstLine="420" w:firstLineChars="200"/>
        <w:jc w:val="both"/>
        <w:rPr>
          <w:rFonts w:ascii="宋体" w:eastAsia="宋体" w:hAnsi="宋体" w:hint="eastAsia"/>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3.2</w:t>
      </w:r>
      <w:r>
        <w:rPr>
          <w:rFonts w:eastAsia="宋体"/>
          <w:kern w:val="2"/>
          <w:sz w:val="21"/>
          <w:lang w:eastAsia="zh-CN"/>
        </w:rPr>
        <w:t>评</w:t>
      </w:r>
      <w:r>
        <w:rPr>
          <w:rFonts w:eastAsia="宋体" w:hint="eastAsia"/>
          <w:kern w:val="2"/>
          <w:sz w:val="21"/>
          <w:lang w:eastAsia="zh-CN"/>
        </w:rPr>
        <w:t>审</w:t>
      </w:r>
      <w:r>
        <w:rPr>
          <w:rFonts w:eastAsia="宋体"/>
          <w:kern w:val="2"/>
          <w:sz w:val="21"/>
          <w:lang w:eastAsia="zh-CN"/>
        </w:rPr>
        <w:t>委员会发现招标文件存在歧义、重大缺陷导致评</w:t>
      </w:r>
      <w:r>
        <w:rPr>
          <w:rFonts w:eastAsia="宋体" w:hint="eastAsia"/>
          <w:kern w:val="2"/>
          <w:sz w:val="21"/>
          <w:lang w:eastAsia="zh-CN"/>
        </w:rPr>
        <w:t>审</w:t>
      </w:r>
      <w:r>
        <w:rPr>
          <w:rFonts w:eastAsia="宋体"/>
          <w:kern w:val="2"/>
          <w:sz w:val="21"/>
          <w:lang w:eastAsia="zh-CN"/>
        </w:rPr>
        <w:t>工作无法进行，或者招标文件内容违反国家有关强制性规定的，应当停止评</w:t>
      </w:r>
      <w:r>
        <w:rPr>
          <w:rFonts w:eastAsia="宋体" w:hint="eastAsia"/>
          <w:kern w:val="2"/>
          <w:sz w:val="21"/>
          <w:lang w:eastAsia="zh-CN"/>
        </w:rPr>
        <w:t>审</w:t>
      </w:r>
      <w:r>
        <w:rPr>
          <w:rFonts w:eastAsia="宋体"/>
          <w:kern w:val="2"/>
          <w:sz w:val="21"/>
          <w:lang w:eastAsia="zh-CN"/>
        </w:rPr>
        <w:t>工作，与</w:t>
      </w:r>
      <w:r>
        <w:rPr>
          <w:rFonts w:eastAsia="宋体" w:hint="eastAsia"/>
          <w:kern w:val="2"/>
          <w:sz w:val="21"/>
          <w:lang w:eastAsia="zh-CN"/>
        </w:rPr>
        <w:t>采购代理机构</w:t>
      </w:r>
      <w:r>
        <w:rPr>
          <w:rFonts w:eastAsia="宋体"/>
          <w:kern w:val="2"/>
          <w:sz w:val="21"/>
          <w:lang w:eastAsia="zh-CN"/>
        </w:rPr>
        <w:t>沟通并作书面记录。</w:t>
      </w:r>
      <w:r>
        <w:rPr>
          <w:rFonts w:eastAsia="宋体" w:hint="eastAsia"/>
          <w:kern w:val="2"/>
          <w:sz w:val="21"/>
          <w:lang w:eastAsia="zh-CN"/>
        </w:rPr>
        <w:t>经</w:t>
      </w:r>
      <w:r>
        <w:rPr>
          <w:rFonts w:eastAsia="宋体"/>
          <w:kern w:val="2"/>
          <w:sz w:val="21"/>
          <w:lang w:eastAsia="zh-CN"/>
        </w:rPr>
        <w:t>确认后，</w:t>
      </w:r>
      <w:r>
        <w:rPr>
          <w:rFonts w:eastAsia="宋体" w:hint="eastAsia"/>
          <w:kern w:val="2"/>
          <w:sz w:val="21"/>
          <w:lang w:eastAsia="zh-CN"/>
        </w:rPr>
        <w:t>项目</w:t>
      </w:r>
      <w:r>
        <w:rPr>
          <w:rFonts w:eastAsia="宋体"/>
          <w:kern w:val="2"/>
          <w:sz w:val="21"/>
          <w:lang w:eastAsia="zh-CN"/>
        </w:rPr>
        <w:t>应当修改招标文件，重新组织采购活动。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33.3</w:t>
      </w:r>
      <w:r>
        <w:rPr>
          <w:rFonts w:eastAsia="宋体" w:hint="eastAsia"/>
          <w:kern w:val="2"/>
          <w:sz w:val="21"/>
          <w:lang w:eastAsia="zh-CN"/>
        </w:rPr>
        <w:t>对于投标文件中含义不明确、同类问题表述不一致或者有明显文字和计算错误的内容，评审委员会应当以书面形式要求投标人作出必要的澄清、说明或者补正。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根据本通用条款第34条，凡属于评审委员会在评审中发现的算术错误进行核实的修改不在此列。</w:t>
      </w:r>
    </w:p>
    <w:p>
      <w:pPr>
        <w:wordWrap w:val="0"/>
        <w:autoSpaceDE w:val="0"/>
        <w:autoSpaceDN w:val="0"/>
        <w:spacing w:line="400" w:lineRule="exact"/>
        <w:ind w:right="808" w:firstLine="420" w:firstLineChars="200"/>
        <w:jc w:val="both"/>
        <w:rPr>
          <w:rFonts w:eastAsia="宋体"/>
          <w:kern w:val="2"/>
          <w:sz w:val="21"/>
          <w:lang w:eastAsia="zh-CN"/>
        </w:rPr>
      </w:pPr>
      <w:bookmarkStart w:id="93" w:name="_Toc73521669"/>
      <w:bookmarkStart w:id="94" w:name="_Toc100052400"/>
      <w:bookmarkStart w:id="95" w:name="_Toc73518151"/>
      <w:bookmarkStart w:id="96" w:name="_Toc73521581"/>
      <w:bookmarkStart w:id="97" w:name="_Toc73517673"/>
      <w:r>
        <w:rPr>
          <w:rFonts w:eastAsia="宋体" w:hint="eastAsia"/>
          <w:kern w:val="2"/>
          <w:sz w:val="21"/>
          <w:lang w:eastAsia="zh-CN"/>
        </w:rPr>
        <w:t>34．错误的修正</w:t>
      </w:r>
      <w:bookmarkEnd w:id="93"/>
      <w:bookmarkEnd w:id="94"/>
      <w:bookmarkEnd w:id="95"/>
      <w:bookmarkEnd w:id="96"/>
      <w:bookmarkEnd w:id="97"/>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投标文件报价出现前后不一致的，除专用条款另有规定外，按照下列规定修正：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34.1投标文件中开标一览表投标报价内容与投标文件中投标报价相应内容不一致的，以开标一览表为准；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34.2大写金额和小写金额不一致的，以大写金额为准；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34.3单价金额小数点或者百分比有明显错位，以开标一览表的总价为准，并修改单价；</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34.4总价金额与按单价汇总金额不一致的，以单价金额计算结果为准。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34.5同时出现两种以上不一致的，按照前款规定的顺序修正。修正后的报价按照本通用条款33条的规定，经投标人确认后产生约束力，投标人不确认的，其投标无效。</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35．投标文件的比较与评价</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评审委员会成员对需要共同认定的事项存在争议的，应当按照少数服从多数的原则作出结论。持不同意见的评审委员会成员应当书面作出说明，否则视为无异议。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36.实地考察或资料查验</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36.1在评审过程中，评审委员会有权决定是否对本项目投标人进行实地考察或资料查验（原件）。投标人应随时做好接受实地考察或资料查验的准备。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37．评审方法</w:t>
      </w:r>
    </w:p>
    <w:p>
      <w:pPr>
        <w:wordWrap w:val="0"/>
        <w:autoSpaceDE w:val="0"/>
        <w:autoSpaceDN w:val="0"/>
        <w:spacing w:line="400" w:lineRule="exact"/>
        <w:ind w:right="808" w:firstLine="420" w:firstLineChars="200"/>
        <w:jc w:val="both"/>
        <w:rPr>
          <w:rFonts w:eastAsia="宋体"/>
          <w:kern w:val="2"/>
          <w:sz w:val="21"/>
          <w:lang w:eastAsia="zh-CN"/>
        </w:rPr>
      </w:pPr>
      <w:bookmarkStart w:id="98" w:name="_Hlk72438142"/>
      <w:r>
        <w:rPr>
          <w:rFonts w:eastAsia="宋体" w:hint="eastAsia"/>
          <w:kern w:val="2"/>
          <w:sz w:val="21"/>
          <w:lang w:eastAsia="zh-CN"/>
        </w:rPr>
        <w:t>37.1.1最低价法</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最低价法，是指完全满足招标文件实质性要求，按照报价由低到高的顺序，依据招标文件中规定的数量或者比例推荐候选中标供应商。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37.1.2综合评分法</w:t>
      </w:r>
    </w:p>
    <w:bookmarkEnd w:id="98"/>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综合评分法，是指在满足招标文件全部实质性要求的前提下，按照招标文件中规定的各项因素进行综合评审，评审总得分排名前列的投标人，作为推荐的候选中标供应商。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37.2本项目采用的评审方法见本项目招标文件第一册“专用条款”的相关内容。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37.3重新评审的情形</w:t>
      </w:r>
    </w:p>
    <w:p>
      <w:pPr>
        <w:wordWrap w:val="0"/>
        <w:autoSpaceDE w:val="0"/>
        <w:autoSpaceDN w:val="0"/>
        <w:spacing w:line="400" w:lineRule="exact"/>
        <w:ind w:right="808" w:firstLine="420" w:firstLineChars="200"/>
        <w:jc w:val="both"/>
        <w:rPr>
          <w:rFonts w:eastAsia="宋体"/>
          <w:b/>
          <w:bCs/>
          <w:kern w:val="2"/>
          <w:sz w:val="21"/>
          <w:lang w:eastAsia="zh-CN"/>
        </w:rPr>
      </w:pPr>
      <w:r>
        <w:rPr>
          <w:rFonts w:eastAsia="宋体" w:hint="eastAsia"/>
          <w:sz w:val="21"/>
          <w:lang w:eastAsia="zh-CN"/>
        </w:rPr>
        <w:t>评审结果汇总完成后，除下列情形外，任何人不得修改评审结果：</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37.3.1分值汇总计算错误的；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37.3.2分项评分超出评分标准范围的；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37.3.3评审委员会成员对客观评审因素评分不一致的；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37.3.4经评审委员会认定评分畸高、畸低的。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投标人对本条第一款情形提出质疑的，采购人或者采购代理机构可以组织原评审委员会进行重新评审，重新评审改变评审结果的，应当书面报告本级财政部门。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37.4重新组建评审委员会的情形</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评审委员会或者其成员存在下列情形导致评审结果无效的，重新组建评审委员会进行评标，并书面报告本级财政部门：</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37.4.1评审委员会组成不符合《政府采购货物和服务招标投标管理办法》规定的；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37.4.2有《政府采购货物和服务招标投标管理办法》第六十二条第一至五项情形的；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37.4.3评审委员会及其成员独立评标受到非法干预的；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37.4.4有政府采购法实施条例第七十五条规定的违法行为的。</w:t>
      </w:r>
    </w:p>
    <w:p>
      <w:pPr>
        <w:wordWrap w:val="0"/>
        <w:autoSpaceDE w:val="0"/>
        <w:autoSpaceDN w:val="0"/>
        <w:spacing w:line="400" w:lineRule="exact"/>
        <w:ind w:right="808" w:firstLine="420" w:firstLineChars="200"/>
        <w:jc w:val="both"/>
        <w:rPr>
          <w:rFonts w:eastAsia="宋体"/>
          <w:sz w:val="21"/>
          <w:lang w:eastAsia="zh-CN"/>
        </w:rPr>
      </w:pPr>
      <w:r>
        <w:rPr>
          <w:rFonts w:eastAsia="宋体" w:hint="eastAsia"/>
          <w:sz w:val="21"/>
          <w:lang w:eastAsia="zh-CN"/>
        </w:rPr>
        <w:t>有违法违规行为的原评审委员会成员不得参加重新组建的评审委员会。</w:t>
      </w:r>
    </w:p>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99" w:name="第八章1"/>
      <w:bookmarkEnd w:id="99"/>
      <w:bookmarkStart w:id="100" w:name="_Toc26094"/>
      <w:bookmarkStart w:id="101" w:name="_Toc1513"/>
      <w:bookmarkStart w:id="102" w:name="_Toc30568"/>
      <w:bookmarkStart w:id="103" w:name="_Toc13341"/>
      <w:r>
        <w:rPr>
          <w:rFonts w:ascii="Arial" w:eastAsia="宋体" w:hAnsi="Arial" w:hint="eastAsia"/>
          <w:b/>
          <w:kern w:val="2"/>
          <w:sz w:val="32"/>
          <w:lang w:eastAsia="zh-CN"/>
        </w:rPr>
        <w:t>第八章</w:t>
      </w:r>
      <w:bookmarkStart w:id="104" w:name="_Toc24537"/>
      <w:r>
        <w:rPr>
          <w:rFonts w:ascii="Arial" w:eastAsia="宋体" w:hAnsi="Arial" w:hint="eastAsia"/>
          <w:b/>
          <w:kern w:val="2"/>
          <w:sz w:val="32"/>
          <w:lang w:eastAsia="zh-CN"/>
        </w:rPr>
        <w:t xml:space="preserve">  定标及公示</w:t>
      </w:r>
      <w:bookmarkEnd w:id="100"/>
      <w:bookmarkEnd w:id="101"/>
      <w:bookmarkEnd w:id="102"/>
      <w:bookmarkEnd w:id="103"/>
      <w:bookmarkEnd w:id="104"/>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38．定标方法</w:t>
      </w:r>
    </w:p>
    <w:p>
      <w:pPr>
        <w:wordWrap w:val="0"/>
        <w:autoSpaceDE w:val="0"/>
        <w:autoSpaceDN w:val="0"/>
        <w:spacing w:line="400" w:lineRule="exact"/>
        <w:ind w:right="808" w:firstLine="420" w:firstLineChars="200"/>
        <w:jc w:val="both"/>
        <w:rPr>
          <w:rFonts w:eastAsia="宋体"/>
          <w:kern w:val="2"/>
          <w:sz w:val="21"/>
          <w:lang w:eastAsia="zh-CN"/>
        </w:rPr>
      </w:pPr>
      <w:bookmarkStart w:id="105" w:name="_Hlk73782795"/>
      <w:r>
        <w:rPr>
          <w:rFonts w:eastAsia="宋体" w:hint="eastAsia"/>
          <w:kern w:val="2"/>
          <w:sz w:val="21"/>
          <w:lang w:eastAsia="zh-CN"/>
        </w:rPr>
        <w:t>38.1非评定分离项目定标方法</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w:t>
      </w:r>
      <w:r>
        <w:rPr>
          <w:rFonts w:eastAsia="宋体"/>
          <w:kern w:val="2"/>
          <w:sz w:val="21"/>
          <w:lang w:eastAsia="zh-CN"/>
        </w:rPr>
        <w:t>.</w:t>
      </w:r>
      <w:r>
        <w:rPr>
          <w:rFonts w:eastAsia="宋体" w:hint="eastAsia"/>
          <w:kern w:val="2"/>
          <w:sz w:val="21"/>
          <w:lang w:eastAsia="zh-CN"/>
        </w:rPr>
        <w:t>1.1评审委员会依据本项目招标文件所约定的评审方法进行评审和比较，向采购代理机构提交书面评审报告，并根据评审方法比较评价结果从优到劣进行排序，确定候选中标供应商。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38.1.2采用最低价法的，评审结果按投标报价由低到高顺序排列。投标报价相同的并列。投标文件满足招标文件全部实质性要求且投标报价最低的投标人为唯一候选中标供应商。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38.1.3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唯一候选中标供应商。出现得分且投标报价相同的并列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38.2评定分离项目定标方法</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wordWrap w:val="0"/>
        <w:autoSpaceDE w:val="0"/>
        <w:autoSpaceDN w:val="0"/>
        <w:spacing w:line="400" w:lineRule="exact"/>
        <w:ind w:right="808" w:firstLine="420" w:firstLineChars="200"/>
        <w:jc w:val="both"/>
        <w:rPr>
          <w:rFonts w:eastAsia="宋体"/>
          <w:kern w:val="2"/>
          <w:sz w:val="21"/>
          <w:lang w:eastAsia="zh-CN"/>
        </w:rPr>
      </w:pPr>
      <w:r>
        <w:rPr>
          <w:rFonts w:ascii="宋体" w:eastAsia="宋体" w:hAnsi="宋体"/>
          <w:kern w:val="2"/>
          <w:sz w:val="21"/>
          <w:szCs w:val="21"/>
          <w:lang w:eastAsia="zh-CN"/>
        </w:rPr>
        <w:t>38.2.2</w:t>
      </w:r>
      <w:bookmarkStart w:id="106" w:name="_Hlk71469733"/>
      <w:r>
        <w:rPr>
          <w:rFonts w:eastAsia="宋体"/>
          <w:kern w:val="2"/>
          <w:sz w:val="21"/>
          <w:lang w:eastAsia="zh-CN"/>
        </w:rPr>
        <w:t>适用评定分离的政府采购项目，采用综合评分法评</w:t>
      </w:r>
      <w:r>
        <w:rPr>
          <w:rFonts w:eastAsia="宋体" w:hint="eastAsia"/>
          <w:kern w:val="2"/>
          <w:sz w:val="21"/>
          <w:lang w:eastAsia="zh-CN"/>
        </w:rPr>
        <w:t>审。</w:t>
      </w:r>
      <w:r>
        <w:rPr>
          <w:rFonts w:ascii="宋体" w:eastAsia="宋体" w:hAnsi="宋体" w:hint="eastAsia"/>
          <w:kern w:val="2"/>
          <w:sz w:val="21"/>
          <w:szCs w:val="21"/>
          <w:lang w:eastAsia="zh-CN"/>
        </w:rPr>
        <w:t>评审委员会按照评审结果，推荐</w:t>
      </w:r>
      <w:r>
        <w:rPr>
          <w:rFonts w:eastAsia="宋体"/>
          <w:kern w:val="2"/>
          <w:sz w:val="21"/>
          <w:lang w:eastAsia="zh-CN"/>
        </w:rPr>
        <w:t>三个合格的候选中标供应商。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38.2.3</w:t>
      </w:r>
      <w:bookmarkStart w:id="107" w:name="_Hlk71469688"/>
      <w:r>
        <w:rPr>
          <w:rFonts w:eastAsia="宋体"/>
          <w:kern w:val="2"/>
          <w:sz w:val="21"/>
          <w:lang w:eastAsia="zh-CN"/>
        </w:rPr>
        <w:t>适用评定分离的政府采购项目，</w:t>
      </w:r>
      <w:r>
        <w:rPr>
          <w:rFonts w:eastAsia="宋体" w:hint="eastAsia"/>
          <w:kern w:val="2"/>
          <w:sz w:val="21"/>
          <w:lang w:eastAsia="zh-CN"/>
        </w:rPr>
        <w:t>按照自定法确定中标供应商：自定法是指采购人组织定标委员会，由定标委员会在三家候选中标供应商中确定中标供应商。</w:t>
      </w:r>
      <w:bookmarkEnd w:id="106"/>
      <w:bookmarkEnd w:id="107"/>
    </w:p>
    <w:p>
      <w:pPr>
        <w:wordWrap w:val="0"/>
        <w:autoSpaceDE w:val="0"/>
        <w:autoSpaceDN w:val="0"/>
        <w:spacing w:line="400" w:lineRule="exact"/>
        <w:ind w:right="808" w:firstLine="420" w:firstLineChars="200"/>
        <w:jc w:val="both"/>
        <w:rPr>
          <w:rFonts w:ascii="宋体" w:eastAsia="宋体" w:hAnsi="宋体" w:hint="eastAsia"/>
          <w:kern w:val="2"/>
          <w:sz w:val="21"/>
          <w:szCs w:val="21"/>
          <w:lang w:eastAsia="zh-CN"/>
        </w:rPr>
      </w:pPr>
      <w:r>
        <w:rPr>
          <w:rFonts w:ascii="宋体" w:eastAsia="宋体" w:hAnsi="宋体"/>
          <w:kern w:val="2"/>
          <w:sz w:val="21"/>
          <w:szCs w:val="21"/>
          <w:lang w:eastAsia="zh-CN"/>
        </w:rPr>
        <w:t>38.2.4</w:t>
      </w:r>
      <w:r>
        <w:rPr>
          <w:rFonts w:ascii="宋体" w:eastAsia="宋体" w:hAnsi="宋体" w:hint="eastAsia"/>
          <w:kern w:val="2"/>
          <w:sz w:val="21"/>
          <w:szCs w:val="21"/>
          <w:lang w:eastAsia="zh-CN"/>
        </w:rPr>
        <w:t>采购代理机构</w:t>
      </w:r>
      <w:r>
        <w:rPr>
          <w:rFonts w:eastAsia="宋体"/>
          <w:kern w:val="2"/>
          <w:sz w:val="21"/>
          <w:lang w:eastAsia="zh-CN"/>
        </w:rPr>
        <w:t>应当自评审结束之日起两个工作日内将候选中标供应商名单及其投标文件、评审报告送交采购人</w:t>
      </w:r>
      <w:r>
        <w:rPr>
          <w:rFonts w:ascii="宋体" w:eastAsia="宋体" w:hAnsi="宋体" w:hint="eastAsia"/>
          <w:kern w:val="2"/>
          <w:sz w:val="21"/>
          <w:szCs w:val="21"/>
          <w:lang w:eastAsia="zh-CN"/>
        </w:rPr>
        <w:t>。</w:t>
      </w:r>
      <w:r>
        <w:rPr>
          <w:rFonts w:eastAsia="宋体"/>
          <w:kern w:val="2"/>
          <w:sz w:val="21"/>
          <w:lang w:eastAsia="zh-CN"/>
        </w:rPr>
        <w:t>采购人应当安排专人对定标过程进行书面记录，形成定标报告，作为采购文件的组成部分存档，并及时将定标结果反馈</w:t>
      </w:r>
      <w:r>
        <w:rPr>
          <w:rFonts w:eastAsia="宋体" w:hint="eastAsia"/>
          <w:kern w:val="2"/>
          <w:sz w:val="21"/>
          <w:lang w:eastAsia="zh-CN"/>
        </w:rPr>
        <w:t>采购代理机构。具体定标程序及相关要求以按照《</w:t>
      </w:r>
      <w:r>
        <w:rPr>
          <w:rFonts w:eastAsia="宋体"/>
          <w:kern w:val="2"/>
          <w:sz w:val="21"/>
          <w:lang w:eastAsia="zh-CN"/>
        </w:rPr>
        <w:t>深圳市财政局关于印发</w:t>
      </w:r>
      <w:r>
        <w:rPr>
          <w:rFonts w:ascii="宋体" w:eastAsia="宋体" w:hAnsi="宋体" w:hint="eastAsia"/>
          <w:kern w:val="2"/>
          <w:sz w:val="21"/>
          <w:lang w:eastAsia="zh-CN"/>
        </w:rPr>
        <w:t>〈</w:t>
      </w:r>
      <w:r>
        <w:rPr>
          <w:rFonts w:eastAsia="宋体"/>
          <w:kern w:val="2"/>
          <w:sz w:val="21"/>
          <w:lang w:eastAsia="zh-CN"/>
        </w:rPr>
        <w:t>深圳市政府采购评标定标分离管理办法</w:t>
      </w:r>
      <w:r>
        <w:rPr>
          <w:rFonts w:ascii="宋体" w:eastAsia="宋体" w:hAnsi="宋体" w:hint="eastAsia"/>
          <w:kern w:val="2"/>
          <w:sz w:val="21"/>
          <w:lang w:eastAsia="zh-CN"/>
        </w:rPr>
        <w:t>〉</w:t>
      </w:r>
      <w:r>
        <w:rPr>
          <w:rFonts w:eastAsia="宋体"/>
          <w:kern w:val="2"/>
          <w:sz w:val="21"/>
          <w:lang w:eastAsia="zh-CN"/>
        </w:rPr>
        <w:t>的通知</w:t>
      </w:r>
      <w:r>
        <w:rPr>
          <w:rFonts w:eastAsia="宋体" w:hint="eastAsia"/>
          <w:kern w:val="2"/>
          <w:sz w:val="21"/>
          <w:lang w:eastAsia="zh-CN"/>
        </w:rPr>
        <w:t>》（深财规【2</w:t>
      </w:r>
      <w:r>
        <w:rPr>
          <w:rFonts w:eastAsia="宋体"/>
          <w:kern w:val="2"/>
          <w:sz w:val="21"/>
          <w:lang w:eastAsia="zh-CN"/>
        </w:rPr>
        <w:t>020</w:t>
      </w:r>
      <w:r>
        <w:rPr>
          <w:rFonts w:eastAsia="宋体" w:hint="eastAsia"/>
          <w:kern w:val="2"/>
          <w:sz w:val="21"/>
          <w:lang w:eastAsia="zh-CN"/>
        </w:rPr>
        <w:t>】1号）执行。</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说明：采购人及投标供应商应按照上述方法提前做好相关准备。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38.3专用条款另有规定的，按专用条款相关要求定标。</w:t>
      </w:r>
      <w:bookmarkEnd w:id="105"/>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39．编写评审报告</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40．中标公告</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40.1</w:t>
      </w:r>
      <w:bookmarkStart w:id="108" w:name="_Hlk72438709"/>
      <w:r>
        <w:rPr>
          <w:rFonts w:eastAsia="宋体" w:hint="eastAsia"/>
          <w:kern w:val="2"/>
          <w:sz w:val="21"/>
          <w:lang w:eastAsia="zh-CN"/>
        </w:rPr>
        <w:t>为体现“公开、公平、公正”的原则，评审结束后经采购人确认（确定）评审结果，采购代理机构将在</w:t>
      </w:r>
      <w:r>
        <w:rPr>
          <w:rFonts w:eastAsia="宋体" w:hint="eastAsia"/>
          <w:b/>
          <w:bCs/>
          <w:kern w:val="2"/>
          <w:sz w:val="21"/>
          <w:lang w:eastAsia="zh-CN"/>
        </w:rPr>
        <w:t>深圳政府采购自行采购系统（https://zxcg.szggzy.com/home/index.html）</w:t>
      </w:r>
      <w:r>
        <w:rPr>
          <w:rFonts w:eastAsia="宋体" w:hint="eastAsia"/>
          <w:kern w:val="2"/>
          <w:sz w:val="21"/>
          <w:lang w:eastAsia="zh-CN"/>
        </w:rPr>
        <w:t>上发布中标结果公告。</w:t>
      </w:r>
      <w:bookmarkEnd w:id="108"/>
      <w:bookmarkStart w:id="109" w:name="_Hlk72438751"/>
      <w:r>
        <w:rPr>
          <w:rFonts w:eastAsia="宋体" w:hint="eastAsia"/>
          <w:kern w:val="2"/>
          <w:sz w:val="21"/>
          <w:lang w:eastAsia="zh-CN"/>
        </w:rPr>
        <w:t>供应商如对评审结果有异议，</w:t>
      </w:r>
      <w:r>
        <w:rPr>
          <w:rFonts w:eastAsia="宋体"/>
          <w:kern w:val="2"/>
          <w:sz w:val="21"/>
          <w:lang w:eastAsia="zh-CN"/>
        </w:rPr>
        <w:t>可在发布公示日期起</w:t>
      </w:r>
      <w:r>
        <w:rPr>
          <w:rFonts w:eastAsia="宋体" w:hint="eastAsia"/>
          <w:kern w:val="2"/>
          <w:sz w:val="21"/>
          <w:lang w:eastAsia="zh-CN"/>
        </w:rPr>
        <w:t>七</w:t>
      </w:r>
      <w:r>
        <w:rPr>
          <w:rFonts w:eastAsia="宋体"/>
          <w:kern w:val="2"/>
          <w:sz w:val="21"/>
          <w:lang w:eastAsia="zh-CN"/>
        </w:rPr>
        <w:t>个工作日内向</w:t>
      </w:r>
      <w:r>
        <w:rPr>
          <w:rFonts w:eastAsia="宋体" w:hint="eastAsia"/>
          <w:kern w:val="2"/>
          <w:sz w:val="21"/>
          <w:lang w:eastAsia="zh-CN"/>
        </w:rPr>
        <w:t>采购代理机构</w:t>
      </w:r>
      <w:r>
        <w:rPr>
          <w:rFonts w:eastAsia="宋体"/>
          <w:kern w:val="2"/>
          <w:sz w:val="21"/>
          <w:lang w:eastAsia="zh-CN"/>
        </w:rPr>
        <w:t>提出。监督电话：0755-21070507。</w:t>
      </w:r>
      <w:r>
        <w:rPr>
          <w:rFonts w:eastAsia="宋体" w:hint="eastAsia"/>
          <w:kern w:val="2"/>
          <w:sz w:val="21"/>
          <w:lang w:eastAsia="zh-CN"/>
        </w:rPr>
        <w:t>若在公示期内未提出质疑，则视为认同该评审结果。</w:t>
      </w:r>
    </w:p>
    <w:bookmarkEnd w:id="109"/>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40.2质疑、投诉供应商应保证质疑、投诉内容的真实性和可靠性，并承担相应的法律责任。</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41．中标通知书</w:t>
      </w:r>
    </w:p>
    <w:p>
      <w:pPr>
        <w:wordWrap w:val="0"/>
        <w:autoSpaceDE w:val="0"/>
        <w:autoSpaceDN w:val="0"/>
        <w:spacing w:line="400" w:lineRule="exact"/>
        <w:ind w:right="808" w:firstLine="420" w:firstLineChars="200"/>
        <w:jc w:val="both"/>
        <w:rPr>
          <w:rFonts w:eastAsia="宋体"/>
          <w:kern w:val="2"/>
          <w:sz w:val="21"/>
          <w:szCs w:val="21"/>
          <w:lang w:eastAsia="zh-CN"/>
        </w:rPr>
      </w:pPr>
      <w:r>
        <w:rPr>
          <w:rFonts w:eastAsia="宋体" w:hint="eastAsia"/>
          <w:kern w:val="2"/>
          <w:sz w:val="21"/>
          <w:szCs w:val="21"/>
          <w:lang w:eastAsia="zh-CN"/>
        </w:rPr>
        <w:t>41</w:t>
      </w:r>
      <w:r>
        <w:rPr>
          <w:rFonts w:eastAsia="宋体"/>
          <w:kern w:val="2"/>
          <w:sz w:val="21"/>
          <w:szCs w:val="21"/>
          <w:lang w:eastAsia="zh-CN"/>
        </w:rPr>
        <w:t>.</w:t>
      </w:r>
      <w:r>
        <w:rPr>
          <w:rFonts w:eastAsia="宋体" w:hint="eastAsia"/>
          <w:kern w:val="2"/>
          <w:sz w:val="21"/>
          <w:szCs w:val="21"/>
          <w:lang w:eastAsia="zh-CN"/>
        </w:rPr>
        <w:t>1</w:t>
      </w:r>
      <w:bookmarkStart w:id="110" w:name="_Hlk72438863"/>
      <w:r>
        <w:rPr>
          <w:rFonts w:eastAsia="宋体" w:hint="eastAsia"/>
          <w:kern w:val="2"/>
          <w:sz w:val="21"/>
          <w:szCs w:val="21"/>
          <w:lang w:eastAsia="zh-CN"/>
        </w:rPr>
        <w:t>中标公告公布以后无异常的情况下，中标供应商和采购人可自行登录</w:t>
      </w:r>
      <w:r>
        <w:rPr>
          <w:rFonts w:eastAsia="宋体" w:hint="eastAsia"/>
          <w:b/>
          <w:bCs/>
          <w:kern w:val="2"/>
          <w:sz w:val="21"/>
          <w:szCs w:val="21"/>
          <w:lang w:eastAsia="zh-CN"/>
        </w:rPr>
        <w:t>“</w:t>
      </w:r>
      <w:r>
        <w:rPr>
          <w:rFonts w:eastAsia="宋体" w:hint="eastAsia"/>
          <w:kern w:val="2"/>
          <w:sz w:val="21"/>
          <w:lang w:eastAsia="zh-CN"/>
        </w:rPr>
        <w:t>深圳政府采购自行采购系统（https://trade.szggzy.com/ggzy/center/#/login）</w:t>
      </w:r>
      <w:r>
        <w:rPr>
          <w:rFonts w:eastAsia="宋体" w:hint="eastAsia"/>
          <w:b/>
          <w:bCs/>
          <w:kern w:val="2"/>
          <w:sz w:val="21"/>
          <w:szCs w:val="21"/>
          <w:lang w:eastAsia="zh-CN"/>
        </w:rPr>
        <w:t>”</w:t>
      </w:r>
      <w:r>
        <w:rPr>
          <w:rFonts w:eastAsia="宋体" w:hint="eastAsia"/>
          <w:kern w:val="2"/>
          <w:sz w:val="21"/>
          <w:szCs w:val="21"/>
          <w:lang w:eastAsia="zh-CN"/>
        </w:rPr>
        <w:t>上打印</w:t>
      </w:r>
      <w:r>
        <w:rPr>
          <w:rFonts w:eastAsia="宋体" w:hint="eastAsia"/>
          <w:b/>
          <w:kern w:val="2"/>
          <w:sz w:val="21"/>
          <w:szCs w:val="21"/>
          <w:lang w:eastAsia="zh-CN"/>
        </w:rPr>
        <w:t>《数字中标通知书》</w:t>
      </w:r>
      <w:r>
        <w:rPr>
          <w:rFonts w:eastAsia="宋体" w:hint="eastAsia"/>
          <w:kern w:val="2"/>
          <w:sz w:val="21"/>
          <w:szCs w:val="21"/>
          <w:lang w:eastAsia="zh-CN"/>
        </w:rPr>
        <w:t>。</w:t>
      </w:r>
      <w:bookmarkEnd w:id="110"/>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41</w:t>
      </w:r>
      <w:r>
        <w:rPr>
          <w:rFonts w:eastAsia="宋体"/>
          <w:kern w:val="2"/>
          <w:sz w:val="21"/>
          <w:lang w:eastAsia="zh-CN"/>
        </w:rPr>
        <w:t>.2</w:t>
      </w:r>
      <w:r>
        <w:rPr>
          <w:rFonts w:eastAsia="宋体" w:hint="eastAsia"/>
          <w:kern w:val="2"/>
          <w:sz w:val="21"/>
          <w:lang w:eastAsia="zh-CN"/>
        </w:rPr>
        <w:t>中标通知书是合同的重要组成部分。</w:t>
      </w:r>
    </w:p>
    <w:p>
      <w:pPr>
        <w:wordWrap w:val="0"/>
        <w:autoSpaceDE w:val="0"/>
        <w:autoSpaceDN w:val="0"/>
        <w:spacing w:line="400" w:lineRule="exact"/>
        <w:ind w:right="808" w:firstLine="420" w:firstLineChars="200"/>
        <w:jc w:val="both"/>
        <w:rPr>
          <w:rFonts w:eastAsia="宋体"/>
          <w:kern w:val="2"/>
          <w:sz w:val="21"/>
          <w:lang w:eastAsia="zh-CN"/>
        </w:rPr>
      </w:pPr>
      <w:bookmarkStart w:id="111" w:name="_Hlk71407340"/>
      <w:r>
        <w:rPr>
          <w:rFonts w:eastAsia="宋体" w:hint="eastAsia"/>
          <w:kern w:val="2"/>
          <w:sz w:val="21"/>
          <w:lang w:eastAsia="zh-CN"/>
        </w:rPr>
        <w:t>41.3因质疑投诉或其它原因导致项目结果变更或采购终止的，采购代理机构有权吊销中标通知书。</w:t>
      </w:r>
    </w:p>
    <w:bookmarkEnd w:id="111"/>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112" w:name="第九章1"/>
      <w:bookmarkEnd w:id="112"/>
      <w:bookmarkStart w:id="113" w:name="_Toc20277"/>
      <w:bookmarkStart w:id="114" w:name="_Toc17412"/>
      <w:bookmarkStart w:id="115" w:name="_Toc25733"/>
      <w:bookmarkStart w:id="116" w:name="_Toc24474"/>
      <w:bookmarkStart w:id="117" w:name="_Toc11736"/>
      <w:bookmarkStart w:id="118" w:name="_Toc73517678"/>
      <w:bookmarkStart w:id="119" w:name="_Toc100052407"/>
      <w:bookmarkStart w:id="120" w:name="_Toc101074884"/>
      <w:r>
        <w:rPr>
          <w:rFonts w:ascii="Arial" w:eastAsia="宋体" w:hAnsi="Arial" w:hint="eastAsia"/>
          <w:b/>
          <w:kern w:val="2"/>
          <w:sz w:val="32"/>
          <w:lang w:eastAsia="zh-CN"/>
        </w:rPr>
        <w:t>第九章  公开采购失败的后续处理</w:t>
      </w:r>
      <w:bookmarkEnd w:id="113"/>
      <w:bookmarkEnd w:id="114"/>
      <w:bookmarkEnd w:id="115"/>
      <w:bookmarkEnd w:id="116"/>
      <w:bookmarkEnd w:id="117"/>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42．公开招标失败的处理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szCs w:val="21"/>
          <w:lang w:eastAsia="zh-CN"/>
        </w:rPr>
        <w:t>42.1本项目公开招标过程中若由于投标截止后</w:t>
      </w:r>
      <w:r>
        <w:rPr>
          <w:rFonts w:eastAsia="宋体" w:hint="eastAsia"/>
          <w:kern w:val="2"/>
          <w:sz w:val="21"/>
          <w:lang w:eastAsia="zh-CN"/>
        </w:rPr>
        <w:t>实际递交</w:t>
      </w:r>
      <w:r>
        <w:rPr>
          <w:rFonts w:eastAsia="宋体"/>
          <w:kern w:val="2"/>
          <w:sz w:val="21"/>
          <w:lang w:eastAsia="zh-CN"/>
        </w:rPr>
        <w:t>投标</w:t>
      </w:r>
      <w:r>
        <w:rPr>
          <w:rFonts w:eastAsia="宋体" w:hint="eastAsia"/>
          <w:kern w:val="2"/>
          <w:sz w:val="21"/>
          <w:lang w:eastAsia="zh-CN"/>
        </w:rPr>
        <w:t>文件的供应商数量不足、经</w:t>
      </w:r>
      <w:r>
        <w:rPr>
          <w:rFonts w:eastAsia="宋体" w:hint="eastAsia"/>
          <w:kern w:val="2"/>
          <w:sz w:val="21"/>
          <w:szCs w:val="21"/>
          <w:lang w:eastAsia="zh-CN"/>
        </w:rPr>
        <w:t>评审委员会</w:t>
      </w:r>
      <w:r>
        <w:rPr>
          <w:rFonts w:eastAsia="宋体" w:hint="eastAsia"/>
          <w:kern w:val="2"/>
          <w:sz w:val="21"/>
          <w:lang w:eastAsia="zh-CN"/>
        </w:rPr>
        <w:t>评审对招标文件作实质响应的供应商不足等原因造成公开招标失败，可由</w:t>
      </w:r>
      <w:r>
        <w:rPr>
          <w:rFonts w:eastAsia="宋体" w:cs="宋体" w:hint="eastAsia"/>
          <w:kern w:val="2"/>
          <w:sz w:val="21"/>
          <w:lang w:eastAsia="zh-CN"/>
        </w:rPr>
        <w:t>采购代理机构</w:t>
      </w:r>
      <w:r>
        <w:rPr>
          <w:rFonts w:eastAsia="宋体" w:hint="eastAsia"/>
          <w:kern w:val="2"/>
          <w:sz w:val="21"/>
          <w:lang w:eastAsia="zh-CN"/>
        </w:rPr>
        <w:t>重新组织采购。</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42.2对公开招标失败的项目，评审委员会在出具该项目招标失败结论的同时，可以提出重新采购组织形式的建议，以及进一步完善招标文件的资格、技术、商务要求的修改建议。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42.3重新组织采购有以下两种组织形式：</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（1）由采购代理机构重新组织公开招标；</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（2）根据实际情况需要向同级财政部门提出非公开招标方式申请，经同级财政部门批准，公开招标失败采购项目可转为竞争性谈判或单一来源谈判方式采购。</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42.4公开招标失败的采购项目重新组织公开招标，由采购代理机构重新按公开招标流程组织采购活动。</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42.5公开招标失败的采购项目经同级财政部门批准转为竞争性谈判或单一来源谈判方式采购的，按规定要求组织政府采购工作。</w:t>
      </w:r>
    </w:p>
    <w:p>
      <w:pPr>
        <w:wordWrap w:val="0"/>
        <w:autoSpaceDE w:val="0"/>
        <w:autoSpaceDN w:val="0"/>
        <w:spacing w:line="360" w:lineRule="auto"/>
        <w:ind w:right="808" w:firstLine="480" w:firstLineChars="200"/>
        <w:jc w:val="both"/>
        <w:rPr>
          <w:rFonts w:eastAsia="宋体"/>
          <w:b/>
          <w:kern w:val="2"/>
          <w:lang w:eastAsia="zh-CN"/>
        </w:rPr>
      </w:pPr>
    </w:p>
    <w:bookmarkEnd w:id="118"/>
    <w:bookmarkEnd w:id="119"/>
    <w:bookmarkEnd w:id="120"/>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121" w:name="第十章1"/>
      <w:bookmarkEnd w:id="121"/>
      <w:bookmarkStart w:id="122" w:name="_Toc27904"/>
      <w:bookmarkStart w:id="123" w:name="_Toc26814"/>
      <w:bookmarkStart w:id="124" w:name="_Toc13677"/>
      <w:bookmarkStart w:id="125" w:name="_Toc9122"/>
      <w:bookmarkStart w:id="126" w:name="_Toc26432"/>
      <w:r>
        <w:rPr>
          <w:rFonts w:ascii="Arial" w:eastAsia="宋体" w:hAnsi="Arial" w:hint="eastAsia"/>
          <w:b/>
          <w:kern w:val="2"/>
          <w:sz w:val="32"/>
          <w:lang w:eastAsia="zh-CN"/>
        </w:rPr>
        <w:t>第十章  合同的授予与备案</w:t>
      </w:r>
      <w:bookmarkEnd w:id="122"/>
      <w:bookmarkEnd w:id="123"/>
      <w:bookmarkEnd w:id="124"/>
      <w:bookmarkEnd w:id="125"/>
      <w:bookmarkEnd w:id="126"/>
    </w:p>
    <w:p>
      <w:pPr>
        <w:wordWrap w:val="0"/>
        <w:autoSpaceDE w:val="0"/>
        <w:autoSpaceDN w:val="0"/>
        <w:spacing w:line="400" w:lineRule="exact"/>
        <w:ind w:right="808" w:firstLine="420" w:firstLineChars="200"/>
        <w:jc w:val="both"/>
        <w:rPr>
          <w:rFonts w:eastAsia="宋体"/>
          <w:kern w:val="2"/>
          <w:sz w:val="21"/>
          <w:lang w:eastAsia="zh-CN"/>
        </w:rPr>
      </w:pPr>
      <w:bookmarkStart w:id="127" w:name="_33._合同授予标准"/>
      <w:bookmarkEnd w:id="127"/>
      <w:bookmarkStart w:id="128" w:name="_Toc73521586"/>
      <w:bookmarkStart w:id="129" w:name="_Toc73518157"/>
      <w:bookmarkStart w:id="130" w:name="_Toc73517679"/>
      <w:bookmarkStart w:id="131" w:name="_Toc100052408"/>
      <w:bookmarkStart w:id="132" w:name="_Toc73521674"/>
      <w:bookmarkStart w:id="133" w:name="_Hlk72439088"/>
      <w:r>
        <w:rPr>
          <w:rFonts w:eastAsia="宋体" w:hint="eastAsia"/>
          <w:kern w:val="2"/>
          <w:sz w:val="21"/>
          <w:lang w:eastAsia="zh-CN"/>
        </w:rPr>
        <w:t>43．合同授予标准</w:t>
      </w:r>
      <w:bookmarkEnd w:id="128"/>
      <w:bookmarkEnd w:id="129"/>
      <w:bookmarkEnd w:id="130"/>
      <w:bookmarkEnd w:id="131"/>
      <w:bookmarkEnd w:id="132"/>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本项目的合同将授予经本招标文件规定评审确定的中标供应商。</w:t>
      </w:r>
    </w:p>
    <w:p>
      <w:pPr>
        <w:wordWrap w:val="0"/>
        <w:autoSpaceDE w:val="0"/>
        <w:autoSpaceDN w:val="0"/>
        <w:spacing w:line="400" w:lineRule="exact"/>
        <w:ind w:right="808" w:firstLine="420" w:firstLineChars="200"/>
        <w:jc w:val="both"/>
        <w:rPr>
          <w:rFonts w:eastAsia="宋体"/>
          <w:kern w:val="2"/>
          <w:sz w:val="21"/>
          <w:lang w:eastAsia="zh-CN"/>
        </w:rPr>
      </w:pPr>
      <w:bookmarkStart w:id="134" w:name="_Toc73521587"/>
      <w:bookmarkStart w:id="135" w:name="_Toc73521675"/>
      <w:bookmarkStart w:id="136" w:name="_Toc73517680"/>
      <w:bookmarkStart w:id="137" w:name="_Toc100052409"/>
      <w:bookmarkStart w:id="138" w:name="_Toc73518158"/>
      <w:r>
        <w:rPr>
          <w:rFonts w:eastAsia="宋体" w:hint="eastAsia"/>
          <w:kern w:val="2"/>
          <w:sz w:val="21"/>
          <w:lang w:eastAsia="zh-CN"/>
        </w:rPr>
        <w:t>44．</w:t>
      </w:r>
      <w:bookmarkEnd w:id="134"/>
      <w:bookmarkEnd w:id="135"/>
      <w:bookmarkEnd w:id="136"/>
      <w:bookmarkEnd w:id="137"/>
      <w:bookmarkEnd w:id="138"/>
      <w:r>
        <w:rPr>
          <w:rFonts w:eastAsia="宋体" w:hint="eastAsia"/>
          <w:kern w:val="2"/>
          <w:sz w:val="21"/>
          <w:lang w:eastAsia="zh-CN"/>
        </w:rPr>
        <w:t>接受和拒绝任何或所有投标的权力</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采购代理机构和采购人保留在投标之前任何时候接受或拒绝任何投标或所有投标，以及宣布招标无效的权力，对受影响的投标人不承担任何责任，也无义务向受影响的投标人解释采取这一行动的理由。</w:t>
      </w:r>
    </w:p>
    <w:p>
      <w:pPr>
        <w:wordWrap w:val="0"/>
        <w:autoSpaceDE w:val="0"/>
        <w:autoSpaceDN w:val="0"/>
        <w:spacing w:line="400" w:lineRule="exact"/>
        <w:ind w:right="808" w:firstLine="420" w:firstLineChars="200"/>
        <w:jc w:val="both"/>
        <w:rPr>
          <w:rFonts w:eastAsia="宋体"/>
          <w:kern w:val="2"/>
          <w:sz w:val="21"/>
          <w:lang w:eastAsia="zh-CN"/>
        </w:rPr>
      </w:pPr>
      <w:bookmarkStart w:id="139" w:name="_Toc73521677"/>
      <w:bookmarkStart w:id="140" w:name="_Toc73521589"/>
      <w:bookmarkStart w:id="141" w:name="_Toc73517682"/>
      <w:bookmarkStart w:id="142" w:name="_Toc100052410"/>
      <w:bookmarkStart w:id="143" w:name="_Toc73518160"/>
      <w:r>
        <w:rPr>
          <w:rFonts w:eastAsia="宋体" w:hint="eastAsia"/>
          <w:kern w:val="2"/>
          <w:sz w:val="21"/>
          <w:lang w:eastAsia="zh-CN"/>
        </w:rPr>
        <w:t>45．合同的签订</w:t>
      </w:r>
      <w:bookmarkEnd w:id="139"/>
      <w:bookmarkEnd w:id="140"/>
      <w:bookmarkEnd w:id="141"/>
      <w:bookmarkEnd w:id="142"/>
      <w:bookmarkEnd w:id="143"/>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45.1中标人将于中标通知书发出之日起十个工作日内，按照采购文件（招标文件和投标文件等）内容与采购人签订政府采购合同；合同的实质性内容应当符合招标文件的规定；</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45.2中标人如不按本通用条款第45</w:t>
      </w:r>
      <w:r>
        <w:rPr>
          <w:rFonts w:eastAsia="宋体"/>
          <w:kern w:val="2"/>
          <w:sz w:val="21"/>
          <w:lang w:eastAsia="zh-CN"/>
        </w:rPr>
        <w:t>.1</w:t>
      </w:r>
      <w:r>
        <w:rPr>
          <w:rFonts w:eastAsia="宋体" w:hint="eastAsia"/>
          <w:kern w:val="2"/>
          <w:sz w:val="21"/>
          <w:lang w:eastAsia="zh-CN"/>
        </w:rPr>
        <w:t>款的规定与采购人签订合同，</w:t>
      </w:r>
      <w:r>
        <w:rPr>
          <w:rFonts w:eastAsia="宋体" w:cs="宋体"/>
          <w:sz w:val="21"/>
          <w:lang w:eastAsia="zh-CN"/>
        </w:rPr>
        <w:t>情节严重的，由</w:t>
      </w:r>
      <w:r>
        <w:rPr>
          <w:rFonts w:eastAsia="宋体" w:cs="宋体" w:hint="eastAsia"/>
          <w:sz w:val="21"/>
          <w:lang w:eastAsia="zh-CN"/>
        </w:rPr>
        <w:t>同级财政</w:t>
      </w:r>
      <w:r>
        <w:rPr>
          <w:rFonts w:eastAsia="宋体" w:cs="宋体"/>
          <w:sz w:val="21"/>
          <w:lang w:eastAsia="zh-CN"/>
        </w:rPr>
        <w:t>部门记入供应商诚信档案，予以通报</w:t>
      </w:r>
      <w:r>
        <w:rPr>
          <w:rFonts w:eastAsia="宋体" w:hint="eastAsia"/>
          <w:kern w:val="2"/>
          <w:sz w:val="21"/>
          <w:lang w:eastAsia="zh-CN"/>
        </w:rPr>
        <w:t>；</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45.3中标人应当按照合同约定履行义务，完成中标项目，不得将中标项目转让（转包）给他人。</w:t>
      </w:r>
    </w:p>
    <w:p>
      <w:pPr>
        <w:wordWrap w:val="0"/>
        <w:autoSpaceDE w:val="0"/>
        <w:autoSpaceDN w:val="0"/>
        <w:spacing w:line="400" w:lineRule="exact"/>
        <w:ind w:right="808" w:firstLine="420" w:firstLineChars="200"/>
        <w:jc w:val="both"/>
        <w:rPr>
          <w:rFonts w:eastAsia="宋体"/>
          <w:kern w:val="2"/>
          <w:sz w:val="21"/>
          <w:lang w:eastAsia="zh-CN"/>
        </w:rPr>
      </w:pPr>
      <w:bookmarkStart w:id="144" w:name="_Toc73518161"/>
      <w:bookmarkStart w:id="145" w:name="_Toc73517683"/>
      <w:bookmarkStart w:id="146" w:name="_Toc100052411"/>
      <w:bookmarkStart w:id="147" w:name="_Toc73521678"/>
      <w:bookmarkStart w:id="148" w:name="_Toc73521590"/>
      <w:r>
        <w:rPr>
          <w:rFonts w:eastAsia="宋体" w:hint="eastAsia"/>
          <w:kern w:val="2"/>
          <w:sz w:val="21"/>
          <w:lang w:eastAsia="zh-CN"/>
        </w:rPr>
        <w:t>46．履约担保</w:t>
      </w:r>
      <w:bookmarkEnd w:id="144"/>
      <w:bookmarkEnd w:id="145"/>
      <w:bookmarkEnd w:id="146"/>
      <w:bookmarkEnd w:id="147"/>
      <w:bookmarkEnd w:id="148"/>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46.1在签订项目合同的同时，中标人应按“对通用条款的补充内容”中规定的金额向采购人提交履约担保；</w:t>
      </w:r>
    </w:p>
    <w:p>
      <w:pPr>
        <w:wordWrap w:val="0"/>
        <w:autoSpaceDE w:val="0"/>
        <w:autoSpaceDN w:val="0"/>
        <w:spacing w:line="400" w:lineRule="exact"/>
        <w:ind w:right="808"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46.2，允许供应商自主选择以支票、汇票、本票、保函等非现金方式提交履约担保；</w:t>
      </w:r>
      <w:r>
        <w:rPr>
          <w:rFonts w:eastAsia="宋体"/>
          <w:kern w:val="2"/>
          <w:sz w:val="21"/>
          <w:lang w:eastAsia="zh-CN"/>
        </w:rPr>
        <w:t>中标</w:t>
      </w:r>
      <w:r>
        <w:rPr>
          <w:rFonts w:eastAsia="宋体" w:hint="eastAsia"/>
          <w:kern w:val="2"/>
          <w:sz w:val="21"/>
          <w:lang w:eastAsia="zh-CN"/>
        </w:rPr>
        <w:t>人</w:t>
      </w:r>
      <w:r>
        <w:rPr>
          <w:rFonts w:eastAsia="宋体"/>
          <w:kern w:val="2"/>
          <w:sz w:val="21"/>
          <w:lang w:eastAsia="zh-CN"/>
        </w:rPr>
        <w:t>提交履约</w:t>
      </w:r>
      <w:r>
        <w:rPr>
          <w:rFonts w:eastAsia="宋体" w:hint="eastAsia"/>
          <w:kern w:val="2"/>
          <w:sz w:val="21"/>
          <w:lang w:eastAsia="zh-CN"/>
        </w:rPr>
        <w:t>担保不是</w:t>
      </w:r>
      <w:r>
        <w:rPr>
          <w:rFonts w:eastAsia="宋体"/>
          <w:kern w:val="2"/>
          <w:sz w:val="21"/>
          <w:lang w:eastAsia="zh-CN"/>
        </w:rPr>
        <w:t>合同签订的</w:t>
      </w:r>
      <w:r>
        <w:rPr>
          <w:rFonts w:eastAsia="宋体" w:hint="eastAsia"/>
          <w:kern w:val="2"/>
          <w:sz w:val="21"/>
          <w:lang w:eastAsia="zh-CN"/>
        </w:rPr>
        <w:t>前提</w:t>
      </w:r>
      <w:r>
        <w:rPr>
          <w:rFonts w:eastAsia="宋体"/>
          <w:kern w:val="2"/>
          <w:sz w:val="21"/>
          <w:lang w:eastAsia="zh-CN"/>
        </w:rPr>
        <w:t>条件，不要求中标</w:t>
      </w:r>
      <w:r>
        <w:rPr>
          <w:rFonts w:eastAsia="宋体" w:hint="eastAsia"/>
          <w:kern w:val="2"/>
          <w:sz w:val="21"/>
          <w:lang w:eastAsia="zh-CN"/>
        </w:rPr>
        <w:t>人</w:t>
      </w:r>
      <w:r>
        <w:rPr>
          <w:rFonts w:eastAsia="宋体"/>
          <w:kern w:val="2"/>
          <w:sz w:val="21"/>
          <w:lang w:eastAsia="zh-CN"/>
        </w:rPr>
        <w:t>提供除法律、法规明确规定外的其他担保</w:t>
      </w:r>
      <w:r>
        <w:rPr>
          <w:rFonts w:eastAsia="宋体" w:hint="eastAsia"/>
          <w:kern w:val="2"/>
          <w:sz w:val="21"/>
          <w:lang w:eastAsia="zh-CN"/>
        </w:rPr>
        <w:t>。</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47.合同备案</w:t>
      </w:r>
    </w:p>
    <w:p>
      <w:pPr>
        <w:wordWrap w:val="0"/>
        <w:autoSpaceDE w:val="0"/>
        <w:autoSpaceDN w:val="0"/>
        <w:spacing w:line="400" w:lineRule="exact"/>
        <w:ind w:right="808" w:firstLine="420" w:firstLineChars="200"/>
        <w:jc w:val="both"/>
        <w:rPr>
          <w:rFonts w:ascii="黑体" w:eastAsia="黑体"/>
          <w:kern w:val="2"/>
          <w:lang w:eastAsia="zh-CN"/>
        </w:rPr>
      </w:pPr>
      <w:r>
        <w:rPr>
          <w:rFonts w:eastAsia="宋体" w:hint="eastAsia"/>
          <w:kern w:val="2"/>
          <w:sz w:val="21"/>
          <w:lang w:eastAsia="zh-CN"/>
        </w:rPr>
        <w:t>采购人与中标供应商自中标通知书发出之日起10个工作日内签订政府采购合同，并按财政部门规定提交备案。</w:t>
      </w:r>
      <w:r>
        <w:rPr>
          <w:rFonts w:ascii="黑体" w:eastAsia="黑体" w:hint="eastAsia"/>
          <w:kern w:val="2"/>
          <w:lang w:eastAsia="zh-CN"/>
        </w:rPr>
        <w:t>48.合同变更</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合同变更事宜按《深圳市财政局关于优化政府采购合同备案的通知》（深财发保〔2022〕2号）相关规定执行。</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49.项目验收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49.1采购人应当按照招标文件和合同规定的标准和方法，及时组织验收。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50.宣传</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凡与政府采购活动有关的宣传或广告，若当中提及政府采购，</w:t>
      </w:r>
      <w:r>
        <w:rPr>
          <w:rFonts w:eastAsia="宋体"/>
          <w:kern w:val="2"/>
          <w:sz w:val="21"/>
          <w:lang w:eastAsia="zh-CN"/>
        </w:rPr>
        <w:t>必须事先将具体对外宣传方案报</w:t>
      </w:r>
      <w:r>
        <w:rPr>
          <w:rFonts w:eastAsia="宋体" w:hint="eastAsia"/>
          <w:kern w:val="2"/>
          <w:sz w:val="21"/>
          <w:lang w:eastAsia="zh-CN"/>
        </w:rPr>
        <w:t>同级财政部门</w:t>
      </w:r>
      <w:r>
        <w:rPr>
          <w:rFonts w:eastAsia="宋体"/>
          <w:kern w:val="2"/>
          <w:sz w:val="21"/>
          <w:lang w:eastAsia="zh-CN"/>
        </w:rPr>
        <w:t>和</w:t>
      </w:r>
      <w:r>
        <w:rPr>
          <w:rFonts w:eastAsia="宋体" w:hint="eastAsia"/>
          <w:kern w:val="2"/>
          <w:sz w:val="21"/>
          <w:lang w:eastAsia="zh-CN"/>
        </w:rPr>
        <w:t>采购代理机构</w:t>
      </w:r>
      <w:r>
        <w:rPr>
          <w:rFonts w:eastAsia="宋体"/>
          <w:kern w:val="2"/>
          <w:sz w:val="21"/>
          <w:lang w:eastAsia="zh-CN"/>
        </w:rPr>
        <w:t>，并征得其同意。对外市场宣传包括但不限于以下形式：</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a.名片、宣传册、广告标语等；</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b.案例介绍、推广等；</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c.工作</w:t>
      </w:r>
      <w:r>
        <w:rPr>
          <w:rFonts w:eastAsia="宋体"/>
          <w:kern w:val="2"/>
          <w:sz w:val="21"/>
          <w:lang w:eastAsia="zh-CN"/>
        </w:rPr>
        <w:t>人员向其他消费群体宣传。</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51.供应商违法责任</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w:t>
      </w:r>
      <w:r>
        <w:rPr>
          <w:rFonts w:eastAsia="宋体"/>
          <w:kern w:val="2"/>
          <w:sz w:val="21"/>
          <w:lang w:eastAsia="zh-CN"/>
        </w:rPr>
        <w:t>1.1</w:t>
      </w:r>
      <w:r>
        <w:rPr>
          <w:rFonts w:eastAsia="宋体" w:hint="eastAsia"/>
          <w:kern w:val="2"/>
          <w:sz w:val="21"/>
          <w:lang w:eastAsia="zh-CN"/>
        </w:rPr>
        <w:t>《深圳经济特区政府采购条例》第五十七条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（1）在采购活动中应当回避而未回避的；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（2）未按本条例规定签订、履行采购合同，造成严重后果的；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（3）隐瞒真实情况，提供虚假资料的；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（4）以非法手段排斥其他供应商参与竞争的；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（5）与其他采购参加人串通投标的；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（6）恶意投诉的；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（7）向采购项目相关人行贿或者提供其他不当利益的；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（8）阻碍、抗拒主管部门监督检查的；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（9）其他违反本条例规定的行为。</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w:t>
      </w:r>
      <w:r>
        <w:rPr>
          <w:rFonts w:eastAsia="宋体"/>
          <w:kern w:val="2"/>
          <w:sz w:val="21"/>
          <w:lang w:eastAsia="zh-CN"/>
        </w:rPr>
        <w:t>1.2</w:t>
      </w:r>
      <w:r>
        <w:rPr>
          <w:rFonts w:eastAsia="宋体" w:hint="eastAsia"/>
          <w:kern w:val="2"/>
          <w:sz w:val="21"/>
          <w:lang w:eastAsia="zh-CN"/>
        </w:rPr>
        <w:t>根据《深圳市财政局关于调整政府采购投标（响应）保证金管理政策的通知》（深财购〔2021〕51号）的要求，供应商在政府采购活动中出现《深圳经济特区政府采购条例实施细则》第八十条所列情形的，</w:t>
      </w:r>
      <w:bookmarkStart w:id="149" w:name="_Hlk72440769"/>
      <w:r>
        <w:rPr>
          <w:rFonts w:eastAsia="宋体" w:hint="eastAsia"/>
          <w:kern w:val="2"/>
          <w:sz w:val="21"/>
          <w:lang w:eastAsia="zh-CN"/>
        </w:rPr>
        <w:t>采购代理机构或采购人不予退还其交纳的谈判保证金，情节严重的，并由主管部门</w:t>
      </w:r>
      <w:bookmarkEnd w:id="149"/>
      <w:r>
        <w:rPr>
          <w:rFonts w:eastAsia="宋体" w:hint="eastAsia"/>
          <w:kern w:val="2"/>
          <w:sz w:val="21"/>
          <w:lang w:eastAsia="zh-CN"/>
        </w:rPr>
        <w:t>记入供应商诚信档案，予以通报：</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w:t>
      </w:r>
      <w:r>
        <w:rPr>
          <w:rFonts w:eastAsia="宋体"/>
          <w:kern w:val="2"/>
          <w:sz w:val="21"/>
          <w:lang w:eastAsia="zh-CN"/>
        </w:rPr>
        <w:t>）投标截止后，撤销投标的；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w:t>
      </w:r>
      <w:r>
        <w:rPr>
          <w:rFonts w:eastAsia="宋体" w:hint="eastAsia"/>
          <w:kern w:val="2"/>
          <w:sz w:val="21"/>
          <w:lang w:eastAsia="zh-CN"/>
        </w:rPr>
        <w:t>2</w:t>
      </w:r>
      <w:r>
        <w:rPr>
          <w:rFonts w:eastAsia="宋体"/>
          <w:kern w:val="2"/>
          <w:sz w:val="21"/>
          <w:lang w:eastAsia="zh-CN"/>
        </w:rPr>
        <w:t>）中标后无正当理由未在规定期限内签订合同的；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w:t>
      </w:r>
      <w:r>
        <w:rPr>
          <w:rFonts w:eastAsia="宋体" w:hint="eastAsia"/>
          <w:kern w:val="2"/>
          <w:sz w:val="21"/>
          <w:lang w:eastAsia="zh-CN"/>
        </w:rPr>
        <w:t>3</w:t>
      </w:r>
      <w:r>
        <w:rPr>
          <w:rFonts w:eastAsia="宋体"/>
          <w:kern w:val="2"/>
          <w:sz w:val="21"/>
          <w:lang w:eastAsia="zh-CN"/>
        </w:rPr>
        <w:t>）将中标项目转让给他人、或者在投标文件中未说明且未经采购人、采购招标机构同意，将中标项目分包给他人的；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kern w:val="2"/>
          <w:sz w:val="21"/>
          <w:lang w:eastAsia="zh-CN"/>
        </w:rPr>
        <w:t>（</w:t>
      </w:r>
      <w:r>
        <w:rPr>
          <w:rFonts w:eastAsia="宋体" w:hint="eastAsia"/>
          <w:kern w:val="2"/>
          <w:sz w:val="21"/>
          <w:lang w:eastAsia="zh-CN"/>
        </w:rPr>
        <w:t>4</w:t>
      </w:r>
      <w:r>
        <w:rPr>
          <w:rFonts w:eastAsia="宋体"/>
          <w:kern w:val="2"/>
          <w:sz w:val="21"/>
          <w:lang w:eastAsia="zh-CN"/>
        </w:rPr>
        <w:t>）拒绝履行合同义务的</w:t>
      </w:r>
      <w:r>
        <w:rPr>
          <w:rFonts w:eastAsia="宋体" w:hint="eastAsia"/>
          <w:kern w:val="2"/>
          <w:sz w:val="21"/>
          <w:lang w:eastAsia="zh-CN"/>
        </w:rPr>
        <w:t>。</w:t>
      </w:r>
    </w:p>
    <w:bookmarkEnd w:id="133"/>
    <w:p>
      <w:pPr>
        <w:wordWrap w:val="0"/>
        <w:autoSpaceDE w:val="0"/>
        <w:autoSpaceDN w:val="0"/>
        <w:spacing w:line="360" w:lineRule="auto"/>
        <w:ind w:right="808" w:firstLine="480" w:firstLineChars="200"/>
        <w:jc w:val="both"/>
        <w:rPr>
          <w:rFonts w:eastAsia="宋体"/>
          <w:b/>
          <w:kern w:val="2"/>
          <w:lang w:eastAsia="zh-CN"/>
        </w:rPr>
      </w:pPr>
    </w:p>
    <w:p>
      <w:pPr>
        <w:keepNext/>
        <w:keepLines/>
        <w:wordWrap w:val="0"/>
        <w:autoSpaceDE w:val="0"/>
        <w:autoSpaceDN w:val="0"/>
        <w:spacing w:line="360" w:lineRule="auto"/>
        <w:ind w:right="808" w:firstLine="640" w:firstLineChars="200"/>
        <w:jc w:val="center"/>
        <w:outlineLvl w:val="1"/>
        <w:rPr>
          <w:rFonts w:ascii="Arial" w:eastAsia="宋体" w:hAnsi="Arial"/>
          <w:b/>
          <w:kern w:val="2"/>
          <w:sz w:val="32"/>
          <w:lang w:eastAsia="zh-CN"/>
        </w:rPr>
      </w:pPr>
      <w:bookmarkStart w:id="150" w:name="_Toc19433"/>
      <w:r>
        <w:rPr>
          <w:rFonts w:ascii="Arial" w:eastAsia="宋体" w:hAnsi="Arial" w:hint="eastAsia"/>
          <w:b/>
          <w:kern w:val="2"/>
          <w:sz w:val="32"/>
          <w:lang w:eastAsia="zh-CN"/>
        </w:rPr>
        <w:t>第十一章  质疑处理</w:t>
      </w:r>
      <w:bookmarkEnd w:id="150"/>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52.质疑提出与答复</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52.1提出质疑</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参与政府采购活动的供应商认为自己的权益在采购活动中受到损害的，应当自知道或者应当知道其权益受到损害之日起七个工作日内向采购人、采购代理机构以书面形式提出质疑。</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52.2</w:t>
      </w:r>
      <w:r>
        <w:rPr>
          <w:rFonts w:eastAsia="宋体"/>
          <w:kern w:val="2"/>
          <w:sz w:val="21"/>
          <w:lang w:eastAsia="zh-CN"/>
        </w:rPr>
        <w:t>法律依据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《中华人民共和国政府采购法》、《中华人民共和国政府采购法实施条例》、</w:t>
      </w:r>
      <w:r>
        <w:rPr>
          <w:rFonts w:eastAsia="宋体"/>
          <w:kern w:val="2"/>
          <w:sz w:val="21"/>
          <w:lang w:eastAsia="zh-CN"/>
        </w:rPr>
        <w:t>《</w:t>
      </w:r>
      <w:r>
        <w:rPr>
          <w:rFonts w:eastAsia="宋体" w:hint="eastAsia"/>
          <w:kern w:val="2"/>
          <w:sz w:val="21"/>
          <w:lang w:eastAsia="zh-CN"/>
        </w:rPr>
        <w:t>深圳经济特区政府采购</w:t>
      </w:r>
      <w:r>
        <w:rPr>
          <w:rFonts w:eastAsia="宋体"/>
          <w:kern w:val="2"/>
          <w:sz w:val="21"/>
          <w:lang w:eastAsia="zh-CN"/>
        </w:rPr>
        <w:t>条例</w:t>
      </w:r>
      <w:r>
        <w:rPr>
          <w:rFonts w:eastAsia="宋体" w:hint="eastAsia"/>
          <w:kern w:val="2"/>
          <w:sz w:val="21"/>
          <w:lang w:eastAsia="zh-CN"/>
        </w:rPr>
        <w:t>》、《深圳经济特区政府采购条例实施细则》、《政府采购质疑和投诉办法》（财政部令第94号）和其他有关法律法规规定。</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52.3质疑条件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52.3.1提出质疑的供应商应当是参与所质疑项目采购活动的供应商；</w:t>
      </w:r>
      <w:bookmarkStart w:id="151" w:name="_Hlk75374941"/>
      <w:r>
        <w:rPr>
          <w:rFonts w:eastAsia="宋体" w:hint="eastAsia"/>
          <w:kern w:val="2"/>
          <w:sz w:val="21"/>
          <w:lang w:eastAsia="zh-CN"/>
        </w:rPr>
        <w:t>以联合体形式参与的，质疑应当由组成联合体的所有成员共同提出</w:t>
      </w:r>
      <w:bookmarkEnd w:id="151"/>
      <w:r>
        <w:rPr>
          <w:rFonts w:eastAsia="宋体" w:hint="eastAsia"/>
          <w:kern w:val="2"/>
          <w:sz w:val="21"/>
          <w:lang w:eastAsia="zh-CN"/>
        </w:rPr>
        <w:t>；</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52.3.3应提交书面质疑函，质疑函应当包括以下内容：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（1）供应商的名称（或者姓名）、地址、邮编、邮箱、联系人及联系电话；</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（2）质疑项目的名称、编号；</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（3）具体、明确的质疑对象、质疑事项和质疑请求；</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（4）因质疑事项而受损害的权益；</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（5）事实依据；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（6）必要的法律依据；</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（7）提出质疑的日期。</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供应商为自然人的，应当由本人签字；供应商为法人或者其他组织的，应当由法定代表人（负责人），或者其授权代理人签字或者盖章，并加盖公章。</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52.4提交</w:t>
      </w:r>
      <w:r>
        <w:rPr>
          <w:rFonts w:eastAsia="宋体"/>
          <w:kern w:val="2"/>
          <w:sz w:val="21"/>
          <w:lang w:eastAsia="zh-CN"/>
        </w:rPr>
        <w:t>材料</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供应商质疑实行实名制。供应商为自然人的，应当提交本人身份证复印件；供应商为法人或者其他组织的，应当根据自身性质提交营业执照复印件或者其他证明文件（如事业单位法人证书等）复印件。</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供应商可以委托代理人进行质疑。</w:t>
      </w:r>
      <w:r>
        <w:rPr>
          <w:rFonts w:eastAsia="宋体"/>
          <w:kern w:val="2"/>
          <w:sz w:val="21"/>
          <w:lang w:eastAsia="zh-CN"/>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52.5收文地点</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地址：深圳市千里招标代理有限公司（地址：深圳市龙华区民治街道民强社区梅龙路和民旺路相交处民治商贸广场B2102）。</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52.6收文办理</w:t>
      </w:r>
      <w:r>
        <w:rPr>
          <w:rFonts w:eastAsia="宋体"/>
          <w:kern w:val="2"/>
          <w:sz w:val="21"/>
          <w:lang w:eastAsia="zh-CN"/>
        </w:rPr>
        <w:t>程序</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52.6.1供应商提交的质疑符合受理条件的，采购代理机构自收到质疑材料之日起即为受理，应当向供应商出具质疑函收文回执并可以要求其递交质疑的法定代表人（负责人）或者授权代理人签署质疑文书送达地址确认书。</w:t>
      </w:r>
    </w:p>
    <w:p>
      <w:pPr>
        <w:wordWrap w:val="0"/>
        <w:autoSpaceDE w:val="0"/>
        <w:autoSpaceDN w:val="0"/>
        <w:spacing w:line="400" w:lineRule="exact"/>
        <w:ind w:right="808" w:firstLine="420" w:firstLineChars="200"/>
        <w:jc w:val="both"/>
        <w:rPr>
          <w:rFonts w:ascii="仿宋" w:eastAsia="仿宋" w:hAnsi="仿宋" w:hint="eastAsia"/>
          <w:kern w:val="2"/>
          <w:sz w:val="28"/>
          <w:szCs w:val="28"/>
          <w:lang w:eastAsia="zh-CN"/>
        </w:rPr>
      </w:pPr>
      <w:r>
        <w:rPr>
          <w:rFonts w:eastAsia="宋体" w:hint="eastAsia"/>
          <w:kern w:val="2"/>
          <w:sz w:val="21"/>
          <w:lang w:eastAsia="zh-CN"/>
        </w:rPr>
        <w:t>52.6.2供应商提交的质疑材料不符合质疑条件的，视情况处理：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供应商提交的质疑材料不全或者未按要求签字或者盖章的，采购代理机构应当一次性告知供应商需补正的内容和补正期限。</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供应商提交的质疑存在下列情形之一的，不予受理：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（1）质疑主体不满足要求的；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（2）供应商自身权益未受到损害的；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（3）供应商未在法定质疑期限内提出质疑的；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（4）质疑材料不全或者未按要求签字或者盖章的情况下，要求补正后，逾期未补正或者补正后仍不符合规定的；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（5）其他不符合受理条件情形的。</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质疑事项不予受理的，采购代理机构应当向供应商出具不符合质疑条件告知书。</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52.7质疑答复时限</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自收文之日起七个工作日内。</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52.8投诉</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对质疑答复不满意或者未在规定时间内答复的，提出质疑的供应商可以在答复期满后15个工作日内向本项目预算主管单位投诉。</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53.质疑后续处理</w:t>
      </w:r>
    </w:p>
    <w:p>
      <w:pPr>
        <w:wordWrap w:val="0"/>
        <w:autoSpaceDE w:val="0"/>
        <w:autoSpaceDN w:val="0"/>
        <w:spacing w:line="400" w:lineRule="exact"/>
        <w:ind w:right="808" w:firstLine="420" w:firstLineChars="200"/>
        <w:jc w:val="both"/>
        <w:rPr>
          <w:rFonts w:eastAsia="宋体"/>
          <w:kern w:val="2"/>
          <w:sz w:val="21"/>
          <w:lang w:eastAsia="zh-CN"/>
        </w:rPr>
      </w:pPr>
      <w:r>
        <w:rPr>
          <w:rFonts w:eastAsia="宋体" w:hint="eastAsia"/>
          <w:kern w:val="2"/>
          <w:sz w:val="21"/>
          <w:lang w:eastAsia="zh-CN"/>
        </w:rPr>
        <w:t>53.1供应商质疑不成立，或者成立但未对中标、成交结果构成影响的，继续开展采购活动。</w:t>
      </w:r>
    </w:p>
    <w:p>
      <w:pPr>
        <w:wordWrap w:val="0"/>
        <w:autoSpaceDE w:val="0"/>
        <w:autoSpaceDN w:val="0"/>
        <w:spacing w:line="400" w:lineRule="exact"/>
        <w:ind w:right="808" w:firstLine="420" w:firstLineChars="200"/>
        <w:jc w:val="both"/>
        <w:rPr>
          <w:rFonts w:ascii="微软雅黑" w:eastAsia="微软雅黑" w:hAnsi="微软雅黑" w:cs="微软雅黑" w:hint="eastAsia"/>
          <w:color w:val="333333"/>
          <w:lang w:val="en" w:eastAsia="zh-CN"/>
        </w:rPr>
        <w:sectPr>
          <w:headerReference w:type="default" r:id="rId22"/>
          <w:footerReference w:type="default" r:id="rId23"/>
          <w:pgSz w:w="12240" w:h="15840"/>
          <w:pgMar w:top="1440" w:right="1800" w:bottom="1440" w:left="1800" w:header="708" w:footer="708" w:gutter="0"/>
          <w:cols w:num="1" w:space="708"/>
        </w:sectPr>
      </w:pPr>
      <w:r>
        <w:rPr>
          <w:rFonts w:eastAsia="宋体" w:hint="eastAsia"/>
          <w:kern w:val="2"/>
          <w:sz w:val="21"/>
          <w:lang w:eastAsia="zh-CN"/>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投标文件格式</w:t>
      </w:r>
    </w:p>
    <w:p>
      <w:pPr>
        <w:pBdr>
          <w:top w:val="none" w:sz="0" w:space="0" w:color="auto"/>
          <w:left w:val="none" w:sz="0" w:space="0" w:color="auto"/>
          <w:bottom w:val="none" w:sz="0" w:space="0" w:color="auto"/>
          <w:right w:val="none" w:sz="0" w:space="0" w:color="auto"/>
        </w:pBdr>
        <w:spacing w:before="0" w:after="0" w:line="504" w:lineRule="atLeast"/>
        <w:ind w:left="15" w:right="15"/>
        <w:jc w:val="center"/>
        <w:rPr>
          <w:rFonts w:ascii="FangSong" w:eastAsia="FangSong" w:hAnsi="FangSong" w:cs="FangSong"/>
          <w:b/>
          <w:bCs/>
          <w:color w:val="333333"/>
          <w:sz w:val="28"/>
          <w:szCs w:val="28"/>
          <w:lang w:val="en" w:eastAsia="en"/>
        </w:rPr>
      </w:pPr>
      <w:r>
        <w:rPr>
          <w:rFonts w:ascii="FangSong" w:eastAsia="FangSong" w:hAnsi="FangSong" w:cs="FangSong"/>
          <w:b/>
          <w:bCs/>
          <w:color w:val="333333"/>
          <w:sz w:val="28"/>
          <w:szCs w:val="28"/>
          <w:lang w:val="en" w:eastAsia="en"/>
        </w:rPr>
        <w:t>幼儿园家私采购-A</w:t>
      </w:r>
    </w:p>
    <w:tbl>
      <w:tblPr>
        <w:tblStyle w:val="typotable"/>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44"/>
        <w:gridCol w:w="749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tblHeader/>
        </w:trPr>
        <w:tc>
          <w:tcPr>
            <w:tcW w:w="9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41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文件夹/文件名称</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龙华区教育局自行采购投标及履约承诺函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投标人情况及资格证明文件</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分项报价清单</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股东构成审查表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法定代表人（负责人）证明书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供应商基本情况表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投标文件签署授权委托书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实质性条款响应情况表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技术要求偏离表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商务要求偏离表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技术保障措施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效果图</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售后服务评价</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样品</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同类项目业绩</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环保产品</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诚信承诺函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投标人认为需要加以说明的其他内容</w:t>
            </w:r>
          </w:p>
        </w:tc>
      </w:tr>
    </w:tbl>
    <w:p>
      <w:pPr>
        <w:pBdr>
          <w:top w:val="none" w:sz="0" w:space="0" w:color="auto"/>
          <w:left w:val="none" w:sz="0" w:space="0" w:color="auto"/>
          <w:bottom w:val="none" w:sz="0" w:space="0" w:color="auto"/>
          <w:right w:val="none" w:sz="0" w:space="0" w:color="auto"/>
        </w:pBdr>
        <w:spacing w:line="432" w:lineRule="atLeast"/>
        <w:rPr>
          <w:rFonts w:ascii="FangSong" w:eastAsia="FangSong" w:hAnsi="FangSong" w:cs="FangSong"/>
          <w:b/>
          <w:bCs/>
          <w:color w:val="333333"/>
          <w:lang w:val="en" w:eastAsia="en"/>
        </w:rPr>
        <w:sectPr>
          <w:pgMar w:header="708" w:footer="708"/>
          <w:cols w:space="708"/>
        </w:sectPr>
      </w:pP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评标办法附表</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1.标段基本信息</w:t>
      </w:r>
    </w:p>
    <w:p>
      <w:pPr>
        <w:pBdr>
          <w:top w:val="none" w:sz="0" w:space="0" w:color="auto"/>
          <w:left w:val="none" w:sz="0" w:space="0" w:color="auto"/>
          <w:bottom w:val="none" w:sz="0" w:space="0" w:color="auto"/>
          <w:right w:val="none" w:sz="0" w:space="0" w:color="auto"/>
        </w:pBdr>
        <w:spacing w:after="0"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标段编号：</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LHAZXDL-2025-00685-001</w:t>
      </w:r>
      <w:r>
        <w:rPr>
          <w:rFonts w:ascii="FangSong" w:eastAsia="FangSong" w:hAnsi="FangSong" w:cs="FangSong"/>
          <w:color w:val="333333"/>
          <w:u w:val="single" w:color="333333"/>
          <w:lang w:val="en" w:eastAsia="en"/>
        </w:rPr>
        <w:br/>
      </w:r>
      <w:r>
        <w:rPr>
          <w:rFonts w:ascii="FangSong" w:eastAsia="FangSong" w:hAnsi="FangSong" w:cs="FangSong"/>
          <w:color w:val="333333"/>
          <w:lang w:val="en" w:eastAsia="en"/>
        </w:rPr>
        <w:t>标段名称：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幼儿园家私采购-A</w:t>
      </w:r>
      <w:r>
        <w:rPr>
          <w:rFonts w:ascii="FangSong" w:eastAsia="FangSong" w:hAnsi="FangSong" w:cs="FangSong"/>
          <w:color w:val="333333"/>
          <w:u w:val="single" w:color="333333"/>
          <w:lang w:val="en" w:eastAsia="en"/>
        </w:rPr>
        <w:br/>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2.入围参数</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是否过多投标人淘汰：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否</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3.评审步骤</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142"/>
        <w:gridCol w:w="6852"/>
        <w:gridCol w:w="114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30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评审步骤</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分值</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资格评审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初步评审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详细评审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报价修正</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价格评审</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综合评分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推荐中标候选人</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bl>
    <w:p>
      <w:pPr>
        <w:pBdr>
          <w:top w:val="none" w:sz="0" w:space="0" w:color="auto"/>
          <w:left w:val="none" w:sz="0" w:space="0" w:color="auto"/>
          <w:bottom w:val="none" w:sz="0" w:space="0" w:color="auto"/>
          <w:right w:val="none" w:sz="0" w:space="0" w:color="auto"/>
        </w:pBdr>
        <w:spacing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4.评审条款</w:t>
      </w:r>
    </w:p>
    <w:p>
      <w:pPr>
        <w:pBdr>
          <w:top w:val="none" w:sz="0" w:space="0" w:color="auto"/>
          <w:left w:val="none" w:sz="0" w:space="0" w:color="auto"/>
          <w:bottom w:val="none" w:sz="0" w:space="0" w:color="auto"/>
          <w:right w:val="none" w:sz="0" w:space="0" w:color="auto"/>
        </w:pBdr>
        <w:spacing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中标候选人：</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委托评标委员会直接定标</w:t>
      </w:r>
      <w:r>
        <w:rPr>
          <w:rFonts w:ascii="FangSong" w:eastAsia="FangSong" w:hAnsi="FangSong" w:cs="FangSong"/>
          <w:color w:val="333333"/>
          <w:lang w:val="en" w:eastAsia="en"/>
        </w:rPr>
        <w:br/>
      </w:r>
      <w:r>
        <w:rPr>
          <w:rFonts w:ascii="FangSong" w:eastAsia="FangSong" w:hAnsi="FangSong" w:cs="FangSong"/>
          <w:color w:val="333333"/>
          <w:lang w:val="en" w:eastAsia="en"/>
        </w:rPr>
        <w:br/>
      </w:r>
      <w:r>
        <w:rPr>
          <w:rFonts w:ascii="FangSong" w:eastAsia="FangSong" w:hAnsi="FangSong" w:cs="FangSong"/>
          <w:b/>
          <w:bCs/>
          <w:color w:val="000000"/>
          <w:lang w:val="en" w:eastAsia="en"/>
        </w:rPr>
        <w:t>4.1 资格评审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资质要求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1、具有独立法人资格或具有独立承担民事责任的能力的其它组织（提供营业执照或事业单位法人证等法人证明扫描件，原件备查）。：</w:t>
            </w:r>
            <w:r>
              <w:rPr>
                <w:rFonts w:ascii="FangSong" w:eastAsia="FangSong" w:hAnsi="FangSong" w:cs="FangSong"/>
                <w:color w:val="666666"/>
                <w:lang w:val="en" w:eastAsia="en"/>
              </w:rPr>
              <w:br/>
            </w:r>
            <w:r>
              <w:rPr>
                <w:rFonts w:ascii="FangSong" w:eastAsia="FangSong" w:hAnsi="FangSong" w:cs="FangSong"/>
                <w:color w:val="666666"/>
                <w:lang w:val="en" w:eastAsia="en"/>
              </w:rPr>
              <w:t>1、具有独立法人资格或具有独立承担民事责任的能力的其它组织（提供营业执照或事业单位法人证等法人证明扫描件，原件备查）。</w:t>
            </w:r>
            <w:r>
              <w:rPr>
                <w:rFonts w:ascii="FangSong" w:eastAsia="FangSong" w:hAnsi="FangSong" w:cs="FangSong"/>
                <w:color w:val="666666"/>
                <w:lang w:val="en" w:eastAsia="en"/>
              </w:rPr>
              <w:br/>
            </w:r>
            <w:r>
              <w:rPr>
                <w:rFonts w:ascii="FangSong" w:eastAsia="FangSong" w:hAnsi="FangSong" w:cs="FangSong"/>
                <w:color w:val="666666"/>
                <w:lang w:val="en" w:eastAsia="en"/>
              </w:rPr>
              <w:t>2、参与本项目投标前三年内，在经营活动中没有重大违法记录（由供应商在《龙华区教育局自行采购投标及履约承诺函》中作出声明）。：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2、参与本项目投标前三年内，在经营活动中没有重大违法记录（由供应商在《龙华区教育局自行采购投标及履约承诺函》中作出声明）。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3、参与本项目政府采购活动时不存在被有关部门禁止参与政府采购活动且在有效期内的情况（由供应商在《龙华区教育局自行采购投标及履约承诺函》中作出声明）。：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3、参与本项目政府采购活动时不存在被有关部门禁止参与政府采购活动且在有效期内的情况（由供应商在《龙华区教育局自行采购投标及履约承诺函》中作出声明）。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4、具备《中华人民共和国政府采购法》第二十二条第一款的条件（由供应商在《龙华区教育局自行采购投标及履约承诺函》中作出声明）。：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4、具备《中华人民共和国政府采购法》第二十二条第一款的条件（由供应商在《龙华区教育局自行采购投标及履约承诺函》中作出声明）。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5、参与本项目政府采购活动时未被列入失信被执行人、重大税收违法失信主体、政府采购严重违法失信行为记录名单（由供应商在《龙华区教育局自行采购投标及履约承诺函》中作出承诺）。备注：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w:t>
            </w:r>
            <w:r>
              <w:rPr>
                <w:rFonts w:ascii="FangSong" w:eastAsia="FangSong" w:hAnsi="FangSong" w:cs="FangSong"/>
                <w:color w:val="666666"/>
                <w:lang w:val="en" w:eastAsia="en"/>
              </w:rPr>
              <w:br/>
            </w:r>
            <w:r>
              <w:rPr>
                <w:rFonts w:ascii="FangSong" w:eastAsia="FangSong" w:hAnsi="FangSong" w:cs="FangSong"/>
                <w:color w:val="666666"/>
                <w:lang w:val="en" w:eastAsia="en"/>
              </w:rPr>
              <w:t>5、参与本项目政府采购活动时未被列入失信被执行人、重大税收违法失信主体、政府采购严重违法失信行为记录名单（由供应商在《龙华区教育局自行采购投标及履约承诺函》中作出承诺）。备注：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w:t>
            </w:r>
            <w:r>
              <w:rPr>
                <w:rFonts w:ascii="FangSong" w:eastAsia="FangSong" w:hAnsi="FangSong" w:cs="FangSong"/>
                <w:color w:val="666666"/>
                <w:lang w:val="en" w:eastAsia="en"/>
              </w:rPr>
              <w:br/>
            </w:r>
            <w:r>
              <w:rPr>
                <w:rFonts w:ascii="FangSong" w:eastAsia="FangSong" w:hAnsi="FangSong" w:cs="FangSong"/>
                <w:color w:val="666666"/>
                <w:lang w:val="en" w:eastAsia="en"/>
              </w:rPr>
              <w:t>6、投标人不存在《深圳市财政局政府采购供应商信用信息管理办法》（深财规〔2023〕3号）列明的严重违法失信行为（由供应商在《龙华区教育局自行采购投标及履约承诺函》中作出声明）。：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6、投标人不存在《深圳市财政局政府采购供应商信用信息管理办法》（深财规〔2023〕3号）列明的严重违法失信行为（由供应商在《龙华区教育局自行采购投标及履约承诺函》中作出声明）。</w:t>
            </w:r>
            <w:r>
              <w:rPr>
                <w:rFonts w:ascii="FangSong" w:eastAsia="FangSong" w:hAnsi="FangSong" w:cs="FangSong"/>
                <w:color w:val="666666"/>
                <w:lang w:val="en" w:eastAsia="en"/>
              </w:rPr>
              <w:br/>
            </w:r>
            <w:r>
              <w:rPr>
                <w:rFonts w:ascii="FangSong" w:eastAsia="FangSong" w:hAnsi="FangSong" w:cs="FangSong"/>
                <w:color w:val="666666"/>
                <w:lang w:val="en" w:eastAsia="en"/>
              </w:rPr>
              <w:t>7、为采购项目提供整体设计、规范编制或者项目管理、监理、检测等服务的供应商，不得再参加该采购项目同一合同项下的其他采购活动。（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7、为采购项目提供整体设计、规范编制或者项目管理、监理、检测等服务的供应商，不得再参加该采购项目同一合同项下的其他采购活动。（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8、单位负责人为同一人或者存在直接控股、管理关系的不同供应商，不得参加同一合同项下的政府采购活动。（由供应商在《龙华区教育局自行采购投标及履约承诺函》中作出承诺）。：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8、单位负责人为同一人或者存在直接控股、管理关系的不同供应商，不得参加同一合同项下的政府采购活动。（由供应商在《龙华区教育局自行采购投标及履约承诺函》中作出承诺）。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9、本项目属于专门面向中小微企业采购项目，非中小微企业不得投标。（需提供符合要求的《中小微企业声明函》格式详见招标文件（按本项目规定的所属行业填写），其中企业类型为中型、小型或微型；残疾人福利单位、监狱企业视同小型、微型企业，提供残疾人福利性单位声明函或监狱企业声明函及监狱企业证明文件）。：</w:t>
            </w:r>
            <w:r>
              <w:rPr>
                <w:rFonts w:ascii="FangSong" w:eastAsia="FangSong" w:hAnsi="FangSong" w:cs="FangSong"/>
                <w:color w:val="666666"/>
                <w:lang w:val="en" w:eastAsia="en"/>
              </w:rPr>
              <w:br/>
            </w:r>
            <w:r>
              <w:rPr>
                <w:rFonts w:ascii="FangSong" w:eastAsia="FangSong" w:hAnsi="FangSong" w:cs="FangSong"/>
                <w:color w:val="666666"/>
                <w:lang w:val="en" w:eastAsia="en"/>
              </w:rPr>
              <w:t>9、本项目属于专门面向中小微企业采购项目，非中小微企业不得投标。（需提供符合要求的《中小微企业声明函》格式详见招标文件（按本项目规定的所属行业填写），其中企业类型为中型、小型或微型；残疾人福利单位、监狱企业视同小型、微型企业，提供残疾人福利性单位声明函或监狱企业声明函及监狱企业证明文件）。</w:t>
            </w:r>
            <w:r>
              <w:rPr>
                <w:rFonts w:ascii="FangSong" w:eastAsia="FangSong" w:hAnsi="FangSong" w:cs="FangSong"/>
                <w:color w:val="666666"/>
                <w:lang w:val="en" w:eastAsia="en"/>
              </w:rPr>
              <w:br/>
            </w:r>
            <w:r>
              <w:rPr>
                <w:rFonts w:ascii="FangSong" w:eastAsia="FangSong" w:hAnsi="FangSong" w:cs="FangSong"/>
                <w:color w:val="666666"/>
                <w:lang w:val="en" w:eastAsia="en"/>
              </w:rPr>
              <w:t>10、本项目不接受联合体投标，不接受进口产品参与投标，不允许转包、分包。（由供应商在《龙华区教育局自行采购投标及履约承诺函》中作出承诺）。：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10、本项目不接受联合体投标，不接受进口产品参与投标，不允许转包、分包。（由供应商在《龙华区教育局自行采购投标及履约承诺函》中作出承诺）。</w:t>
            </w:r>
            <w:r>
              <w:rPr>
                <w:rFonts w:ascii="FangSong" w:eastAsia="FangSong" w:hAnsi="FangSong" w:cs="FangSong"/>
                <w:color w:val="666666"/>
                <w:lang w:val="en" w:eastAsia="en"/>
              </w:rPr>
              <w:br/>
            </w:r>
            <w:r>
              <w:rPr>
                <w:rFonts w:ascii="FangSong" w:eastAsia="FangSong" w:hAnsi="FangSong" w:cs="FangSong"/>
                <w:color w:val="666666"/>
                <w:lang w:val="en" w:eastAsia="en"/>
              </w:rPr>
              <w:t>11、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提供《供应商基本情况表》及相关人员近3个月内的任意一个月社保缴交凭证证明（由供应商填写《供应商基本情况表》相关信息）（社保放至投标人认为需要加以说明的其他内容”即可）。：</w:t>
            </w:r>
            <w:r>
              <w:rPr>
                <w:rFonts w:ascii="FangSong" w:eastAsia="FangSong" w:hAnsi="FangSong" w:cs="FangSong"/>
                <w:color w:val="666666"/>
                <w:lang w:val="en" w:eastAsia="en"/>
              </w:rPr>
              <w:br/>
            </w:r>
            <w:r>
              <w:rPr>
                <w:rFonts w:ascii="FangSong" w:eastAsia="FangSong" w:hAnsi="FangSong" w:cs="FangSong"/>
                <w:color w:val="666666"/>
                <w:lang w:val="en" w:eastAsia="en"/>
              </w:rPr>
              <w:t>11、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提供《供应商基本情况表》及相关人员近3个月内的任意一个月社保缴交凭证证明（由供应商填写《供应商基本情况表》相关信息）（社保放至投标人认为需要加以说明的其他内容”即可）。</w:t>
            </w:r>
          </w:p>
        </w:tc>
      </w:tr>
    </w:tbl>
    <w:p>
      <w:pPr>
        <w:pBdr>
          <w:top w:val="none" w:sz="0" w:space="0" w:color="auto"/>
          <w:left w:val="none" w:sz="0" w:space="0" w:color="auto"/>
          <w:bottom w:val="none" w:sz="0" w:space="0" w:color="auto"/>
          <w:right w:val="none" w:sz="0" w:space="0" w:color="auto"/>
        </w:pBdr>
        <w:spacing w:line="240" w:lineRule="atLeast"/>
        <w:ind w:left="15" w:right="15"/>
        <w:rPr>
          <w:rFonts w:ascii="FangSong" w:eastAsia="FangSong" w:hAnsi="FangSong" w:cs="FangSong"/>
          <w:b/>
          <w:bCs/>
          <w:color w:val="000000"/>
          <w:lang w:val="en" w:eastAsia="en"/>
        </w:rPr>
      </w:pPr>
      <w:r>
        <w:rPr>
          <w:rFonts w:ascii="FangSong" w:eastAsia="FangSong" w:hAnsi="FangSong" w:cs="FangSong"/>
          <w:b/>
          <w:bCs/>
          <w:color w:val="000000"/>
          <w:lang w:val="en" w:eastAsia="en"/>
        </w:rPr>
        <w:t>4.2 初步评审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符合性审查</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不得将一个包的内容拆开投标；</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不得将一个包的内容拆开投标；</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对同一项目投标时，不得提供两套以上的投标方案（招标文件另有规定的除外）；</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对同一项目投标时，不得提供两套以上的投标方案（招标文件另有规定的除外）；</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分项报价或投标总价不得高于相应预算金额（或设定的预算金额下的最高限价）；</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分项报价或投标总价不得高于相应预算金额（或设定的预算金额下的最高限价）；</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未按招标文件所提供的样式填写《投标函》、《股东构成审查表》；未按招标文件所提供的《龙华区教育局自行采购投标及履约承诺函》进行承诺；未按招标文件对投标文件组成的要求提供投标文件；</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未按招标文件所提供的样式填写《投标函》、《股东构成审查表》；未按招标文件所提供的《龙华区教育局自行采购投标及履约承诺函》进行承诺；未按招标文件对投标文件组成的要求提供投标文件；</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采购标的所投产品货物清单报价等任意一类有缺漏项或响应不全，或者对招标文件规定的项目需求内容或者需求数量进行修改，评审委员会判定投标响应不满足采购需求；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采购标的所投产品货物清单报价等任意一类有缺漏项或响应不全，或者对招标文件规定的项目需求内容或者需求数量进行修改，评审委员会判定投标响应不满足采购需求；</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投标文件电子文档不得带病毒；</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投标文件电子文档不得带病毒；</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投标文件用不属于本公司的电子密钥进行加密的；</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投标文件用不属于本公司的电子密钥进行加密的；</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不同投标供应商投标文件“文件制作机器码”一致；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不同投标供应商投标文件“文件制作机器码”一致；</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不同投标供应商投标文件“文件创建标识码”一致；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不同投标供应商投标文件“文件创建标识码”一致；</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法律、法规、规章、规范性文件规定的其他情形。</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法律、法规、规章、规范性文件规定的其他情形。</w:t>
            </w:r>
          </w:p>
        </w:tc>
      </w:tr>
    </w:tbl>
    <w:p>
      <w:pPr>
        <w:pBdr>
          <w:top w:val="none" w:sz="0" w:space="0" w:color="auto"/>
          <w:left w:val="none" w:sz="0" w:space="0" w:color="auto"/>
          <w:bottom w:val="none" w:sz="0" w:space="0" w:color="auto"/>
          <w:right w:val="none" w:sz="0" w:space="0" w:color="auto"/>
        </w:pBdr>
        <w:spacing w:line="240" w:lineRule="atLeast"/>
        <w:ind w:left="15" w:right="15"/>
        <w:rPr>
          <w:rFonts w:ascii="FangSong" w:eastAsia="FangSong" w:hAnsi="FangSong" w:cs="FangSong"/>
          <w:b/>
          <w:bCs/>
          <w:color w:val="000000"/>
          <w:lang w:val="en" w:eastAsia="en"/>
        </w:rPr>
      </w:pPr>
      <w:r>
        <w:rPr>
          <w:rFonts w:ascii="FangSong" w:eastAsia="FangSong" w:hAnsi="FangSong" w:cs="FangSong"/>
          <w:b/>
          <w:bCs/>
          <w:color w:val="000000"/>
          <w:lang w:val="en" w:eastAsia="en"/>
        </w:rPr>
        <w:t>4.3 详细评审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按评委打分直接平均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913"/>
        <w:gridCol w:w="3289"/>
        <w:gridCol w:w="3289"/>
        <w:gridCol w:w="914"/>
        <w:gridCol w:w="731"/>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4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8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8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分值</w:t>
            </w:r>
          </w:p>
        </w:tc>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权重</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技术部分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技术保障措施</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（一）评审内容： 在投标文件中详细说明技术保障措施,内容须包括： （1）技术团队（应包含组织架构、项目负责人和分项技术人员配置等）； （2）技术方案（包括前期项目分析、产品制作安装工艺流程与规范标准、包含清单中的货物规格、材质及安全措施等）； （3）场地（应包含符合项目实际场地情况的人员、车辆及货物进出、现场环境保护等内容）； （4）车辆（计划实施的车辆使用信息）。 （二）评审标准： 方案中含有上述一个内容得10分，总计40分。在此基础上，对方案的合理性、可行性进行打分。 优：实施方案科学可行、合理、先进，保证措施具体，工期计划目标明确，得60分。 良：实施方案可行、较合理、较先进、保证措施一般，工期计划目标较明确，得20分。 中：实施方案满足招标文件要求，进度计划较可行、较合理、保证措施较差，得10分。 差：未提供实施方案，得0分。</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技术规格偏离情况</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评审小组根据《技术规格偏离表》（以下简称“偏离表”）响应情况进行打分，全部满足的得100分。除实质性条款外，一般参数负偏离一项扣0.04分，重点技术参数▲项负偏离一项扣18分，扣完为止。 偏离表应如实对应填写所投产品的具体参数。如要求提供“厂家网站截图说明书厂家出具的参数文件检验报告”等证明资料的，需按要求提供相关证明资料；提供的证明资料与所填写内容不一致的，以证明资料为准，原件备查。</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31</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效果图</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考察内容： 投标人参考招标文件平面图（详见招标文相应章节件）提供以下内容： 根据货物清单明细中要求的货物及所在的空间提供相应的平面布局图及室内设计效果图，具体要求如下： 1.投标人根据技术要求“序号1-序号80”提供小班、中班、大班3个空间的幼儿教室区域摆放平面布置图和效果图 ，合计不少于12张图。 2.投标人根据技术要求“序号81-序号92”提供美术室空间的区域摆放平面布置图和效果图，合计不少于4张图。 3.投标人根据技术要求“序号93--序号153”提供园长办公室（2间）、副园长+安全主任办公室（1间）、财务室（1间）、教师办公室（2间）、保健室（1间）、会议室（1间）等8个空间的区域摆放平面布置图和效果图，合计不少于14张图。 4.投标人根据技术要求“序号156--序号167”提供教职工餐厅空间的区域摆放平面布置图和效果图，合计不少于4张图。 评审标准： 1.提供以上空间（需包含空间内提到的所有货物）的平面布局图及室内设计效果图，每提供一个空间可得2.3分，最高可得30分。 2.在此基础上，评标委员会根据具体响应内容进一步评审 （1）评价为优（内容完整，家具摆放设计合理、实用性强，家具设计美观、图片清晰、整体效果完全符合场景环境实际需求）的加70分； （2）评价为良（内容完整，家具摆放设计较为合理、实用性较好，家具设计较好、图片清晰、整体效果基本符合场景环境实际需求）的加30分； （3）评价为中（内容基本完整，家具摆放设计合理性一般、实用性一般，家具设计一般、图片清晰、整体效果不完全符合场景环境实际需求）的加10分； （4）评价为差（内容不完整，家具摆放设计合理性较差、实用性较差，家具设计较差、图片不清晰、整体效果不符合场景环境实际需求）的不加分。 以上2项累计得分，最高得100分。</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售后服务评价</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（一）评审内容： 投标人提供本项目的售后服务方案，方案中包含： 1、服务内容； 2、维修应急方案； 3、培训计划； 4、其他特色服务。 （二）评审标准： 方案中含有上述一个内容得10分，总计40分。在此基础上，对方案的合理性、可行性进行打分。 1、售后服务方案非常详细，保障措施完善可行，得60分； 2、售后服务方案比较具体，保障措施比较完善可行的得20分； 3、未提供售后服务方案或售后服务方案不详细、可行性较差的得0分。</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样品</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（一）评分内容 投标人需以视频形式对样品清单中“原木5格分区矮柜.可拆黑白板”的产品按照以下内容进行视频演示。视频具备声音及字幕配合，能直观展示样品，如收纳、调节等的动态演示，每个产品动态视频不少于2分钟。 1.按照样品清单要求尺寸对视频中所提供的实物“原木5格分区矮柜.可拆黑白板”进行测量，完全满足得 25 分，其他情况不得分; 2.按照样品清单要求的功能设计对视频中所提供的实物“原木5格分区矮柜.可拆黑白板”进行演示讲解，完全满足得 25 分，其他情况不得分; 3.按照样品清单要求的外观结构对视频中所提供的实物“原木5格分区矮柜.可拆黑白板”进行演示讲解，完全满足得 25 分，其他情况不得分; 4.按照样品清单要求的材质用料对视频中所提供的实物“原木5格分区矮柜.可拆黑白板”进行演示讲解，完全满足得 25 分，其他情况不得分; 以上各小项累计加分，最高得 100 分。 （二）评分依据 评审委员会根据以上“视频演示”内容和具体的演示情况进行打分，未按照以上“视频演示”内容进行演示的或演示视频无法证明是否得分的，均不得相应分数。若视频演示无法打开，则视同演示不成功，不得分。</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商务部分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其他商务条款偏离情况</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响应供应商应如实填写《其他商务条款偏离表》，评审小组根据响应情况进行打分，全部满足要求的得满分100分，除实质性条款外，每负偏离一项扣10分，扣完为止。</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同类项目业绩</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（一）评分内容： 2022年1月1日以后（以合同签定日期为准），投标人每提供一个“家具类”业绩的得50分，最高得100分。 注：续签（或补充）合同不重复计算； （二）评分依据： 1、投标人提供的每项业绩须按以下要求同时提供完整准确的证明文件，如未按以下要求提供完整证明文件的业绩不计分： （1）提供合同关键信息（含签订合同双方的单位名称、合同项目名称、签订合同双方的落款盖章、签订日期的关键页、合同清单）； （2）验收报告，需加盖采购单位或被服务单位公章（或业务章）； （3）中标通知书或项目合同发票。 2、未提供有效证明材料的或者提供的证明材料不符合要求的或者提供的证明材料不清晰导致评审专家无法辨认的，一律作不得分处理。</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环保产品</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1.投标人或核心产品制造商提供第三方机构颁发的《儿童安全级产品认证证书》，认证单元包含：实木家具、板木家具等，产品符合CTS 08001-2020《家具产品儿童安全级评价技术规范》的要求，其认证产品包含但不限于桌台类、柜类、椅类等，满足得20分，否则不得分。 2.投标人或核心产品制造商提供第三方机构颁发的《低甲醛家具产品认证证书》（符合GBT 35607-2024），认证单元包含：木家具；金属家具；软体家具，满足得20分，否则不得分。 3.投标人或核心产品制造商提供第三方机构颁发的《产品抗菌认证证书》（认证依据：QBT 4371-2012）。认证单元包含：木家具；金属家具；软体家具，满足得20分，否则不得分。 4.投标人或其核心产品制造商具有通过第三方机构颁发的《有害物质过程控制管理体系认证证书》，认证范围包含但不限于幼儿家具、儿童户外游乐设施的设计开发、生产和销售所涉及的有害物质管理活动。满足得20分，否则不得分。 5.投标人或其核心产品制造商具有第三方认证机构颁发的《产品阻燃等级认证证书》（产品标准：GB 20286-2006），认证单元包含：木家具；软体家具，满足得20分，否则不得分。 注：提供以上有效期内认证证书复印件以及国家认可监督管理委员会（网址：httpwww.cnca.gov.cn）查询的截图并加盖投标人公章，否则不得分。原件备查。</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诚信承诺函</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承诺在参与龙华区教育局自行采购活动中未出现诚信或安全相关问题且不在相关主管部门处理措施实施期限内的本项得满分100分，否则不得分。须提供加盖投标人公章的《诚信承诺函》，按采购文件格式要求提供，不提供或提供的不符合要求或提供不清晰导致专家无法判断的均不得分。如被认定提供的陈述与事实不符受到行政处罚的，依法追究其责任。</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100</w:t>
            </w:r>
          </w:p>
        </w:tc>
        <w:tc>
          <w:tcPr>
            <w:tcW w:w="360" w:type="dxa"/>
            <w:tcBorders>
              <w:top w:val="single" w:sz="6" w:space="0" w:color="DDDDDD"/>
              <w:left w:val="single" w:sz="6" w:space="0" w:color="DDDDDD"/>
              <w:bottom w:val="single" w:sz="6" w:space="0" w:color="DDDDDD"/>
              <w:right w:val="single" w:sz="6" w:space="0" w:color="DDDDDD"/>
            </w:tcBorders>
            <w:tcMar>
              <w:top w:w="0" w:type="dxa"/>
              <w:left w:w="0" w:type="dxa"/>
              <w:bottom w:w="0" w:type="dxa"/>
              <w:right w:w="0"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r>
    </w:tbl>
    <w:p>
      <w:pPr>
        <w:keepLines/>
        <w:pBdr>
          <w:top w:val="none" w:sz="0" w:space="0" w:color="auto"/>
          <w:left w:val="none" w:sz="0" w:space="0" w:color="auto"/>
          <w:bottom w:val="none" w:sz="0" w:space="0" w:color="auto"/>
          <w:right w:val="none" w:sz="0" w:space="0" w:color="auto"/>
        </w:pBdr>
        <w:spacing w:before="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000000"/>
          <w:lang w:val="en" w:eastAsia="en"/>
        </w:rPr>
        <w:t>4.5 价格评审</w:t>
      </w:r>
      <w:r>
        <w:rPr>
          <w:rFonts w:ascii="Microsoft YaHei" w:eastAsia="Microsoft YaHei" w:hAnsi="Microsoft YaHei" w:cs="Microsoft YaHei"/>
          <w:color w:val="333333"/>
          <w:lang w:val="en" w:eastAsia="en"/>
        </w:rPr>
        <w:t xml:space="preserve"> </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4.5.1 投标总价</w:t>
      </w:r>
      <w:r>
        <w:rPr>
          <w:rFonts w:ascii="FangSong" w:eastAsia="FangSong" w:hAnsi="FangSong" w:cs="FangSong"/>
          <w:color w:val="333333"/>
          <w:lang w:val="en" w:eastAsia="en"/>
        </w:rPr>
        <w:br/>
      </w:r>
      <w:r>
        <w:rPr>
          <w:rFonts w:ascii="FangSong" w:eastAsia="FangSong" w:hAnsi="FangSong" w:cs="FangSong"/>
          <w:color w:val="333333"/>
          <w:lang w:val="en" w:eastAsia="en"/>
        </w:rPr>
        <w:t>价格得分满分：</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30</w:t>
      </w:r>
      <w:r>
        <w:rPr>
          <w:rFonts w:ascii="FangSong" w:eastAsia="FangSong" w:hAnsi="FangSong" w:cs="FangSong"/>
          <w:color w:val="333333"/>
          <w:lang w:val="en" w:eastAsia="en"/>
        </w:rPr>
        <w:br/>
      </w:r>
      <w:r>
        <w:rPr>
          <w:rFonts w:ascii="FangSong" w:eastAsia="FangSong" w:hAnsi="FangSong" w:cs="FangSong"/>
          <w:color w:val="333333"/>
          <w:lang w:val="en" w:eastAsia="en"/>
        </w:rPr>
        <w:t>报价打分方式：</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自动算分（内插法）</w:t>
      </w:r>
      <w:r>
        <w:rPr>
          <w:rFonts w:ascii="FangSong" w:eastAsia="FangSong" w:hAnsi="FangSong" w:cs="FangSong"/>
          <w:color w:val="333333"/>
          <w:lang w:val="en" w:eastAsia="en"/>
        </w:rPr>
        <w:br/>
      </w:r>
      <w:r>
        <w:rPr>
          <w:rFonts w:ascii="FangSong" w:eastAsia="FangSong" w:hAnsi="FangSong" w:cs="FangSong"/>
          <w:color w:val="333333"/>
          <w:lang w:val="en" w:eastAsia="en"/>
        </w:rPr>
        <w:t>参与基准价计算范围的计算公式：全部投标报价</w:t>
      </w:r>
      <w:r>
        <w:rPr>
          <w:rFonts w:ascii="FangSong" w:eastAsia="FangSong" w:hAnsi="FangSong" w:cs="FangSong"/>
          <w:color w:val="333333"/>
          <w:lang w:val="en" w:eastAsia="en"/>
        </w:rPr>
        <w:br/>
      </w:r>
      <w:r>
        <w:rPr>
          <w:rFonts w:ascii="FangSong" w:eastAsia="FangSong" w:hAnsi="FangSong" w:cs="FangSong"/>
          <w:color w:val="333333"/>
          <w:lang w:val="en" w:eastAsia="en"/>
        </w:rPr>
        <w:t>评标价计算公式：评标价=投标函中的投标报价*价格扣除（上浮）比例：中小微企业（或监狱企业或残疾人福利性单位）价格扣除比例：0%；中小微联合体（协议合同金额占到联合体协议合同总金额30%以上）价格扣除比例：0%；失信供应商价格上浮比例：0%。</w:t>
      </w:r>
      <w:r>
        <w:rPr>
          <w:rFonts w:ascii="FangSong" w:eastAsia="FangSong" w:hAnsi="FangSong" w:cs="FangSong"/>
          <w:color w:val="333333"/>
          <w:lang w:val="en" w:eastAsia="en"/>
        </w:rPr>
        <w:br/>
      </w:r>
      <w:r>
        <w:rPr>
          <w:rFonts w:ascii="FangSong" w:eastAsia="FangSong" w:hAnsi="FangSong" w:cs="FangSong"/>
          <w:color w:val="333333"/>
          <w:lang w:val="en" w:eastAsia="en"/>
        </w:rPr>
        <w:t>基准价计算公式：基准价=最低评标价</w:t>
      </w:r>
      <w:r>
        <w:rPr>
          <w:rFonts w:ascii="FangSong" w:eastAsia="FangSong" w:hAnsi="FangSong" w:cs="FangSong"/>
          <w:color w:val="333333"/>
          <w:lang w:val="en" w:eastAsia="en"/>
        </w:rPr>
        <w:br/>
      </w:r>
      <w:r>
        <w:rPr>
          <w:rFonts w:ascii="FangSong" w:eastAsia="FangSong" w:hAnsi="FangSong" w:cs="FangSong"/>
          <w:color w:val="333333"/>
          <w:lang w:val="en" w:eastAsia="en"/>
        </w:rPr>
        <w:t>报价打分计算公式：得分=（基准价/评标价）*总分</w:t>
      </w:r>
    </w:p>
    <w:sectPr>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p>
  <w:p>
    <w:pPr>
      <w:pStyle w:val="Footer"/>
      <w:spacing w:after="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spacing w:after="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664B6C"/>
    <w:multiLevelType w:val="singleLevel"/>
    <w:tmpl w:val="A1664B6C"/>
    <w:lvl w:ilvl="0">
      <w:start w:val="7"/>
      <w:numFmt w:val="chineseCounting"/>
      <w:suff w:val="nothing"/>
      <w:lvlText w:val="%1、"/>
      <w:lvlJc w:val="left"/>
      <w:rPr>
        <w:rFonts w:hint="eastAsia"/>
      </w:rPr>
    </w:lvl>
  </w:abstractNum>
  <w:abstractNum w:abstractNumId="1">
    <w:nsid w:val="B609221C"/>
    <w:multiLevelType w:val="singleLevel"/>
    <w:tmpl w:val="B609221C"/>
    <w:lvl w:ilvl="0">
      <w:start w:val="1"/>
      <w:numFmt w:val="decimal"/>
      <w:suff w:val="nothing"/>
      <w:lvlText w:val="%1、"/>
      <w:lvlJc w:val="left"/>
    </w:lvl>
  </w:abstractNum>
  <w:abstractNum w:abstractNumId="2">
    <w:nsid w:val="B9358C2E"/>
    <w:multiLevelType w:val="singleLevel"/>
    <w:tmpl w:val="B9358C2E"/>
    <w:lvl w:ilvl="0">
      <w:start w:val="2"/>
      <w:numFmt w:val="decimal"/>
      <w:suff w:val="nothing"/>
      <w:lvlText w:val="%1、"/>
      <w:lvlJc w:val="left"/>
    </w:lvl>
  </w:abstractNum>
  <w:abstractNum w:abstractNumId="3">
    <w:nsid w:val="0575A821"/>
    <w:multiLevelType w:val="singleLevel"/>
    <w:tmpl w:val="0575A821"/>
    <w:lvl w:ilvl="0">
      <w:start w:val="4"/>
      <w:numFmt w:val="decimal"/>
      <w:suff w:val="nothing"/>
      <w:lvlText w:val="%1、"/>
      <w:lvlJc w:val="left"/>
    </w:lvl>
  </w:abstractNum>
  <w:abstractNum w:abstractNumId="4">
    <w:nsid w:val="0FB3AC90"/>
    <w:multiLevelType w:val="singleLevel"/>
    <w:tmpl w:val="0FB3AC90"/>
    <w:lvl w:ilvl="0">
      <w:start w:val="1"/>
      <w:numFmt w:val="decimal"/>
      <w:lvlText w:val="%1."/>
      <w:lvlJc w:val="left"/>
      <w:pPr>
        <w:tabs>
          <w:tab w:val="left" w:pos="312"/>
        </w:tabs>
      </w:pPr>
    </w:lvl>
  </w:abstractNum>
  <w:abstractNum w:abstractNumId="5">
    <w:nsid w:val="3CF6E042"/>
    <w:multiLevelType w:val="singleLevel"/>
    <w:tmpl w:val="3CF6E042"/>
    <w:lvl w:ilvl="0">
      <w:start w:val="1"/>
      <w:numFmt w:val="decimal"/>
      <w:suff w:val="nothing"/>
      <w:lvlText w:val="（%1）"/>
      <w:lvlJc w:val="left"/>
    </w:lvl>
  </w:abstractNum>
  <w:abstractNum w:abstractNumId="6">
    <w:nsid w:val="721CBBE0"/>
    <w:multiLevelType w:val="singleLevel"/>
    <w:tmpl w:val="721CBBE0"/>
    <w:lvl w:ilvl="0">
      <w:start w:val="1"/>
      <w:numFmt w:val="decimal"/>
      <w:suff w:val="nothing"/>
      <w:lvlText w:val="%1、"/>
      <w:lvlJc w:val="left"/>
    </w:lvl>
  </w:abstractNum>
  <w:num w:numId="1">
    <w:abstractNumId w:val="5"/>
  </w:num>
  <w:num w:numId="2">
    <w:abstractNumId w:val="4"/>
  </w:num>
  <w:num w:numId="3">
    <w:abstractNumId w:val="0"/>
  </w:num>
  <w:num w:numId="4">
    <w:abstractNumId w:val="3"/>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a">
    <w:name w:val="页眉 字符"/>
    <w:basedOn w:val="DefaultParagraphFont"/>
    <w:link w:val="Header"/>
    <w:uiPriority w:val="99"/>
    <w:qFormat/>
    <w:rPr>
      <w:rFonts w:eastAsia="宋体"/>
      <w:sz w:val="18"/>
      <w:szCs w:val="18"/>
    </w:rPr>
  </w:style>
  <w:style w:type="paragraph" w:styleId="Footer">
    <w:name w:val="footer"/>
    <w:basedOn w:val="Normal"/>
    <w:link w:val="a0"/>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a0">
    <w:name w:val="页脚 字符"/>
    <w:basedOn w:val="DefaultParagraphFont"/>
    <w:link w:val="Footer"/>
    <w:uiPriority w:val="99"/>
    <w:qFormat/>
    <w:rPr>
      <w:rFonts w:eastAsia="宋体"/>
      <w:sz w:val="18"/>
      <w:szCs w:val="18"/>
    </w:rPr>
  </w:style>
  <w:style w:type="table" w:styleId="TableGrid">
    <w:name w:val="Table Grid"/>
    <w:basedOn w:val="TableNormal"/>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qFormat/>
    <w:rPr>
      <w:rFonts w:ascii="Calibri" w:hAnsi="Calibri"/>
    </w:rPr>
  </w:style>
  <w:style w:type="paragraph" w:styleId="NormalIndent">
    <w:name w:val="Normal Indent"/>
    <w:basedOn w:val="Normal"/>
    <w:qFormat/>
    <w:pPr>
      <w:ind w:firstLine="420"/>
    </w:pPr>
    <w:rPr>
      <w:szCs w:val="20"/>
    </w:rPr>
  </w:style>
  <w:style w:type="paragraph" w:styleId="BodyText">
    <w:name w:val="Body Text"/>
    <w:basedOn w:val="Normal"/>
    <w:qFormat/>
    <w:pPr>
      <w:spacing w:line="360" w:lineRule="auto"/>
    </w:pPr>
    <w:rPr>
      <w:b/>
      <w:bCs/>
    </w:rPr>
  </w:style>
  <w:style w:type="character" w:customStyle="1" w:styleId="font41">
    <w:name w:val="font41"/>
    <w:basedOn w:val="DefaultParagraphFont"/>
    <w:qFormat/>
    <w:rPr>
      <w:rFonts w:ascii="宋体" w:eastAsia="宋体" w:hAnsi="宋体" w:cs="宋体"/>
      <w:color w:val="000000"/>
      <w:sz w:val="20"/>
      <w:szCs w:val="20"/>
      <w:u w:val="none"/>
    </w:rPr>
  </w:style>
  <w:style w:type="character" w:customStyle="1" w:styleId="font61">
    <w:name w:val="font61"/>
    <w:basedOn w:val="DefaultParagraphFont"/>
    <w:qFormat/>
    <w:rPr>
      <w:rFonts w:ascii="Calibri" w:hAnsi="Calibri" w:cs="Calibri"/>
      <w:color w:val="000000"/>
      <w:sz w:val="20"/>
      <w:szCs w:val="20"/>
      <w:u w:val="none"/>
    </w:rPr>
  </w:style>
  <w:style w:type="character" w:customStyle="1" w:styleId="font101">
    <w:name w:val="font101"/>
    <w:basedOn w:val="DefaultParagraphFont"/>
    <w:qFormat/>
    <w:rPr>
      <w:rFonts w:ascii="Arial" w:hAnsi="Arial" w:cs="Arial"/>
      <w:color w:val="000000"/>
      <w:sz w:val="20"/>
      <w:szCs w:val="20"/>
      <w:u w:val="none"/>
    </w:rPr>
  </w:style>
  <w:style w:type="paragraph" w:styleId="NormalWeb">
    <w:name w:val="Normal (Web)"/>
    <w:basedOn w:val="Normal"/>
    <w:uiPriority w:val="99"/>
    <w:qFormat/>
  </w:style>
  <w:style w:type="table" w:customStyle="1" w:styleId="typotable">
    <w:name w:val="typo_table"/>
    <w:basedOn w:val="TableNormal"/>
    <w:tblPr/>
  </w:style>
  <w:style w:type="paragraph" w:customStyle="1" w:styleId="typoh1">
    <w:name w:val="typo_h1"/>
    <w:basedOn w:val="Normal"/>
    <w:pPr>
      <w:spacing w:line="648" w:lineRule="atLeast"/>
    </w:pPr>
    <w:rPr>
      <w:rFonts w:ascii="Microsoft YaHei" w:eastAsia="Microsoft YaHei" w:hAnsi="Microsoft YaHei" w:cs="Microsoft YaHei"/>
      <w:color w:val="333333"/>
      <w:sz w:val="48"/>
      <w:szCs w:val="48"/>
    </w:rPr>
  </w:style>
  <w:style w:type="character" w:customStyle="1" w:styleId="base">
    <w:name w:val="base"/>
    <w:basedOn w:val="DefaultParagraphFont"/>
    <w:rPr>
      <w:rFonts w:ascii="FangSong" w:eastAsia="FangSong" w:hAnsi="FangSong" w:cs="FangSong"/>
      <w:b/>
      <w:bCs/>
      <w:sz w:val="28"/>
      <w:szCs w:val="28"/>
    </w:rPr>
  </w:style>
  <w:style w:type="paragraph" w:customStyle="1" w:styleId="typop">
    <w:name w:val="typo_p"/>
    <w:basedOn w:val="Normal"/>
    <w:pPr>
      <w:spacing w:line="432" w:lineRule="atLeast"/>
    </w:pPr>
    <w:rPr>
      <w:rFonts w:ascii="Microsoft YaHei" w:eastAsia="Microsoft YaHei" w:hAnsi="Microsoft YaHei" w:cs="Microsoft YaHei"/>
      <w:color w:val="333333"/>
    </w:rPr>
  </w:style>
  <w:style w:type="character" w:customStyle="1" w:styleId="span">
    <w:name w:val="span"/>
    <w:basedOn w:val="DefaultParagraphFont"/>
    <w:rPr>
      <w:rFonts w:ascii="FangSong" w:eastAsia="FangSong" w:hAnsi="FangSong" w:cs="FangSong"/>
    </w:rPr>
  </w:style>
  <w:style w:type="character" w:customStyle="1" w:styleId="underline">
    <w:name w:val="underline"/>
    <w:basedOn w:val="DefaultParagraphFont"/>
  </w:style>
  <w:style w:type="paragraph" w:customStyle="1" w:styleId="div">
    <w:name w:val="div"/>
    <w:basedOn w:val="Normal"/>
    <w:pPr>
      <w:keepLines/>
      <w:spacing w:line="432" w:lineRule="atLeast"/>
    </w:pPr>
    <w:rPr>
      <w:rFonts w:ascii="Microsoft YaHei" w:eastAsia="Microsoft YaHei" w:hAnsi="Microsoft YaHei" w:cs="Microsoft YaHei"/>
      <w:color w:val="333333"/>
    </w:rPr>
  </w:style>
  <w:style w:type="character" w:customStyle="1" w:styleId="step-methodsstep-itemlabel">
    <w:name w:val="step-methods_step-item_label"/>
    <w:basedOn w:val="DefaultParagraphFont"/>
  </w:style>
  <w:style w:type="table" w:customStyle="1" w:styleId="typotable0">
    <w:name w:val="typo_table_0"/>
    <w:basedOn w:val="TableNormal"/>
    <w:tblPr/>
  </w:style>
  <w:style w:type="character" w:customStyle="1" w:styleId="strong">
    <w:name w:val="strong"/>
    <w:basedOn w:val="DefaultParagraphFont"/>
    <w:rPr>
      <w:b/>
      <w:bCs/>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hyperlink" Target="https://amr.sz.gov.cn/outer/entSelect/gs.html" TargetMode="External"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hyperlink" Target="https://www.gsxt.gov.cn/corp-query-homepage.html" TargetMode="External" /><Relationship Id="rId21" Type="http://schemas.openxmlformats.org/officeDocument/2006/relationships/image" Target="media/image16.png"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