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spacing w:before="0" w:beforeAutospacing="1" w:after="0" w:afterAutospacing="1"/>
        <w:jc w:val="center"/>
        <w:outlineLvl w:val="0"/>
        <w:rPr>
          <w:rFonts w:ascii="黑体" w:eastAsia="黑体" w:hAnsi="宋体" w:cs="黑体" w:hint="eastAsia"/>
          <w:sz w:val="40"/>
          <w:szCs w:val="40"/>
          <w:lang w:eastAsia="zh-CN"/>
        </w:rPr>
      </w:pPr>
      <w:r>
        <w:rPr>
          <w:rFonts w:ascii="黑体" w:eastAsia="黑体" w:hAnsi="宋体" w:cs="黑体" w:hint="eastAsia"/>
          <w:sz w:val="40"/>
          <w:szCs w:val="40"/>
          <w:lang w:eastAsia="zh-CN"/>
        </w:rPr>
        <w:t>招标文件信息</w:t>
      </w:r>
    </w:p>
    <w:p>
      <w:pPr>
        <w:widowControl w:val="0"/>
        <w:tabs>
          <w:tab w:val="left" w:pos="2790"/>
        </w:tabs>
        <w:snapToGrid w:val="0"/>
        <w:jc w:val="center"/>
        <w:outlineLvl w:val="9"/>
        <w:rPr>
          <w:rFonts w:ascii="黑体" w:eastAsia="黑体" w:hAnsi="黑体" w:hint="eastAsia"/>
          <w:kern w:val="2"/>
          <w:sz w:val="40"/>
          <w:szCs w:val="40"/>
          <w:lang w:eastAsia="zh-CN"/>
        </w:rPr>
      </w:pP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项目编号：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LHAZXDL-2024-00261</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项目名称：</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楼层宿管员值班房家具采购</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包号：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A</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货物类</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采购方式：</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公开招标</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货币类型：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人民币</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评标方法：</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综合评分法</w:t>
      </w:r>
    </w:p>
    <w:p>
      <w:pPr>
        <w:widowControl w:val="0"/>
        <w:spacing w:line="360" w:lineRule="auto"/>
        <w:jc w:val="both"/>
        <w:rPr>
          <w:rFonts w:ascii="Calibri" w:eastAsia="宋体" w:hAnsi="Calibri" w:hint="eastAsia"/>
          <w:b/>
          <w:bCs/>
          <w:kern w:val="2"/>
          <w:szCs w:val="22"/>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6"/>
        <w:gridCol w:w="810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黑体" w:eastAsia="黑体" w:hAnsi="黑体"/>
          <w:kern w:val="2"/>
          <w:sz w:val="40"/>
          <w:szCs w:val="40"/>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7"/>
        <w:gridCol w:w="8109"/>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序号</w:t>
            </w:r>
          </w:p>
        </w:tc>
        <w:tc>
          <w:tcPr>
            <w:tcW w:w="8647"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3</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分项报价或投标总价不得高于</w:t>
            </w:r>
            <w:bookmarkStart w:id="0" w:name="_Hlk71832186"/>
            <w:r>
              <w:rPr>
                <w:rFonts w:ascii="宋体" w:eastAsia="宋体" w:hAnsi="宋体" w:cstheme="minorBidi" w:hint="eastAsia"/>
                <w:kern w:val="2"/>
                <w:sz w:val="21"/>
                <w:szCs w:val="21"/>
                <w:lang w:eastAsia="zh-CN"/>
              </w:rPr>
              <w:t>相应预算金额（或设定的预算金额下的最高限价）</w:t>
            </w:r>
            <w:bookmarkEnd w:id="0"/>
            <w:r>
              <w:rPr>
                <w:rFonts w:ascii="宋体" w:eastAsia="宋体" w:hAnsi="宋体" w:cstheme="minorBidi" w:hint="eastAsia"/>
                <w:kern w:val="2"/>
                <w:sz w:val="21"/>
                <w:szCs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4</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5</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6</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8</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9</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投标文件用不属于本公司的电子密钥进行加密的；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10</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12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法律、法规、规章、规范性文件规定的其他情形。</w:t>
            </w:r>
          </w:p>
        </w:tc>
      </w:tr>
    </w:tbl>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hint="eastAsia"/>
          <w:kern w:val="2"/>
          <w:lang w:eastAsia="zh-CN"/>
        </w:rPr>
      </w:pPr>
    </w:p>
    <w:p>
      <w:pPr>
        <w:widowControl w:val="0"/>
        <w:spacing w:line="360" w:lineRule="auto"/>
        <w:jc w:val="both"/>
        <w:rPr>
          <w:rFonts w:ascii="Calibri" w:eastAsia="宋体" w:hAnsi="Calibri" w:hint="eastAsia"/>
          <w:b/>
          <w:bCs/>
          <w:kern w:val="2"/>
          <w:lang w:eastAsia="zh-CN"/>
        </w:rPr>
      </w:pPr>
    </w:p>
    <w:p>
      <w:pPr>
        <w:widowControl w:val="0"/>
        <w:spacing w:line="360" w:lineRule="auto"/>
        <w:jc w:val="both"/>
        <w:rPr>
          <w:rFonts w:ascii="Calibri" w:eastAsia="宋体" w:hAnsi="Calibri" w:hint="eastAsia"/>
          <w:b/>
          <w:bCs/>
          <w:kern w:val="2"/>
          <w:lang w:eastAsia="zh-CN"/>
        </w:rPr>
      </w:pPr>
    </w:p>
    <w:p>
      <w:pPr>
        <w:widowControl/>
        <w:spacing w:before="100" w:beforeAutospacing="1" w:afterAutospacing="1"/>
        <w:jc w:val="center"/>
        <w:outlineLvl w:val="0"/>
        <w:rPr>
          <w:rFonts w:ascii="黑体" w:eastAsia="黑体" w:hAnsi="宋体"/>
          <w:kern w:val="2"/>
          <w:sz w:val="40"/>
          <w:szCs w:val="40"/>
          <w:lang w:eastAsia="zh-CN"/>
        </w:rPr>
      </w:pPr>
      <w:r>
        <w:rPr>
          <w:rFonts w:ascii="黑体" w:eastAsia="黑体" w:hAnsi="黑体" w:cstheme="minorBidi" w:hint="eastAsia"/>
          <w:kern w:val="2"/>
          <w:sz w:val="40"/>
          <w:szCs w:val="40"/>
          <w:lang w:eastAsia="zh-CN"/>
        </w:rPr>
        <w:t>评标信息</w:t>
      </w:r>
    </w:p>
    <w:tbl>
      <w:tblPr>
        <w:tblStyle w:val="TableNormal"/>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
      <w:tblGrid>
        <w:gridCol w:w="8730"/>
      </w:tblGrid>
      <w:tr>
        <w:tblPrEx>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Ex>
        <w:trPr>
          <w:tblCellSpacing w:w="0" w:type="dxa"/>
          <w:jc w:val="center"/>
        </w:trPr>
        <w:tc>
          <w:tcPr>
            <w:tcW w:w="8599" w:type="dxa"/>
            <w:shd w:val="clear" w:color="auto" w:fill="auto"/>
            <w:vAlign w:val="center"/>
          </w:tcPr>
          <w:p>
            <w:pPr>
              <w:widowControl w:val="0"/>
              <w:jc w:val="left"/>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8599" w:type="dxa"/>
            <w:shd w:val="clear" w:color="auto" w:fill="auto"/>
            <w:vAlign w:val="center"/>
          </w:tcPr>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综合评分法，</w:t>
            </w:r>
            <w:r>
              <w:rPr>
                <w:rFonts w:ascii="Calibri" w:eastAsia="宋体" w:hAnsi="Calibri" w:cstheme="minorBidi" w:hint="eastAsia"/>
                <w:kern w:val="2"/>
                <w:sz w:val="21"/>
                <w:szCs w:val="21"/>
                <w:lang w:eastAsia="zh-CN"/>
              </w:rPr>
              <w:t>是指投标文件满足招标文件全部实质性要求，且按照评审因素的量化指标评审得分排名前列</w:t>
            </w:r>
            <w:r>
              <w:rPr>
                <w:rFonts w:ascii="Calibri" w:eastAsia="宋体" w:hAnsi="Calibri" w:cstheme="minorBidi"/>
                <w:kern w:val="2"/>
                <w:sz w:val="21"/>
                <w:szCs w:val="21"/>
                <w:lang w:eastAsia="zh-CN"/>
              </w:rPr>
              <w:t>的投标人为中标候选人的评标方法。</w:t>
            </w:r>
          </w:p>
          <w:p>
            <w:pPr>
              <w:widowControl w:val="0"/>
              <w:ind w:firstLine="420"/>
              <w:jc w:val="both"/>
              <w:rPr>
                <w:rFonts w:ascii="Calibri" w:eastAsia="宋体" w:hAnsi="Calibri"/>
                <w:kern w:val="2"/>
                <w:sz w:val="21"/>
                <w:szCs w:val="22"/>
                <w:lang w:eastAsia="zh-CN"/>
              </w:rPr>
            </w:pPr>
          </w:p>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价格分计算方法：</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采用低价优先法计算，即满足招标文件要求且投标价格最低的投标报价为评标基准价，其价格分为满分。其他投标人的价格分统一按照下列公式计算：</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投标报价得分=(评标基准价／投标报价)×100</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评标总得分＝F1×A1＋F2×A2＋……＋Fn×An</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F1、F2……Fn分别为各项评审因素的得分；</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A1、A2、……An分别为各项评审因素所占的权重(A1＋A2＋……＋An＝1)。</w:t>
            </w:r>
          </w:p>
          <w:p>
            <w:pPr>
              <w:widowControl/>
              <w:spacing w:before="100" w:beforeAutospacing="0" w:afterAutospacing="0"/>
              <w:ind w:left="420"/>
              <w:jc w:val="left"/>
              <w:rPr>
                <w:rFonts w:ascii="宋体" w:eastAsia="宋体" w:hAnsi="宋体"/>
                <w:kern w:val="2"/>
                <w:sz w:val="21"/>
                <w:szCs w:val="21"/>
                <w:lang w:eastAsia="zh-CN"/>
              </w:rPr>
            </w:pPr>
            <w:r>
              <w:rPr>
                <w:rFonts w:ascii="宋体" w:eastAsia="宋体" w:hAnsi="宋体" w:cstheme="minorBidi"/>
                <w:kern w:val="2"/>
                <w:sz w:val="21"/>
                <w:szCs w:val="21"/>
                <w:lang w:eastAsia="zh-CN"/>
              </w:rPr>
              <w:t>评标过程中，不得去掉报价中的最高报价和最低报价。</w:t>
            </w:r>
          </w:p>
          <w:p>
            <w:pPr>
              <w:widowControl/>
              <w:spacing w:before="100" w:beforeAutospacing="0" w:afterAutospacing="0"/>
              <w:ind w:left="420"/>
              <w:jc w:val="left"/>
              <w:rPr>
                <w:rFonts w:ascii="宋体" w:eastAsia="宋体" w:hAnsi="宋体"/>
                <w:kern w:val="2"/>
                <w:lang w:eastAsia="zh-CN"/>
              </w:rPr>
            </w:pPr>
            <w:r>
              <w:rPr>
                <w:rFonts w:ascii="宋体" w:eastAsia="宋体" w:hAnsi="宋体" w:cstheme="minorBidi" w:hint="eastAsia"/>
                <w:kern w:val="2"/>
                <w:sz w:val="21"/>
                <w:szCs w:val="21"/>
                <w:lang w:eastAsia="zh-CN"/>
              </w:rPr>
              <w:t>因落实政府采购政策进行价格调整的，以调整后的价格计算评标基准价和投标报价。</w:t>
            </w:r>
          </w:p>
        </w:tc>
      </w:tr>
    </w:tbl>
    <w:p>
      <w:pPr>
        <w:widowControl w:val="0"/>
        <w:jc w:val="both"/>
        <w:rPr>
          <w:rFonts w:ascii="Calibri" w:eastAsia="宋体" w:hAnsi="Calibri"/>
          <w:kern w:val="2"/>
          <w:sz w:val="21"/>
          <w:szCs w:val="22"/>
          <w:lang w:eastAsia="zh-CN"/>
        </w:rPr>
      </w:pPr>
    </w:p>
    <w:tbl>
      <w:tblPr>
        <w:tblStyle w:val="TableNormal"/>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08"/>
        <w:gridCol w:w="738"/>
        <w:gridCol w:w="14"/>
        <w:gridCol w:w="1374"/>
        <w:gridCol w:w="1320"/>
        <w:gridCol w:w="500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
          <w:jc w:val="center"/>
        </w:trPr>
        <w:tc>
          <w:tcPr>
            <w:tcW w:w="392" w:type="dxa"/>
            <w:noWrap w:val="0"/>
            <w:vAlign w:val="center"/>
          </w:tcPr>
          <w:p>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3309" w:type="dxa"/>
            <w:gridSpan w:val="4"/>
            <w:noWrap w:val="0"/>
            <w:vAlign w:val="center"/>
          </w:tcPr>
          <w:p>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评分项</w:t>
            </w:r>
          </w:p>
        </w:tc>
        <w:tc>
          <w:tcPr>
            <w:tcW w:w="4803" w:type="dxa"/>
            <w:noWrap w:val="0"/>
            <w:vAlign w:val="center"/>
          </w:tcPr>
          <w:p>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权重</w:t>
            </w:r>
          </w:p>
        </w:tc>
      </w:tr>
      <w:tr>
        <w:tblPrEx>
          <w:tblW w:w="5000" w:type="pct"/>
          <w:jc w:val="center"/>
          <w:tblLayout w:type="fixed"/>
          <w:tblCellMar>
            <w:top w:w="0" w:type="dxa"/>
            <w:left w:w="108" w:type="dxa"/>
            <w:bottom w:w="0" w:type="dxa"/>
            <w:right w:w="108" w:type="dxa"/>
          </w:tblCellMar>
        </w:tblPrEx>
        <w:trPr>
          <w:trHeight w:val="326"/>
          <w:jc w:val="center"/>
        </w:trPr>
        <w:tc>
          <w:tcPr>
            <w:tcW w:w="392" w:type="dxa"/>
            <w:noWrap w:val="0"/>
            <w:vAlign w:val="center"/>
          </w:tcPr>
          <w:p>
            <w:pPr>
              <w:spacing w:line="36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1</w:t>
            </w:r>
          </w:p>
        </w:tc>
        <w:tc>
          <w:tcPr>
            <w:tcW w:w="3309" w:type="dxa"/>
            <w:gridSpan w:val="4"/>
            <w:noWrap w:val="0"/>
            <w:vAlign w:val="center"/>
          </w:tcPr>
          <w:p>
            <w:pPr>
              <w:spacing w:line="36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价格</w:t>
            </w:r>
          </w:p>
        </w:tc>
        <w:tc>
          <w:tcPr>
            <w:tcW w:w="4803" w:type="dxa"/>
            <w:noWrap w:val="0"/>
            <w:vAlign w:val="center"/>
          </w:tcPr>
          <w:p>
            <w:pPr>
              <w:spacing w:line="36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30</w:t>
            </w:r>
          </w:p>
        </w:tc>
      </w:tr>
      <w:tr>
        <w:tblPrEx>
          <w:tblW w:w="5000" w:type="pct"/>
          <w:jc w:val="center"/>
          <w:tblLayout w:type="fixed"/>
          <w:tblCellMar>
            <w:top w:w="0" w:type="dxa"/>
            <w:left w:w="108" w:type="dxa"/>
            <w:bottom w:w="0" w:type="dxa"/>
            <w:right w:w="108" w:type="dxa"/>
          </w:tblCellMar>
        </w:tblPrEx>
        <w:trPr>
          <w:trHeight w:val="366"/>
          <w:jc w:val="center"/>
        </w:trPr>
        <w:tc>
          <w:tcPr>
            <w:tcW w:w="392" w:type="dxa"/>
            <w:noWrap w:val="0"/>
            <w:vAlign w:val="center"/>
          </w:tcPr>
          <w:p>
            <w:pPr>
              <w:spacing w:line="36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2</w:t>
            </w:r>
          </w:p>
        </w:tc>
        <w:tc>
          <w:tcPr>
            <w:tcW w:w="3309" w:type="dxa"/>
            <w:gridSpan w:val="4"/>
            <w:noWrap w:val="0"/>
            <w:vAlign w:val="center"/>
          </w:tcPr>
          <w:p>
            <w:pPr>
              <w:spacing w:line="36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技术评分部分</w:t>
            </w:r>
          </w:p>
        </w:tc>
        <w:tc>
          <w:tcPr>
            <w:tcW w:w="4803" w:type="dxa"/>
            <w:noWrap w:val="0"/>
            <w:vAlign w:val="center"/>
          </w:tcPr>
          <w:p>
            <w:pPr>
              <w:spacing w:line="360" w:lineRule="auto"/>
              <w:jc w:val="center"/>
              <w:rPr>
                <w:rFonts w:ascii="宋体" w:eastAsia="宋体" w:hAnsi="宋体" w:cs="宋体" w:hint="eastAsia"/>
                <w:b/>
                <w:bCs/>
                <w:color w:val="0000FF"/>
                <w:sz w:val="21"/>
                <w:szCs w:val="21"/>
                <w:lang w:eastAsia="zh-CN"/>
              </w:rPr>
            </w:pPr>
            <w:r>
              <w:rPr>
                <w:rFonts w:ascii="宋体" w:eastAsia="宋体" w:hAnsi="宋体" w:cs="宋体" w:hint="eastAsia"/>
                <w:b/>
                <w:bCs/>
                <w:color w:val="0000FF"/>
                <w:sz w:val="21"/>
                <w:szCs w:val="21"/>
                <w:lang w:eastAsia="zh-CN"/>
              </w:rPr>
              <w:t>61</w:t>
            </w:r>
          </w:p>
        </w:tc>
      </w:tr>
      <w:tr>
        <w:tblPrEx>
          <w:tblW w:w="5000" w:type="pct"/>
          <w:jc w:val="center"/>
          <w:tblLayout w:type="fixed"/>
          <w:tblCellMar>
            <w:top w:w="0" w:type="dxa"/>
            <w:left w:w="108" w:type="dxa"/>
            <w:bottom w:w="0" w:type="dxa"/>
            <w:right w:w="108" w:type="dxa"/>
          </w:tblCellMar>
        </w:tblPrEx>
        <w:trPr>
          <w:trHeight w:val="339"/>
          <w:jc w:val="center"/>
        </w:trPr>
        <w:tc>
          <w:tcPr>
            <w:tcW w:w="392" w:type="dxa"/>
            <w:vMerge w:val="restart"/>
            <w:noWrap w:val="0"/>
            <w:vAlign w:val="center"/>
          </w:tcPr>
          <w:p>
            <w:pPr>
              <w:spacing w:line="360" w:lineRule="auto"/>
              <w:jc w:val="center"/>
              <w:rPr>
                <w:rFonts w:ascii="宋体" w:eastAsia="宋体" w:hAnsi="宋体" w:cs="宋体" w:hint="eastAsia"/>
                <w:sz w:val="21"/>
                <w:szCs w:val="21"/>
              </w:rPr>
            </w:pPr>
          </w:p>
        </w:tc>
        <w:tc>
          <w:tcPr>
            <w:tcW w:w="709" w:type="dxa"/>
            <w:noWrap w:val="0"/>
            <w:vAlign w:val="center"/>
          </w:tcPr>
          <w:p>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1332" w:type="dxa"/>
            <w:gridSpan w:val="2"/>
            <w:noWrap w:val="0"/>
            <w:vAlign w:val="center"/>
          </w:tcPr>
          <w:p>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评分因素</w:t>
            </w:r>
          </w:p>
        </w:tc>
        <w:tc>
          <w:tcPr>
            <w:tcW w:w="1268" w:type="dxa"/>
            <w:noWrap w:val="0"/>
            <w:vAlign w:val="center"/>
          </w:tcPr>
          <w:p>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权重(%)</w:t>
            </w:r>
          </w:p>
        </w:tc>
        <w:tc>
          <w:tcPr>
            <w:tcW w:w="4803" w:type="dxa"/>
            <w:noWrap w:val="0"/>
            <w:vAlign w:val="center"/>
          </w:tcPr>
          <w:p>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评分准则</w:t>
            </w:r>
          </w:p>
        </w:tc>
      </w:tr>
      <w:tr>
        <w:tblPrEx>
          <w:tblW w:w="5000" w:type="pct"/>
          <w:jc w:val="center"/>
          <w:tblLayout w:type="fixed"/>
          <w:tblCellMar>
            <w:top w:w="0" w:type="dxa"/>
            <w:left w:w="108" w:type="dxa"/>
            <w:bottom w:w="0" w:type="dxa"/>
            <w:right w:w="108" w:type="dxa"/>
          </w:tblCellMar>
        </w:tblPrEx>
        <w:trPr>
          <w:trHeight w:val="20"/>
          <w:jc w:val="center"/>
        </w:trPr>
        <w:tc>
          <w:tcPr>
            <w:tcW w:w="392" w:type="dxa"/>
            <w:vMerge/>
            <w:noWrap w:val="0"/>
            <w:vAlign w:val="center"/>
          </w:tcPr>
          <w:p>
            <w:pPr>
              <w:keepNext/>
              <w:keepLines/>
              <w:spacing w:before="260" w:after="260" w:line="360" w:lineRule="auto"/>
              <w:jc w:val="center"/>
              <w:outlineLvl w:val="2"/>
              <w:rPr>
                <w:rFonts w:ascii="宋体" w:eastAsia="宋体" w:hAnsi="宋体" w:cs="宋体" w:hint="eastAsia"/>
                <w:sz w:val="21"/>
                <w:szCs w:val="21"/>
              </w:rPr>
            </w:pPr>
          </w:p>
        </w:tc>
        <w:tc>
          <w:tcPr>
            <w:tcW w:w="709" w:type="dxa"/>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w:t>
            </w:r>
          </w:p>
        </w:tc>
        <w:tc>
          <w:tcPr>
            <w:tcW w:w="1332" w:type="dxa"/>
            <w:gridSpan w:val="2"/>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技术规格偏离情况</w:t>
            </w:r>
          </w:p>
        </w:tc>
        <w:tc>
          <w:tcPr>
            <w:tcW w:w="1268" w:type="dxa"/>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36</w:t>
            </w:r>
          </w:p>
        </w:tc>
        <w:tc>
          <w:tcPr>
            <w:tcW w:w="4803" w:type="dxa"/>
            <w:noWrap w:val="0"/>
            <w:vAlign w:val="center"/>
          </w:tcPr>
          <w:p>
            <w:pPr>
              <w:widowControl w:val="0"/>
              <w:spacing w:line="360" w:lineRule="auto"/>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考察内容：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评审小组根据《技术规格偏离表》（以下简称“偏离表”）响应情况进行打分，全部满足的得100分，一般参数负偏离一项扣</w:t>
            </w:r>
            <w:r>
              <w:rPr>
                <w:rFonts w:ascii="宋体" w:eastAsia="宋体" w:hAnsi="宋体" w:cs="宋体" w:hint="eastAsia"/>
                <w:color w:val="FF0000"/>
                <w:kern w:val="2"/>
                <w:sz w:val="21"/>
                <w:szCs w:val="21"/>
                <w:lang w:eastAsia="zh-CN"/>
              </w:rPr>
              <w:t>2</w:t>
            </w:r>
            <w:r>
              <w:rPr>
                <w:rFonts w:ascii="宋体" w:eastAsia="宋体" w:hAnsi="宋体" w:cs="宋体" w:hint="eastAsia"/>
                <w:kern w:val="2"/>
                <w:sz w:val="21"/>
                <w:szCs w:val="21"/>
                <w:lang w:eastAsia="zh-CN"/>
              </w:rPr>
              <w:t>分，重点技术参数▲项负偏离一项扣</w:t>
            </w:r>
            <w:r>
              <w:rPr>
                <w:rFonts w:ascii="宋体" w:eastAsia="宋体" w:hAnsi="宋体" w:cs="宋体" w:hint="eastAsia"/>
                <w:kern w:val="2"/>
                <w:sz w:val="21"/>
                <w:szCs w:val="21"/>
                <w:lang w:eastAsia="zh-CN"/>
              </w:rPr>
              <w:t>14</w:t>
            </w:r>
            <w:r>
              <w:rPr>
                <w:rFonts w:ascii="宋体" w:eastAsia="宋体" w:hAnsi="宋体" w:cs="宋体" w:hint="eastAsia"/>
                <w:kern w:val="2"/>
                <w:sz w:val="21"/>
                <w:szCs w:val="21"/>
                <w:lang w:eastAsia="zh-CN"/>
              </w:rPr>
              <w:t>分。扣完为止。</w:t>
            </w:r>
          </w:p>
          <w:p>
            <w:pPr>
              <w:keepNext w:val="0"/>
              <w:keepLines w:val="0"/>
              <w:pageBreakBefore w:val="0"/>
              <w:widowControl w:val="0"/>
              <w:kinsoku/>
              <w:wordWrap/>
              <w:overflowPunct/>
              <w:topLinePunct w:val="0"/>
              <w:autoSpaceDE/>
              <w:autoSpaceDN/>
              <w:bidi w:val="0"/>
              <w:adjustRightInd/>
              <w:spacing w:line="360" w:lineRule="auto"/>
              <w:ind w:firstLine="0" w:firstLineChars="0"/>
              <w:jc w:val="both"/>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证明文件：</w:t>
            </w:r>
          </w:p>
          <w:p>
            <w:pPr>
              <w:spacing w:line="360" w:lineRule="auto"/>
              <w:jc w:val="both"/>
              <w:rPr>
                <w:rFonts w:ascii="宋体" w:eastAsia="宋体" w:hAnsi="宋体" w:cs="宋体" w:hint="eastAsia"/>
                <w:sz w:val="21"/>
                <w:szCs w:val="21"/>
              </w:rPr>
            </w:pPr>
            <w:r>
              <w:rPr>
                <w:rFonts w:ascii="宋体" w:eastAsia="宋体" w:hAnsi="宋体" w:cs="宋体" w:hint="eastAsia"/>
                <w:kern w:val="2"/>
                <w:sz w:val="21"/>
                <w:szCs w:val="21"/>
                <w:lang w:eastAsia="zh-CN"/>
              </w:rPr>
              <w:t>偏离表应如实对应填写所投产品的具体参数。如要求提供“厂家网站截图/说明书/厂家出具的参数文件/检验报告”等证明资料的，需按要求提供相关证明资料；提供的证明资料与所填写内容不一致的，以证明资料为准，原件备查。未提供或未按要求提供或提供的不清晰导致专家无法判断的，不得分。</w:t>
            </w:r>
          </w:p>
        </w:tc>
      </w:tr>
      <w:tr>
        <w:tblPrEx>
          <w:tblW w:w="5000" w:type="pct"/>
          <w:jc w:val="center"/>
          <w:tblLayout w:type="fixed"/>
          <w:tblCellMar>
            <w:top w:w="0" w:type="dxa"/>
            <w:left w:w="108" w:type="dxa"/>
            <w:bottom w:w="0" w:type="dxa"/>
            <w:right w:w="108" w:type="dxa"/>
          </w:tblCellMar>
        </w:tblPrEx>
        <w:trPr>
          <w:trHeight w:val="20"/>
          <w:jc w:val="center"/>
        </w:trPr>
        <w:tc>
          <w:tcPr>
            <w:tcW w:w="392" w:type="dxa"/>
            <w:vMerge/>
            <w:noWrap w:val="0"/>
            <w:vAlign w:val="center"/>
          </w:tcPr>
          <w:p>
            <w:pPr>
              <w:keepNext/>
              <w:keepLines/>
              <w:spacing w:before="260" w:after="260" w:line="360" w:lineRule="auto"/>
              <w:jc w:val="center"/>
              <w:outlineLvl w:val="2"/>
              <w:rPr>
                <w:rFonts w:ascii="宋体" w:eastAsia="宋体" w:hAnsi="宋体" w:cs="宋体" w:hint="eastAsia"/>
                <w:sz w:val="21"/>
                <w:szCs w:val="21"/>
              </w:rPr>
            </w:pPr>
          </w:p>
        </w:tc>
        <w:tc>
          <w:tcPr>
            <w:tcW w:w="709" w:type="dxa"/>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2</w:t>
            </w:r>
          </w:p>
        </w:tc>
        <w:tc>
          <w:tcPr>
            <w:tcW w:w="1332" w:type="dxa"/>
            <w:gridSpan w:val="2"/>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lang w:eastAsia="zh-CN"/>
              </w:rPr>
              <w:t>技术保障措施</w:t>
            </w:r>
          </w:p>
        </w:tc>
        <w:tc>
          <w:tcPr>
            <w:tcW w:w="1268" w:type="dxa"/>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5</w:t>
            </w:r>
          </w:p>
        </w:tc>
        <w:tc>
          <w:tcPr>
            <w:tcW w:w="4803" w:type="dxa"/>
            <w:noWrap w:val="0"/>
            <w:vAlign w:val="center"/>
          </w:tcPr>
          <w:p>
            <w:pPr>
              <w:widowControl w:val="0"/>
              <w:spacing w:line="360" w:lineRule="auto"/>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考察内容：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投标人或所投核心产品制造商提供以下生产设备的配置证明资料，设备包含：</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①计算机数控加工中心及全自动激光直线封边机；②转塔冲床及数控五面钻；③真空搬运机及曲线封边机；④高速电脑裁板锯及中央除尘设备；⑤家具综合力学测试仪；⑥甲醛测试机VOC分析仪；⑦气动抽屉导轨耐久性测试仪。</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具有上述全部（7个项目）设备的得100分，具有上述任意6个项目设备的得50分，具有上述任意5个项目设备的得20分，其他情况不得分。</w:t>
            </w:r>
          </w:p>
          <w:p>
            <w:pPr>
              <w:widowControl w:val="0"/>
              <w:spacing w:line="360" w:lineRule="auto"/>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评分依据：</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1.设备的实物照片（注：自有和租赁均需提供）；</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自有设备要求提供设备购买合同关键页及购买发票扫描件（发票抬头名称必须是投标人或所投核心产品制造商名称）；如设备为租赁设备，需同时提供设备租赁合同关键页及租金支付发票扫描件（合同和发票抬头名称是投标人或所投核心产品制造商名称）。未按要求提供或扫描件不清晰导致无法识别的不得分，原件备查；</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3.提供的设备名称与招标文件要求不一致的，但为同种设备的，需提供承诺为同种设备的书面说明（格式自拟），若名称不一致又未提供说明的，不得分。同种设备不可重复计分。</w:t>
            </w:r>
          </w:p>
          <w:p>
            <w:pPr>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注：设备发票或合同的公司名称须与投标人或所投核心产品制造商的公司名称一致，如前后投标人或所投核心产品制造商名称有变更的，提供市场监督管理局出具的“公司准予变更登记通知书”。</w:t>
            </w:r>
          </w:p>
        </w:tc>
      </w:tr>
      <w:tr>
        <w:tblPrEx>
          <w:tblW w:w="5000" w:type="pct"/>
          <w:jc w:val="center"/>
          <w:tblLayout w:type="fixed"/>
          <w:tblCellMar>
            <w:top w:w="0" w:type="dxa"/>
            <w:left w:w="108" w:type="dxa"/>
            <w:bottom w:w="0" w:type="dxa"/>
            <w:right w:w="108" w:type="dxa"/>
          </w:tblCellMar>
        </w:tblPrEx>
        <w:trPr>
          <w:trHeight w:val="1377"/>
          <w:jc w:val="center"/>
        </w:trPr>
        <w:tc>
          <w:tcPr>
            <w:tcW w:w="392" w:type="dxa"/>
            <w:vMerge/>
            <w:noWrap w:val="0"/>
            <w:vAlign w:val="center"/>
          </w:tcPr>
          <w:p>
            <w:pPr>
              <w:spacing w:line="360" w:lineRule="auto"/>
              <w:jc w:val="center"/>
              <w:rPr>
                <w:rFonts w:ascii="宋体" w:eastAsia="宋体" w:hAnsi="宋体" w:cs="宋体" w:hint="eastAsia"/>
                <w:sz w:val="21"/>
                <w:szCs w:val="21"/>
              </w:rPr>
            </w:pPr>
          </w:p>
        </w:tc>
        <w:tc>
          <w:tcPr>
            <w:tcW w:w="709" w:type="dxa"/>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w:t>
            </w:r>
          </w:p>
        </w:tc>
        <w:tc>
          <w:tcPr>
            <w:tcW w:w="1332" w:type="dxa"/>
            <w:gridSpan w:val="2"/>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服务方案</w:t>
            </w:r>
          </w:p>
        </w:tc>
        <w:tc>
          <w:tcPr>
            <w:tcW w:w="1268" w:type="dxa"/>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10</w:t>
            </w:r>
          </w:p>
        </w:tc>
        <w:tc>
          <w:tcPr>
            <w:tcW w:w="4803" w:type="dxa"/>
            <w:noWrap w:val="0"/>
            <w:vAlign w:val="center"/>
          </w:tcPr>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考察内容：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评审委员会根据投标单位的服务方案进行评审，包括但不限于以下方案：</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（1）技术团队构架、技术人员安排</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（2）服务方案</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（3）售后服务方案</w:t>
            </w:r>
          </w:p>
          <w:p>
            <w:pPr>
              <w:widowControl w:val="0"/>
              <w:spacing w:line="360" w:lineRule="auto"/>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评分依据：</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提供以上3点内容得30分，缺项不得分。</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在此基础上，专家根据内容的合理性进行评分:</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（1）方案符合实际、完整、规范、思路清晰，内容合理性强，评价为优加70分；</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（2）方案较符合实际、较完整规范、思路较清晰，内容合理性较强，评价为良加40分；</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（3）方案较普通、完整性规范性一般，思路不够清晰，内容合理性一般，评价为中加20分；</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（4）方案不完整、不规范，思路不清晰，内容合理性较差或未提供，评价为差不加分。</w:t>
            </w:r>
          </w:p>
          <w:p>
            <w:pPr>
              <w:widowControl w:val="0"/>
              <w:spacing w:line="360" w:lineRule="auto"/>
              <w:jc w:val="both"/>
              <w:rPr>
                <w:rFonts w:ascii="宋体" w:eastAsia="宋体" w:hAnsi="宋体" w:cs="宋体" w:hint="eastAsia"/>
                <w:sz w:val="21"/>
                <w:szCs w:val="21"/>
              </w:rPr>
            </w:pPr>
            <w:r>
              <w:rPr>
                <w:rFonts w:ascii="宋体" w:eastAsia="宋体" w:hAnsi="宋体" w:cs="宋体" w:hint="eastAsia"/>
                <w:kern w:val="2"/>
                <w:sz w:val="21"/>
                <w:szCs w:val="21"/>
                <w:lang w:eastAsia="zh-CN"/>
              </w:rPr>
              <w:t>未提供不得分。</w:t>
            </w:r>
          </w:p>
        </w:tc>
      </w:tr>
      <w:tr>
        <w:tblPrEx>
          <w:tblW w:w="5000" w:type="pct"/>
          <w:jc w:val="center"/>
          <w:tblLayout w:type="fixed"/>
          <w:tblCellMar>
            <w:top w:w="0" w:type="dxa"/>
            <w:left w:w="108" w:type="dxa"/>
            <w:bottom w:w="0" w:type="dxa"/>
            <w:right w:w="108" w:type="dxa"/>
          </w:tblCellMar>
        </w:tblPrEx>
        <w:trPr>
          <w:trHeight w:val="247"/>
          <w:jc w:val="center"/>
        </w:trPr>
        <w:tc>
          <w:tcPr>
            <w:tcW w:w="392" w:type="dxa"/>
            <w:noWrap w:val="0"/>
            <w:vAlign w:val="center"/>
          </w:tcPr>
          <w:p>
            <w:pPr>
              <w:spacing w:line="360" w:lineRule="auto"/>
              <w:jc w:val="center"/>
              <w:rPr>
                <w:rFonts w:ascii="宋体" w:eastAsia="宋体" w:hAnsi="宋体" w:cs="宋体" w:hint="eastAsia"/>
                <w:sz w:val="21"/>
                <w:szCs w:val="21"/>
              </w:rPr>
            </w:pPr>
          </w:p>
        </w:tc>
        <w:tc>
          <w:tcPr>
            <w:tcW w:w="709" w:type="dxa"/>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4</w:t>
            </w:r>
          </w:p>
        </w:tc>
        <w:tc>
          <w:tcPr>
            <w:tcW w:w="1332" w:type="dxa"/>
            <w:gridSpan w:val="2"/>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rPr>
              <w:t>设计</w:t>
            </w:r>
            <w:r>
              <w:rPr>
                <w:rFonts w:ascii="宋体" w:eastAsia="宋体" w:hAnsi="宋体" w:cs="宋体" w:hint="eastAsia"/>
                <w:sz w:val="21"/>
                <w:szCs w:val="21"/>
                <w:lang w:eastAsia="zh-CN"/>
              </w:rPr>
              <w:t>方案</w:t>
            </w:r>
          </w:p>
        </w:tc>
        <w:tc>
          <w:tcPr>
            <w:tcW w:w="1268" w:type="dxa"/>
            <w:noWrap w:val="0"/>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w:t>
            </w:r>
          </w:p>
        </w:tc>
        <w:tc>
          <w:tcPr>
            <w:tcW w:w="4803" w:type="dxa"/>
            <w:noWrap w:val="0"/>
            <w:vAlign w:val="center"/>
          </w:tcPr>
          <w:p>
            <w:pPr>
              <w:spacing w:line="360" w:lineRule="auto"/>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考察内容：</w:t>
            </w:r>
          </w:p>
          <w:p>
            <w:pPr>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整体方案符合各项功能性配置及参数符合招标文件要求，空间设计布置合理，符合采购单位需求，针对本项目提供项目设计图方案，方案中应包含：</w:t>
            </w:r>
          </w:p>
          <w:p>
            <w:pPr>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1.单人间宿舍：提供平面布局图（1张）、俯视效果图（1张）及不同角度效果图（2张），需体现产品序号1单人床、产品序号2床垫、产品序号3书桌、产品序号4单椅、产品序号5文件柜。</w:t>
            </w:r>
          </w:p>
          <w:p>
            <w:pPr>
              <w:spacing w:line="360" w:lineRule="auto"/>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评分依据：</w:t>
            </w:r>
          </w:p>
          <w:p>
            <w:pPr>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提供齐全所要求空间图纸的平面布局图、俯视效果图及不同角度效果图的得</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0分；</w:t>
            </w:r>
          </w:p>
          <w:p>
            <w:pPr>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在此基础上，针对设计图的合理性和可行性，将根据设计图的清晰度、周密性、合理性、完整性、所采用方法和技术的适用性、所采用技术的先进性以及是否符合相关规范要求进行评分。</w:t>
            </w:r>
          </w:p>
          <w:p>
            <w:pPr>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（1）设计的图纸内容完整，设计合理、实用性强，图片清晰、整体效果完全符合实际需求的评价为优，</w:t>
            </w:r>
            <w:r>
              <w:rPr>
                <w:rFonts w:ascii="宋体" w:eastAsia="宋体" w:hAnsi="宋体" w:cs="宋体" w:hint="eastAsia"/>
                <w:kern w:val="2"/>
                <w:sz w:val="21"/>
                <w:szCs w:val="21"/>
                <w:lang w:eastAsia="zh-CN"/>
              </w:rPr>
              <w:t>得</w:t>
            </w:r>
            <w:r>
              <w:rPr>
                <w:rFonts w:ascii="宋体" w:eastAsia="宋体" w:hAnsi="宋体" w:cs="宋体" w:hint="eastAsia"/>
                <w:kern w:val="2"/>
                <w:sz w:val="21"/>
                <w:szCs w:val="21"/>
                <w:lang w:eastAsia="zh-CN"/>
              </w:rPr>
              <w:t>8</w:t>
            </w:r>
            <w:r>
              <w:rPr>
                <w:rFonts w:ascii="宋体" w:eastAsia="宋体" w:hAnsi="宋体" w:cs="宋体" w:hint="eastAsia"/>
                <w:kern w:val="2"/>
                <w:sz w:val="21"/>
                <w:szCs w:val="21"/>
                <w:lang w:eastAsia="zh-CN"/>
              </w:rPr>
              <w:t>0分。</w:t>
            </w:r>
          </w:p>
          <w:p>
            <w:pPr>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（2）设计的图纸内容完整，设计较为合理、实用性一般，图片清晰、整体效果基本符合实际需求的评价为良，得20分</w:t>
            </w:r>
            <w:r>
              <w:rPr>
                <w:rFonts w:ascii="宋体" w:eastAsia="宋体" w:hAnsi="宋体" w:cs="宋体" w:hint="eastAsia"/>
                <w:kern w:val="2"/>
                <w:sz w:val="21"/>
                <w:szCs w:val="21"/>
                <w:lang w:eastAsia="zh-CN"/>
              </w:rPr>
              <w:t>。</w:t>
            </w:r>
          </w:p>
          <w:p>
            <w:pPr>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设计的图纸</w:t>
            </w:r>
            <w:r>
              <w:rPr>
                <w:rFonts w:ascii="宋体" w:eastAsia="宋体" w:hAnsi="宋体" w:cs="宋体" w:hint="eastAsia"/>
                <w:kern w:val="2"/>
                <w:sz w:val="21"/>
                <w:szCs w:val="21"/>
                <w:lang w:eastAsia="zh-CN"/>
              </w:rPr>
              <w:t>内容基本完整，设计合理性较差、实用性较差，图片清晰、整体效果不符合实际需求的评价为中，得</w:t>
            </w:r>
            <w:r>
              <w:rPr>
                <w:rFonts w:ascii="宋体" w:eastAsia="宋体" w:hAnsi="宋体" w:cs="宋体" w:hint="eastAsia"/>
                <w:kern w:val="2"/>
                <w:sz w:val="21"/>
                <w:szCs w:val="21"/>
                <w:lang w:eastAsia="zh-CN"/>
              </w:rPr>
              <w:t>5分。</w:t>
            </w:r>
          </w:p>
          <w:p>
            <w:pPr>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）如果未提供设计图或设计图不符合要求未能体现上述评分内容的，则对应项不得分。</w:t>
            </w:r>
          </w:p>
        </w:tc>
      </w:tr>
      <w:tr>
        <w:tblPrEx>
          <w:tblW w:w="5000" w:type="pct"/>
          <w:jc w:val="center"/>
          <w:tblLayout w:type="fixed"/>
          <w:tblCellMar>
            <w:top w:w="0" w:type="dxa"/>
            <w:left w:w="108" w:type="dxa"/>
            <w:bottom w:w="0" w:type="dxa"/>
            <w:right w:w="108" w:type="dxa"/>
          </w:tblCellMar>
        </w:tblPrEx>
        <w:trPr>
          <w:trHeight w:val="20"/>
          <w:jc w:val="center"/>
        </w:trPr>
        <w:tc>
          <w:tcPr>
            <w:tcW w:w="392" w:type="dxa"/>
            <w:noWrap w:val="0"/>
            <w:vAlign w:val="center"/>
          </w:tcPr>
          <w:p>
            <w:pPr>
              <w:spacing w:line="36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3</w:t>
            </w:r>
          </w:p>
        </w:tc>
        <w:tc>
          <w:tcPr>
            <w:tcW w:w="3309" w:type="dxa"/>
            <w:gridSpan w:val="4"/>
            <w:noWrap w:val="0"/>
            <w:vAlign w:val="center"/>
          </w:tcPr>
          <w:p>
            <w:pPr>
              <w:spacing w:line="36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商务评分部分</w:t>
            </w:r>
          </w:p>
        </w:tc>
        <w:tc>
          <w:tcPr>
            <w:tcW w:w="4803" w:type="dxa"/>
            <w:noWrap w:val="0"/>
            <w:vAlign w:val="center"/>
          </w:tcPr>
          <w:p>
            <w:pPr>
              <w:spacing w:line="360" w:lineRule="auto"/>
              <w:jc w:val="center"/>
              <w:rPr>
                <w:rFonts w:ascii="宋体" w:eastAsia="宋体" w:hAnsi="宋体" w:cs="宋体" w:hint="eastAsia"/>
                <w:b/>
                <w:bCs/>
                <w:color w:val="0000FF"/>
                <w:sz w:val="21"/>
                <w:szCs w:val="21"/>
                <w:lang w:eastAsia="zh-CN"/>
              </w:rPr>
            </w:pPr>
            <w:r>
              <w:rPr>
                <w:rFonts w:ascii="宋体" w:eastAsia="宋体" w:hAnsi="宋体" w:cs="宋体" w:hint="eastAsia"/>
                <w:b/>
                <w:bCs/>
                <w:color w:val="0000FF"/>
                <w:sz w:val="21"/>
                <w:szCs w:val="21"/>
                <w:lang w:eastAsia="zh-CN"/>
              </w:rPr>
              <w:t>9</w:t>
            </w:r>
          </w:p>
        </w:tc>
      </w:tr>
      <w:tr>
        <w:tblPrEx>
          <w:tblW w:w="5000" w:type="pct"/>
          <w:jc w:val="center"/>
          <w:tblLayout w:type="fixed"/>
          <w:tblCellMar>
            <w:top w:w="0" w:type="dxa"/>
            <w:left w:w="108" w:type="dxa"/>
            <w:bottom w:w="0" w:type="dxa"/>
            <w:right w:w="108" w:type="dxa"/>
          </w:tblCellMar>
        </w:tblPrEx>
        <w:trPr>
          <w:trHeight w:val="367"/>
          <w:jc w:val="center"/>
        </w:trPr>
        <w:tc>
          <w:tcPr>
            <w:tcW w:w="392" w:type="dxa"/>
            <w:vMerge w:val="restart"/>
            <w:noWrap w:val="0"/>
            <w:vAlign w:val="center"/>
          </w:tcPr>
          <w:p>
            <w:pPr>
              <w:keepNext/>
              <w:keepLines/>
              <w:spacing w:before="340" w:after="330" w:line="360" w:lineRule="auto"/>
              <w:jc w:val="center"/>
              <w:outlineLvl w:val="0"/>
              <w:rPr>
                <w:rFonts w:ascii="宋体" w:eastAsia="宋体" w:hAnsi="宋体" w:cs="宋体" w:hint="eastAsia"/>
                <w:sz w:val="21"/>
                <w:szCs w:val="21"/>
              </w:rPr>
            </w:pPr>
          </w:p>
        </w:tc>
        <w:tc>
          <w:tcPr>
            <w:tcW w:w="722" w:type="dxa"/>
            <w:gridSpan w:val="2"/>
            <w:noWrap w:val="0"/>
            <w:vAlign w:val="center"/>
          </w:tcPr>
          <w:p>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1319" w:type="dxa"/>
            <w:noWrap w:val="0"/>
            <w:vAlign w:val="center"/>
          </w:tcPr>
          <w:p>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评分因素</w:t>
            </w:r>
          </w:p>
        </w:tc>
        <w:tc>
          <w:tcPr>
            <w:tcW w:w="1268" w:type="dxa"/>
            <w:noWrap w:val="0"/>
            <w:vAlign w:val="center"/>
          </w:tcPr>
          <w:p>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权重</w:t>
            </w:r>
          </w:p>
        </w:tc>
        <w:tc>
          <w:tcPr>
            <w:tcW w:w="4803" w:type="dxa"/>
            <w:noWrap w:val="0"/>
            <w:vAlign w:val="center"/>
          </w:tcPr>
          <w:p>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评分准则</w:t>
            </w:r>
          </w:p>
        </w:tc>
      </w:tr>
      <w:tr>
        <w:tblPrEx>
          <w:tblW w:w="5000" w:type="pct"/>
          <w:jc w:val="center"/>
          <w:tblLayout w:type="fixed"/>
          <w:tblCellMar>
            <w:top w:w="0" w:type="dxa"/>
            <w:left w:w="108" w:type="dxa"/>
            <w:bottom w:w="0" w:type="dxa"/>
            <w:right w:w="108" w:type="dxa"/>
          </w:tblCellMar>
        </w:tblPrEx>
        <w:trPr>
          <w:trHeight w:val="20"/>
          <w:jc w:val="center"/>
        </w:trPr>
        <w:tc>
          <w:tcPr>
            <w:tcW w:w="392" w:type="dxa"/>
            <w:vMerge/>
            <w:noWrap w:val="0"/>
            <w:vAlign w:val="center"/>
          </w:tcPr>
          <w:p>
            <w:pPr>
              <w:keepNext/>
              <w:keepLines/>
              <w:spacing w:before="340" w:after="330" w:line="360" w:lineRule="auto"/>
              <w:jc w:val="center"/>
              <w:outlineLvl w:val="0"/>
              <w:rPr>
                <w:rFonts w:ascii="宋体" w:eastAsia="宋体" w:hAnsi="宋体" w:cs="宋体" w:hint="eastAsia"/>
                <w:sz w:val="21"/>
                <w:szCs w:val="21"/>
              </w:rPr>
            </w:pPr>
          </w:p>
        </w:tc>
        <w:tc>
          <w:tcPr>
            <w:tcW w:w="722" w:type="dxa"/>
            <w:gridSpan w:val="2"/>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1</w:t>
            </w:r>
          </w:p>
        </w:tc>
        <w:tc>
          <w:tcPr>
            <w:tcW w:w="1319" w:type="dxa"/>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商务条款偏离情况</w:t>
            </w:r>
          </w:p>
        </w:tc>
        <w:tc>
          <w:tcPr>
            <w:tcW w:w="1268" w:type="dxa"/>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2</w:t>
            </w:r>
          </w:p>
        </w:tc>
        <w:tc>
          <w:tcPr>
            <w:tcW w:w="4803" w:type="dxa"/>
            <w:noWrap w:val="0"/>
            <w:vAlign w:val="center"/>
          </w:tcPr>
          <w:p>
            <w:pPr>
              <w:spacing w:line="360" w:lineRule="auto"/>
              <w:jc w:val="both"/>
              <w:rPr>
                <w:rFonts w:ascii="宋体" w:eastAsia="宋体" w:hAnsi="宋体" w:cs="宋体" w:hint="eastAsia"/>
                <w:sz w:val="21"/>
                <w:szCs w:val="21"/>
              </w:rPr>
            </w:pPr>
            <w:r>
              <w:rPr>
                <w:rFonts w:ascii="宋体" w:eastAsia="宋体" w:hAnsi="宋体" w:cs="宋体" w:hint="eastAsia"/>
                <w:kern w:val="2"/>
                <w:sz w:val="21"/>
                <w:szCs w:val="21"/>
                <w:lang w:eastAsia="zh-CN"/>
              </w:rPr>
              <w:t>投标人应如实填写《商务条款偏离情况》，评审小组根据响应情况进行打分，全部满足要求的得100分，每负偏离一项扣20分。</w:t>
            </w:r>
          </w:p>
        </w:tc>
      </w:tr>
      <w:tr>
        <w:tblPrEx>
          <w:tblW w:w="5000" w:type="pct"/>
          <w:jc w:val="center"/>
          <w:tblLayout w:type="fixed"/>
          <w:tblCellMar>
            <w:top w:w="0" w:type="dxa"/>
            <w:left w:w="108" w:type="dxa"/>
            <w:bottom w:w="0" w:type="dxa"/>
            <w:right w:w="108" w:type="dxa"/>
          </w:tblCellMar>
        </w:tblPrEx>
        <w:trPr>
          <w:trHeight w:val="20"/>
          <w:jc w:val="center"/>
        </w:trPr>
        <w:tc>
          <w:tcPr>
            <w:tcW w:w="392" w:type="dxa"/>
            <w:vMerge/>
            <w:noWrap w:val="0"/>
            <w:vAlign w:val="center"/>
          </w:tcPr>
          <w:p>
            <w:pPr>
              <w:keepNext/>
              <w:keepLines/>
              <w:spacing w:before="260" w:after="260" w:line="360" w:lineRule="auto"/>
              <w:jc w:val="center"/>
              <w:outlineLvl w:val="2"/>
              <w:rPr>
                <w:rFonts w:ascii="宋体" w:eastAsia="宋体" w:hAnsi="宋体" w:cs="宋体" w:hint="eastAsia"/>
                <w:sz w:val="21"/>
                <w:szCs w:val="21"/>
              </w:rPr>
            </w:pPr>
          </w:p>
        </w:tc>
        <w:tc>
          <w:tcPr>
            <w:tcW w:w="722" w:type="dxa"/>
            <w:gridSpan w:val="2"/>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2</w:t>
            </w:r>
          </w:p>
        </w:tc>
        <w:tc>
          <w:tcPr>
            <w:tcW w:w="1319" w:type="dxa"/>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同类项目业绩</w:t>
            </w:r>
          </w:p>
        </w:tc>
        <w:tc>
          <w:tcPr>
            <w:tcW w:w="1268" w:type="dxa"/>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w:t>
            </w:r>
          </w:p>
        </w:tc>
        <w:tc>
          <w:tcPr>
            <w:tcW w:w="4803" w:type="dxa"/>
            <w:noWrap w:val="0"/>
            <w:vAlign w:val="center"/>
          </w:tcPr>
          <w:p>
            <w:pPr>
              <w:widowControl w:val="0"/>
              <w:spacing w:line="360" w:lineRule="auto"/>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考察内容：</w:t>
            </w:r>
          </w:p>
          <w:p>
            <w:pPr>
              <w:widowControl w:val="0"/>
              <w:spacing w:line="360" w:lineRule="auto"/>
              <w:jc w:val="distribute"/>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2021年1月1日至本项目投标截止日（以合同签订日期为准），投标人具有家具类项目业绩的，每提供1个得</w:t>
            </w:r>
            <w:r>
              <w:rPr>
                <w:rFonts w:ascii="宋体" w:eastAsia="宋体" w:hAnsi="宋体" w:cs="宋体" w:hint="eastAsia"/>
                <w:kern w:val="2"/>
                <w:sz w:val="21"/>
                <w:szCs w:val="21"/>
                <w:lang w:eastAsia="zh-CN"/>
              </w:rPr>
              <w:t>100</w:t>
            </w:r>
            <w:r>
              <w:rPr>
                <w:rFonts w:ascii="宋体" w:eastAsia="宋体" w:hAnsi="宋体" w:cs="宋体" w:hint="eastAsia"/>
                <w:kern w:val="2"/>
                <w:sz w:val="21"/>
                <w:szCs w:val="21"/>
                <w:lang w:eastAsia="zh-CN"/>
              </w:rPr>
              <w:t>分，最高得100分。</w:t>
            </w:r>
          </w:p>
          <w:p>
            <w:pPr>
              <w:widowControl w:val="0"/>
              <w:spacing w:line="360" w:lineRule="auto"/>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证明文件：</w:t>
            </w:r>
          </w:p>
          <w:p>
            <w:pPr>
              <w:snapToGrid w:val="0"/>
              <w:spacing w:line="360" w:lineRule="auto"/>
              <w:jc w:val="both"/>
              <w:rPr>
                <w:rFonts w:ascii="宋体" w:eastAsia="宋体" w:hAnsi="宋体" w:cs="宋体" w:hint="eastAsia"/>
                <w:sz w:val="21"/>
                <w:szCs w:val="21"/>
              </w:rPr>
            </w:pPr>
            <w:r>
              <w:rPr>
                <w:rFonts w:ascii="宋体" w:eastAsia="宋体" w:hAnsi="宋体" w:cs="宋体" w:hint="eastAsia"/>
                <w:kern w:val="2"/>
                <w:sz w:val="21"/>
                <w:szCs w:val="21"/>
                <w:lang w:eastAsia="zh-CN"/>
              </w:rPr>
              <w:t>要求提供中标通知书、合同关键信息（包括但不限于合同标的、签订时间、双方签章页）及验收报告扫描件，通过合同关键信息无法判断是否得分的，还须同时提供能证明得分的其它证明资料，如合同甲方出具的证明文件或项目报告,原件备查。未提供或未按要求提供或提供的不清晰导致专家无法判断的不得分。</w:t>
            </w:r>
          </w:p>
        </w:tc>
      </w:tr>
      <w:tr>
        <w:tblPrEx>
          <w:tblW w:w="5000" w:type="pct"/>
          <w:jc w:val="center"/>
          <w:tblLayout w:type="fixed"/>
          <w:tblCellMar>
            <w:top w:w="0" w:type="dxa"/>
            <w:left w:w="108" w:type="dxa"/>
            <w:bottom w:w="0" w:type="dxa"/>
            <w:right w:w="108" w:type="dxa"/>
          </w:tblCellMar>
        </w:tblPrEx>
        <w:trPr>
          <w:trHeight w:val="20"/>
          <w:jc w:val="center"/>
        </w:trPr>
        <w:tc>
          <w:tcPr>
            <w:tcW w:w="392" w:type="dxa"/>
            <w:vMerge/>
            <w:noWrap w:val="0"/>
            <w:vAlign w:val="center"/>
          </w:tcPr>
          <w:p>
            <w:pPr>
              <w:keepNext/>
              <w:keepLines/>
              <w:spacing w:before="260" w:after="260" w:line="360" w:lineRule="auto"/>
              <w:jc w:val="center"/>
              <w:outlineLvl w:val="2"/>
              <w:rPr>
                <w:rFonts w:ascii="宋体" w:eastAsia="宋体" w:hAnsi="宋体" w:cs="宋体" w:hint="eastAsia"/>
                <w:sz w:val="21"/>
                <w:szCs w:val="21"/>
              </w:rPr>
            </w:pPr>
          </w:p>
        </w:tc>
        <w:tc>
          <w:tcPr>
            <w:tcW w:w="722" w:type="dxa"/>
            <w:gridSpan w:val="2"/>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w:t>
            </w:r>
          </w:p>
        </w:tc>
        <w:tc>
          <w:tcPr>
            <w:tcW w:w="1319" w:type="dxa"/>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lang w:eastAsia="zh-CN" w:bidi="ar"/>
              </w:rPr>
              <w:t>履约评价情况</w:t>
            </w:r>
          </w:p>
        </w:tc>
        <w:tc>
          <w:tcPr>
            <w:tcW w:w="1268" w:type="dxa"/>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w:t>
            </w:r>
          </w:p>
        </w:tc>
        <w:tc>
          <w:tcPr>
            <w:tcW w:w="4803" w:type="dxa"/>
            <w:noWrap w:val="0"/>
            <w:vAlign w:val="top"/>
          </w:tcPr>
          <w:p>
            <w:pPr>
              <w:widowControl w:val="0"/>
              <w:spacing w:line="360" w:lineRule="auto"/>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考察内容：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2021年1月1日至本项目投标截止日前，投标人具有上述同类项目经验中经评审有效得分的业绩，并经用户单位考核评价为优或满意或其他最高等级评价的，每提供1项得</w:t>
            </w:r>
            <w:r>
              <w:rPr>
                <w:rFonts w:ascii="宋体" w:eastAsia="宋体" w:hAnsi="宋体" w:cs="宋体" w:hint="eastAsia"/>
                <w:kern w:val="2"/>
                <w:sz w:val="21"/>
                <w:szCs w:val="21"/>
                <w:lang w:eastAsia="zh-CN"/>
              </w:rPr>
              <w:t>100</w:t>
            </w:r>
            <w:r>
              <w:rPr>
                <w:rFonts w:ascii="宋体" w:eastAsia="宋体" w:hAnsi="宋体" w:cs="宋体" w:hint="eastAsia"/>
                <w:kern w:val="2"/>
                <w:sz w:val="21"/>
                <w:szCs w:val="21"/>
                <w:lang w:eastAsia="zh-CN"/>
              </w:rPr>
              <w:t>分，最高得100分。</w:t>
            </w:r>
          </w:p>
          <w:p>
            <w:pPr>
              <w:widowControl w:val="0"/>
              <w:spacing w:line="360" w:lineRule="auto"/>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证明文件：</w:t>
            </w:r>
          </w:p>
          <w:p>
            <w:pPr>
              <w:keepNext w:val="0"/>
              <w:keepLines w:val="0"/>
              <w:widowControl/>
              <w:suppressLineNumbers w:val="0"/>
              <w:pBdr>
                <w:top w:val="none" w:sz="0" w:space="0" w:color="auto"/>
                <w:left w:val="none" w:sz="0" w:space="0" w:color="auto"/>
                <w:bottom w:val="none" w:sz="0" w:space="0" w:color="auto"/>
                <w:right w:val="none" w:sz="0" w:space="0" w:color="auto"/>
              </w:pBdr>
              <w:wordWrap w:val="0"/>
              <w:spacing w:line="360" w:lineRule="auto"/>
              <w:jc w:val="both"/>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要求提供以上项目合同关键页</w:t>
            </w:r>
            <w:r>
              <w:rPr>
                <w:rFonts w:ascii="宋体" w:eastAsia="宋体" w:hAnsi="宋体" w:cs="宋体" w:hint="eastAsia"/>
                <w:kern w:val="2"/>
                <w:sz w:val="21"/>
                <w:szCs w:val="21"/>
                <w:lang w:eastAsia="zh-CN"/>
              </w:rPr>
              <w:t>（包括但不限于合同标的、签订时间、双方签章页）</w:t>
            </w:r>
            <w:r>
              <w:rPr>
                <w:rFonts w:ascii="宋体" w:eastAsia="宋体" w:hAnsi="宋体" w:cs="宋体" w:hint="eastAsia"/>
                <w:sz w:val="21"/>
                <w:szCs w:val="21"/>
                <w:lang w:eastAsia="zh-CN" w:bidi="ar"/>
              </w:rPr>
              <w:t>及盖有用户单位公章或</w:t>
            </w:r>
            <w:r>
              <w:rPr>
                <w:rFonts w:ascii="宋体" w:eastAsia="宋体" w:hAnsi="宋体" w:cs="宋体" w:hint="eastAsia"/>
                <w:kern w:val="2"/>
                <w:sz w:val="21"/>
                <w:szCs w:val="21"/>
                <w:lang w:eastAsia="zh-CN"/>
              </w:rPr>
              <w:t>加盖职能部门或下属机构业务章</w:t>
            </w:r>
            <w:r>
              <w:rPr>
                <w:rFonts w:ascii="宋体" w:eastAsia="宋体" w:hAnsi="宋体" w:cs="宋体" w:hint="eastAsia"/>
                <w:sz w:val="21"/>
                <w:szCs w:val="21"/>
                <w:lang w:eastAsia="zh-CN" w:bidi="ar"/>
              </w:rPr>
              <w:t>的履约评价扫描件，</w:t>
            </w:r>
            <w:r>
              <w:rPr>
                <w:rFonts w:ascii="宋体" w:eastAsia="宋体" w:hAnsi="宋体" w:cs="宋体" w:hint="eastAsia"/>
                <w:kern w:val="2"/>
                <w:sz w:val="21"/>
                <w:szCs w:val="21"/>
                <w:lang w:eastAsia="zh-CN"/>
              </w:rPr>
              <w:t>原件备查。未提供或未按要求提供或提供的不清晰导致专家无法判断的不得分。</w:t>
            </w:r>
          </w:p>
        </w:tc>
      </w:tr>
      <w:tr>
        <w:tblPrEx>
          <w:tblW w:w="5000" w:type="pct"/>
          <w:jc w:val="center"/>
          <w:tblLayout w:type="fixed"/>
          <w:tblCellMar>
            <w:top w:w="0" w:type="dxa"/>
            <w:left w:w="108" w:type="dxa"/>
            <w:bottom w:w="0" w:type="dxa"/>
            <w:right w:w="108" w:type="dxa"/>
          </w:tblCellMar>
        </w:tblPrEx>
        <w:trPr>
          <w:trHeight w:val="20"/>
          <w:jc w:val="center"/>
        </w:trPr>
        <w:tc>
          <w:tcPr>
            <w:tcW w:w="392" w:type="dxa"/>
            <w:noWrap w:val="0"/>
            <w:vAlign w:val="center"/>
          </w:tcPr>
          <w:p>
            <w:pPr>
              <w:keepNext/>
              <w:keepLines/>
              <w:spacing w:before="260" w:after="260" w:line="360" w:lineRule="auto"/>
              <w:jc w:val="center"/>
              <w:outlineLvl w:val="2"/>
              <w:rPr>
                <w:rFonts w:ascii="宋体" w:eastAsia="宋体" w:hAnsi="宋体" w:cs="宋体" w:hint="eastAsia"/>
                <w:sz w:val="21"/>
                <w:szCs w:val="21"/>
              </w:rPr>
            </w:pPr>
          </w:p>
        </w:tc>
        <w:tc>
          <w:tcPr>
            <w:tcW w:w="722" w:type="dxa"/>
            <w:gridSpan w:val="2"/>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4</w:t>
            </w:r>
          </w:p>
        </w:tc>
        <w:tc>
          <w:tcPr>
            <w:tcW w:w="1319" w:type="dxa"/>
            <w:noWrap w:val="0"/>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诚信评价</w:t>
            </w:r>
          </w:p>
        </w:tc>
        <w:tc>
          <w:tcPr>
            <w:tcW w:w="1268" w:type="dxa"/>
            <w:noWrap w:val="0"/>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5</w:t>
            </w:r>
          </w:p>
        </w:tc>
        <w:tc>
          <w:tcPr>
            <w:tcW w:w="4803" w:type="dxa"/>
            <w:noWrap w:val="0"/>
            <w:vAlign w:val="top"/>
          </w:tcPr>
          <w:p>
            <w:pPr>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tc>
      </w:tr>
    </w:tbl>
    <w:p>
      <w:pPr>
        <w:widowControl w:val="0"/>
        <w:jc w:val="center"/>
        <w:rPr>
          <w:rFonts w:ascii="Calibri" w:eastAsia="宋体" w:hAnsi="Calibri" w:hint="eastAsia"/>
          <w:b/>
          <w:kern w:val="2"/>
          <w:sz w:val="120"/>
          <w:szCs w:val="120"/>
          <w:lang w:eastAsia="zh-CN"/>
        </w:rPr>
      </w:pPr>
    </w:p>
    <w:p>
      <w:pPr>
        <w:spacing w:line="360" w:lineRule="auto"/>
        <w:rPr>
          <w:rFonts w:ascii="Calibri" w:eastAsia="宋体" w:hAnsi="Calibri" w:hint="eastAsia"/>
          <w:b/>
          <w:bCs/>
          <w:kern w:val="2"/>
          <w:sz w:val="120"/>
          <w:szCs w:val="120"/>
          <w:lang w:eastAsia="zh-CN"/>
        </w:rPr>
      </w:pPr>
    </w:p>
    <w:p>
      <w:pPr>
        <w:widowControl w:val="0"/>
        <w:jc w:val="both"/>
        <w:rPr>
          <w:rFonts w:ascii="Calibri" w:eastAsia="宋体" w:hAnsi="Calibri" w:cs="Calibri" w:hint="eastAsia"/>
          <w:i/>
          <w:iCs/>
          <w:color w:val="000000"/>
          <w:kern w:val="2"/>
          <w:sz w:val="22"/>
          <w:szCs w:val="22"/>
          <w:lang w:eastAsia="zh-CN"/>
        </w:rPr>
      </w:pP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深圳市千里招标代理有限公司</w:t>
      </w: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24</w:t>
      </w:r>
      <w:r>
        <w:rPr>
          <w:rFonts w:ascii="宋体" w:eastAsia="宋体" w:hAnsi="宋体" w:cstheme="minorBidi" w:hint="eastAsia"/>
          <w:b/>
          <w:kern w:val="2"/>
          <w:sz w:val="44"/>
          <w:szCs w:val="44"/>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ind w:firstLine="3640" w:firstLineChars="1300"/>
        <w:jc w:val="both"/>
        <w:rPr>
          <w:rFonts w:ascii="宋体" w:eastAsia="宋体" w:hAnsi="宋体"/>
          <w:color w:val="FF0000"/>
          <w:kern w:val="2"/>
          <w:sz w:val="21"/>
          <w:szCs w:val="21"/>
          <w:lang w:eastAsia="zh-CN"/>
        </w:rPr>
      </w:pPr>
      <w:bookmarkStart w:id="1" w:name="_Hlk73564573"/>
      <w:r>
        <w:rPr>
          <w:rFonts w:ascii="宋体" w:eastAsia="黑体" w:hAnsi="宋体" w:cstheme="minorBidi" w:hint="eastAsia"/>
          <w:b/>
          <w:bCs/>
          <w:color w:val="FF0000"/>
          <w:kern w:val="44"/>
          <w:sz w:val="28"/>
          <w:szCs w:val="44"/>
          <w:lang w:eastAsia="zh-CN"/>
        </w:rPr>
        <w:t>警示条款</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二、《深圳经济特区政府采购条例实施细则》第七十五条</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三、《深圳经济特区政府采购条例实施细则》第七十七条</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1"/>
    <w:p>
      <w:pPr>
        <w:widowControl w:val="0"/>
        <w:ind w:firstLine="420" w:firstLineChars="200"/>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违法行为风险知悉确认书》（内容详见“投标文件附件（信息不公开部分）”中节点“投标人认为需要加以说明的其他内容（格式自定）”），注：该风险知悉确认书用于对供应商违法行为的警示，不作为供应商资格性审查及符合性审查条件。</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theme="minorBidi" w:hint="eastAsia"/>
          <w:color w:val="FF0000"/>
          <w:kern w:val="2"/>
          <w:sz w:val="20"/>
          <w:szCs w:val="20"/>
          <w:lang w:eastAsia="zh-CN"/>
        </w:rPr>
        <w:t>取消参与本市政府采购资格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ascii="Calibri" w:eastAsia="宋体" w:hAnsi="Calibri" w:cstheme="minorBidi" w:hint="eastAsia"/>
          <w:bCs/>
          <w:color w:val="FF0000"/>
          <w:kern w:val="2"/>
          <w:sz w:val="20"/>
          <w:szCs w:val="20"/>
          <w:lang w:eastAsia="zh-CN"/>
        </w:rPr>
        <w:t>，请各供应商独立编制、上传投标文件，妥善保管和使用电子秘钥。</w:t>
      </w:r>
    </w:p>
    <w:p>
      <w:pPr>
        <w:widowControl w:val="0"/>
        <w:snapToGrid w:val="0"/>
        <w:spacing w:line="360" w:lineRule="exact"/>
        <w:jc w:val="left"/>
        <w:rPr>
          <w:rFonts w:ascii="宋体" w:eastAsia="宋体" w:hAnsi="宋体" w:cs="宋体"/>
          <w:color w:val="000000"/>
          <w:lang w:eastAsia="zh-CN"/>
        </w:rPr>
      </w:pPr>
    </w:p>
    <w:p>
      <w:pPr>
        <w:widowControl w:val="0"/>
        <w:snapToGrid w:val="0"/>
        <w:spacing w:line="360" w:lineRule="exact"/>
        <w:jc w:val="left"/>
        <w:rPr>
          <w:rFonts w:ascii="宋体" w:eastAsia="宋体" w:hAnsi="宋体" w:cs="宋体"/>
          <w:color w:val="000000"/>
          <w:lang w:eastAsia="zh-CN"/>
        </w:rPr>
      </w:pPr>
    </w:p>
    <w:p>
      <w:pPr>
        <w:widowControl w:val="0"/>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目录</w:t>
      </w:r>
    </w:p>
    <w:p>
      <w:pPr>
        <w:widowControl w:val="0"/>
        <w:spacing w:line="360" w:lineRule="auto"/>
        <w:jc w:val="both"/>
        <w:rPr>
          <w:rFonts w:ascii="Calibri" w:eastAsia="宋体" w:hAnsi="Calibri"/>
          <w:b/>
          <w:kern w:val="2"/>
          <w:lang w:eastAsia="zh-CN"/>
        </w:rPr>
      </w:pPr>
      <w:r>
        <w:rPr>
          <w:rFonts w:ascii="Calibri" w:eastAsia="宋体" w:hAnsi="Calibri" w:cstheme="minorBidi" w:hint="eastAsia"/>
          <w:b/>
          <w:kern w:val="2"/>
          <w:lang w:eastAsia="zh-CN"/>
        </w:rPr>
        <w:t>第一册专用条款</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关键信息</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第一章招标公告</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第二章对通用条款的补充内容及其他关键信息</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第三章用户需求书</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第四章投标文件组成要求及格式</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第五章合同条款及格式</w:t>
      </w:r>
    </w:p>
    <w:p>
      <w:pPr>
        <w:widowControl w:val="0"/>
        <w:spacing w:line="360" w:lineRule="auto"/>
        <w:jc w:val="both"/>
        <w:rPr>
          <w:rFonts w:ascii="Calibri" w:eastAsia="宋体" w:hAnsi="Calibri"/>
          <w:b/>
          <w:kern w:val="2"/>
          <w:szCs w:val="22"/>
          <w:lang w:eastAsia="zh-CN"/>
        </w:rPr>
      </w:pPr>
    </w:p>
    <w:p>
      <w:pPr>
        <w:widowControl w:val="0"/>
        <w:spacing w:line="360" w:lineRule="auto"/>
        <w:jc w:val="both"/>
        <w:rPr>
          <w:rFonts w:ascii="Calibri" w:eastAsia="宋体" w:hAnsi="Calibri"/>
          <w:b/>
          <w:kern w:val="2"/>
          <w:lang w:eastAsia="zh-CN"/>
        </w:rPr>
      </w:pPr>
      <w:r>
        <w:rPr>
          <w:rFonts w:ascii="Calibri" w:eastAsia="宋体" w:hAnsi="Calibri" w:cstheme="minorBidi" w:hint="eastAsia"/>
          <w:b/>
          <w:kern w:val="2"/>
          <w:lang w:eastAsia="zh-CN"/>
        </w:rPr>
        <w:t>第二册通用条款</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第一章总则</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第二章招标文件</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第三章投标文件的编制</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第四章投标文件的递交</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第五章开标</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第六章评审要求</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第七章评审程序及评审方法</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第八章定标及公示</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第九章公开招标失败的后续处理</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第十章合同的授予与备案</w:t>
      </w:r>
    </w:p>
    <w:p>
      <w:pPr>
        <w:widowControl w:val="0"/>
        <w:spacing w:line="360" w:lineRule="auto"/>
        <w:ind w:firstLine="1050" w:firstLineChars="5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第十一章质疑处理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jc w:val="center"/>
        <w:rPr>
          <w:rFonts w:ascii="Arial" w:eastAsia="宋体" w:hAnsi="Arial"/>
          <w:b/>
          <w:bCs/>
          <w:kern w:val="44"/>
          <w:sz w:val="32"/>
          <w:szCs w:val="32"/>
          <w:lang w:eastAsia="zh-CN"/>
        </w:rPr>
      </w:pPr>
      <w:r>
        <w:rPr>
          <w:rFonts w:ascii="Calibri" w:eastAsia="宋体" w:hAnsi="Calibri" w:cstheme="minorBidi"/>
          <w:kern w:val="2"/>
          <w:sz w:val="21"/>
          <w:szCs w:val="22"/>
          <w:lang w:eastAsia="zh-CN"/>
        </w:rPr>
        <w:br w:type="page"/>
      </w:r>
      <w:r>
        <w:rPr>
          <w:rFonts w:ascii="Arial" w:eastAsia="宋体" w:hAnsi="Arial" w:hint="eastAsia"/>
          <w:b/>
          <w:bCs/>
          <w:kern w:val="44"/>
          <w:sz w:val="32"/>
          <w:szCs w:val="32"/>
          <w:lang w:eastAsia="zh-CN"/>
        </w:rPr>
        <w:t>第一册  专用条款</w:t>
      </w:r>
    </w:p>
    <w:p>
      <w:pPr>
        <w:keepNext/>
        <w:keepLines/>
        <w:widowControl w:val="0"/>
        <w:adjustRightInd w:val="0"/>
        <w:spacing w:before="260" w:after="260" w:line="36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keepNext w:val="0"/>
        <w:keepLines w:val="0"/>
        <w:pageBreakBefore w:val="0"/>
        <w:kinsoku/>
        <w:wordWrap/>
        <w:overflowPunct/>
        <w:topLinePunct w:val="0"/>
        <w:autoSpaceDE/>
        <w:autoSpaceDN/>
        <w:bidi w:val="0"/>
        <w:adjustRightInd/>
        <w:snapToGrid/>
        <w:spacing w:after="60" w:afterLines="25" w:line="300" w:lineRule="auto"/>
        <w:jc w:val="left"/>
        <w:textAlignment w:val="auto"/>
        <w:rPr>
          <w:rFonts w:ascii="宋体" w:eastAsia="宋体" w:hAnsi="宋体" w:cs="宋体" w:hint="eastAsia"/>
          <w:sz w:val="21"/>
          <w:szCs w:val="21"/>
          <w:lang w:eastAsia="zh-CN"/>
        </w:rPr>
      </w:pPr>
      <w:r>
        <w:rPr>
          <w:rFonts w:ascii="宋体" w:eastAsia="宋体" w:hAnsi="宋体" w:cs="宋体" w:hint="eastAsia"/>
          <w:sz w:val="21"/>
          <w:szCs w:val="21"/>
        </w:rPr>
        <w:t>1、具有独立法人资格或具有独立承担民事责任的能力的其它组织（提供营业执照或事业单位法人证等法人证明扫描件，原件备查）</w:t>
      </w:r>
      <w:r>
        <w:rPr>
          <w:rFonts w:ascii="宋体" w:eastAsia="宋体" w:hAnsi="宋体" w:cs="宋体" w:hint="eastAsia"/>
          <w:sz w:val="21"/>
          <w:szCs w:val="21"/>
          <w:lang w:eastAsia="zh-CN"/>
        </w:rPr>
        <w:t>。</w:t>
      </w:r>
    </w:p>
    <w:p>
      <w:pPr>
        <w:keepNext w:val="0"/>
        <w:keepLines w:val="0"/>
        <w:pageBreakBefore w:val="0"/>
        <w:kinsoku/>
        <w:wordWrap/>
        <w:overflowPunct/>
        <w:topLinePunct w:val="0"/>
        <w:autoSpaceDE/>
        <w:autoSpaceDN/>
        <w:bidi w:val="0"/>
        <w:adjustRightInd/>
        <w:snapToGrid/>
        <w:spacing w:after="60" w:afterLines="25"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rPr>
        <w:t>2、参与本项目投标前三年内，在经营活动中没有重大违法记录（由供应商在《龙华区教育局自行采购投标及履约承诺函》中作出声明）。</w:t>
      </w:r>
    </w:p>
    <w:p>
      <w:pPr>
        <w:keepNext w:val="0"/>
        <w:keepLines w:val="0"/>
        <w:pageBreakBefore w:val="0"/>
        <w:kinsoku/>
        <w:wordWrap/>
        <w:overflowPunct/>
        <w:topLinePunct w:val="0"/>
        <w:autoSpaceDE/>
        <w:autoSpaceDN/>
        <w:bidi w:val="0"/>
        <w:adjustRightInd/>
        <w:snapToGrid/>
        <w:spacing w:after="60" w:afterLines="25"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rPr>
        <w:t>3、参与本项目政府采购活动时不存在被有关部门禁止参与政府采购活动且在有效期内的情况（由供应商在《龙华区教育局自行采购投标及履约承诺函》中作出声明）。</w:t>
      </w:r>
    </w:p>
    <w:p>
      <w:pPr>
        <w:keepNext w:val="0"/>
        <w:keepLines w:val="0"/>
        <w:pageBreakBefore w:val="0"/>
        <w:kinsoku/>
        <w:wordWrap/>
        <w:overflowPunct/>
        <w:topLinePunct w:val="0"/>
        <w:autoSpaceDE/>
        <w:autoSpaceDN/>
        <w:bidi w:val="0"/>
        <w:adjustRightInd/>
        <w:snapToGrid/>
        <w:spacing w:after="60" w:afterLines="25"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rPr>
        <w:t>4、具备《中华人民共和国政府采购法》第二十二条第一款的条件（由供应商在《龙华区教育局自行采购投标及履约承诺函》中作出声明）。</w:t>
      </w:r>
    </w:p>
    <w:p>
      <w:pPr>
        <w:keepNext w:val="0"/>
        <w:keepLines w:val="0"/>
        <w:pageBreakBefore w:val="0"/>
        <w:kinsoku/>
        <w:wordWrap/>
        <w:overflowPunct/>
        <w:topLinePunct w:val="0"/>
        <w:autoSpaceDE/>
        <w:autoSpaceDN/>
        <w:bidi w:val="0"/>
        <w:adjustRightInd/>
        <w:snapToGrid/>
        <w:spacing w:after="60" w:afterLines="25"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rPr>
        <w:t>5、参与本项目政府采购活动时未被列入失信被执行人、重大税收违法失信主体、政府采购严重违法失信行为记录名单（由供应商在《龙华区教育局自行采购投标及履约承诺函》中作出承诺）。</w:t>
      </w:r>
    </w:p>
    <w:p>
      <w:pPr>
        <w:keepNext w:val="0"/>
        <w:keepLines w:val="0"/>
        <w:pageBreakBefore w:val="0"/>
        <w:kinsoku/>
        <w:wordWrap/>
        <w:overflowPunct/>
        <w:topLinePunct w:val="0"/>
        <w:autoSpaceDE/>
        <w:autoSpaceDN/>
        <w:bidi w:val="0"/>
        <w:adjustRightInd/>
        <w:snapToGrid/>
        <w:spacing w:after="60" w:afterLines="25"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rPr>
        <w:t>备注：“信用中国”中“信用服务”栏的“重大税收违法失信主体”“失信被执行人”“中国政府采购网”中的“政府采购严重违法失信行为记录名单”， “深圳信用网”以及 “深圳市政府采购监管网”为供应商信用信息的查询渠道，相关信息以开标当日的查询结果为准。</w:t>
      </w:r>
    </w:p>
    <w:p>
      <w:pPr>
        <w:keepNext w:val="0"/>
        <w:keepLines w:val="0"/>
        <w:pageBreakBefore w:val="0"/>
        <w:kinsoku/>
        <w:wordWrap/>
        <w:overflowPunct/>
        <w:topLinePunct w:val="0"/>
        <w:autoSpaceDE/>
        <w:autoSpaceDN/>
        <w:bidi w:val="0"/>
        <w:adjustRightInd/>
        <w:snapToGrid/>
        <w:spacing w:after="60" w:afterLines="25"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lang w:eastAsia="zh-CN"/>
        </w:rPr>
        <w:t>6、投标人不存在《深圳市财政局政府采购供应商信用信息管理办法》（深财规〔2023〕3 号）列明的严重违法失信行为（由供应商在</w:t>
      </w:r>
      <w:r>
        <w:rPr>
          <w:rFonts w:ascii="宋体" w:eastAsia="宋体" w:hAnsi="宋体" w:cs="宋体" w:hint="eastAsia"/>
          <w:bCs/>
          <w:sz w:val="21"/>
          <w:szCs w:val="21"/>
        </w:rPr>
        <w:t>《龙华区教育局自行采购投标及履约承诺函》</w:t>
      </w:r>
      <w:r>
        <w:rPr>
          <w:rFonts w:ascii="宋体" w:eastAsia="宋体" w:hAnsi="宋体" w:cs="宋体" w:hint="eastAsia"/>
          <w:sz w:val="21"/>
          <w:szCs w:val="21"/>
          <w:lang w:eastAsia="zh-CN"/>
        </w:rPr>
        <w:t>中作出声明）。</w:t>
      </w:r>
    </w:p>
    <w:p>
      <w:pPr>
        <w:keepNext w:val="0"/>
        <w:keepLines w:val="0"/>
        <w:pageBreakBefore w:val="0"/>
        <w:kinsoku/>
        <w:wordWrap/>
        <w:overflowPunct/>
        <w:topLinePunct w:val="0"/>
        <w:autoSpaceDE/>
        <w:autoSpaceDN/>
        <w:bidi w:val="0"/>
        <w:adjustRightInd/>
        <w:snapToGrid/>
        <w:spacing w:after="60" w:afterLines="25" w:line="300" w:lineRule="auto"/>
        <w:jc w:val="left"/>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7</w:t>
      </w:r>
      <w:r>
        <w:rPr>
          <w:rFonts w:ascii="宋体" w:eastAsia="宋体" w:hAnsi="宋体" w:cs="宋体" w:hint="eastAsia"/>
          <w:sz w:val="21"/>
          <w:szCs w:val="21"/>
        </w:rPr>
        <w:t>、为采购项目提供整体设计、规范编制或者项目管理、监理、检测等服务的供应商，不得再参加该采购项目同一合同项下的其他采购活动。（由供应商在《龙华区教育局自行采购投标及履约承诺函》中作出承诺）</w:t>
      </w:r>
      <w:r>
        <w:rPr>
          <w:rFonts w:ascii="宋体" w:eastAsia="宋体" w:hAnsi="宋体" w:cs="宋体" w:hint="eastAsia"/>
          <w:sz w:val="21"/>
          <w:szCs w:val="21"/>
          <w:lang w:eastAsia="zh-CN"/>
        </w:rPr>
        <w:t>。</w:t>
      </w:r>
    </w:p>
    <w:p>
      <w:pPr>
        <w:keepNext w:val="0"/>
        <w:keepLines w:val="0"/>
        <w:pageBreakBefore w:val="0"/>
        <w:kinsoku/>
        <w:wordWrap/>
        <w:overflowPunct/>
        <w:topLinePunct w:val="0"/>
        <w:autoSpaceDE/>
        <w:autoSpaceDN/>
        <w:bidi w:val="0"/>
        <w:adjustRightInd/>
        <w:snapToGrid/>
        <w:spacing w:after="60" w:afterLines="25" w:line="300" w:lineRule="auto"/>
        <w:jc w:val="left"/>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8</w:t>
      </w:r>
      <w:r>
        <w:rPr>
          <w:rFonts w:ascii="宋体" w:eastAsia="宋体" w:hAnsi="宋体" w:cs="宋体" w:hint="eastAsia"/>
          <w:sz w:val="21"/>
          <w:szCs w:val="21"/>
        </w:rPr>
        <w:t>、单位负责人为同一人或者存在直接控股、管理关系的不同供应商，不得参加同一合同项下的政府采购活动。（由供应商在《龙华区教育局自行采购投标及履约承诺函》中作出承诺）</w:t>
      </w:r>
      <w:r>
        <w:rPr>
          <w:rFonts w:ascii="宋体" w:eastAsia="宋体" w:hAnsi="宋体" w:cs="宋体" w:hint="eastAsia"/>
          <w:sz w:val="21"/>
          <w:szCs w:val="21"/>
          <w:lang w:eastAsia="zh-CN"/>
        </w:rPr>
        <w:t>。</w:t>
      </w:r>
    </w:p>
    <w:p>
      <w:pPr>
        <w:keepNext w:val="0"/>
        <w:keepLines w:val="0"/>
        <w:pageBreakBefore w:val="0"/>
        <w:kinsoku/>
        <w:wordWrap/>
        <w:overflowPunct/>
        <w:topLinePunct w:val="0"/>
        <w:autoSpaceDE/>
        <w:autoSpaceDN/>
        <w:bidi w:val="0"/>
        <w:adjustRightInd/>
        <w:snapToGrid/>
        <w:spacing w:after="60" w:afterLines="25" w:line="300" w:lineRule="auto"/>
        <w:jc w:val="left"/>
        <w:textAlignment w:val="auto"/>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9</w:t>
      </w:r>
      <w:r>
        <w:rPr>
          <w:rFonts w:ascii="宋体" w:eastAsia="宋体" w:hAnsi="宋体" w:cs="宋体" w:hint="eastAsia"/>
          <w:color w:val="FF0000"/>
          <w:sz w:val="21"/>
          <w:szCs w:val="21"/>
        </w:rPr>
        <w:t>、</w:t>
      </w:r>
      <w:r>
        <w:rPr>
          <w:rFonts w:ascii="宋体" w:eastAsia="宋体" w:hAnsi="宋体" w:cs="宋体" w:hint="eastAsia"/>
          <w:color w:val="FF0000"/>
          <w:sz w:val="21"/>
          <w:szCs w:val="21"/>
          <w:lang w:eastAsia="zh-CN"/>
        </w:rPr>
        <w:t>本项目属于专门面向中小微企业采购项目，非中小微企业不得投标。（需提供符合要求的《中小微企业声明函》格式详见招标文件（按本项目规定的所属行业填写），其中企业类型为中型、小型或微型；残疾人福利单位、监狱企业视同小型、微型企业，提供残疾人福利性单位声明函或监狱企业声明函及监狱企业证明文件）。</w:t>
      </w:r>
    </w:p>
    <w:p>
      <w:pPr>
        <w:keepNext w:val="0"/>
        <w:keepLines w:val="0"/>
        <w:pageBreakBefore w:val="0"/>
        <w:widowControl w:val="0"/>
        <w:kinsoku/>
        <w:wordWrap/>
        <w:overflowPunct/>
        <w:topLinePunct w:val="0"/>
        <w:autoSpaceDE/>
        <w:autoSpaceDN/>
        <w:bidi w:val="0"/>
        <w:adjustRightInd/>
        <w:snapToGrid/>
        <w:spacing w:after="60" w:afterLines="25" w:line="300" w:lineRule="auto"/>
        <w:jc w:val="left"/>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10</w:t>
      </w:r>
      <w:r>
        <w:rPr>
          <w:rFonts w:ascii="宋体" w:eastAsia="宋体" w:hAnsi="宋体" w:cs="宋体" w:hint="eastAsia"/>
          <w:sz w:val="21"/>
          <w:szCs w:val="21"/>
        </w:rPr>
        <w:t>、本项目不接受联合体投标，不接受进口产品参与投标，不允许转包、分包。（由供应商在《龙华区教育局自行采购投标及履约承诺函》中作出承诺）</w:t>
      </w:r>
      <w:r>
        <w:rPr>
          <w:rFonts w:ascii="宋体" w:eastAsia="宋体" w:hAnsi="宋体" w:cs="宋体" w:hint="eastAsia"/>
          <w:sz w:val="21"/>
          <w:szCs w:val="21"/>
          <w:lang w:eastAsia="zh-CN"/>
        </w:rPr>
        <w:t>。</w:t>
      </w:r>
    </w:p>
    <w:p>
      <w:pPr>
        <w:widowControl w:val="0"/>
        <w:spacing w:after="60" w:afterLines="25"/>
        <w:jc w:val="center"/>
        <w:rPr>
          <w:rFonts w:ascii="Calibri" w:eastAsia="宋体" w:hAnsi="Calibri"/>
          <w:b/>
          <w:color w:val="FF0000"/>
          <w:kern w:val="2"/>
          <w:sz w:val="30"/>
          <w:szCs w:val="30"/>
          <w:lang w:eastAsia="zh-CN"/>
        </w:rPr>
      </w:pPr>
      <w:r>
        <w:rPr>
          <w:rFonts w:ascii="Arial" w:eastAsia="宋体" w:hAnsi="Arial" w:hint="eastAsia"/>
          <w:b/>
          <w:color w:val="FF0000"/>
          <w:kern w:val="2"/>
          <w:sz w:val="30"/>
          <w:szCs w:val="30"/>
          <w:lang w:eastAsia="zh-CN"/>
        </w:rPr>
        <w:t>完整公告内容以网站公布信息为准，详见：深圳政府采购自行采购系统</w:t>
      </w:r>
      <w:r>
        <w:rPr>
          <w:rFonts w:ascii="Calibri" w:eastAsia="宋体" w:hAnsi="Calibri" w:cstheme="minorBidi" w:hint="eastAsia"/>
          <w:b/>
          <w:color w:val="FF0000"/>
          <w:kern w:val="2"/>
          <w:sz w:val="30"/>
          <w:szCs w:val="30"/>
          <w:lang w:eastAsia="zh-CN"/>
        </w:rPr>
        <w:t>网（https://zxcg.szggzy.com/home/index.html）</w:t>
      </w:r>
    </w:p>
    <w:p>
      <w:pPr>
        <w:keepNext/>
        <w:keepLines/>
        <w:widowControl w:val="0"/>
        <w:spacing w:before="260" w:after="260" w:line="416" w:lineRule="auto"/>
        <w:jc w:val="center"/>
        <w:outlineLvl w:val="1"/>
        <w:rPr>
          <w:rFonts w:ascii="宋体" w:eastAsia="宋体" w:hAnsi="宋体"/>
          <w:b/>
          <w:bCs/>
          <w:sz w:val="28"/>
          <w:szCs w:val="28"/>
          <w:lang w:eastAsia="zh-CN"/>
        </w:rPr>
      </w:pPr>
      <w:r>
        <w:rPr>
          <w:rFonts w:ascii="宋体" w:eastAsia="宋体" w:hAnsi="宋体" w:hint="eastAsia"/>
          <w:b/>
          <w:bCs/>
          <w:sz w:val="28"/>
          <w:szCs w:val="28"/>
          <w:lang w:eastAsia="zh-CN"/>
        </w:rPr>
        <w:t>第二章</w:t>
      </w:r>
      <w:bookmarkStart w:id="2" w:name="_Hlk71926094"/>
      <w:r>
        <w:rPr>
          <w:rFonts w:ascii="宋体" w:eastAsia="宋体" w:hAnsi="宋体" w:hint="eastAsia"/>
          <w:b/>
          <w:bCs/>
          <w:sz w:val="28"/>
          <w:szCs w:val="28"/>
          <w:lang w:eastAsia="zh-CN"/>
        </w:rPr>
        <w:t xml:space="preserve">  对通用条款的补充内容及其他关键信息</w:t>
      </w:r>
      <w:bookmarkEnd w:id="2"/>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bookmarkStart w:id="3" w:name="_Toc73517639"/>
      <w:bookmarkStart w:id="4" w:name="_Toc100052364"/>
      <w:bookmarkStart w:id="5" w:name="_Toc60631620"/>
      <w:bookmarkStart w:id="6" w:name="_Toc73521635"/>
      <w:bookmarkStart w:id="7" w:name="_Toc101074876"/>
      <w:bookmarkStart w:id="8" w:name="_Toc73518117"/>
      <w:bookmarkStart w:id="9" w:name="_Toc60560625"/>
      <w:bookmarkStart w:id="10" w:name="_Toc73521547"/>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22"/>
        <w:gridCol w:w="1639"/>
        <w:gridCol w:w="629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通用条款序号</w:t>
            </w:r>
          </w:p>
        </w:tc>
        <w:tc>
          <w:tcPr>
            <w:tcW w:w="175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涉及事项</w:t>
            </w:r>
          </w:p>
        </w:tc>
        <w:tc>
          <w:tcPr>
            <w:tcW w:w="679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具体补充内容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p>
        </w:tc>
        <w:tc>
          <w:tcPr>
            <w:tcW w:w="1755" w:type="dxa"/>
            <w:vAlign w:val="center"/>
          </w:tcPr>
          <w:p>
            <w:pPr>
              <w:widowControl w:val="0"/>
              <w:jc w:val="center"/>
              <w:rPr>
                <w:rFonts w:ascii="宋体" w:eastAsia="宋体" w:hAnsi="宋体"/>
                <w:kern w:val="2"/>
                <w:sz w:val="21"/>
                <w:szCs w:val="21"/>
                <w:highlight w:val="yellow"/>
                <w:lang w:eastAsia="zh-CN"/>
              </w:rPr>
            </w:pPr>
            <w:r>
              <w:rPr>
                <w:rFonts w:ascii="宋体" w:eastAsia="宋体" w:hAnsi="宋体" w:cstheme="minorBidi" w:hint="eastAsia"/>
                <w:kern w:val="2"/>
                <w:sz w:val="21"/>
                <w:szCs w:val="21"/>
                <w:lang w:eastAsia="zh-CN"/>
              </w:rPr>
              <w:t>采购人</w:t>
            </w:r>
          </w:p>
        </w:tc>
        <w:tc>
          <w:tcPr>
            <w:tcW w:w="6795" w:type="dxa"/>
            <w:vAlign w:val="center"/>
          </w:tcPr>
          <w:p>
            <w:pPr>
              <w:widowControl w:val="0"/>
              <w:jc w:val="left"/>
              <w:rPr>
                <w:rFonts w:ascii="宋体" w:eastAsia="宋体" w:hAnsi="宋体" w:hint="eastAsia"/>
                <w:kern w:val="2"/>
                <w:sz w:val="21"/>
                <w:szCs w:val="21"/>
                <w:highlight w:val="yellow"/>
                <w:lang w:eastAsia="zh-CN"/>
              </w:rPr>
            </w:pPr>
            <w:r>
              <w:rPr>
                <w:rFonts w:ascii="宋体" w:eastAsia="宋体" w:hAnsi="宋体" w:hint="eastAsia"/>
                <w:kern w:val="2"/>
                <w:sz w:val="21"/>
                <w:szCs w:val="21"/>
                <w:lang w:eastAsia="zh-CN"/>
              </w:rPr>
              <w:t>深圳市龙华职业技术学校</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社会代理机构</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Arial" w:hint="eastAsia"/>
                <w:kern w:val="2"/>
                <w:sz w:val="21"/>
                <w:szCs w:val="21"/>
                <w:lang w:eastAsia="zh-CN"/>
              </w:rPr>
              <w:t>本文件所述的“</w:t>
            </w:r>
            <w:r>
              <w:rPr>
                <w:rFonts w:ascii="宋体" w:eastAsia="宋体" w:hAnsi="宋体" w:cstheme="minorBidi" w:hint="eastAsia"/>
                <w:kern w:val="2"/>
                <w:sz w:val="21"/>
                <w:szCs w:val="21"/>
                <w:lang w:eastAsia="zh-CN"/>
              </w:rPr>
              <w:t>社会代理机构</w:t>
            </w:r>
            <w:r>
              <w:rPr>
                <w:rFonts w:ascii="宋体" w:eastAsia="宋体" w:hAnsi="宋体" w:cs="Arial" w:hint="eastAsia"/>
                <w:kern w:val="2"/>
                <w:sz w:val="21"/>
                <w:szCs w:val="21"/>
                <w:lang w:eastAsia="zh-CN"/>
              </w:rPr>
              <w:t>”</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深圳市千里招标代理有限公司</w:t>
            </w:r>
            <w:r>
              <w:rPr>
                <w:rFonts w:ascii="宋体" w:eastAsia="宋体" w:hAnsi="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联合体投标</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9</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踏勘现场</w:t>
            </w:r>
          </w:p>
        </w:tc>
        <w:tc>
          <w:tcPr>
            <w:tcW w:w="6795" w:type="dxa"/>
            <w:vAlign w:val="center"/>
          </w:tcPr>
          <w:p>
            <w:pPr>
              <w:widowControl w:val="0"/>
              <w:jc w:val="left"/>
              <w:rPr>
                <w:rFonts w:ascii="宋体" w:eastAsia="宋体" w:hAnsi="宋体"/>
                <w:kern w:val="2"/>
                <w:sz w:val="21"/>
                <w:szCs w:val="21"/>
                <w:highlight w:val="yellow"/>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标前会议</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招标文件的澄清和修改</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不晚于投标截止日三日前，投标人有义务在招标期间在采购代理机构网站浏览与本项目有关的澄清和修改信息。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投标有效期</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120日历天（从投标截止之日算起）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投标人的替代方案</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5</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投标文件的大小</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bookmarkStart w:id="11" w:name="_Hlk71664860"/>
            <w:r>
              <w:rPr>
                <w:rFonts w:ascii="宋体" w:eastAsia="宋体" w:hAnsi="宋体" w:cstheme="minorBidi" w:hint="eastAsia"/>
                <w:kern w:val="2"/>
                <w:sz w:val="21"/>
                <w:szCs w:val="21"/>
                <w:lang w:eastAsia="zh-CN"/>
              </w:rPr>
              <w:t>样品、现场演示、方案讲解</w:t>
            </w:r>
            <w:bookmarkEnd w:id="11"/>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7</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评审方法</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b/>
                <w:bCs/>
                <w:kern w:val="2"/>
                <w:sz w:val="21"/>
                <w:szCs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8</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定标方法</w:t>
            </w:r>
          </w:p>
        </w:tc>
        <w:tc>
          <w:tcPr>
            <w:tcW w:w="6795" w:type="dxa"/>
            <w:vAlign w:val="center"/>
          </w:tcPr>
          <w:p>
            <w:pPr>
              <w:widowControl w:val="0"/>
              <w:jc w:val="left"/>
              <w:rPr>
                <w:rFonts w:ascii="宋体" w:eastAsia="宋体" w:hAnsi="宋体"/>
                <w:b/>
                <w:bCs/>
                <w:kern w:val="2"/>
                <w:sz w:val="21"/>
                <w:szCs w:val="21"/>
                <w:lang w:eastAsia="zh-CN"/>
              </w:rPr>
            </w:pPr>
            <w:r>
              <w:rPr>
                <w:rFonts w:ascii="宋体" w:eastAsia="宋体" w:hAnsi="宋体" w:hint="eastAsia"/>
                <w:b/>
                <w:bCs/>
                <w:kern w:val="2"/>
                <w:sz w:val="21"/>
                <w:szCs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履约担保</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不需要</w:t>
            </w:r>
          </w:p>
        </w:tc>
      </w:tr>
      <w:bookmarkEnd w:id="3"/>
      <w:bookmarkEnd w:id="4"/>
      <w:bookmarkEnd w:id="5"/>
      <w:bookmarkEnd w:id="6"/>
      <w:bookmarkEnd w:id="7"/>
      <w:bookmarkEnd w:id="8"/>
      <w:bookmarkEnd w:id="9"/>
      <w:bookmarkEnd w:id="10"/>
    </w:tbl>
    <w:p>
      <w:pPr>
        <w:widowControl/>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20" w:beforeLines="50" w:after="120" w:afterLines="50" w:line="360" w:lineRule="auto"/>
        <w:jc w:val="center"/>
        <w:textAlignment w:val="baseline"/>
        <w:outlineLvl w:val="2"/>
        <w:rPr>
          <w:rFonts w:ascii="宋体" w:eastAsia="宋体" w:hAnsi="宋体"/>
          <w:b/>
          <w:bCs/>
          <w:lang w:eastAsia="zh-CN"/>
        </w:rPr>
      </w:pPr>
      <w:r>
        <w:rPr>
          <w:rFonts w:ascii="宋体" w:eastAsia="宋体" w:hAnsi="宋体" w:hint="eastAsia"/>
          <w:b/>
          <w:bCs/>
          <w:lang w:eastAsia="zh-CN"/>
        </w:rPr>
        <w:t>二、其他关键信息</w:t>
      </w:r>
    </w:p>
    <w:p>
      <w:pPr>
        <w:widowControl w:val="0"/>
        <w:tabs>
          <w:tab w:val="left" w:pos="720"/>
        </w:tabs>
        <w:spacing w:line="360" w:lineRule="auto"/>
        <w:jc w:val="both"/>
        <w:rPr>
          <w:rFonts w:ascii="黑体" w:eastAsia="黑体" w:hAnsi="宋体"/>
          <w:kern w:val="2"/>
          <w:szCs w:val="22"/>
          <w:lang w:eastAsia="zh-CN"/>
        </w:rPr>
      </w:pPr>
      <w:r>
        <w:rPr>
          <w:rFonts w:ascii="黑体" w:eastAsia="黑体" w:hAnsi="宋体" w:cstheme="minorBidi" w:hint="eastAsia"/>
          <w:kern w:val="2"/>
          <w:szCs w:val="22"/>
          <w:lang w:eastAsia="zh-CN"/>
        </w:rPr>
        <w:t>（一）</w:t>
      </w:r>
      <w:r>
        <w:rPr>
          <w:rFonts w:ascii="黑体" w:eastAsia="黑体" w:hAnsi="宋体" w:cstheme="minorBidi" w:hint="eastAsia"/>
          <w:bCs/>
          <w:kern w:val="2"/>
          <w:szCs w:val="22"/>
          <w:lang w:eastAsia="zh-CN"/>
        </w:rPr>
        <w:t>与“对通用条款的补充内容”章节相关的事项</w:t>
      </w:r>
    </w:p>
    <w:p>
      <w:pPr>
        <w:widowControl w:val="0"/>
        <w:tabs>
          <w:tab w:val="left" w:pos="720"/>
        </w:tabs>
        <w:spacing w:line="360" w:lineRule="auto"/>
        <w:jc w:val="both"/>
        <w:rPr>
          <w:rFonts w:ascii="黑体" w:eastAsia="黑体" w:hAnsi="宋体"/>
          <w:bCs/>
          <w:kern w:val="2"/>
          <w:szCs w:val="22"/>
          <w:lang w:eastAsia="zh-CN"/>
        </w:rPr>
      </w:pPr>
      <w:r>
        <w:rPr>
          <w:rFonts w:ascii="黑体" w:eastAsia="黑体" w:hAnsi="宋体" w:cstheme="minorBidi" w:hint="eastAsia"/>
          <w:bCs/>
          <w:kern w:val="2"/>
          <w:szCs w:val="22"/>
          <w:lang w:eastAsia="zh-CN"/>
        </w:rPr>
        <w:t>1、评标定标信息</w:t>
      </w:r>
    </w:p>
    <w:p>
      <w:pPr>
        <w:widowControl w:val="0"/>
        <w:spacing w:line="360" w:lineRule="auto"/>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62"/>
        <w:gridCol w:w="499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25" w:type="dxa"/>
            <w:vAlign w:val="center"/>
          </w:tcPr>
          <w:p>
            <w:pPr>
              <w:spacing w:line="360" w:lineRule="auto"/>
              <w:jc w:val="center"/>
              <w:rPr>
                <w:rFonts w:ascii="宋体" w:hAnsi="宋体"/>
                <w:kern w:val="2"/>
                <w:sz w:val="21"/>
                <w:szCs w:val="22"/>
                <w:lang w:eastAsia="zh-CN"/>
              </w:rPr>
            </w:pPr>
            <w:r>
              <w:rPr>
                <w:rFonts w:ascii="宋体" w:hAnsi="宋体" w:cstheme="minorBidi" w:hint="eastAsia"/>
                <w:kern w:val="2"/>
                <w:sz w:val="21"/>
                <w:szCs w:val="22"/>
                <w:lang w:eastAsia="zh-CN"/>
              </w:rPr>
              <w:t>评标方法</w:t>
            </w:r>
          </w:p>
        </w:tc>
        <w:tc>
          <w:tcPr>
            <w:tcW w:w="5339" w:type="dxa"/>
            <w:vAlign w:val="center"/>
          </w:tcPr>
          <w:p>
            <w:pPr>
              <w:spacing w:line="360" w:lineRule="auto"/>
              <w:jc w:val="center"/>
              <w:rPr>
                <w:rFonts w:ascii="宋体" w:hAnsi="宋体"/>
                <w:kern w:val="2"/>
                <w:sz w:val="21"/>
                <w:szCs w:val="22"/>
                <w:lang w:eastAsia="zh-CN"/>
              </w:rPr>
            </w:pPr>
            <w:r>
              <w:rPr>
                <w:rFonts w:ascii="Wingdings" w:hAnsi="Wingdings" w:cstheme="minorBidi"/>
                <w:kern w:val="2"/>
                <w:sz w:val="21"/>
                <w:szCs w:val="22"/>
                <w:lang w:eastAsia="zh-CN"/>
              </w:rPr>
              <w:sym w:font="Wingdings" w:char="F0FE"/>
            </w:r>
            <w:r>
              <w:rPr>
                <w:rFonts w:ascii="宋体" w:hAnsi="宋体" w:cstheme="minorBidi" w:hint="eastAsia"/>
                <w:kern w:val="2"/>
                <w:sz w:val="21"/>
                <w:szCs w:val="22"/>
                <w:lang w:eastAsia="zh-CN"/>
              </w:rPr>
              <w:t>综合评分法</w:t>
            </w:r>
          </w:p>
        </w:tc>
      </w:tr>
      <w:tr>
        <w:tblPrEx>
          <w:tblW w:w="5000" w:type="pct"/>
          <w:tblInd w:w="0" w:type="dxa"/>
          <w:tblLayout w:type="fixed"/>
          <w:tblCellMar>
            <w:top w:w="0" w:type="dxa"/>
            <w:left w:w="108" w:type="dxa"/>
            <w:bottom w:w="0" w:type="dxa"/>
            <w:right w:w="108" w:type="dxa"/>
          </w:tblCellMar>
        </w:tblPrEx>
        <w:tc>
          <w:tcPr>
            <w:tcW w:w="4125" w:type="dxa"/>
            <w:vAlign w:val="center"/>
          </w:tcPr>
          <w:p>
            <w:pPr>
              <w:spacing w:line="360" w:lineRule="auto"/>
              <w:jc w:val="center"/>
              <w:rPr>
                <w:rFonts w:ascii="宋体" w:hAnsi="宋体"/>
                <w:kern w:val="2"/>
                <w:sz w:val="21"/>
                <w:szCs w:val="22"/>
                <w:lang w:eastAsia="zh-CN"/>
              </w:rPr>
            </w:pPr>
            <w:r>
              <w:rPr>
                <w:rFonts w:ascii="宋体" w:hAnsi="宋体" w:cstheme="minorBidi" w:hint="eastAsia"/>
                <w:kern w:val="2"/>
                <w:sz w:val="21"/>
                <w:szCs w:val="22"/>
                <w:lang w:eastAsia="zh-CN"/>
              </w:rPr>
              <w:t>候选中标供应商家数</w:t>
            </w:r>
          </w:p>
        </w:tc>
        <w:tc>
          <w:tcPr>
            <w:tcW w:w="5339" w:type="dxa"/>
            <w:vAlign w:val="center"/>
          </w:tcPr>
          <w:p>
            <w:pPr>
              <w:spacing w:line="360" w:lineRule="auto"/>
              <w:jc w:val="center"/>
              <w:rPr>
                <w:rFonts w:ascii="宋体" w:hAnsi="宋体"/>
                <w:kern w:val="2"/>
                <w:sz w:val="21"/>
                <w:szCs w:val="22"/>
                <w:lang w:eastAsia="zh-CN"/>
              </w:rPr>
            </w:pPr>
            <w:r>
              <w:rPr>
                <w:rFonts w:ascii="宋体" w:hAnsi="宋体" w:cstheme="minorBidi" w:hint="eastAsia"/>
                <w:kern w:val="2"/>
                <w:sz w:val="21"/>
                <w:szCs w:val="22"/>
                <w:lang w:eastAsia="zh-CN"/>
              </w:rPr>
              <w:t>3</w:t>
            </w:r>
          </w:p>
        </w:tc>
      </w:tr>
      <w:tr>
        <w:tblPrEx>
          <w:tblW w:w="5000" w:type="pct"/>
          <w:tblInd w:w="0" w:type="dxa"/>
          <w:tblLayout w:type="fixed"/>
          <w:tblCellMar>
            <w:top w:w="0" w:type="dxa"/>
            <w:left w:w="108" w:type="dxa"/>
            <w:bottom w:w="0" w:type="dxa"/>
            <w:right w:w="108" w:type="dxa"/>
          </w:tblCellMar>
        </w:tblPrEx>
        <w:tc>
          <w:tcPr>
            <w:tcW w:w="4125" w:type="dxa"/>
            <w:vAlign w:val="center"/>
          </w:tcPr>
          <w:p>
            <w:pPr>
              <w:spacing w:line="360" w:lineRule="auto"/>
              <w:jc w:val="center"/>
              <w:rPr>
                <w:rFonts w:ascii="宋体" w:hAnsi="宋体"/>
                <w:kern w:val="2"/>
                <w:sz w:val="21"/>
                <w:szCs w:val="22"/>
                <w:lang w:eastAsia="zh-CN"/>
              </w:rPr>
            </w:pPr>
            <w:r>
              <w:rPr>
                <w:rFonts w:ascii="宋体" w:hAnsi="宋体" w:cstheme="minorBidi" w:hint="eastAsia"/>
                <w:kern w:val="2"/>
                <w:sz w:val="21"/>
                <w:szCs w:val="22"/>
                <w:lang w:eastAsia="zh-CN"/>
              </w:rPr>
              <w:t>中标供应商家数</w:t>
            </w:r>
          </w:p>
        </w:tc>
        <w:tc>
          <w:tcPr>
            <w:tcW w:w="5339" w:type="dxa"/>
            <w:vAlign w:val="center"/>
          </w:tcPr>
          <w:p>
            <w:pPr>
              <w:spacing w:line="360" w:lineRule="auto"/>
              <w:jc w:val="center"/>
              <w:rPr>
                <w:rFonts w:ascii="宋体" w:hAnsi="宋体"/>
                <w:kern w:val="2"/>
                <w:sz w:val="21"/>
                <w:szCs w:val="22"/>
                <w:lang w:eastAsia="zh-CN"/>
              </w:rPr>
            </w:pPr>
            <w:r>
              <w:rPr>
                <w:rFonts w:ascii="宋体" w:hAnsi="宋体" w:cstheme="minorBidi" w:hint="eastAsia"/>
                <w:kern w:val="2"/>
                <w:sz w:val="21"/>
                <w:szCs w:val="22"/>
                <w:lang w:eastAsia="zh-CN"/>
              </w:rPr>
              <w:t>1</w:t>
            </w:r>
          </w:p>
        </w:tc>
      </w:tr>
    </w:tbl>
    <w:p>
      <w:pPr>
        <w:widowControl w:val="0"/>
        <w:tabs>
          <w:tab w:val="left" w:pos="720"/>
        </w:tabs>
        <w:spacing w:line="360" w:lineRule="auto"/>
        <w:jc w:val="both"/>
        <w:rPr>
          <w:rFonts w:ascii="黑体" w:eastAsia="黑体" w:hAnsi="宋体" w:hint="eastAsia"/>
          <w:bCs/>
          <w:kern w:val="2"/>
          <w:szCs w:val="22"/>
          <w:lang w:eastAsia="zh-CN"/>
        </w:rPr>
      </w:pPr>
    </w:p>
    <w:p>
      <w:pPr>
        <w:widowControl w:val="0"/>
        <w:tabs>
          <w:tab w:val="left" w:pos="720"/>
        </w:tabs>
        <w:spacing w:line="360" w:lineRule="auto"/>
        <w:jc w:val="both"/>
        <w:rPr>
          <w:rFonts w:ascii="黑体" w:eastAsia="黑体" w:hAnsi="宋体" w:hint="eastAsia"/>
          <w:bCs/>
          <w:kern w:val="2"/>
          <w:szCs w:val="22"/>
          <w:lang w:eastAsia="zh-CN"/>
        </w:rPr>
      </w:pPr>
      <w:r>
        <w:rPr>
          <w:rFonts w:ascii="黑体" w:eastAsia="黑体" w:hAnsi="宋体" w:cstheme="minorBidi" w:hint="eastAsia"/>
          <w:bCs/>
          <w:kern w:val="2"/>
          <w:szCs w:val="22"/>
          <w:lang w:eastAsia="zh-CN"/>
        </w:rPr>
        <w:t>（二）其他事项</w:t>
      </w:r>
    </w:p>
    <w:p>
      <w:pPr>
        <w:widowControl w:val="0"/>
        <w:tabs>
          <w:tab w:val="left" w:pos="720"/>
        </w:tabs>
        <w:spacing w:line="360" w:lineRule="auto"/>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1、关于享受优惠政策的主体、价格扣除比例及采购标的所属行业</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1、关于享受优惠政策的主体及价格扣除比例</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专门面向中小企业采购的项目，不再执行价格扣除比例。</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（2）非专门面向中小微企业采购的项目，应执行价格扣除比例：</w:t>
      </w:r>
      <w:r>
        <w:rPr>
          <w:rFonts w:ascii="宋体" w:eastAsia="宋体" w:hAnsi="宋体" w:cs="宋体" w:hint="eastAsia"/>
          <w:sz w:val="21"/>
          <w:szCs w:val="21"/>
        </w:rPr>
        <w:t>投标人提供的货物（以招标文件用户需求书“货物清单明细”的“货物名称”一栏为准）全部均由优惠主体制造，则对其投标总价给予</w:t>
      </w:r>
      <w:r>
        <w:rPr>
          <w:rFonts w:ascii="宋体" w:eastAsia="宋体" w:hAnsi="宋体" w:cs="宋体" w:hint="eastAsia"/>
          <w:b/>
          <w:bCs/>
          <w:color w:val="FF0000"/>
          <w:sz w:val="21"/>
          <w:szCs w:val="21"/>
          <w:u w:val="single"/>
        </w:rPr>
        <w:t xml:space="preserve">  </w:t>
      </w:r>
      <w:r>
        <w:rPr>
          <w:rFonts w:ascii="宋体" w:eastAsia="宋体" w:hAnsi="宋体" w:cs="宋体" w:hint="eastAsia"/>
          <w:b/>
          <w:bCs/>
          <w:color w:val="FF0000"/>
          <w:sz w:val="21"/>
          <w:szCs w:val="21"/>
          <w:u w:val="single"/>
          <w:lang w:eastAsia="zh-CN"/>
        </w:rPr>
        <w:t xml:space="preserve"> 10</w:t>
      </w:r>
      <w:r>
        <w:rPr>
          <w:rFonts w:ascii="宋体" w:eastAsia="宋体" w:hAnsi="宋体" w:cs="宋体" w:hint="eastAsia"/>
          <w:b/>
          <w:bCs/>
          <w:color w:val="FF0000"/>
          <w:sz w:val="21"/>
          <w:szCs w:val="21"/>
          <w:u w:val="single"/>
        </w:rPr>
        <w:t xml:space="preserve"> </w:t>
      </w:r>
      <w:r>
        <w:rPr>
          <w:rFonts w:ascii="宋体" w:eastAsia="宋体" w:hAnsi="宋体" w:cs="宋体" w:hint="eastAsia"/>
          <w:b/>
          <w:bCs/>
          <w:color w:val="FF0000"/>
          <w:sz w:val="21"/>
          <w:szCs w:val="21"/>
          <w:u w:val="single"/>
          <w:lang w:eastAsia="zh-CN"/>
        </w:rPr>
        <w:t xml:space="preserve"> </w:t>
      </w:r>
      <w:r>
        <w:rPr>
          <w:rFonts w:ascii="宋体" w:eastAsia="宋体" w:hAnsi="宋体" w:cs="宋体" w:hint="eastAsia"/>
          <w:b/>
          <w:bCs/>
          <w:color w:val="FF0000"/>
          <w:sz w:val="21"/>
          <w:szCs w:val="21"/>
        </w:rPr>
        <w:t>%</w:t>
      </w:r>
      <w:r>
        <w:rPr>
          <w:rFonts w:ascii="宋体" w:eastAsia="宋体" w:hAnsi="宋体" w:cs="宋体" w:hint="eastAsia"/>
          <w:color w:val="000000"/>
          <w:sz w:val="21"/>
          <w:szCs w:val="21"/>
          <w:lang w:eastAsia="zh-CN"/>
        </w:rPr>
        <w:t>（10%~20%）</w:t>
      </w:r>
      <w:r>
        <w:rPr>
          <w:rFonts w:ascii="宋体" w:eastAsia="宋体" w:hAnsi="宋体" w:cs="宋体" w:hint="eastAsia"/>
          <w:sz w:val="21"/>
          <w:szCs w:val="21"/>
        </w:rPr>
        <w:t>的扣除，用扣除后的价格参与评审。满足多项优惠政策的</w:t>
      </w:r>
      <w:r>
        <w:rPr>
          <w:rFonts w:ascii="宋体" w:eastAsia="宋体" w:hAnsi="宋体" w:cs="宋体" w:hint="eastAsia"/>
          <w:sz w:val="21"/>
          <w:szCs w:val="21"/>
          <w:lang w:eastAsia="zh-CN"/>
        </w:rPr>
        <w:t>供应商</w:t>
      </w:r>
      <w:r>
        <w:rPr>
          <w:rFonts w:ascii="宋体" w:eastAsia="宋体" w:hAnsi="宋体" w:cs="宋体" w:hint="eastAsia"/>
          <w:sz w:val="21"/>
          <w:szCs w:val="21"/>
        </w:rPr>
        <w:t>，不重复享受多项价格扣除政策。</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3</w:t>
      </w:r>
      <w:r>
        <w:rPr>
          <w:rFonts w:ascii="宋体" w:eastAsia="宋体" w:hAnsi="宋体" w:cs="宋体" w:hint="eastAsia"/>
          <w:sz w:val="21"/>
          <w:szCs w:val="21"/>
        </w:rPr>
        <w:t>）</w:t>
      </w:r>
      <w:bookmarkStart w:id="12" w:name="_Hlk71970739"/>
      <w:r>
        <w:rPr>
          <w:rFonts w:ascii="宋体" w:eastAsia="宋体" w:hAnsi="宋体" w:cs="宋体" w:hint="eastAsia"/>
          <w:sz w:val="21"/>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sz w:val="21"/>
          <w:szCs w:val="21"/>
        </w:rPr>
        <w:t>《中小企业声明函》中相关企业所属行业应当与采购标的所属行业相一致。</w:t>
      </w:r>
      <w:r>
        <w:rPr>
          <w:rFonts w:ascii="宋体" w:eastAsia="宋体" w:hAnsi="宋体" w:cs="宋体" w:hint="eastAsia"/>
          <w:sz w:val="21"/>
          <w:szCs w:val="21"/>
        </w:rPr>
        <w:t>本项目采购标的（货物）对应的中小企业划分标准所属行业为</w:t>
      </w:r>
      <w:r>
        <w:rPr>
          <w:rFonts w:ascii="宋体" w:eastAsia="宋体" w:hAnsi="宋体" w:cs="宋体" w:hint="eastAsia"/>
          <w:b/>
          <w:bCs/>
          <w:color w:val="FF0000"/>
          <w:sz w:val="21"/>
          <w:szCs w:val="21"/>
          <w:u w:val="single"/>
        </w:rPr>
        <w:t xml:space="preserve">   </w:t>
      </w:r>
      <w:r>
        <w:rPr>
          <w:rFonts w:ascii="宋体" w:eastAsia="宋体" w:hAnsi="宋体" w:cs="宋体" w:hint="eastAsia"/>
          <w:b/>
          <w:bCs/>
          <w:color w:val="FF0000"/>
          <w:sz w:val="21"/>
          <w:szCs w:val="21"/>
          <w:u w:val="single"/>
          <w:lang w:eastAsia="zh-CN"/>
        </w:rPr>
        <w:t xml:space="preserve">工  </w:t>
      </w:r>
      <w:r>
        <w:rPr>
          <w:rFonts w:ascii="宋体" w:eastAsia="宋体" w:hAnsi="宋体" w:cs="宋体" w:hint="eastAsia"/>
          <w:b/>
          <w:bCs/>
          <w:color w:val="FF0000"/>
          <w:sz w:val="21"/>
          <w:szCs w:val="21"/>
          <w:u w:val="single"/>
        </w:rPr>
        <w:t xml:space="preserve"> </w:t>
      </w:r>
      <w:r>
        <w:rPr>
          <w:rFonts w:ascii="宋体" w:eastAsia="宋体" w:hAnsi="宋体" w:cs="宋体" w:hint="eastAsia"/>
          <w:b/>
          <w:bCs/>
          <w:sz w:val="21"/>
          <w:szCs w:val="21"/>
        </w:rPr>
        <w:t>业</w:t>
      </w:r>
      <w:r>
        <w:rPr>
          <w:rFonts w:ascii="宋体" w:eastAsia="宋体" w:hAnsi="宋体" w:cs="宋体" w:hint="eastAsia"/>
          <w:sz w:val="21"/>
          <w:szCs w:val="21"/>
        </w:rPr>
        <w:t>。</w:t>
      </w:r>
      <w:bookmarkEnd w:id="12"/>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4</w:t>
      </w:r>
      <w:r>
        <w:rPr>
          <w:rFonts w:ascii="宋体" w:eastAsia="宋体" w:hAnsi="宋体" w:cs="宋体" w:hint="eastAsia"/>
          <w:sz w:val="21"/>
          <w:szCs w:val="21"/>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w:t>
      </w:r>
      <w:r>
        <w:rPr>
          <w:rFonts w:ascii="宋体" w:eastAsia="宋体" w:hAnsi="宋体" w:cs="宋体" w:hint="eastAsia"/>
          <w:sz w:val="21"/>
          <w:szCs w:val="21"/>
          <w:lang w:eastAsia="zh-CN"/>
        </w:rPr>
        <w:t>四</w:t>
      </w:r>
      <w:r>
        <w:rPr>
          <w:rFonts w:ascii="宋体" w:eastAsia="宋体" w:hAnsi="宋体" w:cs="宋体" w:hint="eastAsia"/>
          <w:sz w:val="21"/>
          <w:szCs w:val="21"/>
        </w:rPr>
        <w:t>章“投标文件格式、附件”中“</w:t>
      </w:r>
      <w:r>
        <w:rPr>
          <w:rFonts w:ascii="宋体" w:eastAsia="宋体" w:hAnsi="宋体" w:cs="宋体" w:hint="eastAsia"/>
          <w:sz w:val="21"/>
          <w:szCs w:val="21"/>
          <w:lang w:eastAsia="zh-CN"/>
        </w:rPr>
        <w:t>三、</w:t>
      </w:r>
      <w:r>
        <w:rPr>
          <w:rFonts w:ascii="宋体" w:eastAsia="宋体" w:hAnsi="宋体" w:cs="宋体" w:hint="eastAsia"/>
          <w:sz w:val="21"/>
          <w:szCs w:val="21"/>
        </w:rPr>
        <w:t>投标人情况及资格证明文件”章节提供的格式）。</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5</w:t>
      </w:r>
      <w:r>
        <w:rPr>
          <w:rFonts w:ascii="宋体" w:eastAsia="宋体" w:hAnsi="宋体" w:cs="宋体" w:hint="eastAsia"/>
          <w:sz w:val="21"/>
          <w:szCs w:val="21"/>
        </w:rPr>
        <w:t>）享受价格扣除获得政府采购合同的，小微企业不得将合同分包给大中型企业。</w:t>
      </w:r>
    </w:p>
    <w:p>
      <w:pPr>
        <w:widowControl w:val="0"/>
        <w:spacing w:line="360" w:lineRule="auto"/>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2.关于政府采购订单融资政策</w:t>
      </w:r>
    </w:p>
    <w:p>
      <w:pPr>
        <w:widowControl w:val="0"/>
        <w:spacing w:line="360" w:lineRule="auto"/>
        <w:ind w:firstLine="420" w:firstLineChars="200"/>
        <w:jc w:val="both"/>
        <w:rPr>
          <w:rFonts w:ascii="黑体" w:eastAsia="黑体" w:hAnsi="宋体"/>
          <w:kern w:val="2"/>
          <w:szCs w:val="22"/>
          <w:lang w:eastAsia="zh-CN"/>
        </w:rPr>
      </w:pPr>
      <w:r>
        <w:rPr>
          <w:rFonts w:eastAsia="宋体" w:hint="eastAsia"/>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tabs>
          <w:tab w:val="left" w:pos="720"/>
        </w:tabs>
        <w:spacing w:line="360" w:lineRule="auto"/>
        <w:jc w:val="both"/>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3、</w:t>
      </w:r>
      <w:r>
        <w:rPr>
          <w:rFonts w:ascii="宋体" w:eastAsia="宋体" w:hAnsi="宋体" w:cstheme="minorBidi"/>
          <w:b/>
          <w:bCs/>
          <w:kern w:val="2"/>
          <w:sz w:val="21"/>
          <w:szCs w:val="22"/>
          <w:lang w:eastAsia="zh-CN"/>
        </w:rPr>
        <w:t>本项目将向中标</w:t>
      </w:r>
      <w:r>
        <w:rPr>
          <w:rFonts w:ascii="宋体" w:eastAsia="宋体" w:hAnsi="宋体" w:cstheme="minorBidi" w:hint="eastAsia"/>
          <w:b/>
          <w:bCs/>
          <w:kern w:val="2"/>
          <w:sz w:val="21"/>
          <w:szCs w:val="22"/>
          <w:lang w:eastAsia="zh-CN"/>
        </w:rPr>
        <w:t>（成交）</w:t>
      </w:r>
      <w:r>
        <w:rPr>
          <w:rFonts w:ascii="宋体" w:eastAsia="宋体" w:hAnsi="宋体" w:cstheme="minorBidi"/>
          <w:b/>
          <w:bCs/>
          <w:kern w:val="2"/>
          <w:sz w:val="21"/>
          <w:szCs w:val="22"/>
          <w:lang w:eastAsia="zh-CN"/>
        </w:rPr>
        <w:t>供应商收取代理服务费</w:t>
      </w:r>
      <w:r>
        <w:rPr>
          <w:rFonts w:ascii="宋体" w:eastAsia="宋体" w:hAnsi="宋体" w:cstheme="minorBidi" w:hint="eastAsia"/>
          <w:b/>
          <w:bCs/>
          <w:kern w:val="2"/>
          <w:sz w:val="21"/>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深圳市财政委员会关于规范深圳市社会采购代理机构管理有关事项的补充通知》（深财购〔2018〕27号）文件相关规定，招标代理服务费以中标金额为基数、按差额定率累进法计算。具体计取费率标准如下表所示：</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203"/>
        <w:gridCol w:w="1914"/>
        <w:gridCol w:w="1914"/>
        <w:gridCol w:w="18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85" w:type="dxa"/>
            <w:shd w:val="clear" w:color="auto" w:fill="auto"/>
            <w:vAlign w:val="center"/>
          </w:tcPr>
          <w:p>
            <w:pPr>
              <w:widowControl w:val="0"/>
              <w:spacing w:line="360" w:lineRule="auto"/>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服费务类率型</w:t>
            </w:r>
          </w:p>
          <w:p>
            <w:pPr>
              <w:widowControl w:val="0"/>
              <w:spacing w:line="360" w:lineRule="auto"/>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中标金额</w:t>
            </w:r>
          </w:p>
        </w:tc>
        <w:tc>
          <w:tcPr>
            <w:tcW w:w="1843" w:type="dxa"/>
            <w:shd w:val="clear" w:color="auto" w:fill="auto"/>
            <w:vAlign w:val="center"/>
          </w:tcPr>
          <w:p>
            <w:pPr>
              <w:widowControl w:val="0"/>
              <w:spacing w:line="360" w:lineRule="auto"/>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货物采购</w:t>
            </w:r>
          </w:p>
        </w:tc>
        <w:tc>
          <w:tcPr>
            <w:tcW w:w="1843" w:type="dxa"/>
            <w:shd w:val="clear" w:color="auto" w:fill="auto"/>
            <w:vAlign w:val="center"/>
          </w:tcPr>
          <w:p>
            <w:pPr>
              <w:widowControl w:val="0"/>
              <w:spacing w:line="360" w:lineRule="auto"/>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服务采购</w:t>
            </w:r>
          </w:p>
        </w:tc>
        <w:tc>
          <w:tcPr>
            <w:tcW w:w="1758" w:type="dxa"/>
            <w:shd w:val="clear" w:color="auto" w:fill="auto"/>
            <w:vAlign w:val="center"/>
          </w:tcPr>
          <w:p>
            <w:pPr>
              <w:widowControl w:val="0"/>
              <w:spacing w:line="360" w:lineRule="auto"/>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工程采购</w:t>
            </w:r>
          </w:p>
        </w:tc>
      </w:tr>
      <w:tr>
        <w:tblPrEx>
          <w:tblW w:w="5000" w:type="pct"/>
          <w:tblInd w:w="0" w:type="dxa"/>
          <w:tblLayout w:type="fixed"/>
          <w:tblCellMar>
            <w:top w:w="0" w:type="dxa"/>
            <w:left w:w="108" w:type="dxa"/>
            <w:bottom w:w="0" w:type="dxa"/>
            <w:right w:w="108" w:type="dxa"/>
          </w:tblCellMar>
        </w:tblPrEx>
        <w:trPr>
          <w:trHeight w:val="395"/>
        </w:trPr>
        <w:tc>
          <w:tcPr>
            <w:tcW w:w="3085" w:type="dxa"/>
            <w:shd w:val="clear" w:color="auto" w:fill="auto"/>
            <w:vAlign w:val="center"/>
          </w:tcPr>
          <w:p>
            <w:pPr>
              <w:widowControl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100 万元以下</w:t>
            </w:r>
          </w:p>
        </w:tc>
        <w:tc>
          <w:tcPr>
            <w:tcW w:w="1843" w:type="dxa"/>
            <w:shd w:val="clear" w:color="auto" w:fill="auto"/>
            <w:vAlign w:val="center"/>
          </w:tcPr>
          <w:p>
            <w:pPr>
              <w:widowControl w:val="0"/>
              <w:spacing w:line="360" w:lineRule="auto"/>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1.5%</w:t>
            </w:r>
          </w:p>
        </w:tc>
        <w:tc>
          <w:tcPr>
            <w:tcW w:w="1843" w:type="dxa"/>
            <w:shd w:val="clear" w:color="auto" w:fill="auto"/>
            <w:vAlign w:val="center"/>
          </w:tcPr>
          <w:p>
            <w:pPr>
              <w:widowControl w:val="0"/>
              <w:spacing w:line="360" w:lineRule="auto"/>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1.5%</w:t>
            </w:r>
          </w:p>
        </w:tc>
        <w:tc>
          <w:tcPr>
            <w:tcW w:w="1758" w:type="dxa"/>
            <w:shd w:val="clear" w:color="auto" w:fill="auto"/>
            <w:vAlign w:val="center"/>
          </w:tcPr>
          <w:p>
            <w:pPr>
              <w:widowControl w:val="0"/>
              <w:spacing w:line="360" w:lineRule="auto"/>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1.0%</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100 万元（含）-500 万元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1.1%</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0.8%</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0.7%</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500 万元（含）-1000 万元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0.8%</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0.45%</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0.55%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1000 万元（含）-5000 万元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0.5%</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0.25%</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5000 万元（含）-1 亿元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0.25%</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0.1%</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0.2%</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 亿元（含）-5 亿</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0.05%</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0.05%</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color w:val="333333"/>
                <w:kern w:val="2"/>
                <w:sz w:val="21"/>
                <w:szCs w:val="21"/>
                <w:lang w:eastAsia="zh-CN"/>
              </w:rPr>
              <w:t>5 亿元（含）-10 亿元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0.035%</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0.035%</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 亿元（含）-50 亿元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0.008%</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0.008%</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0.008%</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50 亿元（含）-100 亿元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0.006%</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0.006%</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0.006%</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100 亿元（含）以上</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0.004%</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0.004%</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0.004%</w:t>
            </w:r>
          </w:p>
        </w:tc>
      </w:tr>
    </w:tbl>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注：</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（1）按本表费率计算的收费为招标代理服务的收费基准价格。</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（2）招标代理服务收费按差额定率累进法计算。</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例如：某服务招标代理业务中标金额为600万元，计算招标代理服务收费额如下：</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100万元×1.5%=1.5万元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（500-100）万元×0.8%=3.2万元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（600-500）万元×0.45%=0.45万元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合计收费=1.5+3.2+0.45=5.15万元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备注：最低收费不低于人民币6000元。代理服务费用超过6000元，则按国家计费规定收取代理服务费。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收款单位：深圳市千里招标代理有限公司</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开户银行：中国平安银行深圳创业路支行</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帐号：（人民币）15000094959311（用于支付标书费和中标服务费）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中标人须在中标公告公示期结束后，领取《中标通知书》前，向招标（采购）代理机构缴纳招标代理服务费。</w:t>
      </w:r>
    </w:p>
    <w:p>
      <w:pPr>
        <w:widowControl/>
        <w:spacing w:line="360" w:lineRule="auto"/>
        <w:ind w:firstLine="42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招标代理服务费以转账、银行汇票形式交付。</w:t>
      </w:r>
    </w:p>
    <w:p>
      <w:pPr>
        <w:widowControl/>
        <w:jc w:val="left"/>
        <w:rPr>
          <w:rFonts w:ascii="宋体" w:eastAsia="黑体" w:hAnsi="宋体"/>
          <w:bCs/>
          <w:kern w:val="44"/>
          <w:sz w:val="28"/>
          <w:szCs w:val="44"/>
          <w:highlight w:val="yellow"/>
          <w:lang w:eastAsia="zh-CN"/>
        </w:rPr>
      </w:pP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tabs>
          <w:tab w:val="left" w:pos="1680"/>
        </w:tabs>
        <w:spacing w:before="260" w:after="60" w:afterLines="25"/>
        <w:jc w:val="center"/>
        <w:outlineLvl w:val="2"/>
        <w:rPr>
          <w:rFonts w:ascii="Arial" w:eastAsia="宋体" w:hAnsi="Arial"/>
          <w:b/>
          <w:kern w:val="2"/>
          <w:sz w:val="32"/>
          <w:szCs w:val="32"/>
          <w:lang w:eastAsia="zh-CN"/>
        </w:rPr>
      </w:pPr>
      <w:r>
        <w:rPr>
          <w:rFonts w:ascii="Arial" w:eastAsia="宋体" w:hAnsi="Arial" w:hint="eastAsia"/>
          <w:b/>
          <w:kern w:val="2"/>
          <w:sz w:val="32"/>
          <w:szCs w:val="32"/>
          <w:lang w:eastAsia="zh-CN"/>
        </w:rPr>
        <w:t>一、项目基本信息</w:t>
      </w:r>
    </w:p>
    <w:tbl>
      <w:tblPr>
        <w:tblStyle w:val="TableNormal"/>
        <w:tblW w:w="5000" w:type="pct"/>
        <w:jc w:val="center"/>
        <w:tblLayout w:type="fixed"/>
        <w:tblCellMar>
          <w:top w:w="15" w:type="dxa"/>
          <w:left w:w="15" w:type="dxa"/>
          <w:bottom w:w="15" w:type="dxa"/>
          <w:right w:w="15" w:type="dxa"/>
        </w:tblCellMar>
      </w:tblPr>
      <w:tblGrid>
        <w:gridCol w:w="690"/>
        <w:gridCol w:w="2369"/>
        <w:gridCol w:w="2556"/>
        <w:gridCol w:w="3055"/>
      </w:tblGrid>
      <w:tr>
        <w:tblPrEx>
          <w:tblW w:w="5000" w:type="pct"/>
          <w:jc w:val="center"/>
          <w:tblLayout w:type="fixed"/>
          <w:tblCellMar>
            <w:top w:w="15" w:type="dxa"/>
            <w:left w:w="15" w:type="dxa"/>
            <w:bottom w:w="15" w:type="dxa"/>
            <w:right w:w="15" w:type="dxa"/>
          </w:tblCellMar>
        </w:tblPrEx>
        <w:trPr>
          <w:trHeight w:val="552"/>
          <w:jc w:val="center"/>
        </w:trPr>
        <w:tc>
          <w:tcPr>
            <w:tcW w:w="752" w:type="dxa"/>
            <w:tcBorders>
              <w:top w:val="single" w:sz="4" w:space="0" w:color="000000"/>
              <w:left w:val="single" w:sz="4" w:space="0" w:color="000000"/>
              <w:bottom w:val="single" w:sz="4" w:space="0" w:color="000000"/>
              <w:right w:val="single" w:sz="4" w:space="0" w:color="auto"/>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序号</w:t>
            </w:r>
          </w:p>
        </w:tc>
        <w:tc>
          <w:tcPr>
            <w:tcW w:w="2594" w:type="dxa"/>
            <w:tcBorders>
              <w:top w:val="single" w:sz="4" w:space="0" w:color="000000"/>
              <w:left w:val="single" w:sz="4" w:space="0" w:color="auto"/>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项目编号</w:t>
            </w:r>
          </w:p>
        </w:tc>
        <w:tc>
          <w:tcPr>
            <w:tcW w:w="2799"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项目名称</w:t>
            </w:r>
          </w:p>
        </w:tc>
        <w:tc>
          <w:tcPr>
            <w:tcW w:w="33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宋体" w:eastAsia="宋体" w:hAnsi="宋体" w:cstheme="minorBidi" w:hint="eastAsia"/>
                <w:b/>
                <w:kern w:val="2"/>
                <w:sz w:val="21"/>
                <w:szCs w:val="21"/>
                <w:lang w:eastAsia="zh-CN"/>
              </w:rPr>
              <w:t>财政预算限额（元）</w:t>
            </w:r>
          </w:p>
        </w:tc>
      </w:tr>
      <w:tr>
        <w:tblPrEx>
          <w:tblW w:w="5000" w:type="pct"/>
          <w:jc w:val="center"/>
          <w:tblLayout w:type="fixed"/>
          <w:tblCellMar>
            <w:top w:w="15" w:type="dxa"/>
            <w:left w:w="15" w:type="dxa"/>
            <w:bottom w:w="15" w:type="dxa"/>
            <w:right w:w="15" w:type="dxa"/>
          </w:tblCellMar>
        </w:tblPrEx>
        <w:trPr>
          <w:trHeight w:val="485"/>
          <w:jc w:val="center"/>
        </w:trPr>
        <w:tc>
          <w:tcPr>
            <w:tcW w:w="752" w:type="dxa"/>
            <w:tcBorders>
              <w:top w:val="single" w:sz="4" w:space="0" w:color="000000"/>
              <w:left w:val="single" w:sz="4" w:space="0" w:color="000000"/>
              <w:bottom w:val="single" w:sz="4" w:space="0" w:color="000000"/>
              <w:right w:val="single" w:sz="4" w:space="0" w:color="auto"/>
            </w:tcBorders>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p>
        </w:tc>
        <w:tc>
          <w:tcPr>
            <w:tcW w:w="2594" w:type="dxa"/>
            <w:tcBorders>
              <w:top w:val="single" w:sz="4" w:space="0" w:color="000000"/>
              <w:left w:val="single" w:sz="4" w:space="0" w:color="auto"/>
              <w:bottom w:val="single" w:sz="4" w:space="0" w:color="000000"/>
              <w:right w:val="single" w:sz="4"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LHAZXDL-2024-00261</w:t>
            </w:r>
          </w:p>
        </w:tc>
        <w:tc>
          <w:tcPr>
            <w:tcW w:w="2799"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楼层宿管员值班房家具采购</w:t>
            </w:r>
          </w:p>
        </w:tc>
        <w:tc>
          <w:tcPr>
            <w:tcW w:w="3346"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 xml:space="preserve">285,600.00 </w:t>
            </w:r>
          </w:p>
        </w:tc>
      </w:tr>
    </w:tbl>
    <w:p>
      <w:pPr>
        <w:keepNext/>
        <w:keepLines/>
        <w:widowControl w:val="0"/>
        <w:numPr>
          <w:ilvl w:val="0"/>
          <w:numId w:val="1"/>
        </w:numPr>
        <w:tabs>
          <w:tab w:val="left" w:pos="1680"/>
        </w:tabs>
        <w:spacing w:before="260" w:after="60" w:afterLines="25"/>
        <w:jc w:val="center"/>
        <w:outlineLvl w:val="2"/>
        <w:rPr>
          <w:rFonts w:ascii="Arial" w:eastAsia="宋体" w:hAnsi="Arial" w:hint="eastAsia"/>
          <w:b/>
          <w:kern w:val="2"/>
          <w:sz w:val="32"/>
          <w:szCs w:val="32"/>
          <w:lang w:eastAsia="zh-CN"/>
        </w:rPr>
      </w:pPr>
      <w:r>
        <w:rPr>
          <w:rFonts w:ascii="Arial" w:eastAsia="宋体" w:hAnsi="Arial" w:hint="eastAsia"/>
          <w:b/>
          <w:kern w:val="2"/>
          <w:sz w:val="32"/>
          <w:szCs w:val="32"/>
          <w:lang w:eastAsia="zh-CN"/>
        </w:rPr>
        <w:t>货物需求明细</w:t>
      </w:r>
      <w:bookmarkStart w:id="13" w:name="_Toc128884461"/>
    </w:p>
    <w:tbl>
      <w:tblPr>
        <w:tblStyle w:val="TableNormal"/>
        <w:tblpPr w:leftFromText="180" w:rightFromText="180" w:vertAnchor="text" w:horzAnchor="page" w:tblpX="1929" w:tblpY="127"/>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4"/>
        <w:gridCol w:w="1890"/>
        <w:gridCol w:w="753"/>
        <w:gridCol w:w="771"/>
        <w:gridCol w:w="934"/>
        <w:gridCol w:w="1500"/>
        <w:gridCol w:w="1155"/>
        <w:gridCol w:w="111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66"/>
          <w:jc w:val="center"/>
        </w:trPr>
        <w:tc>
          <w:tcPr>
            <w:tcW w:w="708" w:type="dxa"/>
            <w:vMerge w:val="restart"/>
            <w:noWrap w:val="0"/>
            <w:vAlign w:val="center"/>
          </w:tcPr>
          <w:p>
            <w:pPr>
              <w:tabs>
                <w:tab w:val="left" w:pos="0"/>
              </w:tabs>
              <w:jc w:val="center"/>
              <w:rPr>
                <w:rFonts w:ascii="宋体" w:eastAsia="宋体" w:hAnsi="宋体" w:cs="宋体" w:hint="eastAsia"/>
                <w:bCs/>
                <w:sz w:val="21"/>
                <w:szCs w:val="21"/>
              </w:rPr>
            </w:pPr>
            <w:r>
              <w:rPr>
                <w:rFonts w:ascii="宋体" w:eastAsia="宋体" w:hAnsi="宋体" w:cs="宋体" w:hint="eastAsia"/>
                <w:bCs/>
                <w:sz w:val="21"/>
                <w:szCs w:val="21"/>
              </w:rPr>
              <w:t>序号</w:t>
            </w:r>
          </w:p>
        </w:tc>
        <w:tc>
          <w:tcPr>
            <w:tcW w:w="1824" w:type="dxa"/>
            <w:vMerge w:val="restart"/>
            <w:noWrap w:val="0"/>
            <w:vAlign w:val="center"/>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货物名称</w:t>
            </w:r>
          </w:p>
        </w:tc>
        <w:tc>
          <w:tcPr>
            <w:tcW w:w="727"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数量</w:t>
            </w:r>
          </w:p>
        </w:tc>
        <w:tc>
          <w:tcPr>
            <w:tcW w:w="744"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单位</w:t>
            </w:r>
          </w:p>
        </w:tc>
        <w:tc>
          <w:tcPr>
            <w:tcW w:w="2348" w:type="dxa"/>
            <w:gridSpan w:val="2"/>
            <w:noWrap w:val="0"/>
            <w:vAlign w:val="center"/>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单价限额（元）</w:t>
            </w:r>
          </w:p>
        </w:tc>
        <w:tc>
          <w:tcPr>
            <w:tcW w:w="1114" w:type="dxa"/>
            <w:vMerge w:val="restart"/>
            <w:noWrap w:val="0"/>
            <w:vAlign w:val="center"/>
          </w:tcPr>
          <w:p>
            <w:pPr>
              <w:jc w:val="center"/>
              <w:rPr>
                <w:rFonts w:ascii="宋体" w:eastAsia="宋体" w:hAnsi="宋体" w:cs="宋体" w:hint="eastAsia"/>
                <w:b/>
                <w:bCs/>
                <w:color w:val="FF0000"/>
                <w:sz w:val="21"/>
                <w:szCs w:val="21"/>
              </w:rPr>
            </w:pPr>
            <w:r>
              <w:rPr>
                <w:rFonts w:ascii="宋体" w:eastAsia="宋体" w:hAnsi="宋体" w:cs="宋体" w:hint="eastAsia"/>
                <w:b/>
                <w:bCs/>
                <w:color w:val="FF0000"/>
                <w:sz w:val="21"/>
                <w:szCs w:val="21"/>
              </w:rPr>
              <w:t>备注</w:t>
            </w:r>
          </w:p>
        </w:tc>
        <w:tc>
          <w:tcPr>
            <w:tcW w:w="1080" w:type="dxa"/>
            <w:vMerge w:val="restart"/>
            <w:noWrap w:val="0"/>
            <w:vAlign w:val="center"/>
          </w:tcPr>
          <w:p>
            <w:pPr>
              <w:jc w:val="center"/>
              <w:rPr>
                <w:rFonts w:ascii="宋体" w:eastAsia="宋体" w:hAnsi="宋体" w:cs="宋体" w:hint="eastAsia"/>
                <w:b/>
                <w:bCs/>
                <w:color w:val="FF0000"/>
                <w:sz w:val="21"/>
                <w:szCs w:val="21"/>
              </w:rPr>
            </w:pPr>
            <w:r>
              <w:rPr>
                <w:rFonts w:ascii="宋体" w:eastAsia="宋体" w:hAnsi="宋体" w:cs="宋体" w:hint="eastAsia"/>
                <w:b/>
                <w:bCs/>
                <w:color w:val="FF0000"/>
                <w:sz w:val="21"/>
                <w:szCs w:val="21"/>
              </w:rPr>
              <w:t>财政预算限额（元）</w:t>
            </w:r>
          </w:p>
        </w:tc>
      </w:tr>
      <w:tr>
        <w:tblPrEx>
          <w:tblW w:w="5000" w:type="pct"/>
          <w:jc w:val="center"/>
          <w:tblLayout w:type="fixed"/>
          <w:tblCellMar>
            <w:top w:w="0" w:type="dxa"/>
            <w:left w:w="108" w:type="dxa"/>
            <w:bottom w:w="0" w:type="dxa"/>
            <w:right w:w="108" w:type="dxa"/>
          </w:tblCellMar>
        </w:tblPrEx>
        <w:trPr>
          <w:trHeight w:val="566"/>
          <w:jc w:val="center"/>
        </w:trPr>
        <w:tc>
          <w:tcPr>
            <w:tcW w:w="708" w:type="dxa"/>
            <w:vMerge/>
            <w:noWrap w:val="0"/>
            <w:vAlign w:val="center"/>
          </w:tcPr>
          <w:p>
            <w:pPr>
              <w:jc w:val="center"/>
              <w:rPr>
                <w:rFonts w:ascii="宋体" w:eastAsia="宋体" w:hAnsi="宋体" w:cs="宋体" w:hint="eastAsia"/>
                <w:bCs/>
                <w:sz w:val="21"/>
                <w:szCs w:val="21"/>
              </w:rPr>
            </w:pPr>
          </w:p>
        </w:tc>
        <w:tc>
          <w:tcPr>
            <w:tcW w:w="1824" w:type="dxa"/>
            <w:vMerge/>
            <w:noWrap w:val="0"/>
            <w:vAlign w:val="center"/>
          </w:tcPr>
          <w:p>
            <w:pPr>
              <w:jc w:val="center"/>
              <w:rPr>
                <w:rFonts w:ascii="宋体" w:eastAsia="宋体" w:hAnsi="宋体" w:cs="宋体" w:hint="eastAsia"/>
                <w:bCs/>
                <w:sz w:val="21"/>
                <w:szCs w:val="21"/>
              </w:rPr>
            </w:pPr>
          </w:p>
        </w:tc>
        <w:tc>
          <w:tcPr>
            <w:tcW w:w="727" w:type="dxa"/>
            <w:vMerge/>
            <w:noWrap w:val="0"/>
            <w:vAlign w:val="center"/>
          </w:tcPr>
          <w:p>
            <w:pPr>
              <w:jc w:val="center"/>
              <w:rPr>
                <w:rFonts w:ascii="宋体" w:eastAsia="宋体" w:hAnsi="宋体" w:cs="宋体" w:hint="eastAsia"/>
                <w:bCs/>
                <w:sz w:val="21"/>
                <w:szCs w:val="21"/>
              </w:rPr>
            </w:pPr>
          </w:p>
        </w:tc>
        <w:tc>
          <w:tcPr>
            <w:tcW w:w="744" w:type="dxa"/>
            <w:vMerge/>
            <w:noWrap w:val="0"/>
            <w:vAlign w:val="center"/>
          </w:tcPr>
          <w:p>
            <w:pPr>
              <w:jc w:val="center"/>
              <w:rPr>
                <w:rFonts w:ascii="宋体" w:eastAsia="宋体" w:hAnsi="宋体" w:cs="宋体" w:hint="eastAsia"/>
                <w:bCs/>
                <w:sz w:val="21"/>
                <w:szCs w:val="21"/>
              </w:rPr>
            </w:pPr>
          </w:p>
        </w:tc>
        <w:tc>
          <w:tcPr>
            <w:tcW w:w="901" w:type="dxa"/>
            <w:noWrap w:val="0"/>
            <w:vAlign w:val="center"/>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单价</w:t>
            </w:r>
          </w:p>
        </w:tc>
        <w:tc>
          <w:tcPr>
            <w:tcW w:w="1447" w:type="dxa"/>
            <w:noWrap w:val="0"/>
            <w:vAlign w:val="center"/>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单项总额（单价乘以数量）</w:t>
            </w:r>
          </w:p>
        </w:tc>
        <w:tc>
          <w:tcPr>
            <w:tcW w:w="1114" w:type="dxa"/>
            <w:vMerge/>
            <w:noWrap w:val="0"/>
            <w:vAlign w:val="center"/>
          </w:tcPr>
          <w:p>
            <w:pPr>
              <w:jc w:val="center"/>
              <w:rPr>
                <w:rFonts w:ascii="宋体" w:eastAsia="宋体" w:hAnsi="宋体" w:cs="宋体" w:hint="eastAsia"/>
                <w:b/>
                <w:bCs/>
                <w:color w:val="FF0000"/>
                <w:sz w:val="21"/>
                <w:szCs w:val="21"/>
              </w:rPr>
            </w:pPr>
          </w:p>
        </w:tc>
        <w:tc>
          <w:tcPr>
            <w:tcW w:w="1080" w:type="dxa"/>
            <w:vMerge/>
            <w:noWrap w:val="0"/>
            <w:vAlign w:val="center"/>
          </w:tcPr>
          <w:p>
            <w:pPr>
              <w:jc w:val="center"/>
              <w:rPr>
                <w:rFonts w:ascii="宋体" w:eastAsia="宋体" w:hAnsi="宋体" w:cs="宋体" w:hint="eastAsia"/>
                <w:b/>
                <w:bCs/>
                <w:color w:val="FF0000"/>
                <w:sz w:val="21"/>
                <w:szCs w:val="21"/>
              </w:rPr>
            </w:pPr>
          </w:p>
        </w:tc>
      </w:tr>
      <w:tr>
        <w:tblPrEx>
          <w:tblW w:w="5000" w:type="pct"/>
          <w:jc w:val="center"/>
          <w:tblLayout w:type="fixed"/>
          <w:tblCellMar>
            <w:top w:w="0" w:type="dxa"/>
            <w:left w:w="108" w:type="dxa"/>
            <w:bottom w:w="0" w:type="dxa"/>
            <w:right w:w="108" w:type="dxa"/>
          </w:tblCellMar>
        </w:tblPrEx>
        <w:trPr>
          <w:trHeight w:val="332"/>
          <w:jc w:val="center"/>
        </w:trPr>
        <w:tc>
          <w:tcPr>
            <w:tcW w:w="708" w:type="dxa"/>
            <w:noWrap w:val="0"/>
            <w:vAlign w:val="top"/>
          </w:tcPr>
          <w:p>
            <w:pPr>
              <w:jc w:val="center"/>
              <w:rPr>
                <w:rFonts w:ascii="宋体" w:eastAsia="宋体" w:hAnsi="宋体" w:cs="宋体" w:hint="eastAsia"/>
                <w:bCs/>
                <w:sz w:val="21"/>
                <w:szCs w:val="21"/>
              </w:rPr>
            </w:pPr>
            <w:r>
              <w:rPr>
                <w:rFonts w:ascii="宋体" w:eastAsia="宋体" w:hAnsi="宋体" w:cs="宋体" w:hint="eastAsia"/>
                <w:bCs/>
                <w:sz w:val="21"/>
                <w:szCs w:val="21"/>
              </w:rPr>
              <w:t>1</w:t>
            </w:r>
          </w:p>
        </w:tc>
        <w:tc>
          <w:tcPr>
            <w:tcW w:w="1824" w:type="dxa"/>
            <w:noWrap w:val="0"/>
            <w:vAlign w:val="top"/>
          </w:tcPr>
          <w:p>
            <w:pPr>
              <w:jc w:val="center"/>
              <w:rPr>
                <w:rFonts w:ascii="宋体" w:eastAsia="宋体" w:hAnsi="宋体" w:cs="宋体" w:hint="eastAsia"/>
                <w:bCs/>
                <w:sz w:val="21"/>
                <w:szCs w:val="21"/>
              </w:rPr>
            </w:pPr>
            <w:r>
              <w:rPr>
                <w:rFonts w:ascii="宋体" w:eastAsia="宋体" w:hAnsi="宋体" w:cs="宋体" w:hint="eastAsia"/>
                <w:bCs/>
                <w:sz w:val="21"/>
                <w:szCs w:val="21"/>
              </w:rPr>
              <w:t>单人床</w:t>
            </w:r>
          </w:p>
        </w:tc>
        <w:tc>
          <w:tcPr>
            <w:tcW w:w="727"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16</w:t>
            </w:r>
          </w:p>
        </w:tc>
        <w:tc>
          <w:tcPr>
            <w:tcW w:w="744" w:type="dxa"/>
            <w:noWrap w:val="0"/>
            <w:vAlign w:val="top"/>
          </w:tcPr>
          <w:p>
            <w:pPr>
              <w:jc w:val="center"/>
              <w:rPr>
                <w:rFonts w:ascii="宋体" w:eastAsia="宋体" w:hAnsi="宋体" w:cs="宋体" w:hint="eastAsia"/>
                <w:bCs/>
                <w:sz w:val="21"/>
                <w:szCs w:val="21"/>
              </w:rPr>
            </w:pPr>
            <w:r>
              <w:rPr>
                <w:rFonts w:ascii="宋体" w:eastAsia="宋体" w:hAnsi="宋体" w:cs="宋体" w:hint="eastAsia"/>
                <w:bCs/>
                <w:sz w:val="21"/>
                <w:szCs w:val="21"/>
              </w:rPr>
              <w:t>张</w:t>
            </w:r>
          </w:p>
        </w:tc>
        <w:tc>
          <w:tcPr>
            <w:tcW w:w="901"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sz w:val="21"/>
                <w:szCs w:val="21"/>
                <w:lang w:eastAsia="zh-CN"/>
              </w:rPr>
              <w:t>1300</w:t>
            </w:r>
          </w:p>
        </w:tc>
        <w:tc>
          <w:tcPr>
            <w:tcW w:w="1447"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20800</w:t>
            </w:r>
          </w:p>
        </w:tc>
        <w:tc>
          <w:tcPr>
            <w:tcW w:w="1114" w:type="dxa"/>
            <w:noWrap w:val="0"/>
            <w:vAlign w:val="top"/>
          </w:tcPr>
          <w:p>
            <w:pPr>
              <w:jc w:val="center"/>
              <w:rPr>
                <w:rFonts w:ascii="宋体" w:eastAsia="宋体" w:hAnsi="宋体" w:cs="宋体" w:hint="eastAsia"/>
                <w:b/>
                <w:bCs/>
                <w:color w:val="FF0000"/>
                <w:sz w:val="21"/>
                <w:szCs w:val="21"/>
              </w:rPr>
            </w:pPr>
          </w:p>
        </w:tc>
        <w:tc>
          <w:tcPr>
            <w:tcW w:w="1080"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sz w:val="21"/>
                <w:szCs w:val="21"/>
                <w:lang w:eastAsia="zh-CN"/>
              </w:rPr>
              <w:t>285600</w:t>
            </w:r>
            <w:r>
              <w:rPr>
                <w:rFonts w:ascii="宋体" w:eastAsia="宋体" w:hAnsi="宋体" w:cs="宋体" w:hint="eastAsia"/>
                <w:sz w:val="21"/>
                <w:szCs w:val="21"/>
              </w:rPr>
              <w:t>.00</w:t>
            </w:r>
          </w:p>
        </w:tc>
      </w:tr>
      <w:tr>
        <w:tblPrEx>
          <w:tblW w:w="5000" w:type="pct"/>
          <w:jc w:val="center"/>
          <w:tblLayout w:type="fixed"/>
          <w:tblCellMar>
            <w:top w:w="0" w:type="dxa"/>
            <w:left w:w="108" w:type="dxa"/>
            <w:bottom w:w="0" w:type="dxa"/>
            <w:right w:w="108" w:type="dxa"/>
          </w:tblCellMar>
        </w:tblPrEx>
        <w:trPr>
          <w:trHeight w:val="288"/>
          <w:jc w:val="center"/>
        </w:trPr>
        <w:tc>
          <w:tcPr>
            <w:tcW w:w="708" w:type="dxa"/>
            <w:noWrap w:val="0"/>
            <w:vAlign w:val="top"/>
          </w:tcPr>
          <w:p>
            <w:pPr>
              <w:jc w:val="center"/>
              <w:rPr>
                <w:rFonts w:ascii="宋体" w:eastAsia="宋体" w:hAnsi="宋体" w:cs="宋体" w:hint="eastAsia"/>
                <w:bCs/>
                <w:sz w:val="21"/>
                <w:szCs w:val="21"/>
              </w:rPr>
            </w:pPr>
            <w:r>
              <w:rPr>
                <w:rFonts w:ascii="宋体" w:eastAsia="宋体" w:hAnsi="宋体" w:cs="宋体" w:hint="eastAsia"/>
                <w:bCs/>
                <w:sz w:val="21"/>
                <w:szCs w:val="21"/>
              </w:rPr>
              <w:t>2</w:t>
            </w:r>
          </w:p>
        </w:tc>
        <w:tc>
          <w:tcPr>
            <w:tcW w:w="1824" w:type="dxa"/>
            <w:noWrap w:val="0"/>
            <w:vAlign w:val="top"/>
          </w:tcPr>
          <w:p>
            <w:pPr>
              <w:jc w:val="center"/>
              <w:rPr>
                <w:rFonts w:ascii="宋体" w:eastAsia="宋体" w:hAnsi="宋体" w:cs="宋体" w:hint="eastAsia"/>
                <w:bCs/>
                <w:sz w:val="21"/>
                <w:szCs w:val="21"/>
              </w:rPr>
            </w:pPr>
            <w:r>
              <w:rPr>
                <w:rFonts w:ascii="宋体" w:eastAsia="宋体" w:hAnsi="宋体" w:cs="宋体" w:hint="eastAsia"/>
                <w:bCs/>
                <w:sz w:val="21"/>
                <w:szCs w:val="21"/>
              </w:rPr>
              <w:t>床垫</w:t>
            </w:r>
          </w:p>
        </w:tc>
        <w:tc>
          <w:tcPr>
            <w:tcW w:w="727"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16</w:t>
            </w:r>
          </w:p>
        </w:tc>
        <w:tc>
          <w:tcPr>
            <w:tcW w:w="744" w:type="dxa"/>
            <w:noWrap w:val="0"/>
            <w:vAlign w:val="top"/>
          </w:tcPr>
          <w:p>
            <w:pPr>
              <w:jc w:val="center"/>
              <w:rPr>
                <w:rFonts w:ascii="宋体" w:eastAsia="宋体" w:hAnsi="宋体" w:cs="宋体" w:hint="eastAsia"/>
                <w:bCs/>
                <w:sz w:val="21"/>
                <w:szCs w:val="21"/>
              </w:rPr>
            </w:pPr>
            <w:r>
              <w:rPr>
                <w:rFonts w:ascii="宋体" w:eastAsia="宋体" w:hAnsi="宋体" w:cs="宋体" w:hint="eastAsia"/>
                <w:sz w:val="21"/>
                <w:szCs w:val="21"/>
              </w:rPr>
              <w:t>张</w:t>
            </w:r>
          </w:p>
        </w:tc>
        <w:tc>
          <w:tcPr>
            <w:tcW w:w="901"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650</w:t>
            </w:r>
          </w:p>
        </w:tc>
        <w:tc>
          <w:tcPr>
            <w:tcW w:w="1447"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10400</w:t>
            </w:r>
          </w:p>
        </w:tc>
        <w:tc>
          <w:tcPr>
            <w:tcW w:w="1114" w:type="dxa"/>
            <w:noWrap w:val="0"/>
            <w:vAlign w:val="top"/>
          </w:tcPr>
          <w:p>
            <w:pPr>
              <w:jc w:val="center"/>
              <w:rPr>
                <w:rFonts w:ascii="宋体" w:eastAsia="宋体" w:hAnsi="宋体" w:cs="宋体" w:hint="eastAsia"/>
                <w:b/>
                <w:bCs/>
                <w:color w:val="FF0000"/>
                <w:sz w:val="21"/>
                <w:szCs w:val="21"/>
              </w:rPr>
            </w:pPr>
          </w:p>
        </w:tc>
        <w:tc>
          <w:tcPr>
            <w:tcW w:w="1080" w:type="dxa"/>
            <w:vMerge/>
            <w:noWrap w:val="0"/>
            <w:vAlign w:val="top"/>
          </w:tcPr>
          <w:p>
            <w:pPr>
              <w:jc w:val="center"/>
              <w:rPr>
                <w:rFonts w:ascii="宋体" w:eastAsia="宋体" w:hAnsi="宋体" w:cs="宋体" w:hint="eastAsia"/>
                <w:bCs/>
                <w:sz w:val="21"/>
                <w:szCs w:val="21"/>
              </w:rPr>
            </w:pPr>
          </w:p>
        </w:tc>
      </w:tr>
      <w:tr>
        <w:tblPrEx>
          <w:tblW w:w="5000" w:type="pct"/>
          <w:jc w:val="center"/>
          <w:tblLayout w:type="fixed"/>
          <w:tblCellMar>
            <w:top w:w="0" w:type="dxa"/>
            <w:left w:w="108" w:type="dxa"/>
            <w:bottom w:w="0" w:type="dxa"/>
            <w:right w:w="108" w:type="dxa"/>
          </w:tblCellMar>
        </w:tblPrEx>
        <w:trPr>
          <w:trHeight w:val="288"/>
          <w:jc w:val="center"/>
        </w:trPr>
        <w:tc>
          <w:tcPr>
            <w:tcW w:w="708" w:type="dxa"/>
            <w:noWrap w:val="0"/>
            <w:vAlign w:val="top"/>
          </w:tcPr>
          <w:p>
            <w:pPr>
              <w:jc w:val="center"/>
              <w:rPr>
                <w:rFonts w:ascii="宋体" w:eastAsia="宋体" w:hAnsi="宋体" w:cs="宋体" w:hint="eastAsia"/>
                <w:bCs/>
                <w:sz w:val="21"/>
                <w:szCs w:val="21"/>
              </w:rPr>
            </w:pPr>
            <w:r>
              <w:rPr>
                <w:rFonts w:ascii="宋体" w:eastAsia="宋体" w:hAnsi="宋体" w:cs="宋体" w:hint="eastAsia"/>
                <w:bCs/>
                <w:sz w:val="21"/>
                <w:szCs w:val="21"/>
              </w:rPr>
              <w:t>3</w:t>
            </w:r>
          </w:p>
        </w:tc>
        <w:tc>
          <w:tcPr>
            <w:tcW w:w="1824" w:type="dxa"/>
            <w:noWrap w:val="0"/>
            <w:vAlign w:val="top"/>
          </w:tcPr>
          <w:p>
            <w:pPr>
              <w:jc w:val="center"/>
              <w:rPr>
                <w:rFonts w:ascii="宋体" w:eastAsia="宋体" w:hAnsi="宋体" w:cs="宋体" w:hint="eastAsia"/>
                <w:bCs/>
                <w:sz w:val="21"/>
                <w:szCs w:val="21"/>
              </w:rPr>
            </w:pPr>
            <w:r>
              <w:rPr>
                <w:rFonts w:ascii="宋体" w:eastAsia="宋体" w:hAnsi="宋体" w:cs="宋体" w:hint="eastAsia"/>
                <w:bCs/>
                <w:sz w:val="21"/>
                <w:szCs w:val="21"/>
              </w:rPr>
              <w:t>书桌</w:t>
            </w:r>
          </w:p>
        </w:tc>
        <w:tc>
          <w:tcPr>
            <w:tcW w:w="727"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16</w:t>
            </w:r>
          </w:p>
        </w:tc>
        <w:tc>
          <w:tcPr>
            <w:tcW w:w="744" w:type="dxa"/>
            <w:noWrap w:val="0"/>
            <w:vAlign w:val="top"/>
          </w:tcPr>
          <w:p>
            <w:pPr>
              <w:jc w:val="center"/>
              <w:rPr>
                <w:rFonts w:ascii="宋体" w:eastAsia="宋体" w:hAnsi="宋体" w:cs="宋体" w:hint="eastAsia"/>
                <w:bCs/>
                <w:sz w:val="21"/>
                <w:szCs w:val="21"/>
              </w:rPr>
            </w:pPr>
            <w:r>
              <w:rPr>
                <w:rFonts w:ascii="宋体" w:eastAsia="宋体" w:hAnsi="宋体" w:cs="宋体" w:hint="eastAsia"/>
                <w:sz w:val="21"/>
                <w:szCs w:val="21"/>
              </w:rPr>
              <w:t>张</w:t>
            </w:r>
          </w:p>
        </w:tc>
        <w:tc>
          <w:tcPr>
            <w:tcW w:w="901"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1120</w:t>
            </w:r>
          </w:p>
        </w:tc>
        <w:tc>
          <w:tcPr>
            <w:tcW w:w="1447"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17920</w:t>
            </w:r>
          </w:p>
        </w:tc>
        <w:tc>
          <w:tcPr>
            <w:tcW w:w="1114" w:type="dxa"/>
            <w:noWrap w:val="0"/>
            <w:vAlign w:val="top"/>
          </w:tcPr>
          <w:p>
            <w:pPr>
              <w:jc w:val="center"/>
              <w:rPr>
                <w:rFonts w:ascii="宋体" w:eastAsia="宋体" w:hAnsi="宋体" w:cs="宋体" w:hint="eastAsia"/>
                <w:b/>
                <w:bCs/>
                <w:color w:val="FF0000"/>
                <w:sz w:val="21"/>
                <w:szCs w:val="21"/>
              </w:rPr>
            </w:pPr>
          </w:p>
        </w:tc>
        <w:tc>
          <w:tcPr>
            <w:tcW w:w="1080" w:type="dxa"/>
            <w:vMerge/>
            <w:noWrap w:val="0"/>
            <w:vAlign w:val="top"/>
          </w:tcPr>
          <w:p>
            <w:pPr>
              <w:jc w:val="center"/>
              <w:rPr>
                <w:rFonts w:ascii="宋体" w:eastAsia="宋体" w:hAnsi="宋体" w:cs="宋体" w:hint="eastAsia"/>
                <w:bCs/>
                <w:sz w:val="21"/>
                <w:szCs w:val="21"/>
              </w:rPr>
            </w:pPr>
          </w:p>
        </w:tc>
      </w:tr>
      <w:tr>
        <w:tblPrEx>
          <w:tblW w:w="5000" w:type="pct"/>
          <w:jc w:val="center"/>
          <w:tblLayout w:type="fixed"/>
          <w:tblCellMar>
            <w:top w:w="0" w:type="dxa"/>
            <w:left w:w="108" w:type="dxa"/>
            <w:bottom w:w="0" w:type="dxa"/>
            <w:right w:w="108" w:type="dxa"/>
          </w:tblCellMar>
        </w:tblPrEx>
        <w:trPr>
          <w:trHeight w:val="288"/>
          <w:jc w:val="center"/>
        </w:trPr>
        <w:tc>
          <w:tcPr>
            <w:tcW w:w="708"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4</w:t>
            </w:r>
          </w:p>
        </w:tc>
        <w:tc>
          <w:tcPr>
            <w:tcW w:w="1824" w:type="dxa"/>
            <w:noWrap w:val="0"/>
            <w:vAlign w:val="top"/>
          </w:tcPr>
          <w:p>
            <w:pPr>
              <w:jc w:val="center"/>
              <w:rPr>
                <w:rFonts w:ascii="宋体" w:eastAsia="宋体" w:hAnsi="宋体" w:cs="宋体" w:hint="eastAsia"/>
                <w:bCs/>
                <w:sz w:val="21"/>
                <w:szCs w:val="21"/>
              </w:rPr>
            </w:pPr>
            <w:r>
              <w:rPr>
                <w:rFonts w:ascii="宋体" w:eastAsia="宋体" w:hAnsi="宋体" w:cs="宋体" w:hint="eastAsia"/>
                <w:bCs/>
                <w:sz w:val="21"/>
                <w:szCs w:val="21"/>
              </w:rPr>
              <w:t>单椅</w:t>
            </w:r>
          </w:p>
        </w:tc>
        <w:tc>
          <w:tcPr>
            <w:tcW w:w="727"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16</w:t>
            </w:r>
          </w:p>
        </w:tc>
        <w:tc>
          <w:tcPr>
            <w:tcW w:w="744" w:type="dxa"/>
            <w:noWrap w:val="0"/>
            <w:vAlign w:val="top"/>
          </w:tcPr>
          <w:p>
            <w:pPr>
              <w:jc w:val="center"/>
              <w:rPr>
                <w:rFonts w:ascii="宋体" w:eastAsia="宋体" w:hAnsi="宋体" w:cs="宋体" w:hint="eastAsia"/>
                <w:bCs/>
                <w:sz w:val="21"/>
                <w:szCs w:val="21"/>
              </w:rPr>
            </w:pPr>
            <w:r>
              <w:rPr>
                <w:rFonts w:ascii="宋体" w:eastAsia="宋体" w:hAnsi="宋体" w:cs="宋体" w:hint="eastAsia"/>
                <w:sz w:val="21"/>
                <w:szCs w:val="21"/>
              </w:rPr>
              <w:t>张</w:t>
            </w:r>
          </w:p>
        </w:tc>
        <w:tc>
          <w:tcPr>
            <w:tcW w:w="901"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980</w:t>
            </w:r>
          </w:p>
        </w:tc>
        <w:tc>
          <w:tcPr>
            <w:tcW w:w="1447"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15680</w:t>
            </w:r>
          </w:p>
        </w:tc>
        <w:tc>
          <w:tcPr>
            <w:tcW w:w="1114" w:type="dxa"/>
            <w:noWrap w:val="0"/>
            <w:vAlign w:val="top"/>
          </w:tcPr>
          <w:p>
            <w:pPr>
              <w:jc w:val="center"/>
              <w:rPr>
                <w:rFonts w:ascii="宋体" w:eastAsia="宋体" w:hAnsi="宋体" w:cs="宋体" w:hint="eastAsia"/>
                <w:b/>
                <w:bCs/>
                <w:color w:val="FF0000"/>
                <w:sz w:val="21"/>
                <w:szCs w:val="21"/>
              </w:rPr>
            </w:pPr>
          </w:p>
        </w:tc>
        <w:tc>
          <w:tcPr>
            <w:tcW w:w="1080" w:type="dxa"/>
            <w:vMerge/>
            <w:noWrap w:val="0"/>
            <w:vAlign w:val="top"/>
          </w:tcPr>
          <w:p>
            <w:pPr>
              <w:jc w:val="center"/>
              <w:rPr>
                <w:rFonts w:ascii="宋体" w:eastAsia="宋体" w:hAnsi="宋体" w:cs="宋体" w:hint="eastAsia"/>
                <w:bCs/>
                <w:sz w:val="21"/>
                <w:szCs w:val="21"/>
              </w:rPr>
            </w:pPr>
          </w:p>
        </w:tc>
      </w:tr>
      <w:tr>
        <w:tblPrEx>
          <w:tblW w:w="5000" w:type="pct"/>
          <w:jc w:val="center"/>
          <w:tblLayout w:type="fixed"/>
          <w:tblCellMar>
            <w:top w:w="0" w:type="dxa"/>
            <w:left w:w="108" w:type="dxa"/>
            <w:bottom w:w="0" w:type="dxa"/>
            <w:right w:w="108" w:type="dxa"/>
          </w:tblCellMar>
        </w:tblPrEx>
        <w:trPr>
          <w:trHeight w:val="288"/>
          <w:jc w:val="center"/>
        </w:trPr>
        <w:tc>
          <w:tcPr>
            <w:tcW w:w="708"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5</w:t>
            </w:r>
          </w:p>
        </w:tc>
        <w:tc>
          <w:tcPr>
            <w:tcW w:w="1824" w:type="dxa"/>
            <w:noWrap w:val="0"/>
            <w:vAlign w:val="top"/>
          </w:tcPr>
          <w:p>
            <w:pPr>
              <w:jc w:val="center"/>
              <w:rPr>
                <w:rFonts w:ascii="宋体" w:eastAsia="宋体" w:hAnsi="宋体" w:cs="宋体" w:hint="eastAsia"/>
                <w:bCs/>
                <w:sz w:val="21"/>
                <w:szCs w:val="21"/>
              </w:rPr>
            </w:pPr>
            <w:r>
              <w:rPr>
                <w:rFonts w:ascii="宋体" w:eastAsia="宋体" w:hAnsi="宋体" w:cs="宋体" w:hint="eastAsia"/>
                <w:bCs/>
                <w:sz w:val="21"/>
                <w:szCs w:val="21"/>
              </w:rPr>
              <w:t>文件柜</w:t>
            </w:r>
          </w:p>
        </w:tc>
        <w:tc>
          <w:tcPr>
            <w:tcW w:w="727"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16</w:t>
            </w:r>
          </w:p>
        </w:tc>
        <w:tc>
          <w:tcPr>
            <w:tcW w:w="744"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个</w:t>
            </w:r>
          </w:p>
        </w:tc>
        <w:tc>
          <w:tcPr>
            <w:tcW w:w="901"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2800</w:t>
            </w:r>
          </w:p>
        </w:tc>
        <w:tc>
          <w:tcPr>
            <w:tcW w:w="1447"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44800</w:t>
            </w:r>
          </w:p>
        </w:tc>
        <w:tc>
          <w:tcPr>
            <w:tcW w:w="1114" w:type="dxa"/>
            <w:noWrap w:val="0"/>
            <w:vAlign w:val="top"/>
          </w:tcPr>
          <w:p>
            <w:pPr>
              <w:jc w:val="center"/>
              <w:rPr>
                <w:rFonts w:ascii="宋体" w:eastAsia="宋体" w:hAnsi="宋体" w:cs="宋体" w:hint="eastAsia"/>
                <w:b/>
                <w:bCs/>
                <w:color w:val="FF0000"/>
                <w:sz w:val="21"/>
                <w:szCs w:val="21"/>
              </w:rPr>
            </w:pPr>
          </w:p>
        </w:tc>
        <w:tc>
          <w:tcPr>
            <w:tcW w:w="1080" w:type="dxa"/>
            <w:vMerge/>
            <w:noWrap w:val="0"/>
            <w:vAlign w:val="top"/>
          </w:tcPr>
          <w:p>
            <w:pPr>
              <w:jc w:val="center"/>
              <w:rPr>
                <w:rFonts w:ascii="宋体" w:eastAsia="宋体" w:hAnsi="宋体" w:cs="宋体" w:hint="eastAsia"/>
                <w:bCs/>
                <w:sz w:val="21"/>
                <w:szCs w:val="21"/>
              </w:rPr>
            </w:pPr>
          </w:p>
        </w:tc>
      </w:tr>
      <w:tr>
        <w:tblPrEx>
          <w:tblW w:w="5000" w:type="pct"/>
          <w:jc w:val="center"/>
          <w:tblLayout w:type="fixed"/>
          <w:tblCellMar>
            <w:top w:w="0" w:type="dxa"/>
            <w:left w:w="108" w:type="dxa"/>
            <w:bottom w:w="0" w:type="dxa"/>
            <w:right w:w="108" w:type="dxa"/>
          </w:tblCellMar>
        </w:tblPrEx>
        <w:trPr>
          <w:trHeight w:val="288"/>
          <w:jc w:val="center"/>
        </w:trPr>
        <w:tc>
          <w:tcPr>
            <w:tcW w:w="708"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6</w:t>
            </w:r>
          </w:p>
        </w:tc>
        <w:tc>
          <w:tcPr>
            <w:tcW w:w="1824" w:type="dxa"/>
            <w:noWrap w:val="0"/>
            <w:vAlign w:val="top"/>
          </w:tcPr>
          <w:p>
            <w:pPr>
              <w:jc w:val="center"/>
              <w:rPr>
                <w:rFonts w:ascii="宋体" w:eastAsia="宋体" w:hAnsi="宋体" w:cs="宋体" w:hint="eastAsia"/>
                <w:bCs/>
                <w:sz w:val="21"/>
                <w:szCs w:val="21"/>
              </w:rPr>
            </w:pPr>
            <w:r>
              <w:rPr>
                <w:rFonts w:ascii="宋体" w:eastAsia="宋体" w:hAnsi="宋体" w:cs="宋体" w:hint="eastAsia"/>
                <w:bCs/>
                <w:sz w:val="21"/>
                <w:szCs w:val="21"/>
              </w:rPr>
              <w:t>户外休闲桌椅</w:t>
            </w:r>
          </w:p>
        </w:tc>
        <w:tc>
          <w:tcPr>
            <w:tcW w:w="727"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32</w:t>
            </w:r>
          </w:p>
        </w:tc>
        <w:tc>
          <w:tcPr>
            <w:tcW w:w="744"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套</w:t>
            </w:r>
          </w:p>
        </w:tc>
        <w:tc>
          <w:tcPr>
            <w:tcW w:w="901"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5500</w:t>
            </w:r>
          </w:p>
        </w:tc>
        <w:tc>
          <w:tcPr>
            <w:tcW w:w="1447"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176000</w:t>
            </w:r>
          </w:p>
        </w:tc>
        <w:tc>
          <w:tcPr>
            <w:tcW w:w="1114" w:type="dxa"/>
            <w:noWrap w:val="0"/>
            <w:vAlign w:val="top"/>
          </w:tcPr>
          <w:p>
            <w:pPr>
              <w:jc w:val="center"/>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核心产品</w:t>
            </w:r>
          </w:p>
        </w:tc>
        <w:tc>
          <w:tcPr>
            <w:tcW w:w="1080" w:type="dxa"/>
            <w:vMerge/>
            <w:noWrap w:val="0"/>
            <w:vAlign w:val="top"/>
          </w:tcPr>
          <w:p>
            <w:pPr>
              <w:jc w:val="center"/>
              <w:rPr>
                <w:rFonts w:ascii="宋体" w:eastAsia="宋体" w:hAnsi="宋体" w:cs="宋体" w:hint="eastAsia"/>
                <w:bCs/>
                <w:sz w:val="21"/>
                <w:szCs w:val="21"/>
              </w:rPr>
            </w:pPr>
          </w:p>
        </w:tc>
      </w:tr>
      <w:tr>
        <w:tblPrEx>
          <w:tblW w:w="5000" w:type="pct"/>
          <w:jc w:val="center"/>
          <w:tblLayout w:type="fixed"/>
          <w:tblCellMar>
            <w:top w:w="0" w:type="dxa"/>
            <w:left w:w="108" w:type="dxa"/>
            <w:bottom w:w="0" w:type="dxa"/>
            <w:right w:w="108" w:type="dxa"/>
          </w:tblCellMar>
        </w:tblPrEx>
        <w:trPr>
          <w:trHeight w:val="323"/>
          <w:jc w:val="center"/>
        </w:trPr>
        <w:tc>
          <w:tcPr>
            <w:tcW w:w="708"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合计</w:t>
            </w:r>
          </w:p>
        </w:tc>
        <w:tc>
          <w:tcPr>
            <w:tcW w:w="1824"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w:t>
            </w:r>
          </w:p>
        </w:tc>
        <w:tc>
          <w:tcPr>
            <w:tcW w:w="727"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w:t>
            </w:r>
          </w:p>
        </w:tc>
        <w:tc>
          <w:tcPr>
            <w:tcW w:w="744"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w:t>
            </w:r>
          </w:p>
        </w:tc>
        <w:tc>
          <w:tcPr>
            <w:tcW w:w="901"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w:t>
            </w:r>
          </w:p>
        </w:tc>
        <w:tc>
          <w:tcPr>
            <w:tcW w:w="1447" w:type="dxa"/>
            <w:noWrap w:val="0"/>
            <w:vAlign w:val="top"/>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285600</w:t>
            </w:r>
          </w:p>
        </w:tc>
        <w:tc>
          <w:tcPr>
            <w:tcW w:w="1114" w:type="dxa"/>
            <w:noWrap w:val="0"/>
            <w:vAlign w:val="top"/>
          </w:tcPr>
          <w:p>
            <w:pPr>
              <w:jc w:val="center"/>
              <w:rPr>
                <w:rFonts w:ascii="宋体" w:eastAsia="宋体" w:hAnsi="宋体" w:cs="宋体" w:hint="eastAsia"/>
                <w:bCs/>
                <w:sz w:val="21"/>
                <w:szCs w:val="21"/>
              </w:rPr>
            </w:pPr>
          </w:p>
        </w:tc>
        <w:tc>
          <w:tcPr>
            <w:tcW w:w="1080" w:type="dxa"/>
            <w:vMerge/>
            <w:noWrap w:val="0"/>
            <w:vAlign w:val="top"/>
          </w:tcPr>
          <w:p>
            <w:pPr>
              <w:jc w:val="center"/>
              <w:rPr>
                <w:rFonts w:ascii="宋体" w:eastAsia="宋体" w:hAnsi="宋体" w:cs="宋体" w:hint="eastAsia"/>
                <w:bCs/>
                <w:sz w:val="21"/>
                <w:szCs w:val="21"/>
              </w:rPr>
            </w:pPr>
          </w:p>
        </w:tc>
      </w:tr>
    </w:tbl>
    <w:p>
      <w:pPr>
        <w:numPr>
          <w:ilvl w:val="0"/>
          <w:numId w:val="0"/>
        </w:numPr>
        <w:spacing w:line="360" w:lineRule="auto"/>
        <w:ind w:left="0" w:firstLine="0"/>
        <w:rPr>
          <w:rFonts w:hint="eastAsia"/>
          <w:b/>
          <w:bCs/>
          <w:lang w:eastAsia="zh-CN"/>
        </w:rPr>
      </w:pPr>
    </w:p>
    <w:p>
      <w:pPr>
        <w:widowControl w:val="0"/>
        <w:numPr>
          <w:ilvl w:val="0"/>
          <w:numId w:val="2"/>
        </w:numPr>
        <w:spacing w:after="120" w:line="360" w:lineRule="auto"/>
        <w:ind w:firstLine="420" w:firstLineChars="200"/>
        <w:jc w:val="both"/>
        <w:rPr>
          <w:rFonts w:ascii="宋体" w:eastAsia="宋体" w:hAnsi="宋体" w:hint="eastAsia"/>
          <w:b/>
          <w:color w:val="000000"/>
          <w:sz w:val="21"/>
          <w:szCs w:val="21"/>
          <w:lang w:eastAsia="zh-CN"/>
        </w:rPr>
      </w:pPr>
      <w:r>
        <w:rPr>
          <w:rFonts w:ascii="宋体" w:eastAsia="宋体" w:hAnsi="宋体" w:hint="eastAsia"/>
          <w:b/>
          <w:color w:val="000000"/>
          <w:sz w:val="21"/>
          <w:szCs w:val="21"/>
          <w:lang w:eastAsia="zh-CN"/>
        </w:rPr>
        <w:t>本项目总预算为285,600.00 元。投标总价不得超过项目总预算限额，设置最高单价限价的，分项报价不得超过相应单价限额。</w:t>
      </w:r>
    </w:p>
    <w:p>
      <w:pPr>
        <w:widowControl w:val="0"/>
        <w:numPr>
          <w:ilvl w:val="0"/>
          <w:numId w:val="2"/>
        </w:numPr>
        <w:spacing w:after="120" w:line="360" w:lineRule="auto"/>
        <w:ind w:left="0" w:firstLine="420" w:leftChars="0" w:firstLineChars="200"/>
        <w:jc w:val="both"/>
        <w:rPr>
          <w:rFonts w:ascii="宋体" w:eastAsia="宋体" w:hAnsi="宋体" w:hint="eastAsia"/>
          <w:b/>
          <w:color w:val="000000"/>
          <w:sz w:val="21"/>
          <w:szCs w:val="21"/>
          <w:lang w:eastAsia="zh-CN"/>
        </w:rPr>
      </w:pPr>
      <w:r>
        <w:rPr>
          <w:rFonts w:ascii="宋体" w:eastAsia="宋体" w:hAnsi="宋体" w:hint="eastAsia"/>
          <w:b/>
          <w:color w:val="000000"/>
          <w:sz w:val="21"/>
          <w:szCs w:val="21"/>
          <w:lang w:eastAsia="zh-CN"/>
        </w:rPr>
        <w:t>本项目备注栏注明“拒绝进口”的产品不接受投标人选用进口产品参与投标；注明“接受进口”的产品允许投标人选用进口产品参与投标，但不排斥国内产品。进口产品是指通过中国海关报关验放进入中国境内且产自关境外的产品（以“财库〔2007〕119号文”和“财办库〔2008〕248号文”的相关规定为准）。</w:t>
      </w:r>
    </w:p>
    <w:p>
      <w:pPr>
        <w:widowControl w:val="0"/>
        <w:numPr>
          <w:ilvl w:val="0"/>
          <w:numId w:val="0"/>
        </w:numPr>
        <w:spacing w:after="120" w:line="360" w:lineRule="auto"/>
        <w:ind w:left="480" w:firstLine="0" w:leftChars="200"/>
        <w:jc w:val="both"/>
        <w:rPr>
          <w:rFonts w:ascii="宋体" w:eastAsia="宋体" w:hAnsi="宋体" w:hint="eastAsia"/>
          <w:b/>
          <w:color w:val="000000"/>
          <w:sz w:val="21"/>
          <w:szCs w:val="21"/>
          <w:u w:val="single"/>
          <w:lang w:eastAsia="zh-CN"/>
        </w:rPr>
      </w:pPr>
      <w:r>
        <w:rPr>
          <w:rFonts w:ascii="宋体" w:eastAsia="宋体" w:hAnsi="宋体" w:hint="eastAsia"/>
          <w:b/>
          <w:color w:val="000000"/>
          <w:sz w:val="21"/>
          <w:szCs w:val="21"/>
          <w:lang w:eastAsia="zh-CN"/>
        </w:rPr>
        <w:t>3、核心产品：</w:t>
      </w:r>
      <w:r>
        <w:rPr>
          <w:rFonts w:ascii="宋体" w:eastAsia="宋体" w:hAnsi="宋体" w:hint="eastAsia"/>
          <w:b/>
          <w:color w:val="000000"/>
          <w:sz w:val="21"/>
          <w:szCs w:val="21"/>
          <w:u w:val="single"/>
          <w:lang w:eastAsia="zh-CN"/>
        </w:rPr>
        <w:t>户外休闲桌椅</w:t>
      </w:r>
    </w:p>
    <w:p>
      <w:pPr>
        <w:keepNext/>
        <w:keepLines/>
        <w:widowControl w:val="0"/>
        <w:numPr>
          <w:ilvl w:val="0"/>
          <w:numId w:val="0"/>
        </w:numPr>
        <w:tabs>
          <w:tab w:val="left" w:pos="1680"/>
        </w:tabs>
        <w:spacing w:before="260" w:after="60" w:afterLines="25"/>
        <w:ind w:left="0" w:firstLine="0"/>
        <w:jc w:val="center"/>
        <w:outlineLvl w:val="2"/>
        <w:rPr>
          <w:rFonts w:ascii="Arial" w:eastAsia="宋体" w:hAnsi="Arial" w:hint="eastAsia"/>
          <w:b/>
          <w:kern w:val="2"/>
          <w:sz w:val="32"/>
          <w:szCs w:val="32"/>
          <w:lang w:eastAsia="zh-CN"/>
        </w:rPr>
      </w:pPr>
      <w:r>
        <w:rPr>
          <w:rFonts w:ascii="Arial" w:eastAsia="宋体" w:hAnsi="Arial" w:hint="eastAsia"/>
          <w:b/>
          <w:kern w:val="2"/>
          <w:sz w:val="32"/>
          <w:szCs w:val="32"/>
          <w:lang w:eastAsia="zh-CN"/>
        </w:rPr>
        <w:t>三、实质性条款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52"/>
        <w:gridCol w:w="790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4"/>
          <w:jc w:val="center"/>
        </w:trPr>
        <w:tc>
          <w:tcPr>
            <w:tcW w:w="961" w:type="dxa"/>
            <w:vAlign w:val="center"/>
          </w:tcPr>
          <w:p>
            <w:pPr>
              <w:widowControl w:val="0"/>
              <w:jc w:val="center"/>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序号</w:t>
            </w:r>
          </w:p>
        </w:tc>
        <w:tc>
          <w:tcPr>
            <w:tcW w:w="8000" w:type="dxa"/>
            <w:vAlign w:val="center"/>
          </w:tcPr>
          <w:p>
            <w:pPr>
              <w:widowControl w:val="0"/>
              <w:jc w:val="center"/>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jc w:val="center"/>
        </w:trPr>
        <w:tc>
          <w:tcPr>
            <w:tcW w:w="961" w:type="dxa"/>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p>
        </w:tc>
        <w:tc>
          <w:tcPr>
            <w:tcW w:w="8000" w:type="dxa"/>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本项目招标文件中所有带★号条款内容</w:t>
            </w:r>
          </w:p>
        </w:tc>
      </w:tr>
      <w:bookmarkEnd w:id="13"/>
    </w:tbl>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keepNext/>
        <w:keepLines/>
        <w:widowControl w:val="0"/>
        <w:numPr>
          <w:ilvl w:val="0"/>
          <w:numId w:val="0"/>
        </w:numPr>
        <w:tabs>
          <w:tab w:val="left" w:pos="1680"/>
        </w:tabs>
        <w:spacing w:before="260" w:after="60" w:afterLines="25"/>
        <w:ind w:left="0" w:firstLine="0"/>
        <w:jc w:val="center"/>
        <w:outlineLvl w:val="2"/>
        <w:rPr>
          <w:rFonts w:ascii="Arial" w:eastAsia="宋体" w:hAnsi="Arial" w:hint="eastAsia"/>
          <w:b/>
          <w:kern w:val="2"/>
          <w:sz w:val="32"/>
          <w:szCs w:val="32"/>
          <w:lang w:eastAsia="zh-CN"/>
        </w:rPr>
      </w:pPr>
      <w:r>
        <w:rPr>
          <w:rFonts w:ascii="Arial" w:eastAsia="宋体" w:hAnsi="Arial" w:hint="eastAsia"/>
          <w:b/>
          <w:kern w:val="2"/>
          <w:sz w:val="32"/>
          <w:szCs w:val="32"/>
          <w:lang w:eastAsia="zh-CN"/>
        </w:rPr>
        <w:t>四、商务条款要求</w:t>
      </w:r>
    </w:p>
    <w:p>
      <w:pPr>
        <w:widowControl w:val="0"/>
        <w:ind w:firstLine="420" w:firstLineChars="200"/>
        <w:jc w:val="both"/>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说明：带★号条款为不可偏离条款，不作为评分准则中的评分内容，如未响应或出现负偏离的，将作投标无效处理；带“</w:t>
      </w:r>
      <w:r>
        <w:rPr>
          <w:rFonts w:ascii="Calibri" w:eastAsia="宋体" w:hAnsi="Calibri" w:cstheme="minorBidi"/>
          <w:kern w:val="2"/>
          <w:sz w:val="21"/>
          <w:szCs w:val="22"/>
          <w:lang w:eastAsia="zh-CN"/>
        </w:rPr>
        <w:t>▲</w:t>
      </w:r>
      <w:r>
        <w:rPr>
          <w:rFonts w:ascii="Calibri" w:eastAsia="宋体" w:hAnsi="Calibri" w:cstheme="minorBidi" w:hint="eastAsia"/>
          <w:b/>
          <w:kern w:val="2"/>
          <w:sz w:val="21"/>
          <w:szCs w:val="21"/>
          <w:lang w:eastAsia="zh-CN"/>
        </w:rPr>
        <w:t>”指标项为重要参数，负偏离时依相关评分准则内容作重点扣分处理。</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98"/>
        <w:gridCol w:w="1535"/>
        <w:gridCol w:w="6123"/>
      </w:tblGrid>
      <w:tr>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b/>
                <w:kern w:val="2"/>
                <w:sz w:val="21"/>
                <w:szCs w:val="22"/>
                <w:lang w:eastAsia="zh-CN"/>
              </w:rPr>
            </w:pPr>
            <w:r>
              <w:rPr>
                <w:rFonts w:ascii="Calibri" w:eastAsia="宋体" w:hAnsi="Calibri" w:hint="eastAsia"/>
                <w:b/>
                <w:kern w:val="2"/>
                <w:sz w:val="21"/>
                <w:szCs w:val="22"/>
                <w:lang w:eastAsia="zh-CN"/>
              </w:rPr>
              <w:t>序号</w:t>
            </w: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b/>
                <w:kern w:val="2"/>
                <w:sz w:val="21"/>
                <w:szCs w:val="22"/>
                <w:lang w:eastAsia="zh-CN"/>
              </w:rPr>
            </w:pPr>
            <w:r>
              <w:rPr>
                <w:rFonts w:ascii="Calibri" w:eastAsia="宋体" w:hAnsi="Calibri" w:hint="eastAsia"/>
                <w:b/>
                <w:kern w:val="2"/>
                <w:sz w:val="21"/>
                <w:szCs w:val="22"/>
                <w:lang w:eastAsia="zh-CN"/>
              </w:rPr>
              <w:t>目录</w:t>
            </w:r>
          </w:p>
        </w:tc>
        <w:tc>
          <w:tcPr>
            <w:tcW w:w="6506"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b/>
                <w:kern w:val="2"/>
                <w:sz w:val="21"/>
                <w:szCs w:val="22"/>
                <w:lang w:eastAsia="zh-CN"/>
              </w:rPr>
            </w:pPr>
            <w:r>
              <w:rPr>
                <w:rFonts w:ascii="Calibri" w:eastAsia="宋体" w:hAnsi="Calibri" w:hint="eastAsia"/>
                <w:b/>
                <w:kern w:val="2"/>
                <w:sz w:val="21"/>
                <w:szCs w:val="22"/>
                <w:lang w:eastAsia="zh-CN"/>
              </w:rPr>
              <w:t>采购商务需求</w:t>
            </w:r>
          </w:p>
        </w:tc>
      </w:tr>
      <w:tr>
        <w:tblPrEx>
          <w:tblW w:w="5000" w:type="pct"/>
          <w:tblInd w:w="108" w:type="dxa"/>
          <w:tblLayout w:type="fixed"/>
          <w:tblCellMar>
            <w:top w:w="0" w:type="dxa"/>
            <w:left w:w="108" w:type="dxa"/>
            <w:bottom w:w="0" w:type="dxa"/>
            <w:right w:w="108" w:type="dxa"/>
          </w:tblCellMar>
        </w:tblPrEx>
        <w:trPr>
          <w:trHeight w:val="280"/>
        </w:trPr>
        <w:tc>
          <w:tcPr>
            <w:tcW w:w="9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Calibri" w:eastAsia="宋体" w:hAnsi="Calibri"/>
                <w:b/>
                <w:kern w:val="2"/>
                <w:sz w:val="21"/>
                <w:szCs w:val="22"/>
                <w:lang w:eastAsia="zh-CN"/>
              </w:rPr>
            </w:pPr>
            <w:r>
              <w:rPr>
                <w:rFonts w:ascii="Calibri" w:eastAsia="宋体" w:hAnsi="Calibri" w:hint="eastAsia"/>
                <w:b/>
                <w:kern w:val="2"/>
                <w:sz w:val="21"/>
                <w:szCs w:val="22"/>
                <w:lang w:eastAsia="zh-CN"/>
              </w:rPr>
              <w:t>（一）免费保修期内售后服务要求</w:t>
            </w:r>
          </w:p>
        </w:tc>
      </w:tr>
      <w:tr>
        <w:tblPrEx>
          <w:tblW w:w="5000" w:type="pct"/>
          <w:tblInd w:w="108" w:type="dxa"/>
          <w:tblLayout w:type="fixed"/>
          <w:tblCellMar>
            <w:top w:w="0" w:type="dxa"/>
            <w:left w:w="108" w:type="dxa"/>
            <w:bottom w:w="0" w:type="dxa"/>
            <w:right w:w="108" w:type="dxa"/>
          </w:tblCellMar>
        </w:tblPrEx>
        <w:trPr>
          <w:trHeight w:val="150"/>
        </w:trPr>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b/>
                <w:kern w:val="2"/>
                <w:sz w:val="21"/>
                <w:szCs w:val="22"/>
                <w:lang w:eastAsia="zh-CN"/>
              </w:rPr>
            </w:pPr>
            <w:r>
              <w:rPr>
                <w:rFonts w:ascii="Calibri" w:eastAsia="宋体" w:hAnsi="Calibri" w:hint="eastAsia"/>
                <w:b/>
                <w:kern w:val="2"/>
                <w:sz w:val="21"/>
                <w:szCs w:val="22"/>
                <w:lang w:eastAsia="zh-CN"/>
              </w:rPr>
              <w:t>1</w:t>
            </w: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kern w:val="2"/>
                <w:sz w:val="21"/>
                <w:szCs w:val="22"/>
                <w:lang w:eastAsia="zh-CN"/>
              </w:rPr>
            </w:pPr>
            <w:r>
              <w:rPr>
                <w:rFonts w:ascii="Calibri" w:eastAsia="宋体" w:hAnsi="Calibri" w:hint="eastAsia"/>
                <w:kern w:val="2"/>
                <w:sz w:val="21"/>
                <w:szCs w:val="22"/>
                <w:lang w:eastAsia="zh-CN"/>
              </w:rPr>
              <w:t>免费保修期</w:t>
            </w:r>
          </w:p>
        </w:tc>
        <w:tc>
          <w:tcPr>
            <w:tcW w:w="6506"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Calibri" w:eastAsia="宋体" w:hAnsi="Calibri"/>
                <w:b/>
                <w:kern w:val="2"/>
                <w:sz w:val="21"/>
                <w:szCs w:val="22"/>
                <w:lang w:eastAsia="zh-CN"/>
              </w:rPr>
            </w:pPr>
            <w:r>
              <w:rPr>
                <w:rFonts w:ascii="宋体" w:eastAsia="宋体" w:hAnsi="宋体" w:cs="宋体" w:hint="eastAsia"/>
                <w:kern w:val="2"/>
                <w:sz w:val="21"/>
                <w:szCs w:val="21"/>
                <w:lang w:eastAsia="zh-CN"/>
              </w:rPr>
              <w:t>★</w:t>
            </w:r>
            <w:r>
              <w:rPr>
                <w:rFonts w:ascii="Calibri" w:eastAsia="宋体" w:hAnsi="Calibri" w:hint="eastAsia"/>
                <w:bCs/>
                <w:kern w:val="2"/>
                <w:sz w:val="21"/>
                <w:szCs w:val="21"/>
                <w:lang w:eastAsia="zh-CN"/>
              </w:rPr>
              <w:t>货物免费保修期至少__3__年，时间自最终验收合格并交付使用之日起计算。</w:t>
            </w:r>
          </w:p>
        </w:tc>
      </w:tr>
      <w:tr>
        <w:tblPrEx>
          <w:tblW w:w="5000" w:type="pct"/>
          <w:tblInd w:w="108" w:type="dxa"/>
          <w:tblLayout w:type="fixed"/>
          <w:tblCellMar>
            <w:top w:w="0" w:type="dxa"/>
            <w:left w:w="108" w:type="dxa"/>
            <w:bottom w:w="0" w:type="dxa"/>
            <w:right w:w="108" w:type="dxa"/>
          </w:tblCellMar>
        </w:tblPrEx>
        <w:trPr>
          <w:trHeight w:val="320"/>
        </w:trPr>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b/>
                <w:kern w:val="2"/>
                <w:sz w:val="21"/>
                <w:szCs w:val="22"/>
                <w:lang w:eastAsia="zh-CN"/>
              </w:rPr>
            </w:pPr>
            <w:r>
              <w:rPr>
                <w:rFonts w:ascii="Calibri" w:eastAsia="宋体" w:hAnsi="Calibri" w:hint="eastAsia"/>
                <w:b/>
                <w:kern w:val="2"/>
                <w:sz w:val="21"/>
                <w:szCs w:val="22"/>
                <w:lang w:eastAsia="zh-CN"/>
              </w:rPr>
              <w:t>2</w:t>
            </w: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kern w:val="2"/>
                <w:sz w:val="21"/>
                <w:szCs w:val="22"/>
                <w:lang w:eastAsia="zh-CN"/>
              </w:rPr>
            </w:pPr>
            <w:r>
              <w:rPr>
                <w:rFonts w:ascii="Calibri" w:eastAsia="宋体" w:hAnsi="Calibri" w:hint="eastAsia"/>
                <w:kern w:val="2"/>
                <w:sz w:val="21"/>
                <w:szCs w:val="22"/>
                <w:lang w:eastAsia="zh-CN"/>
              </w:rPr>
              <w:t>维修响应及故障解决时间</w:t>
            </w:r>
          </w:p>
        </w:tc>
        <w:tc>
          <w:tcPr>
            <w:tcW w:w="6506"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Calibri" w:eastAsia="宋体" w:hAnsi="Calibri"/>
                <w:b/>
                <w:kern w:val="2"/>
                <w:sz w:val="21"/>
                <w:szCs w:val="22"/>
                <w:lang w:eastAsia="zh-CN"/>
              </w:rPr>
            </w:pPr>
            <w:r>
              <w:rPr>
                <w:rFonts w:ascii="Calibri" w:eastAsia="宋体" w:hAnsi="Calibri" w:hint="eastAsia"/>
                <w:bCs/>
                <w:kern w:val="2"/>
                <w:sz w:val="21"/>
                <w:szCs w:val="21"/>
                <w:lang w:eastAsia="zh-CN"/>
              </w:rPr>
              <w:t>在保修期内，一旦发生质量问题，响应供应商保证在接到通知24小时内赶到现场进行修理或更换。</w:t>
            </w:r>
          </w:p>
        </w:tc>
      </w:tr>
      <w:tr>
        <w:tblPrEx>
          <w:tblW w:w="5000" w:type="pct"/>
          <w:tblInd w:w="108" w:type="dxa"/>
          <w:tblLayout w:type="fixed"/>
          <w:tblCellMar>
            <w:top w:w="0" w:type="dxa"/>
            <w:left w:w="108" w:type="dxa"/>
            <w:bottom w:w="0" w:type="dxa"/>
            <w:right w:w="108" w:type="dxa"/>
          </w:tblCellMar>
        </w:tblPrEx>
        <w:trPr>
          <w:trHeight w:val="523"/>
        </w:trPr>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hint="eastAsia"/>
                <w:b/>
                <w:kern w:val="2"/>
                <w:sz w:val="21"/>
                <w:szCs w:val="22"/>
                <w:lang w:eastAsia="zh-CN"/>
              </w:rPr>
            </w:pPr>
            <w:r>
              <w:rPr>
                <w:rFonts w:ascii="Calibri" w:eastAsia="宋体" w:hAnsi="Calibri" w:hint="eastAsia"/>
                <w:b/>
                <w:kern w:val="2"/>
                <w:sz w:val="21"/>
                <w:szCs w:val="22"/>
                <w:lang w:eastAsia="zh-CN"/>
              </w:rPr>
              <w:t>3</w:t>
            </w: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b/>
                <w:kern w:val="2"/>
                <w:sz w:val="21"/>
                <w:szCs w:val="22"/>
                <w:lang w:eastAsia="zh-CN"/>
              </w:rPr>
            </w:pPr>
            <w:r>
              <w:rPr>
                <w:rFonts w:ascii="Calibri" w:eastAsia="宋体" w:hAnsi="Calibri" w:hint="eastAsia"/>
                <w:kern w:val="2"/>
                <w:sz w:val="21"/>
                <w:szCs w:val="22"/>
                <w:lang w:eastAsia="zh-CN"/>
              </w:rPr>
              <w:t>其他</w:t>
            </w:r>
          </w:p>
        </w:tc>
        <w:tc>
          <w:tcPr>
            <w:tcW w:w="6506"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Calibri" w:eastAsia="宋体" w:hAnsi="Calibri"/>
                <w:b/>
                <w:kern w:val="2"/>
                <w:sz w:val="21"/>
                <w:szCs w:val="22"/>
                <w:lang w:eastAsia="zh-CN"/>
              </w:rPr>
            </w:pPr>
            <w:r>
              <w:rPr>
                <w:rFonts w:ascii="Calibri" w:eastAsia="宋体" w:hAnsi="Calibri" w:hint="eastAsia"/>
                <w:bCs/>
                <w:kern w:val="2"/>
                <w:sz w:val="21"/>
                <w:szCs w:val="21"/>
                <w:lang w:eastAsia="zh-CN"/>
              </w:rPr>
              <w:t>投标人中标后，应按其投标文件中的承诺，进行其他售后服务工作。</w:t>
            </w:r>
          </w:p>
        </w:tc>
      </w:tr>
      <w:tr>
        <w:tblPrEx>
          <w:tblW w:w="5000" w:type="pct"/>
          <w:tblInd w:w="108" w:type="dxa"/>
          <w:tblLayout w:type="fixed"/>
          <w:tblCellMar>
            <w:top w:w="0" w:type="dxa"/>
            <w:left w:w="108" w:type="dxa"/>
            <w:bottom w:w="0" w:type="dxa"/>
            <w:right w:w="108" w:type="dxa"/>
          </w:tblCellMar>
        </w:tblPrEx>
        <w:trPr>
          <w:trHeight w:val="350"/>
        </w:trPr>
        <w:tc>
          <w:tcPr>
            <w:tcW w:w="9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Calibri" w:eastAsia="宋体" w:hAnsi="Calibri"/>
                <w:b/>
                <w:kern w:val="2"/>
                <w:sz w:val="21"/>
                <w:szCs w:val="22"/>
                <w:lang w:eastAsia="zh-CN"/>
              </w:rPr>
            </w:pPr>
            <w:r>
              <w:rPr>
                <w:rFonts w:ascii="Calibri" w:eastAsia="宋体" w:hAnsi="Calibri" w:hint="eastAsia"/>
                <w:b/>
                <w:kern w:val="2"/>
                <w:sz w:val="21"/>
                <w:szCs w:val="22"/>
                <w:lang w:eastAsia="zh-CN"/>
              </w:rPr>
              <w:t>（二）其他商务要求</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b/>
                <w:kern w:val="2"/>
                <w:sz w:val="21"/>
                <w:szCs w:val="22"/>
                <w:lang w:eastAsia="zh-CN"/>
              </w:rPr>
            </w:pPr>
            <w:r>
              <w:rPr>
                <w:rFonts w:ascii="Calibri" w:eastAsia="宋体" w:hAnsi="Calibri" w:hint="eastAsia"/>
                <w:b/>
                <w:kern w:val="2"/>
                <w:sz w:val="21"/>
                <w:szCs w:val="22"/>
                <w:lang w:eastAsia="zh-CN"/>
              </w:rPr>
              <w:t>1</w:t>
            </w:r>
          </w:p>
        </w:tc>
        <w:tc>
          <w:tcPr>
            <w:tcW w:w="16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kern w:val="2"/>
                <w:sz w:val="21"/>
                <w:szCs w:val="22"/>
                <w:lang w:eastAsia="zh-CN"/>
              </w:rPr>
            </w:pPr>
            <w:r>
              <w:rPr>
                <w:rFonts w:ascii="Calibri" w:eastAsia="宋体" w:hAnsi="Calibri" w:hint="eastAsia"/>
                <w:kern w:val="2"/>
                <w:sz w:val="21"/>
                <w:szCs w:val="22"/>
                <w:lang w:eastAsia="zh-CN"/>
              </w:rPr>
              <w:t>关于交货</w:t>
            </w:r>
          </w:p>
        </w:tc>
        <w:tc>
          <w:tcPr>
            <w:tcW w:w="6506"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Calibri" w:eastAsia="宋体" w:hAnsi="Calibri"/>
                <w:b/>
                <w:kern w:val="2"/>
                <w:sz w:val="21"/>
                <w:szCs w:val="22"/>
                <w:lang w:eastAsia="zh-CN"/>
              </w:rPr>
            </w:pPr>
            <w:r>
              <w:rPr>
                <w:rFonts w:ascii="Calibri" w:eastAsia="宋体" w:hAnsi="Calibri" w:hint="eastAsia"/>
                <w:bCs/>
                <w:kern w:val="2"/>
                <w:sz w:val="21"/>
                <w:szCs w:val="21"/>
                <w:lang w:eastAsia="zh-CN"/>
              </w:rPr>
              <w:t>1.1</w:t>
            </w:r>
            <w:r>
              <w:rPr>
                <w:rFonts w:ascii="宋体" w:eastAsia="宋体" w:hAnsi="宋体" w:cs="宋体" w:hint="eastAsia"/>
                <w:kern w:val="2"/>
                <w:sz w:val="21"/>
                <w:szCs w:val="21"/>
                <w:lang w:eastAsia="zh-CN"/>
              </w:rPr>
              <w:t>★</w:t>
            </w:r>
            <w:r>
              <w:rPr>
                <w:rFonts w:ascii="Calibri" w:eastAsia="宋体" w:hAnsi="Calibri" w:hint="eastAsia"/>
                <w:bCs/>
                <w:kern w:val="2"/>
                <w:sz w:val="21"/>
                <w:szCs w:val="21"/>
                <w:lang w:eastAsia="zh-CN"/>
              </w:rPr>
              <w:t>签订合同后_30___天（日历日）内。</w:t>
            </w:r>
          </w:p>
        </w:tc>
      </w:tr>
      <w:tr>
        <w:tblPrEx>
          <w:tblW w:w="5000" w:type="pct"/>
          <w:tblInd w:w="108" w:type="dxa"/>
          <w:tblLayout w:type="fixed"/>
          <w:tblCellMar>
            <w:top w:w="0" w:type="dxa"/>
            <w:left w:w="108" w:type="dxa"/>
            <w:bottom w:w="0" w:type="dxa"/>
            <w:right w:w="108" w:type="dxa"/>
          </w:tblCellMar>
        </w:tblPrEx>
        <w:trPr>
          <w:trHeight w:val="451"/>
        </w:trPr>
        <w:tc>
          <w:tcPr>
            <w:tcW w:w="1260" w:type="dxa"/>
            <w:vMerge/>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b/>
                <w:kern w:val="2"/>
                <w:sz w:val="21"/>
                <w:szCs w:val="22"/>
                <w:lang w:eastAsia="zh-CN"/>
              </w:rPr>
            </w:pPr>
          </w:p>
        </w:tc>
        <w:tc>
          <w:tcPr>
            <w:tcW w:w="1620" w:type="dxa"/>
            <w:vMerge/>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kern w:val="2"/>
                <w:sz w:val="21"/>
                <w:szCs w:val="22"/>
                <w:lang w:eastAsia="zh-CN"/>
              </w:rPr>
            </w:pPr>
          </w:p>
        </w:tc>
        <w:tc>
          <w:tcPr>
            <w:tcW w:w="6506"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Calibri" w:eastAsia="宋体" w:hAnsi="Calibri"/>
                <w:bCs/>
                <w:kern w:val="2"/>
                <w:sz w:val="21"/>
                <w:szCs w:val="21"/>
                <w:lang w:eastAsia="zh-CN"/>
              </w:rPr>
            </w:pPr>
            <w:r>
              <w:rPr>
                <w:rFonts w:ascii="Calibri" w:eastAsia="宋体" w:hAnsi="Calibri" w:hint="eastAsia"/>
                <w:bCs/>
                <w:kern w:val="2"/>
                <w:sz w:val="21"/>
                <w:szCs w:val="21"/>
                <w:lang w:eastAsia="zh-CN"/>
              </w:rPr>
              <w:t>1.2投标人中标后，必须承担设备运输、安装调试、验收检测和提供设备操作说明书、图纸等其他类似的义务。</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b/>
                <w:kern w:val="2"/>
                <w:sz w:val="21"/>
                <w:szCs w:val="22"/>
                <w:lang w:eastAsia="zh-CN"/>
              </w:rPr>
            </w:pPr>
            <w:r>
              <w:rPr>
                <w:rFonts w:ascii="Calibri" w:eastAsia="宋体" w:hAnsi="Calibri" w:hint="eastAsia"/>
                <w:b/>
                <w:kern w:val="2"/>
                <w:sz w:val="21"/>
                <w:szCs w:val="22"/>
                <w:lang w:eastAsia="zh-CN"/>
              </w:rPr>
              <w:t>2</w:t>
            </w:r>
          </w:p>
        </w:tc>
        <w:tc>
          <w:tcPr>
            <w:tcW w:w="16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kern w:val="2"/>
                <w:sz w:val="21"/>
                <w:szCs w:val="22"/>
                <w:lang w:eastAsia="zh-CN"/>
              </w:rPr>
            </w:pPr>
            <w:r>
              <w:rPr>
                <w:rFonts w:ascii="Calibri" w:eastAsia="宋体" w:hAnsi="Calibri" w:hint="eastAsia"/>
                <w:kern w:val="2"/>
                <w:sz w:val="21"/>
                <w:szCs w:val="22"/>
                <w:lang w:eastAsia="zh-CN"/>
              </w:rPr>
              <w:t>关于验收</w:t>
            </w:r>
          </w:p>
        </w:tc>
        <w:tc>
          <w:tcPr>
            <w:tcW w:w="6506"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Calibri" w:eastAsia="宋体" w:hAnsi="Calibri"/>
                <w:bCs/>
                <w:kern w:val="2"/>
                <w:sz w:val="21"/>
                <w:szCs w:val="21"/>
                <w:lang w:eastAsia="zh-CN"/>
              </w:rPr>
            </w:pPr>
            <w:r>
              <w:rPr>
                <w:rFonts w:ascii="Calibri" w:eastAsia="宋体" w:hAnsi="Calibri" w:hint="eastAsia"/>
                <w:bCs/>
                <w:kern w:val="2"/>
                <w:sz w:val="21"/>
                <w:szCs w:val="21"/>
                <w:lang w:eastAsia="zh-CN"/>
              </w:rPr>
              <w:t>2.1投标人中标后，其货物经过双方检验认可后，签署验收报告，产品保修期自验收合格之日起算，由投标人提供产品保修文件。</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b/>
                <w:kern w:val="2"/>
                <w:sz w:val="21"/>
                <w:szCs w:val="22"/>
                <w:lang w:eastAsia="zh-CN"/>
              </w:rPr>
            </w:pPr>
          </w:p>
        </w:tc>
        <w:tc>
          <w:tcPr>
            <w:tcW w:w="1620" w:type="dxa"/>
            <w:vMerge/>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b/>
                <w:kern w:val="2"/>
                <w:sz w:val="21"/>
                <w:szCs w:val="22"/>
                <w:lang w:eastAsia="zh-CN"/>
              </w:rPr>
            </w:pPr>
          </w:p>
        </w:tc>
        <w:tc>
          <w:tcPr>
            <w:tcW w:w="6506"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Calibri" w:eastAsia="宋体" w:hAnsi="Calibri"/>
                <w:bCs/>
                <w:kern w:val="2"/>
                <w:sz w:val="21"/>
                <w:szCs w:val="21"/>
                <w:lang w:eastAsia="zh-CN"/>
              </w:rPr>
            </w:pPr>
            <w:r>
              <w:rPr>
                <w:rFonts w:ascii="Calibri" w:eastAsia="宋体" w:hAnsi="Calibri" w:hint="eastAsia"/>
                <w:bCs/>
                <w:kern w:val="2"/>
                <w:sz w:val="21"/>
                <w:szCs w:val="21"/>
                <w:lang w:eastAsia="zh-CN"/>
              </w:rPr>
              <w:t>2.2投标人中标后，当满足以下条件时，采购人才向投标人签发货物验收报告：</w:t>
            </w:r>
          </w:p>
          <w:p>
            <w:pPr>
              <w:keepNext w:val="0"/>
              <w:keepLines w:val="0"/>
              <w:pageBreakBefore w:val="0"/>
              <w:widowControl w:val="0"/>
              <w:tabs>
                <w:tab w:val="left" w:pos="1260"/>
              </w:tabs>
              <w:kinsoku/>
              <w:wordWrap/>
              <w:overflowPunct/>
              <w:topLinePunct w:val="0"/>
              <w:autoSpaceDE/>
              <w:autoSpaceDN/>
              <w:bidi w:val="0"/>
              <w:adjustRightInd/>
              <w:snapToGrid/>
              <w:spacing w:line="312" w:lineRule="auto"/>
              <w:jc w:val="both"/>
              <w:textAlignment w:val="auto"/>
              <w:rPr>
                <w:rFonts w:ascii="Calibri" w:eastAsia="宋体" w:hAnsi="Calibri"/>
                <w:bCs/>
                <w:kern w:val="2"/>
                <w:sz w:val="21"/>
                <w:szCs w:val="21"/>
                <w:lang w:eastAsia="zh-CN"/>
              </w:rPr>
            </w:pPr>
            <w:r>
              <w:rPr>
                <w:rFonts w:ascii="Calibri" w:eastAsia="宋体" w:hAnsi="Calibri"/>
                <w:bCs/>
                <w:kern w:val="2"/>
                <w:sz w:val="21"/>
                <w:szCs w:val="21"/>
                <w:lang w:eastAsia="zh-CN"/>
              </w:rPr>
              <w:t>a</w:t>
            </w:r>
            <w:r>
              <w:rPr>
                <w:rFonts w:ascii="Calibri" w:eastAsia="宋体" w:hAnsi="Calibri" w:hint="eastAsia"/>
                <w:bCs/>
                <w:kern w:val="2"/>
                <w:sz w:val="21"/>
                <w:szCs w:val="21"/>
                <w:lang w:eastAsia="zh-CN"/>
              </w:rPr>
              <w:t>、投标人已按照合同规定提供了全部产品及完整的技术资料。</w:t>
            </w:r>
          </w:p>
          <w:p>
            <w:pPr>
              <w:keepNext w:val="0"/>
              <w:keepLines w:val="0"/>
              <w:pageBreakBefore w:val="0"/>
              <w:widowControl w:val="0"/>
              <w:tabs>
                <w:tab w:val="left" w:pos="1260"/>
              </w:tabs>
              <w:kinsoku/>
              <w:wordWrap/>
              <w:overflowPunct/>
              <w:topLinePunct w:val="0"/>
              <w:autoSpaceDE/>
              <w:autoSpaceDN/>
              <w:bidi w:val="0"/>
              <w:adjustRightInd/>
              <w:snapToGrid/>
              <w:spacing w:line="312" w:lineRule="auto"/>
              <w:jc w:val="both"/>
              <w:textAlignment w:val="auto"/>
              <w:rPr>
                <w:rFonts w:ascii="Calibri" w:eastAsia="宋体" w:hAnsi="Calibri"/>
                <w:bCs/>
                <w:kern w:val="2"/>
                <w:sz w:val="21"/>
                <w:szCs w:val="21"/>
                <w:lang w:eastAsia="zh-CN"/>
              </w:rPr>
            </w:pPr>
            <w:r>
              <w:rPr>
                <w:rFonts w:ascii="Calibri" w:eastAsia="宋体" w:hAnsi="Calibri"/>
                <w:bCs/>
                <w:kern w:val="2"/>
                <w:sz w:val="21"/>
                <w:szCs w:val="21"/>
                <w:lang w:eastAsia="zh-CN"/>
              </w:rPr>
              <w:t>b</w:t>
            </w:r>
            <w:r>
              <w:rPr>
                <w:rFonts w:ascii="Calibri" w:eastAsia="宋体" w:hAnsi="Calibri" w:hint="eastAsia"/>
                <w:bCs/>
                <w:kern w:val="2"/>
                <w:sz w:val="21"/>
                <w:szCs w:val="21"/>
                <w:lang w:eastAsia="zh-CN"/>
              </w:rPr>
              <w:t>、货物符合采购文件技术规格书的要求，性能满足要求。</w:t>
            </w:r>
          </w:p>
          <w:p>
            <w:pPr>
              <w:keepNext w:val="0"/>
              <w:keepLines w:val="0"/>
              <w:pageBreakBefore w:val="0"/>
              <w:widowControl w:val="0"/>
              <w:tabs>
                <w:tab w:val="left" w:pos="1260"/>
              </w:tabs>
              <w:kinsoku/>
              <w:wordWrap/>
              <w:overflowPunct/>
              <w:topLinePunct w:val="0"/>
              <w:autoSpaceDE/>
              <w:autoSpaceDN/>
              <w:bidi w:val="0"/>
              <w:adjustRightInd/>
              <w:snapToGrid/>
              <w:spacing w:line="312" w:lineRule="auto"/>
              <w:jc w:val="both"/>
              <w:textAlignment w:val="auto"/>
              <w:rPr>
                <w:rFonts w:ascii="Calibri" w:eastAsia="宋体" w:hAnsi="Calibri"/>
                <w:bCs/>
                <w:kern w:val="2"/>
                <w:sz w:val="21"/>
                <w:szCs w:val="21"/>
                <w:lang w:eastAsia="zh-CN"/>
              </w:rPr>
            </w:pPr>
            <w:r>
              <w:rPr>
                <w:rFonts w:ascii="Calibri" w:eastAsia="宋体" w:hAnsi="Calibri"/>
                <w:bCs/>
                <w:kern w:val="2"/>
                <w:sz w:val="21"/>
                <w:szCs w:val="21"/>
                <w:lang w:eastAsia="zh-CN"/>
              </w:rPr>
              <w:t>c</w:t>
            </w:r>
            <w:r>
              <w:rPr>
                <w:rFonts w:ascii="Calibri" w:eastAsia="宋体" w:hAnsi="Calibri" w:hint="eastAsia"/>
                <w:bCs/>
                <w:kern w:val="2"/>
                <w:sz w:val="21"/>
                <w:szCs w:val="21"/>
                <w:lang w:eastAsia="zh-CN"/>
              </w:rPr>
              <w:t>、货物具备产品合格证。</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hint="eastAsia"/>
                <w:bCs/>
                <w:kern w:val="2"/>
                <w:sz w:val="21"/>
                <w:szCs w:val="22"/>
                <w:lang w:eastAsia="zh-CN"/>
              </w:rPr>
            </w:pPr>
            <w:r>
              <w:rPr>
                <w:rFonts w:ascii="Calibri" w:eastAsia="宋体" w:hAnsi="Calibri" w:hint="eastAsia"/>
                <w:bCs/>
                <w:kern w:val="2"/>
                <w:sz w:val="21"/>
                <w:szCs w:val="22"/>
                <w:lang w:eastAsia="zh-CN"/>
              </w:rPr>
              <w:t>3</w:t>
            </w:r>
          </w:p>
        </w:tc>
        <w:tc>
          <w:tcPr>
            <w:tcW w:w="16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hint="eastAsia"/>
                <w:bCs/>
                <w:kern w:val="2"/>
                <w:sz w:val="21"/>
                <w:szCs w:val="22"/>
                <w:lang w:eastAsia="zh-CN"/>
              </w:rPr>
            </w:pPr>
            <w:r>
              <w:rPr>
                <w:rFonts w:ascii="Calibri" w:eastAsia="宋体" w:hAnsi="Calibri" w:hint="eastAsia"/>
                <w:bCs/>
                <w:kern w:val="2"/>
                <w:sz w:val="21"/>
                <w:szCs w:val="22"/>
                <w:lang w:eastAsia="zh-CN"/>
              </w:rPr>
              <w:t>违约责任</w:t>
            </w:r>
          </w:p>
        </w:tc>
        <w:tc>
          <w:tcPr>
            <w:tcW w:w="6506"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eastAsia="宋体" w:hAnsi="宋体" w:cs="宋体" w:hint="eastAsia"/>
                <w:bCs/>
                <w:kern w:val="2"/>
                <w:sz w:val="21"/>
                <w:szCs w:val="21"/>
                <w:lang w:eastAsia="zh-CN"/>
              </w:rPr>
            </w:pPr>
            <w:r>
              <w:rPr>
                <w:rFonts w:ascii="Calibri" w:eastAsia="宋体" w:hAnsi="Calibri" w:hint="eastAsia"/>
                <w:kern w:val="2"/>
                <w:sz w:val="21"/>
                <w:szCs w:val="22"/>
                <w:lang w:eastAsia="zh-CN"/>
              </w:rPr>
              <w:t>3.1如中标供应商未按照投标文件中承诺的时间交货或提供服务，中标供应商应承担延期交货和延期服务的违约责任，并赔偿采购人因此造成的实际经济损失，采购人有权终止合同。</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hint="eastAsia"/>
                <w:bCs/>
                <w:kern w:val="2"/>
                <w:sz w:val="21"/>
                <w:szCs w:val="22"/>
                <w:lang w:eastAsia="zh-CN"/>
              </w:rPr>
            </w:pPr>
          </w:p>
        </w:tc>
        <w:tc>
          <w:tcPr>
            <w:tcW w:w="1620" w:type="dxa"/>
            <w:vMerge/>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hint="eastAsia"/>
                <w:bCs/>
                <w:kern w:val="2"/>
                <w:sz w:val="21"/>
                <w:szCs w:val="22"/>
                <w:lang w:eastAsia="zh-CN"/>
              </w:rPr>
            </w:pPr>
          </w:p>
        </w:tc>
        <w:tc>
          <w:tcPr>
            <w:tcW w:w="6506"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3.2</w:t>
            </w:r>
            <w:r>
              <w:rPr>
                <w:rFonts w:ascii="Calibri" w:eastAsia="宋体" w:hAnsi="Calibri" w:hint="eastAsia"/>
                <w:bCs/>
                <w:kern w:val="2"/>
                <w:sz w:val="21"/>
                <w:szCs w:val="21"/>
                <w:lang w:eastAsia="zh-CN"/>
              </w:rPr>
              <w:t>投标人中标后</w:t>
            </w:r>
            <w:r>
              <w:rPr>
                <w:rFonts w:ascii="宋体" w:eastAsia="宋体" w:hAnsi="宋体" w:cs="宋体" w:hint="eastAsia"/>
                <w:bCs/>
                <w:kern w:val="2"/>
                <w:sz w:val="21"/>
                <w:szCs w:val="21"/>
                <w:lang w:eastAsia="zh-CN"/>
              </w:rPr>
              <w:t>所交设备的品种、型号、规格、质量、功能、技术参数等方面不能实质性满足采购文件要求的，采购人有权拒绝收货，</w:t>
            </w:r>
            <w:r>
              <w:rPr>
                <w:rFonts w:ascii="Calibri" w:eastAsia="宋体" w:hAnsi="Calibri" w:hint="eastAsia"/>
                <w:bCs/>
                <w:kern w:val="2"/>
                <w:sz w:val="21"/>
                <w:szCs w:val="21"/>
                <w:lang w:eastAsia="zh-CN"/>
              </w:rPr>
              <w:t>投标人</w:t>
            </w:r>
            <w:r>
              <w:rPr>
                <w:rFonts w:ascii="宋体" w:eastAsia="宋体" w:hAnsi="宋体" w:cs="宋体" w:hint="eastAsia"/>
                <w:bCs/>
                <w:kern w:val="2"/>
                <w:sz w:val="21"/>
                <w:szCs w:val="21"/>
                <w:lang w:eastAsia="zh-CN"/>
              </w:rPr>
              <w:t>向采购人偿付项目采购金额【15】%（10%以上20%以下）的违约金并采取更换、补足等补救措施，致使逾期交付的，还应承担逾期交付的违约责任。</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hint="eastAsia"/>
                <w:bCs/>
                <w:kern w:val="2"/>
                <w:sz w:val="21"/>
                <w:szCs w:val="22"/>
                <w:lang w:eastAsia="zh-CN"/>
              </w:rPr>
            </w:pPr>
          </w:p>
        </w:tc>
        <w:tc>
          <w:tcPr>
            <w:tcW w:w="1620" w:type="dxa"/>
            <w:vMerge/>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hint="eastAsia"/>
                <w:bCs/>
                <w:kern w:val="2"/>
                <w:sz w:val="21"/>
                <w:szCs w:val="22"/>
                <w:lang w:eastAsia="zh-CN"/>
              </w:rPr>
            </w:pPr>
          </w:p>
        </w:tc>
        <w:tc>
          <w:tcPr>
            <w:tcW w:w="6506"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3.3</w:t>
            </w:r>
            <w:r>
              <w:rPr>
                <w:rFonts w:ascii="Calibri" w:eastAsia="宋体" w:hAnsi="Calibri" w:hint="eastAsia"/>
                <w:bCs/>
                <w:kern w:val="2"/>
                <w:sz w:val="21"/>
                <w:szCs w:val="21"/>
                <w:lang w:eastAsia="zh-CN"/>
              </w:rPr>
              <w:t>投标人中标后</w:t>
            </w:r>
            <w:r>
              <w:rPr>
                <w:rFonts w:ascii="宋体" w:eastAsia="宋体" w:hAnsi="宋体" w:cs="宋体" w:hint="eastAsia"/>
                <w:bCs/>
                <w:kern w:val="2"/>
                <w:sz w:val="21"/>
                <w:szCs w:val="21"/>
                <w:lang w:eastAsia="zh-CN"/>
              </w:rPr>
              <w:t>不能交付设备的，</w:t>
            </w:r>
            <w:r>
              <w:rPr>
                <w:rFonts w:ascii="Calibri" w:eastAsia="宋体" w:hAnsi="Calibri" w:hint="eastAsia"/>
                <w:bCs/>
                <w:kern w:val="2"/>
                <w:sz w:val="21"/>
                <w:szCs w:val="21"/>
                <w:lang w:eastAsia="zh-CN"/>
              </w:rPr>
              <w:t>投标人</w:t>
            </w:r>
            <w:r>
              <w:rPr>
                <w:rFonts w:ascii="宋体" w:eastAsia="宋体" w:hAnsi="宋体" w:cs="宋体" w:hint="eastAsia"/>
                <w:bCs/>
                <w:kern w:val="2"/>
                <w:sz w:val="21"/>
                <w:szCs w:val="21"/>
                <w:lang w:eastAsia="zh-CN"/>
              </w:rPr>
              <w:t>向采购人偿付项目采购金额【15】%（10%以上20%以下）的违约金。</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hint="eastAsia"/>
                <w:bCs/>
                <w:kern w:val="2"/>
                <w:sz w:val="21"/>
                <w:szCs w:val="22"/>
                <w:lang w:eastAsia="zh-CN"/>
              </w:rPr>
            </w:pPr>
          </w:p>
        </w:tc>
        <w:tc>
          <w:tcPr>
            <w:tcW w:w="1620" w:type="dxa"/>
            <w:vMerge/>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hint="eastAsia"/>
                <w:bCs/>
                <w:kern w:val="2"/>
                <w:sz w:val="21"/>
                <w:szCs w:val="22"/>
                <w:lang w:eastAsia="zh-CN"/>
              </w:rPr>
            </w:pPr>
          </w:p>
        </w:tc>
        <w:tc>
          <w:tcPr>
            <w:tcW w:w="6506"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3.4</w:t>
            </w:r>
            <w:r>
              <w:rPr>
                <w:rFonts w:ascii="Calibri" w:eastAsia="宋体" w:hAnsi="Calibri" w:hint="eastAsia"/>
                <w:bCs/>
                <w:kern w:val="2"/>
                <w:sz w:val="21"/>
                <w:szCs w:val="21"/>
                <w:lang w:eastAsia="zh-CN"/>
              </w:rPr>
              <w:t>投标人中标后</w:t>
            </w:r>
            <w:r>
              <w:rPr>
                <w:rFonts w:ascii="宋体" w:eastAsia="宋体" w:hAnsi="宋体" w:cs="宋体" w:hint="eastAsia"/>
                <w:bCs/>
                <w:kern w:val="2"/>
                <w:sz w:val="21"/>
                <w:szCs w:val="21"/>
                <w:lang w:eastAsia="zh-CN"/>
              </w:rPr>
              <w:t>逾期交付货物的，每逾期1天，</w:t>
            </w:r>
            <w:r>
              <w:rPr>
                <w:rFonts w:ascii="Calibri" w:eastAsia="宋体" w:hAnsi="Calibri" w:hint="eastAsia"/>
                <w:bCs/>
                <w:kern w:val="2"/>
                <w:sz w:val="21"/>
                <w:szCs w:val="21"/>
                <w:lang w:eastAsia="zh-CN"/>
              </w:rPr>
              <w:t>投标人</w:t>
            </w:r>
            <w:r>
              <w:rPr>
                <w:rFonts w:ascii="宋体" w:eastAsia="宋体" w:hAnsi="宋体" w:cs="宋体" w:hint="eastAsia"/>
                <w:bCs/>
                <w:kern w:val="2"/>
                <w:sz w:val="21"/>
                <w:szCs w:val="21"/>
                <w:lang w:eastAsia="zh-CN"/>
              </w:rPr>
              <w:t>向采购人偿付项目采购金额的【3】‰（1‰以上5‰以下）的违约金。如</w:t>
            </w:r>
            <w:r>
              <w:rPr>
                <w:rFonts w:ascii="Calibri" w:eastAsia="宋体" w:hAnsi="Calibri" w:hint="eastAsia"/>
                <w:bCs/>
                <w:kern w:val="2"/>
                <w:sz w:val="21"/>
                <w:szCs w:val="21"/>
                <w:lang w:eastAsia="zh-CN"/>
              </w:rPr>
              <w:t>投标人</w:t>
            </w:r>
            <w:r>
              <w:rPr>
                <w:rFonts w:ascii="宋体" w:eastAsia="宋体" w:hAnsi="宋体" w:cs="宋体" w:hint="eastAsia"/>
                <w:bCs/>
                <w:kern w:val="2"/>
                <w:sz w:val="21"/>
                <w:szCs w:val="21"/>
                <w:lang w:eastAsia="zh-CN"/>
              </w:rPr>
              <w:t>逾期交货达</w:t>
            </w:r>
            <w:r>
              <w:rPr>
                <w:rFonts w:ascii="宋体" w:eastAsia="宋体" w:hAnsi="宋体" w:cs="宋体" w:hint="eastAsia"/>
                <w:bCs/>
                <w:kern w:val="2"/>
                <w:sz w:val="21"/>
                <w:szCs w:val="21"/>
                <w:u w:val="single"/>
                <w:lang w:eastAsia="zh-CN"/>
              </w:rPr>
              <w:t>30</w:t>
            </w:r>
            <w:r>
              <w:rPr>
                <w:rFonts w:ascii="宋体" w:eastAsia="宋体" w:hAnsi="宋体" w:cs="宋体" w:hint="eastAsia"/>
                <w:bCs/>
                <w:kern w:val="2"/>
                <w:sz w:val="21"/>
                <w:szCs w:val="21"/>
                <w:lang w:eastAsia="zh-CN"/>
              </w:rPr>
              <w:t>天，采购人有权解除合同。</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hint="eastAsia"/>
                <w:bCs/>
                <w:kern w:val="2"/>
                <w:sz w:val="21"/>
                <w:szCs w:val="22"/>
                <w:lang w:eastAsia="zh-CN"/>
              </w:rPr>
            </w:pPr>
          </w:p>
        </w:tc>
        <w:tc>
          <w:tcPr>
            <w:tcW w:w="1620" w:type="dxa"/>
            <w:vMerge/>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bCs/>
                <w:kern w:val="2"/>
                <w:sz w:val="21"/>
                <w:szCs w:val="22"/>
                <w:lang w:eastAsia="zh-CN"/>
              </w:rPr>
            </w:pPr>
          </w:p>
        </w:tc>
        <w:tc>
          <w:tcPr>
            <w:tcW w:w="6506"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eastAsia="宋体" w:hAnsi="宋体" w:cs="宋体" w:hint="eastAsia"/>
                <w:b/>
                <w:kern w:val="2"/>
                <w:sz w:val="21"/>
                <w:szCs w:val="22"/>
                <w:lang w:eastAsia="zh-CN"/>
              </w:rPr>
            </w:pPr>
            <w:r>
              <w:rPr>
                <w:rFonts w:ascii="宋体" w:eastAsia="宋体" w:hAnsi="宋体" w:cs="宋体" w:hint="eastAsia"/>
                <w:bCs/>
                <w:kern w:val="2"/>
                <w:sz w:val="21"/>
                <w:szCs w:val="22"/>
                <w:lang w:eastAsia="zh-CN"/>
              </w:rPr>
              <w:t>3.5</w:t>
            </w:r>
            <w:r>
              <w:rPr>
                <w:rFonts w:ascii="Calibri" w:eastAsia="宋体" w:hAnsi="Calibri" w:hint="eastAsia"/>
                <w:bCs/>
                <w:kern w:val="2"/>
                <w:sz w:val="21"/>
                <w:szCs w:val="21"/>
                <w:lang w:eastAsia="zh-CN"/>
              </w:rPr>
              <w:t>投标人中标后，在其</w:t>
            </w:r>
            <w:r>
              <w:rPr>
                <w:rFonts w:ascii="宋体" w:eastAsia="宋体" w:hAnsi="宋体" w:cs="宋体" w:hint="eastAsia"/>
                <w:bCs/>
                <w:kern w:val="2"/>
                <w:sz w:val="21"/>
                <w:szCs w:val="22"/>
                <w:lang w:eastAsia="zh-CN"/>
              </w:rPr>
              <w:t>承诺的或国家规定的质量保证期内（取两者中最长的期限），如经</w:t>
            </w:r>
            <w:r>
              <w:rPr>
                <w:rFonts w:ascii="Calibri" w:eastAsia="宋体" w:hAnsi="Calibri" w:hint="eastAsia"/>
                <w:bCs/>
                <w:kern w:val="2"/>
                <w:sz w:val="21"/>
                <w:szCs w:val="21"/>
                <w:lang w:eastAsia="zh-CN"/>
              </w:rPr>
              <w:t>投标人</w:t>
            </w:r>
            <w:r>
              <w:rPr>
                <w:rFonts w:ascii="宋体" w:eastAsia="宋体" w:hAnsi="宋体" w:cs="宋体" w:hint="eastAsia"/>
                <w:bCs/>
                <w:kern w:val="2"/>
                <w:sz w:val="21"/>
                <w:szCs w:val="22"/>
                <w:lang w:eastAsia="zh-CN"/>
              </w:rPr>
              <w:t>两次维修或更换，货物仍不能达到采购文件要求及投标文件承诺的质量标准，采购人有权退货，</w:t>
            </w:r>
            <w:r>
              <w:rPr>
                <w:rFonts w:ascii="Calibri" w:eastAsia="宋体" w:hAnsi="Calibri" w:hint="eastAsia"/>
                <w:bCs/>
                <w:kern w:val="2"/>
                <w:sz w:val="21"/>
                <w:szCs w:val="21"/>
                <w:lang w:eastAsia="zh-CN"/>
              </w:rPr>
              <w:t>投标人</w:t>
            </w:r>
            <w:r>
              <w:rPr>
                <w:rFonts w:ascii="宋体" w:eastAsia="宋体" w:hAnsi="宋体" w:cs="宋体" w:hint="eastAsia"/>
                <w:bCs/>
                <w:kern w:val="2"/>
                <w:sz w:val="21"/>
                <w:szCs w:val="22"/>
                <w:lang w:eastAsia="zh-CN"/>
              </w:rPr>
              <w:t>应退回全部货款并赔偿采购人因此遭受的损失。</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hint="eastAsia"/>
                <w:bCs/>
                <w:kern w:val="2"/>
                <w:sz w:val="21"/>
                <w:szCs w:val="22"/>
                <w:lang w:eastAsia="zh-CN"/>
              </w:rPr>
            </w:pPr>
          </w:p>
        </w:tc>
        <w:tc>
          <w:tcPr>
            <w:tcW w:w="1620" w:type="dxa"/>
            <w:vMerge/>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bCs/>
                <w:kern w:val="2"/>
                <w:sz w:val="21"/>
                <w:szCs w:val="22"/>
                <w:lang w:eastAsia="zh-CN"/>
              </w:rPr>
            </w:pPr>
          </w:p>
        </w:tc>
        <w:tc>
          <w:tcPr>
            <w:tcW w:w="6506"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eastAsia="宋体" w:hAnsi="宋体" w:cs="宋体" w:hint="eastAsia"/>
                <w:b/>
                <w:kern w:val="2"/>
                <w:sz w:val="21"/>
                <w:szCs w:val="22"/>
                <w:lang w:eastAsia="zh-CN"/>
              </w:rPr>
            </w:pPr>
            <w:r>
              <w:rPr>
                <w:rFonts w:ascii="宋体" w:eastAsia="宋体" w:hAnsi="宋体" w:cs="宋体" w:hint="eastAsia"/>
                <w:bCs/>
                <w:kern w:val="2"/>
                <w:sz w:val="21"/>
                <w:szCs w:val="22"/>
                <w:lang w:eastAsia="zh-CN"/>
              </w:rPr>
              <w:t>3.6</w:t>
            </w:r>
            <w:r>
              <w:rPr>
                <w:rFonts w:ascii="Calibri" w:eastAsia="宋体" w:hAnsi="Calibri" w:hint="eastAsia"/>
                <w:bCs/>
                <w:kern w:val="2"/>
                <w:sz w:val="21"/>
                <w:szCs w:val="21"/>
                <w:lang w:eastAsia="zh-CN"/>
              </w:rPr>
              <w:t>投标人中标后</w:t>
            </w:r>
            <w:r>
              <w:rPr>
                <w:rFonts w:ascii="宋体" w:eastAsia="宋体" w:hAnsi="宋体" w:cs="宋体" w:hint="eastAsia"/>
                <w:bCs/>
                <w:kern w:val="2"/>
                <w:sz w:val="21"/>
                <w:szCs w:val="22"/>
                <w:lang w:eastAsia="zh-CN"/>
              </w:rPr>
              <w:t>在承担上述一项或多项违约责任后，仍应继续履行合同规定的义务（采购人解除合同的除外）。采购人未能及时追究</w:t>
            </w:r>
            <w:r>
              <w:rPr>
                <w:rFonts w:ascii="Calibri" w:eastAsia="宋体" w:hAnsi="Calibri" w:hint="eastAsia"/>
                <w:bCs/>
                <w:kern w:val="2"/>
                <w:sz w:val="21"/>
                <w:szCs w:val="21"/>
                <w:lang w:eastAsia="zh-CN"/>
              </w:rPr>
              <w:t>投标人</w:t>
            </w:r>
            <w:r>
              <w:rPr>
                <w:rFonts w:ascii="宋体" w:eastAsia="宋体" w:hAnsi="宋体" w:cs="宋体" w:hint="eastAsia"/>
                <w:bCs/>
                <w:kern w:val="2"/>
                <w:sz w:val="21"/>
                <w:szCs w:val="22"/>
                <w:lang w:eastAsia="zh-CN"/>
              </w:rPr>
              <w:t>的任何一项违约责任并不表明采购人放弃追究</w:t>
            </w:r>
            <w:r>
              <w:rPr>
                <w:rFonts w:ascii="Calibri" w:eastAsia="宋体" w:hAnsi="Calibri" w:hint="eastAsia"/>
                <w:bCs/>
                <w:kern w:val="2"/>
                <w:sz w:val="21"/>
                <w:szCs w:val="21"/>
                <w:lang w:eastAsia="zh-CN"/>
              </w:rPr>
              <w:t>投标人</w:t>
            </w:r>
            <w:r>
              <w:rPr>
                <w:rFonts w:ascii="宋体" w:eastAsia="宋体" w:hAnsi="宋体" w:cs="宋体" w:hint="eastAsia"/>
                <w:bCs/>
                <w:kern w:val="2"/>
                <w:sz w:val="21"/>
                <w:szCs w:val="22"/>
                <w:lang w:eastAsia="zh-CN"/>
              </w:rPr>
              <w:t>该项或其他违约责任。</w:t>
            </w:r>
          </w:p>
        </w:tc>
      </w:tr>
      <w:tr>
        <w:tblPrEx>
          <w:tblW w:w="5000" w:type="pct"/>
          <w:tblInd w:w="108" w:type="dxa"/>
          <w:tblLayout w:type="fixed"/>
          <w:tblCellMar>
            <w:top w:w="0" w:type="dxa"/>
            <w:left w:w="108" w:type="dxa"/>
            <w:bottom w:w="0" w:type="dxa"/>
            <w:right w:w="108" w:type="dxa"/>
          </w:tblCellMar>
        </w:tblPrEx>
        <w:trPr>
          <w:trHeight w:val="350"/>
        </w:trPr>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hint="eastAsia"/>
                <w:bCs/>
                <w:kern w:val="2"/>
                <w:sz w:val="21"/>
                <w:szCs w:val="22"/>
                <w:lang w:eastAsia="zh-CN"/>
              </w:rPr>
            </w:pPr>
            <w:r>
              <w:rPr>
                <w:rFonts w:ascii="Calibri" w:eastAsia="宋体" w:hAnsi="Calibri" w:hint="eastAsia"/>
                <w:bCs/>
                <w:kern w:val="2"/>
                <w:sz w:val="21"/>
                <w:szCs w:val="22"/>
                <w:lang w:eastAsia="zh-CN"/>
              </w:rPr>
              <w:t>4</w:t>
            </w: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hint="eastAsia"/>
                <w:bCs/>
                <w:kern w:val="2"/>
                <w:sz w:val="21"/>
                <w:szCs w:val="22"/>
                <w:lang w:eastAsia="zh-CN"/>
              </w:rPr>
            </w:pPr>
            <w:r>
              <w:rPr>
                <w:rFonts w:ascii="Calibri" w:eastAsia="宋体" w:hAnsi="Calibri" w:hint="eastAsia"/>
                <w:bCs/>
                <w:kern w:val="2"/>
                <w:sz w:val="21"/>
                <w:szCs w:val="22"/>
                <w:lang w:eastAsia="zh-CN"/>
              </w:rPr>
              <w:t>其他</w:t>
            </w:r>
          </w:p>
        </w:tc>
        <w:tc>
          <w:tcPr>
            <w:tcW w:w="6506"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投标人</w:t>
            </w:r>
            <w:r>
              <w:rPr>
                <w:rFonts w:ascii="Calibri" w:eastAsia="宋体" w:hAnsi="Calibri" w:hint="eastAsia"/>
                <w:bCs/>
                <w:kern w:val="2"/>
                <w:sz w:val="21"/>
                <w:szCs w:val="21"/>
                <w:lang w:eastAsia="zh-CN"/>
              </w:rPr>
              <w:t>中标后</w:t>
            </w:r>
            <w:r>
              <w:rPr>
                <w:rFonts w:ascii="宋体" w:eastAsia="宋体" w:hAnsi="宋体" w:cs="宋体" w:hint="eastAsia"/>
                <w:bCs/>
                <w:kern w:val="2"/>
                <w:sz w:val="21"/>
                <w:szCs w:val="22"/>
                <w:lang w:eastAsia="zh-CN"/>
              </w:rPr>
              <w:t>应按其投标文件中的承诺，进行其他售后服务工作。</w:t>
            </w:r>
          </w:p>
        </w:tc>
      </w:tr>
      <w:tr>
        <w:tblPrEx>
          <w:tblW w:w="5000" w:type="pct"/>
          <w:tblInd w:w="108" w:type="dxa"/>
          <w:tblLayout w:type="fixed"/>
          <w:tblCellMar>
            <w:top w:w="0" w:type="dxa"/>
            <w:left w:w="108" w:type="dxa"/>
            <w:bottom w:w="0" w:type="dxa"/>
            <w:right w:w="108" w:type="dxa"/>
          </w:tblCellMar>
        </w:tblPrEx>
        <w:trPr>
          <w:trHeight w:val="90"/>
        </w:trPr>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hint="eastAsia"/>
                <w:bCs/>
                <w:kern w:val="2"/>
                <w:sz w:val="21"/>
                <w:szCs w:val="22"/>
                <w:lang w:eastAsia="zh-CN"/>
              </w:rPr>
            </w:pPr>
            <w:r>
              <w:rPr>
                <w:rFonts w:ascii="Calibri" w:eastAsia="宋体" w:hAnsi="Calibri" w:hint="eastAsia"/>
                <w:bCs/>
                <w:kern w:val="2"/>
                <w:sz w:val="21"/>
                <w:szCs w:val="22"/>
                <w:lang w:eastAsia="zh-CN"/>
              </w:rPr>
              <w:t>5</w:t>
            </w: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hint="eastAsia"/>
                <w:bCs/>
                <w:kern w:val="2"/>
                <w:sz w:val="21"/>
                <w:szCs w:val="22"/>
                <w:lang w:eastAsia="zh-CN"/>
              </w:rPr>
            </w:pPr>
            <w:r>
              <w:rPr>
                <w:rFonts w:ascii="Calibri" w:eastAsia="宋体" w:hAnsi="Calibri" w:hint="eastAsia"/>
                <w:bCs/>
                <w:kern w:val="2"/>
                <w:sz w:val="21"/>
                <w:szCs w:val="22"/>
                <w:lang w:eastAsia="zh-CN"/>
              </w:rPr>
              <w:t>付款方式</w:t>
            </w:r>
          </w:p>
        </w:tc>
        <w:tc>
          <w:tcPr>
            <w:tcW w:w="6506"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1</w:t>
            </w:r>
            <w:r>
              <w:rPr>
                <w:rFonts w:ascii="宋体" w:eastAsia="宋体" w:hAnsi="宋体" w:cs="宋体" w:hint="eastAsia"/>
                <w:bCs/>
                <w:kern w:val="2"/>
                <w:sz w:val="21"/>
                <w:szCs w:val="22"/>
                <w:lang w:eastAsia="zh-CN"/>
              </w:rPr>
              <w:t>、全部货物送到采购人指定地点、完成安装并验收合格后 10 个工作日内，采购人向中标供应商支付合同总价【100】%的款项；</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2</w:t>
            </w:r>
            <w:r>
              <w:rPr>
                <w:rFonts w:ascii="宋体" w:eastAsia="宋体" w:hAnsi="宋体" w:cs="宋体" w:hint="eastAsia"/>
                <w:bCs/>
                <w:kern w:val="2"/>
                <w:sz w:val="21"/>
                <w:szCs w:val="22"/>
                <w:lang w:eastAsia="zh-CN"/>
              </w:rPr>
              <w:t>、因财政资金拨款未到位而导致甲方未在约定期限内支付合同费用的，中标供应商不得要求采购人承担逾期付款的违约责任。每次付款前，中标供应商应需先提供相应额度的正规发票给采购人，以便办理支付手续。</w:t>
            </w:r>
          </w:p>
        </w:tc>
      </w:tr>
      <w:tr>
        <w:tblPrEx>
          <w:tblW w:w="5000" w:type="pct"/>
          <w:tblInd w:w="108" w:type="dxa"/>
          <w:tblLayout w:type="fixed"/>
          <w:tblCellMar>
            <w:top w:w="0" w:type="dxa"/>
            <w:left w:w="108" w:type="dxa"/>
            <w:bottom w:w="0" w:type="dxa"/>
            <w:right w:w="108" w:type="dxa"/>
          </w:tblCellMar>
        </w:tblPrEx>
        <w:trPr>
          <w:trHeight w:val="350"/>
        </w:trPr>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hint="eastAsia"/>
                <w:bCs/>
                <w:kern w:val="2"/>
                <w:sz w:val="21"/>
                <w:szCs w:val="22"/>
                <w:lang w:eastAsia="zh-CN"/>
              </w:rPr>
            </w:pPr>
            <w:r>
              <w:rPr>
                <w:rFonts w:ascii="Calibri" w:eastAsia="宋体" w:hAnsi="Calibri" w:hint="eastAsia"/>
                <w:bCs/>
                <w:kern w:val="2"/>
                <w:sz w:val="21"/>
                <w:szCs w:val="22"/>
                <w:lang w:eastAsia="zh-CN"/>
              </w:rPr>
              <w:t>6</w:t>
            </w: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Calibri" w:eastAsia="宋体" w:hAnsi="Calibri" w:hint="eastAsia"/>
                <w:bCs/>
                <w:kern w:val="2"/>
                <w:sz w:val="21"/>
                <w:szCs w:val="22"/>
                <w:lang w:eastAsia="zh-CN"/>
              </w:rPr>
            </w:pPr>
            <w:r>
              <w:rPr>
                <w:rFonts w:ascii="Calibri" w:eastAsia="宋体" w:hAnsi="Calibri" w:hint="eastAsia"/>
                <w:bCs/>
                <w:kern w:val="2"/>
                <w:sz w:val="21"/>
                <w:szCs w:val="22"/>
                <w:lang w:eastAsia="zh-CN"/>
              </w:rPr>
              <w:t>投标报价要求</w:t>
            </w:r>
          </w:p>
        </w:tc>
        <w:tc>
          <w:tcPr>
            <w:tcW w:w="6506"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1、本项目服务费采用包干制，应包括服务成本、法定税费和利润。由投标人根据采购文件所提供的资料自行测算投标报价；一经中标，投标报价总价作为中标单位与采购单位签定的合同金额，合同期限内不做调整；</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审委员会应将其作为无效投标处理。若评审小组对是否须由投标人作出报价合理性说明，以及书面说明是否采纳等判断不一致的，按照“少数服从多数”的原则确定评审小组的意见。</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3、投标人的投标报价不得超过财政预算限额，如设投标最高限价的，报价不得超过最高限价；</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4、投标人的投标报价，应是本项目采购范围和采购文件及合同条款上所列的各项内容中所述的全部，不得以任何理由予以重复，并以投标人在中提出的综合单价或总价为依据；</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5、除非采购代理机构通过修改采购文件予以更正，否则，投标人应毫无例外地按采购文件所列的清单中项目和数量填报综合单价和合价。投标人未填综合单价或合价的项目，视作该项费用已包括在其它有价款的综合单价或合价内；</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7、投标人应先到项目地点踏勘以充分了解项目的位置、情况、道路及任何其它足以影响投标报价的情况，任何因忽视或误解项目情况而导致的索赔或服务期限延长申请将不获批准；</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8、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tc>
      </w:tr>
    </w:tbl>
    <w:p>
      <w:pPr>
        <w:spacing w:line="360" w:lineRule="auto"/>
        <w:rPr>
          <w:rFonts w:ascii="Calibri" w:eastAsia="宋体" w:hAnsi="Calibri" w:hint="eastAsia"/>
          <w:b/>
          <w:bCs/>
          <w:kern w:val="2"/>
          <w:sz w:val="21"/>
          <w:szCs w:val="21"/>
          <w:lang w:eastAsia="zh-CN"/>
        </w:rPr>
      </w:pPr>
    </w:p>
    <w:p>
      <w:pPr>
        <w:widowControl w:val="0"/>
        <w:jc w:val="both"/>
        <w:rPr>
          <w:rFonts w:ascii="Calibri" w:eastAsia="宋体" w:hAnsi="Calibri" w:cs="Calibri" w:hint="eastAsia"/>
          <w:i/>
          <w:iCs/>
          <w:color w:val="000000"/>
          <w:kern w:val="2"/>
          <w:sz w:val="22"/>
          <w:szCs w:val="22"/>
          <w:lang w:eastAsia="zh-CN"/>
        </w:rPr>
      </w:pPr>
    </w:p>
    <w:p>
      <w:pPr>
        <w:widowControl w:val="0"/>
        <w:ind w:firstLine="420" w:firstLineChars="200"/>
        <w:jc w:val="both"/>
        <w:rPr>
          <w:rFonts w:ascii="Calibri" w:eastAsia="宋体" w:hAnsi="Calibri" w:hint="eastAsia"/>
          <w:b/>
          <w:kern w:val="2"/>
          <w:sz w:val="21"/>
          <w:szCs w:val="21"/>
          <w:lang w:eastAsia="zh-CN"/>
        </w:rPr>
      </w:pPr>
    </w:p>
    <w:p>
      <w:pPr>
        <w:keepNext/>
        <w:keepLines/>
        <w:widowControl w:val="0"/>
        <w:numPr>
          <w:ilvl w:val="0"/>
          <w:numId w:val="0"/>
        </w:numPr>
        <w:tabs>
          <w:tab w:val="left" w:pos="1680"/>
        </w:tabs>
        <w:spacing w:before="260" w:after="60" w:afterLines="25"/>
        <w:ind w:left="0" w:firstLine="0"/>
        <w:jc w:val="center"/>
        <w:outlineLvl w:val="2"/>
        <w:rPr>
          <w:rFonts w:ascii="Arial" w:eastAsia="宋体" w:hAnsi="Arial" w:hint="eastAsia"/>
          <w:b/>
          <w:kern w:val="2"/>
          <w:sz w:val="32"/>
          <w:szCs w:val="32"/>
          <w:lang w:eastAsia="zh-CN"/>
        </w:rPr>
      </w:pPr>
      <w:r>
        <w:rPr>
          <w:rFonts w:ascii="Arial" w:eastAsia="宋体" w:hAnsi="Arial" w:hint="eastAsia"/>
          <w:b/>
          <w:kern w:val="2"/>
          <w:sz w:val="32"/>
          <w:szCs w:val="32"/>
          <w:lang w:eastAsia="zh-CN"/>
        </w:rPr>
        <w:t>五、技术要求</w:t>
      </w:r>
    </w:p>
    <w:p>
      <w:pPr>
        <w:widowControl w:val="0"/>
        <w:jc w:val="both"/>
        <w:rPr>
          <w:rFonts w:ascii="Calibri" w:eastAsia="宋体" w:hAnsi="Calibri" w:hint="eastAsia"/>
          <w:b/>
          <w:color w:val="000000"/>
          <w:kern w:val="2"/>
          <w:sz w:val="21"/>
          <w:szCs w:val="21"/>
          <w:lang w:eastAsia="zh-CN"/>
        </w:rPr>
      </w:pPr>
      <w:r>
        <w:rPr>
          <w:rFonts w:ascii="Calibri" w:eastAsia="宋体" w:hAnsi="Calibri" w:cstheme="minorBidi" w:hint="eastAsia"/>
          <w:b/>
          <w:color w:val="000000"/>
          <w:kern w:val="2"/>
          <w:sz w:val="21"/>
          <w:szCs w:val="21"/>
          <w:lang w:eastAsia="zh-CN"/>
        </w:rPr>
        <w:t>说明：</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w:t>
      </w:r>
      <w:r>
        <w:rPr>
          <w:rFonts w:ascii="宋体" w:eastAsia="宋体" w:hAnsi="宋体" w:cs="宋体" w:hint="eastAsia"/>
          <w:bCs/>
          <w:kern w:val="2"/>
          <w:sz w:val="21"/>
          <w:szCs w:val="22"/>
          <w:lang w:eastAsia="zh-CN"/>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highlight w:val="yellow"/>
          <w:lang w:eastAsia="zh-CN"/>
        </w:rPr>
      </w:pPr>
      <w:r>
        <w:rPr>
          <w:rFonts w:ascii="宋体" w:eastAsia="宋体" w:hAnsi="宋体" w:cs="宋体" w:hint="eastAsia"/>
          <w:bCs/>
          <w:kern w:val="2"/>
          <w:sz w:val="21"/>
          <w:szCs w:val="21"/>
          <w:lang w:eastAsia="zh-CN"/>
        </w:rPr>
        <w:t>2、带★号条款为不可负偏离条款，不作为评分准则中的评分内容，如未响应或出现负偏离的，将作投标无效处理。带▲号参数为重要参数，其他参数（非▲号参数）为普通参数，如出现负偏离，将按照评分准则做扣分处理。如注明要求提供相关佐证材料的，需以佐证材料作为是否偏离的依据。</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60"/>
        <w:gridCol w:w="1937"/>
        <w:gridCol w:w="585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jc w:val="center"/>
        </w:trPr>
        <w:tc>
          <w:tcPr>
            <w:tcW w:w="1081" w:type="dxa"/>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序号</w:t>
            </w:r>
          </w:p>
        </w:tc>
        <w:tc>
          <w:tcPr>
            <w:tcW w:w="1980" w:type="dxa"/>
            <w:noWrap w:val="0"/>
            <w:vAlign w:val="center"/>
          </w:tcPr>
          <w:p>
            <w:pPr>
              <w:keepNext w:val="0"/>
              <w:keepLines w:val="0"/>
              <w:pageBreakBefore w:val="0"/>
              <w:widowControl/>
              <w:kinsoku/>
              <w:wordWrap/>
              <w:overflowPunct/>
              <w:topLinePunct w:val="0"/>
              <w:autoSpaceDE/>
              <w:autoSpaceDN/>
              <w:bidi w:val="0"/>
              <w:adjustRightInd/>
              <w:spacing w:line="312" w:lineRule="auto"/>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货物名称</w:t>
            </w:r>
          </w:p>
        </w:tc>
        <w:tc>
          <w:tcPr>
            <w:tcW w:w="6003" w:type="dxa"/>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招标技术要求</w:t>
            </w:r>
          </w:p>
        </w:tc>
      </w:tr>
      <w:tr>
        <w:tblPrEx>
          <w:tblW w:w="5000" w:type="pct"/>
          <w:jc w:val="center"/>
          <w:tblLayout w:type="fixed"/>
          <w:tblCellMar>
            <w:top w:w="0" w:type="dxa"/>
            <w:left w:w="108" w:type="dxa"/>
            <w:bottom w:w="0" w:type="dxa"/>
            <w:right w:w="108" w:type="dxa"/>
          </w:tblCellMar>
        </w:tblPrEx>
        <w:trPr>
          <w:trHeight w:val="450"/>
          <w:jc w:val="center"/>
        </w:trPr>
        <w:tc>
          <w:tcPr>
            <w:tcW w:w="1081" w:type="dxa"/>
            <w:vMerge w:val="restart"/>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r>
              <w:rPr>
                <w:rFonts w:ascii="宋体" w:eastAsia="宋体" w:hAnsi="宋体" w:cs="宋体" w:hint="eastAsia"/>
                <w:b/>
                <w:sz w:val="21"/>
                <w:szCs w:val="21"/>
              </w:rPr>
              <w:t>1</w:t>
            </w:r>
          </w:p>
        </w:tc>
        <w:tc>
          <w:tcPr>
            <w:tcW w:w="1980" w:type="dxa"/>
            <w:vMerge w:val="restart"/>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r>
              <w:rPr>
                <w:rFonts w:ascii="宋体" w:eastAsia="宋体" w:hAnsi="宋体" w:cs="宋体" w:hint="eastAsia"/>
                <w:sz w:val="21"/>
                <w:szCs w:val="21"/>
              </w:rPr>
              <w:t>单人床</w:t>
            </w:r>
          </w:p>
        </w:tc>
        <w:tc>
          <w:tcPr>
            <w:tcW w:w="6003" w:type="dxa"/>
            <w:noWrap w:val="0"/>
            <w:vAlign w:val="top"/>
          </w:tcPr>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b/>
                <w:sz w:val="21"/>
                <w:szCs w:val="21"/>
              </w:rPr>
            </w:pPr>
            <w:r>
              <w:rPr>
                <w:rFonts w:ascii="宋体" w:eastAsia="宋体" w:hAnsi="宋体" w:cs="宋体" w:hint="eastAsia"/>
                <w:sz w:val="21"/>
                <w:szCs w:val="21"/>
              </w:rPr>
              <w:t>1.规格：（W2000*D1200）mm±5%，实际尺寸以现场测量为准；</w:t>
            </w:r>
          </w:p>
        </w:tc>
      </w:tr>
      <w:tr>
        <w:tblPrEx>
          <w:tblW w:w="5000" w:type="pct"/>
          <w:jc w:val="center"/>
          <w:tblLayout w:type="fixed"/>
          <w:tblCellMar>
            <w:top w:w="0" w:type="dxa"/>
            <w:left w:w="108" w:type="dxa"/>
            <w:bottom w:w="0" w:type="dxa"/>
            <w:right w:w="108" w:type="dxa"/>
          </w:tblCellMar>
        </w:tblPrEx>
        <w:trPr>
          <w:trHeight w:val="450"/>
          <w:jc w:val="center"/>
        </w:trPr>
        <w:tc>
          <w:tcPr>
            <w:tcW w:w="1081" w:type="dxa"/>
            <w:vMerge/>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p>
        </w:tc>
        <w:tc>
          <w:tcPr>
            <w:tcW w:w="1980" w:type="dxa"/>
            <w:vMerge/>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p>
        </w:tc>
        <w:tc>
          <w:tcPr>
            <w:tcW w:w="6003" w:type="dxa"/>
            <w:noWrap w:val="0"/>
            <w:vAlign w:val="top"/>
          </w:tcPr>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b/>
                <w:sz w:val="21"/>
                <w:szCs w:val="21"/>
              </w:rPr>
            </w:pPr>
            <w:r>
              <w:rPr>
                <w:rFonts w:ascii="宋体" w:eastAsia="宋体" w:hAnsi="宋体" w:cs="宋体" w:hint="eastAsia"/>
                <w:sz w:val="21"/>
                <w:szCs w:val="21"/>
              </w:rPr>
              <w:t>2.床头板：采用国标不低于E0级环保刨花板，三聚氰胺饰面；</w:t>
            </w:r>
          </w:p>
        </w:tc>
      </w:tr>
      <w:tr>
        <w:tblPrEx>
          <w:tblW w:w="5000" w:type="pct"/>
          <w:jc w:val="center"/>
          <w:tblLayout w:type="fixed"/>
          <w:tblCellMar>
            <w:top w:w="0" w:type="dxa"/>
            <w:left w:w="108" w:type="dxa"/>
            <w:bottom w:w="0" w:type="dxa"/>
            <w:right w:w="108" w:type="dxa"/>
          </w:tblCellMar>
        </w:tblPrEx>
        <w:trPr>
          <w:trHeight w:val="450"/>
          <w:jc w:val="center"/>
        </w:trPr>
        <w:tc>
          <w:tcPr>
            <w:tcW w:w="1081" w:type="dxa"/>
            <w:vMerge/>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p>
        </w:tc>
        <w:tc>
          <w:tcPr>
            <w:tcW w:w="1980" w:type="dxa"/>
            <w:vMerge/>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p>
        </w:tc>
        <w:tc>
          <w:tcPr>
            <w:tcW w:w="6003" w:type="dxa"/>
            <w:noWrap w:val="0"/>
            <w:vAlign w:val="top"/>
          </w:tcPr>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b/>
                <w:sz w:val="21"/>
                <w:szCs w:val="21"/>
              </w:rPr>
            </w:pPr>
            <w:r>
              <w:rPr>
                <w:rFonts w:ascii="宋体" w:eastAsia="宋体" w:hAnsi="宋体" w:cs="宋体" w:hint="eastAsia"/>
                <w:sz w:val="21"/>
                <w:szCs w:val="21"/>
              </w:rPr>
              <w:t>3.床立柱：型材W80mm（±10mm）*D50mm（±10mm）*厚度1.2mm（±0.2mm）；</w:t>
            </w:r>
          </w:p>
        </w:tc>
      </w:tr>
      <w:tr>
        <w:tblPrEx>
          <w:tblW w:w="5000" w:type="pct"/>
          <w:jc w:val="center"/>
          <w:tblLayout w:type="fixed"/>
          <w:tblCellMar>
            <w:top w:w="0" w:type="dxa"/>
            <w:left w:w="108" w:type="dxa"/>
            <w:bottom w:w="0" w:type="dxa"/>
            <w:right w:w="108" w:type="dxa"/>
          </w:tblCellMar>
        </w:tblPrEx>
        <w:trPr>
          <w:trHeight w:val="450"/>
          <w:jc w:val="center"/>
        </w:trPr>
        <w:tc>
          <w:tcPr>
            <w:tcW w:w="1081" w:type="dxa"/>
            <w:vMerge/>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p>
        </w:tc>
        <w:tc>
          <w:tcPr>
            <w:tcW w:w="1980" w:type="dxa"/>
            <w:vMerge/>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p>
        </w:tc>
        <w:tc>
          <w:tcPr>
            <w:tcW w:w="6003" w:type="dxa"/>
            <w:noWrap w:val="0"/>
            <w:vAlign w:val="top"/>
          </w:tcPr>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b/>
                <w:sz w:val="21"/>
                <w:szCs w:val="21"/>
              </w:rPr>
            </w:pPr>
            <w:r>
              <w:rPr>
                <w:rFonts w:ascii="宋体" w:eastAsia="宋体" w:hAnsi="宋体" w:cs="宋体" w:hint="eastAsia"/>
                <w:sz w:val="21"/>
                <w:szCs w:val="21"/>
              </w:rPr>
              <w:t>4.长横梁：型材W80mm（±10mm）*D30mm（±10mm）*厚度1.2mm（±0.2mm）；</w:t>
            </w:r>
          </w:p>
        </w:tc>
      </w:tr>
      <w:tr>
        <w:tblPrEx>
          <w:tblW w:w="5000" w:type="pct"/>
          <w:jc w:val="center"/>
          <w:tblLayout w:type="fixed"/>
          <w:tblCellMar>
            <w:top w:w="0" w:type="dxa"/>
            <w:left w:w="108" w:type="dxa"/>
            <w:bottom w:w="0" w:type="dxa"/>
            <w:right w:w="108" w:type="dxa"/>
          </w:tblCellMar>
        </w:tblPrEx>
        <w:trPr>
          <w:trHeight w:val="450"/>
          <w:jc w:val="center"/>
        </w:trPr>
        <w:tc>
          <w:tcPr>
            <w:tcW w:w="1081" w:type="dxa"/>
            <w:vMerge/>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p>
        </w:tc>
        <w:tc>
          <w:tcPr>
            <w:tcW w:w="1980" w:type="dxa"/>
            <w:vMerge/>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p>
        </w:tc>
        <w:tc>
          <w:tcPr>
            <w:tcW w:w="6003" w:type="dxa"/>
            <w:noWrap w:val="0"/>
            <w:vAlign w:val="top"/>
          </w:tcPr>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b/>
                <w:sz w:val="21"/>
                <w:szCs w:val="21"/>
              </w:rPr>
            </w:pPr>
            <w:r>
              <w:rPr>
                <w:rFonts w:ascii="宋体" w:eastAsia="宋体" w:hAnsi="宋体" w:cs="宋体" w:hint="eastAsia"/>
                <w:sz w:val="21"/>
                <w:szCs w:val="21"/>
              </w:rPr>
              <w:t>5.短横梁：型材W80mm（±10mm）*D39mm（±10mm）*厚度1.2mm（±0.2mm）；</w:t>
            </w:r>
          </w:p>
        </w:tc>
      </w:tr>
      <w:tr>
        <w:tblPrEx>
          <w:tblW w:w="5000" w:type="pct"/>
          <w:jc w:val="center"/>
          <w:tblLayout w:type="fixed"/>
          <w:tblCellMar>
            <w:top w:w="0" w:type="dxa"/>
            <w:left w:w="108" w:type="dxa"/>
            <w:bottom w:w="0" w:type="dxa"/>
            <w:right w:w="108" w:type="dxa"/>
          </w:tblCellMar>
        </w:tblPrEx>
        <w:trPr>
          <w:trHeight w:val="450"/>
          <w:jc w:val="center"/>
        </w:trPr>
        <w:tc>
          <w:tcPr>
            <w:tcW w:w="1081" w:type="dxa"/>
            <w:vMerge/>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p>
        </w:tc>
        <w:tc>
          <w:tcPr>
            <w:tcW w:w="1980" w:type="dxa"/>
            <w:vMerge/>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p>
        </w:tc>
        <w:tc>
          <w:tcPr>
            <w:tcW w:w="6003" w:type="dxa"/>
            <w:noWrap w:val="0"/>
            <w:vAlign w:val="top"/>
          </w:tcPr>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b/>
                <w:sz w:val="21"/>
                <w:szCs w:val="21"/>
              </w:rPr>
            </w:pPr>
            <w:r>
              <w:rPr>
                <w:rFonts w:ascii="宋体" w:eastAsia="宋体" w:hAnsi="宋体" w:cs="宋体" w:hint="eastAsia"/>
                <w:sz w:val="21"/>
                <w:szCs w:val="21"/>
              </w:rPr>
              <w:t>6.床挂件：钢板W110mm（±10mm）*D35mm（±10mm）*厚度2.5mm（±0.2mm）；</w:t>
            </w:r>
          </w:p>
        </w:tc>
      </w:tr>
      <w:tr>
        <w:tblPrEx>
          <w:tblW w:w="5000" w:type="pct"/>
          <w:jc w:val="center"/>
          <w:tblLayout w:type="fixed"/>
          <w:tblCellMar>
            <w:top w:w="0" w:type="dxa"/>
            <w:left w:w="108" w:type="dxa"/>
            <w:bottom w:w="0" w:type="dxa"/>
            <w:right w:w="108" w:type="dxa"/>
          </w:tblCellMar>
        </w:tblPrEx>
        <w:trPr>
          <w:trHeight w:val="450"/>
          <w:jc w:val="center"/>
        </w:trPr>
        <w:tc>
          <w:tcPr>
            <w:tcW w:w="1081" w:type="dxa"/>
            <w:vMerge/>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p>
        </w:tc>
        <w:tc>
          <w:tcPr>
            <w:tcW w:w="1980" w:type="dxa"/>
            <w:vMerge/>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p>
        </w:tc>
        <w:tc>
          <w:tcPr>
            <w:tcW w:w="6003" w:type="dxa"/>
            <w:noWrap w:val="0"/>
            <w:vAlign w:val="top"/>
          </w:tcPr>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b/>
                <w:sz w:val="21"/>
                <w:szCs w:val="21"/>
              </w:rPr>
            </w:pPr>
            <w:r>
              <w:rPr>
                <w:rFonts w:ascii="宋体" w:eastAsia="宋体" w:hAnsi="宋体" w:cs="宋体" w:hint="eastAsia"/>
                <w:sz w:val="21"/>
                <w:szCs w:val="21"/>
              </w:rPr>
              <w:t>7.床支撑：W35mm（±10mm）*D20mm（±10mm）*厚度0.9mm（±0.2mm）。</w:t>
            </w:r>
          </w:p>
        </w:tc>
      </w:tr>
      <w:tr>
        <w:tblPrEx>
          <w:tblW w:w="5000" w:type="pct"/>
          <w:jc w:val="center"/>
          <w:tblLayout w:type="fixed"/>
          <w:tblCellMar>
            <w:top w:w="0" w:type="dxa"/>
            <w:left w:w="108" w:type="dxa"/>
            <w:bottom w:w="0" w:type="dxa"/>
            <w:right w:w="108" w:type="dxa"/>
          </w:tblCellMar>
        </w:tblPrEx>
        <w:trPr>
          <w:trHeight w:val="450"/>
          <w:jc w:val="center"/>
        </w:trPr>
        <w:tc>
          <w:tcPr>
            <w:tcW w:w="1081" w:type="dxa"/>
            <w:vMerge/>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p>
        </w:tc>
        <w:tc>
          <w:tcPr>
            <w:tcW w:w="1980" w:type="dxa"/>
            <w:vMerge/>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p>
        </w:tc>
        <w:tc>
          <w:tcPr>
            <w:tcW w:w="6003" w:type="dxa"/>
            <w:noWrap w:val="0"/>
            <w:vAlign w:val="top"/>
          </w:tcPr>
          <w:p>
            <w:pPr>
              <w:keepNext w:val="0"/>
              <w:keepLines w:val="0"/>
              <w:pageBreakBefore w:val="0"/>
              <w:widowControl w:val="0"/>
              <w:kinsoku/>
              <w:wordWrap/>
              <w:overflowPunct/>
              <w:topLinePunct w:val="0"/>
              <w:autoSpaceDE/>
              <w:autoSpaceDN/>
              <w:bidi w:val="0"/>
              <w:adjustRightInd/>
              <w:snapToGrid w:val="0"/>
              <w:spacing w:line="312" w:lineRule="auto"/>
              <w:jc w:val="both"/>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w:t>
            </w:r>
            <w:r>
              <w:rPr>
                <w:rFonts w:ascii="宋体" w:eastAsia="宋体" w:hAnsi="宋体" w:cs="宋体" w:hint="eastAsia"/>
                <w:sz w:val="21"/>
                <w:szCs w:val="21"/>
                <w:lang w:eastAsia="zh-CN" w:bidi="ar"/>
              </w:rPr>
              <w:t>8</w:t>
            </w:r>
            <w:r>
              <w:rPr>
                <w:rFonts w:ascii="宋体" w:eastAsia="宋体" w:hAnsi="宋体" w:cs="宋体" w:hint="eastAsia"/>
                <w:sz w:val="21"/>
                <w:szCs w:val="21"/>
                <w:lang w:eastAsia="zh-CN" w:bidi="ar"/>
              </w:rPr>
              <w:t>.提供符合以下要求的检测报告：检测或判定依据</w:t>
            </w:r>
            <w:r>
              <w:rPr>
                <w:rFonts w:ascii="宋体" w:eastAsia="宋体" w:hAnsi="宋体" w:cs="宋体" w:hint="eastAsia"/>
                <w:sz w:val="21"/>
                <w:szCs w:val="21"/>
                <w:lang w:eastAsia="zh-CN" w:bidi="ar"/>
              </w:rPr>
              <w:t>QB/T 5617-2021、GB 18584-2001、GB/T 35607-2017</w:t>
            </w:r>
            <w:r>
              <w:rPr>
                <w:rFonts w:ascii="宋体" w:eastAsia="宋体" w:hAnsi="宋体" w:cs="宋体" w:hint="eastAsia"/>
                <w:sz w:val="21"/>
                <w:szCs w:val="21"/>
                <w:lang w:eastAsia="zh-CN" w:bidi="ar"/>
              </w:rPr>
              <w:t>，GB 18580-2017、GB/T 35601-2017、GB/T 4897-2015、GB/T 39600-2021，要求</w:t>
            </w:r>
            <w:r>
              <w:rPr>
                <w:rFonts w:ascii="宋体" w:eastAsia="宋体" w:hAnsi="宋体" w:cs="宋体" w:hint="eastAsia"/>
                <w:sz w:val="21"/>
                <w:szCs w:val="21"/>
                <w:lang w:eastAsia="zh-CN" w:bidi="ar"/>
              </w:rPr>
              <w:t>单人</w:t>
            </w:r>
            <w:r>
              <w:rPr>
                <w:rFonts w:ascii="宋体" w:eastAsia="宋体" w:hAnsi="宋体" w:cs="宋体" w:hint="eastAsia"/>
                <w:sz w:val="21"/>
                <w:szCs w:val="21"/>
                <w:lang w:eastAsia="zh-CN" w:bidi="ar"/>
              </w:rPr>
              <w:t>床的邻边垂直度合格，翘曲度≤1.1mm，着地平稳性≤0.35mm，木制件外观性能合格，木制件表面贴面层（耐冷热循环、耐划痕、图案表面耐磨性合格，耐干热、耐湿热、耐污染性能≥4级，抗冲击≥2级），结构安全合格；甲醛释放量≤0.02mg/m³，挥发性有机化合物苯未检出、甲苯未检出、二甲苯未检出，TVOC≤0.028mg/m³；力学性能（床铺面均布静载荷试验、床铺面集中静载荷试验、床屏水平静载荷试验、床长边静载荷试验、床结构耐久性试验、床铺面冲击载荷试验）合格；甲醛释放量（GB 18584-2001）≤0.3mg/L；产品寿命床类床结构耐久性试验合格。</w:t>
            </w:r>
            <w:r>
              <w:rPr>
                <w:rFonts w:ascii="宋体" w:eastAsia="宋体" w:hAnsi="宋体" w:cs="宋体" w:hint="eastAsia"/>
                <w:sz w:val="21"/>
                <w:szCs w:val="21"/>
                <w:lang w:eastAsia="zh-CN" w:bidi="ar"/>
              </w:rPr>
              <w:t>刨花板的含水率在9.5%~10%区间内、板内密度偏差在±1.5%区间内、静曲强度≥11.6MPa、弹性模量≥2120MPa、内胶合强度≥0.31MPa、表面胶合强度≥1.21MPa、2h吸水厚度膨胀率≤1.3%、握螺钉力板面≥1390N、板边≥1180N，甲醛释放量（气候箱法）≤0.018mg/m³，挥发性有机化合物（72h）的苯、甲苯、二甲苯均未检出，TVOC≤83ug/m³。</w:t>
            </w:r>
          </w:p>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sz w:val="21"/>
                <w:szCs w:val="21"/>
              </w:rPr>
            </w:pPr>
            <w:r>
              <w:rPr>
                <w:rFonts w:ascii="宋体" w:eastAsia="宋体" w:hAnsi="宋体" w:cs="宋体" w:hint="eastAsia"/>
                <w:kern w:val="2"/>
                <w:sz w:val="21"/>
                <w:szCs w:val="21"/>
                <w:lang w:eastAsia="zh-CN"/>
              </w:rPr>
              <w:t>投标时提供202</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年1月1日至投标截止之日的第三方检测机构出具的具有CMA</w:t>
            </w:r>
            <w:r>
              <w:rPr>
                <w:rFonts w:ascii="宋体" w:eastAsia="宋体" w:hAnsi="宋体" w:cs="宋体" w:hint="eastAsia"/>
                <w:kern w:val="2"/>
                <w:sz w:val="21"/>
                <w:szCs w:val="21"/>
                <w:lang w:eastAsia="zh-CN"/>
              </w:rPr>
              <w:t>或CNAS</w:t>
            </w:r>
            <w:r>
              <w:rPr>
                <w:rFonts w:ascii="宋体" w:eastAsia="宋体" w:hAnsi="宋体" w:cs="宋体" w:hint="eastAsia"/>
                <w:kern w:val="2"/>
                <w:sz w:val="21"/>
                <w:szCs w:val="21"/>
                <w:lang w:eastAsia="zh-CN"/>
              </w:rPr>
              <w:t>标识的检测报告扫描件，检测报告内容符合以上检测要求。同时需要提供在全国认证认可信息公共服务平台（认e云-http://cx.cnca.cn/）检测报告查询截图，原件备查。</w:t>
            </w:r>
          </w:p>
        </w:tc>
      </w:tr>
      <w:tr>
        <w:tblPrEx>
          <w:tblW w:w="5000" w:type="pct"/>
          <w:jc w:val="center"/>
          <w:tblLayout w:type="fixed"/>
          <w:tblCellMar>
            <w:top w:w="0" w:type="dxa"/>
            <w:left w:w="108" w:type="dxa"/>
            <w:bottom w:w="0" w:type="dxa"/>
            <w:right w:w="108" w:type="dxa"/>
          </w:tblCellMar>
        </w:tblPrEx>
        <w:trPr>
          <w:trHeight w:val="170"/>
          <w:jc w:val="center"/>
        </w:trPr>
        <w:tc>
          <w:tcPr>
            <w:tcW w:w="1081" w:type="dxa"/>
            <w:vMerge w:val="restart"/>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r>
              <w:rPr>
                <w:rFonts w:ascii="宋体" w:eastAsia="宋体" w:hAnsi="宋体" w:cs="宋体" w:hint="eastAsia"/>
                <w:b/>
                <w:sz w:val="21"/>
                <w:szCs w:val="21"/>
              </w:rPr>
              <w:t>2</w:t>
            </w:r>
          </w:p>
        </w:tc>
        <w:tc>
          <w:tcPr>
            <w:tcW w:w="1980" w:type="dxa"/>
            <w:vMerge w:val="restart"/>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r>
              <w:rPr>
                <w:rFonts w:ascii="宋体" w:eastAsia="宋体" w:hAnsi="宋体" w:cs="宋体" w:hint="eastAsia"/>
                <w:sz w:val="21"/>
                <w:szCs w:val="21"/>
              </w:rPr>
              <w:t>床垫</w:t>
            </w:r>
          </w:p>
        </w:tc>
        <w:tc>
          <w:tcPr>
            <w:tcW w:w="6003" w:type="dxa"/>
            <w:noWrap w:val="0"/>
            <w:vAlign w:val="top"/>
          </w:tcPr>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b/>
                <w:sz w:val="21"/>
                <w:szCs w:val="21"/>
              </w:rPr>
            </w:pPr>
            <w:r>
              <w:rPr>
                <w:rFonts w:ascii="宋体" w:eastAsia="宋体" w:hAnsi="宋体" w:cs="宋体" w:hint="eastAsia"/>
                <w:sz w:val="21"/>
                <w:szCs w:val="21"/>
              </w:rPr>
              <w:t>1.规格：（W2000*D1200）mm±5%，实际尺寸以现场测量为准；</w:t>
            </w:r>
          </w:p>
        </w:tc>
      </w:tr>
      <w:tr>
        <w:tblPrEx>
          <w:tblW w:w="5000" w:type="pct"/>
          <w:jc w:val="center"/>
          <w:tblLayout w:type="fixed"/>
          <w:tblCellMar>
            <w:top w:w="0" w:type="dxa"/>
            <w:left w:w="108" w:type="dxa"/>
            <w:bottom w:w="0" w:type="dxa"/>
            <w:right w:w="108" w:type="dxa"/>
          </w:tblCellMar>
        </w:tblPrEx>
        <w:trPr>
          <w:trHeight w:val="170"/>
          <w:jc w:val="center"/>
        </w:trPr>
        <w:tc>
          <w:tcPr>
            <w:tcW w:w="1081" w:type="dxa"/>
            <w:vMerge/>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p>
        </w:tc>
        <w:tc>
          <w:tcPr>
            <w:tcW w:w="1980" w:type="dxa"/>
            <w:vMerge/>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p>
        </w:tc>
        <w:tc>
          <w:tcPr>
            <w:tcW w:w="6003" w:type="dxa"/>
            <w:noWrap w:val="0"/>
            <w:vAlign w:val="top"/>
          </w:tcPr>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b/>
                <w:sz w:val="21"/>
                <w:szCs w:val="21"/>
              </w:rPr>
            </w:pPr>
            <w:r>
              <w:rPr>
                <w:rFonts w:ascii="宋体" w:eastAsia="宋体" w:hAnsi="宋体" w:cs="宋体" w:hint="eastAsia"/>
                <w:sz w:val="21"/>
                <w:szCs w:val="21"/>
              </w:rPr>
              <w:t>2.采用阻燃针织面料，有氧树脂棉，高弹舒适</w:t>
            </w:r>
            <w:r>
              <w:rPr>
                <w:rFonts w:ascii="宋体" w:eastAsia="宋体" w:hAnsi="宋体" w:cs="宋体" w:hint="eastAsia"/>
                <w:sz w:val="21"/>
                <w:szCs w:val="21"/>
                <w:lang w:eastAsia="zh-CN"/>
              </w:rPr>
              <w:t>阻燃</w:t>
            </w:r>
            <w:r>
              <w:rPr>
                <w:rFonts w:ascii="宋体" w:eastAsia="宋体" w:hAnsi="宋体" w:cs="宋体" w:hint="eastAsia"/>
                <w:sz w:val="21"/>
                <w:szCs w:val="21"/>
              </w:rPr>
              <w:t>海绵。</w:t>
            </w:r>
          </w:p>
        </w:tc>
      </w:tr>
      <w:tr>
        <w:tblPrEx>
          <w:tblW w:w="5000" w:type="pct"/>
          <w:jc w:val="center"/>
          <w:tblLayout w:type="fixed"/>
          <w:tblCellMar>
            <w:top w:w="0" w:type="dxa"/>
            <w:left w:w="108" w:type="dxa"/>
            <w:bottom w:w="0" w:type="dxa"/>
            <w:right w:w="108" w:type="dxa"/>
          </w:tblCellMar>
        </w:tblPrEx>
        <w:trPr>
          <w:trHeight w:val="170"/>
          <w:jc w:val="center"/>
        </w:trPr>
        <w:tc>
          <w:tcPr>
            <w:tcW w:w="1081" w:type="dxa"/>
            <w:vMerge/>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p>
        </w:tc>
        <w:tc>
          <w:tcPr>
            <w:tcW w:w="1980" w:type="dxa"/>
            <w:vMerge/>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p>
        </w:tc>
        <w:tc>
          <w:tcPr>
            <w:tcW w:w="6003" w:type="dxa"/>
            <w:noWrap w:val="0"/>
            <w:vAlign w:val="top"/>
          </w:tcPr>
          <w:p>
            <w:pPr>
              <w:keepNext w:val="0"/>
              <w:keepLines w:val="0"/>
              <w:pageBreakBefore w:val="0"/>
              <w:widowControl w:val="0"/>
              <w:kinsoku/>
              <w:wordWrap/>
              <w:overflowPunct/>
              <w:topLinePunct w:val="0"/>
              <w:autoSpaceDE/>
              <w:autoSpaceDN/>
              <w:bidi w:val="0"/>
              <w:adjustRightInd/>
              <w:snapToGrid w:val="0"/>
              <w:spacing w:line="312" w:lineRule="auto"/>
              <w:jc w:val="both"/>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▲3.提供符合以下要求的检测报告：检测或判定依据</w:t>
            </w:r>
            <w:r>
              <w:rPr>
                <w:rFonts w:ascii="宋体" w:eastAsia="宋体" w:hAnsi="宋体" w:cs="宋体" w:hint="eastAsia"/>
                <w:sz w:val="21"/>
                <w:szCs w:val="21"/>
                <w:lang w:eastAsia="zh-CN" w:bidi="ar"/>
              </w:rPr>
              <w:t>G</w:t>
            </w:r>
            <w:r>
              <w:rPr>
                <w:rFonts w:ascii="宋体" w:eastAsia="宋体" w:hAnsi="宋体" w:cs="宋体" w:hint="eastAsia"/>
                <w:sz w:val="21"/>
                <w:szCs w:val="21"/>
                <w:lang w:eastAsia="zh-CN" w:bidi="ar"/>
              </w:rPr>
              <w:t>B</w:t>
            </w:r>
            <w:r>
              <w:rPr>
                <w:rFonts w:ascii="宋体" w:eastAsia="宋体" w:hAnsi="宋体" w:cs="宋体" w:hint="eastAsia"/>
                <w:sz w:val="21"/>
                <w:szCs w:val="21"/>
                <w:lang w:eastAsia="zh-CN" w:bidi="ar"/>
              </w:rPr>
              <w:t xml:space="preserve"> 18401-2010、HJ 2546-2016、GB 17927.1-2011</w:t>
            </w:r>
            <w:r>
              <w:rPr>
                <w:rFonts w:ascii="宋体" w:eastAsia="宋体" w:hAnsi="宋体" w:cs="宋体" w:hint="eastAsia"/>
                <w:sz w:val="21"/>
                <w:szCs w:val="21"/>
                <w:lang w:eastAsia="zh-CN" w:bidi="ar"/>
              </w:rPr>
              <w:t>，</w:t>
            </w:r>
            <w:r>
              <w:rPr>
                <w:rFonts w:ascii="宋体" w:eastAsia="宋体" w:hAnsi="宋体" w:cs="宋体" w:hint="eastAsia"/>
                <w:sz w:val="21"/>
                <w:szCs w:val="21"/>
                <w:lang w:eastAsia="zh-CN" w:bidi="ar"/>
              </w:rPr>
              <w:t>GB/T 10802-2023，</w:t>
            </w:r>
            <w:r>
              <w:rPr>
                <w:rFonts w:ascii="宋体" w:eastAsia="宋体" w:hAnsi="宋体" w:cs="宋体" w:hint="eastAsia"/>
                <w:sz w:val="21"/>
                <w:szCs w:val="21"/>
                <w:lang w:eastAsia="zh-CN" w:bidi="ar"/>
              </w:rPr>
              <w:t>要求</w:t>
            </w:r>
            <w:r>
              <w:rPr>
                <w:rFonts w:ascii="宋体" w:eastAsia="宋体" w:hAnsi="宋体" w:cs="宋体" w:hint="eastAsia"/>
                <w:kern w:val="2"/>
                <w:sz w:val="21"/>
                <w:szCs w:val="21"/>
                <w:lang w:eastAsia="zh-CN"/>
              </w:rPr>
              <w:t>阻燃布的甲醛含量未检出；可分解致癌芳香胺染料未检出；可萃取重金属（包括砷As、铅Pb、铬Cr、钴Co、铜Cu、镍Ni、铬Cr（Ⅵ）、镉Cd、锑Sb、汞Hg）均未检出；五氯苯酚（其他产品）未检出；通过香烟抗引燃特性试验。阻燃海绵的表观密度偏差在±0.5kg/m³区间内；40%压陷硬度偏差在±5N区间内；回弹率≥47%；75%压缩永久变形≤3.3%；65%/25%压陷比≥2.6；气味等级≥9级；拉伸强度（kPa）≥89.4；断裂伸长率（%）≥157.5；撕裂强度（N/cm）≥3.3；干热老化后拉伸强度（kPa）≥111.9；干热老化后拉伸强度变化率≤25.2%；湿热老化后拉伸强度（kPa）≥87.9；湿热老化后拉伸强度变化率在±1.7%区间内；灰分≤0.14%；甲醛散发检测要求未检出；软质聚氨酯泡沫塑料的座面密度≥44.8㎏/m³；通过香烟抗引燃特性试验。</w:t>
            </w:r>
          </w:p>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b/>
                <w:sz w:val="21"/>
                <w:szCs w:val="21"/>
              </w:rPr>
            </w:pPr>
            <w:r>
              <w:rPr>
                <w:rFonts w:ascii="宋体" w:eastAsia="宋体" w:hAnsi="宋体" w:cs="宋体" w:hint="eastAsia"/>
                <w:kern w:val="2"/>
                <w:sz w:val="21"/>
                <w:szCs w:val="21"/>
                <w:lang w:eastAsia="zh-CN"/>
              </w:rPr>
              <w:t>投标时提供202</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年1月1日至投标截止之日的第三方检测机构出具的具有CMA</w:t>
            </w:r>
            <w:r>
              <w:rPr>
                <w:rFonts w:ascii="宋体" w:eastAsia="宋体" w:hAnsi="宋体" w:cs="宋体" w:hint="eastAsia"/>
                <w:kern w:val="2"/>
                <w:sz w:val="21"/>
                <w:szCs w:val="21"/>
                <w:lang w:eastAsia="zh-CN"/>
              </w:rPr>
              <w:t>或CNAS</w:t>
            </w:r>
            <w:r>
              <w:rPr>
                <w:rFonts w:ascii="宋体" w:eastAsia="宋体" w:hAnsi="宋体" w:cs="宋体" w:hint="eastAsia"/>
                <w:kern w:val="2"/>
                <w:sz w:val="21"/>
                <w:szCs w:val="21"/>
                <w:lang w:eastAsia="zh-CN"/>
              </w:rPr>
              <w:t>标识的检测报告扫描件，检测报告内容符合以上检测要求。同时需要提供在全国认证认可信息公共服务平台（认e云-http://cx.cnca.cn/）检测报告查询截图，原件备查。</w:t>
            </w:r>
          </w:p>
        </w:tc>
      </w:tr>
      <w:tr>
        <w:tblPrEx>
          <w:tblW w:w="5000" w:type="pct"/>
          <w:jc w:val="center"/>
          <w:tblLayout w:type="fixed"/>
          <w:tblCellMar>
            <w:top w:w="0" w:type="dxa"/>
            <w:left w:w="108" w:type="dxa"/>
            <w:bottom w:w="0" w:type="dxa"/>
            <w:right w:w="108" w:type="dxa"/>
          </w:tblCellMar>
        </w:tblPrEx>
        <w:trPr>
          <w:trHeight w:val="510"/>
          <w:jc w:val="center"/>
        </w:trPr>
        <w:tc>
          <w:tcPr>
            <w:tcW w:w="1081" w:type="dxa"/>
            <w:vMerge w:val="restart"/>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r>
              <w:rPr>
                <w:rFonts w:ascii="宋体" w:eastAsia="宋体" w:hAnsi="宋体" w:cs="宋体" w:hint="eastAsia"/>
                <w:b/>
                <w:sz w:val="21"/>
                <w:szCs w:val="21"/>
              </w:rPr>
              <w:t>3</w:t>
            </w:r>
          </w:p>
        </w:tc>
        <w:tc>
          <w:tcPr>
            <w:tcW w:w="1980" w:type="dxa"/>
            <w:vMerge w:val="restart"/>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r>
              <w:rPr>
                <w:rFonts w:ascii="宋体" w:eastAsia="宋体" w:hAnsi="宋体" w:cs="宋体" w:hint="eastAsia"/>
                <w:sz w:val="21"/>
                <w:szCs w:val="21"/>
              </w:rPr>
              <w:t>书桌</w:t>
            </w:r>
          </w:p>
        </w:tc>
        <w:tc>
          <w:tcPr>
            <w:tcW w:w="6003" w:type="dxa"/>
            <w:noWrap w:val="0"/>
            <w:vAlign w:val="top"/>
          </w:tcPr>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b/>
                <w:sz w:val="21"/>
                <w:szCs w:val="21"/>
              </w:rPr>
            </w:pPr>
            <w:r>
              <w:rPr>
                <w:rFonts w:ascii="宋体" w:eastAsia="宋体" w:hAnsi="宋体" w:cs="宋体" w:hint="eastAsia"/>
                <w:sz w:val="21"/>
                <w:szCs w:val="21"/>
              </w:rPr>
              <w:t>1.规格：（W1000*D600*H770）mm±5%，实际尺寸以现场测量为准；</w:t>
            </w:r>
          </w:p>
        </w:tc>
      </w:tr>
      <w:tr>
        <w:tblPrEx>
          <w:tblW w:w="5000" w:type="pct"/>
          <w:jc w:val="center"/>
          <w:tblLayout w:type="fixed"/>
          <w:tblCellMar>
            <w:top w:w="0" w:type="dxa"/>
            <w:left w:w="108" w:type="dxa"/>
            <w:bottom w:w="0" w:type="dxa"/>
            <w:right w:w="108" w:type="dxa"/>
          </w:tblCellMar>
        </w:tblPrEx>
        <w:trPr>
          <w:trHeight w:val="510"/>
          <w:jc w:val="center"/>
        </w:trPr>
        <w:tc>
          <w:tcPr>
            <w:tcW w:w="1081" w:type="dxa"/>
            <w:vMerge/>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p>
        </w:tc>
        <w:tc>
          <w:tcPr>
            <w:tcW w:w="1980" w:type="dxa"/>
            <w:vMerge/>
            <w:noWrap w:val="0"/>
            <w:vAlign w:val="top"/>
          </w:tcPr>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b/>
                <w:sz w:val="21"/>
                <w:szCs w:val="21"/>
              </w:rPr>
            </w:pPr>
          </w:p>
        </w:tc>
        <w:tc>
          <w:tcPr>
            <w:tcW w:w="6003" w:type="dxa"/>
            <w:noWrap w:val="0"/>
            <w:vAlign w:val="top"/>
          </w:tcPr>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b/>
                <w:sz w:val="21"/>
                <w:szCs w:val="21"/>
              </w:rPr>
            </w:pPr>
            <w:r>
              <w:rPr>
                <w:rFonts w:ascii="宋体" w:eastAsia="宋体" w:hAnsi="宋体" w:cs="宋体" w:hint="eastAsia"/>
                <w:sz w:val="21"/>
                <w:szCs w:val="21"/>
              </w:rPr>
              <w:t>2.基材：整体框架采用国标不低于E0级环保实木刨花板，面贴三聚氰胺饰面纸，贴面胶采用水性白乳胶；封边采用厚度≥2.0mm的激光ABS封边条；配置≥2个抽屉。阻尼导轨、五金配件均经过酸洗磷洗的防锈处理。后期需根据用户需求进行深化设计。</w:t>
            </w:r>
          </w:p>
        </w:tc>
      </w:tr>
      <w:tr>
        <w:tblPrEx>
          <w:tblW w:w="5000" w:type="pct"/>
          <w:jc w:val="center"/>
          <w:tblLayout w:type="fixed"/>
          <w:tblCellMar>
            <w:top w:w="0" w:type="dxa"/>
            <w:left w:w="108" w:type="dxa"/>
            <w:bottom w:w="0" w:type="dxa"/>
            <w:right w:w="108" w:type="dxa"/>
          </w:tblCellMar>
        </w:tblPrEx>
        <w:trPr>
          <w:trHeight w:val="510"/>
          <w:jc w:val="center"/>
        </w:trPr>
        <w:tc>
          <w:tcPr>
            <w:tcW w:w="1081" w:type="dxa"/>
            <w:vMerge/>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
                <w:sz w:val="21"/>
                <w:szCs w:val="21"/>
              </w:rPr>
            </w:pPr>
          </w:p>
        </w:tc>
        <w:tc>
          <w:tcPr>
            <w:tcW w:w="1980" w:type="dxa"/>
            <w:vMerge/>
            <w:noWrap w:val="0"/>
            <w:vAlign w:val="top"/>
          </w:tcPr>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b/>
                <w:sz w:val="21"/>
                <w:szCs w:val="21"/>
              </w:rPr>
            </w:pPr>
          </w:p>
        </w:tc>
        <w:tc>
          <w:tcPr>
            <w:tcW w:w="6003" w:type="dxa"/>
            <w:noWrap w:val="0"/>
            <w:vAlign w:val="top"/>
          </w:tcPr>
          <w:p>
            <w:pPr>
              <w:keepNext w:val="0"/>
              <w:keepLines w:val="0"/>
              <w:pageBreakBefore w:val="0"/>
              <w:widowControl w:val="0"/>
              <w:kinsoku/>
              <w:wordWrap/>
              <w:overflowPunct/>
              <w:topLinePunct w:val="0"/>
              <w:autoSpaceDE/>
              <w:autoSpaceDN/>
              <w:bidi w:val="0"/>
              <w:adjustRightInd/>
              <w:snapToGrid w:val="0"/>
              <w:spacing w:line="312" w:lineRule="auto"/>
              <w:jc w:val="both"/>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▲3.提供符合以下要求的检测报告：检测或判定依据</w:t>
            </w:r>
            <w:r>
              <w:rPr>
                <w:rFonts w:ascii="宋体" w:eastAsia="宋体" w:hAnsi="宋体" w:cs="宋体" w:hint="eastAsia"/>
                <w:sz w:val="21"/>
                <w:szCs w:val="21"/>
                <w:lang w:eastAsia="zh-CN" w:bidi="ar"/>
              </w:rPr>
              <w:t>QB/T 4463-2013，QB/T 3832-1999、QB/T 3827-1999、GB/T 10125-2021、QB/T 2454-2013，</w:t>
            </w:r>
            <w:r>
              <w:rPr>
                <w:rFonts w:ascii="宋体" w:eastAsia="宋体" w:hAnsi="宋体" w:cs="宋体" w:hint="eastAsia"/>
                <w:sz w:val="21"/>
                <w:szCs w:val="21"/>
                <w:lang w:eastAsia="zh-CN" w:bidi="ar"/>
              </w:rPr>
              <w:t>要求</w:t>
            </w:r>
            <w:r>
              <w:rPr>
                <w:rFonts w:ascii="宋体" w:eastAsia="宋体" w:hAnsi="宋体" w:cs="宋体" w:hint="eastAsia"/>
                <w:kern w:val="2"/>
                <w:sz w:val="21"/>
                <w:szCs w:val="21"/>
                <w:lang w:eastAsia="zh-CN"/>
              </w:rPr>
              <w:t>激光ABS封边条的耐干热性、耐磨性检测合格；耐开裂性为1级，耐老化性、耐冷热循环性、耐光色牢度（灰色样卡）均符合检测要求；甲醛释放量未检出，氯乙烯单体未检出，可迁移元素（可溶性重金属）的铅、镉、铬、汞、砷、锑、硒检测结果要求未检出，可迁移元素钡≤6.4mg/kg；邻苯二甲酸酯（包括DBP、BBP、DEHP、DNOP、DINP和DIDP）、多溴联苯、多溴联苯醚检测结果要求均未检出。阻尼导轨的过载要求（包括垂直向下静载荷（300N）、水平侧向静载荷（150N）、猛关或猛开）检测合格，功能要求（包括操作力、耐久性(80000次)、拉出安全性、下沉量不应超过抽屉导轨拉出长度的2.6%）检测合格，耐腐蚀≥18h检测符合标准要求；金属表面耐腐蚀（乙酸盐雾连续喷雾≥168小时）、盐雾试验（铜加速乙酸盐雾连续喷雾≥24小时）达到涂层本身的耐腐蚀等级和涂层对基体的保护等级均为10级（10级最好，0级最差）。</w:t>
            </w:r>
          </w:p>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sz w:val="21"/>
                <w:szCs w:val="21"/>
              </w:rPr>
            </w:pPr>
            <w:r>
              <w:rPr>
                <w:rFonts w:ascii="宋体" w:eastAsia="宋体" w:hAnsi="宋体" w:cs="宋体" w:hint="eastAsia"/>
                <w:kern w:val="2"/>
                <w:sz w:val="21"/>
                <w:szCs w:val="21"/>
                <w:lang w:eastAsia="zh-CN"/>
              </w:rPr>
              <w:t>投标时提供202</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年1月1日至投标截止之日的第三方检测机构出具的具有CMA</w:t>
            </w:r>
            <w:r>
              <w:rPr>
                <w:rFonts w:ascii="宋体" w:eastAsia="宋体" w:hAnsi="宋体" w:cs="宋体" w:hint="eastAsia"/>
                <w:kern w:val="2"/>
                <w:sz w:val="21"/>
                <w:szCs w:val="21"/>
                <w:lang w:eastAsia="zh-CN"/>
              </w:rPr>
              <w:t>或CNAS</w:t>
            </w:r>
            <w:r>
              <w:rPr>
                <w:rFonts w:ascii="宋体" w:eastAsia="宋体" w:hAnsi="宋体" w:cs="宋体" w:hint="eastAsia"/>
                <w:kern w:val="2"/>
                <w:sz w:val="21"/>
                <w:szCs w:val="21"/>
                <w:lang w:eastAsia="zh-CN"/>
              </w:rPr>
              <w:t>标识的检测报告扫描件，检测报告内容符合以上检测要求。同时需要提供在全国认证认可信息公共服务平台（认e云-http://cx.cnca.cn/）检测报告查询截图，原件备查。</w:t>
            </w:r>
          </w:p>
        </w:tc>
      </w:tr>
      <w:tr>
        <w:tblPrEx>
          <w:tblW w:w="5000" w:type="pct"/>
          <w:jc w:val="center"/>
          <w:tblLayout w:type="fixed"/>
          <w:tblCellMar>
            <w:top w:w="0" w:type="dxa"/>
            <w:left w:w="108" w:type="dxa"/>
            <w:bottom w:w="0" w:type="dxa"/>
            <w:right w:w="108" w:type="dxa"/>
          </w:tblCellMar>
        </w:tblPrEx>
        <w:trPr>
          <w:trHeight w:val="510"/>
          <w:jc w:val="center"/>
        </w:trPr>
        <w:tc>
          <w:tcPr>
            <w:tcW w:w="1081" w:type="dxa"/>
            <w:vMerge w:val="restart"/>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Cs/>
                <w:sz w:val="21"/>
                <w:szCs w:val="21"/>
                <w:lang w:eastAsia="zh-CN"/>
              </w:rPr>
            </w:pPr>
            <w:r>
              <w:rPr>
                <w:rFonts w:ascii="宋体" w:eastAsia="宋体" w:hAnsi="宋体" w:cs="宋体" w:hint="eastAsia"/>
                <w:bCs/>
                <w:sz w:val="21"/>
                <w:szCs w:val="21"/>
                <w:lang w:eastAsia="zh-CN"/>
              </w:rPr>
              <w:t>4</w:t>
            </w:r>
          </w:p>
        </w:tc>
        <w:tc>
          <w:tcPr>
            <w:tcW w:w="1980" w:type="dxa"/>
            <w:vMerge w:val="restart"/>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Cs/>
                <w:sz w:val="21"/>
                <w:szCs w:val="21"/>
              </w:rPr>
            </w:pPr>
            <w:r>
              <w:rPr>
                <w:rFonts w:ascii="宋体" w:eastAsia="宋体" w:hAnsi="宋体" w:cs="宋体" w:hint="eastAsia"/>
                <w:bCs/>
                <w:sz w:val="21"/>
                <w:szCs w:val="21"/>
              </w:rPr>
              <w:t>单椅</w:t>
            </w:r>
          </w:p>
        </w:tc>
        <w:tc>
          <w:tcPr>
            <w:tcW w:w="6003" w:type="dxa"/>
            <w:noWrap w:val="0"/>
            <w:vAlign w:val="top"/>
          </w:tcPr>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bCs/>
                <w:sz w:val="21"/>
                <w:szCs w:val="21"/>
              </w:rPr>
            </w:pPr>
            <w:r>
              <w:rPr>
                <w:rFonts w:ascii="宋体" w:eastAsia="宋体" w:hAnsi="宋体" w:cs="宋体" w:hint="eastAsia"/>
                <w:bCs/>
                <w:sz w:val="21"/>
                <w:szCs w:val="21"/>
              </w:rPr>
              <w:t>1.靠背使用PP新料，座面采用绒麻饰面，椅脚为实木腿；用榉木本色木腿，使用天然植物精炼木蜡油；采用螺母安装，防滑脚垫。颜色可选。</w:t>
            </w:r>
          </w:p>
        </w:tc>
      </w:tr>
      <w:tr>
        <w:tblPrEx>
          <w:tblW w:w="5000" w:type="pct"/>
          <w:jc w:val="center"/>
          <w:tblLayout w:type="fixed"/>
          <w:tblCellMar>
            <w:top w:w="0" w:type="dxa"/>
            <w:left w:w="108" w:type="dxa"/>
            <w:bottom w:w="0" w:type="dxa"/>
            <w:right w:w="108" w:type="dxa"/>
          </w:tblCellMar>
        </w:tblPrEx>
        <w:trPr>
          <w:trHeight w:val="510"/>
          <w:jc w:val="center"/>
        </w:trPr>
        <w:tc>
          <w:tcPr>
            <w:tcW w:w="1081" w:type="dxa"/>
            <w:vMerge/>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Cs/>
                <w:sz w:val="21"/>
                <w:szCs w:val="21"/>
                <w:lang w:eastAsia="zh-CN"/>
              </w:rPr>
            </w:pPr>
          </w:p>
        </w:tc>
        <w:tc>
          <w:tcPr>
            <w:tcW w:w="1980" w:type="dxa"/>
            <w:vMerge/>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Cs/>
                <w:sz w:val="21"/>
                <w:szCs w:val="21"/>
              </w:rPr>
            </w:pPr>
          </w:p>
        </w:tc>
        <w:tc>
          <w:tcPr>
            <w:tcW w:w="6003" w:type="dxa"/>
            <w:noWrap w:val="0"/>
            <w:vAlign w:val="top"/>
          </w:tcPr>
          <w:p>
            <w:pPr>
              <w:keepNext w:val="0"/>
              <w:keepLines w:val="0"/>
              <w:pageBreakBefore w:val="0"/>
              <w:widowControl w:val="0"/>
              <w:kinsoku/>
              <w:wordWrap/>
              <w:overflowPunct/>
              <w:topLinePunct w:val="0"/>
              <w:autoSpaceDE/>
              <w:autoSpaceDN/>
              <w:bidi w:val="0"/>
              <w:adjustRightInd/>
              <w:snapToGrid w:val="0"/>
              <w:spacing w:line="312" w:lineRule="auto"/>
              <w:jc w:val="both"/>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w:t>
            </w:r>
            <w:r>
              <w:rPr>
                <w:rFonts w:ascii="宋体" w:eastAsia="宋体" w:hAnsi="宋体" w:cs="宋体" w:hint="eastAsia"/>
                <w:sz w:val="21"/>
                <w:szCs w:val="21"/>
                <w:lang w:eastAsia="zh-CN" w:bidi="ar"/>
              </w:rPr>
              <w:t>2</w:t>
            </w:r>
            <w:r>
              <w:rPr>
                <w:rFonts w:ascii="宋体" w:eastAsia="宋体" w:hAnsi="宋体" w:cs="宋体" w:hint="eastAsia"/>
                <w:sz w:val="21"/>
                <w:szCs w:val="21"/>
                <w:lang w:eastAsia="zh-CN" w:bidi="ar"/>
              </w:rPr>
              <w:t>.提供符合以下要求的检测报告：检测或判定依据GB 28481-2012、GB/T 1040.2-2006</w:t>
            </w:r>
            <w:r>
              <w:rPr>
                <w:rFonts w:ascii="宋体" w:eastAsia="宋体" w:hAnsi="宋体" w:cs="宋体" w:hint="eastAsia"/>
                <w:sz w:val="21"/>
                <w:szCs w:val="21"/>
                <w:lang w:eastAsia="zh-CN" w:bidi="ar"/>
              </w:rPr>
              <w:t>或</w:t>
            </w:r>
            <w:r>
              <w:rPr>
                <w:rFonts w:ascii="宋体" w:eastAsia="宋体" w:hAnsi="宋体" w:cs="宋体" w:hint="eastAsia"/>
                <w:sz w:val="21"/>
                <w:szCs w:val="21"/>
                <w:lang w:eastAsia="zh-CN" w:bidi="ar"/>
              </w:rPr>
              <w:t>GB/T 1040.2-20</w:t>
            </w:r>
            <w:r>
              <w:rPr>
                <w:rFonts w:ascii="宋体" w:eastAsia="宋体" w:hAnsi="宋体" w:cs="宋体" w:hint="eastAsia"/>
                <w:sz w:val="21"/>
                <w:szCs w:val="21"/>
                <w:lang w:eastAsia="zh-CN" w:bidi="ar"/>
              </w:rPr>
              <w:t>22，</w:t>
            </w:r>
            <w:r>
              <w:rPr>
                <w:rFonts w:ascii="宋体" w:eastAsia="宋体" w:hAnsi="宋体" w:cs="宋体" w:hint="eastAsia"/>
                <w:sz w:val="21"/>
                <w:szCs w:val="21"/>
                <w:lang w:eastAsia="zh-CN" w:bidi="ar"/>
              </w:rPr>
              <w:t>要求</w:t>
            </w:r>
            <w:r>
              <w:rPr>
                <w:rFonts w:ascii="宋体" w:eastAsia="宋体" w:hAnsi="宋体" w:cs="宋体" w:hint="eastAsia"/>
                <w:sz w:val="21"/>
                <w:szCs w:val="21"/>
                <w:lang w:eastAsia="zh-CN" w:bidi="ar"/>
              </w:rPr>
              <w:t>PP材料的邻苯二甲酸酯（包括DBP、BBP、DEHP、DNOP、DINP、DIDP）均未检出，重金属含量（包括可溶性铅、可溶性镉、可溶性铬、可溶性汞）均未检出，多环芳烃（包括苯并[a]芘、16种多环芳烃（PAH）总量）均未检出；拉伸强度≥27.9MPa；拉伸弹性模量≥569MPa。</w:t>
            </w:r>
          </w:p>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bCs/>
                <w:sz w:val="21"/>
                <w:szCs w:val="21"/>
              </w:rPr>
            </w:pPr>
            <w:r>
              <w:rPr>
                <w:rFonts w:ascii="宋体" w:eastAsia="宋体" w:hAnsi="宋体" w:cs="宋体" w:hint="eastAsia"/>
                <w:kern w:val="2"/>
                <w:sz w:val="21"/>
                <w:szCs w:val="21"/>
                <w:lang w:eastAsia="zh-CN"/>
              </w:rPr>
              <w:t>投标时提供202</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年1月1日至投标截止之日的第三方检测机构出具的具有CMA</w:t>
            </w:r>
            <w:r>
              <w:rPr>
                <w:rFonts w:ascii="宋体" w:eastAsia="宋体" w:hAnsi="宋体" w:cs="宋体" w:hint="eastAsia"/>
                <w:kern w:val="2"/>
                <w:sz w:val="21"/>
                <w:szCs w:val="21"/>
                <w:lang w:eastAsia="zh-CN"/>
              </w:rPr>
              <w:t>或CNAS</w:t>
            </w:r>
            <w:r>
              <w:rPr>
                <w:rFonts w:ascii="宋体" w:eastAsia="宋体" w:hAnsi="宋体" w:cs="宋体" w:hint="eastAsia"/>
                <w:kern w:val="2"/>
                <w:sz w:val="21"/>
                <w:szCs w:val="21"/>
                <w:lang w:eastAsia="zh-CN"/>
              </w:rPr>
              <w:t>标识的检测报告扫描件，检测报告内容符合以上检测要求。同时需要提供在全国认证认可信息公共服务平台（认e云-http://cx.cnca.cn/）检测报告查询截图，原件备查。</w:t>
            </w:r>
          </w:p>
        </w:tc>
      </w:tr>
      <w:tr>
        <w:tblPrEx>
          <w:tblW w:w="5000" w:type="pct"/>
          <w:jc w:val="center"/>
          <w:tblLayout w:type="fixed"/>
          <w:tblCellMar>
            <w:top w:w="0" w:type="dxa"/>
            <w:left w:w="108" w:type="dxa"/>
            <w:bottom w:w="0" w:type="dxa"/>
            <w:right w:w="108" w:type="dxa"/>
          </w:tblCellMar>
        </w:tblPrEx>
        <w:trPr>
          <w:trHeight w:val="510"/>
          <w:jc w:val="center"/>
        </w:trPr>
        <w:tc>
          <w:tcPr>
            <w:tcW w:w="1081" w:type="dxa"/>
            <w:vMerge w:val="restart"/>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Cs/>
                <w:sz w:val="21"/>
                <w:szCs w:val="21"/>
                <w:lang w:eastAsia="zh-CN"/>
              </w:rPr>
            </w:pPr>
            <w:r>
              <w:rPr>
                <w:rFonts w:ascii="宋体" w:eastAsia="宋体" w:hAnsi="宋体" w:cs="宋体" w:hint="eastAsia"/>
                <w:bCs/>
                <w:sz w:val="21"/>
                <w:szCs w:val="21"/>
                <w:lang w:eastAsia="zh-CN"/>
              </w:rPr>
              <w:t>5</w:t>
            </w:r>
          </w:p>
        </w:tc>
        <w:tc>
          <w:tcPr>
            <w:tcW w:w="1980" w:type="dxa"/>
            <w:vMerge w:val="restart"/>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Cs/>
                <w:sz w:val="21"/>
                <w:szCs w:val="21"/>
              </w:rPr>
            </w:pPr>
            <w:r>
              <w:rPr>
                <w:rFonts w:ascii="宋体" w:eastAsia="宋体" w:hAnsi="宋体" w:cs="宋体" w:hint="eastAsia"/>
                <w:bCs/>
                <w:sz w:val="21"/>
                <w:szCs w:val="21"/>
              </w:rPr>
              <w:t>文件柜</w:t>
            </w:r>
          </w:p>
        </w:tc>
        <w:tc>
          <w:tcPr>
            <w:tcW w:w="6003" w:type="dxa"/>
            <w:noWrap w:val="0"/>
            <w:vAlign w:val="top"/>
          </w:tcPr>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bCs/>
                <w:sz w:val="21"/>
                <w:szCs w:val="21"/>
              </w:rPr>
            </w:pPr>
            <w:r>
              <w:rPr>
                <w:rFonts w:ascii="宋体" w:eastAsia="宋体" w:hAnsi="宋体" w:cs="宋体" w:hint="eastAsia"/>
                <w:sz w:val="21"/>
                <w:szCs w:val="21"/>
              </w:rPr>
              <w:t>1.规格：（W900*D450*H2000）mm±5%，实际尺寸以现场测量为准；</w:t>
            </w:r>
          </w:p>
        </w:tc>
      </w:tr>
      <w:tr>
        <w:tblPrEx>
          <w:tblW w:w="5000" w:type="pct"/>
          <w:jc w:val="center"/>
          <w:tblLayout w:type="fixed"/>
          <w:tblCellMar>
            <w:top w:w="0" w:type="dxa"/>
            <w:left w:w="108" w:type="dxa"/>
            <w:bottom w:w="0" w:type="dxa"/>
            <w:right w:w="108" w:type="dxa"/>
          </w:tblCellMar>
        </w:tblPrEx>
        <w:trPr>
          <w:trHeight w:val="510"/>
          <w:jc w:val="center"/>
        </w:trPr>
        <w:tc>
          <w:tcPr>
            <w:tcW w:w="1081" w:type="dxa"/>
            <w:vMerge/>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Cs/>
                <w:sz w:val="21"/>
                <w:szCs w:val="21"/>
              </w:rPr>
            </w:pPr>
          </w:p>
        </w:tc>
        <w:tc>
          <w:tcPr>
            <w:tcW w:w="1980" w:type="dxa"/>
            <w:vMerge/>
            <w:noWrap w:val="0"/>
            <w:vAlign w:val="top"/>
          </w:tcPr>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bCs/>
                <w:sz w:val="21"/>
                <w:szCs w:val="21"/>
              </w:rPr>
            </w:pPr>
          </w:p>
        </w:tc>
        <w:tc>
          <w:tcPr>
            <w:tcW w:w="6003" w:type="dxa"/>
            <w:noWrap w:val="0"/>
            <w:vAlign w:val="top"/>
          </w:tcPr>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bCs/>
                <w:sz w:val="21"/>
                <w:szCs w:val="21"/>
              </w:rPr>
            </w:pPr>
            <w:r>
              <w:rPr>
                <w:rFonts w:ascii="宋体" w:eastAsia="宋体" w:hAnsi="宋体" w:cs="宋体" w:hint="eastAsia"/>
                <w:sz w:val="21"/>
                <w:szCs w:val="21"/>
              </w:rPr>
              <w:t>2.全钢制，采用≥0.8mm厚冷轧钢板，经酸洗、磷化、钝化，焊接无灰渣、气孔焊瘤；无脱焊、虚焊、焊穿。环氧聚酯热固粉末高压静电喷塑，喷塑外膜的表面光滑平整。拉手为隐藏或暗拉手。</w:t>
            </w:r>
          </w:p>
        </w:tc>
      </w:tr>
      <w:tr>
        <w:tblPrEx>
          <w:tblW w:w="5000" w:type="pct"/>
          <w:jc w:val="center"/>
          <w:tblLayout w:type="fixed"/>
          <w:tblCellMar>
            <w:top w:w="0" w:type="dxa"/>
            <w:left w:w="108" w:type="dxa"/>
            <w:bottom w:w="0" w:type="dxa"/>
            <w:right w:w="108" w:type="dxa"/>
          </w:tblCellMar>
        </w:tblPrEx>
        <w:trPr>
          <w:trHeight w:val="510"/>
          <w:jc w:val="center"/>
        </w:trPr>
        <w:tc>
          <w:tcPr>
            <w:tcW w:w="1081" w:type="dxa"/>
            <w:vMerge/>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Cs/>
                <w:sz w:val="21"/>
                <w:szCs w:val="21"/>
              </w:rPr>
            </w:pPr>
          </w:p>
        </w:tc>
        <w:tc>
          <w:tcPr>
            <w:tcW w:w="1980" w:type="dxa"/>
            <w:vMerge/>
            <w:noWrap w:val="0"/>
            <w:vAlign w:val="top"/>
          </w:tcPr>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bCs/>
                <w:sz w:val="21"/>
                <w:szCs w:val="21"/>
              </w:rPr>
            </w:pPr>
          </w:p>
        </w:tc>
        <w:tc>
          <w:tcPr>
            <w:tcW w:w="6003" w:type="dxa"/>
            <w:noWrap w:val="0"/>
            <w:vAlign w:val="top"/>
          </w:tcPr>
          <w:p>
            <w:pPr>
              <w:keepNext w:val="0"/>
              <w:keepLines w:val="0"/>
              <w:pageBreakBefore w:val="0"/>
              <w:widowControl w:val="0"/>
              <w:kinsoku/>
              <w:wordWrap/>
              <w:overflowPunct/>
              <w:topLinePunct w:val="0"/>
              <w:autoSpaceDE/>
              <w:autoSpaceDN/>
              <w:bidi w:val="0"/>
              <w:adjustRightInd/>
              <w:snapToGrid w:val="0"/>
              <w:spacing w:line="312" w:lineRule="auto"/>
              <w:jc w:val="both"/>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w:t>
            </w:r>
            <w:r>
              <w:rPr>
                <w:rFonts w:ascii="宋体" w:eastAsia="宋体" w:hAnsi="宋体" w:cs="宋体" w:hint="eastAsia"/>
                <w:sz w:val="21"/>
                <w:szCs w:val="21"/>
                <w:lang w:eastAsia="zh-CN" w:bidi="ar"/>
              </w:rPr>
              <w:t>3</w:t>
            </w:r>
            <w:r>
              <w:rPr>
                <w:rFonts w:ascii="宋体" w:eastAsia="宋体" w:hAnsi="宋体" w:cs="宋体" w:hint="eastAsia"/>
                <w:sz w:val="21"/>
                <w:szCs w:val="21"/>
                <w:lang w:eastAsia="zh-CN" w:bidi="ar"/>
              </w:rPr>
              <w:t>.提供符合以下要求的检测报告：检测或判定依据GB/T 3325-2017、GB/T 35607-2017</w:t>
            </w:r>
            <w:r>
              <w:rPr>
                <w:rFonts w:ascii="宋体" w:eastAsia="宋体" w:hAnsi="宋体" w:cs="宋体" w:hint="eastAsia"/>
                <w:sz w:val="21"/>
                <w:szCs w:val="21"/>
                <w:lang w:eastAsia="zh-CN" w:bidi="ar"/>
              </w:rPr>
              <w:t>，GB/T 11253-2019，</w:t>
            </w:r>
            <w:r>
              <w:rPr>
                <w:rFonts w:ascii="宋体" w:eastAsia="宋体" w:hAnsi="宋体" w:cs="宋体" w:hint="eastAsia"/>
                <w:sz w:val="21"/>
                <w:szCs w:val="21"/>
                <w:lang w:eastAsia="zh-CN" w:bidi="ar"/>
              </w:rPr>
              <w:t>要求</w:t>
            </w:r>
            <w:r>
              <w:rPr>
                <w:rFonts w:ascii="宋体" w:eastAsia="宋体" w:hAnsi="宋体" w:cs="宋体" w:hint="eastAsia"/>
                <w:kern w:val="2"/>
                <w:sz w:val="21"/>
                <w:szCs w:val="21"/>
                <w:lang w:eastAsia="zh-CN"/>
              </w:rPr>
              <w:t>钢制文件柜的邻边垂直度合格；翘曲度≤0.9mm；平整度≤0.10mm；位差度≤0.50mm；分缝≤1.50mm；着地平稳性≤0.30mm；金属件外观（焊接件、冲压件、喷涂层、电镀层）检测合格；配件外观性能要求家具锁锁定到位，开启应灵活；结构安全要求活动部件间距离符合技术要求，人体接触或收藏物品的部位应无毛刺、刃口、棱角，固定部位的结合应牢固无松动；涂层和覆面层可溶性重金属（可溶性铅、可溶性镉、可溶性铬、可溶性汞）均未检出；金属喷漆（塑）涂层（硬度≥2H、冲击强度合格、耐腐蚀≥100h合格、附着力不低于1级）；柜类强度和耐久性的搁板试验（搁板定位试验-水平向外的力试验、垂直向下的力试验、搁板弯曲试验、搁板支撑件强度试验）均检测合格，其中搁板弯曲挠度变化值≤0.10%；顶板和底板持续加载试验检测合格，其中顶板、底板最大挠度≤0.10%；顶板和底板静载荷试验检测合格；结构强度试验（结构底架或腿强度试验、跌落试验）检测合格；开门试验（开门垂直加载试验、开门水平加载试验、开门猛关试验、开门耐久性试验）检测合格；锁具插销试验（门锁和插销强度试验、锁具插销耐久性试验）检测合格；柜类稳定性（所有开门推拉构件和翻门关闭且所有储存部件空载（高度≤1000mm的试件），所有开门推拉构件和翻门开启且所有储存部件空载，开门推拉构件和翻门开启并解锁，所有锁闭的开门推拉构件和翻门开启方向加载且所有储存部件加载）检测合格；甲醛释放量（GB/T 35607-2017）未检出；挥发性有机化合物苯未检出、甲苯未检出、二甲苯未检出、TVOC≤0.012mg/m³；家具涂层可迁移元素的铅、镉、铬、汞、锑、砷、硒检测结果要求未检出，可迁移元素钡≤236mg/kg。冷轧钢板的金属件冲压件外观性能符合标准要求；金属抗盐雾≥18h检测合格；化学成分C≤0.030%、S≤0.010%、P≤0.020%、Si≤0.030%、Mn≤0.200%、Ni≤0.010%、Cr≤0.050%、Cu≤0.020%；拉伸试验的抗拉强度≥325MPa（在315~430MPa区间内），下屈服强度≥217MPa，断后伸长率≥33.5%。</w:t>
            </w:r>
          </w:p>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sz w:val="21"/>
                <w:szCs w:val="21"/>
              </w:rPr>
            </w:pPr>
            <w:r>
              <w:rPr>
                <w:rFonts w:ascii="宋体" w:eastAsia="宋体" w:hAnsi="宋体" w:cs="宋体" w:hint="eastAsia"/>
                <w:kern w:val="2"/>
                <w:sz w:val="21"/>
                <w:szCs w:val="21"/>
                <w:lang w:eastAsia="zh-CN"/>
              </w:rPr>
              <w:t>投标时提供202</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年1月1日至投标截止之日的第三方检测机构出具的具有CMA</w:t>
            </w:r>
            <w:r>
              <w:rPr>
                <w:rFonts w:ascii="宋体" w:eastAsia="宋体" w:hAnsi="宋体" w:cs="宋体" w:hint="eastAsia"/>
                <w:kern w:val="2"/>
                <w:sz w:val="21"/>
                <w:szCs w:val="21"/>
                <w:lang w:eastAsia="zh-CN"/>
              </w:rPr>
              <w:t>或CNAS</w:t>
            </w:r>
            <w:r>
              <w:rPr>
                <w:rFonts w:ascii="宋体" w:eastAsia="宋体" w:hAnsi="宋体" w:cs="宋体" w:hint="eastAsia"/>
                <w:kern w:val="2"/>
                <w:sz w:val="21"/>
                <w:szCs w:val="21"/>
                <w:lang w:eastAsia="zh-CN"/>
              </w:rPr>
              <w:t>标识的检测报告扫描件，检测报告内容符合以上检测要求。同时需要提供在全国认证认可信息公共服务平台（认e云-http://cx.cnca.cn/）检测报告查询截图，原件备查。</w:t>
            </w:r>
          </w:p>
        </w:tc>
      </w:tr>
      <w:tr>
        <w:tblPrEx>
          <w:tblW w:w="5000" w:type="pct"/>
          <w:jc w:val="center"/>
          <w:tblLayout w:type="fixed"/>
          <w:tblCellMar>
            <w:top w:w="0" w:type="dxa"/>
            <w:left w:w="108" w:type="dxa"/>
            <w:bottom w:w="0" w:type="dxa"/>
            <w:right w:w="108" w:type="dxa"/>
          </w:tblCellMar>
        </w:tblPrEx>
        <w:trPr>
          <w:trHeight w:val="510"/>
          <w:jc w:val="center"/>
        </w:trPr>
        <w:tc>
          <w:tcPr>
            <w:tcW w:w="1081" w:type="dxa"/>
            <w:vMerge w:val="restart"/>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Cs/>
                <w:sz w:val="21"/>
                <w:szCs w:val="21"/>
                <w:lang w:eastAsia="zh-CN"/>
              </w:rPr>
            </w:pPr>
            <w:r>
              <w:rPr>
                <w:rFonts w:ascii="宋体" w:eastAsia="宋体" w:hAnsi="宋体" w:cs="宋体" w:hint="eastAsia"/>
                <w:bCs/>
                <w:sz w:val="21"/>
                <w:szCs w:val="21"/>
                <w:lang w:eastAsia="zh-CN"/>
              </w:rPr>
              <w:t>6</w:t>
            </w:r>
          </w:p>
        </w:tc>
        <w:tc>
          <w:tcPr>
            <w:tcW w:w="1980" w:type="dxa"/>
            <w:vMerge w:val="restart"/>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Cs/>
                <w:sz w:val="21"/>
                <w:szCs w:val="21"/>
              </w:rPr>
            </w:pPr>
            <w:r>
              <w:rPr>
                <w:rFonts w:ascii="宋体" w:eastAsia="宋体" w:hAnsi="宋体" w:cs="宋体" w:hint="eastAsia"/>
                <w:bCs/>
                <w:sz w:val="21"/>
                <w:szCs w:val="21"/>
              </w:rPr>
              <w:t>户外休闲桌椅</w:t>
            </w:r>
          </w:p>
        </w:tc>
        <w:tc>
          <w:tcPr>
            <w:tcW w:w="6003" w:type="dxa"/>
            <w:noWrap w:val="0"/>
            <w:vAlign w:val="top"/>
          </w:tcPr>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bCs/>
                <w:sz w:val="21"/>
                <w:szCs w:val="21"/>
              </w:rPr>
            </w:pPr>
            <w:r>
              <w:rPr>
                <w:rFonts w:ascii="宋体" w:eastAsia="宋体" w:hAnsi="宋体" w:cs="宋体" w:hint="eastAsia"/>
                <w:sz w:val="21"/>
                <w:szCs w:val="21"/>
              </w:rPr>
              <w:t>1.规格：（W1400*D1760*H750）mm±5%，实际尺寸以现场测量为准；</w:t>
            </w:r>
          </w:p>
        </w:tc>
      </w:tr>
      <w:tr>
        <w:tblPrEx>
          <w:tblW w:w="5000" w:type="pct"/>
          <w:jc w:val="center"/>
          <w:tblLayout w:type="fixed"/>
          <w:tblCellMar>
            <w:top w:w="0" w:type="dxa"/>
            <w:left w:w="108" w:type="dxa"/>
            <w:bottom w:w="0" w:type="dxa"/>
            <w:right w:w="108" w:type="dxa"/>
          </w:tblCellMar>
        </w:tblPrEx>
        <w:trPr>
          <w:trHeight w:val="510"/>
          <w:jc w:val="center"/>
        </w:trPr>
        <w:tc>
          <w:tcPr>
            <w:tcW w:w="1081" w:type="dxa"/>
            <w:vMerge/>
            <w:noWrap w:val="0"/>
            <w:vAlign w:val="center"/>
          </w:tcPr>
          <w:p>
            <w:pPr>
              <w:keepNext w:val="0"/>
              <w:keepLines w:val="0"/>
              <w:pageBreakBefore w:val="0"/>
              <w:kinsoku/>
              <w:wordWrap/>
              <w:overflowPunct/>
              <w:topLinePunct w:val="0"/>
              <w:autoSpaceDE/>
              <w:autoSpaceDN/>
              <w:bidi w:val="0"/>
              <w:adjustRightInd/>
              <w:spacing w:line="312" w:lineRule="auto"/>
              <w:jc w:val="center"/>
              <w:textAlignment w:val="auto"/>
              <w:rPr>
                <w:rFonts w:ascii="宋体" w:eastAsia="宋体" w:hAnsi="宋体" w:cs="宋体" w:hint="eastAsia"/>
                <w:bCs/>
                <w:sz w:val="21"/>
                <w:szCs w:val="21"/>
              </w:rPr>
            </w:pPr>
          </w:p>
        </w:tc>
        <w:tc>
          <w:tcPr>
            <w:tcW w:w="1980" w:type="dxa"/>
            <w:vMerge/>
            <w:noWrap w:val="0"/>
            <w:vAlign w:val="top"/>
          </w:tcPr>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bCs/>
                <w:sz w:val="21"/>
                <w:szCs w:val="21"/>
              </w:rPr>
            </w:pPr>
          </w:p>
        </w:tc>
        <w:tc>
          <w:tcPr>
            <w:tcW w:w="6003" w:type="dxa"/>
            <w:noWrap w:val="0"/>
            <w:vAlign w:val="top"/>
          </w:tcPr>
          <w:p>
            <w:pPr>
              <w:keepNext w:val="0"/>
              <w:keepLines w:val="0"/>
              <w:pageBreakBefore w:val="0"/>
              <w:kinsoku/>
              <w:wordWrap/>
              <w:overflowPunct/>
              <w:topLinePunct w:val="0"/>
              <w:autoSpaceDE/>
              <w:autoSpaceDN/>
              <w:bidi w:val="0"/>
              <w:adjustRightInd/>
              <w:spacing w:line="312" w:lineRule="auto"/>
              <w:textAlignment w:val="auto"/>
              <w:rPr>
                <w:rFonts w:ascii="宋体" w:eastAsia="宋体" w:hAnsi="宋体" w:cs="宋体" w:hint="eastAsia"/>
                <w:bCs/>
                <w:sz w:val="21"/>
                <w:szCs w:val="21"/>
              </w:rPr>
            </w:pPr>
            <w:r>
              <w:rPr>
                <w:rFonts w:ascii="宋体" w:eastAsia="宋体" w:hAnsi="宋体" w:cs="宋体" w:hint="eastAsia"/>
                <w:sz w:val="21"/>
                <w:szCs w:val="21"/>
              </w:rPr>
              <w:t>2.采用环保塑木桌椅，铝合金框架支撑，带防滑塑胶脚垫。</w:t>
            </w:r>
          </w:p>
        </w:tc>
      </w:tr>
    </w:tbl>
    <w:p>
      <w:pPr>
        <w:widowControl w:val="0"/>
        <w:jc w:val="both"/>
        <w:rPr>
          <w:rFonts w:ascii="Calibri" w:eastAsia="宋体" w:hAnsi="Calibri"/>
          <w:bCs/>
          <w:kern w:val="2"/>
          <w:sz w:val="21"/>
          <w:szCs w:val="21"/>
          <w:lang w:eastAsia="zh-CN"/>
        </w:rPr>
      </w:pP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highlight w:val="yellow"/>
          <w:lang w:eastAsia="zh-CN"/>
        </w:rPr>
      </w:pPr>
      <w:r>
        <w:rPr>
          <w:rFonts w:ascii="宋体" w:eastAsia="宋体" w:hAnsi="宋体" w:cstheme="minorBidi" w:hint="eastAsia"/>
          <w:b/>
          <w:bCs/>
          <w:kern w:val="2"/>
          <w:sz w:val="28"/>
          <w:szCs w:val="28"/>
          <w:lang w:eastAsia="zh-CN"/>
        </w:rPr>
        <w:t>六、图纸</w:t>
      </w:r>
    </w:p>
    <w:p>
      <w:pPr>
        <w:spacing w:before="60" w:beforeLines="25" w:after="60" w:afterLines="25" w:line="360" w:lineRule="auto"/>
        <w:ind w:firstLine="449" w:firstLineChars="187"/>
      </w:pPr>
      <w:r>
        <w:drawing>
          <wp:inline distT="0" distB="0" distL="114300" distR="114300">
            <wp:extent cx="4378960" cy="6421755"/>
            <wp:effectExtent l="0" t="0" r="254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4"/>
                    <a:stretch>
                      <a:fillRect/>
                    </a:stretch>
                  </pic:blipFill>
                  <pic:spPr>
                    <a:xfrm>
                      <a:off x="0" y="0"/>
                      <a:ext cx="4378960" cy="6421755"/>
                    </a:xfrm>
                    <a:prstGeom prst="rect">
                      <a:avLst/>
                    </a:prstGeom>
                    <a:noFill/>
                    <a:ln>
                      <a:noFill/>
                    </a:ln>
                  </pic:spPr>
                </pic:pic>
              </a:graphicData>
            </a:graphic>
          </wp:inline>
        </w:drawing>
      </w:r>
    </w:p>
    <w:p>
      <w:pPr>
        <w:spacing w:before="60" w:beforeLines="25" w:after="60" w:afterLines="25" w:line="360" w:lineRule="auto"/>
        <w:ind w:firstLine="449" w:firstLineChars="187"/>
        <w:rPr>
          <w:rFonts w:hint="eastAsia"/>
        </w:rPr>
      </w:pP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七、注意事项</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1、中标供应商不得将项目非法分包或转包给任何单位和个人。否则，采购单位有权即刻终止合同，并要求中标供应商赔偿相应损失。</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2、投标人使用的标准必须是国际公认或国家、或地方政府颁布的同等或更高的标准，如投标人使用的标准低于上述标准,评审委员会将有权不予接受，投标人必须列表将明显的差异详细说明。</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3、供应商须在质疑期内一次性提出针对同一采购程序环节的质疑。</w:t>
      </w:r>
    </w:p>
    <w:p>
      <w:pPr>
        <w:widowControl w:val="0"/>
        <w:ind w:firstLine="420" w:firstLineChars="200"/>
        <w:jc w:val="both"/>
        <w:rPr>
          <w:rFonts w:ascii="Calibri" w:eastAsia="宋体" w:hAnsi="Calibri"/>
          <w:bCs/>
          <w:kern w:val="2"/>
          <w:sz w:val="21"/>
          <w:szCs w:val="21"/>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spacing w:line="360" w:lineRule="auto"/>
        <w:rPr>
          <w:rFonts w:ascii="Calibri" w:eastAsia="宋体" w:hAnsi="Calibri"/>
          <w:b/>
          <w:bCs/>
          <w:kern w:val="2"/>
          <w:sz w:val="21"/>
          <w:szCs w:val="22"/>
          <w:lang w:eastAsia="zh-CN"/>
        </w:rPr>
      </w:pPr>
    </w:p>
    <w:p>
      <w:pPr>
        <w:widowControl w:val="0"/>
        <w:jc w:val="both"/>
        <w:rPr>
          <w:rFonts w:ascii="Calibri" w:eastAsia="宋体" w:hAnsi="Calibri" w:cs="Calibri"/>
          <w:i/>
          <w:iCs/>
          <w:color w:val="000000"/>
          <w:kern w:val="2"/>
          <w:sz w:val="21"/>
          <w:szCs w:val="22"/>
          <w:lang w:eastAsia="zh-CN"/>
        </w:rPr>
      </w:pPr>
    </w:p>
    <w:p>
      <w:pPr>
        <w:rPr>
          <w:rFonts w:ascii="Calibri" w:eastAsia="宋体" w:hAnsi="Calibri"/>
          <w:kern w:val="2"/>
          <w:sz w:val="21"/>
          <w:szCs w:val="22"/>
          <w:lang w:eastAsia="zh-CN"/>
        </w:rPr>
      </w:pPr>
    </w:p>
    <w:p>
      <w:pPr>
        <w:spacing w:line="360" w:lineRule="auto"/>
        <w:rPr>
          <w:b/>
          <w:bCs/>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keepNext/>
        <w:keepLines/>
        <w:widowControl w:val="0"/>
        <w:adjustRightInd w:val="0"/>
        <w:spacing w:line="320" w:lineRule="atLeast"/>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  投标文件组成要求及格式</w:t>
      </w:r>
    </w:p>
    <w:p>
      <w:pPr>
        <w:widowControl w:val="0"/>
        <w:spacing w:line="360" w:lineRule="auto"/>
        <w:jc w:val="both"/>
        <w:rPr>
          <w:rFonts w:ascii="Calibri" w:eastAsia="宋体" w:hAnsi="Calibri"/>
          <w:b/>
          <w:bCs/>
          <w:kern w:val="2"/>
          <w:szCs w:val="22"/>
          <w:lang w:eastAsia="zh-CN"/>
        </w:rPr>
      </w:pPr>
      <w:bookmarkStart w:id="14" w:name="_Hlk72257167"/>
    </w:p>
    <w:bookmarkEnd w:id="14"/>
    <w:p>
      <w:pPr>
        <w:widowControl/>
        <w:spacing w:line="320" w:lineRule="atLeast"/>
        <w:jc w:val="left"/>
        <w:outlineLvl w:val="2"/>
        <w:rPr>
          <w:rFonts w:ascii="宋体" w:eastAsia="黑体" w:hAnsi="宋体"/>
          <w:bCs/>
          <w:kern w:val="44"/>
          <w:lang w:eastAsia="zh-CN"/>
        </w:rPr>
      </w:pPr>
      <w:r>
        <w:rPr>
          <w:rFonts w:ascii="宋体" w:eastAsia="黑体" w:hAnsi="宋体" w:hint="eastAsia"/>
          <w:bCs/>
          <w:kern w:val="44"/>
          <w:lang w:eastAsia="zh-CN"/>
        </w:rPr>
        <w:t>投标文件组成：</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bookmarkStart w:id="15" w:name="_Hlk72257771"/>
      <w:r>
        <w:rPr>
          <w:rFonts w:hint="eastAsia"/>
        </w:rPr>
        <w:t>（1）投标函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（2）龙华区教育局自行采购投标及履约承诺函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（3）投标人情况及资格证明文件</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（4）分项报价清单</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（5）股东构成审查表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（6）法定代表人（负责人）证明书</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（7）投标文件签署授权委托书</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（8）实质性条款响应情况表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（9）技术要求偏离表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（10）商务要求偏离表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（11）技术保障措施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（12）服务方案</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（13）设计方案</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（14）同类项目业绩</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hAnsi="宋体" w:cs="宋体" w:hint="eastAsia"/>
        </w:rPr>
      </w:pPr>
      <w:r>
        <w:rPr>
          <w:rFonts w:hint="eastAsia"/>
        </w:rPr>
        <w:t>（1</w:t>
      </w:r>
      <w:r>
        <w:rPr>
          <w:rFonts w:eastAsia="宋体" w:hint="eastAsia"/>
          <w:lang w:eastAsia="zh-CN"/>
        </w:rPr>
        <w:t>5</w:t>
      </w:r>
      <w:r>
        <w:rPr>
          <w:rFonts w:hint="eastAsia"/>
        </w:rPr>
        <w:t>）履约评价情况</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hAnsi="宋体" w:cs="宋体" w:hint="eastAsia"/>
        </w:rPr>
      </w:pPr>
      <w:r>
        <w:rPr>
          <w:rFonts w:hint="eastAsia"/>
        </w:rPr>
        <w:t>（1</w:t>
      </w:r>
      <w:r>
        <w:rPr>
          <w:rFonts w:eastAsia="宋体" w:hint="eastAsia"/>
          <w:lang w:eastAsia="zh-CN"/>
        </w:rPr>
        <w:t>6</w:t>
      </w:r>
      <w:r>
        <w:rPr>
          <w:rFonts w:hint="eastAsia"/>
        </w:rPr>
        <w:t>）诚信承诺函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hAnsi="宋体" w:cs="宋体" w:hint="eastAsia"/>
        </w:rPr>
      </w:pPr>
      <w:r>
        <w:rPr>
          <w:rFonts w:hint="eastAsia"/>
        </w:rPr>
        <w:t>（</w:t>
      </w:r>
      <w:r>
        <w:rPr>
          <w:rFonts w:eastAsia="宋体" w:hint="eastAsia"/>
          <w:lang w:eastAsia="zh-CN"/>
        </w:rPr>
        <w:t>1</w:t>
      </w:r>
      <w:r>
        <w:rPr>
          <w:rFonts w:eastAsia="宋体" w:hint="eastAsia"/>
          <w:lang w:eastAsia="zh-CN"/>
        </w:rPr>
        <w:t>7</w:t>
      </w:r>
      <w:r>
        <w:rPr>
          <w:rFonts w:hint="eastAsia"/>
        </w:rPr>
        <w:t>）投标人认为需要加以说明的其他内容</w:t>
      </w:r>
    </w:p>
    <w:p>
      <w:pPr>
        <w:widowControl w:val="0"/>
        <w:spacing w:line="320" w:lineRule="atLeast"/>
        <w:jc w:val="both"/>
        <w:rPr>
          <w:rFonts w:ascii="宋体" w:eastAsia="宋体" w:hAnsi="宋体"/>
          <w:b/>
          <w:kern w:val="2"/>
          <w:lang w:eastAsia="zh-CN"/>
        </w:rPr>
      </w:pPr>
      <w:r>
        <w:rPr>
          <w:rFonts w:ascii="宋体" w:eastAsia="宋体" w:hAnsi="宋体" w:cstheme="minorBidi" w:hint="eastAsia"/>
          <w:b/>
          <w:kern w:val="2"/>
          <w:lang w:eastAsia="zh-CN"/>
        </w:rPr>
        <w:t>备注：</w:t>
      </w:r>
    </w:p>
    <w:p>
      <w:pPr>
        <w:widowControl w:val="0"/>
        <w:snapToGrid w:val="0"/>
        <w:spacing w:line="320" w:lineRule="atLeast"/>
        <w:ind w:firstLine="480" w:firstLineChars="200"/>
        <w:jc w:val="both"/>
        <w:rPr>
          <w:rFonts w:ascii="宋体" w:eastAsia="宋体" w:hAnsi="宋体"/>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pPr>
        <w:widowControl w:val="0"/>
        <w:snapToGrid w:val="0"/>
        <w:spacing w:after="60" w:afterLines="25"/>
        <w:ind w:firstLine="480" w:firstLineChars="200"/>
        <w:jc w:val="both"/>
        <w:rPr>
          <w:rFonts w:ascii="宋体" w:eastAsia="黑体" w:hAnsi="宋体"/>
          <w:bCs/>
          <w:kern w:val="44"/>
          <w:sz w:val="32"/>
          <w:szCs w:val="32"/>
          <w:lang w:eastAsia="zh-CN"/>
        </w:rPr>
      </w:pPr>
      <w:bookmarkStart w:id="16" w:name="_Hlk72263559"/>
      <w:r>
        <w:rPr>
          <w:rFonts w:ascii="宋体" w:eastAsia="宋体" w:hAnsi="宋体" w:cstheme="minorBidi" w:hint="eastAsia"/>
          <w:b/>
          <w:kern w:val="2"/>
          <w:lang w:eastAsia="zh-CN"/>
        </w:rPr>
        <w:t>2.关于填写“开标一览表”的说明：“开标一览表”中除“投标总价”外，其他信息不作评审依据。</w:t>
      </w:r>
      <w:bookmarkEnd w:id="15"/>
      <w:bookmarkEnd w:id="16"/>
      <w:r>
        <w:rPr>
          <w:rFonts w:ascii="宋体" w:eastAsia="黑体" w:hAnsi="宋体"/>
          <w:bCs/>
          <w:kern w:val="44"/>
          <w:sz w:val="32"/>
          <w:szCs w:val="32"/>
          <w:lang w:eastAsia="zh-CN"/>
        </w:rPr>
        <w:br w:type="page"/>
      </w:r>
    </w:p>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一、投标函</w:t>
      </w:r>
    </w:p>
    <w:p>
      <w:pPr>
        <w:widowControl w:val="0"/>
        <w:spacing w:line="360" w:lineRule="auto"/>
        <w:jc w:val="both"/>
        <w:rPr>
          <w:rFonts w:ascii="宋体" w:eastAsia="宋体" w:hAnsi="宋体"/>
          <w:kern w:val="2"/>
          <w:sz w:val="21"/>
          <w:szCs w:val="21"/>
          <w:lang w:eastAsia="zh-CN"/>
        </w:rPr>
      </w:pPr>
      <w:bookmarkStart w:id="17" w:name="_Hlk72257506"/>
      <w:r>
        <w:rPr>
          <w:rFonts w:ascii="宋体" w:eastAsia="宋体" w:hAnsi="宋体" w:cstheme="minorBidi" w:hint="eastAsia"/>
          <w:kern w:val="2"/>
          <w:sz w:val="21"/>
          <w:szCs w:val="21"/>
          <w:lang w:eastAsia="zh-CN"/>
        </w:rPr>
        <w:t>致：</w:t>
      </w:r>
      <w:r>
        <w:rPr>
          <w:rFonts w:ascii="宋体" w:eastAsia="宋体" w:hAnsi="宋体" w:cstheme="minorBidi" w:hint="eastAsia"/>
          <w:b/>
          <w:color w:val="000000"/>
          <w:kern w:val="2"/>
          <w:sz w:val="21"/>
          <w:szCs w:val="21"/>
          <w:u w:val="single"/>
          <w:lang w:eastAsia="zh-CN"/>
        </w:rPr>
        <w:t>深圳市千里招标代理有限公司</w:t>
      </w:r>
    </w:p>
    <w:p>
      <w:pPr>
        <w:widowControl w:val="0"/>
        <w:spacing w:line="360" w:lineRule="auto"/>
        <w:ind w:firstLine="420" w:firstLineChars="200"/>
        <w:jc w:val="both"/>
        <w:rPr>
          <w:rFonts w:ascii="宋体" w:eastAsia="宋体" w:hAnsi="宋体"/>
          <w:kern w:val="2"/>
          <w:sz w:val="21"/>
          <w:szCs w:val="21"/>
          <w:lang w:eastAsia="zh-CN"/>
        </w:rPr>
      </w:pPr>
      <w:bookmarkStart w:id="18" w:name="_Hlk73818812"/>
      <w:r>
        <w:rPr>
          <w:rFonts w:ascii="Calibri" w:eastAsia="宋体" w:hAnsi="Calibri" w:cstheme="minorBidi" w:hint="eastAsia"/>
          <w:kern w:val="2"/>
          <w:sz w:val="21"/>
          <w:szCs w:val="21"/>
          <w:lang w:eastAsia="zh-CN"/>
        </w:rPr>
        <w:t>1、根据已收到贵单位的项目编号为</w:t>
      </w:r>
      <w:r>
        <w:rPr>
          <w:rFonts w:ascii="Calibri" w:eastAsia="宋体" w:hAnsi="Calibri" w:cstheme="minorBidi" w:hint="eastAsia"/>
          <w:kern w:val="2"/>
          <w:sz w:val="21"/>
          <w:szCs w:val="21"/>
          <w:u w:val="single"/>
          <w:lang w:eastAsia="zh-CN"/>
        </w:rPr>
        <w:t>LHAZXDL-2024-00261</w:t>
      </w:r>
      <w:r>
        <w:rPr>
          <w:rFonts w:ascii="Calibri" w:eastAsia="宋体" w:hAnsi="Calibri" w:cstheme="minorBidi" w:hint="eastAsia"/>
          <w:kern w:val="2"/>
          <w:sz w:val="21"/>
          <w:szCs w:val="21"/>
          <w:lang w:eastAsia="zh-CN"/>
        </w:rPr>
        <w:t>的</w:t>
      </w:r>
      <w:r>
        <w:rPr>
          <w:rFonts w:ascii="Calibri" w:eastAsia="宋体" w:hAnsi="Calibri" w:cstheme="minorBidi" w:hint="eastAsia"/>
          <w:kern w:val="2"/>
          <w:sz w:val="21"/>
          <w:szCs w:val="21"/>
          <w:u w:val="thick"/>
          <w:lang w:eastAsia="zh-CN"/>
        </w:rPr>
        <w:t>楼层宿管员值班房家具采购</w:t>
      </w:r>
      <w:r>
        <w:rPr>
          <w:rFonts w:ascii="Calibri" w:eastAsia="宋体" w:hAnsi="Calibri" w:cstheme="minorBidi"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19" w:name="_Hlk72263588"/>
      <w:r>
        <w:rPr>
          <w:rFonts w:ascii="Calibri" w:eastAsia="宋体" w:hAnsi="Calibri" w:cstheme="minorBidi" w:hint="eastAsia"/>
          <w:kern w:val="2"/>
          <w:sz w:val="21"/>
          <w:szCs w:val="21"/>
          <w:lang w:eastAsia="zh-CN"/>
        </w:rPr>
        <w:t>愿意按照招标文件要求承包上述项目并修补其任何缺陷。</w:t>
      </w:r>
      <w:bookmarkEnd w:id="19"/>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20"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20"/>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pPr>
        <w:widowControl w:val="0"/>
        <w:spacing w:line="360" w:lineRule="auto"/>
        <w:ind w:left="480" w:left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18"/>
    </w:p>
    <w:p>
      <w:pPr>
        <w:widowControl w:val="0"/>
        <w:spacing w:line="360" w:lineRule="auto"/>
        <w:ind w:left="480" w:left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、如我单位提交样品，且未在规定时间内取回样品的，视同放弃取回，同意深圳市千里招标代理有限公司对我单位提交的样品进行清理。</w:t>
      </w:r>
    </w:p>
    <w:p>
      <w:pPr>
        <w:widowControl w:val="0"/>
        <w:spacing w:line="360" w:lineRule="auto"/>
        <w:ind w:left="480" w:firstLine="210" w:leftChars="200" w:firstLineChars="100"/>
        <w:jc w:val="both"/>
        <w:rPr>
          <w:rFonts w:ascii="Calibri" w:eastAsia="宋体" w:hAnsi="Calibri"/>
          <w:kern w:val="2"/>
          <w:sz w:val="21"/>
          <w:szCs w:val="21"/>
          <w:lang w:eastAsia="zh-CN"/>
        </w:rPr>
      </w:pP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法定代表人（负责人）或其授权委托代理人：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邮政编码：</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传真：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Cs w:val="22"/>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bookmarkEnd w:id="17"/>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二、龙华区教育局自行采购投标及履约承诺函</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致：</w:t>
      </w:r>
      <w:r>
        <w:rPr>
          <w:rFonts w:ascii="宋体" w:eastAsia="宋体" w:hAnsi="宋体" w:cs="宋体" w:hint="eastAsia"/>
          <w:kern w:val="2"/>
          <w:sz w:val="21"/>
          <w:szCs w:val="21"/>
          <w:u w:val="single"/>
          <w:lang w:eastAsia="zh-CN"/>
        </w:rPr>
        <w:t>深圳市千里招标代理有限公司</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我单位承诺：</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1.我单位本招标项目所提供的货物或服务未侵犯知识产权。</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2.我单位参与本项目投标前三年内，在经营活动中没有重大违法记录。</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3.我单位参与本项目政府采购活动时不存在被有关部门禁止参与政府采购活动且在有效期内的情况。</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4.我单位具备《中华人民共和国政府采购法》第二十二条第一款规定的六项条件。</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5.我单位未被列入失信被执行人、重大税收违法案件当事人名单（税收违法黑名单）、政府采购严重违法失信行为记录名单。</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我单位严格遵守政府采购相关法律，投标做到诚实，不造假，不围标、串标、陪标，不存在编制、加密或上传标书的设备mac地址与其他投标人相同的情形。</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theme="minorBidi" w:hint="eastAsia"/>
          <w:kern w:val="2"/>
          <w:sz w:val="21"/>
          <w:szCs w:val="21"/>
          <w:lang w:eastAsia="zh-CN"/>
        </w:rPr>
        <w:t>我单位承诺参与本项目非联合体投标，不选用进口产品参与投标，中标后项目不转包，未经采购人同意不进行分包。</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我单位保证，若所投货物涉及《财政部生态环境部关于印发节能产品政府采购品目清单的通知》（财库〔2019〕19号）列明的政府采购强制产品，则所投该产品符合节能产品的认证要求，则所投该产品符合节能产品的认证要求。若所投产品包括数据中心相关设备的，应满足财政部《绿色数据中心政府采购需求标准（试行）》（财办库〔2023〕7号）要求。</w:t>
      </w:r>
    </w:p>
    <w:p>
      <w:pPr>
        <w:widowControl w:val="0"/>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12.我单位承诺，为采购项目提供整体设计、规范编制或者项目管理、监理、检测等服务的供应商，不再参加该采购项目同一合同项下的其他采购活动。</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13.我单位承诺，符合《中华人民共和国政府采购法实施条例》第十八条第一款规定，不存在我单位与其他供应商的负责人为同一人或者存在直接控股、管理关系的情况。</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14.所投标（响应）的货物、工程或服务，不存在侵犯知识产权的情况；已知悉并同意中标（成交）结果信息公示（公开）的内容。</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15.本单位（公司）不存在《深圳市财政局政府采购供应商信用信息管理办法》（深财规</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2023〕3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w:t>
      </w:r>
    </w:p>
    <w:p>
      <w:pPr>
        <w:widowControl w:val="0"/>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16.我单位自愿遵照龙华区教育系统自行采购的有关管理制度和规定，并自愿接受龙华区教育局和财政部门的有关监督。</w:t>
      </w:r>
    </w:p>
    <w:p>
      <w:pPr>
        <w:widowControl w:val="0"/>
        <w:ind w:firstLine="645"/>
        <w:jc w:val="both"/>
        <w:rPr>
          <w:rFonts w:ascii="宋体" w:eastAsia="宋体" w:hAnsi="宋体" w:cs="宋体"/>
          <w:kern w:val="2"/>
          <w:sz w:val="21"/>
          <w:szCs w:val="21"/>
          <w:lang w:eastAsia="zh-CN"/>
        </w:rPr>
      </w:pPr>
      <w:r>
        <w:rPr>
          <w:rFonts w:ascii="宋体" w:eastAsia="宋体" w:hAnsi="宋体" w:cstheme="minorBidi" w:hint="eastAsia"/>
          <w:color w:val="FF0000"/>
          <w:sz w:val="21"/>
          <w:szCs w:val="22"/>
          <w:lang w:eastAsia="zh-CN"/>
        </w:rPr>
        <w:t>17.如果我单位中标，将依照本项目招标文件要求，在接到深圳市千里招标代理有限公司通知（包括但不限于电话、短信通知）后3个工作日内，缴纳招标代理服务费。</w:t>
      </w:r>
    </w:p>
    <w:p>
      <w:pPr>
        <w:widowControl w:val="0"/>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以上承诺，如有违反，采购单位或龙华区教育局或财政部门可暂停我方两年内参与龙华区教育系统自行采购和深圳政府采购智慧平台深圳政府采购自行采购系统的投标资格，并愿承担由此给采购人带来的损失。以上承诺，如有违反，愿依照国家相关法律法规处理。</w:t>
      </w:r>
    </w:p>
    <w:p>
      <w:pPr>
        <w:widowControl w:val="0"/>
        <w:spacing w:line="560" w:lineRule="exact"/>
        <w:jc w:val="both"/>
        <w:rPr>
          <w:rFonts w:ascii="宋体" w:eastAsia="宋体" w:hAnsi="宋体" w:cs="宋体"/>
          <w:kern w:val="2"/>
          <w:sz w:val="18"/>
          <w:szCs w:val="18"/>
          <w:lang w:eastAsia="zh-CN"/>
        </w:rPr>
      </w:pPr>
    </w:p>
    <w:p>
      <w:pPr>
        <w:widowControl w:val="0"/>
        <w:spacing w:before="60" w:beforeLines="25" w:after="60" w:afterLines="25"/>
        <w:jc w:val="right"/>
        <w:rPr>
          <w:rFonts w:ascii="Calibri" w:eastAsia="宋体" w:hAnsi="Calibri" w:hint="eastAsia"/>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宋体" w:eastAsia="宋体" w:hAnsi="宋体" w:cs="宋体"/>
          <w:b/>
          <w:bCs/>
          <w:color w:val="FF0000"/>
          <w:kern w:val="2"/>
          <w:sz w:val="21"/>
          <w:szCs w:val="21"/>
          <w:lang w:eastAsia="zh-CN"/>
        </w:rPr>
      </w:pPr>
    </w:p>
    <w:p>
      <w:pPr>
        <w:widowControl w:val="0"/>
        <w:jc w:val="right"/>
        <w:rPr>
          <w:rFonts w:ascii="宋体" w:eastAsia="宋体" w:hAnsi="宋体"/>
          <w:color w:val="FF0000"/>
          <w:kern w:val="2"/>
          <w:sz w:val="21"/>
          <w:szCs w:val="21"/>
          <w:lang w:eastAsia="zh-CN"/>
        </w:rPr>
      </w:pPr>
      <w:r>
        <w:rPr>
          <w:rFonts w:ascii="宋体" w:eastAsia="宋体" w:hAnsi="宋体" w:cs="宋体" w:hint="eastAsia"/>
          <w:b/>
          <w:bCs/>
          <w:color w:val="FF0000"/>
          <w:kern w:val="2"/>
          <w:sz w:val="21"/>
          <w:szCs w:val="21"/>
          <w:lang w:eastAsia="zh-CN"/>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val="0"/>
        <w:ind w:firstLine="645"/>
        <w:jc w:val="both"/>
        <w:rPr>
          <w:rFonts w:ascii="宋体" w:eastAsia="宋体" w:hAnsi="宋体"/>
          <w:kern w:val="2"/>
          <w:sz w:val="21"/>
          <w:szCs w:val="21"/>
          <w:lang w:eastAsia="zh-CN"/>
        </w:rPr>
      </w:pP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三、投标人情况及资格证明文件</w:t>
      </w:r>
    </w:p>
    <w:p>
      <w:pPr>
        <w:widowControl w:val="0"/>
        <w:jc w:val="both"/>
        <w:rPr>
          <w:rFonts w:ascii="Calibri" w:eastAsia="宋体" w:hAnsi="Calibri"/>
          <w:b/>
          <w:bCs/>
          <w:kern w:val="2"/>
          <w:szCs w:val="22"/>
          <w:lang w:eastAsia="zh-CN"/>
        </w:rPr>
      </w:pPr>
    </w:p>
    <w:p>
      <w:pPr>
        <w:widowControl w:val="0"/>
        <w:ind w:firstLine="2640" w:firstLineChars="1100"/>
        <w:jc w:val="both"/>
        <w:outlineLvl w:val="3"/>
        <w:rPr>
          <w:rFonts w:ascii="黑体" w:eastAsia="黑体" w:hAnsi="宋体"/>
          <w:bCs/>
          <w:szCs w:val="32"/>
          <w:lang w:eastAsia="zh-CN"/>
        </w:rPr>
      </w:pPr>
      <w:bookmarkStart w:id="21" w:name="_Hlk72257590"/>
      <w:r>
        <w:rPr>
          <w:rFonts w:ascii="黑体" w:eastAsia="黑体" w:hAnsi="宋体" w:cstheme="minorBidi" w:hint="eastAsia"/>
          <w:bCs/>
          <w:szCs w:val="32"/>
          <w:lang w:eastAsia="zh-CN"/>
        </w:rPr>
        <w:t>（一）投标人资格证明文件</w:t>
      </w:r>
    </w:p>
    <w:p>
      <w:pPr>
        <w:widowControl w:val="0"/>
        <w:spacing w:before="120"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申请人的资格要求”（即投标人资格要求）提供相关的资格证明资料，未提供或提供不完整、不符合要求的，将作投标无效处理，其中要求提供《龙华区教育局自行采购投标及履约承诺函》且已在“二、龙华区教育局自行采购投标及履约承诺函”章节中提供了，此处可不重复提供。）</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bCs/>
          <w:szCs w:val="32"/>
          <w:lang w:eastAsia="zh-CN"/>
        </w:rPr>
      </w:pPr>
      <w:bookmarkStart w:id="22" w:name="_Hlk72257908"/>
      <w:r>
        <w:rPr>
          <w:rFonts w:ascii="黑体" w:eastAsia="黑体" w:hAnsi="宋体" w:cstheme="minorBidi" w:hint="eastAsia"/>
          <w:bCs/>
          <w:szCs w:val="32"/>
          <w:lang w:eastAsia="zh-CN"/>
        </w:rPr>
        <w:t>（二）中小企业声明函、残疾人福利性单位声明函及监狱企业声明函</w:t>
      </w:r>
    </w:p>
    <w:bookmarkEnd w:id="21"/>
    <w:p>
      <w:pPr>
        <w:widowControl w:val="0"/>
        <w:jc w:val="both"/>
        <w:rPr>
          <w:rFonts w:ascii="Calibri" w:eastAsia="宋体" w:hAnsi="Calibri"/>
          <w:sz w:val="21"/>
          <w:szCs w:val="22"/>
          <w:lang w:eastAsia="zh-CN"/>
        </w:rPr>
      </w:pPr>
      <w:r>
        <w:rPr>
          <w:rFonts w:ascii="Calibri" w:eastAsia="宋体" w:hAnsi="Calibri" w:cstheme="minorBidi" w:hint="eastAsia"/>
          <w:sz w:val="21"/>
          <w:szCs w:val="22"/>
          <w:lang w:eastAsia="zh-CN"/>
        </w:rPr>
        <w:t>填写指引：</w:t>
      </w:r>
    </w:p>
    <w:p>
      <w:pPr>
        <w:widowControl w:val="0"/>
        <w:jc w:val="both"/>
        <w:rPr>
          <w:rFonts w:ascii="Calibri" w:eastAsia="宋体" w:hAnsi="Calibri"/>
          <w:kern w:val="2"/>
          <w:sz w:val="21"/>
          <w:szCs w:val="22"/>
          <w:lang w:eastAsia="zh-CN"/>
        </w:rPr>
      </w:pPr>
      <w:r>
        <w:rPr>
          <w:rFonts w:ascii="Calibri" w:eastAsia="宋体" w:hAnsi="宋体" w:cstheme="minorBidi" w:hint="eastAsia"/>
          <w:bCs/>
          <w:sz w:val="21"/>
          <w:szCs w:val="22"/>
          <w:lang w:eastAsia="zh-CN"/>
        </w:rPr>
        <w:t>1、该部分内容由投标人根据自身实际情况填写，不符合要求的投标人可以不填写或直接删除相应的声明函。</w:t>
      </w:r>
      <w:r>
        <w:rPr>
          <w:rFonts w:ascii="Calibri" w:eastAsia="宋体" w:hAnsi="Calibri" w:cstheme="minorBidi" w:hint="eastAsia"/>
          <w:kern w:val="2"/>
          <w:sz w:val="21"/>
          <w:szCs w:val="22"/>
          <w:lang w:eastAsia="zh-CN"/>
        </w:rPr>
        <w:t>投标人提供的声明函不属实的，属于提供虚假资料谋取中标，依照《中华人民共和国政府采购法》等国家有关规定追究相应责任。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2、该部分内容填写需要参考的相关文件：</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)财政部《政府采购促进中小企业发展管理办法》（财库〔2020〕46号）；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2</w:t>
      </w:r>
      <w:r>
        <w:rPr>
          <w:rFonts w:ascii="Calibri" w:eastAsia="宋体" w:hAnsi="Calibri" w:cstheme="minorBidi" w:hint="eastAsia"/>
          <w:kern w:val="2"/>
          <w:sz w:val="21"/>
          <w:szCs w:val="22"/>
          <w:lang w:eastAsia="zh-CN"/>
        </w:rPr>
        <w:t>)《工业和信息化部、国家统计局、国家发展和改革委员会、财政部关于印发中小企业划型标准规定的通知》（工信部联企业〔2011〕300号，以下简称3</w:t>
      </w:r>
      <w:r>
        <w:rPr>
          <w:rFonts w:ascii="Calibri" w:eastAsia="宋体" w:hAnsi="Calibri" w:cstheme="minorBidi"/>
          <w:kern w:val="2"/>
          <w:sz w:val="21"/>
          <w:szCs w:val="22"/>
          <w:lang w:eastAsia="zh-CN"/>
        </w:rPr>
        <w:t>00</w:t>
      </w:r>
      <w:r>
        <w:rPr>
          <w:rFonts w:ascii="Calibri" w:eastAsia="宋体" w:hAnsi="Calibri" w:cstheme="minorBidi" w:hint="eastAsia"/>
          <w:kern w:val="2"/>
          <w:sz w:val="21"/>
          <w:szCs w:val="22"/>
          <w:lang w:eastAsia="zh-CN"/>
        </w:rPr>
        <w:t>号文）；</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(3)《统计上大中小微型企业划分办法(2017)》（国统字〔2017〕213号）；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(4)《关于促进残疾人就业政府采购政策的通知》（财库〔2017〕141号）；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(5)《关于政府采购支持监狱企业发展有关问题的通知》（财库〔2014〕68号）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3、请依照提供的格式和内容填写声明函，不要随意变更格式；声明函不需要盖章或签字；满足多项优惠政策的投标人，不重复享受多项价格扣除政策。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4、声明函具体填写要求：</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（1）声明是中小企业须填写《中小企业声明函》的以下内容：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第一处，在“单位名称”下划线处如实填写采购人名称（深圳市千里招标代理有限公司不是本项目的采购人，而是组织实施机构）；</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第二处，在“项目名称”下划线处如实填写采购项目名称；</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（2）声明是残疾人福利性单位须填写《残疾人福利性单位声明函》的相关内容，具体参照以上《中小企业声明函》填写要求执行。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（3）声明是监狱企业须填写《监狱企业声明函》的三项内容（填写位置的字体已加粗），具体参照以上《中小企业声明函》填写要求执行。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宋体" w:hAnsi="Calibri"/>
          <w:kern w:val="2"/>
          <w:sz w:val="21"/>
          <w:szCs w:val="22"/>
          <w:lang w:eastAsia="zh-CN"/>
        </w:rPr>
      </w:pPr>
    </w:p>
    <w:p>
      <w:pPr>
        <w:widowControl w:val="0"/>
        <w:numPr>
          <w:ilvl w:val="0"/>
          <w:numId w:val="3"/>
        </w:numPr>
        <w:jc w:val="center"/>
        <w:outlineLvl w:val="3"/>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spacing w:line="360" w:lineRule="auto"/>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i/>
          <w:i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i/>
          <w:i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以上企业，不属于大企业的分支机构，不存在控股股东为大企业的情形，也不存在与大企业的负责人为同一人的情形。</w:t>
      </w:r>
    </w:p>
    <w:p>
      <w:pPr>
        <w:widowControl w:val="0"/>
        <w:spacing w:line="360" w:lineRule="auto"/>
        <w:ind w:firstLine="420" w:firstLineChars="200"/>
        <w:jc w:val="both"/>
        <w:rPr>
          <w:rFonts w:ascii="宋体" w:eastAsia="宋体" w:hAnsi="宋体" w:cs="宋体"/>
          <w:kern w:val="2"/>
          <w:sz w:val="21"/>
          <w:szCs w:val="21"/>
          <w:lang w:eastAsia="zh-CN"/>
        </w:rPr>
      </w:pPr>
      <w:bookmarkStart w:id="23" w:name="_Hlk73562203"/>
      <w:r>
        <w:rPr>
          <w:rFonts w:ascii="Calibri" w:eastAsia="宋体" w:hAnsi="Calibri" w:cstheme="minorBidi" w:hint="eastAsia"/>
          <w:color w:val="FF0000"/>
          <w:kern w:val="2"/>
          <w:sz w:val="21"/>
          <w:szCs w:val="22"/>
          <w:lang w:eastAsia="zh-CN"/>
        </w:rPr>
        <w:t>本项目所属行业：工业；</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本投标人对上述声明内容的真实性负责。如有虚假，将依法承担相应责任。</w:t>
      </w:r>
    </w:p>
    <w:p>
      <w:pPr>
        <w:widowControl w:val="0"/>
        <w:spacing w:line="360" w:lineRule="auto"/>
        <w:ind w:firstLine="420" w:firstLineChars="200"/>
        <w:jc w:val="both"/>
        <w:rPr>
          <w:rFonts w:eastAsia="宋体"/>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政府采购法》等政府采购有关法律法规规定追究相应责任。</w:t>
      </w:r>
      <w:bookmarkEnd w:id="23"/>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widowControl w:val="0"/>
        <w:spacing w:line="360" w:lineRule="auto"/>
        <w:ind w:firstLine="420" w:firstLineChars="200"/>
        <w:jc w:val="both"/>
        <w:rPr>
          <w:rFonts w:ascii="宋体" w:eastAsia="宋体" w:hAnsi="宋体" w:cs="宋体"/>
          <w:kern w:val="2"/>
          <w:sz w:val="21"/>
          <w:szCs w:val="21"/>
          <w:lang w:eastAsia="zh-CN"/>
        </w:rPr>
      </w:pPr>
      <w:bookmarkStart w:id="24" w:name="_Hlk73562331"/>
      <w:bookmarkStart w:id="25" w:name="_Hlk73562245"/>
      <w:r>
        <w:rPr>
          <w:rFonts w:ascii="宋体" w:eastAsia="宋体" w:hAnsi="宋体" w:cs="宋体" w:hint="eastAsia"/>
          <w:kern w:val="2"/>
          <w:sz w:val="21"/>
          <w:szCs w:val="21"/>
          <w:lang w:eastAsia="zh-CN"/>
        </w:rPr>
        <w:t>本单位郑重声明，根据《财政部民政部中国残疾人联合会关于促进残疾人就业政府采购政策的通知》（财库〔2017〕141号）的规定，本单位为符合条件的残疾人福利性单位，且本单位参加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24"/>
    </w:p>
    <w:bookmarkEnd w:id="25"/>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本投标人郑重声明，根据《财政部司法部关于政府采购支持监狱企业发展有关问题的通知》（财库〔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采购人</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i/>
          <w:i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kern w:val="2"/>
          <w:sz w:val="21"/>
          <w:szCs w:val="21"/>
          <w:lang w:eastAsia="zh-CN"/>
        </w:rPr>
        <w:t>；</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kern w:val="2"/>
          <w:sz w:val="21"/>
          <w:szCs w:val="21"/>
          <w:lang w:eastAsia="zh-CN"/>
        </w:rPr>
        <w:t>。</w:t>
      </w:r>
    </w:p>
    <w:p>
      <w:pPr>
        <w:widowControl w:val="0"/>
        <w:jc w:val="both"/>
        <w:rPr>
          <w:rFonts w:ascii="Calibri" w:eastAsia="宋体" w:hAnsi="Calibri" w:hint="eastAsia"/>
          <w:kern w:val="2"/>
          <w:sz w:val="21"/>
          <w:szCs w:val="22"/>
          <w:lang w:eastAsia="zh-CN"/>
        </w:rPr>
      </w:pPr>
      <w:r>
        <w:rPr>
          <w:rFonts w:ascii="Calibri" w:eastAsia="宋体" w:hAnsi="Calibri" w:cstheme="minorBidi"/>
          <w:kern w:val="2"/>
          <w:sz w:val="21"/>
          <w:szCs w:val="22"/>
          <w:lang w:eastAsia="zh-CN"/>
        </w:rPr>
        <w:t>……</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widowControl w:val="0"/>
        <w:spacing w:line="360" w:lineRule="auto"/>
        <w:ind w:firstLine="420" w:firstLineChars="200"/>
        <w:jc w:val="both"/>
        <w:rPr>
          <w:rFonts w:ascii="Calibri" w:eastAsia="宋体" w:hAnsi="Calibri"/>
          <w:b/>
          <w:bCs/>
          <w:color w:val="FF0000"/>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22"/>
    </w:p>
    <w:p>
      <w:pPr>
        <w:keepNext/>
        <w:keepLines/>
        <w:pageBreakBefore/>
        <w:widowControl w:val="0"/>
        <w:adjustRightInd w:val="0"/>
        <w:snapToGrid w:val="0"/>
        <w:spacing w:line="360" w:lineRule="auto"/>
        <w:jc w:val="center"/>
        <w:textAlignment w:val="baseline"/>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四、分项报价清单</w:t>
      </w:r>
    </w:p>
    <w:p>
      <w:pPr>
        <w:widowControl w:val="0"/>
        <w:spacing w:after="60" w:afterLines="25" w:line="300" w:lineRule="auto"/>
        <w:jc w:val="both"/>
        <w:rPr>
          <w:rFonts w:ascii="Arial" w:eastAsia="宋体" w:hAnsi="Arial" w:cs="Arial"/>
          <w:kern w:val="2"/>
          <w:sz w:val="21"/>
          <w:lang w:eastAsia="zh-CN"/>
        </w:rPr>
      </w:pPr>
      <w:r>
        <w:rPr>
          <w:rFonts w:ascii="Arial" w:eastAsia="宋体" w:hAnsi="Arial" w:cs="Arial" w:hint="eastAsia"/>
          <w:color w:val="000000"/>
          <w:kern w:val="2"/>
          <w:sz w:val="21"/>
          <w:lang w:eastAsia="zh-CN"/>
        </w:rPr>
        <w:t>投标单位（投标人）名称：</w:t>
      </w: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（一）项目报价表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4"/>
        <w:gridCol w:w="760"/>
        <w:gridCol w:w="760"/>
        <w:gridCol w:w="760"/>
        <w:gridCol w:w="760"/>
        <w:gridCol w:w="760"/>
        <w:gridCol w:w="760"/>
        <w:gridCol w:w="760"/>
        <w:gridCol w:w="836"/>
        <w:gridCol w:w="836"/>
        <w:gridCol w:w="99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85"/>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序号</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货物名称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品牌</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规格/型号</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制造商名称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原产地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数量</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单位</w:t>
            </w:r>
          </w:p>
        </w:tc>
        <w:tc>
          <w:tcPr>
            <w:tcW w:w="472"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单价(元)</w:t>
            </w:r>
          </w:p>
        </w:tc>
        <w:tc>
          <w:tcPr>
            <w:tcW w:w="472"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合价(元)</w:t>
            </w:r>
          </w:p>
        </w:tc>
        <w:tc>
          <w:tcPr>
            <w:tcW w:w="558"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val="9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restart"/>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5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0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3</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2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50"/>
          <w:jc w:val="center"/>
        </w:trPr>
        <w:tc>
          <w:tcPr>
            <w:tcW w:w="2639" w:type="pct"/>
            <w:gridSpan w:val="6"/>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投标总价（以上各项之和；币种：人民币；单位：元）</w:t>
            </w:r>
          </w:p>
        </w:tc>
        <w:tc>
          <w:tcPr>
            <w:tcW w:w="2361" w:type="pct"/>
            <w:gridSpan w:val="5"/>
            <w:vAlign w:val="center"/>
          </w:tcPr>
          <w:p>
            <w:pPr>
              <w:widowControl w:val="0"/>
              <w:jc w:val="both"/>
              <w:rPr>
                <w:rFonts w:ascii="Calibri" w:eastAsia="宋体" w:hAnsi="Calibri"/>
                <w:kern w:val="2"/>
                <w:sz w:val="21"/>
                <w:szCs w:val="21"/>
                <w:lang w:eastAsia="zh-CN"/>
              </w:rPr>
            </w:pPr>
          </w:p>
        </w:tc>
      </w:tr>
    </w:tbl>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填写说明：</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1.本表可根据实际需要增加相关内容，但原有的格式内容不得删减；</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2.“品牌”可以与商标一致，也可以填写便于区分其他公司商品的制造商简称或者制造商认可的品牌名称。</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3.如所投货物属于定制类的非量产货物或无具体型号的货物，可以在“规格/型号”一栏仅填写规格信息而不填写型号信息（型号信息用“定制”描述即可）；此类填写错误或缺漏（所投货物为定制类的非量产货物但供应商却错误填报了型号）可能带来的不利后果由供应商承担。</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4.“原产地”是指该货物的实际生产加工地，而非品牌所在地。</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5.所投货物均应填写制造商名称。“制造商”是指产品制造厂商，产品代工制造的，应填写接受委托生产制造的制造商。</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6.以上分项报价表的投标总价应当与开标一览表的投标总价一致。</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7.单价、合价和投标总价为包干价，即三者均应包含货物的价款、包装、运输、装卸、安装、调试、技术指导、培训、咨询、服务、保险、税费、检测、验收合格交付使用之前以及技术和售后服务等其他各项有关费用。</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8.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★9.如未提供《（一）项目报价表》或者不按《第三章用户需求书：二、货物需求明细》要求填报、漏报或错报的将作投标无效处理。</w:t>
      </w:r>
    </w:p>
    <w:p>
      <w:pPr>
        <w:widowControl w:val="0"/>
        <w:spacing w:after="120" w:line="240" w:lineRule="auto"/>
        <w:ind w:left="480" w:firstLine="420" w:leftChars="200" w:firstLineChars="200"/>
        <w:jc w:val="both"/>
        <w:rPr>
          <w:rFonts w:eastAsia="宋体" w:hint="eastAsia"/>
          <w:kern w:val="2"/>
          <w:sz w:val="21"/>
          <w:lang w:eastAsia="zh-CN"/>
        </w:rPr>
      </w:pPr>
    </w:p>
    <w:p>
      <w:pPr>
        <w:widowControl w:val="0"/>
        <w:spacing w:after="120" w:line="240" w:lineRule="auto"/>
        <w:ind w:left="0" w:firstLine="0" w:leftChars="0" w:firstLineChars="0"/>
        <w:jc w:val="both"/>
        <w:rPr>
          <w:rFonts w:eastAsia="宋体" w:hint="eastAsia"/>
          <w:kern w:val="2"/>
          <w:sz w:val="21"/>
          <w:lang w:eastAsia="zh-CN"/>
        </w:rPr>
      </w:pPr>
    </w:p>
    <w:p>
      <w:pPr>
        <w:widowControl w:val="0"/>
        <w:spacing w:after="120" w:line="240" w:lineRule="auto"/>
        <w:ind w:left="0" w:firstLine="0" w:leftChars="0" w:firstLineChars="0"/>
        <w:jc w:val="both"/>
        <w:rPr>
          <w:rFonts w:eastAsia="宋体" w:hint="eastAsia"/>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（二）核心产品品牌</w:t>
      </w:r>
    </w:p>
    <w:p>
      <w:pPr>
        <w:widowControl w:val="0"/>
        <w:spacing w:after="120" w:line="240" w:lineRule="auto"/>
        <w:ind w:left="480" w:firstLine="420" w:leftChars="200" w:firstLineChars="200"/>
        <w:jc w:val="both"/>
        <w:rPr>
          <w:rFonts w:ascii="Calibri" w:eastAsia="宋体" w:hAnsi="Calibri" w:hint="eastAsia"/>
          <w:kern w:val="2"/>
          <w:sz w:val="21"/>
          <w:szCs w:val="22"/>
          <w:lang w:eastAsia="zh-CN"/>
        </w:rPr>
      </w:pPr>
    </w:p>
    <w:p>
      <w:pPr>
        <w:widowControl w:val="0"/>
        <w:ind w:firstLine="480" w:firstLineChars="200"/>
        <w:jc w:val="both"/>
        <w:rPr>
          <w:rFonts w:ascii="宋体" w:eastAsia="宋体" w:hAnsi="宋体"/>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idowControl/>
        <w:wordWrap w:val="0"/>
        <w:autoSpaceDE w:val="0"/>
        <w:autoSpaceDN w:val="0"/>
        <w:spacing w:line="400" w:lineRule="exact"/>
        <w:ind w:right="808" w:firstLine="420" w:firstLineChars="200"/>
        <w:jc w:val="both"/>
        <w:rPr>
          <w:rFonts w:ascii="Arial" w:eastAsia="宋体" w:hAnsi="Arial"/>
          <w:b/>
          <w:kern w:val="2"/>
          <w:sz w:val="21"/>
          <w:lang w:eastAsia="zh-CN"/>
        </w:rPr>
      </w:pPr>
      <w:r>
        <w:rPr>
          <w:rFonts w:eastAsia="宋体" w:hint="eastAsia"/>
          <w:kern w:val="2"/>
          <w:sz w:val="21"/>
          <w:lang w:eastAsia="zh-CN"/>
        </w:rPr>
        <w:t>备注：单一产品采购项目，核心产品即为该单一产品。</w:t>
      </w: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（三）可选配件报价清单（非项目需求要求的必备配件，此部分不包括在总报价内）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注：格式可以参照《（一）项目报价表》表格，并提供相应的品牌/规格/型号、原产地、制造商信息（没有品牌、型号的，用“定制”描述即可）、单价等详细信息</w:t>
      </w: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（四）供应商认为需要涉及的其他内容报价清单</w:t>
      </w: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keepNext/>
        <w:keepLines/>
        <w:widowControl/>
        <w:spacing w:before="260" w:after="260"/>
        <w:jc w:val="center"/>
        <w:outlineLvl w:val="2"/>
        <w:rPr>
          <w:rFonts w:ascii="黑体" w:eastAsia="黑体" w:hAnsi="宋体"/>
          <w:b/>
          <w:kern w:val="2"/>
          <w:sz w:val="30"/>
          <w:szCs w:val="30"/>
          <w:lang w:eastAsia="zh-CN"/>
        </w:rPr>
      </w:pPr>
      <w:r>
        <w:rPr>
          <w:rFonts w:ascii="黑体" w:eastAsia="黑体" w:hAnsi="宋体" w:hint="eastAsia"/>
          <w:b/>
          <w:kern w:val="2"/>
          <w:sz w:val="30"/>
          <w:szCs w:val="30"/>
          <w:lang w:eastAsia="zh-CN"/>
        </w:rPr>
        <w:t>五、股东构成审查表</w:t>
      </w:r>
    </w:p>
    <w:p>
      <w:pPr>
        <w:keepNext/>
        <w:keepLines/>
        <w:widowControl w:val="0"/>
        <w:numPr>
          <w:ilvl w:val="0"/>
          <w:numId w:val="4"/>
        </w:numPr>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提供投标人所在地的市场监督管理部门“商事登记簿查询（商事主体登记及备案信息查询）”查询截图或提供国家企业信用信息公示系统截图；</w:t>
      </w:r>
    </w:p>
    <w:p>
      <w:pPr>
        <w:keepNext/>
        <w:keepLines/>
        <w:widowControl w:val="0"/>
        <w:numPr>
          <w:ilvl w:val="0"/>
          <w:numId w:val="0"/>
        </w:numPr>
        <w:kinsoku/>
        <w:overflowPunct/>
        <w:topLinePunct w:val="0"/>
        <w:bidi w:val="0"/>
        <w:spacing w:before="0" w:beforeAutospacing="0" w:after="0" w:afterAutospacing="0" w:line="360" w:lineRule="auto"/>
        <w:ind w:left="0" w:right="0" w:firstLine="0" w:leftChars="0" w:rightChars="0"/>
        <w:jc w:val="both"/>
        <w:outlineLvl w:val="9"/>
        <w:rPr>
          <w:rFonts w:ascii="宋体" w:eastAsia="宋体" w:hAnsi="宋体" w:cs="宋体" w:hint="eastAsia"/>
          <w:kern w:val="2"/>
          <w:sz w:val="21"/>
          <w:szCs w:val="22"/>
          <w:lang w:eastAsia="zh-CN"/>
        </w:rPr>
      </w:pPr>
      <w:r>
        <w:rPr>
          <w:rFonts w:ascii="宋体" w:eastAsia="宋体" w:hAnsi="宋体" w:cs="宋体" w:hint="eastAsia"/>
          <w:b/>
          <w:bCs/>
          <w:kern w:val="2"/>
          <w:sz w:val="21"/>
          <w:szCs w:val="22"/>
          <w:lang w:eastAsia="zh-CN"/>
        </w:rPr>
        <w:t>参考示例1：</w:t>
      </w:r>
      <w:r>
        <w:rPr>
          <w:rFonts w:ascii="宋体" w:eastAsia="宋体" w:hAnsi="宋体" w:cs="宋体" w:hint="eastAsia"/>
          <w:kern w:val="2"/>
          <w:sz w:val="21"/>
          <w:szCs w:val="22"/>
          <w:lang w:eastAsia="zh-CN"/>
        </w:rPr>
        <w:t>“深圳市市场监督管理局——商事登记簿查询（商事主体登记及备案信息查询）：</w:t>
      </w:r>
      <w:hyperlink r:id="rId5" w:history="1">
        <w:r>
          <w:rPr>
            <w:rFonts w:ascii="宋体" w:eastAsia="宋体" w:hAnsi="宋体" w:cs="宋体" w:hint="eastAsia"/>
            <w:color w:val="0000FF"/>
            <w:kern w:val="2"/>
            <w:sz w:val="21"/>
            <w:szCs w:val="22"/>
            <w:u w:val="single"/>
            <w:lang w:eastAsia="zh-CN"/>
          </w:rPr>
          <w:t>https://amr.sz.gov.cn/outer/entSelect/gs.html”。</w:t>
        </w:r>
      </w:hyperlink>
    </w:p>
    <w:p>
      <w:pPr>
        <w:widowControl/>
        <w:spacing w:line="360" w:lineRule="auto"/>
        <w:ind w:firstLine="480" w:firstLineChars="200"/>
        <w:jc w:val="left"/>
        <w:rPr>
          <w:rFonts w:ascii="宋体" w:eastAsia="宋体" w:hAnsi="宋体"/>
          <w:bCs/>
          <w:kern w:val="2"/>
          <w:sz w:val="21"/>
          <w:szCs w:val="21"/>
          <w:lang w:eastAsia="zh-CN"/>
        </w:rPr>
      </w:pPr>
      <w:r>
        <w:rPr>
          <w:rFonts w:ascii="宋体" w:eastAsia="宋体" w:hAnsi="宋体" w:cs="Times New Roman"/>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xmlns:r="http://schemas.openxmlformats.org/officeDocument/2006/relationships" r:embed="rId6"/>
                    <a:stretch>
                      <a:fillRect/>
                    </a:stretch>
                  </pic:blipFill>
                  <pic:spPr>
                    <a:xfrm>
                      <a:off x="0" y="0"/>
                      <a:ext cx="4886325" cy="4972050"/>
                    </a:xfrm>
                    <a:prstGeom prst="rect">
                      <a:avLst/>
                    </a:prstGeom>
                    <a:noFill/>
                    <a:ln w="9525">
                      <a:noFill/>
                      <a:miter lim="800000"/>
                      <a:headEnd/>
                      <a:tailEnd/>
                    </a:ln>
                  </pic:spPr>
                </pic:pic>
              </a:graphicData>
            </a:graphic>
          </wp:inline>
        </w:drawing>
      </w:r>
    </w:p>
    <w:p>
      <w:pPr>
        <w:widowControl/>
        <w:jc w:val="left"/>
        <w:rPr>
          <w:rFonts w:ascii="Calibri" w:eastAsia="宋体" w:hAnsi="Calibri"/>
          <w:kern w:val="2"/>
          <w:sz w:val="21"/>
          <w:szCs w:val="22"/>
          <w:lang w:eastAsia="zh-CN"/>
        </w:rPr>
      </w:pPr>
      <w:r>
        <w:rPr>
          <w:rFonts w:ascii="宋体" w:eastAsia="宋体" w:hAnsi="宋体" w:cs="Times New Roman"/>
          <w:kern w:val="0"/>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xmlns:r="http://schemas.openxmlformats.org/officeDocument/2006/relationships" r:embed="rId7"/>
                    <a:stretch>
                      <a:fillRect/>
                    </a:stretch>
                  </pic:blipFill>
                  <pic:spPr>
                    <a:xfrm>
                      <a:off x="0" y="0"/>
                      <a:ext cx="5267325" cy="2543175"/>
                    </a:xfrm>
                    <a:prstGeom prst="rect">
                      <a:avLst/>
                    </a:prstGeom>
                    <a:noFill/>
                    <a:ln w="9525">
                      <a:noFill/>
                      <a:miter lim="800000"/>
                      <a:headEnd/>
                      <a:tailEnd/>
                    </a:ln>
                  </pic:spPr>
                </pic:pic>
              </a:graphicData>
            </a:graphic>
          </wp:inline>
        </w:drawing>
      </w:r>
    </w:p>
    <w:p>
      <w:pPr>
        <w:widowControl w:val="0"/>
        <w:spacing w:line="360" w:lineRule="auto"/>
        <w:jc w:val="left"/>
        <w:rPr>
          <w:rFonts w:ascii="宋体" w:eastAsia="宋体" w:hAnsi="宋体" w:cs="宋体"/>
          <w:color w:val="0000FF"/>
          <w:kern w:val="2"/>
          <w:sz w:val="21"/>
          <w:szCs w:val="21"/>
          <w:u w:val="single"/>
          <w:lang w:eastAsia="zh-CN"/>
        </w:rPr>
      </w:pPr>
      <w:r>
        <w:rPr>
          <w:rFonts w:ascii="宋体" w:eastAsia="宋体" w:hAnsi="宋体" w:cs="宋体" w:hint="eastAsia"/>
          <w:b/>
          <w:bCs/>
          <w:kern w:val="2"/>
          <w:sz w:val="21"/>
          <w:szCs w:val="21"/>
          <w:lang w:eastAsia="zh-CN"/>
        </w:rPr>
        <w:t>参考示例2：</w:t>
      </w:r>
      <w:r>
        <w:rPr>
          <w:rFonts w:ascii="宋体" w:eastAsia="宋体" w:hAnsi="宋体" w:cs="宋体" w:hint="eastAsia"/>
          <w:kern w:val="2"/>
          <w:sz w:val="21"/>
          <w:szCs w:val="21"/>
          <w:lang w:eastAsia="zh-CN"/>
        </w:rPr>
        <w:t>提供国家企业信用信息公示系统截图</w:t>
      </w:r>
      <w:r>
        <w:rPr>
          <w:rFonts w:ascii="宋体" w:eastAsia="宋体" w:hAnsi="宋体" w:cs="宋体" w:hint="eastAsia"/>
          <w:b/>
          <w:bCs/>
          <w:color w:val="FF0000"/>
          <w:kern w:val="2"/>
          <w:sz w:val="21"/>
          <w:szCs w:val="21"/>
          <w:lang w:eastAsia="zh-CN"/>
        </w:rPr>
        <w:t>（须体现股东及出资信息）</w:t>
      </w:r>
      <w:r>
        <w:rPr>
          <w:rFonts w:ascii="宋体" w:eastAsia="宋体" w:hAnsi="宋体" w:cs="宋体" w:hint="eastAsia"/>
          <w:kern w:val="2"/>
          <w:sz w:val="21"/>
          <w:szCs w:val="21"/>
          <w:lang w:eastAsia="zh-CN"/>
        </w:rPr>
        <w:t>。网址：</w:t>
      </w:r>
      <w:hyperlink r:id="rId8" w:history="1">
        <w:r>
          <w:rPr>
            <w:rFonts w:ascii="宋体" w:eastAsia="宋体" w:hAnsi="宋体" w:cs="宋体" w:hint="eastAsia"/>
            <w:color w:val="0000FF"/>
            <w:kern w:val="2"/>
            <w:sz w:val="21"/>
            <w:szCs w:val="21"/>
            <w:u w:val="single"/>
            <w:lang w:eastAsia="zh-CN"/>
          </w:rPr>
          <w:t>https://www.gsxt.gov.cn/corp-query-homepage.html</w:t>
        </w:r>
      </w:hyperlink>
    </w:p>
    <w:p>
      <w:pPr>
        <w:widowControl w:val="0"/>
        <w:spacing w:line="360" w:lineRule="auto"/>
        <w:jc w:val="both"/>
        <w:rPr>
          <w:rFonts w:ascii="Calibri" w:eastAsia="宋体" w:hAnsi="Calibri"/>
          <w:b/>
          <w:bCs/>
          <w:kern w:val="2"/>
          <w:sz w:val="21"/>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xmlns:r="http://schemas.openxmlformats.org/officeDocument/2006/relationships" r:embed="rId9"/>
                    <a:stretch>
                      <a:fillRect/>
                    </a:stretch>
                  </pic:blipFill>
                  <pic:spPr>
                    <a:xfrm>
                      <a:off x="0" y="0"/>
                      <a:ext cx="5471795" cy="4735830"/>
                    </a:xfrm>
                    <a:prstGeom prst="rect">
                      <a:avLst/>
                    </a:prstGeom>
                    <a:noFill/>
                    <a:ln>
                      <a:noFill/>
                    </a:ln>
                  </pic:spPr>
                </pic:pic>
              </a:graphicData>
            </a:graphic>
          </wp:inline>
        </w:drawing>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2"/>
          <w:highlight w:val="yellow"/>
          <w:lang w:eastAsia="zh-CN"/>
        </w:rPr>
      </w:pPr>
      <w:r>
        <w:rPr>
          <w:rFonts w:ascii="宋体" w:eastAsia="宋体" w:hAnsi="宋体" w:cs="宋体" w:hint="eastAsia"/>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pPr>
        <w:widowControl w:val="0"/>
        <w:jc w:val="both"/>
        <w:rPr>
          <w:rFonts w:ascii="Calibri" w:eastAsia="宋体" w:hAnsi="Calibri"/>
          <w:kern w:val="2"/>
          <w:sz w:val="21"/>
          <w:szCs w:val="22"/>
          <w:lang w:eastAsia="zh-CN"/>
        </w:rPr>
      </w:pPr>
    </w:p>
    <w:p>
      <w:pPr>
        <w:widowControl w:val="0"/>
        <w:spacing w:line="360" w:lineRule="auto"/>
        <w:jc w:val="both"/>
        <w:rPr>
          <w:rFonts w:ascii="Calibri" w:eastAsia="宋体" w:hAnsi="Calibri"/>
          <w:color w:val="FF0000"/>
          <w:kern w:val="2"/>
          <w:sz w:val="21"/>
          <w:szCs w:val="22"/>
          <w:lang w:eastAsia="zh-CN"/>
        </w:rPr>
      </w:pPr>
      <w:r>
        <w:rPr>
          <w:rFonts w:ascii="宋体" w:eastAsia="宋体" w:hAnsi="宋体" w:cstheme="minorBidi" w:hint="eastAsia"/>
          <w:b/>
          <w:color w:val="FF0000"/>
          <w:kern w:val="2"/>
          <w:sz w:val="21"/>
          <w:szCs w:val="22"/>
          <w:lang w:eastAsia="zh-CN"/>
        </w:rPr>
        <w:t>注：</w:t>
      </w:r>
      <w:r>
        <w:rPr>
          <w:rFonts w:ascii="宋体" w:eastAsia="宋体" w:hAnsi="宋体" w:cstheme="minorBidi" w:hint="eastAsia"/>
          <w:b/>
          <w:color w:val="FF0000"/>
          <w:kern w:val="2"/>
          <w:sz w:val="21"/>
          <w:szCs w:val="22"/>
          <w:highlight w:val="yellow"/>
          <w:lang w:eastAsia="zh-CN"/>
        </w:rPr>
        <w:t>若投标供应商因自身的单位性质无法截图的，无需提供截图，例如事业单位或协会等社会组织。</w:t>
      </w:r>
    </w:p>
    <w:p>
      <w:pPr>
        <w:widowControl w:val="0"/>
        <w:spacing w:after="120"/>
        <w:ind w:left="0" w:firstLine="0" w:leftChars="0" w:firstLineChars="0"/>
        <w:jc w:val="both"/>
        <w:rPr>
          <w:rFonts w:ascii="宋体" w:eastAsia="宋体" w:hAnsi="宋体" w:cs="宋体" w:hint="eastAsia"/>
          <w:kern w:val="2"/>
          <w:sz w:val="21"/>
          <w:szCs w:val="22"/>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2、股东构成审查表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99"/>
        <w:gridCol w:w="6557"/>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89"/>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投标人名称</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4"/>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本单位负责人（法定代表人）姓名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本单位的控股股东</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□是，其控股股东为：</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其他主要股东及其股份占比：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136"/>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□是，该单位为：</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077"/>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□是，与招标人的关系为：</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□否</w:t>
            </w:r>
          </w:p>
        </w:tc>
      </w:tr>
    </w:tbl>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注：</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pPr>
        <w:widowControl/>
        <w:spacing w:line="360" w:lineRule="auto"/>
        <w:jc w:val="left"/>
        <w:rPr>
          <w:rFonts w:ascii="宋体" w:eastAsia="宋体" w:hAnsi="宋体" w:cs="宋体"/>
          <w:b/>
          <w:color w:val="000000"/>
          <w:kern w:val="2"/>
          <w:sz w:val="21"/>
          <w:szCs w:val="21"/>
          <w:lang w:eastAsia="zh-CN"/>
        </w:rPr>
      </w:pPr>
    </w:p>
    <w:p>
      <w:pPr>
        <w:widowControl w:val="0"/>
        <w:spacing w:after="60" w:afterLines="25" w:line="300" w:lineRule="auto"/>
        <w:jc w:val="center"/>
        <w:rPr>
          <w:rFonts w:ascii="Arial" w:eastAsia="宋体" w:hAnsi="Arial"/>
          <w:b/>
          <w:kern w:val="2"/>
          <w:sz w:val="21"/>
          <w:szCs w:val="22"/>
          <w:lang w:eastAsia="zh-CN"/>
        </w:rPr>
      </w:pPr>
    </w:p>
    <w:p>
      <w:pPr>
        <w:widowControl/>
        <w:jc w:val="center"/>
        <w:rPr>
          <w:rFonts w:ascii="Arial" w:eastAsia="宋体" w:hAnsi="Arial"/>
          <w:kern w:val="2"/>
          <w:sz w:val="21"/>
          <w:lang w:eastAsia="zh-CN"/>
        </w:rPr>
      </w:pPr>
      <w:r>
        <w:rPr>
          <w:rFonts w:ascii="Arial" w:eastAsia="宋体" w:hAnsi="Arial" w:cstheme="minorBidi"/>
          <w:kern w:val="2"/>
          <w:sz w:val="21"/>
          <w:szCs w:val="22"/>
          <w:lang w:eastAsia="zh-CN"/>
        </w:rPr>
        <w:br w:type="page"/>
      </w: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六、</w:t>
      </w:r>
      <w:bookmarkStart w:id="26" w:name="_Hlk72092499"/>
      <w:r>
        <w:rPr>
          <w:rFonts w:ascii="黑体" w:eastAsia="黑体" w:hAnsi="宋体" w:cstheme="minorBidi" w:hint="eastAsia"/>
          <w:b/>
          <w:kern w:val="2"/>
          <w:sz w:val="30"/>
          <w:szCs w:val="30"/>
          <w:lang w:eastAsia="zh-CN"/>
        </w:rPr>
        <w:t>法定代表人（负责人）证明书</w:t>
      </w:r>
      <w:bookmarkEnd w:id="26"/>
    </w:p>
    <w:p>
      <w:pPr>
        <w:widowControl w:val="0"/>
        <w:jc w:val="both"/>
        <w:rPr>
          <w:rFonts w:ascii="Calibri" w:eastAsia="宋体" w:hAnsi="Calibri"/>
          <w:kern w:val="2"/>
          <w:szCs w:val="22"/>
          <w:lang w:eastAsia="zh-CN"/>
        </w:rPr>
      </w:pPr>
    </w:p>
    <w:p>
      <w:pPr>
        <w:widowControl w:val="0"/>
        <w:spacing w:line="360" w:lineRule="auto"/>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（姓名），现任我单位职务，为法定代表人（负责人），身份证件号为：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说明：1、法定代表人为投标人（企业事业单位、国家机关、社会团体）的主要行政负责人。</w:t>
      </w:r>
    </w:p>
    <w:p>
      <w:pPr>
        <w:widowControl w:val="0"/>
        <w:numPr>
          <w:ilvl w:val="0"/>
          <w:numId w:val="5"/>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本证明书要供法定代表人（负责人）相关身份证明文件：身份证扫描件（正反两面）；港澳台居民可提供来往通行证扫描件；非中国国籍管辖范围人员，可提供公安部门认可的身份证明材料扫描件。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5"/>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本项目投标授权代表为法定代表人（负责人）的，无需提供《投标文件签署授权委托书》。</w:t>
      </w:r>
    </w:p>
    <w:p>
      <w:pPr>
        <w:widowControl w:val="0"/>
        <w:numPr>
          <w:ilvl w:val="0"/>
          <w:numId w:val="5"/>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8"/>
        <w:gridCol w:w="442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68"/>
        </w:trPr>
        <w:tc>
          <w:tcPr>
            <w:tcW w:w="4529"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530"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0" w:firstLine="0" w:leftChars="0" w:firstLineChars="0"/>
        <w:jc w:val="both"/>
        <w:rPr>
          <w:rFonts w:ascii="Calibri" w:eastAsia="宋体" w:hAnsi="Calibri"/>
          <w:kern w:val="2"/>
          <w:szCs w:val="22"/>
          <w:lang w:eastAsia="zh-CN"/>
        </w:rPr>
      </w:pPr>
    </w:p>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七、投标文件签署授权委托书</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hint="eastAsia"/>
          <w:kern w:val="2"/>
          <w:sz w:val="21"/>
          <w:szCs w:val="21"/>
          <w:lang w:eastAsia="zh-CN"/>
        </w:rPr>
      </w:pP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身份证件号：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月</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18"/>
        </w:trPr>
        <w:tc>
          <w:tcPr>
            <w:tcW w:w="4269"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270"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tabs>
          <w:tab w:val="left" w:pos="651"/>
        </w:tabs>
        <w:snapToGrid w:val="0"/>
        <w:jc w:val="center"/>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jc w:val="center"/>
        <w:rPr>
          <w:rFonts w:ascii="黑体" w:eastAsia="黑体" w:hAnsi="Calibri"/>
          <w:b/>
          <w:kern w:val="2"/>
          <w:sz w:val="30"/>
          <w:szCs w:val="22"/>
          <w:lang w:eastAsia="zh-CN"/>
        </w:rPr>
      </w:pPr>
      <w:r>
        <w:rPr>
          <w:rFonts w:ascii="黑体" w:eastAsia="黑体" w:hAnsi="Calibri" w:cstheme="minorBidi" w:hint="eastAsia"/>
          <w:b/>
          <w:kern w:val="2"/>
          <w:sz w:val="30"/>
          <w:szCs w:val="22"/>
          <w:lang w:eastAsia="zh-CN"/>
        </w:rPr>
        <w:t>八、</w:t>
      </w:r>
      <w:bookmarkStart w:id="27" w:name="_Hlk72092634"/>
      <w:r>
        <w:rPr>
          <w:rFonts w:ascii="黑体" w:eastAsia="黑体" w:hAnsi="Calibri" w:cstheme="minorBidi" w:hint="eastAsia"/>
          <w:b/>
          <w:kern w:val="2"/>
          <w:sz w:val="30"/>
          <w:szCs w:val="22"/>
          <w:lang w:eastAsia="zh-CN"/>
        </w:rPr>
        <w:t>实质性条款响应情况表</w:t>
      </w:r>
      <w:bookmarkEnd w:id="27"/>
    </w:p>
    <w:p>
      <w:pPr>
        <w:widowControl w:val="0"/>
        <w:snapToGrid w:val="0"/>
        <w:jc w:val="both"/>
        <w:rPr>
          <w:rFonts w:ascii="Arial" w:eastAsia="宋体" w:hAnsi="Arial" w:cs="Arial"/>
          <w:kern w:val="2"/>
          <w:lang w:eastAsia="zh-CN"/>
        </w:rPr>
      </w:pPr>
      <w:r>
        <w:rPr>
          <w:rFonts w:ascii="Arial" w:eastAsia="宋体" w:hAnsi="Arial" w:cs="Arial" w:hint="eastAsia"/>
          <w:color w:val="000000"/>
          <w:kern w:val="2"/>
          <w:lang w:eastAsia="zh-CN"/>
        </w:rPr>
        <w:t>投标单位（投标人）名称：</w:t>
      </w:r>
    </w:p>
    <w:p>
      <w:pPr>
        <w:widowControl w:val="0"/>
        <w:snapToGrid w:val="0"/>
        <w:jc w:val="both"/>
        <w:rPr>
          <w:rFonts w:ascii="宋体" w:eastAsia="宋体" w:hAnsi="宋体"/>
          <w:b/>
          <w:kern w:val="2"/>
          <w:lang w:eastAsia="zh-CN"/>
        </w:rPr>
      </w:pP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578"/>
        <w:gridCol w:w="3657"/>
        <w:gridCol w:w="2047"/>
        <w:gridCol w:w="1632"/>
        <w:gridCol w:w="942"/>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29"/>
          <w:jc w:val="center"/>
        </w:trPr>
        <w:tc>
          <w:tcPr>
            <w:tcW w:w="602"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序号</w:t>
            </w:r>
          </w:p>
        </w:tc>
        <w:tc>
          <w:tcPr>
            <w:tcW w:w="3901"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实质性条款具体内容</w:t>
            </w:r>
          </w:p>
        </w:tc>
        <w:tc>
          <w:tcPr>
            <w:tcW w:w="2176"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投标文件响应</w:t>
            </w:r>
          </w:p>
        </w:tc>
        <w:tc>
          <w:tcPr>
            <w:tcW w:w="1732" w:type="dxa"/>
          </w:tcPr>
          <w:p>
            <w:pPr>
              <w:widowControl w:val="0"/>
              <w:spacing w:before="120" w:beforeLines="5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偏离情况</w:t>
            </w:r>
          </w:p>
        </w:tc>
        <w:tc>
          <w:tcPr>
            <w:tcW w:w="992"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060"/>
          <w:jc w:val="center"/>
        </w:trPr>
        <w:tc>
          <w:tcPr>
            <w:tcW w:w="602" w:type="dxa"/>
            <w:vAlign w:val="center"/>
          </w:tcPr>
          <w:p>
            <w:pPr>
              <w:widowControl w:val="0"/>
              <w:spacing w:line="300" w:lineRule="auto"/>
              <w:jc w:val="center"/>
              <w:rPr>
                <w:rFonts w:ascii="宋体" w:eastAsia="宋体" w:hAnsi="宋体"/>
                <w:b/>
                <w:color w:val="FF0000"/>
                <w:sz w:val="21"/>
                <w:szCs w:val="21"/>
                <w:lang w:eastAsia="zh-CN"/>
              </w:rPr>
            </w:pPr>
            <w:r>
              <w:rPr>
                <w:rFonts w:ascii="宋体" w:eastAsia="宋体" w:hAnsi="宋体" w:hint="eastAsia"/>
                <w:b/>
                <w:color w:val="FF0000"/>
                <w:sz w:val="21"/>
                <w:szCs w:val="21"/>
                <w:lang w:eastAsia="zh-CN"/>
              </w:rPr>
              <w:t>1</w:t>
            </w:r>
          </w:p>
        </w:tc>
        <w:tc>
          <w:tcPr>
            <w:tcW w:w="3901" w:type="dxa"/>
            <w:vAlign w:val="center"/>
          </w:tcPr>
          <w:p>
            <w:pPr>
              <w:widowControl w:val="0"/>
              <w:spacing w:line="300" w:lineRule="auto"/>
              <w:jc w:val="center"/>
              <w:rPr>
                <w:rFonts w:ascii="宋体" w:eastAsia="宋体" w:hAnsi="宋体"/>
                <w:b/>
                <w:color w:val="FF0000"/>
                <w:sz w:val="21"/>
                <w:szCs w:val="21"/>
                <w:lang w:eastAsia="zh-CN"/>
              </w:rPr>
            </w:pPr>
            <w:r>
              <w:rPr>
                <w:rFonts w:ascii="宋体" w:eastAsia="宋体" w:hAnsi="宋体" w:hint="eastAsia"/>
                <w:b/>
                <w:color w:val="FF0000"/>
                <w:sz w:val="21"/>
                <w:szCs w:val="21"/>
                <w:lang w:eastAsia="zh-CN"/>
              </w:rPr>
              <w:t>本项目招标文件中所有带★号条款内容</w:t>
            </w:r>
          </w:p>
        </w:tc>
        <w:tc>
          <w:tcPr>
            <w:tcW w:w="2176" w:type="dxa"/>
            <w:vAlign w:val="center"/>
          </w:tcPr>
          <w:p>
            <w:pPr>
              <w:widowControl w:val="0"/>
              <w:spacing w:line="300" w:lineRule="auto"/>
              <w:jc w:val="center"/>
              <w:rPr>
                <w:rFonts w:ascii="宋体" w:eastAsia="宋体" w:hAnsi="宋体"/>
                <w:b/>
                <w:sz w:val="21"/>
                <w:szCs w:val="21"/>
                <w:lang w:eastAsia="zh-CN"/>
              </w:rPr>
            </w:pPr>
            <w:r>
              <w:rPr>
                <w:rFonts w:ascii="宋体" w:eastAsia="宋体" w:hAnsi="宋体" w:hint="eastAsia"/>
                <w:b/>
                <w:sz w:val="21"/>
                <w:szCs w:val="21"/>
                <w:lang w:eastAsia="zh-CN"/>
              </w:rPr>
              <w:t>完全响应</w:t>
            </w:r>
          </w:p>
        </w:tc>
        <w:tc>
          <w:tcPr>
            <w:tcW w:w="1732" w:type="dxa"/>
            <w:vAlign w:val="center"/>
          </w:tcPr>
          <w:p>
            <w:pPr>
              <w:widowControl w:val="0"/>
              <w:spacing w:line="300" w:lineRule="auto"/>
              <w:jc w:val="center"/>
              <w:rPr>
                <w:rFonts w:ascii="宋体" w:eastAsia="宋体" w:hAnsi="宋体"/>
                <w:b/>
                <w:sz w:val="21"/>
                <w:szCs w:val="21"/>
                <w:lang w:eastAsia="zh-CN"/>
              </w:rPr>
            </w:pPr>
            <w:r>
              <w:rPr>
                <w:rFonts w:ascii="宋体" w:eastAsia="宋体" w:hAnsi="宋体" w:hint="eastAsia"/>
                <w:b/>
                <w:sz w:val="21"/>
                <w:szCs w:val="21"/>
                <w:lang w:eastAsia="zh-CN"/>
              </w:rPr>
              <w:t>无偏离</w:t>
            </w:r>
          </w:p>
        </w:tc>
        <w:tc>
          <w:tcPr>
            <w:tcW w:w="992" w:type="dxa"/>
            <w:vAlign w:val="center"/>
          </w:tcPr>
          <w:p>
            <w:pPr>
              <w:widowControl w:val="0"/>
              <w:spacing w:line="300" w:lineRule="auto"/>
              <w:jc w:val="center"/>
              <w:rPr>
                <w:rFonts w:ascii="宋体" w:eastAsia="宋体" w:hAnsi="宋体"/>
                <w:b/>
                <w:color w:val="FF0000"/>
                <w:sz w:val="21"/>
                <w:szCs w:val="21"/>
                <w:lang w:eastAsia="zh-CN"/>
              </w:rPr>
            </w:pPr>
          </w:p>
        </w:tc>
      </w:tr>
    </w:tbl>
    <w:p>
      <w:pPr>
        <w:widowControl w:val="0"/>
        <w:snapToGrid w:val="0"/>
        <w:jc w:val="both"/>
        <w:rPr>
          <w:rFonts w:ascii="宋体" w:eastAsia="宋体" w:hAnsi="宋体"/>
          <w:kern w:val="2"/>
          <w:lang w:eastAsia="zh-CN"/>
        </w:rPr>
      </w:pPr>
    </w:p>
    <w:p>
      <w:pPr>
        <w:widowControl w:val="0"/>
        <w:snapToGrid w:val="0"/>
        <w:jc w:val="both"/>
        <w:rPr>
          <w:rFonts w:ascii="宋体" w:eastAsia="宋体" w:hAnsi="宋体"/>
          <w:b/>
          <w:kern w:val="2"/>
          <w:lang w:eastAsia="zh-CN"/>
        </w:rPr>
      </w:pPr>
      <w:r>
        <w:rPr>
          <w:rFonts w:ascii="宋体" w:eastAsia="宋体" w:hAnsi="宋体" w:hint="eastAsia"/>
          <w:b/>
          <w:kern w:val="2"/>
          <w:lang w:eastAsia="zh-CN"/>
        </w:rPr>
        <w:t>填写说明：</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1、上表所列各项均为不可负偏离条款。</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2、“投标文件响应”一栏应当详细填写投标人自身响应情况，而不能不合理照搬照抄招标文件实质性条款具体内容。</w:t>
      </w:r>
      <w:r>
        <w:rPr>
          <w:rFonts w:ascii="宋体" w:eastAsia="宋体" w:hAnsi="宋体" w:cs="宋体" w:hint="eastAsia"/>
          <w:b/>
          <w:bCs/>
          <w:kern w:val="2"/>
          <w:lang w:eastAsia="zh-CN"/>
        </w:rPr>
        <w:t>如完全满足实质性条款具体内容可填写“完全响应”，除招标文件另有注明外，不强制要求逐条列出响应。</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3、“偏离情况”一栏应填写</w:t>
      </w:r>
      <w:r>
        <w:rPr>
          <w:rFonts w:ascii="宋体" w:eastAsia="宋体" w:hAnsi="宋体" w:cs="宋体" w:hint="eastAsia"/>
          <w:kern w:val="2"/>
          <w:lang w:eastAsia="zh-CN"/>
        </w:rPr>
        <w:t>“</w:t>
      </w:r>
      <w:r>
        <w:rPr>
          <w:rFonts w:ascii="宋体" w:eastAsia="宋体" w:hAnsi="宋体" w:cs="宋体" w:hint="eastAsia"/>
          <w:b/>
          <w:bCs/>
          <w:kern w:val="2"/>
          <w:lang w:eastAsia="zh-CN"/>
        </w:rPr>
        <w:t>正偏离</w:t>
      </w:r>
      <w:r>
        <w:rPr>
          <w:rFonts w:ascii="宋体" w:eastAsia="宋体" w:hAnsi="宋体" w:cs="宋体" w:hint="eastAsia"/>
          <w:kern w:val="2"/>
          <w:lang w:eastAsia="zh-CN"/>
        </w:rPr>
        <w:t>”或“</w:t>
      </w:r>
      <w:r>
        <w:rPr>
          <w:rFonts w:ascii="宋体" w:eastAsia="宋体" w:hAnsi="宋体" w:cs="宋体" w:hint="eastAsia"/>
          <w:b/>
          <w:bCs/>
          <w:kern w:val="2"/>
          <w:lang w:eastAsia="zh-CN"/>
        </w:rPr>
        <w:t>负偏离</w:t>
      </w:r>
      <w:r>
        <w:rPr>
          <w:rFonts w:ascii="宋体" w:eastAsia="宋体" w:hAnsi="宋体" w:cs="宋体" w:hint="eastAsia"/>
          <w:kern w:val="2"/>
          <w:lang w:eastAsia="zh-CN"/>
        </w:rPr>
        <w:t>”或“</w:t>
      </w:r>
      <w:r>
        <w:rPr>
          <w:rFonts w:ascii="宋体" w:eastAsia="宋体" w:hAnsi="宋体" w:cs="宋体" w:hint="eastAsia"/>
          <w:b/>
          <w:bCs/>
          <w:kern w:val="2"/>
          <w:lang w:eastAsia="zh-CN"/>
        </w:rPr>
        <w:t>无偏离</w:t>
      </w:r>
      <w:r>
        <w:rPr>
          <w:rFonts w:ascii="宋体" w:eastAsia="宋体" w:hAnsi="宋体" w:cs="宋体" w:hint="eastAsia"/>
          <w:kern w:val="2"/>
          <w:lang w:eastAsia="zh-CN"/>
        </w:rPr>
        <w:t>”</w:t>
      </w:r>
      <w:r>
        <w:rPr>
          <w:rFonts w:ascii="宋体" w:eastAsia="宋体" w:hAnsi="宋体" w:cs="宋体" w:hint="eastAsia"/>
          <w:bCs/>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4、评审委员会有权对投标响应情况作出判断。</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5、实质性响应条款“投标响应情况”与投标文件其它内容冲突的，以实质性响应条款“投标响应情况”为准。</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6、以上实质性条款中要求提供证明材料，需如实提供证明材料扫描件，在“说明”一栏中列明证明材料的位置，以便评审；未要求提供证明材料的，投标人可以不提供。</w:t>
      </w:r>
    </w:p>
    <w:p>
      <w:pPr>
        <w:widowControl w:val="0"/>
        <w:jc w:val="both"/>
        <w:rPr>
          <w:rFonts w:ascii="宋体" w:eastAsia="宋体" w:hAnsi="宋体"/>
          <w:b/>
          <w:bCs/>
          <w:szCs w:val="20"/>
          <w:lang w:eastAsia="zh-CN"/>
        </w:rPr>
      </w:pPr>
    </w:p>
    <w:p>
      <w:pPr>
        <w:widowControl w:val="0"/>
        <w:jc w:val="both"/>
        <w:rPr>
          <w:rFonts w:ascii="宋体" w:eastAsia="宋体" w:hAnsi="宋体"/>
          <w:b/>
          <w:bCs/>
          <w:szCs w:val="20"/>
          <w:lang w:eastAsia="zh-CN"/>
        </w:rPr>
      </w:pPr>
    </w:p>
    <w:p>
      <w:pPr>
        <w:widowControl w:val="0"/>
        <w:jc w:val="both"/>
        <w:rPr>
          <w:rFonts w:ascii="宋体" w:eastAsia="宋体" w:hAnsi="宋体"/>
          <w:b/>
          <w:bCs/>
          <w:szCs w:val="20"/>
          <w:lang w:eastAsia="zh-CN"/>
        </w:rPr>
      </w:pPr>
    </w:p>
    <w:p>
      <w:pPr>
        <w:widowControl w:val="0"/>
        <w:jc w:val="both"/>
        <w:rPr>
          <w:rFonts w:ascii="宋体" w:eastAsia="宋体" w:hAnsi="宋体"/>
          <w:b/>
          <w:bCs/>
          <w:szCs w:val="20"/>
          <w:lang w:eastAsia="zh-CN"/>
        </w:rPr>
      </w:pPr>
    </w:p>
    <w:p>
      <w:pPr>
        <w:widowControl w:val="0"/>
        <w:jc w:val="both"/>
        <w:rPr>
          <w:rFonts w:ascii="宋体" w:eastAsia="宋体" w:hAnsi="宋体"/>
          <w:b/>
          <w:bCs/>
          <w:szCs w:val="20"/>
          <w:lang w:eastAsia="zh-CN"/>
        </w:rPr>
      </w:pPr>
    </w:p>
    <w:p>
      <w:pPr>
        <w:widowControl w:val="0"/>
        <w:jc w:val="both"/>
        <w:rPr>
          <w:rFonts w:ascii="宋体" w:eastAsia="宋体" w:hAnsi="宋体"/>
          <w:b/>
          <w:bCs/>
          <w:szCs w:val="20"/>
          <w:lang w:eastAsia="zh-CN"/>
        </w:rPr>
      </w:pPr>
    </w:p>
    <w:p>
      <w:pPr>
        <w:widowControl w:val="0"/>
        <w:jc w:val="both"/>
        <w:rPr>
          <w:rFonts w:ascii="宋体" w:eastAsia="宋体" w:hAnsi="宋体"/>
          <w:b/>
          <w:bCs/>
          <w:szCs w:val="20"/>
          <w:lang w:eastAsia="zh-CN"/>
        </w:rPr>
      </w:pPr>
    </w:p>
    <w:p>
      <w:pPr>
        <w:widowControl w:val="0"/>
        <w:jc w:val="both"/>
        <w:rPr>
          <w:rFonts w:ascii="宋体" w:eastAsia="宋体" w:hAnsi="宋体"/>
          <w:b/>
          <w:bCs/>
          <w:szCs w:val="20"/>
          <w:lang w:eastAsia="zh-CN"/>
        </w:rPr>
      </w:pPr>
    </w:p>
    <w:p>
      <w:pPr>
        <w:widowControl w:val="0"/>
        <w:jc w:val="both"/>
        <w:rPr>
          <w:rFonts w:ascii="宋体" w:eastAsia="宋体" w:hAnsi="宋体"/>
          <w:b/>
          <w:bCs/>
          <w:szCs w:val="20"/>
          <w:lang w:eastAsia="zh-CN"/>
        </w:rPr>
      </w:pP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九、技术要求偏离表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1125"/>
        <w:gridCol w:w="2646"/>
        <w:gridCol w:w="2519"/>
        <w:gridCol w:w="1077"/>
        <w:gridCol w:w="78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36"/>
          <w:jc w:val="center"/>
        </w:trPr>
        <w:tc>
          <w:tcPr>
            <w:tcW w:w="77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126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货物名称</w:t>
            </w:r>
          </w:p>
        </w:tc>
        <w:tc>
          <w:tcPr>
            <w:tcW w:w="3028"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招标技术要求</w:t>
            </w:r>
          </w:p>
        </w:tc>
        <w:tc>
          <w:tcPr>
            <w:tcW w:w="28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投标技术响应</w:t>
            </w:r>
          </w:p>
        </w:tc>
        <w:tc>
          <w:tcPr>
            <w:tcW w:w="1210"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偏离情况</w:t>
            </w:r>
          </w:p>
        </w:tc>
        <w:tc>
          <w:tcPr>
            <w:tcW w:w="87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val="restart"/>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266" w:type="dxa"/>
            <w:vMerge w:val="restart"/>
            <w:vAlign w:val="center"/>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vAlign w:val="center"/>
          </w:tcPr>
          <w:p>
            <w:pPr>
              <w:widowControl w:val="0"/>
              <w:jc w:val="both"/>
              <w:rPr>
                <w:rFonts w:ascii="Calibri" w:eastAsia="宋体" w:hAnsi="Calibri"/>
                <w:kern w:val="2"/>
                <w:sz w:val="21"/>
                <w:szCs w:val="22"/>
                <w:lang w:eastAsia="zh-CN"/>
              </w:rPr>
            </w:pPr>
          </w:p>
        </w:tc>
        <w:tc>
          <w:tcPr>
            <w:tcW w:w="1266" w:type="dxa"/>
            <w:vMerge/>
            <w:vAlign w:val="center"/>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val="restart"/>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1266" w:type="dxa"/>
            <w:vMerge w:val="restart"/>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填写说明：</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1、技术要求偏离表的序号、货物名称、招标技术要求等栏目对应“用户需求书”中的“技术要求部分”章节相关内容。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投标技术响应”一栏必须一一对照“招标技术要求”，详细填写投标人自身投标货物的具体参数，而不能不合理照搬照抄招标文件的技术要求，以体现具体响应情况。“投标技术响应”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3、“偏离情况”一栏填写如实填写</w:t>
      </w:r>
      <w:r>
        <w:rPr>
          <w:rFonts w:ascii="Calibri" w:eastAsia="宋体" w:hAnsi="Calibri" w:cstheme="minorBidi" w:hint="eastAsia"/>
          <w:b/>
          <w:kern w:val="2"/>
          <w:sz w:val="21"/>
          <w:szCs w:val="22"/>
          <w:lang w:eastAsia="zh-CN"/>
        </w:rPr>
        <w:t>“正偏离”、“负偏离”或“无偏离”</w:t>
      </w:r>
      <w:r>
        <w:rPr>
          <w:rFonts w:ascii="Calibri" w:eastAsia="宋体" w:hAnsi="Calibri" w:cstheme="minorBidi" w:hint="eastAsia"/>
          <w:kern w:val="2"/>
          <w:sz w:val="21"/>
          <w:szCs w:val="22"/>
          <w:lang w:eastAsia="zh-CN"/>
        </w:rPr>
        <w:t>，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4、未要求提供证明资料的招标技术要求，可以不提供证明资料（如实响应即可）。</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证明资料条款响应要求：要求提供证明资料（且已对证明资料的形式、内容作出明确要求）进行响应的条款，应当在“说明”一栏中列明是否提供了符合要求的证明资料，以及所提供证明资料在投标文件的所在节点（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6、投标人提供的证明资料，均要求原件备查。</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7、评审委员会有权对投标人是否存在虚假响应予以认定，并视情况经招标机构报主管部门进行处理；</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8、除招标文件另有注明外，投标文件其它位置如出现与本表中投标参数不一致的信息，均以本表信息为准。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十、商务要求偏离表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2"/>
        <w:gridCol w:w="1456"/>
        <w:gridCol w:w="2484"/>
        <w:gridCol w:w="2404"/>
        <w:gridCol w:w="1172"/>
        <w:gridCol w:w="69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9"/>
          <w:jc w:val="center"/>
        </w:trPr>
        <w:tc>
          <w:tcPr>
            <w:tcW w:w="681"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序号</w:t>
            </w:r>
          </w:p>
        </w:tc>
        <w:tc>
          <w:tcPr>
            <w:tcW w:w="1573" w:type="dxa"/>
            <w:vAlign w:val="center"/>
          </w:tcPr>
          <w:p>
            <w:pPr>
              <w:widowControl w:val="0"/>
              <w:jc w:val="both"/>
              <w:rPr>
                <w:rFonts w:ascii="Calibri" w:eastAsia="宋体" w:hAnsi="Calibri"/>
                <w:kern w:val="2"/>
                <w:sz w:val="21"/>
                <w:szCs w:val="22"/>
                <w:lang w:eastAsia="zh-CN"/>
              </w:rPr>
            </w:pPr>
            <w:r>
              <w:rPr>
                <w:rFonts w:eastAsia="宋体" w:hint="eastAsia"/>
                <w:kern w:val="2"/>
                <w:sz w:val="21"/>
                <w:lang w:eastAsia="zh-CN"/>
              </w:rPr>
              <w:t>目录</w:t>
            </w:r>
          </w:p>
        </w:tc>
        <w:tc>
          <w:tcPr>
            <w:tcW w:w="2700" w:type="dxa"/>
            <w:vAlign w:val="center"/>
          </w:tcPr>
          <w:p>
            <w:pPr>
              <w:widowControl w:val="0"/>
              <w:jc w:val="both"/>
              <w:rPr>
                <w:rFonts w:ascii="Calibri" w:eastAsia="宋体" w:hAnsi="Calibri"/>
                <w:b/>
                <w:kern w:val="2"/>
                <w:sz w:val="21"/>
                <w:szCs w:val="22"/>
                <w:lang w:eastAsia="zh-CN"/>
              </w:rPr>
            </w:pPr>
            <w:r>
              <w:rPr>
                <w:rFonts w:eastAsia="宋体" w:hint="eastAsia"/>
                <w:kern w:val="2"/>
                <w:sz w:val="21"/>
                <w:lang w:eastAsia="zh-CN"/>
              </w:rPr>
              <w:t>采购</w:t>
            </w:r>
            <w:r>
              <w:rPr>
                <w:rFonts w:ascii="Calibri" w:eastAsia="宋体" w:hAnsi="Calibri" w:cstheme="minorBidi" w:hint="eastAsia"/>
                <w:kern w:val="2"/>
                <w:sz w:val="21"/>
                <w:szCs w:val="22"/>
                <w:lang w:eastAsia="zh-CN"/>
              </w:rPr>
              <w:t>商务要求</w:t>
            </w:r>
          </w:p>
        </w:tc>
        <w:tc>
          <w:tcPr>
            <w:tcW w:w="2613"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投标商务响应</w:t>
            </w:r>
          </w:p>
        </w:tc>
        <w:tc>
          <w:tcPr>
            <w:tcW w:w="1262"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偏离情况</w:t>
            </w:r>
          </w:p>
        </w:tc>
        <w:tc>
          <w:tcPr>
            <w:tcW w:w="743"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187"/>
          <w:jc w:val="center"/>
        </w:trPr>
        <w:tc>
          <w:tcPr>
            <w:tcW w:w="9572" w:type="dxa"/>
            <w:gridSpan w:val="6"/>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（一）免费保修期内售后服务要求</w:t>
            </w: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w:t>
            </w:r>
          </w:p>
        </w:tc>
        <w:tc>
          <w:tcPr>
            <w:tcW w:w="2700" w:type="dxa"/>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t>2</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9572" w:type="dxa"/>
            <w:gridSpan w:val="6"/>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（二）其他商务要求</w:t>
            </w: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《商务要求偏离表》编制指引：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1、商务要求偏离表的序号、目录、招标商务要求等栏目对应“用户需求书”中的“商务要求”章节相关内容。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2、“投标商务响应”一栏必须一一对照“采购商务要求”，详细填写自身响应情况，而不能不合理照搬照抄招标文件的商务要求，以体现具体响应情况。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3、“偏离情况”一栏填写如实填写</w:t>
      </w:r>
      <w:r>
        <w:rPr>
          <w:rFonts w:eastAsia="宋体" w:hint="eastAsia"/>
          <w:b/>
          <w:kern w:val="2"/>
          <w:sz w:val="21"/>
          <w:lang w:eastAsia="zh-CN"/>
        </w:rPr>
        <w:t>“正偏离”、“负偏离”或“无偏离”，</w:t>
      </w:r>
      <w:r>
        <w:rPr>
          <w:rFonts w:eastAsia="宋体" w:hint="eastAsia"/>
          <w:kern w:val="2"/>
          <w:sz w:val="21"/>
          <w:lang w:eastAsia="zh-CN"/>
        </w:rPr>
        <w:t>其中：“正偏离”表示“投标响应优于招标商务要求”，“负偏离”表示“投标响应不满足招标商务要求”，“无偏离”表示“投标响应与招标商务要求一致”。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“投标商务响应”对比“采购商务要求”存在响应不全（包括未响应整项招标商务要求或者未响应一项招标商务要求的部分内容），均视为“负偏离”。</w:t>
      </w:r>
    </w:p>
    <w:p>
      <w:pPr>
        <w:widowControl/>
        <w:numPr>
          <w:ilvl w:val="0"/>
          <w:numId w:val="5"/>
        </w:numPr>
        <w:wordWrap w:val="0"/>
        <w:autoSpaceDE w:val="0"/>
        <w:autoSpaceDN w:val="0"/>
        <w:spacing w:line="400" w:lineRule="exact"/>
        <w:ind w:left="0" w:right="808" w:firstLine="420" w:leftChars="0" w:firstLineChars="200"/>
        <w:jc w:val="both"/>
        <w:rPr>
          <w:rFonts w:eastAsia="宋体" w:hint="eastAsia"/>
          <w:kern w:val="2"/>
          <w:sz w:val="21"/>
          <w:lang w:eastAsia="zh-CN"/>
        </w:rPr>
      </w:pPr>
      <w:r>
        <w:rPr>
          <w:rFonts w:eastAsia="宋体" w:hint="eastAsia"/>
          <w:kern w:val="2"/>
          <w:sz w:val="21"/>
          <w:lang w:eastAsia="zh-CN"/>
        </w:rPr>
        <w:t>带★号条款为不可偏离条款，如未响应或出现负偏离的，将作投标无效处理。</w:t>
      </w:r>
    </w:p>
    <w:p>
      <w:pPr>
        <w:widowControl/>
        <w:numPr>
          <w:ilvl w:val="0"/>
          <w:numId w:val="0"/>
        </w:numPr>
        <w:wordWrap w:val="0"/>
        <w:autoSpaceDE w:val="0"/>
        <w:autoSpaceDN w:val="0"/>
        <w:spacing w:line="400" w:lineRule="exact"/>
        <w:ind w:left="0" w:right="808" w:firstLine="0" w:rightChars="0"/>
        <w:jc w:val="both"/>
        <w:rPr>
          <w:rFonts w:eastAsia="宋体" w:hint="eastAsia"/>
          <w:kern w:val="2"/>
          <w:sz w:val="21"/>
          <w:lang w:eastAsia="zh-CN"/>
        </w:rPr>
      </w:pPr>
    </w:p>
    <w:p>
      <w:pPr>
        <w:widowControl/>
        <w:numPr>
          <w:ilvl w:val="0"/>
          <w:numId w:val="0"/>
        </w:numPr>
        <w:wordWrap w:val="0"/>
        <w:autoSpaceDE w:val="0"/>
        <w:autoSpaceDN w:val="0"/>
        <w:spacing w:line="400" w:lineRule="exact"/>
        <w:ind w:left="0" w:right="808" w:firstLine="0" w:rightChars="0"/>
        <w:jc w:val="both"/>
        <w:rPr>
          <w:rFonts w:eastAsia="宋体" w:hint="eastAsia"/>
          <w:kern w:val="2"/>
          <w:sz w:val="21"/>
          <w:lang w:eastAsia="zh-CN"/>
        </w:rPr>
      </w:pPr>
    </w:p>
    <w:p>
      <w:pPr>
        <w:widowControl/>
        <w:numPr>
          <w:ilvl w:val="0"/>
          <w:numId w:val="0"/>
        </w:numPr>
        <w:wordWrap w:val="0"/>
        <w:autoSpaceDE w:val="0"/>
        <w:autoSpaceDN w:val="0"/>
        <w:spacing w:line="400" w:lineRule="exact"/>
        <w:ind w:left="0" w:right="808" w:firstLine="0" w:rightChars="0"/>
        <w:jc w:val="both"/>
        <w:rPr>
          <w:rFonts w:eastAsia="宋体" w:hint="eastAsia"/>
          <w:kern w:val="2"/>
          <w:sz w:val="21"/>
          <w:lang w:eastAsia="zh-CN"/>
        </w:rPr>
      </w:pPr>
    </w:p>
    <w:p>
      <w:pPr>
        <w:widowControl/>
        <w:numPr>
          <w:ilvl w:val="0"/>
          <w:numId w:val="0"/>
        </w:numPr>
        <w:wordWrap w:val="0"/>
        <w:autoSpaceDE w:val="0"/>
        <w:autoSpaceDN w:val="0"/>
        <w:spacing w:line="400" w:lineRule="exact"/>
        <w:ind w:left="0" w:right="808" w:firstLine="0" w:rightChars="0"/>
        <w:jc w:val="both"/>
        <w:rPr>
          <w:rFonts w:eastAsia="宋体" w:hint="eastAsia"/>
          <w:kern w:val="2"/>
          <w:sz w:val="21"/>
          <w:lang w:eastAsia="zh-CN"/>
        </w:rPr>
      </w:pPr>
    </w:p>
    <w:p>
      <w:pPr>
        <w:widowControl/>
        <w:numPr>
          <w:ilvl w:val="0"/>
          <w:numId w:val="0"/>
        </w:numPr>
        <w:wordWrap w:val="0"/>
        <w:autoSpaceDE w:val="0"/>
        <w:autoSpaceDN w:val="0"/>
        <w:spacing w:line="400" w:lineRule="exact"/>
        <w:ind w:left="0" w:right="808" w:firstLine="0" w:rightChars="0"/>
        <w:jc w:val="both"/>
        <w:rPr>
          <w:rFonts w:eastAsia="宋体" w:hint="eastAsia"/>
          <w:kern w:val="2"/>
          <w:sz w:val="21"/>
          <w:lang w:eastAsia="zh-CN"/>
        </w:rPr>
      </w:pPr>
    </w:p>
    <w:p>
      <w:pPr>
        <w:widowControl/>
        <w:numPr>
          <w:ilvl w:val="0"/>
          <w:numId w:val="0"/>
        </w:numPr>
        <w:wordWrap w:val="0"/>
        <w:autoSpaceDE w:val="0"/>
        <w:autoSpaceDN w:val="0"/>
        <w:spacing w:line="400" w:lineRule="exact"/>
        <w:ind w:left="0" w:right="808" w:firstLine="0" w:rightChars="0"/>
        <w:jc w:val="both"/>
        <w:rPr>
          <w:rFonts w:eastAsia="宋体" w:hint="eastAsia"/>
          <w:kern w:val="2"/>
          <w:sz w:val="21"/>
          <w:lang w:eastAsia="zh-CN"/>
        </w:rPr>
      </w:pPr>
    </w:p>
    <w:p>
      <w:pPr>
        <w:widowControl/>
        <w:numPr>
          <w:ilvl w:val="0"/>
          <w:numId w:val="0"/>
        </w:numPr>
        <w:wordWrap w:val="0"/>
        <w:autoSpaceDE w:val="0"/>
        <w:autoSpaceDN w:val="0"/>
        <w:spacing w:line="400" w:lineRule="exact"/>
        <w:ind w:left="0" w:right="808" w:firstLine="0" w:rightChars="0"/>
        <w:jc w:val="both"/>
        <w:rPr>
          <w:rFonts w:eastAsia="宋体" w:hint="eastAsia"/>
          <w:kern w:val="2"/>
          <w:sz w:val="21"/>
          <w:lang w:eastAsia="zh-CN"/>
        </w:rPr>
      </w:pPr>
    </w:p>
    <w:p>
      <w:pPr>
        <w:widowControl/>
        <w:numPr>
          <w:ilvl w:val="0"/>
          <w:numId w:val="0"/>
        </w:numPr>
        <w:wordWrap w:val="0"/>
        <w:autoSpaceDE w:val="0"/>
        <w:autoSpaceDN w:val="0"/>
        <w:spacing w:line="400" w:lineRule="exact"/>
        <w:ind w:left="0" w:right="808" w:firstLine="0" w:rightChars="0"/>
        <w:jc w:val="both"/>
        <w:rPr>
          <w:rFonts w:eastAsia="宋体" w:hint="eastAsia"/>
          <w:kern w:val="2"/>
          <w:sz w:val="21"/>
          <w:lang w:eastAsia="zh-CN"/>
        </w:rPr>
      </w:pPr>
    </w:p>
    <w:p>
      <w:pPr>
        <w:widowControl w:val="0"/>
        <w:ind w:firstLine="420" w:firstLineChars="200"/>
        <w:jc w:val="both"/>
        <w:rPr>
          <w:rFonts w:ascii="Calibri" w:eastAsia="宋体" w:hAnsi="Calibri"/>
          <w:bCs/>
          <w:kern w:val="2"/>
          <w:sz w:val="21"/>
          <w:szCs w:val="21"/>
          <w:lang w:eastAsia="zh-CN"/>
        </w:rPr>
      </w:pP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十一、技术保障措施</w:t>
      </w:r>
    </w:p>
    <w:p>
      <w:pPr>
        <w:spacing w:line="360" w:lineRule="auto"/>
        <w:jc w:val="center"/>
        <w:rPr>
          <w:rFonts w:ascii="黑体" w:eastAsia="黑体" w:hAnsi="黑体" w:cs="黑体" w:hint="eastAsia"/>
          <w:b/>
          <w:bCs/>
          <w:sz w:val="30"/>
          <w:szCs w:val="30"/>
          <w:lang w:eastAsia="zh-CN"/>
        </w:rPr>
      </w:pPr>
      <w:r>
        <w:rPr>
          <w:rFonts w:ascii="黑体" w:eastAsia="黑体" w:hAnsi="黑体" w:cs="黑体" w:hint="eastAsia"/>
          <w:b/>
          <w:bCs/>
          <w:sz w:val="30"/>
          <w:szCs w:val="30"/>
          <w:lang w:eastAsia="zh-CN"/>
        </w:rPr>
        <w:t>（格式自拟）</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十二、服务方案</w:t>
      </w:r>
    </w:p>
    <w:p>
      <w:pPr>
        <w:spacing w:line="360" w:lineRule="auto"/>
        <w:jc w:val="center"/>
        <w:rPr>
          <w:rFonts w:ascii="黑体" w:eastAsia="黑体" w:hAnsi="黑体" w:cs="黑体" w:hint="eastAsia"/>
          <w:b/>
          <w:bCs/>
          <w:sz w:val="30"/>
          <w:szCs w:val="30"/>
          <w:lang w:eastAsia="zh-CN"/>
        </w:rPr>
      </w:pPr>
      <w:r>
        <w:rPr>
          <w:rFonts w:ascii="黑体" w:eastAsia="黑体" w:hAnsi="黑体" w:cs="黑体" w:hint="eastAsia"/>
          <w:b/>
          <w:bCs/>
          <w:sz w:val="30"/>
          <w:szCs w:val="30"/>
          <w:lang w:eastAsia="zh-CN"/>
        </w:rPr>
        <w:t>（格式自拟）</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十三、设计方案</w:t>
      </w:r>
    </w:p>
    <w:p>
      <w:pPr>
        <w:spacing w:line="360" w:lineRule="auto"/>
        <w:jc w:val="center"/>
        <w:rPr>
          <w:rFonts w:ascii="黑体" w:eastAsia="黑体" w:hAnsi="黑体" w:cs="黑体" w:hint="eastAsia"/>
          <w:b/>
          <w:bCs/>
          <w:sz w:val="30"/>
          <w:szCs w:val="30"/>
          <w:lang w:eastAsia="zh-CN"/>
        </w:rPr>
      </w:pPr>
      <w:r>
        <w:rPr>
          <w:rFonts w:ascii="黑体" w:eastAsia="黑体" w:hAnsi="黑体" w:cs="黑体" w:hint="eastAsia"/>
          <w:b/>
          <w:bCs/>
          <w:sz w:val="30"/>
          <w:szCs w:val="30"/>
          <w:lang w:eastAsia="zh-CN"/>
        </w:rPr>
        <w:t>（格式自拟）</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十四、同类项目业绩</w:t>
      </w:r>
    </w:p>
    <w:p>
      <w:pPr>
        <w:spacing w:line="360" w:lineRule="auto"/>
        <w:jc w:val="center"/>
        <w:rPr>
          <w:rFonts w:ascii="黑体" w:eastAsia="黑体" w:hAnsi="黑体" w:cs="黑体" w:hint="eastAsia"/>
          <w:b/>
          <w:bCs/>
          <w:sz w:val="30"/>
          <w:szCs w:val="30"/>
          <w:lang w:eastAsia="zh-CN"/>
        </w:rPr>
      </w:pPr>
      <w:r>
        <w:rPr>
          <w:rFonts w:ascii="黑体" w:eastAsia="黑体" w:hAnsi="黑体" w:cs="黑体" w:hint="eastAsia"/>
          <w:b/>
          <w:bCs/>
          <w:sz w:val="30"/>
          <w:szCs w:val="30"/>
          <w:lang w:eastAsia="zh-CN"/>
        </w:rPr>
        <w:t>（格式自拟）</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十五、履约评价情况</w:t>
      </w:r>
    </w:p>
    <w:p>
      <w:pPr>
        <w:spacing w:line="360" w:lineRule="auto"/>
        <w:jc w:val="center"/>
        <w:rPr>
          <w:rFonts w:ascii="黑体" w:eastAsia="黑体" w:hAnsi="黑体" w:cs="黑体" w:hint="eastAsia"/>
          <w:b/>
          <w:bCs/>
          <w:sz w:val="30"/>
          <w:szCs w:val="30"/>
          <w:lang w:eastAsia="zh-CN"/>
        </w:rPr>
      </w:pPr>
      <w:r>
        <w:rPr>
          <w:rFonts w:ascii="黑体" w:eastAsia="黑体" w:hAnsi="黑体" w:cs="黑体" w:hint="eastAsia"/>
          <w:b/>
          <w:bCs/>
          <w:sz w:val="30"/>
          <w:szCs w:val="30"/>
          <w:lang w:eastAsia="zh-CN"/>
        </w:rPr>
        <w:t>（格式自拟）</w:t>
      </w:r>
    </w:p>
    <w:p>
      <w:pPr>
        <w:spacing w:line="360" w:lineRule="auto"/>
        <w:jc w:val="center"/>
        <w:rPr>
          <w:rFonts w:ascii="黑体" w:eastAsia="黑体" w:hAnsi="黑体" w:cs="黑体" w:hint="eastAsia"/>
          <w:b/>
          <w:bCs/>
          <w:sz w:val="30"/>
          <w:szCs w:val="30"/>
          <w:lang w:eastAsia="zh-CN"/>
        </w:rPr>
      </w:pPr>
    </w:p>
    <w:p>
      <w:pPr>
        <w:spacing w:line="360" w:lineRule="auto"/>
        <w:jc w:val="center"/>
        <w:rPr>
          <w:rFonts w:ascii="黑体" w:eastAsia="黑体" w:hAnsi="黑体" w:cs="黑体" w:hint="eastAsia"/>
          <w:b/>
          <w:bCs/>
          <w:sz w:val="30"/>
          <w:szCs w:val="30"/>
          <w:lang w:eastAsia="zh-CN"/>
        </w:rPr>
      </w:pPr>
    </w:p>
    <w:p>
      <w:pPr>
        <w:spacing w:line="360" w:lineRule="auto"/>
        <w:jc w:val="center"/>
        <w:rPr>
          <w:rFonts w:ascii="黑体" w:eastAsia="黑体" w:hAnsi="黑体" w:cs="黑体" w:hint="eastAsia"/>
          <w:b/>
          <w:bCs/>
          <w:sz w:val="30"/>
          <w:szCs w:val="30"/>
          <w:lang w:eastAsia="zh-CN"/>
        </w:rPr>
      </w:pPr>
    </w:p>
    <w:p>
      <w:pPr>
        <w:spacing w:line="360" w:lineRule="auto"/>
        <w:jc w:val="center"/>
        <w:rPr>
          <w:rFonts w:ascii="黑体" w:eastAsia="黑体" w:hAnsi="黑体" w:cs="黑体" w:hint="eastAsia"/>
          <w:b/>
          <w:bCs/>
          <w:sz w:val="30"/>
          <w:szCs w:val="30"/>
          <w:lang w:eastAsia="zh-CN"/>
        </w:rPr>
      </w:pPr>
    </w:p>
    <w:p>
      <w:pPr>
        <w:spacing w:line="360" w:lineRule="auto"/>
        <w:jc w:val="center"/>
        <w:rPr>
          <w:rFonts w:ascii="黑体" w:eastAsia="黑体" w:hAnsi="黑体" w:cs="黑体" w:hint="eastAsia"/>
          <w:b/>
          <w:bCs/>
          <w:sz w:val="30"/>
          <w:szCs w:val="30"/>
          <w:lang w:eastAsia="zh-CN"/>
        </w:rPr>
      </w:pPr>
    </w:p>
    <w:p>
      <w:pPr>
        <w:spacing w:line="360" w:lineRule="auto"/>
        <w:jc w:val="center"/>
        <w:rPr>
          <w:rFonts w:ascii="黑体" w:eastAsia="黑体" w:hAnsi="黑体" w:cs="黑体" w:hint="eastAsia"/>
          <w:b/>
          <w:bCs/>
          <w:sz w:val="30"/>
          <w:szCs w:val="30"/>
          <w:lang w:eastAsia="zh-CN"/>
        </w:rPr>
      </w:pPr>
    </w:p>
    <w:p>
      <w:pPr>
        <w:spacing w:line="360" w:lineRule="auto"/>
        <w:jc w:val="center"/>
        <w:rPr>
          <w:rFonts w:ascii="黑体" w:eastAsia="黑体" w:hAnsi="黑体" w:cs="黑体" w:hint="eastAsia"/>
          <w:b/>
          <w:bCs/>
          <w:sz w:val="30"/>
          <w:szCs w:val="30"/>
          <w:lang w:eastAsia="zh-CN"/>
        </w:rPr>
      </w:pPr>
    </w:p>
    <w:p>
      <w:pPr>
        <w:spacing w:line="360" w:lineRule="auto"/>
        <w:jc w:val="center"/>
        <w:rPr>
          <w:rFonts w:ascii="黑体" w:eastAsia="黑体" w:hAnsi="黑体" w:cs="黑体" w:hint="eastAsia"/>
          <w:b/>
          <w:bCs/>
          <w:sz w:val="30"/>
          <w:szCs w:val="30"/>
          <w:lang w:eastAsia="zh-CN"/>
        </w:rPr>
      </w:pPr>
    </w:p>
    <w:p>
      <w:pPr>
        <w:spacing w:line="360" w:lineRule="auto"/>
        <w:jc w:val="center"/>
        <w:rPr>
          <w:rFonts w:ascii="黑体" w:eastAsia="黑体" w:hAnsi="黑体" w:cs="黑体" w:hint="eastAsia"/>
          <w:b/>
          <w:bCs/>
          <w:sz w:val="30"/>
          <w:szCs w:val="30"/>
          <w:lang w:eastAsia="zh-CN"/>
        </w:rPr>
      </w:pPr>
    </w:p>
    <w:p>
      <w:pPr>
        <w:spacing w:line="360" w:lineRule="auto"/>
        <w:jc w:val="center"/>
        <w:rPr>
          <w:rFonts w:ascii="黑体" w:eastAsia="黑体" w:hAnsi="黑体" w:cs="黑体" w:hint="eastAsia"/>
          <w:b/>
          <w:bCs/>
          <w:sz w:val="30"/>
          <w:szCs w:val="30"/>
          <w:lang w:eastAsia="zh-CN"/>
        </w:rPr>
      </w:pP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十六、诚信承诺函</w:t>
      </w:r>
    </w:p>
    <w:p>
      <w:pPr>
        <w:spacing w:before="120" w:after="120"/>
        <w:jc w:val="both"/>
        <w:outlineLvl w:val="9"/>
        <w:rPr>
          <w:rFonts w:ascii="宋体" w:eastAsia="宋体" w:hAnsi="宋体"/>
          <w:b/>
          <w:bCs/>
          <w:sz w:val="21"/>
          <w:szCs w:val="21"/>
        </w:rPr>
      </w:pPr>
    </w:p>
    <w:p>
      <w:pPr>
        <w:spacing w:line="360" w:lineRule="auto"/>
        <w:jc w:val="left"/>
        <w:rPr>
          <w:rFonts w:ascii="宋体" w:eastAsia="宋体" w:hAnsi="宋体"/>
          <w:b/>
          <w:szCs w:val="21"/>
        </w:rPr>
      </w:pPr>
      <w:r>
        <w:rPr>
          <w:rFonts w:ascii="宋体" w:eastAsia="宋体" w:hAnsi="宋体" w:hint="eastAsia"/>
          <w:b/>
          <w:szCs w:val="21"/>
        </w:rPr>
        <w:t>致：深圳市千里招标代理有限公司</w:t>
      </w:r>
    </w:p>
    <w:p>
      <w:pPr>
        <w:spacing w:line="360" w:lineRule="auto"/>
        <w:ind w:firstLine="480" w:firstLineChars="200"/>
        <w:jc w:val="left"/>
        <w:rPr>
          <w:rFonts w:ascii="宋体" w:eastAsia="宋体" w:hAnsi="宋体"/>
          <w:szCs w:val="21"/>
        </w:rPr>
      </w:pPr>
      <w:r>
        <w:rPr>
          <w:rFonts w:ascii="宋体" w:eastAsia="宋体" w:hAnsi="宋体" w:hint="eastAsia"/>
          <w:szCs w:val="21"/>
        </w:rPr>
        <w:t>我公司承诺近三年内在采购招标投标活动中，不存在以下情形：</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（一）被纪检监察部门立案调查，违法违规事实成立的；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（二）未按本条例规定签订、履行采购合同，造成严重后果的；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（三）隐瞒真实情况，提供虚假资料的；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（四）以非法手段排斥其他供应商参与竞争的；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（五）与其他采购参加人串通投标的；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（六）在采购活动中应当回避而未回避的；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（七）恶意投诉的；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（八）向采购项目相关人行贿或者提供其他不当利益的；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（九）阻碍、抗拒主管部门监督检查的；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（十）履约检查不合格或者评价为差的；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（十一）重大违法犯罪记录和被财政等政府主管部门处以禁止参与政府采购活动的情况；</w:t>
      </w:r>
    </w:p>
    <w:p>
      <w:pPr>
        <w:spacing w:line="360" w:lineRule="auto"/>
        <w:ind w:firstLine="480" w:firstLineChars="200"/>
        <w:jc w:val="left"/>
        <w:rPr>
          <w:rFonts w:ascii="宋体" w:eastAsia="宋体" w:hAnsi="宋体"/>
          <w:szCs w:val="21"/>
        </w:rPr>
      </w:pPr>
      <w:r>
        <w:rPr>
          <w:rFonts w:ascii="宋体" w:eastAsia="宋体" w:hAnsi="宋体" w:hint="eastAsia"/>
          <w:szCs w:val="21"/>
        </w:rPr>
        <w:t>（十二）主管部门认定的其他情形。</w:t>
      </w:r>
    </w:p>
    <w:p>
      <w:pPr>
        <w:spacing w:line="360" w:lineRule="auto"/>
        <w:ind w:firstLine="480" w:firstLineChars="200"/>
        <w:jc w:val="left"/>
        <w:rPr>
          <w:rFonts w:ascii="宋体" w:eastAsia="宋体" w:hAnsi="宋体"/>
          <w:szCs w:val="21"/>
        </w:rPr>
      </w:pPr>
      <w:r>
        <w:rPr>
          <w:rFonts w:ascii="宋体" w:eastAsia="宋体" w:hAnsi="宋体" w:hint="eastAsia"/>
          <w:szCs w:val="21"/>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spacing w:line="360" w:lineRule="auto"/>
        <w:ind w:firstLine="480" w:firstLineChars="200"/>
        <w:jc w:val="left"/>
        <w:rPr>
          <w:rFonts w:ascii="宋体" w:eastAsia="宋体" w:hAnsi="宋体"/>
          <w:szCs w:val="21"/>
        </w:rPr>
      </w:pPr>
      <w:r>
        <w:rPr>
          <w:rFonts w:ascii="宋体" w:eastAsia="宋体" w:hAnsi="宋体" w:hint="eastAsia"/>
          <w:szCs w:val="21"/>
        </w:rPr>
        <w:t>特此承诺。</w:t>
      </w:r>
    </w:p>
    <w:p>
      <w:pPr>
        <w:spacing w:line="360" w:lineRule="auto"/>
        <w:jc w:val="left"/>
        <w:rPr>
          <w:rFonts w:ascii="宋体" w:eastAsia="宋体" w:hAnsi="宋体"/>
          <w:szCs w:val="21"/>
        </w:rPr>
      </w:pPr>
    </w:p>
    <w:p>
      <w:pPr>
        <w:spacing w:line="360" w:lineRule="auto"/>
        <w:ind w:firstLine="3600" w:firstLineChars="1500"/>
        <w:jc w:val="left"/>
        <w:rPr>
          <w:rFonts w:ascii="宋体" w:eastAsia="宋体" w:hAnsi="宋体"/>
          <w:szCs w:val="21"/>
        </w:rPr>
      </w:pPr>
      <w:r>
        <w:rPr>
          <w:rFonts w:ascii="宋体" w:eastAsia="宋体" w:hAnsi="宋体" w:hint="eastAsia"/>
          <w:szCs w:val="21"/>
        </w:rPr>
        <w:t>投标单位：</w:t>
      </w:r>
    </w:p>
    <w:p>
      <w:pPr>
        <w:spacing w:line="360" w:lineRule="auto"/>
        <w:jc w:val="left"/>
        <w:rPr>
          <w:rFonts w:ascii="宋体" w:eastAsia="宋体" w:hAnsi="宋体"/>
          <w:szCs w:val="21"/>
        </w:rPr>
      </w:pPr>
    </w:p>
    <w:p>
      <w:pPr>
        <w:spacing w:line="360" w:lineRule="auto"/>
        <w:jc w:val="right"/>
        <w:rPr>
          <w:rFonts w:ascii="宋体" w:eastAsia="宋体" w:hAnsi="宋体" w:hint="eastAsia"/>
          <w:szCs w:val="21"/>
        </w:rPr>
      </w:pPr>
      <w:r>
        <w:rPr>
          <w:rFonts w:ascii="宋体" w:eastAsia="宋体" w:hAnsi="宋体" w:hint="eastAsia"/>
          <w:szCs w:val="21"/>
        </w:rPr>
        <w:t>日期：</w:t>
      </w:r>
      <w:r>
        <w:rPr>
          <w:rFonts w:ascii="宋体" w:eastAsia="宋体" w:hAnsi="宋体" w:hint="eastAsia"/>
          <w:szCs w:val="21"/>
          <w:u w:val="single"/>
          <w:lang w:eastAsia="zh-CN"/>
        </w:rPr>
        <w:t xml:space="preserve">     </w:t>
      </w:r>
      <w:r>
        <w:rPr>
          <w:rFonts w:ascii="宋体" w:eastAsia="宋体" w:hAnsi="宋体" w:hint="eastAsia"/>
          <w:szCs w:val="21"/>
        </w:rPr>
        <w:t>年</w:t>
      </w:r>
      <w:r>
        <w:rPr>
          <w:rFonts w:ascii="宋体" w:eastAsia="宋体" w:hAnsi="宋体" w:hint="eastAsia"/>
          <w:szCs w:val="21"/>
          <w:u w:val="single"/>
          <w:lang w:eastAsia="zh-CN"/>
        </w:rPr>
        <w:t xml:space="preserve">     </w:t>
      </w:r>
      <w:r>
        <w:rPr>
          <w:rFonts w:ascii="宋体" w:eastAsia="宋体" w:hAnsi="宋体" w:hint="eastAsia"/>
          <w:szCs w:val="21"/>
        </w:rPr>
        <w:t>月</w:t>
      </w:r>
      <w:r>
        <w:rPr>
          <w:rFonts w:ascii="宋体" w:eastAsia="宋体" w:hAnsi="宋体" w:hint="eastAsia"/>
          <w:szCs w:val="21"/>
          <w:u w:val="single"/>
          <w:lang w:eastAsia="zh-CN"/>
        </w:rPr>
        <w:t xml:space="preserve">     </w:t>
      </w:r>
      <w:r>
        <w:rPr>
          <w:rFonts w:ascii="宋体" w:eastAsia="宋体" w:hAnsi="宋体" w:hint="eastAsia"/>
          <w:szCs w:val="21"/>
        </w:rPr>
        <w:t>日</w:t>
      </w:r>
    </w:p>
    <w:p>
      <w:pPr>
        <w:spacing w:line="360" w:lineRule="auto"/>
        <w:jc w:val="right"/>
        <w:rPr>
          <w:rFonts w:ascii="宋体" w:eastAsia="宋体" w:hAnsi="宋体" w:hint="eastAsia"/>
          <w:szCs w:val="21"/>
        </w:rPr>
      </w:pPr>
    </w:p>
    <w:p>
      <w:pPr>
        <w:spacing w:line="360" w:lineRule="auto"/>
        <w:jc w:val="right"/>
        <w:rPr>
          <w:rFonts w:ascii="宋体" w:eastAsia="宋体" w:hAnsi="宋体" w:hint="eastAsia"/>
          <w:szCs w:val="21"/>
        </w:rPr>
      </w:pP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十七、</w:t>
      </w:r>
      <w:bookmarkStart w:id="28" w:name="_Hlk72062872"/>
      <w:r>
        <w:rPr>
          <w:rFonts w:ascii="黑体" w:eastAsia="黑体" w:hAnsi="宋体" w:cstheme="minorBidi" w:hint="eastAsia"/>
          <w:b/>
          <w:bCs/>
          <w:kern w:val="2"/>
          <w:sz w:val="30"/>
          <w:szCs w:val="30"/>
          <w:lang w:eastAsia="zh-CN"/>
        </w:rPr>
        <w:t>投标人认为需要加以说明的其他内容</w:t>
      </w:r>
      <w:bookmarkEnd w:id="28"/>
    </w:p>
    <w:p>
      <w:pPr>
        <w:widowControl/>
        <w:jc w:val="center"/>
        <w:rPr>
          <w:rFonts w:ascii="黑体" w:eastAsia="黑体" w:hAnsi="宋体"/>
          <w:szCs w:val="20"/>
          <w:lang w:eastAsia="zh-CN"/>
        </w:rPr>
      </w:pPr>
      <w:r>
        <w:rPr>
          <w:rFonts w:ascii="黑体" w:eastAsia="黑体" w:hAnsi="宋体" w:cstheme="minorBidi" w:hint="eastAsia"/>
          <w:szCs w:val="20"/>
          <w:lang w:eastAsia="zh-CN"/>
        </w:rPr>
        <w:t>（一）政府采购违法行为风险知悉确认书</w:t>
      </w:r>
    </w:p>
    <w:p>
      <w:pPr>
        <w:widowControl/>
        <w:jc w:val="center"/>
        <w:rPr>
          <w:rFonts w:ascii="黑体" w:eastAsia="黑体" w:hAnsi="宋体"/>
          <w:szCs w:val="20"/>
          <w:lang w:eastAsia="zh-CN"/>
        </w:rPr>
      </w:pPr>
    </w:p>
    <w:p>
      <w:pPr>
        <w:widowControl w:val="0"/>
        <w:spacing w:line="579" w:lineRule="exact"/>
        <w:ind w:firstLine="480" w:firstLineChars="200"/>
        <w:jc w:val="both"/>
        <w:rPr>
          <w:rFonts w:ascii="宋体" w:eastAsia="宋体" w:hAnsi="宋体" w:cs="仿宋_GB2312"/>
          <w:lang w:eastAsia="zh-CN"/>
        </w:rPr>
      </w:pPr>
      <w:r>
        <w:rPr>
          <w:rFonts w:ascii="宋体" w:eastAsia="宋体" w:hAnsi="宋体" w:cs="仿宋_GB2312" w:hint="eastAsia"/>
          <w:kern w:val="2"/>
          <w:lang w:eastAsia="zh-CN"/>
        </w:rPr>
        <w:t>本公司在投标前已充分知悉以下情形为参与政府采购活动时的重大风险事项，并承诺已对下述风险提示事项重点排查，做到严谨、诚信、依法依规参与政府采购活动。</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b/>
          <w:bCs/>
          <w:kern w:val="2"/>
          <w:lang w:eastAsia="zh-CN"/>
        </w:rPr>
        <w:t>一、本公司已充分知悉“隐瞒真实情况，提供虚假资料”的法定情形，相关情形包括但不限于</w:t>
      </w:r>
      <w:r>
        <w:rPr>
          <w:rFonts w:ascii="宋体" w:eastAsia="宋体" w:hAnsi="宋体" w:cs="仿宋_GB2312" w:hint="eastAsia"/>
          <w:kern w:val="2"/>
          <w:lang w:eastAsia="zh-CN"/>
        </w:rPr>
        <w:t>：</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（一）通过转让或者租借等方式从其他单位获取资格或者资质证书投标的。</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（二）由其他单位或者其他单位负责人在投标供应商编制的投标文件上加盖印章或者签字的。</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（三）项目负责人或者主要技术人员不是本单位人员的。</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（四）投标保证金不是从投标供应商基本账户转出的。</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（五）其他隐瞒真实情况、提供虚假资料的行为。</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b/>
          <w:bCs/>
          <w:kern w:val="2"/>
          <w:lang w:eastAsia="zh-CN"/>
        </w:rPr>
        <w:t>二、本公司已充分知悉“与其他采购参加人串通投标”的法定情形，相关情形包括但不限于：</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（一）投标供应商之间相互约定给予未中标的供应商利益补偿。</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（二）不同投标供应商的法定代表人、主要经营负责人、项目投标授权代表人、项目负责人、主要技术人员为同一人、属同一单位或者在同一单位缴纳社会保险。</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（三）不同投标供应商的投标文件由同一单位或者同一人编制，或者由同一人分阶段参与编制的。</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（四）不同投标供应商的投标文件或部分投标文件相互混装。</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（五）不同投标供应商的投标文件内容存在非正常一致。</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（六）由同一单位工作人员为两家以上（含两家）供应商进行同一项投标活动的。</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（七）不同投标人的投标报价呈规律性差异。</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（八）不同投标人的投标保证金从同一单位或者个人的账户转出。</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（九）主管部门依照法律、法规认定的其他情形。</w:t>
      </w:r>
    </w:p>
    <w:p>
      <w:pPr>
        <w:widowControl w:val="0"/>
        <w:spacing w:line="579" w:lineRule="exact"/>
        <w:ind w:firstLine="480" w:firstLineChars="200"/>
        <w:jc w:val="both"/>
        <w:rPr>
          <w:rFonts w:ascii="宋体" w:eastAsia="宋体" w:hAnsi="宋体" w:cs="仿宋_GB2312"/>
          <w:b/>
          <w:bCs/>
          <w:kern w:val="2"/>
          <w:lang w:eastAsia="zh-CN"/>
        </w:rPr>
      </w:pPr>
      <w:r>
        <w:rPr>
          <w:rFonts w:ascii="宋体" w:eastAsia="宋体" w:hAnsi="宋体" w:cs="仿宋_GB2312" w:hint="eastAsia"/>
          <w:b/>
          <w:bCs/>
          <w:kern w:val="2"/>
          <w:lang w:eastAsia="zh-CN"/>
        </w:rPr>
        <w:t>三、本公司已充分知悉下列情形所对应的法律风险，并在投标前已对相关风险事项进行排查。</w:t>
      </w:r>
    </w:p>
    <w:p>
      <w:pPr>
        <w:widowControl w:val="0"/>
        <w:spacing w:line="579" w:lineRule="exact"/>
        <w:ind w:firstLine="480" w:firstLineChars="200"/>
        <w:jc w:val="both"/>
        <w:rPr>
          <w:rFonts w:ascii="宋体" w:eastAsia="宋体" w:hAnsi="宋体" w:cs="仿宋_GB2312"/>
          <w:b/>
          <w:bCs/>
          <w:kern w:val="2"/>
          <w:lang w:eastAsia="zh-CN"/>
        </w:rPr>
      </w:pPr>
      <w:r>
        <w:rPr>
          <w:rFonts w:ascii="宋体" w:eastAsia="宋体" w:hAnsi="宋体" w:cs="仿宋_GB2312" w:hint="eastAsia"/>
          <w:kern w:val="2"/>
          <w:lang w:eastAsia="zh-CN"/>
        </w:rPr>
        <w:t>（一）对于</w:t>
      </w:r>
      <w:r>
        <w:rPr>
          <w:rFonts w:ascii="宋体" w:eastAsia="宋体" w:hAnsi="宋体" w:hint="eastAsia"/>
          <w:kern w:val="2"/>
          <w:lang w:eastAsia="zh-CN"/>
        </w:rPr>
        <w:t>从</w:t>
      </w:r>
      <w:r>
        <w:rPr>
          <w:rFonts w:ascii="宋体" w:eastAsia="宋体" w:hAnsi="宋体" w:cs="仿宋_GB2312" w:hint="eastAsia"/>
          <w:kern w:val="2"/>
          <w:lang w:eastAsia="zh-CN"/>
        </w:rPr>
        <w:t>其他主体</w:t>
      </w:r>
      <w:r>
        <w:rPr>
          <w:rFonts w:ascii="宋体" w:eastAsia="宋体" w:hAnsi="宋体" w:hint="eastAsia"/>
          <w:kern w:val="2"/>
          <w:lang w:eastAsia="zh-CN"/>
        </w:rPr>
        <w:t>获取</w:t>
      </w:r>
      <w:r>
        <w:rPr>
          <w:rFonts w:ascii="宋体" w:eastAsia="宋体" w:hAnsi="宋体" w:cs="仿宋_GB2312" w:hint="eastAsia"/>
          <w:kern w:val="2"/>
          <w:lang w:eastAsia="zh-CN"/>
        </w:rPr>
        <w:t>的投标资料，供应商应审慎核查，确保投标资料的真实性。</w:t>
      </w:r>
      <w:r>
        <w:rPr>
          <w:rFonts w:ascii="宋体" w:eastAsia="宋体" w:hAnsi="宋体" w:cs="仿宋_GB2312" w:hint="eastAsia"/>
          <w:b/>
          <w:bCs/>
          <w:kern w:val="2"/>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（三）对于涉及安全生产、特种作业、抢险救灾、防疫等政府采购项目，供应商实施提供虚假资料、串通投标等违法行为的，主管部门将依法从严处理。</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（四）供应商应严格规范项目授权代表、员工参与招标投标的行为，加强对投标文件的审核。项目授权代表、员工</w:t>
      </w:r>
      <w:r>
        <w:rPr>
          <w:rFonts w:ascii="宋体" w:eastAsia="宋体" w:hAnsi="宋体" w:hint="eastAsia"/>
          <w:kern w:val="2"/>
          <w:lang w:eastAsia="zh-CN"/>
        </w:rPr>
        <w:t>编制、上传</w:t>
      </w:r>
      <w:r>
        <w:rPr>
          <w:rFonts w:ascii="宋体" w:eastAsia="宋体" w:hAnsi="宋体" w:cs="仿宋_GB2312" w:hint="eastAsia"/>
          <w:kern w:val="2"/>
          <w:lang w:eastAsia="zh-CN"/>
        </w:rPr>
        <w:t>投标文件</w:t>
      </w:r>
      <w:r>
        <w:rPr>
          <w:rFonts w:ascii="宋体" w:eastAsia="宋体" w:hAnsi="宋体" w:hint="eastAsia"/>
          <w:kern w:val="2"/>
          <w:lang w:eastAsia="zh-CN"/>
        </w:rPr>
        <w:t>等行为</w:t>
      </w:r>
      <w:r>
        <w:rPr>
          <w:rFonts w:ascii="宋体" w:eastAsia="宋体" w:hAnsi="宋体" w:cs="仿宋_GB2312" w:hint="eastAsia"/>
          <w:kern w:val="2"/>
          <w:lang w:eastAsia="zh-CN"/>
        </w:rPr>
        <w:t>违反政府采购法律法规或招标文件要求的，投标供应商应当依法承担相应法律责任。</w:t>
      </w:r>
    </w:p>
    <w:p>
      <w:pPr>
        <w:widowControl w:val="0"/>
        <w:spacing w:line="579" w:lineRule="exact"/>
        <w:ind w:firstLine="480" w:firstLineChars="200"/>
        <w:jc w:val="left"/>
        <w:rPr>
          <w:rFonts w:ascii="宋体" w:eastAsia="宋体" w:hAnsi="宋体" w:cs="仿宋_GB2312"/>
          <w:kern w:val="2"/>
          <w:lang w:eastAsia="zh-CN"/>
        </w:rPr>
      </w:pPr>
      <w:r>
        <w:rPr>
          <w:rFonts w:ascii="宋体" w:eastAsia="宋体" w:hAnsi="宋体" w:cs="仿宋_GB2312" w:hint="eastAsia"/>
          <w:kern w:val="2"/>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（六）单位负责人为同一人或者存在直接控股、管理关系的不同供应商，不得参加同一合同项下的政府采购活动。相关情形</w:t>
      </w:r>
      <w:r>
        <w:rPr>
          <w:rFonts w:ascii="宋体" w:eastAsia="宋体" w:hAnsi="宋体" w:hint="eastAsia"/>
          <w:kern w:val="2"/>
          <w:lang w:eastAsia="zh-CN"/>
        </w:rPr>
        <w:t>如</w:t>
      </w:r>
      <w:r>
        <w:rPr>
          <w:rFonts w:ascii="宋体" w:eastAsia="宋体" w:hAnsi="宋体" w:cs="仿宋_GB2312" w:hint="eastAsia"/>
          <w:kern w:val="2"/>
          <w:lang w:eastAsia="zh-CN"/>
        </w:rPr>
        <w:t>查实，依法作投标无效处理；涉嫌串通投标等违法行为的，主管部门将依法调查处理。</w:t>
      </w:r>
    </w:p>
    <w:p>
      <w:pPr>
        <w:widowControl w:val="0"/>
        <w:spacing w:line="579" w:lineRule="exact"/>
        <w:ind w:firstLine="480" w:firstLineChars="200"/>
        <w:jc w:val="both"/>
        <w:rPr>
          <w:rFonts w:ascii="宋体" w:eastAsia="宋体" w:hAnsi="宋体" w:cs="仿宋_GB2312"/>
          <w:b/>
          <w:bCs/>
          <w:kern w:val="2"/>
          <w:lang w:eastAsia="zh-CN"/>
        </w:rPr>
      </w:pPr>
      <w:r>
        <w:rPr>
          <w:rFonts w:ascii="宋体" w:eastAsia="宋体" w:hAnsi="宋体" w:cs="仿宋_GB2312" w:hint="eastAsia"/>
          <w:b/>
          <w:bCs/>
          <w:kern w:val="2"/>
          <w:lang w:eastAsia="zh-CN"/>
        </w:rPr>
        <w:t>四、本公司已充分知悉政府采购违法、违规行为的法律后果。</w:t>
      </w:r>
      <w:r>
        <w:rPr>
          <w:rFonts w:ascii="宋体" w:eastAsia="宋体" w:hAnsi="宋体" w:cs="仿宋_GB2312" w:hint="eastAsia"/>
          <w:kern w:val="2"/>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spacing w:line="579" w:lineRule="exact"/>
        <w:ind w:firstLine="480" w:firstLineChars="200"/>
        <w:jc w:val="both"/>
        <w:rPr>
          <w:rFonts w:ascii="宋体" w:eastAsia="宋体" w:hAnsi="宋体" w:cs="仿宋_GB2312"/>
          <w:color w:val="FF0000"/>
          <w:kern w:val="2"/>
          <w:lang w:eastAsia="zh-CN"/>
        </w:rPr>
      </w:pPr>
      <w:r>
        <w:rPr>
          <w:rFonts w:ascii="宋体" w:eastAsia="宋体" w:hAnsi="宋体" w:cs="仿宋_GB2312" w:hint="eastAsia"/>
          <w:color w:val="FF0000"/>
          <w:kern w:val="2"/>
          <w:lang w:eastAsia="zh-CN"/>
        </w:rPr>
        <w:t>我司已阅读并确认：“本公司已仔细阅读《政府采购违法行为风险知悉确认书》，充分知悉违法行为的法律后果，并承诺将严谨、诚信、依法依规参与政府采购活动”。</w:t>
      </w:r>
    </w:p>
    <w:p>
      <w:pPr>
        <w:widowControl w:val="0"/>
        <w:spacing w:line="579" w:lineRule="exact"/>
        <w:jc w:val="both"/>
        <w:rPr>
          <w:rFonts w:ascii="宋体" w:eastAsia="宋体" w:hAnsi="宋体" w:cs="仿宋_GB2312"/>
          <w:kern w:val="2"/>
          <w:u w:val="single"/>
          <w:lang w:eastAsia="zh-CN"/>
        </w:rPr>
      </w:pPr>
    </w:p>
    <w:p>
      <w:pPr>
        <w:widowControl w:val="0"/>
        <w:spacing w:line="560" w:lineRule="exact"/>
        <w:jc w:val="both"/>
        <w:rPr>
          <w:rFonts w:ascii="宋体" w:eastAsia="宋体" w:hAnsi="宋体" w:cs="宋体"/>
          <w:kern w:val="2"/>
          <w:sz w:val="18"/>
          <w:szCs w:val="18"/>
          <w:lang w:eastAsia="zh-CN"/>
        </w:rPr>
      </w:pPr>
    </w:p>
    <w:p>
      <w:pPr>
        <w:widowControl w:val="0"/>
        <w:spacing w:before="60" w:beforeLines="25" w:after="60" w:afterLines="25"/>
        <w:jc w:val="right"/>
        <w:rPr>
          <w:rFonts w:ascii="Calibri" w:eastAsia="宋体" w:hAnsi="Calibri" w:hint="eastAsia"/>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line="360" w:lineRule="auto"/>
        <w:ind w:firstLine="494" w:firstLineChars="206"/>
        <w:jc w:val="left"/>
        <w:rPr>
          <w:rFonts w:ascii="宋体" w:eastAsia="宋体" w:hAnsi="宋体" w:cs="仿宋_GB2312"/>
          <w:kern w:val="2"/>
          <w:lang w:eastAsia="zh-CN"/>
        </w:rPr>
      </w:pPr>
    </w:p>
    <w:p>
      <w:pPr>
        <w:widowControl/>
        <w:autoSpaceDE w:val="0"/>
        <w:autoSpaceDN w:val="0"/>
        <w:spacing w:line="400" w:lineRule="exact"/>
        <w:ind w:firstLine="480" w:firstLineChars="200"/>
        <w:jc w:val="left"/>
        <w:rPr>
          <w:rFonts w:ascii="宋体" w:eastAsia="宋体" w:hAnsi="宋体"/>
          <w:color w:val="FF0000"/>
          <w:spacing w:val="-4"/>
          <w:sz w:val="21"/>
          <w:szCs w:val="21"/>
          <w:lang w:eastAsia="zh-CN"/>
        </w:rPr>
      </w:pPr>
      <w:r>
        <w:rPr>
          <w:rFonts w:ascii="宋体" w:eastAsia="宋体" w:hAnsi="宋体" w:cs="仿宋_GB2312" w:hint="eastAsia"/>
          <w:kern w:val="2"/>
          <w:lang w:eastAsia="zh-CN"/>
        </w:rPr>
        <w:t>注：根据《深圳市财政局关于采购文件增加风险告知有关事项的通知》（深财购〔2022〕22号），该风险知悉确认书用于对供应商违法行为的警示，不作为供应商资格性审查及符合性审查条件。</w:t>
      </w:r>
    </w:p>
    <w:p>
      <w:pPr>
        <w:widowControl/>
        <w:numPr>
          <w:ilvl w:val="0"/>
          <w:numId w:val="6"/>
        </w:numPr>
        <w:jc w:val="center"/>
        <w:rPr>
          <w:rFonts w:ascii="黑体" w:eastAsia="黑体" w:hAnsi="宋体" w:hint="eastAsia"/>
          <w:szCs w:val="20"/>
          <w:lang w:eastAsia="zh-CN"/>
        </w:rPr>
      </w:pPr>
      <w:r>
        <w:rPr>
          <w:rFonts w:ascii="黑体" w:eastAsia="黑体" w:hAnsi="宋体" w:cstheme="minorBidi" w:hint="eastAsia"/>
          <w:szCs w:val="20"/>
          <w:lang w:eastAsia="zh-CN"/>
        </w:rPr>
        <w:t>投标人认为需要加以说明的其他内容（格式自定）</w:t>
      </w:r>
    </w:p>
    <w:p>
      <w:pPr>
        <w:widowControl/>
        <w:numPr>
          <w:ilvl w:val="0"/>
          <w:numId w:val="0"/>
        </w:numPr>
        <w:ind w:left="0" w:firstLine="0"/>
        <w:jc w:val="center"/>
        <w:rPr>
          <w:rFonts w:ascii="黑体" w:eastAsia="黑体" w:hAnsi="宋体" w:hint="eastAsia"/>
          <w:szCs w:val="20"/>
          <w:lang w:eastAsia="zh-CN"/>
        </w:rPr>
      </w:pPr>
    </w:p>
    <w:p>
      <w:pPr>
        <w:widowControl/>
        <w:numPr>
          <w:ilvl w:val="0"/>
          <w:numId w:val="0"/>
        </w:numPr>
        <w:ind w:left="0" w:firstLine="0"/>
        <w:jc w:val="center"/>
        <w:rPr>
          <w:rFonts w:ascii="黑体" w:eastAsia="黑体" w:hAnsi="宋体" w:hint="eastAsia"/>
          <w:szCs w:val="20"/>
          <w:lang w:eastAsia="zh-CN"/>
        </w:rPr>
      </w:pPr>
    </w:p>
    <w:p>
      <w:pPr>
        <w:widowControl/>
        <w:numPr>
          <w:ilvl w:val="0"/>
          <w:numId w:val="0"/>
        </w:numPr>
        <w:ind w:left="0" w:firstLine="0"/>
        <w:jc w:val="center"/>
        <w:rPr>
          <w:rFonts w:ascii="黑体" w:eastAsia="黑体" w:hAnsi="宋体" w:hint="eastAsia"/>
          <w:szCs w:val="20"/>
          <w:lang w:eastAsia="zh-CN"/>
        </w:rPr>
      </w:pPr>
    </w:p>
    <w:p>
      <w:pPr>
        <w:widowControl w:val="0"/>
        <w:spacing w:after="60" w:afterLines="25" w:line="300" w:lineRule="auto"/>
        <w:jc w:val="both"/>
        <w:rPr>
          <w:rFonts w:ascii="Arial" w:eastAsia="宋体" w:hAnsi="Arial"/>
          <w:kern w:val="2"/>
          <w:lang w:eastAsia="zh-CN"/>
        </w:rPr>
      </w:pP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第五章  合同条款及格式</w:t>
      </w:r>
    </w:p>
    <w:p>
      <w:pPr>
        <w:widowControl w:val="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有专业类别的格式合同范本请选择相应的合同</w:t>
      </w:r>
    </w:p>
    <w:p>
      <w:pPr>
        <w:widowControl w:val="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（仅供参考，采购单位需填写项目关键信息和违约责任条款）</w:t>
      </w:r>
    </w:p>
    <w:p>
      <w:pPr>
        <w:jc w:val="left"/>
        <w:rPr>
          <w:rFonts w:ascii="宋体" w:eastAsia="宋体" w:hAnsi="宋体" w:cs="宋体" w:hint="eastAsia"/>
          <w:sz w:val="21"/>
          <w:szCs w:val="21"/>
        </w:rPr>
      </w:pPr>
      <w:r>
        <w:rPr>
          <w:rFonts w:ascii="宋体" w:eastAsia="宋体" w:hAnsi="宋体" w:cs="宋体" w:hint="eastAsia"/>
          <w:sz w:val="21"/>
          <w:szCs w:val="21"/>
        </w:rPr>
        <w:t>采购人：</w:t>
      </w:r>
      <w:r>
        <w:rPr>
          <w:rFonts w:ascii="宋体" w:eastAsia="宋体" w:hAnsi="宋体" w:cs="宋体" w:hint="eastAsia"/>
          <w:sz w:val="21"/>
          <w:szCs w:val="21"/>
          <w:u w:val="single"/>
        </w:rPr>
        <w:t xml:space="preserve">           </w:t>
      </w:r>
    </w:p>
    <w:p>
      <w:pPr>
        <w:jc w:val="left"/>
        <w:rPr>
          <w:rFonts w:ascii="宋体" w:eastAsia="宋体" w:hAnsi="宋体" w:cs="宋体" w:hint="eastAsia"/>
          <w:sz w:val="21"/>
          <w:szCs w:val="21"/>
        </w:rPr>
      </w:pPr>
      <w:r>
        <w:rPr>
          <w:rFonts w:ascii="宋体" w:eastAsia="宋体" w:hAnsi="宋体" w:cs="宋体" w:hint="eastAsia"/>
          <w:sz w:val="21"/>
          <w:szCs w:val="21"/>
        </w:rPr>
        <w:t>供应商：</w:t>
      </w:r>
      <w:r>
        <w:rPr>
          <w:rFonts w:ascii="宋体" w:eastAsia="宋体" w:hAnsi="宋体" w:cs="宋体" w:hint="eastAsia"/>
          <w:sz w:val="21"/>
          <w:szCs w:val="21"/>
          <w:u w:val="single"/>
        </w:rPr>
        <w:t xml:space="preserve">           </w:t>
      </w:r>
    </w:p>
    <w:p>
      <w:pPr>
        <w:jc w:val="left"/>
        <w:rPr>
          <w:rFonts w:ascii="宋体" w:eastAsia="宋体" w:hAnsi="宋体" w:cs="宋体" w:hint="eastAsia"/>
          <w:sz w:val="21"/>
          <w:szCs w:val="21"/>
        </w:rPr>
      </w:pP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根据</w:t>
      </w:r>
      <w:r>
        <w:rPr>
          <w:rFonts w:ascii="宋体" w:eastAsia="宋体" w:hAnsi="宋体" w:cs="宋体" w:hint="eastAsia"/>
          <w:sz w:val="21"/>
          <w:szCs w:val="21"/>
          <w:lang w:eastAsia="zh-CN"/>
        </w:rPr>
        <w:t>深圳市龙华职业技术学校</w:t>
      </w:r>
      <w:r>
        <w:rPr>
          <w:rFonts w:ascii="宋体" w:eastAsia="宋体" w:hAnsi="宋体" w:cs="宋体" w:hint="eastAsia"/>
          <w:sz w:val="21"/>
          <w:szCs w:val="21"/>
          <w:u w:val="single"/>
        </w:rPr>
        <w:t xml:space="preserve">        </w:t>
      </w:r>
      <w:r>
        <w:rPr>
          <w:rFonts w:ascii="宋体" w:eastAsia="宋体" w:hAnsi="宋体" w:cs="宋体" w:hint="eastAsia"/>
          <w:sz w:val="21"/>
          <w:szCs w:val="21"/>
        </w:rPr>
        <w:t>号采购项目的投标结果，由</w:t>
      </w:r>
      <w:r>
        <w:rPr>
          <w:rFonts w:ascii="宋体" w:eastAsia="宋体" w:hAnsi="宋体" w:cs="宋体" w:hint="eastAsia"/>
          <w:sz w:val="21"/>
          <w:szCs w:val="21"/>
          <w:u w:val="single"/>
        </w:rPr>
        <w:t xml:space="preserve">       </w:t>
      </w:r>
      <w:r>
        <w:rPr>
          <w:rFonts w:ascii="宋体" w:eastAsia="宋体" w:hAnsi="宋体" w:cs="宋体" w:hint="eastAsia"/>
          <w:sz w:val="21"/>
          <w:szCs w:val="21"/>
        </w:rPr>
        <w:t>单位为中标方。按照有关规定，经</w:t>
      </w:r>
      <w:r>
        <w:rPr>
          <w:rFonts w:ascii="宋体" w:eastAsia="宋体" w:hAnsi="宋体" w:cs="宋体" w:hint="eastAsia"/>
          <w:sz w:val="21"/>
          <w:szCs w:val="21"/>
          <w:lang w:eastAsia="zh-CN"/>
        </w:rPr>
        <w:t>深圳市龙华职业技术学校</w:t>
      </w:r>
      <w:r>
        <w:rPr>
          <w:rFonts w:ascii="宋体" w:eastAsia="宋体" w:hAnsi="宋体" w:cs="宋体" w:hint="eastAsia"/>
          <w:sz w:val="21"/>
          <w:szCs w:val="21"/>
        </w:rPr>
        <w:t>（以下简称甲方）和</w:t>
      </w:r>
      <w:r>
        <w:rPr>
          <w:rFonts w:ascii="宋体" w:eastAsia="宋体" w:hAnsi="宋体" w:cs="宋体" w:hint="eastAsia"/>
          <w:sz w:val="21"/>
          <w:szCs w:val="21"/>
          <w:u w:val="single"/>
        </w:rPr>
        <w:t xml:space="preserve">           </w:t>
      </w:r>
      <w:r>
        <w:rPr>
          <w:rFonts w:ascii="宋体" w:eastAsia="宋体" w:hAnsi="宋体" w:cs="宋体" w:hint="eastAsia"/>
          <w:sz w:val="21"/>
          <w:szCs w:val="21"/>
        </w:rPr>
        <w:t>单位（以下简称乙方）协商，达成以下合同条款：</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第一条  合同标的</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乙方根据甲方需求提供下列货物：</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货物名称、规格及数量详见</w:t>
      </w:r>
      <w:r>
        <w:rPr>
          <w:rFonts w:ascii="宋体" w:eastAsia="宋体" w:hAnsi="宋体" w:cs="宋体" w:hint="eastAsia"/>
          <w:b/>
          <w:sz w:val="21"/>
          <w:szCs w:val="21"/>
          <w:u w:val="single"/>
        </w:rPr>
        <w:t xml:space="preserve">  </w:t>
      </w:r>
      <w:r>
        <w:rPr>
          <w:rFonts w:ascii="宋体" w:eastAsia="宋体" w:hAnsi="宋体" w:cs="宋体" w:hint="eastAsia"/>
          <w:b/>
          <w:sz w:val="21"/>
          <w:szCs w:val="21"/>
          <w:u w:val="single"/>
          <w:lang w:eastAsia="zh-CN"/>
        </w:rPr>
        <w:t>（采购清单）</w:t>
      </w:r>
      <w:r>
        <w:rPr>
          <w:rFonts w:ascii="宋体" w:eastAsia="宋体" w:hAnsi="宋体" w:cs="宋体" w:hint="eastAsia"/>
          <w:b/>
          <w:sz w:val="21"/>
          <w:szCs w:val="21"/>
          <w:u w:val="single"/>
        </w:rPr>
        <w:t xml:space="preserve">  </w:t>
      </w:r>
      <w:r>
        <w:rPr>
          <w:rFonts w:ascii="宋体" w:eastAsia="宋体" w:hAnsi="宋体" w:cs="宋体" w:hint="eastAsia"/>
          <w:sz w:val="21"/>
          <w:szCs w:val="21"/>
        </w:rPr>
        <w:t>。</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第二条  合同价款</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本合同项下总价款为</w:t>
      </w:r>
      <w:r>
        <w:rPr>
          <w:rFonts w:ascii="宋体" w:eastAsia="宋体" w:hAnsi="宋体" w:cs="宋体" w:hint="eastAsia"/>
          <w:sz w:val="21"/>
          <w:szCs w:val="21"/>
          <w:u w:val="single"/>
        </w:rPr>
        <w:t xml:space="preserve">              </w:t>
      </w:r>
      <w:r>
        <w:rPr>
          <w:rFonts w:ascii="宋体" w:eastAsia="宋体" w:hAnsi="宋体" w:cs="宋体" w:hint="eastAsia"/>
          <w:sz w:val="21"/>
          <w:szCs w:val="21"/>
        </w:rPr>
        <w:t>（大写）人民币，分项价款详见</w:t>
      </w:r>
      <w:r>
        <w:rPr>
          <w:rFonts w:ascii="宋体" w:eastAsia="宋体" w:hAnsi="宋体" w:cs="宋体" w:hint="eastAsia"/>
          <w:b/>
          <w:sz w:val="21"/>
          <w:szCs w:val="21"/>
          <w:u w:val="single"/>
        </w:rPr>
        <w:t xml:space="preserve">          </w:t>
      </w:r>
      <w:r>
        <w:rPr>
          <w:rFonts w:ascii="宋体" w:eastAsia="宋体" w:hAnsi="宋体" w:cs="宋体" w:hint="eastAsia"/>
          <w:sz w:val="21"/>
          <w:szCs w:val="21"/>
        </w:rPr>
        <w:t>。本合同总价款已包括乙方为履行本合同义务所发生的一切费用，系固定不变价格，且不随通货膨胀的影响而波动。</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第三条  权利保证</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第四条  质量保证</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1、乙方所提供的货物的技术规格符合采购文件规定的技术规格，货物符合中华人民共和国的设计和制造生产标准或行业标准。</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3、乙方保证交货时一并提供货物的质量合格凭证或文件。</w:t>
      </w:r>
    </w:p>
    <w:p>
      <w:pPr>
        <w:spacing w:line="360" w:lineRule="auto"/>
        <w:jc w:val="left"/>
        <w:rPr>
          <w:rFonts w:ascii="宋体" w:eastAsia="宋体" w:hAnsi="宋体" w:cs="宋体" w:hint="eastAsia"/>
          <w:sz w:val="21"/>
          <w:szCs w:val="21"/>
        </w:rPr>
      </w:pP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第五条  交货和验收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4、甲方应当在到货后的</w:t>
      </w:r>
      <w:r>
        <w:rPr>
          <w:rFonts w:ascii="宋体" w:eastAsia="宋体" w:hAnsi="宋体" w:cs="宋体" w:hint="eastAsia"/>
          <w:sz w:val="21"/>
          <w:szCs w:val="21"/>
          <w:u w:val="single"/>
        </w:rPr>
        <w:t xml:space="preserve">  </w:t>
      </w:r>
      <w:r>
        <w:rPr>
          <w:rFonts w:ascii="宋体" w:eastAsia="宋体" w:hAnsi="宋体" w:cs="宋体" w:hint="eastAsia"/>
          <w:sz w:val="21"/>
          <w:szCs w:val="21"/>
          <w:u w:val="single"/>
          <w:lang w:eastAsia="zh-CN"/>
        </w:rPr>
        <w:t xml:space="preserve">10 </w:t>
      </w:r>
      <w:r>
        <w:rPr>
          <w:rFonts w:ascii="宋体" w:eastAsia="宋体" w:hAnsi="宋体" w:cs="宋体" w:hint="eastAsia"/>
          <w:sz w:val="21"/>
          <w:szCs w:val="21"/>
          <w:u w:val="single"/>
        </w:rPr>
        <w:t xml:space="preserve"> </w:t>
      </w:r>
      <w:r>
        <w:rPr>
          <w:rFonts w:ascii="宋体" w:eastAsia="宋体" w:hAnsi="宋体" w:cs="宋体" w:hint="eastAsia"/>
          <w:sz w:val="21"/>
          <w:szCs w:val="21"/>
        </w:rPr>
        <w:t>个工作日内对货物进行验收；需要乙方对货物或系统进行安装调试的，甲方应在货物安装调试完毕后的</w:t>
      </w:r>
      <w:r>
        <w:rPr>
          <w:rFonts w:ascii="宋体" w:eastAsia="宋体" w:hAnsi="宋体" w:cs="宋体" w:hint="eastAsia"/>
          <w:sz w:val="21"/>
          <w:szCs w:val="21"/>
          <w:u w:val="single"/>
        </w:rPr>
        <w:t xml:space="preserve">  </w:t>
      </w:r>
      <w:r>
        <w:rPr>
          <w:rFonts w:ascii="宋体" w:eastAsia="宋体" w:hAnsi="宋体" w:cs="宋体" w:hint="eastAsia"/>
          <w:sz w:val="21"/>
          <w:szCs w:val="21"/>
          <w:u w:val="single"/>
          <w:lang w:eastAsia="zh-CN"/>
        </w:rPr>
        <w:t>20</w:t>
      </w:r>
      <w:r>
        <w:rPr>
          <w:rFonts w:ascii="宋体" w:eastAsia="宋体" w:hAnsi="宋体" w:cs="宋体" w:hint="eastAsia"/>
          <w:sz w:val="21"/>
          <w:szCs w:val="21"/>
          <w:u w:val="single"/>
        </w:rPr>
        <w:t xml:space="preserve"> </w:t>
      </w:r>
      <w:r>
        <w:rPr>
          <w:rFonts w:ascii="宋体" w:eastAsia="宋体" w:hAnsi="宋体" w:cs="宋体" w:hint="eastAsia"/>
          <w:sz w:val="21"/>
          <w:szCs w:val="21"/>
        </w:rPr>
        <w:t>个工作日内进行质量验收。</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第六条  保修及其他服务</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1、乙方应按照国家有关法律法规规章和“三包”规定和采购文件的要求及乙方在投标文件的相关承诺提供保修及其他服务。</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第七条  履约保证金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1、乙方应在签订本合同之日，向甲方或甲方指定的机构提交履约保证金_________元。</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2、如乙方未能履行合同规定的义务，甲方有权从履约保证金中取得补偿。</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3、甲方在乙方履行完毕本合同项下全部义务后______天内无息退还乙方。</w:t>
      </w:r>
    </w:p>
    <w:p>
      <w:pPr>
        <w:spacing w:line="360" w:lineRule="auto"/>
        <w:ind w:firstLine="560"/>
        <w:jc w:val="left"/>
        <w:rPr>
          <w:rFonts w:ascii="宋体" w:eastAsia="宋体" w:hAnsi="宋体" w:cs="宋体" w:hint="eastAsia"/>
          <w:sz w:val="21"/>
          <w:szCs w:val="21"/>
        </w:rPr>
      </w:pP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第八条   付款方式</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按照招标文件规定的付款方式进行支付。</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第九条    违约责任</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１、甲方无正当理由拒收货物、拒付货物款的，由甲方向乙方偿付合同总价的【】%违约金。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３、乙方逾期交付货物的，每逾期1天，乙方向甲方偿付逾期交货部分货款总额的【】‰的滞纳金。如乙方逾期交货达</w:t>
      </w:r>
      <w:r>
        <w:rPr>
          <w:rFonts w:ascii="宋体" w:eastAsia="宋体" w:hAnsi="宋体" w:cs="宋体" w:hint="eastAsia"/>
          <w:sz w:val="21"/>
          <w:szCs w:val="21"/>
          <w:u w:val="single"/>
        </w:rPr>
        <w:t xml:space="preserve">    </w:t>
      </w:r>
      <w:r>
        <w:rPr>
          <w:rFonts w:ascii="宋体" w:eastAsia="宋体" w:hAnsi="宋体" w:cs="宋体" w:hint="eastAsia"/>
          <w:sz w:val="21"/>
          <w:szCs w:val="21"/>
        </w:rPr>
        <w:t>天，甲方有权解除合同，履约保证金不予退回，同时乙方应向甲方支付合同总价【】％的违约金。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4、乙方所交付的货物品种、型号、规格不符合合同规定的，甲方有权拒收。甲方拒收的，乙方应向甲方支付货款总额【】%的违约金。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6、乙方未履行本合同项下的其他义务或违反其在投标文件中的相关承诺的，应按合同总价款的【】%向甲方承担违约责任。</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第十条    合同的变更和终止</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第十一条   争议的解决</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第十二条   合同生效及其他</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1、下列文件均为本合同的重要组成部分：</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（1）本项目的采购文件、答疑及补充通知；</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（2）本项目中标的投标文件；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（3）本合同执行中共同签署的补充与修正文件。</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 xml:space="preserve">   </w:t>
      </w:r>
      <w:r>
        <w:rPr>
          <w:rFonts w:ascii="宋体" w:eastAsia="宋体" w:hAnsi="宋体" w:cs="宋体" w:hint="eastAsia"/>
          <w:bCs/>
          <w:sz w:val="21"/>
          <w:szCs w:val="21"/>
        </w:rPr>
        <w:t xml:space="preserve"> 以上文件互为补充，如果出现内容冲突的情况，为准的优先顺序为（2）、（1）、（3）。</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2、本合同一式___份，甲、乙方双方各执份，具有同等法律效力。本合同自双方法人代表签字（盖章）认可之日起生效。</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3、本合同未尽事宜，双方友好协商，达成解决方案，经双方签字后，可作为本合同的有效附件。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本合同未尽事宜，双方友好协商，达成解决方案，经双方签字后，可作为本合同的有效附件。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甲方（采购人）：   （盖章）       乙方（供应商）：    （盖章）</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 xml:space="preserve">法定代表人：                     法定代表人： </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委托代理人：                     委托代理人：</w:t>
      </w:r>
    </w:p>
    <w:p>
      <w:pPr>
        <w:ind w:firstLine="525" w:firstLineChars="250"/>
        <w:rPr>
          <w:rFonts w:ascii="宋体" w:eastAsia="宋体" w:hAnsi="宋体" w:cs="宋体" w:hint="eastAsia"/>
          <w:sz w:val="21"/>
          <w:szCs w:val="21"/>
        </w:rPr>
      </w:pPr>
      <w:r>
        <w:rPr>
          <w:rFonts w:ascii="宋体" w:eastAsia="宋体" w:hAnsi="宋体" w:cs="宋体" w:hint="eastAsia"/>
          <w:sz w:val="21"/>
          <w:szCs w:val="21"/>
        </w:rPr>
        <w:t>日期：   年     月    日         日期：   年     月    日</w:t>
      </w:r>
    </w:p>
    <w:p>
      <w:pPr>
        <w:widowControl w:val="0"/>
        <w:spacing w:line="360" w:lineRule="auto"/>
        <w:ind w:firstLine="560"/>
        <w:jc w:val="left"/>
        <w:rPr>
          <w:rFonts w:ascii="宋体" w:eastAsia="宋体" w:hAnsi="宋体" w:cs="宋体"/>
          <w:kern w:val="2"/>
          <w:sz w:val="21"/>
          <w:szCs w:val="21"/>
          <w:lang w:eastAsia="zh-CN"/>
        </w:rPr>
      </w:pPr>
    </w:p>
    <w:p>
      <w:pPr>
        <w:widowControl w:val="0"/>
        <w:spacing w:line="360" w:lineRule="auto"/>
        <w:jc w:val="both"/>
        <w:rPr>
          <w:rFonts w:ascii="宋体" w:eastAsia="宋体" w:hAnsi="宋体"/>
          <w:kern w:val="2"/>
          <w:sz w:val="21"/>
          <w:szCs w:val="21"/>
          <w:lang w:eastAsia="zh-CN"/>
        </w:rPr>
      </w:pPr>
    </w:p>
    <w:p>
      <w:pPr>
        <w:widowControl/>
        <w:jc w:val="center"/>
        <w:rPr>
          <w:rFonts w:ascii="宋体" w:eastAsia="宋体" w:hAnsi="宋体" w:hint="eastAsia"/>
          <w:b/>
          <w:kern w:val="2"/>
          <w:sz w:val="21"/>
          <w:szCs w:val="21"/>
          <w:lang w:eastAsia="zh-CN"/>
        </w:rPr>
      </w:pPr>
      <w:r>
        <w:rPr>
          <w:rFonts w:ascii="宋体" w:eastAsia="宋体" w:hAnsi="宋体" w:hint="eastAsia"/>
          <w:b/>
          <w:kern w:val="2"/>
          <w:sz w:val="21"/>
          <w:szCs w:val="21"/>
          <w:lang w:eastAsia="zh-CN"/>
        </w:rPr>
        <w:t>注：本合同样本仅供参考，具体条款内容由采购单位和中标单位协商确定。</w:t>
      </w: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both"/>
        <w:rPr>
          <w:rFonts w:ascii="宋体" w:eastAsia="宋体" w:hAnsi="宋体" w:hint="eastAsia"/>
          <w:b/>
          <w:kern w:val="2"/>
          <w:sz w:val="21"/>
          <w:szCs w:val="21"/>
          <w:lang w:eastAsia="zh-CN"/>
        </w:rPr>
      </w:pP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29" w:name="_Toc1312"/>
      <w:r>
        <w:rPr>
          <w:rFonts w:ascii="Arial" w:eastAsia="宋体" w:hAnsi="Arial" w:hint="eastAsia"/>
          <w:b/>
          <w:kern w:val="2"/>
          <w:sz w:val="32"/>
          <w:lang w:eastAsia="zh-CN"/>
        </w:rPr>
        <w:t>第一章  总则</w:t>
      </w:r>
      <w:bookmarkEnd w:id="29"/>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1.通用条款说明</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1.1采购代理机构发出招标文件通用条款版本，列出深圳市政府采购项目进行招标采购所适用的通用条款内容。如有需要，采购代理机构可以对通用条款的内容进行补充。</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1.2招标文件分为第一册“专用条款”和第二册“通用条款”。</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1.3“专用条款”是对本次采购项目的具体要求，包含招标公告、对通用条款的补充内容及其他关键信息、用户需求书、投标文件格式及附件、合同条款及格式等内容。</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1.4“通用条款”是适用于政府采购公开招标项目的基础性条款，具有普遍性和通用性。</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1.5“专用条款”和“通用条款”表述不一致或有冲突时，以“专用条款”为准。</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2．招标说明</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本项目按照《深圳经济特区政府采购条例》、《深圳经济特区政府采购条例实施细则》及政府采购其他法律法规，通过公开招标方式确定中标供应商。</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3．定义</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招标文件中下列术语应解释为：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3.1“采购人”：指利用财政性资金依法进行政府采购的国家机关、事业单位、团体组织；</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3.2“采购代理机构”是</w:t>
      </w:r>
      <w:r>
        <w:rPr>
          <w:rFonts w:eastAsia="宋体" w:hint="eastAsia"/>
          <w:kern w:val="2"/>
          <w:lang w:eastAsia="zh-CN"/>
        </w:rPr>
        <w:t>指根据采购人的委托，代理采购事宜的机构</w:t>
      </w:r>
      <w:r>
        <w:rPr>
          <w:rFonts w:eastAsia="宋体"/>
          <w:kern w:val="2"/>
          <w:lang w:eastAsia="zh-CN"/>
        </w:rPr>
        <w:t>；本文件所述的“采购代理机构”指</w:t>
      </w:r>
      <w:r>
        <w:rPr>
          <w:rFonts w:eastAsia="宋体" w:hint="eastAsia"/>
          <w:kern w:val="2"/>
          <w:lang w:eastAsia="zh-CN"/>
        </w:rPr>
        <w:t>深圳市千里招标代理有限公司</w:t>
      </w:r>
      <w:r>
        <w:rPr>
          <w:rFonts w:eastAsia="宋体"/>
          <w:kern w:val="2"/>
          <w:lang w:eastAsia="zh-CN"/>
        </w:rPr>
        <w:t>；</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3.3“投标人”，即供应商，指参加投标竞争并愿意按照招标文件要求向采购人提供货物、工程或者服务的依法成立的法人、其他组织或者自然人；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3.4“评审委员会”是依据《深圳经济特区政府采购条例》、《深圳经济特区政府采购条例实施细则》等有关规定组建的专门负责本次招标其评审工作的临时性机构；</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3.5“日期”指公历日；</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3.6“合同”指由本次招标所产生的合同或合约文件；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3.7“电子投标文件”指利用深圳政府采购自行采购系统投标文件制作专用软件（以下简称：投标文件制作软件）制作的投标文件,适用于网上投标；（投标文件制作软件可从“下载地址：https://zxcg.szggzy.com/home/index.html深圳市自行采购系统投标文件编制工具”下载）</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3.8“网上投标”指通过深圳市自行采购系统网站上传电子投标文件；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3.9招标文件中的标题或题名仅起引导作用，而不应视为对招标文件内容的理解和解释。</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4.政府采购供应商责任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4.1欢迎诚信、有实力和有社会责任心的供应商参与政府采购事业。</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4.2投标人应当遵循公平竞争的原则，不得恶意串通，不得妨碍其他投标人的竞争行为，不得损害采购人或者其他投标人的合法权益。如违反上述要求，经核实后，供应商的投标无效。</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5．投标人参加政府采购的条件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5.1投标人应在投标前在深圳交易集团有限公司政府采购业务分公司进行注册并办理电子密钥。《供应商注册及信息变更指引》详见www.szggzy.com网站“交易服务指南-政府采购”。</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5.2投标人资格要求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参加本项目的投标人应具备的资格条件详见本项目招标公告中“投标人资格要求”（即申请人的资格要求）的内容。</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5.3联合体投标</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5.3.1以下有关联合体投标的条款仅适用于允许投标人组成联合体投标的项目。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5.3.2由两个或两个以上的自然人、法人或者其他组织可以组成一个联合体，以一个供应商的身份共同投标时，应符合以下原则：</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（1）投标联合体各方参加政府采购活动应当具备下列条件：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1、具有独立承担民事责任的能力；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2、有良好的商业信誉和健全的财务会计制度；</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3、具有履行合同所必需的设备和专业技术能力；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4、有依法缴纳税收和社会保障资金的良好记录；</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5、参加政府采购活动前三年内，在经营活动中没有重大违法记录；</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6、法律、行政法规规定的其他条件。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（2）在投标截止前，投标联合体各方均应注册成采购代理机构供应商；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（3）联合体中有同类资质的供应商按照联合体分工承担相同工作的，应当按照资质等级较低的供应商确定资质等级；</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（4）是否允许联合体参加投标，应当由采购人和采购代理机构根据项目的实际情况和潜在供应商的数量自主决定，如果决定接受联合体投标则应当在招标公告中明示；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（5）投标人的投标文件及中标后签署的合同协议对联合体各方均具有法律约束力；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（6）联合体各方应当签订联合体投标协议，明确约定各方拟承担的工作和责任，并将该协议随投标文件一并递交给采购代理机构；</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（7）联合体中标后，联合体各方应当共同与采购人签订合同，就中标项目向采购人承担连带责任；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（9）本通用条款中“投标人”一词亦指联合体各方，专用条款另有规定或说明的除外。</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6．政策导向</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6.1政府采购支持本国产品、支持中小企业、监狱企业和残疾人福利性单位发展，支持乡村产业振兴，支持创新、节能减排、绿色环保等。</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6.2本项目落实深圳市政府采购供应商诚信管理政策要求。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6.3本项目支持投标人性别平等的相关政策。</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7.本项目若涉及采购货物，则合格的货物及相应服务应满足以下要求：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7.1必须是全新、未使用过的原装合格正品（包括零部件），如安装或配置了软件的，须为正版软件。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7.2国产的货物及其有关服务必须符合中华人民共和国的设计、制造生产标准及行业标准。招标公告有其他要求的，亦应符合其要求。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7.4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7.5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7.6工期要求：投标人在投标时对其所投项目应提交交货进度、交货计划等，在合同规定的时间内完成项目实施工作。</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7.7投标人必须承担的设备运输、安装调试、验收检测和提供设备操作说明书、图纸等其他相关及类似的义务。</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8．投标费用</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不论投标结果如何，投标人应承担其编制投标文件与递交投标文件所涉及的一切费用。</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9．踏勘现场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9.2投标人及其人员经过采购人的允许，可以进入采购人的项目现场踏勘。若招标文件要求投标人于统一时间地点踏勘现场的，投标人应当按时前往。</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9.3采购人应当通过采购代理机构向投标人提供有关现场的书面资料和数据。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9.4任何人或任何组织在踏勘现场时向投标人提供的任何书面资料或口头承诺，未经采购代理机构在网上发布或书面通知，均作无效处理。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9.5未参与踏勘现场不作为否定投标人资格的理由。</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10．标前会议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10.2任何人或任何组织在标前会议时向投标人提供的任何书面资料或口头承诺，未经采购代理机构在网上发布或书面通知，均作无效处理。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10.3未参与标前会议不作为否定投标人资格的理由。</w:t>
      </w:r>
      <w:r>
        <w:rPr>
          <w:rFonts w:eastAsia="宋体" w:hint="eastAsia"/>
          <w:kern w:val="2"/>
          <w:lang w:eastAsia="zh-CN"/>
        </w:rPr>
        <w:br w:type="page"/>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0" w:name="_Toc696"/>
      <w:r>
        <w:rPr>
          <w:rFonts w:ascii="Arial" w:eastAsia="宋体" w:hAnsi="Arial" w:hint="eastAsia"/>
          <w:b/>
          <w:kern w:val="2"/>
          <w:sz w:val="32"/>
          <w:lang w:eastAsia="zh-CN"/>
        </w:rPr>
        <w:t>第二章</w:t>
      </w:r>
      <w:bookmarkStart w:id="31" w:name="_Toc25500"/>
      <w:bookmarkStart w:id="32" w:name="_Toc16272"/>
      <w:bookmarkStart w:id="33" w:name="_Toc4237"/>
      <w:r>
        <w:rPr>
          <w:rFonts w:ascii="Arial" w:eastAsia="宋体" w:hAnsi="Arial" w:hint="eastAsia"/>
          <w:b/>
          <w:kern w:val="2"/>
          <w:sz w:val="32"/>
          <w:lang w:eastAsia="zh-CN"/>
        </w:rPr>
        <w:t xml:space="preserve">  招标文件</w:t>
      </w:r>
      <w:bookmarkEnd w:id="30"/>
      <w:bookmarkEnd w:id="31"/>
      <w:bookmarkEnd w:id="32"/>
      <w:bookmarkEnd w:id="33"/>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w:t>
      </w:r>
      <w:bookmarkStart w:id="34" w:name="_Hlk72399819"/>
      <w:r>
        <w:rPr>
          <w:rFonts w:eastAsia="宋体" w:hint="eastAsia"/>
          <w:kern w:val="2"/>
          <w:sz w:val="21"/>
          <w:lang w:eastAsia="zh-CN"/>
        </w:rPr>
        <w:t>招标文件的编制与组成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.1招标文件除以下内容外，采购代理机构在招标期间发出的澄清或修改等相关公告或通知内容，均是招标文件的组成部分，对投标人起约束作用；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招标文件包括下列内容：</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left="1234" w:leftChars="514"/>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left="720" w:firstLine="412" w:leftChars="300" w:firstLineChars="196"/>
        <w:jc w:val="both"/>
        <w:rPr>
          <w:rFonts w:ascii="宋体" w:eastAsia="宋体" w:hAnsi="宋体"/>
          <w:kern w:val="2"/>
          <w:sz w:val="21"/>
          <w:szCs w:val="21"/>
          <w:lang w:eastAsia="zh-CN"/>
        </w:rPr>
      </w:pPr>
      <w:r>
        <w:rPr>
          <w:rFonts w:ascii="Calibri" w:eastAsia="宋体" w:hAnsi="Calibri" w:cstheme="minorBidi" w:hint="eastAsia"/>
          <w:kern w:val="2"/>
          <w:sz w:val="21"/>
          <w:szCs w:val="22"/>
          <w:lang w:eastAsia="zh-CN"/>
        </w:rPr>
        <w:t xml:space="preserve">第四章 </w:t>
      </w:r>
      <w:r>
        <w:rPr>
          <w:rFonts w:ascii="Calibri" w:eastAsia="宋体" w:hAnsi="Calibri" w:cstheme="minorBidi"/>
          <w:kern w:val="2"/>
          <w:sz w:val="21"/>
          <w:szCs w:val="22"/>
          <w:lang w:eastAsia="zh-CN"/>
        </w:rPr>
        <w:t xml:space="preserve"> </w:t>
      </w:r>
      <w:r>
        <w:rPr>
          <w:rFonts w:ascii="Calibri" w:eastAsia="宋体" w:hAnsi="Calibri" w:cstheme="minorBidi" w:hint="eastAsia"/>
          <w:kern w:val="2"/>
          <w:sz w:val="21"/>
          <w:szCs w:val="22"/>
          <w:lang w:eastAsia="zh-CN"/>
        </w:rPr>
        <w:t>投标文件格式及附件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公开采购失败的后续处理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第十一章  质疑处理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2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kern w:val="2"/>
          <w:sz w:val="21"/>
          <w:szCs w:val="21"/>
          <w:lang w:eastAsia="zh-CN"/>
        </w:rPr>
        <w:t>1</w:t>
      </w:r>
      <w:r>
        <w:rPr>
          <w:rFonts w:eastAsia="宋体" w:hint="eastAsia"/>
          <w:kern w:val="2"/>
          <w:sz w:val="21"/>
          <w:szCs w:val="21"/>
          <w:lang w:eastAsia="zh-CN"/>
        </w:rPr>
        <w:t>.3</w:t>
      </w:r>
      <w:r>
        <w:rPr>
          <w:rFonts w:eastAsia="宋体" w:hint="eastAsia"/>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．招标文件的澄清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.1招标文件澄清的目的是澄清、解答投标人在查阅招标文件后或现场踏勘中可能提出的与投标有关的疑问或询问。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.2投标人如对招标文件内容有疑问，应当在招标公告规定的澄清（提问）截止时间前以网上提问的形式通过网上政府采购系统提交采购代理机构。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eastAsia="宋体" w:hint="eastAsia"/>
          <w:kern w:val="2"/>
          <w:sz w:val="21"/>
          <w:lang w:eastAsia="zh-CN"/>
        </w:rPr>
        <w:t>、1</w:t>
      </w:r>
      <w:r>
        <w:rPr>
          <w:rFonts w:eastAsia="宋体"/>
          <w:kern w:val="2"/>
          <w:sz w:val="21"/>
          <w:lang w:eastAsia="zh-CN"/>
        </w:rPr>
        <w:t>3.4</w:t>
      </w:r>
      <w:r>
        <w:rPr>
          <w:rFonts w:eastAsia="宋体" w:hint="eastAsia"/>
          <w:kern w:val="2"/>
          <w:sz w:val="21"/>
          <w:lang w:eastAsia="zh-CN"/>
        </w:rPr>
        <w:t>款规定执行。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3．招标文件的修改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3.1招标文件发出后，在投标截止日期前任何时候，确需要变更招标文件内容的，采购代理机构可主动或在解答投标人提出的澄清问题时对招标文件进行修改。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3.2招标文件的修改以书面形式（包括采购代理机构网站发布方式，如更正公告等）发送给所有投标人，招标文件的修改内容作为招标文件的组成部分，并具有约束力。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4"/>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5" w:name="_Toc17279"/>
      <w:bookmarkStart w:id="36" w:name="_Toc13741"/>
      <w:bookmarkStart w:id="37" w:name="_Toc31413"/>
      <w:bookmarkStart w:id="38" w:name="_Toc18814"/>
      <w:r>
        <w:rPr>
          <w:rFonts w:ascii="Arial" w:eastAsia="宋体" w:hAnsi="Arial" w:hint="eastAsia"/>
          <w:b/>
          <w:kern w:val="2"/>
          <w:sz w:val="32"/>
          <w:lang w:eastAsia="zh-CN"/>
        </w:rPr>
        <w:t>第三章  投标文件的编制</w:t>
      </w:r>
      <w:bookmarkEnd w:id="35"/>
      <w:bookmarkEnd w:id="36"/>
      <w:bookmarkEnd w:id="37"/>
      <w:bookmarkEnd w:id="38"/>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w:t>
      </w:r>
      <w:bookmarkStart w:id="39" w:name="_Hlk72400236"/>
      <w:r>
        <w:rPr>
          <w:rFonts w:eastAsia="宋体" w:hint="eastAsia"/>
          <w:kern w:val="2"/>
          <w:sz w:val="21"/>
          <w:lang w:eastAsia="zh-CN"/>
        </w:rPr>
        <w:t>投标文件的语言及度量单位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14.1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14.2除技术规范另有规定外，投标文件使用的度量单位，均采用中华人民共和国法定计量单位。</w:t>
      </w:r>
    </w:p>
    <w:bookmarkEnd w:id="39"/>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15．</w:t>
      </w:r>
      <w:bookmarkStart w:id="40" w:name="_Hlk72401567"/>
      <w:r>
        <w:rPr>
          <w:rFonts w:eastAsia="宋体" w:hint="eastAsia"/>
          <w:kern w:val="2"/>
          <w:sz w:val="21"/>
          <w:lang w:eastAsia="zh-CN"/>
        </w:rPr>
        <w:t>投标文件的组成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具体内容在招标文件专用条款中进行规定。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投标文件包括本通用条款第</w:t>
      </w:r>
      <w:r>
        <w:rPr>
          <w:rFonts w:eastAsia="宋体"/>
          <w:kern w:val="2"/>
          <w:sz w:val="21"/>
          <w:lang w:eastAsia="zh-CN"/>
        </w:rPr>
        <w:t>15条中规定的内容。如招标文件提供了投标文件格式，则</w:t>
      </w:r>
      <w:r>
        <w:rPr>
          <w:rFonts w:eastAsia="宋体" w:hint="eastAsia"/>
          <w:b/>
          <w:bCs/>
          <w:kern w:val="2"/>
          <w:sz w:val="21"/>
          <w:lang w:eastAsia="zh-CN"/>
        </w:rPr>
        <w:t>投标人提交的投标文件应毫无例外地使用招标文件所提供的相应格式</w:t>
      </w:r>
      <w:r>
        <w:rPr>
          <w:rFonts w:eastAsia="宋体" w:hint="eastAsia"/>
          <w:kern w:val="2"/>
          <w:sz w:val="21"/>
          <w:lang w:eastAsia="zh-CN"/>
        </w:rPr>
        <w:t>（表格均可按同样格式扩展）。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17．投标货币</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本项目的投标报价应以人民币计。</w:t>
      </w:r>
    </w:p>
    <w:bookmarkEnd w:id="40"/>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bookmarkStart w:id="41" w:name="_Hlk72401735"/>
      <w:r>
        <w:rPr>
          <w:rFonts w:eastAsia="宋体" w:hint="eastAsia"/>
          <w:kern w:val="2"/>
          <w:sz w:val="21"/>
          <w:lang w:eastAsia="zh-CN"/>
        </w:rPr>
        <w:t>证明投标文件投标技术方案的合格性和符合招标文件规定的文件要求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r>
        <w:rPr>
          <w:rFonts w:eastAsia="宋体"/>
          <w:kern w:val="2"/>
          <w:sz w:val="21"/>
          <w:lang w:eastAsia="zh-CN"/>
        </w:rPr>
        <w:t>.1</w:t>
      </w:r>
      <w:r>
        <w:rPr>
          <w:rFonts w:eastAsia="宋体" w:hint="eastAsia"/>
          <w:kern w:val="2"/>
          <w:sz w:val="21"/>
          <w:lang w:eastAsia="zh-CN"/>
        </w:rPr>
        <w:t>投标人应提交证明文件，证明其投标技术方案项下的货物和服务的合格性符合招标文件规定。该投标技术方案及其证明文件均作为投标文件组成部分。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.2</w:t>
      </w:r>
      <w:r>
        <w:rPr>
          <w:rFonts w:eastAsia="宋体" w:hint="eastAsia"/>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18.2.1主要技术指标和性能的详细说明。</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2</w:t>
      </w:r>
      <w:r>
        <w:rPr>
          <w:rFonts w:eastAsia="宋体" w:hint="eastAsia"/>
          <w:kern w:val="2"/>
          <w:sz w:val="21"/>
          <w:lang w:eastAsia="zh-CN"/>
        </w:rPr>
        <w:t>投标产品从采购人开始使用至招标文件中规定的周期内正常、连续地使用所必须的备件和专用工具清单，包括备件和专用工具的货源及现行价格。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3</w:t>
      </w:r>
      <w:r>
        <w:rPr>
          <w:rFonts w:eastAsia="宋体" w:hint="eastAsia"/>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18.3相关资料不符合18.2款要求的，评审委员会有权认定为投标技术方案不合格响应，其相关分数予以扣减或作投标无效处理。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18.5除非另有规定或说明，投标人对同一项目投标时，不得同时提供两套或两套以上的投标方案。</w:t>
      </w:r>
    </w:p>
    <w:bookmarkEnd w:id="41"/>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w:t>
      </w:r>
      <w:bookmarkStart w:id="42" w:name="_Hlk72402034"/>
      <w:r>
        <w:rPr>
          <w:rFonts w:eastAsia="宋体" w:hint="eastAsia"/>
          <w:kern w:val="2"/>
          <w:sz w:val="21"/>
          <w:lang w:eastAsia="zh-CN"/>
        </w:rPr>
        <w:t>投标文件其他证明文件的要求</w:t>
      </w:r>
    </w:p>
    <w:p>
      <w:pPr>
        <w:widowControl/>
        <w:wordWrap w:val="0"/>
        <w:autoSpaceDE w:val="0"/>
        <w:autoSpaceDN w:val="0"/>
        <w:spacing w:line="400" w:lineRule="exact"/>
        <w:ind w:right="808" w:firstLine="420" w:firstLineChars="200"/>
        <w:jc w:val="both"/>
        <w:rPr>
          <w:rFonts w:eastAsia="宋体"/>
          <w:color w:val="FF0000"/>
          <w:kern w:val="2"/>
          <w:sz w:val="21"/>
          <w:lang w:eastAsia="zh-CN"/>
        </w:rPr>
      </w:pPr>
      <w:r>
        <w:rPr>
          <w:rFonts w:eastAsia="宋体" w:hint="eastAsia"/>
          <w:kern w:val="2"/>
          <w:sz w:val="21"/>
          <w:lang w:eastAsia="zh-CN"/>
        </w:rPr>
        <w:t>19.1</w:t>
      </w:r>
      <w:bookmarkStart w:id="43" w:name="_Hlk71407299"/>
      <w:r>
        <w:rPr>
          <w:rFonts w:eastAsia="宋体" w:hint="eastAsia"/>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3"/>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20．投标有效期</w:t>
      </w:r>
    </w:p>
    <w:bookmarkEnd w:id="42"/>
    <w:p>
      <w:pPr>
        <w:widowControl/>
        <w:wordWrap w:val="0"/>
        <w:autoSpaceDE w:val="0"/>
        <w:autoSpaceDN w:val="0"/>
        <w:spacing w:line="400" w:lineRule="exact"/>
        <w:ind w:right="808" w:firstLine="420" w:firstLineChars="200"/>
        <w:jc w:val="both"/>
        <w:rPr>
          <w:rFonts w:eastAsia="宋体"/>
          <w:kern w:val="2"/>
          <w:sz w:val="21"/>
          <w:lang w:eastAsia="zh-CN"/>
        </w:rPr>
      </w:pPr>
      <w:bookmarkStart w:id="44" w:name="_Hlk72402214"/>
      <w:r>
        <w:rPr>
          <w:rFonts w:eastAsia="宋体" w:hint="eastAsia"/>
          <w:kern w:val="2"/>
          <w:sz w:val="21"/>
          <w:lang w:eastAsia="zh-CN"/>
        </w:rPr>
        <w:t>20.1投标有效期为</w:t>
      </w:r>
      <w:r>
        <w:rPr>
          <w:rFonts w:ascii="Arial" w:eastAsia="宋体" w:hAnsi="Arial" w:cs="Arial" w:hint="eastAsia"/>
          <w:kern w:val="2"/>
          <w:sz w:val="21"/>
          <w:lang w:eastAsia="zh-CN"/>
        </w:rPr>
        <w:t>从投标截止之日算起的日历天数。</w:t>
      </w:r>
      <w:r>
        <w:rPr>
          <w:rFonts w:eastAsia="宋体" w:hint="eastAsia"/>
          <w:kern w:val="2"/>
          <w:sz w:val="21"/>
          <w:lang w:eastAsia="zh-CN"/>
        </w:rPr>
        <w:t>在此期限内，所有投标文件均保持有效。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20.2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w:t>
      </w:r>
      <w:r>
        <w:rPr>
          <w:rFonts w:eastAsia="宋体"/>
          <w:kern w:val="2"/>
          <w:sz w:val="21"/>
          <w:lang w:eastAsia="zh-CN"/>
        </w:rPr>
        <w:t>.3</w:t>
      </w:r>
      <w:r>
        <w:rPr>
          <w:rFonts w:eastAsia="宋体" w:hint="eastAsia"/>
          <w:kern w:val="2"/>
          <w:sz w:val="21"/>
          <w:lang w:eastAsia="zh-CN"/>
        </w:rPr>
        <w:t>中标供应商的投标文件有效期，截止于完成本招标文件规定的全部项目内容，并通过竣工验收及保修期结束。</w:t>
      </w:r>
    </w:p>
    <w:bookmarkEnd w:id="44"/>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21．</w:t>
      </w:r>
      <w:bookmarkStart w:id="45" w:name="_Hlk72402325"/>
      <w:r>
        <w:rPr>
          <w:rFonts w:eastAsia="宋体" w:hint="eastAsia"/>
          <w:kern w:val="2"/>
          <w:sz w:val="21"/>
          <w:lang w:eastAsia="zh-CN"/>
        </w:rPr>
        <w:t>关于投标保证金</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lang w:eastAsia="zh-CN"/>
        </w:rPr>
        <w:t>根据《深圳市财政局关于调整政府采购投标（响应）保证金管理政策的通知》（深财购〔2021〕51号）文的规定，本项目不收取投标保证金。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22．投标人的替代方案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22.2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5"/>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w:t>
      </w:r>
      <w:bookmarkStart w:id="46" w:name="_Hlk72402860"/>
      <w:r>
        <w:rPr>
          <w:rFonts w:eastAsia="宋体"/>
          <w:kern w:val="2"/>
          <w:sz w:val="21"/>
          <w:lang w:eastAsia="zh-CN"/>
        </w:rPr>
        <w:t>投标文件的</w:t>
      </w:r>
      <w:r>
        <w:rPr>
          <w:rFonts w:eastAsia="宋体" w:hint="eastAsia"/>
          <w:kern w:val="2"/>
          <w:sz w:val="21"/>
          <w:lang w:eastAsia="zh-CN"/>
        </w:rPr>
        <w:t>制作</w:t>
      </w:r>
      <w:r>
        <w:rPr>
          <w:rFonts w:eastAsia="宋体"/>
          <w:kern w:val="2"/>
          <w:sz w:val="21"/>
          <w:lang w:eastAsia="zh-CN"/>
        </w:rPr>
        <w:t>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23.1投标人应准备所投项目的电子投标文件一份。</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23.2投标人在使用《投标书编制软件》编制投标书时须注意：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23.2.2不能用非本公司的电子密钥加密本公司的投标文件，或者用其它公司的登录用户上传本公司的投标文件。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23.2.3要求用《投标书编制软件》编制投标书的包，不能用其它方式编制投标书。编制投标文件时，电脑须连通互联网。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23.2.4投标文件不能带病毒。采购代理机构将用专业杀毒软件对投标文件进行病毒检测，如果这两种软件均报告发现病毒，则采购代理机构认为该投标文件带病毒。</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23.2.6投标人在编辑投标文件时，在投标文件目录中属于本节点内容的必须在本节点中填写，填写到其他节点或附件，一切后果由供应商自行承担。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23.2.7投标文件编写完成后，必须用属于投标人的电子密钥或电子营业执照进行加密，否则视同未盖公章，将导致投标文件无效。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23.2.9如果开标时出现网络故障、技术故障，影响了政府采购活动，采购代理机构有权采取措施如延期、接受无法从网上上传的投标书等，以保障政府采购活动的公开、公平和公正。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23.3电报、电话、传真形式的投标概不接受。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23.4经投标人电子密钥或电子营业执照加密的投标文件无须盖章或签字，专用条款另有要求的除外。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b/>
          <w:kern w:val="2"/>
          <w:sz w:val="21"/>
          <w:lang w:eastAsia="zh-CN"/>
        </w:rPr>
        <w:t>23.5</w:t>
      </w:r>
      <w:r>
        <w:rPr>
          <w:rFonts w:eastAsia="宋体" w:hint="eastAsia"/>
          <w:kern w:val="2"/>
          <w:sz w:val="21"/>
          <w:lang w:eastAsia="zh-CN"/>
        </w:rPr>
        <w:t>各类资格（资质）文件提供扫描件，专用条款另有要求的除外。</w:t>
      </w:r>
      <w:bookmarkEnd w:id="46"/>
    </w:p>
    <w:p>
      <w:pPr>
        <w:widowControl/>
        <w:wordWrap w:val="0"/>
        <w:autoSpaceDE w:val="0"/>
        <w:autoSpaceDN w:val="0"/>
        <w:spacing w:line="360" w:lineRule="auto"/>
        <w:ind w:right="808" w:firstLine="480" w:firstLineChars="200"/>
        <w:jc w:val="both"/>
        <w:rPr>
          <w:rFonts w:eastAsia="宋体"/>
          <w:b/>
          <w:kern w:val="2"/>
          <w:lang w:eastAsia="zh-CN"/>
        </w:rPr>
      </w:pP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47" w:name="_Toc18062"/>
      <w:bookmarkStart w:id="48" w:name="_Toc28552"/>
      <w:bookmarkStart w:id="49" w:name="_Toc26761"/>
      <w:bookmarkStart w:id="50" w:name="_Toc21427"/>
      <w:r>
        <w:rPr>
          <w:rFonts w:ascii="Arial" w:eastAsia="宋体" w:hAnsi="Arial" w:hint="eastAsia"/>
          <w:b/>
          <w:kern w:val="2"/>
          <w:sz w:val="32"/>
          <w:lang w:eastAsia="zh-CN"/>
        </w:rPr>
        <w:t>第四章</w:t>
      </w:r>
      <w:bookmarkStart w:id="51" w:name="_Toc30105"/>
      <w:r>
        <w:rPr>
          <w:rFonts w:ascii="Arial" w:eastAsia="宋体" w:hAnsi="Arial" w:hint="eastAsia"/>
          <w:b/>
          <w:kern w:val="2"/>
          <w:sz w:val="32"/>
          <w:lang w:eastAsia="zh-CN"/>
        </w:rPr>
        <w:t xml:space="preserve">  投标文件的</w:t>
      </w:r>
      <w:bookmarkEnd w:id="47"/>
      <w:r>
        <w:rPr>
          <w:rFonts w:ascii="Arial" w:eastAsia="宋体" w:hAnsi="Arial" w:hint="eastAsia"/>
          <w:b/>
          <w:kern w:val="2"/>
          <w:sz w:val="32"/>
          <w:lang w:eastAsia="zh-CN"/>
        </w:rPr>
        <w:t>递交</w:t>
      </w:r>
      <w:bookmarkEnd w:id="48"/>
      <w:bookmarkEnd w:id="49"/>
      <w:bookmarkEnd w:id="50"/>
      <w:bookmarkEnd w:id="51"/>
    </w:p>
    <w:p>
      <w:pPr>
        <w:widowControl/>
        <w:wordWrap w:val="0"/>
        <w:autoSpaceDE w:val="0"/>
        <w:autoSpaceDN w:val="0"/>
        <w:spacing w:line="400" w:lineRule="exact"/>
        <w:ind w:right="808" w:firstLine="420" w:firstLineChars="200"/>
        <w:jc w:val="both"/>
        <w:rPr>
          <w:rFonts w:eastAsia="宋体"/>
          <w:kern w:val="2"/>
          <w:sz w:val="21"/>
          <w:lang w:eastAsia="zh-CN"/>
        </w:rPr>
      </w:pPr>
      <w:bookmarkStart w:id="52" w:name="_Hlk72405459"/>
      <w:r>
        <w:rPr>
          <w:rFonts w:eastAsia="宋体" w:hint="eastAsia"/>
          <w:kern w:val="2"/>
          <w:sz w:val="21"/>
          <w:lang w:eastAsia="zh-CN"/>
        </w:rPr>
        <w:t>24．投标文件的保密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eastAsia="宋体" w:hint="eastAsia"/>
          <w:kern w:val="2"/>
          <w:sz w:val="21"/>
          <w:highlight w:val="yellow"/>
          <w:lang w:eastAsia="zh-CN"/>
        </w:rPr>
        <w:t>(注意：加密的投标文件开标时须使用加密文件时使用的锁在项目规定时间内解密！)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24.2若采购项目出现延期情况：</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如果供下载的招标文件有更新，投标人必须重新下载招标文件、重新制作投标文件、重新加密投标文件、重新上传投标文件。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25．上传投标文件及投标截止日期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1实行网上投标，</w:t>
      </w:r>
      <w:r>
        <w:rPr>
          <w:rFonts w:eastAsia="宋体"/>
          <w:kern w:val="2"/>
          <w:sz w:val="21"/>
          <w:lang w:eastAsia="zh-CN"/>
        </w:rPr>
        <w:t>投标人必须</w:t>
      </w:r>
      <w:r>
        <w:rPr>
          <w:rFonts w:eastAsia="宋体" w:hint="eastAsia"/>
          <w:kern w:val="2"/>
          <w:sz w:val="21"/>
          <w:lang w:eastAsia="zh-CN"/>
        </w:rPr>
        <w:t>在招标</w:t>
      </w:r>
      <w:r>
        <w:rPr>
          <w:rFonts w:eastAsia="宋体"/>
          <w:kern w:val="2"/>
          <w:sz w:val="21"/>
          <w:lang w:eastAsia="zh-CN"/>
        </w:rPr>
        <w:t>文件规定的投标截止时间前</w:t>
      </w:r>
      <w:r>
        <w:rPr>
          <w:rFonts w:eastAsia="宋体" w:hint="eastAsia"/>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cstheme="minorBidi" w:hint="eastAsia"/>
          <w:b/>
          <w:bCs/>
          <w:kern w:val="2"/>
          <w:sz w:val="21"/>
          <w:szCs w:val="21"/>
          <w:lang w:eastAsia="zh-CN"/>
        </w:rPr>
        <w:t>深圳公共资源交易中心（深圳交易集团有限公司政府采购业务分公司）</w:t>
      </w:r>
      <w:r>
        <w:rPr>
          <w:rFonts w:ascii="宋体" w:eastAsia="宋体" w:hAnsi="宋体" w:cstheme="minorBidi" w:hint="eastAsia"/>
          <w:b/>
          <w:bCs/>
          <w:kern w:val="2"/>
          <w:sz w:val="21"/>
          <w:szCs w:val="22"/>
          <w:lang w:eastAsia="zh-CN"/>
        </w:rPr>
        <w:t>（地址：深圳市南山区沙河西路3185号南山智谷A座（深圳交易集团总部大楼）3楼）</w:t>
      </w:r>
      <w:r>
        <w:rPr>
          <w:rFonts w:eastAsia="宋体" w:hint="eastAsia"/>
          <w:b/>
          <w:bCs/>
          <w:kern w:val="2"/>
          <w:sz w:val="21"/>
          <w:szCs w:val="21"/>
          <w:lang w:eastAsia="zh-CN"/>
        </w:rPr>
        <w:t>协助上传，但上传过程中投标截止时间到达仍无法上传成功的，由投标人自行负责。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3投标截止时间以后不得上传投标文件。</w:t>
      </w:r>
    </w:p>
    <w:bookmarkEnd w:id="52"/>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26.样品、现场演示、方案讲解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26.1样品、现场演示、方案讲解等事项在招标文件专用条款中进行规定。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bookmarkStart w:id="53" w:name="_Hlk72428346"/>
      <w:r>
        <w:rPr>
          <w:rFonts w:eastAsia="宋体"/>
          <w:kern w:val="2"/>
          <w:sz w:val="21"/>
          <w:lang w:eastAsia="zh-CN"/>
        </w:rPr>
        <w:t>2</w:t>
      </w:r>
      <w:r>
        <w:rPr>
          <w:rFonts w:eastAsia="宋体" w:hint="eastAsia"/>
          <w:kern w:val="2"/>
          <w:sz w:val="21"/>
          <w:lang w:eastAsia="zh-CN"/>
        </w:rPr>
        <w:t>7．</w:t>
      </w:r>
      <w:r>
        <w:rPr>
          <w:rFonts w:eastAsia="宋体"/>
          <w:kern w:val="2"/>
          <w:sz w:val="21"/>
          <w:lang w:eastAsia="zh-CN"/>
        </w:rPr>
        <w:t>投标文件的修改和撤销</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1</w:t>
      </w:r>
      <w:r>
        <w:rPr>
          <w:rFonts w:eastAsia="宋体"/>
          <w:kern w:val="2"/>
          <w:sz w:val="21"/>
          <w:lang w:eastAsia="zh-CN"/>
        </w:rPr>
        <w:t>投标方在提交投标文件后可对其投标文件进行修改</w:t>
      </w:r>
      <w:r>
        <w:rPr>
          <w:rFonts w:eastAsia="宋体" w:hint="eastAsia"/>
          <w:kern w:val="2"/>
          <w:sz w:val="21"/>
          <w:lang w:eastAsia="zh-CN"/>
        </w:rPr>
        <w:t>并重新上传投标文件</w:t>
      </w:r>
      <w:r>
        <w:rPr>
          <w:rFonts w:eastAsia="宋体"/>
          <w:kern w:val="2"/>
          <w:sz w:val="21"/>
          <w:lang w:eastAsia="zh-CN"/>
        </w:rPr>
        <w:t>或</w:t>
      </w:r>
      <w:r>
        <w:rPr>
          <w:rFonts w:eastAsia="宋体" w:hint="eastAsia"/>
          <w:kern w:val="2"/>
          <w:sz w:val="21"/>
          <w:lang w:eastAsia="zh-CN"/>
        </w:rPr>
        <w:t>在网上进行</w:t>
      </w:r>
      <w:r>
        <w:rPr>
          <w:rFonts w:eastAsia="宋体"/>
          <w:kern w:val="2"/>
          <w:sz w:val="21"/>
          <w:lang w:eastAsia="zh-CN"/>
        </w:rPr>
        <w:t>撤销</w:t>
      </w:r>
      <w:r>
        <w:rPr>
          <w:rFonts w:eastAsia="宋体" w:hint="eastAsia"/>
          <w:kern w:val="2"/>
          <w:sz w:val="21"/>
          <w:lang w:eastAsia="zh-CN"/>
        </w:rPr>
        <w:t>投标的操作</w:t>
      </w:r>
      <w:r>
        <w:rPr>
          <w:rFonts w:eastAsia="宋体"/>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2</w:t>
      </w:r>
      <w:r>
        <w:rPr>
          <w:rFonts w:eastAsia="宋体"/>
          <w:kern w:val="2"/>
          <w:sz w:val="21"/>
          <w:lang w:eastAsia="zh-CN"/>
        </w:rPr>
        <w:t>投标截止时间以后不得修改投标文件。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3从投标截止期至投标人在投标文件中确定的投标有效期之间的这段时间内，投标人不得撤回其投标。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27.4采购代理机构不退还投标文件，专用条款另有规定的除外。</w:t>
      </w:r>
    </w:p>
    <w:bookmarkEnd w:id="53"/>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4" w:name="第五章1"/>
      <w:bookmarkEnd w:id="54"/>
      <w:bookmarkStart w:id="55" w:name="_Toc14713"/>
      <w:bookmarkStart w:id="56" w:name="_Toc101074881"/>
      <w:bookmarkStart w:id="57" w:name="_Toc2041"/>
      <w:bookmarkStart w:id="58" w:name="_Toc100052391"/>
      <w:bookmarkStart w:id="59" w:name="_Toc1658"/>
      <w:bookmarkStart w:id="60" w:name="_Toc13806"/>
      <w:bookmarkStart w:id="61" w:name="_Toc73518144"/>
      <w:bookmarkStart w:id="62" w:name="_Toc73517666"/>
      <w:r>
        <w:rPr>
          <w:rFonts w:ascii="Arial" w:eastAsia="宋体" w:hAnsi="Arial" w:hint="eastAsia"/>
          <w:b/>
          <w:kern w:val="2"/>
          <w:sz w:val="32"/>
          <w:lang w:eastAsia="zh-CN"/>
        </w:rPr>
        <w:t>第五章</w:t>
      </w:r>
      <w:bookmarkStart w:id="63" w:name="_Toc4434"/>
      <w:r>
        <w:rPr>
          <w:rFonts w:ascii="Arial" w:eastAsia="宋体" w:hAnsi="Arial" w:hint="eastAsia"/>
          <w:b/>
          <w:kern w:val="2"/>
          <w:sz w:val="32"/>
          <w:lang w:eastAsia="zh-CN"/>
        </w:rPr>
        <w:t xml:space="preserve">  开标</w:t>
      </w:r>
      <w:bookmarkEnd w:id="55"/>
      <w:bookmarkEnd w:id="56"/>
      <w:bookmarkEnd w:id="57"/>
      <w:bookmarkEnd w:id="58"/>
      <w:bookmarkEnd w:id="59"/>
      <w:bookmarkEnd w:id="60"/>
      <w:bookmarkEnd w:id="61"/>
      <w:bookmarkEnd w:id="62"/>
      <w:bookmarkEnd w:id="63"/>
    </w:p>
    <w:p>
      <w:pPr>
        <w:widowControl/>
        <w:wordWrap w:val="0"/>
        <w:autoSpaceDE w:val="0"/>
        <w:autoSpaceDN w:val="0"/>
        <w:spacing w:line="400" w:lineRule="exact"/>
        <w:ind w:right="808" w:firstLine="420" w:firstLineChars="200"/>
        <w:jc w:val="both"/>
        <w:rPr>
          <w:rFonts w:eastAsia="宋体"/>
          <w:kern w:val="2"/>
          <w:sz w:val="21"/>
          <w:lang w:eastAsia="zh-CN"/>
        </w:rPr>
      </w:pPr>
      <w:bookmarkStart w:id="64" w:name="_Toc73518146"/>
      <w:bookmarkStart w:id="65" w:name="_Toc73517668"/>
      <w:bookmarkStart w:id="66" w:name="_Toc101074882"/>
      <w:bookmarkStart w:id="67" w:name="_Toc100052393"/>
      <w:r>
        <w:rPr>
          <w:rFonts w:eastAsia="宋体" w:hint="eastAsia"/>
          <w:kern w:val="2"/>
          <w:sz w:val="21"/>
          <w:lang w:eastAsia="zh-CN"/>
        </w:rPr>
        <w:t>28．开标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pPr>
        <w:widowControl/>
        <w:wordWrap w:val="0"/>
        <w:autoSpaceDE w:val="0"/>
        <w:autoSpaceDN w:val="0"/>
        <w:spacing w:line="360" w:lineRule="auto"/>
        <w:ind w:right="808" w:firstLine="480" w:firstLineChars="200"/>
        <w:jc w:val="both"/>
        <w:rPr>
          <w:rFonts w:eastAsia="宋体"/>
          <w:b/>
          <w:kern w:val="2"/>
          <w:lang w:eastAsia="zh-CN"/>
        </w:rPr>
      </w:pPr>
    </w:p>
    <w:bookmarkEnd w:id="64"/>
    <w:bookmarkEnd w:id="65"/>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68" w:name="第六章1"/>
      <w:bookmarkEnd w:id="68"/>
      <w:bookmarkStart w:id="69" w:name="_Toc20179"/>
      <w:bookmarkStart w:id="70" w:name="_Toc7319"/>
      <w:bookmarkStart w:id="71" w:name="_Toc29197"/>
      <w:bookmarkStart w:id="72" w:name="_Toc27869"/>
      <w:r>
        <w:rPr>
          <w:rFonts w:ascii="Arial" w:eastAsia="宋体" w:hAnsi="Arial" w:hint="eastAsia"/>
          <w:b/>
          <w:kern w:val="2"/>
          <w:sz w:val="32"/>
          <w:lang w:eastAsia="zh-CN"/>
        </w:rPr>
        <w:t>第六章</w:t>
      </w:r>
      <w:bookmarkStart w:id="73" w:name="_Toc29225"/>
      <w:r>
        <w:rPr>
          <w:rFonts w:ascii="Arial" w:eastAsia="宋体" w:hAnsi="Arial" w:hint="eastAsia"/>
          <w:b/>
          <w:kern w:val="2"/>
          <w:sz w:val="32"/>
          <w:lang w:eastAsia="zh-CN"/>
        </w:rPr>
        <w:t xml:space="preserve">  评审要求</w:t>
      </w:r>
      <w:bookmarkEnd w:id="66"/>
      <w:bookmarkEnd w:id="67"/>
      <w:bookmarkEnd w:id="69"/>
      <w:bookmarkEnd w:id="70"/>
      <w:bookmarkEnd w:id="71"/>
      <w:bookmarkEnd w:id="72"/>
      <w:bookmarkEnd w:id="73"/>
    </w:p>
    <w:p>
      <w:pPr>
        <w:widowControl/>
        <w:wordWrap w:val="0"/>
        <w:autoSpaceDE w:val="0"/>
        <w:autoSpaceDN w:val="0"/>
        <w:spacing w:line="400" w:lineRule="exact"/>
        <w:ind w:right="808" w:firstLine="420" w:firstLineChars="200"/>
        <w:jc w:val="both"/>
        <w:rPr>
          <w:rFonts w:eastAsia="宋体"/>
          <w:kern w:val="2"/>
          <w:sz w:val="21"/>
          <w:lang w:eastAsia="zh-CN"/>
        </w:rPr>
      </w:pPr>
      <w:bookmarkStart w:id="74" w:name="第七章1"/>
      <w:bookmarkEnd w:id="74"/>
      <w:bookmarkStart w:id="75" w:name="_Toc1296"/>
      <w:bookmarkStart w:id="76" w:name="_Toc101074883"/>
      <w:bookmarkStart w:id="77" w:name="_Toc20125"/>
      <w:bookmarkStart w:id="78" w:name="_Toc100052397"/>
      <w:bookmarkStart w:id="79" w:name="_Toc19125"/>
      <w:r>
        <w:rPr>
          <w:rFonts w:eastAsia="宋体" w:hint="eastAsia"/>
          <w:kern w:val="2"/>
          <w:sz w:val="21"/>
          <w:lang w:eastAsia="zh-CN"/>
        </w:rPr>
        <w:t>29．评审委员会组成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29.1网上开标结束后召开评审会议，</w:t>
      </w:r>
      <w:r>
        <w:rPr>
          <w:rFonts w:eastAsia="宋体" w:hint="eastAsia"/>
          <w:kern w:val="2"/>
          <w:sz w:val="21"/>
          <w:szCs w:val="21"/>
          <w:lang w:eastAsia="zh-CN"/>
        </w:rPr>
        <w:t>评审委员会</w:t>
      </w:r>
      <w:r>
        <w:rPr>
          <w:rFonts w:eastAsia="宋体" w:hint="eastAsia"/>
          <w:kern w:val="2"/>
          <w:sz w:val="21"/>
          <w:lang w:eastAsia="zh-CN"/>
        </w:rPr>
        <w:t>由采购代理机构依法组建，负责评审活动。</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0" w:name="_Hlk72436580"/>
      <w:r>
        <w:rPr>
          <w:rFonts w:eastAsia="宋体" w:hint="eastAsia"/>
          <w:kern w:val="2"/>
          <w:sz w:val="21"/>
          <w:lang w:eastAsia="zh-CN"/>
        </w:rPr>
        <w:t>评审委员会由采购人代表和评审专家组成，成员人数应当为5人以上单数（部分条件下为7人以上单数），其中评审专家不得少于成员总数的三分之二。</w:t>
      </w:r>
      <w:bookmarkEnd w:id="80"/>
      <w:r>
        <w:rPr>
          <w:rFonts w:eastAsia="宋体" w:hint="eastAsia"/>
          <w:kern w:val="2"/>
          <w:sz w:val="21"/>
          <w:lang w:eastAsia="zh-CN"/>
        </w:rPr>
        <w:t>评定分离项目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eastAsia="宋体" w:hint="eastAsia"/>
          <w:kern w:val="2"/>
          <w:sz w:val="21"/>
          <w:szCs w:val="21"/>
          <w:lang w:eastAsia="zh-CN"/>
        </w:rPr>
        <w:t>评审专家一般是</w:t>
      </w:r>
      <w:r>
        <w:rPr>
          <w:rFonts w:eastAsia="宋体" w:hint="eastAsia"/>
          <w:kern w:val="2"/>
          <w:sz w:val="21"/>
          <w:lang w:eastAsia="zh-CN"/>
        </w:rPr>
        <w:t>从深圳市政府采购评审专家库中随机抽取。采购人代表须持本单位签发的《评审授权书》参加评审。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29.2评审定标应当遵循公平、公正、科学、择优的原则。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29.3评审活动依法进行，任何单位和个人不得非法干预评标过程和结果。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29.4评审过程中不允许违背评标程序或采用招标文件未载明的评标方法或评标因素进行评标。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29.5开标后，直到签订合同为止，凡属于对投标文件的审查、澄清、评价和比较的有关资料以及中标候选人的推荐情况、与评审有关的其他任何情况均严格保密（信息公开的内容除外）。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30．向评审委员会提供的资料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30.1公开发布的招标文件，包括图纸、服务清单、答疑文件等；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30.2其他评标必须的资料。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30.3</w:t>
      </w:r>
      <w:r>
        <w:rPr>
          <w:rFonts w:eastAsia="宋体" w:hint="eastAsia"/>
          <w:kern w:val="2"/>
          <w:sz w:val="21"/>
          <w:szCs w:val="21"/>
          <w:lang w:eastAsia="zh-CN"/>
        </w:rPr>
        <w:t>评审委员会</w:t>
      </w:r>
      <w:r>
        <w:rPr>
          <w:rFonts w:eastAsia="宋体" w:hint="eastAsia"/>
          <w:kern w:val="2"/>
          <w:sz w:val="21"/>
          <w:lang w:eastAsia="zh-CN"/>
        </w:rPr>
        <w:t>应当认真研究招标文件，至少应了解熟悉以下内容：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（1）招标的目的；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（2）招标项目需求的范围和性质；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（3）招标文件规定的投标人的资格、财政预算限额、商务条款；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（4）招标文件规定的评标程序、评标方法和评标因素；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（5）招标文件所列示的资格性审查表及符合性审查表。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31．独立评审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1</w:t>
      </w:r>
      <w:r>
        <w:rPr>
          <w:rFonts w:eastAsia="宋体" w:hint="eastAsia"/>
          <w:kern w:val="2"/>
          <w:sz w:val="21"/>
          <w:lang w:eastAsia="zh-CN"/>
        </w:rPr>
        <w:t>.1</w:t>
      </w:r>
      <w:r>
        <w:rPr>
          <w:rFonts w:eastAsia="宋体" w:hint="eastAsia"/>
          <w:kern w:val="2"/>
          <w:sz w:val="21"/>
          <w:szCs w:val="21"/>
          <w:lang w:eastAsia="zh-CN"/>
        </w:rPr>
        <w:t>评审委员会</w:t>
      </w:r>
      <w:r>
        <w:rPr>
          <w:rFonts w:eastAsia="宋体" w:hint="eastAsia"/>
          <w:kern w:val="2"/>
          <w:sz w:val="21"/>
          <w:lang w:eastAsia="zh-CN"/>
        </w:rPr>
        <w:t>成员的评标活动应当独立进行，并应遵循投标文件初审、澄清有关问题、比较与评价、确定中标供应商、编写评审报告的工作程序。</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81" w:name="_Toc18761"/>
      <w:r>
        <w:rPr>
          <w:rFonts w:ascii="Arial" w:eastAsia="宋体" w:hAnsi="Arial" w:hint="eastAsia"/>
          <w:b/>
          <w:kern w:val="2"/>
          <w:sz w:val="32"/>
          <w:lang w:eastAsia="zh-CN"/>
        </w:rPr>
        <w:t>第七章</w:t>
      </w:r>
      <w:bookmarkStart w:id="82" w:name="_Toc26636"/>
      <w:r>
        <w:rPr>
          <w:rFonts w:ascii="Arial" w:eastAsia="宋体" w:hAnsi="Arial" w:hint="eastAsia"/>
          <w:b/>
          <w:kern w:val="2"/>
          <w:sz w:val="32"/>
          <w:lang w:eastAsia="zh-CN"/>
        </w:rPr>
        <w:t xml:space="preserve">  评审程序</w:t>
      </w:r>
      <w:bookmarkStart w:id="83" w:name="_Toc73518149"/>
      <w:bookmarkStart w:id="84" w:name="_Toc73517671"/>
      <w:r>
        <w:rPr>
          <w:rFonts w:ascii="Arial" w:eastAsia="宋体" w:hAnsi="Arial" w:hint="eastAsia"/>
          <w:b/>
          <w:kern w:val="2"/>
          <w:sz w:val="32"/>
          <w:lang w:eastAsia="zh-CN"/>
        </w:rPr>
        <w:t>及评审方法</w:t>
      </w:r>
      <w:bookmarkEnd w:id="75"/>
      <w:bookmarkEnd w:id="76"/>
      <w:bookmarkEnd w:id="77"/>
      <w:bookmarkEnd w:id="78"/>
      <w:bookmarkEnd w:id="79"/>
      <w:bookmarkEnd w:id="81"/>
      <w:bookmarkEnd w:id="82"/>
    </w:p>
    <w:bookmarkEnd w:id="83"/>
    <w:bookmarkEnd w:id="84"/>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32．投标文件初审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32.1投标文件初审包括资格性审查和符合性审查。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资格性审查：依据法律法规和招标文件的规定，对投标文件中的资格证明等进行审查，以确定投标供应商是否具备投标资格。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符合性审查：依据招标文件的规定，对投标文件的有效性、完整性和对招标文件的响应程度进行审查，以确定是否满足符合性审查的要求。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32.2投标文件初审内容请详见《资格性审查表》和《符合性审查表》部分。投标人若有一条审查不通过则按投标无效处理。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32.3投标文件初审中关于供应商家数的计算：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hint="eastAsia"/>
          <w:kern w:val="2"/>
          <w:sz w:val="21"/>
          <w:szCs w:val="21"/>
          <w:lang w:eastAsia="zh-CN"/>
        </w:rPr>
        <w:t>评审委员会</w:t>
      </w:r>
      <w:r>
        <w:rPr>
          <w:rFonts w:eastAsia="宋体" w:hint="eastAsia"/>
          <w:kern w:val="2"/>
          <w:sz w:val="21"/>
          <w:lang w:eastAsia="zh-CN"/>
        </w:rPr>
        <w:t>按照招标文件规定的方式确定一个投标人获得中标人推荐资格，招标文件未规定的采取随机抽取方式确定，其他同品牌投标人不作为中标候选人。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32.4投标人投标文件作无效处理的情形，具体包括但不限于以下：</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32.4.3不同投标人的投标文件载明的项目管理成员或者联系人员为同一人；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32.4.4不同投标人的投标文件异常一致或者投标报价呈规律性差异；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32.4.5</w:t>
      </w:r>
      <w:r>
        <w:rPr>
          <w:rFonts w:eastAsia="宋体"/>
          <w:kern w:val="2"/>
          <w:sz w:val="21"/>
          <w:lang w:eastAsia="zh-CN"/>
        </w:rPr>
        <w:t>不同投标供应商的投标文件或部分投标文件相互混装</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32.4.6投标供应商之间相互约定给予未中标的供应商利益补偿；</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32.4.8不同投标供应商的投标文件内容存在非正常一致；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32.4.9在同一单位工作人员为两家以上（含两家）供应商进行同一项投标活动；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32.4.10主管部门依照法律、法规认定的其他情形。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32.5对不属于《资格性审查表》和《符合性审查表》所列的其他情形，除专用条款另有规定和32.4条款所列情形外，不得作为投标无效的理由。</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33．澄清有关问题</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5" w:name="_Hlk71407321"/>
      <w:r>
        <w:rPr>
          <w:rFonts w:eastAsia="宋体" w:hint="eastAsia"/>
          <w:kern w:val="2"/>
          <w:sz w:val="21"/>
          <w:lang w:eastAsia="zh-CN"/>
        </w:rPr>
        <w:t>3</w:t>
      </w:r>
      <w:r>
        <w:rPr>
          <w:rFonts w:eastAsia="宋体"/>
          <w:kern w:val="2"/>
          <w:sz w:val="21"/>
          <w:lang w:eastAsia="zh-CN"/>
        </w:rPr>
        <w:t>3.1</w:t>
      </w:r>
      <w:r>
        <w:rPr>
          <w:rFonts w:eastAsia="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eastAsia="宋体" w:hint="eastAsia"/>
          <w:kern w:val="2"/>
          <w:sz w:val="21"/>
          <w:lang w:eastAsia="zh-CN"/>
        </w:rPr>
        <w:t>，评审委员会有权进行评判，但对同一条款的评判应适用于每个投标人。</w:t>
      </w:r>
      <w:bookmarkEnd w:id="85"/>
    </w:p>
    <w:p>
      <w:pPr>
        <w:widowControl/>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lang w:eastAsia="zh-CN"/>
        </w:rPr>
        <w:t>评</w:t>
      </w:r>
      <w:r>
        <w:rPr>
          <w:rFonts w:eastAsia="宋体" w:hint="eastAsia"/>
          <w:kern w:val="2"/>
          <w:sz w:val="21"/>
          <w:lang w:eastAsia="zh-CN"/>
        </w:rPr>
        <w:t>审</w:t>
      </w:r>
      <w:r>
        <w:rPr>
          <w:rFonts w:eastAsia="宋体"/>
          <w:kern w:val="2"/>
          <w:sz w:val="21"/>
          <w:lang w:eastAsia="zh-CN"/>
        </w:rPr>
        <w:t>委员会发现招标文件存在歧义、重大缺陷导致评</w:t>
      </w:r>
      <w:r>
        <w:rPr>
          <w:rFonts w:eastAsia="宋体" w:hint="eastAsia"/>
          <w:kern w:val="2"/>
          <w:sz w:val="21"/>
          <w:lang w:eastAsia="zh-CN"/>
        </w:rPr>
        <w:t>审</w:t>
      </w:r>
      <w:r>
        <w:rPr>
          <w:rFonts w:eastAsia="宋体"/>
          <w:kern w:val="2"/>
          <w:sz w:val="21"/>
          <w:lang w:eastAsia="zh-CN"/>
        </w:rPr>
        <w:t>工作无法进行，或者招标文件内容违反国家有关强制性规定的，应当停止评</w:t>
      </w:r>
      <w:r>
        <w:rPr>
          <w:rFonts w:eastAsia="宋体" w:hint="eastAsia"/>
          <w:kern w:val="2"/>
          <w:sz w:val="21"/>
          <w:lang w:eastAsia="zh-CN"/>
        </w:rPr>
        <w:t>审</w:t>
      </w:r>
      <w:r>
        <w:rPr>
          <w:rFonts w:eastAsia="宋体"/>
          <w:kern w:val="2"/>
          <w:sz w:val="21"/>
          <w:lang w:eastAsia="zh-CN"/>
        </w:rPr>
        <w:t>工作，与</w:t>
      </w:r>
      <w:r>
        <w:rPr>
          <w:rFonts w:eastAsia="宋体" w:hint="eastAsia"/>
          <w:kern w:val="2"/>
          <w:sz w:val="21"/>
          <w:lang w:eastAsia="zh-CN"/>
        </w:rPr>
        <w:t>采购代理机构</w:t>
      </w:r>
      <w:r>
        <w:rPr>
          <w:rFonts w:eastAsia="宋体"/>
          <w:kern w:val="2"/>
          <w:sz w:val="21"/>
          <w:lang w:eastAsia="zh-CN"/>
        </w:rPr>
        <w:t>沟通并作书面记录。</w:t>
      </w:r>
      <w:r>
        <w:rPr>
          <w:rFonts w:eastAsia="宋体" w:hint="eastAsia"/>
          <w:kern w:val="2"/>
          <w:sz w:val="21"/>
          <w:lang w:eastAsia="zh-CN"/>
        </w:rPr>
        <w:t>经</w:t>
      </w:r>
      <w:r>
        <w:rPr>
          <w:rFonts w:eastAsia="宋体"/>
          <w:kern w:val="2"/>
          <w:sz w:val="21"/>
          <w:lang w:eastAsia="zh-CN"/>
        </w:rPr>
        <w:t>确认后，</w:t>
      </w:r>
      <w:r>
        <w:rPr>
          <w:rFonts w:eastAsia="宋体" w:hint="eastAsia"/>
          <w:kern w:val="2"/>
          <w:sz w:val="21"/>
          <w:lang w:eastAsia="zh-CN"/>
        </w:rPr>
        <w:t>项目</w:t>
      </w:r>
      <w:r>
        <w:rPr>
          <w:rFonts w:eastAsia="宋体"/>
          <w:kern w:val="2"/>
          <w:sz w:val="21"/>
          <w:lang w:eastAsia="zh-CN"/>
        </w:rPr>
        <w:t>应当修改招标文件，重新组织采购活动。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eastAsia="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根据本通用条款第34条，凡属于评审委员会在评审中发现的算术错误进行核实的修改不在此列。</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6" w:name="_Toc73521669"/>
      <w:bookmarkStart w:id="87" w:name="_Toc100052400"/>
      <w:bookmarkStart w:id="88" w:name="_Toc73518151"/>
      <w:bookmarkStart w:id="89" w:name="_Toc73521581"/>
      <w:bookmarkStart w:id="90" w:name="_Toc73517673"/>
      <w:r>
        <w:rPr>
          <w:rFonts w:eastAsia="宋体" w:hint="eastAsia"/>
          <w:kern w:val="2"/>
          <w:sz w:val="21"/>
          <w:lang w:eastAsia="zh-CN"/>
        </w:rPr>
        <w:t>34．错误的修正</w:t>
      </w:r>
      <w:bookmarkEnd w:id="86"/>
      <w:bookmarkEnd w:id="87"/>
      <w:bookmarkEnd w:id="88"/>
      <w:bookmarkEnd w:id="89"/>
      <w:bookmarkEnd w:id="90"/>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投标文件报价出现前后不一致的，除专用条款另有规定外，按照下列规定修正：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34.1投标文件中开标一览表投标报价内容与投标文件中投标报价相应内容不一致的，以开标一览表为准；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34.2大写金额和小写金额不一致的，以大写金额为准；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34.3单价金额小数点或者百分比有明显错位，以开标一览表的总价为准，并修改单价；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34.4总价金额与按单价汇总金额不一致的，以单价金额计算结果为准。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34.5同时出现两种以上不一致的，按照前款规定的顺序修正。修正后的报价按照本通用条款33条的规定，经投标人确认后产生约束力，投标人不确认的，其投标无效。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35．投标文件的比较与评价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评审委员会成员对需要共同认定的事项存在争议的，应当按照少数服从多数的原则作出结论。持不同意见的评审委员会成员应当书面作出说明，否则视为无异议。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36.实地考察或资料查验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36.1在评审过程中，评审委员会有权决定是否对本项目投标人进行实地考察或资料查验（原件）。投标人应随时做好接受实地考察或资料查验的准备。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37．评审方法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1" w:name="_Hlk72438142"/>
      <w:r>
        <w:rPr>
          <w:rFonts w:eastAsia="宋体" w:hint="eastAsia"/>
          <w:kern w:val="2"/>
          <w:sz w:val="21"/>
          <w:lang w:eastAsia="zh-CN"/>
        </w:rPr>
        <w:t>37.1.1最低价法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最低价法，是指完全满足招标文件实质性要求，按照报价由低到高的顺序，依据招标文件中规定的数量或者比例推荐候选中标供应商。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37.1.2综合评分法</w:t>
      </w:r>
    </w:p>
    <w:bookmarkEnd w:id="91"/>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综合评分法，是指在满足招标文件全部实质性要求的前提下，按照招标文件中规定的各项因素进行综合评审，评审总得分排名前列的投标人，作为推荐的候选中标供应商。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37.2本项目采用的评审方法见本项目招标文件第一册“专用条款”的相关内容。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37.3重新评审的情形</w:t>
      </w:r>
    </w:p>
    <w:p>
      <w:pPr>
        <w:widowControl/>
        <w:wordWrap w:val="0"/>
        <w:autoSpaceDE w:val="0"/>
        <w:autoSpaceDN w:val="0"/>
        <w:spacing w:line="400" w:lineRule="exact"/>
        <w:ind w:right="808" w:firstLine="420" w:firstLineChars="200"/>
        <w:jc w:val="both"/>
        <w:rPr>
          <w:rFonts w:eastAsia="宋体"/>
          <w:b/>
          <w:bCs/>
          <w:kern w:val="2"/>
          <w:sz w:val="21"/>
          <w:lang w:eastAsia="zh-CN"/>
        </w:rPr>
      </w:pPr>
      <w:r>
        <w:rPr>
          <w:rFonts w:eastAsia="宋体" w:hint="eastAsia"/>
          <w:sz w:val="21"/>
          <w:lang w:eastAsia="zh-CN"/>
        </w:rPr>
        <w:t>评审结果汇总完成后，除下列情形外，任何人不得修改评审结果：</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37.3.1分值汇总计算错误的；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37.3.2分项评分超出评分标准范围的；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37.3.3评审委员会成员对客观评审因素评分不一致的；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37.3.4经评审委员会认定评分畸高、畸低的。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投标人对本条第一款情形提出质疑的，采购人或者采购代理机构可以组织原评审委员会进行重新评审，重新评审改变评审结果的，应当书面报告本级财政部门。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37.4重新组建评审委员会的情形</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评审委员会或者其成员存在下列情形导致评审结果无效的，重新组建评审委员会进行评标，并书面报告本级财政部门：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37.4.1评审委员会组成不符合《政府采购货物和服务招标投标管理办法》规定的；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37.4.2有《政府采购货物和服务招标投标管理办法》第六十二条第一至五项情形的；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37.4.3评审委员会及其成员独立评标受到非法干预的；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37.4.4有政府采购法实施条例第七十五条规定的违法行为的。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有违法违规行为的原评审委员会成员不得参加重新组建的评审委员会。</w:t>
      </w: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92" w:name="第八章1"/>
      <w:bookmarkEnd w:id="92"/>
      <w:bookmarkStart w:id="93" w:name="_Toc13341"/>
      <w:bookmarkStart w:id="94" w:name="_Toc1513"/>
      <w:bookmarkStart w:id="95" w:name="_Toc30568"/>
      <w:bookmarkStart w:id="96" w:name="_Toc26094"/>
      <w:r>
        <w:rPr>
          <w:rFonts w:ascii="Arial" w:eastAsia="宋体" w:hAnsi="Arial" w:hint="eastAsia"/>
          <w:b/>
          <w:kern w:val="2"/>
          <w:sz w:val="32"/>
          <w:lang w:eastAsia="zh-CN"/>
        </w:rPr>
        <w:t>第八章</w:t>
      </w:r>
      <w:bookmarkStart w:id="97" w:name="_Toc24537"/>
      <w:r>
        <w:rPr>
          <w:rFonts w:ascii="Arial" w:eastAsia="宋体" w:hAnsi="Arial" w:hint="eastAsia"/>
          <w:b/>
          <w:kern w:val="2"/>
          <w:sz w:val="32"/>
          <w:lang w:eastAsia="zh-CN"/>
        </w:rPr>
        <w:t xml:space="preserve">  定标及公示</w:t>
      </w:r>
      <w:bookmarkEnd w:id="93"/>
      <w:bookmarkEnd w:id="94"/>
      <w:bookmarkEnd w:id="95"/>
      <w:bookmarkEnd w:id="96"/>
      <w:bookmarkEnd w:id="97"/>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38．定标方法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8" w:name="_Hlk73782795"/>
      <w:r>
        <w:rPr>
          <w:rFonts w:eastAsia="宋体" w:hint="eastAsia"/>
          <w:kern w:val="2"/>
          <w:sz w:val="21"/>
          <w:lang w:eastAsia="zh-CN"/>
        </w:rPr>
        <w:t>38.1非评定分离项目定标方法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w:t>
      </w:r>
      <w:r>
        <w:rPr>
          <w:rFonts w:eastAsia="宋体"/>
          <w:kern w:val="2"/>
          <w:sz w:val="21"/>
          <w:lang w:eastAsia="zh-CN"/>
        </w:rPr>
        <w:t>.</w:t>
      </w:r>
      <w:r>
        <w:rPr>
          <w:rFonts w:eastAsia="宋体" w:hint="eastAsia"/>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szCs w:val="21"/>
          <w:lang w:eastAsia="zh-CN"/>
        </w:rPr>
        <w:t>38.2.2</w:t>
      </w:r>
      <w:bookmarkStart w:id="99" w:name="_Hlk71469733"/>
      <w:r>
        <w:rPr>
          <w:rFonts w:eastAsia="宋体"/>
          <w:kern w:val="2"/>
          <w:sz w:val="21"/>
          <w:lang w:eastAsia="zh-CN"/>
        </w:rPr>
        <w:t>适用评定分离的政府采购项目，采用综合评分法评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38.2.3</w:t>
      </w:r>
      <w:bookmarkStart w:id="100" w:name="_Hlk71469688"/>
      <w:r>
        <w:rPr>
          <w:rFonts w:eastAsia="宋体"/>
          <w:kern w:val="2"/>
          <w:sz w:val="21"/>
          <w:lang w:eastAsia="zh-CN"/>
        </w:rPr>
        <w:t>适用评定分离的政府采购项目，</w:t>
      </w:r>
      <w:r>
        <w:rPr>
          <w:rFonts w:eastAsia="宋体" w:hint="eastAsia"/>
          <w:kern w:val="2"/>
          <w:sz w:val="21"/>
          <w:lang w:eastAsia="zh-CN"/>
        </w:rPr>
        <w:t>按照自定法确定中标供应商：自定法是指采购人组织定标委员会，由定标委员会在三家候选中标供应商中确定中标供应商。</w:t>
      </w:r>
      <w:bookmarkEnd w:id="99"/>
      <w:bookmarkEnd w:id="100"/>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采购代理机构。具体定标程序及相关要求以按照《</w:t>
      </w:r>
      <w:r>
        <w:rPr>
          <w:rFonts w:eastAsia="宋体"/>
          <w:kern w:val="2"/>
          <w:sz w:val="21"/>
          <w:lang w:eastAsia="zh-CN"/>
        </w:rPr>
        <w:t>深圳市财政局关于印发</w:t>
      </w:r>
      <w:r>
        <w:rPr>
          <w:rFonts w:ascii="宋体" w:eastAsia="宋体" w:hAnsi="宋体" w:hint="eastAsia"/>
          <w:kern w:val="2"/>
          <w:sz w:val="21"/>
          <w:lang w:eastAsia="zh-CN"/>
        </w:rPr>
        <w:t>〈</w:t>
      </w:r>
      <w:r>
        <w:rPr>
          <w:rFonts w:eastAsia="宋体"/>
          <w:kern w:val="2"/>
          <w:sz w:val="21"/>
          <w:lang w:eastAsia="zh-CN"/>
        </w:rPr>
        <w:t>深圳市政府采购评标定标分离管理办法</w:t>
      </w:r>
      <w:r>
        <w:rPr>
          <w:rFonts w:ascii="宋体" w:eastAsia="宋体" w:hAnsi="宋体" w:hint="eastAsia"/>
          <w:kern w:val="2"/>
          <w:sz w:val="21"/>
          <w:lang w:eastAsia="zh-CN"/>
        </w:rPr>
        <w:t>〉</w:t>
      </w:r>
      <w:r>
        <w:rPr>
          <w:rFonts w:eastAsia="宋体"/>
          <w:kern w:val="2"/>
          <w:sz w:val="21"/>
          <w:lang w:eastAsia="zh-CN"/>
        </w:rPr>
        <w:t>的通知</w:t>
      </w:r>
      <w:r>
        <w:rPr>
          <w:rFonts w:eastAsia="宋体" w:hint="eastAsia"/>
          <w:kern w:val="2"/>
          <w:sz w:val="21"/>
          <w:lang w:eastAsia="zh-CN"/>
        </w:rPr>
        <w:t>》（深财规【2</w:t>
      </w:r>
      <w:r>
        <w:rPr>
          <w:rFonts w:eastAsia="宋体"/>
          <w:kern w:val="2"/>
          <w:sz w:val="21"/>
          <w:lang w:eastAsia="zh-CN"/>
        </w:rPr>
        <w:t>020</w:t>
      </w:r>
      <w:r>
        <w:rPr>
          <w:rFonts w:eastAsia="宋体" w:hint="eastAsia"/>
          <w:kern w:val="2"/>
          <w:sz w:val="21"/>
          <w:lang w:eastAsia="zh-CN"/>
        </w:rPr>
        <w:t>】1号）执行。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说明：采购人及投标供应商应按照上述方法提前做好相关准备。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38.3专用条款另有规定的，按专用条款相关要求定标。</w:t>
      </w:r>
      <w:bookmarkEnd w:id="98"/>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39．编写评审报告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40．中标公告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40.1</w:t>
      </w:r>
      <w:bookmarkStart w:id="101" w:name="_Hlk72438709"/>
      <w:r>
        <w:rPr>
          <w:rFonts w:eastAsia="宋体" w:hint="eastAsia"/>
          <w:kern w:val="2"/>
          <w:sz w:val="21"/>
          <w:lang w:eastAsia="zh-CN"/>
        </w:rPr>
        <w:t>为体现“公开、公平、公正”的原则，评审结束后经采购人确认（确定）评审结果，采购代理机构将在</w:t>
      </w:r>
      <w:r>
        <w:rPr>
          <w:rFonts w:eastAsia="宋体" w:hint="eastAsia"/>
          <w:b/>
          <w:bCs/>
          <w:kern w:val="2"/>
          <w:sz w:val="21"/>
          <w:lang w:eastAsia="zh-CN"/>
        </w:rPr>
        <w:t>深圳政府采购自行采购系统（https://zxcg.szggzy.com/home/index.html）</w:t>
      </w:r>
      <w:r>
        <w:rPr>
          <w:rFonts w:eastAsia="宋体" w:hint="eastAsia"/>
          <w:kern w:val="2"/>
          <w:sz w:val="21"/>
          <w:lang w:eastAsia="zh-CN"/>
        </w:rPr>
        <w:t>上发布中标结果公告。</w:t>
      </w:r>
      <w:bookmarkEnd w:id="101"/>
      <w:bookmarkStart w:id="102" w:name="_Hlk72438751"/>
      <w:r>
        <w:rPr>
          <w:rFonts w:eastAsia="宋体" w:hint="eastAsia"/>
          <w:kern w:val="2"/>
          <w:sz w:val="21"/>
          <w:lang w:eastAsia="zh-CN"/>
        </w:rPr>
        <w:t>供应商如对评审结果有异议，</w:t>
      </w:r>
      <w:r>
        <w:rPr>
          <w:rFonts w:eastAsia="宋体"/>
          <w:kern w:val="2"/>
          <w:sz w:val="21"/>
          <w:lang w:eastAsia="zh-CN"/>
        </w:rPr>
        <w:t>可在发布公示日期起</w:t>
      </w:r>
      <w:r>
        <w:rPr>
          <w:rFonts w:eastAsia="宋体" w:hint="eastAsia"/>
          <w:kern w:val="2"/>
          <w:sz w:val="21"/>
          <w:lang w:eastAsia="zh-CN"/>
        </w:rPr>
        <w:t>七</w:t>
      </w:r>
      <w:r>
        <w:rPr>
          <w:rFonts w:eastAsia="宋体"/>
          <w:kern w:val="2"/>
          <w:sz w:val="21"/>
          <w:lang w:eastAsia="zh-CN"/>
        </w:rPr>
        <w:t>个工作日内向</w:t>
      </w:r>
      <w:r>
        <w:rPr>
          <w:rFonts w:eastAsia="宋体" w:hint="eastAsia"/>
          <w:kern w:val="2"/>
          <w:sz w:val="21"/>
          <w:lang w:eastAsia="zh-CN"/>
        </w:rPr>
        <w:t>采购代理机构</w:t>
      </w:r>
      <w:r>
        <w:rPr>
          <w:rFonts w:eastAsia="宋体"/>
          <w:kern w:val="2"/>
          <w:sz w:val="21"/>
          <w:lang w:eastAsia="zh-CN"/>
        </w:rPr>
        <w:t>提出。监督电话：0755-21070507。</w:t>
      </w:r>
      <w:r>
        <w:rPr>
          <w:rFonts w:eastAsia="宋体" w:hint="eastAsia"/>
          <w:kern w:val="2"/>
          <w:sz w:val="21"/>
          <w:lang w:eastAsia="zh-CN"/>
        </w:rPr>
        <w:t>若在公示期内未提出质疑，则视为认同该评审结果。</w:t>
      </w:r>
    </w:p>
    <w:bookmarkEnd w:id="102"/>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40.2质疑、投诉供应商应保证质疑、投诉内容的真实性和可靠性，并承担相应的法律责任。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41．中标通知书</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41</w:t>
      </w:r>
      <w:r>
        <w:rPr>
          <w:rFonts w:eastAsia="宋体"/>
          <w:kern w:val="2"/>
          <w:sz w:val="21"/>
          <w:szCs w:val="21"/>
          <w:lang w:eastAsia="zh-CN"/>
        </w:rPr>
        <w:t>.</w:t>
      </w:r>
      <w:r>
        <w:rPr>
          <w:rFonts w:eastAsia="宋体" w:hint="eastAsia"/>
          <w:kern w:val="2"/>
          <w:sz w:val="21"/>
          <w:szCs w:val="21"/>
          <w:lang w:eastAsia="zh-CN"/>
        </w:rPr>
        <w:t>1</w:t>
      </w:r>
      <w:bookmarkStart w:id="103" w:name="_Hlk72438863"/>
      <w:r>
        <w:rPr>
          <w:rFonts w:eastAsia="宋体" w:hint="eastAsia"/>
          <w:kern w:val="2"/>
          <w:sz w:val="21"/>
          <w:szCs w:val="21"/>
          <w:lang w:eastAsia="zh-CN"/>
        </w:rPr>
        <w:t>中标公告公布以后无异常的情况下，中标供应商和采购人可自行登录</w:t>
      </w:r>
      <w:r>
        <w:rPr>
          <w:rFonts w:eastAsia="宋体" w:hint="eastAsia"/>
          <w:b/>
          <w:bCs/>
          <w:kern w:val="2"/>
          <w:sz w:val="21"/>
          <w:szCs w:val="21"/>
          <w:lang w:eastAsia="zh-CN"/>
        </w:rPr>
        <w:t>“</w:t>
      </w:r>
      <w:r>
        <w:rPr>
          <w:rFonts w:eastAsia="宋体" w:hint="eastAsia"/>
          <w:kern w:val="2"/>
          <w:sz w:val="21"/>
          <w:lang w:eastAsia="zh-CN"/>
        </w:rPr>
        <w:t>深圳政府采购自行采购系统（https://trade.szggzy.com/ggzy/center/#/login）</w:t>
      </w:r>
      <w:r>
        <w:rPr>
          <w:rFonts w:eastAsia="宋体" w:hint="eastAsia"/>
          <w:b/>
          <w:bCs/>
          <w:kern w:val="2"/>
          <w:sz w:val="21"/>
          <w:szCs w:val="21"/>
          <w:lang w:eastAsia="zh-CN"/>
        </w:rPr>
        <w:t>”</w:t>
      </w:r>
      <w:r>
        <w:rPr>
          <w:rFonts w:eastAsia="宋体" w:hint="eastAsia"/>
          <w:kern w:val="2"/>
          <w:sz w:val="21"/>
          <w:szCs w:val="21"/>
          <w:lang w:eastAsia="zh-CN"/>
        </w:rPr>
        <w:t>上打印</w:t>
      </w:r>
      <w:r>
        <w:rPr>
          <w:rFonts w:eastAsia="宋体" w:hint="eastAsia"/>
          <w:b/>
          <w:kern w:val="2"/>
          <w:sz w:val="21"/>
          <w:szCs w:val="21"/>
          <w:lang w:eastAsia="zh-CN"/>
        </w:rPr>
        <w:t>《数字中标通知书》</w:t>
      </w:r>
      <w:r>
        <w:rPr>
          <w:rFonts w:eastAsia="宋体" w:hint="eastAsia"/>
          <w:kern w:val="2"/>
          <w:sz w:val="21"/>
          <w:szCs w:val="21"/>
          <w:lang w:eastAsia="zh-CN"/>
        </w:rPr>
        <w:t>。</w:t>
      </w:r>
      <w:bookmarkEnd w:id="103"/>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w:t>
      </w:r>
      <w:r>
        <w:rPr>
          <w:rFonts w:eastAsia="宋体"/>
          <w:kern w:val="2"/>
          <w:sz w:val="21"/>
          <w:lang w:eastAsia="zh-CN"/>
        </w:rPr>
        <w:t>.2</w:t>
      </w:r>
      <w:r>
        <w:rPr>
          <w:rFonts w:eastAsia="宋体" w:hint="eastAsia"/>
          <w:kern w:val="2"/>
          <w:sz w:val="21"/>
          <w:lang w:eastAsia="zh-CN"/>
        </w:rPr>
        <w:t>中标通知书是合同的重要组成部分。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04" w:name="_Hlk71407340"/>
      <w:r>
        <w:rPr>
          <w:rFonts w:eastAsia="宋体" w:hint="eastAsia"/>
          <w:kern w:val="2"/>
          <w:sz w:val="21"/>
          <w:lang w:eastAsia="zh-CN"/>
        </w:rPr>
        <w:t>41.3因质疑投诉或其它原因导致项目结果变更或采购终止的，采购代理机构有权吊销中标通知书。</w:t>
      </w:r>
    </w:p>
    <w:bookmarkEnd w:id="104"/>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05" w:name="第九章1"/>
      <w:bookmarkEnd w:id="105"/>
      <w:bookmarkStart w:id="106" w:name="_Toc25733"/>
      <w:bookmarkStart w:id="107" w:name="_Toc20277"/>
      <w:bookmarkStart w:id="108" w:name="_Toc11736"/>
      <w:bookmarkStart w:id="109" w:name="_Toc17412"/>
      <w:bookmarkStart w:id="110" w:name="_Toc24474"/>
      <w:bookmarkStart w:id="111" w:name="_Toc73517678"/>
      <w:bookmarkStart w:id="112" w:name="_Toc101074884"/>
      <w:bookmarkStart w:id="113" w:name="_Toc100052407"/>
      <w:r>
        <w:rPr>
          <w:rFonts w:ascii="Arial" w:eastAsia="宋体" w:hAnsi="Arial" w:hint="eastAsia"/>
          <w:b/>
          <w:kern w:val="2"/>
          <w:sz w:val="32"/>
          <w:lang w:eastAsia="zh-CN"/>
        </w:rPr>
        <w:t>第九章  公开采购失败的后续处理</w:t>
      </w:r>
      <w:bookmarkEnd w:id="106"/>
      <w:bookmarkEnd w:id="107"/>
      <w:bookmarkEnd w:id="108"/>
      <w:bookmarkEnd w:id="109"/>
      <w:bookmarkEnd w:id="110"/>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42．公开招标失败的处理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szCs w:val="21"/>
          <w:lang w:eastAsia="zh-CN"/>
        </w:rPr>
        <w:t>42.1本项目公开招标过程中若由于投标截止后</w:t>
      </w:r>
      <w:r>
        <w:rPr>
          <w:rFonts w:eastAsia="宋体" w:hint="eastAsia"/>
          <w:kern w:val="2"/>
          <w:sz w:val="21"/>
          <w:lang w:eastAsia="zh-CN"/>
        </w:rPr>
        <w:t>实际递交</w:t>
      </w:r>
      <w:r>
        <w:rPr>
          <w:rFonts w:eastAsia="宋体"/>
          <w:kern w:val="2"/>
          <w:sz w:val="21"/>
          <w:lang w:eastAsia="zh-CN"/>
        </w:rPr>
        <w:t>投标</w:t>
      </w:r>
      <w:r>
        <w:rPr>
          <w:rFonts w:eastAsia="宋体" w:hint="eastAsia"/>
          <w:kern w:val="2"/>
          <w:sz w:val="21"/>
          <w:lang w:eastAsia="zh-CN"/>
        </w:rPr>
        <w:t>文件的供应商数量不足、经</w:t>
      </w:r>
      <w:r>
        <w:rPr>
          <w:rFonts w:eastAsia="宋体" w:hint="eastAsia"/>
          <w:kern w:val="2"/>
          <w:sz w:val="21"/>
          <w:szCs w:val="21"/>
          <w:lang w:eastAsia="zh-CN"/>
        </w:rPr>
        <w:t>评审委员会</w:t>
      </w:r>
      <w:r>
        <w:rPr>
          <w:rFonts w:eastAsia="宋体" w:hint="eastAsia"/>
          <w:kern w:val="2"/>
          <w:sz w:val="21"/>
          <w:lang w:eastAsia="zh-CN"/>
        </w:rPr>
        <w:t>评审对招标文件作实质响应的供应商不足等原因造成公开招标失败，可由</w:t>
      </w:r>
      <w:r>
        <w:rPr>
          <w:rFonts w:eastAsia="宋体" w:cs="宋体" w:hint="eastAsia"/>
          <w:kern w:val="2"/>
          <w:sz w:val="21"/>
          <w:lang w:eastAsia="zh-CN"/>
        </w:rPr>
        <w:t>采购代理机构</w:t>
      </w:r>
      <w:r>
        <w:rPr>
          <w:rFonts w:eastAsia="宋体" w:hint="eastAsia"/>
          <w:kern w:val="2"/>
          <w:sz w:val="21"/>
          <w:lang w:eastAsia="zh-CN"/>
        </w:rPr>
        <w:t>重新组织采购。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42.3重新组织采购有以下两种组织形式：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（1）由采购代理机构重新组织公开招标；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（2）根据实际情况需要向同级财政部门提出非公开招标方式申请，经同级财政部门批准，公开招标失败采购项目可转为竞争性谈判或单一来源谈判方式采购。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42.4公开招标失败的采购项目重新组织公开招标，由采购代理机构重新按公开招标流程组织采购活动。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42.5公开招标失败的采购项目经同级财政部门批准转为竞争性谈判或单一来源谈判方式采购的，按规定要求组织政府采购工作。</w:t>
      </w:r>
    </w:p>
    <w:p>
      <w:pPr>
        <w:widowControl/>
        <w:wordWrap w:val="0"/>
        <w:autoSpaceDE w:val="0"/>
        <w:autoSpaceDN w:val="0"/>
        <w:spacing w:line="360" w:lineRule="auto"/>
        <w:ind w:right="808" w:firstLine="480" w:firstLineChars="200"/>
        <w:jc w:val="both"/>
        <w:rPr>
          <w:rFonts w:eastAsia="宋体"/>
          <w:b/>
          <w:kern w:val="2"/>
          <w:lang w:eastAsia="zh-CN"/>
        </w:rPr>
      </w:pPr>
    </w:p>
    <w:bookmarkEnd w:id="111"/>
    <w:bookmarkEnd w:id="112"/>
    <w:bookmarkEnd w:id="113"/>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14" w:name="第十章1"/>
      <w:bookmarkEnd w:id="114"/>
      <w:bookmarkStart w:id="115" w:name="_Toc26814"/>
      <w:bookmarkStart w:id="116" w:name="_Toc9122"/>
      <w:bookmarkStart w:id="117" w:name="_Toc27904"/>
      <w:bookmarkStart w:id="118" w:name="_Toc26432"/>
      <w:bookmarkStart w:id="119" w:name="_Toc13677"/>
      <w:r>
        <w:rPr>
          <w:rFonts w:ascii="Arial" w:eastAsia="宋体" w:hAnsi="Arial" w:hint="eastAsia"/>
          <w:b/>
          <w:kern w:val="2"/>
          <w:sz w:val="32"/>
          <w:lang w:eastAsia="zh-CN"/>
        </w:rPr>
        <w:t>第十章  合同的授予与备案</w:t>
      </w:r>
      <w:bookmarkEnd w:id="115"/>
      <w:bookmarkEnd w:id="116"/>
      <w:bookmarkEnd w:id="117"/>
      <w:bookmarkEnd w:id="118"/>
      <w:bookmarkEnd w:id="119"/>
    </w:p>
    <w:p>
      <w:pPr>
        <w:widowControl/>
        <w:wordWrap w:val="0"/>
        <w:autoSpaceDE w:val="0"/>
        <w:autoSpaceDN w:val="0"/>
        <w:spacing w:line="400" w:lineRule="exact"/>
        <w:ind w:right="808" w:firstLine="420" w:firstLineChars="200"/>
        <w:jc w:val="both"/>
        <w:rPr>
          <w:rFonts w:eastAsia="宋体"/>
          <w:kern w:val="2"/>
          <w:sz w:val="21"/>
          <w:lang w:eastAsia="zh-CN"/>
        </w:rPr>
      </w:pPr>
      <w:bookmarkStart w:id="120" w:name="_33._合同授予标准"/>
      <w:bookmarkEnd w:id="120"/>
      <w:bookmarkStart w:id="121" w:name="_Toc73521586"/>
      <w:bookmarkStart w:id="122" w:name="_Toc73518157"/>
      <w:bookmarkStart w:id="123" w:name="_Toc100052408"/>
      <w:bookmarkStart w:id="124" w:name="_Toc73517679"/>
      <w:bookmarkStart w:id="125" w:name="_Toc73521674"/>
      <w:bookmarkStart w:id="126" w:name="_Hlk72439088"/>
      <w:r>
        <w:rPr>
          <w:rFonts w:eastAsia="宋体" w:hint="eastAsia"/>
          <w:kern w:val="2"/>
          <w:sz w:val="21"/>
          <w:lang w:eastAsia="zh-CN"/>
        </w:rPr>
        <w:t>43．合同授予标准</w:t>
      </w:r>
      <w:bookmarkEnd w:id="121"/>
      <w:bookmarkEnd w:id="122"/>
      <w:bookmarkEnd w:id="123"/>
      <w:bookmarkEnd w:id="124"/>
      <w:bookmarkEnd w:id="125"/>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本项目的合同将授予经本招标文件规定评审确定的中标供应商。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27" w:name="_Toc73518158"/>
      <w:bookmarkStart w:id="128" w:name="_Toc73517680"/>
      <w:bookmarkStart w:id="129" w:name="_Toc73521675"/>
      <w:bookmarkStart w:id="130" w:name="_Toc100052409"/>
      <w:bookmarkStart w:id="131" w:name="_Toc73521587"/>
      <w:r>
        <w:rPr>
          <w:rFonts w:eastAsia="宋体" w:hint="eastAsia"/>
          <w:kern w:val="2"/>
          <w:sz w:val="21"/>
          <w:lang w:eastAsia="zh-CN"/>
        </w:rPr>
        <w:t>44．</w:t>
      </w:r>
      <w:bookmarkEnd w:id="127"/>
      <w:bookmarkEnd w:id="128"/>
      <w:bookmarkEnd w:id="129"/>
      <w:bookmarkEnd w:id="130"/>
      <w:bookmarkEnd w:id="131"/>
      <w:r>
        <w:rPr>
          <w:rFonts w:eastAsia="宋体" w:hint="eastAsia"/>
          <w:kern w:val="2"/>
          <w:sz w:val="21"/>
          <w:lang w:eastAsia="zh-CN"/>
        </w:rPr>
        <w:t>接受和拒绝任何或所有投标的权力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2" w:name="_Toc73517682"/>
      <w:bookmarkStart w:id="133" w:name="_Toc73521677"/>
      <w:bookmarkStart w:id="134" w:name="_Toc73518160"/>
      <w:bookmarkStart w:id="135" w:name="_Toc73521589"/>
      <w:bookmarkStart w:id="136" w:name="_Toc100052410"/>
      <w:r>
        <w:rPr>
          <w:rFonts w:eastAsia="宋体" w:hint="eastAsia"/>
          <w:kern w:val="2"/>
          <w:sz w:val="21"/>
          <w:lang w:eastAsia="zh-CN"/>
        </w:rPr>
        <w:t>45．合同的签订</w:t>
      </w:r>
      <w:bookmarkEnd w:id="132"/>
      <w:bookmarkEnd w:id="133"/>
      <w:bookmarkEnd w:id="134"/>
      <w:bookmarkEnd w:id="135"/>
      <w:bookmarkEnd w:id="136"/>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45.1中标人将于中标通知书发出之日起十个工作日内，按照采购文件（招标文件和投标文件等）内容与采购人签订政府采购合同；合同的实质性内容应当符合招标文件的规定；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45.2中标人如不按本通用条款第45</w:t>
      </w:r>
      <w:r>
        <w:rPr>
          <w:rFonts w:eastAsia="宋体"/>
          <w:kern w:val="2"/>
          <w:sz w:val="21"/>
          <w:lang w:eastAsia="zh-CN"/>
        </w:rPr>
        <w:t>.1</w:t>
      </w:r>
      <w:r>
        <w:rPr>
          <w:rFonts w:eastAsia="宋体" w:hint="eastAsia"/>
          <w:kern w:val="2"/>
          <w:sz w:val="21"/>
          <w:lang w:eastAsia="zh-CN"/>
        </w:rPr>
        <w:t>款的规定与采购人签订合同，</w:t>
      </w:r>
      <w:r>
        <w:rPr>
          <w:rFonts w:eastAsia="宋体" w:cs="宋体"/>
          <w:sz w:val="21"/>
          <w:lang w:eastAsia="zh-CN"/>
        </w:rPr>
        <w:t>情节严重的，由</w:t>
      </w:r>
      <w:r>
        <w:rPr>
          <w:rFonts w:eastAsia="宋体" w:cs="宋体" w:hint="eastAsia"/>
          <w:sz w:val="21"/>
          <w:lang w:eastAsia="zh-CN"/>
        </w:rPr>
        <w:t>同级财政</w:t>
      </w:r>
      <w:r>
        <w:rPr>
          <w:rFonts w:eastAsia="宋体" w:cs="宋体"/>
          <w:sz w:val="21"/>
          <w:lang w:eastAsia="zh-CN"/>
        </w:rPr>
        <w:t>部门记入供应商诚信档案，予以通报</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45.3中标人应当按照合同约定履行义务，完成中标项目，不得将中标项目转让（转包）给他人。</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7" w:name="_Toc100052411"/>
      <w:bookmarkStart w:id="138" w:name="_Toc73518161"/>
      <w:bookmarkStart w:id="139" w:name="_Toc73521590"/>
      <w:bookmarkStart w:id="140" w:name="_Toc73517683"/>
      <w:bookmarkStart w:id="141" w:name="_Toc73521678"/>
      <w:r>
        <w:rPr>
          <w:rFonts w:eastAsia="宋体" w:hint="eastAsia"/>
          <w:kern w:val="2"/>
          <w:sz w:val="21"/>
          <w:lang w:eastAsia="zh-CN"/>
        </w:rPr>
        <w:t>46．履约担保</w:t>
      </w:r>
      <w:bookmarkEnd w:id="137"/>
      <w:bookmarkEnd w:id="138"/>
      <w:bookmarkEnd w:id="139"/>
      <w:bookmarkEnd w:id="140"/>
      <w:bookmarkEnd w:id="141"/>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46.1在签订项目合同的同时，中标人应按“对通用条款的补充内容”中规定的金额向采购人提交履约担保；</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47.合同备案</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采购人与中标供应商自中标通知书发出之日起10个工作日内签订政府采购合同，并按财政部门规定提交备案。</w:t>
      </w:r>
      <w:r>
        <w:rPr>
          <w:rFonts w:ascii="黑体" w:eastAsia="黑体" w:hint="eastAsia"/>
          <w:kern w:val="2"/>
          <w:lang w:eastAsia="zh-CN"/>
        </w:rPr>
        <w:t>48.合同变更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合同变更事宜按《深圳市财政局关于优化政府采购合同备案的通知》（深财发保〔2022〕2号）相关规定执行。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49.项目验收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49.1采购人应当按照招标文件和合同规定的标准和方法，及时组织验收。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50.宣传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凡与政府采购活动有关的宣传或广告，若当中提及政府采购，</w:t>
      </w:r>
      <w:r>
        <w:rPr>
          <w:rFonts w:eastAsia="宋体"/>
          <w:kern w:val="2"/>
          <w:sz w:val="21"/>
          <w:lang w:eastAsia="zh-CN"/>
        </w:rPr>
        <w:t>必须事先将具体对外宣传方案报</w:t>
      </w:r>
      <w:r>
        <w:rPr>
          <w:rFonts w:eastAsia="宋体" w:hint="eastAsia"/>
          <w:kern w:val="2"/>
          <w:sz w:val="21"/>
          <w:lang w:eastAsia="zh-CN"/>
        </w:rPr>
        <w:t>同级财政部门</w:t>
      </w:r>
      <w:r>
        <w:rPr>
          <w:rFonts w:eastAsia="宋体"/>
          <w:kern w:val="2"/>
          <w:sz w:val="21"/>
          <w:lang w:eastAsia="zh-CN"/>
        </w:rPr>
        <w:t>和</w:t>
      </w:r>
      <w:r>
        <w:rPr>
          <w:rFonts w:eastAsia="宋体" w:hint="eastAsia"/>
          <w:kern w:val="2"/>
          <w:sz w:val="21"/>
          <w:lang w:eastAsia="zh-CN"/>
        </w:rPr>
        <w:t>采购代理机构</w:t>
      </w:r>
      <w:r>
        <w:rPr>
          <w:rFonts w:eastAsia="宋体"/>
          <w:kern w:val="2"/>
          <w:sz w:val="21"/>
          <w:lang w:eastAsia="zh-CN"/>
        </w:rPr>
        <w:t>，并征得其同意。对外市场宣传包括但不限于以下形式：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c.工作</w:t>
      </w:r>
      <w:r>
        <w:rPr>
          <w:rFonts w:eastAsia="宋体"/>
          <w:kern w:val="2"/>
          <w:sz w:val="21"/>
          <w:lang w:eastAsia="zh-CN"/>
        </w:rPr>
        <w:t>人员向其他消费群体宣传。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51.供应商违法责任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1.1</w:t>
      </w:r>
      <w:r>
        <w:rPr>
          <w:rFonts w:eastAsia="宋体" w:hint="eastAsia"/>
          <w:kern w:val="2"/>
          <w:sz w:val="21"/>
          <w:lang w:eastAsia="zh-CN"/>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（1）在采购活动中应当回避而未回避的；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（2）未按本条例规定签订、履行采购合同，造成严重后果的；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（3）隐瞒真实情况，提供虚假资料的；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（4）以非法手段排斥其他供应商参与竞争的；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（5）与其他采购参加人串通投标的；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（6）恶意投诉的；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（7）向采购项目相关人行贿或者提供其他不当利益的；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（8）阻碍、抗拒主管部门监督检查的；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（9）其他违反本条例规定的行为。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1.2</w:t>
      </w:r>
      <w:r>
        <w:rPr>
          <w:rFonts w:eastAsia="宋体" w:hint="eastAsia"/>
          <w:kern w:val="2"/>
          <w:sz w:val="21"/>
          <w:lang w:eastAsia="zh-CN"/>
        </w:rPr>
        <w:t>根据《深圳市财政局关于调整政府采购投标（响应）保证金管理政策的通知》（深财购〔2021〕51号）的要求，供应商在政府采购活动中出现《深圳经济特区政府采购条例实施细则》第八十条所列情形的，</w:t>
      </w:r>
      <w:bookmarkStart w:id="142" w:name="_Hlk72440769"/>
      <w:r>
        <w:rPr>
          <w:rFonts w:eastAsia="宋体" w:hint="eastAsia"/>
          <w:kern w:val="2"/>
          <w:sz w:val="21"/>
          <w:lang w:eastAsia="zh-CN"/>
        </w:rPr>
        <w:t>采购代理机构或采购人不予退还其交纳的谈判保证金，情节严重的，并由主管部门</w:t>
      </w:r>
      <w:bookmarkEnd w:id="142"/>
      <w:r>
        <w:rPr>
          <w:rFonts w:eastAsia="宋体" w:hint="eastAsia"/>
          <w:kern w:val="2"/>
          <w:sz w:val="21"/>
          <w:lang w:eastAsia="zh-CN"/>
        </w:rPr>
        <w:t>记入供应商诚信档案，予以通报：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）投标截止后，撤销投标的；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2</w:t>
      </w:r>
      <w:r>
        <w:rPr>
          <w:rFonts w:eastAsia="宋体"/>
          <w:kern w:val="2"/>
          <w:sz w:val="21"/>
          <w:lang w:eastAsia="zh-CN"/>
        </w:rPr>
        <w:t>）中标后无正当理由未在规定期限内签订合同的；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4</w:t>
      </w:r>
      <w:r>
        <w:rPr>
          <w:rFonts w:eastAsia="宋体"/>
          <w:kern w:val="2"/>
          <w:sz w:val="21"/>
          <w:lang w:eastAsia="zh-CN"/>
        </w:rPr>
        <w:t>）拒绝履行合同义务的</w:t>
      </w:r>
      <w:r>
        <w:rPr>
          <w:rFonts w:eastAsia="宋体" w:hint="eastAsia"/>
          <w:kern w:val="2"/>
          <w:sz w:val="21"/>
          <w:lang w:eastAsia="zh-CN"/>
        </w:rPr>
        <w:t>。</w:t>
      </w:r>
    </w:p>
    <w:bookmarkEnd w:id="126"/>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43" w:name="_Toc19433"/>
      <w:r>
        <w:rPr>
          <w:rFonts w:ascii="Arial" w:eastAsia="宋体" w:hAnsi="Arial" w:hint="eastAsia"/>
          <w:b/>
          <w:kern w:val="2"/>
          <w:sz w:val="32"/>
          <w:lang w:eastAsia="zh-CN"/>
        </w:rPr>
        <w:t>第十一章  质疑处理</w:t>
      </w:r>
      <w:bookmarkEnd w:id="143"/>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52.质疑提出与答复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52.1提出质疑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参与政府采购活动的供应商认为自己的权益在采购活动中受到损害的，应当自知道或者应当知道其权益受到损害之日起七个工作日内向采购人、采购代理机构以书面形式提出质疑。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52.2</w:t>
      </w:r>
      <w:r>
        <w:rPr>
          <w:rFonts w:eastAsia="宋体"/>
          <w:kern w:val="2"/>
          <w:sz w:val="21"/>
          <w:lang w:eastAsia="zh-CN"/>
        </w:rPr>
        <w:t>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《中华人民共和国政府采购法》、《中华人民共和国政府采购法实施条例》、</w:t>
      </w:r>
      <w:r>
        <w:rPr>
          <w:rFonts w:eastAsia="宋体"/>
          <w:kern w:val="2"/>
          <w:sz w:val="21"/>
          <w:lang w:eastAsia="zh-CN"/>
        </w:rPr>
        <w:t>《</w:t>
      </w:r>
      <w:r>
        <w:rPr>
          <w:rFonts w:eastAsia="宋体" w:hint="eastAsia"/>
          <w:kern w:val="2"/>
          <w:sz w:val="21"/>
          <w:lang w:eastAsia="zh-CN"/>
        </w:rPr>
        <w:t>深圳经济特区政府采购</w:t>
      </w:r>
      <w:r>
        <w:rPr>
          <w:rFonts w:eastAsia="宋体"/>
          <w:kern w:val="2"/>
          <w:sz w:val="21"/>
          <w:lang w:eastAsia="zh-CN"/>
        </w:rPr>
        <w:t>条例</w:t>
      </w:r>
      <w:r>
        <w:rPr>
          <w:rFonts w:eastAsia="宋体" w:hint="eastAsia"/>
          <w:kern w:val="2"/>
          <w:sz w:val="21"/>
          <w:lang w:eastAsia="zh-CN"/>
        </w:rPr>
        <w:t>》、《深圳经济特区政府采购条例实施细则》、《政府采购质疑和投诉办法》（财政部令第94号）和其他有关法律法规规定。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52.3质疑条件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52.3.1提出质疑的供应商应当是参与所质疑项目采购活动的供应商；</w:t>
      </w:r>
      <w:bookmarkStart w:id="144" w:name="_Hlk75374941"/>
      <w:r>
        <w:rPr>
          <w:rFonts w:eastAsia="宋体" w:hint="eastAsia"/>
          <w:kern w:val="2"/>
          <w:sz w:val="21"/>
          <w:lang w:eastAsia="zh-CN"/>
        </w:rPr>
        <w:t>以联合体形式参与的，质疑应当由组成联合体的所有成员共同提出</w:t>
      </w:r>
      <w:bookmarkEnd w:id="144"/>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52.3.3应提交书面质疑函，质疑函应当包括以下内容：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（1）供应商的名称（或者姓名）、地址、邮编、邮箱、联系人及联系电话；</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（2）质疑项目的名称、编号；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（3）具体、明确的质疑对象、质疑事项和质疑请求；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（4）因质疑事项而受损害的权益；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（5）事实依据；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（6）必要的法律依据；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（7）提出质疑的日期。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供应商为自然人的，应当由本人签字；供应商为法人或者其他组织的，应当由法定代表人（负责人），或者其授权代理人签字或者盖章，并加盖公章。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52.4提交</w:t>
      </w:r>
      <w:r>
        <w:rPr>
          <w:rFonts w:eastAsia="宋体"/>
          <w:kern w:val="2"/>
          <w:sz w:val="21"/>
          <w:lang w:eastAsia="zh-CN"/>
        </w:rPr>
        <w:t>材料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52.5收文地点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地址：深圳市千里招标代理有限公司（地址：深圳市龙华区民治街道民强社区梅龙路和民旺路相交处民治商贸广场B2102）。</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52.6收文办理</w:t>
      </w:r>
      <w:r>
        <w:rPr>
          <w:rFonts w:eastAsia="宋体"/>
          <w:kern w:val="2"/>
          <w:sz w:val="21"/>
          <w:lang w:eastAsia="zh-CN"/>
        </w:rPr>
        <w:t>程序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idowControl/>
        <w:wordWrap w:val="0"/>
        <w:autoSpaceDE w:val="0"/>
        <w:autoSpaceDN w:val="0"/>
        <w:spacing w:line="400" w:lineRule="exact"/>
        <w:ind w:right="808" w:firstLine="420" w:firstLineChars="200"/>
        <w:jc w:val="both"/>
        <w:rPr>
          <w:rFonts w:ascii="仿宋" w:eastAsia="仿宋" w:hAnsi="仿宋"/>
          <w:kern w:val="2"/>
          <w:sz w:val="28"/>
          <w:szCs w:val="28"/>
          <w:lang w:eastAsia="zh-CN"/>
        </w:rPr>
      </w:pPr>
      <w:r>
        <w:rPr>
          <w:rFonts w:eastAsia="宋体" w:hint="eastAsia"/>
          <w:kern w:val="2"/>
          <w:sz w:val="21"/>
          <w:lang w:eastAsia="zh-CN"/>
        </w:rPr>
        <w:t>52.6.2供应商提交的质疑材料不符合质疑条件的，视情况处理：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供应商提交的质疑材料不全或者未按要求签字或者盖章的，采购代理机构应当一次性告知供应商需补正的内容和补正期限。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供应商提交的质疑存在下列情形之一的，不予受理：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（1）质疑主体不满足要求的；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（2）供应商自身权益未受到损害的；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（3）供应商未在法定质疑期限内提出质疑的；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（4）质疑材料不全或者未按要求签字或者盖章的情况下，要求补正后，逾期未补正或者补正后仍不符合规定的；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（5）其他不符合受理条件情形的。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质疑事项不予受理的，采购代理机构应当向供应商出具不符合质疑条件告知书。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52.7质疑答复时限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自收文之日起七个工作日内。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52.8投诉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对质疑答复不满意或者未在规定时间内答复的，提出质疑的供应商可以在答复期满后15个工作日内向本项目预算主管单位投诉。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53.质疑后续处理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53.1供应商质疑不成立，或者成立但未对中标、成交结果构成影响的，继续开展采购活动。</w:t>
      </w:r>
    </w:p>
    <w:p>
      <w:pPr>
        <w:widowControl/>
        <w:wordWrap w:val="0"/>
        <w:autoSpaceDE w:val="0"/>
        <w:autoSpaceDN w:val="0"/>
        <w:spacing w:line="400" w:lineRule="exact"/>
        <w:ind w:right="808" w:firstLine="420" w:firstLineChars="200"/>
        <w:jc w:val="both"/>
        <w:rPr>
          <w:rFonts w:ascii="微软雅黑" w:eastAsia="微软雅黑" w:hAnsi="微软雅黑" w:cs="微软雅黑"/>
          <w:color w:val="333333"/>
          <w:lang w:val="en" w:eastAsia="en"/>
        </w:rPr>
        <w:sectPr>
          <w:headerReference w:type="default" r:id="rId10"/>
          <w:footerReference w:type="default" r:id="rId11"/>
          <w:pgMar w:top="1440" w:right="1800" w:bottom="1440" w:left="1800" w:header="708" w:footer="708" w:gutter="0"/>
          <w:cols w:num="1" w:space="708"/>
        </w:sectPr>
      </w:pPr>
      <w:r>
        <w:rPr>
          <w:rFonts w:eastAsia="宋体" w:hint="eastAsia"/>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bookmarkStart w:id="145" w:name="_GoBack"/>
      <w:bookmarkEnd w:id="145"/>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楼层宿管员值班房家具采购-A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龙华区教育局自行采购投标及履约承诺函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分项报价清单</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股东构成审查表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设计方案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LHAZXDL-2024-00261-001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楼层宿管员值班房家具采购-A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投标人不存在《深圳市财政局政府采购供应商信用信息管理办法》（深财规〔2023〕3号）列明的严重违法失信行为（由供应商在《龙华区教育局自行采购投标及履约承诺函》中作出声明）。：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投标人不存在《深圳市财政局政府采购供应商信用信息管理办法》（深财规〔2023〕3号）列明的严重违法失信行为（由供应商在《龙华区教育局自行采购投标及履约承诺函》中作出声明）。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本项目属于专门面向中小微企业采购项目，非中小微企业不得投标。（需提供符合要求的《中小微企业声明函》格式详见招标文件（按本项目规定的所属行业填写），其中企业类型为中型、小型或微型；残疾人福利单位、监狱企业视同小型、微型企业，提供残疾人福利性单位声明函或监狱企业声明函及监狱企业证明文件）。：</w:t>
            </w:r>
            <w:r>
              <w:rPr>
                <w:rFonts w:ascii="FangSong" w:eastAsia="FangSong" w:hAnsi="FangSong" w:cs="FangSong"/>
                <w:color w:val="666666"/>
                <w:lang w:val="en" w:eastAsia="en"/>
              </w:rPr>
              <w:br/>
            </w:r>
            <w:r>
              <w:rPr>
                <w:rFonts w:ascii="FangSong" w:eastAsia="FangSong" w:hAnsi="FangSong" w:cs="FangSong"/>
                <w:color w:val="666666"/>
                <w:lang w:val="en" w:eastAsia="en"/>
              </w:rPr>
              <w:t>本项目属于专门面向中小微企业采购项目，非中小微企业不得投标。（需提供符合要求的《中小微企业声明函》格式详见招标文件（按本项目规定的所属行业填写），其中企业类型为中型、小型或微型；残疾人福利单位、监狱企业视同小型、微型企业，提供残疾人福利性单位声明函或监狱企业声明函及监狱企业证明文件）。</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本项目不接受联合体投标，不接受进口产品参与投标，不允许转包、分包。（由供应商在《龙华区教育局自行采购投标及履约承诺函》中作出承诺）。：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本项目不接受联合体投标，不接受进口产品参与投标，不允许转包、分包。（由供应商在《龙华区教育局自行采购投标及履约承诺函》中作出承诺）。</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技术评分部分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评审小组根据《技术规格偏离表》（以下简称“偏离表”）响应情况进行打分，全部满足的得100分，一般参数负偏离一项扣2分，重点技术参数▲项负偏离一项扣14分。扣完为止。 证明文件： 偏离表应如实对应填写所投产品的具体参数。如要求提供“厂家网站截图说明书厂家出具的参数文件检验报告”等证明资料的，需按要求提供相关证明资料；提供的证明资料与所填写内容不一致的，以证明资料为准，原件备查。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投标人或所投核心产品制造商提供以下生产设备的配置证明资料，设备包含： ①计算机数控加工中心及全自动激光直线封边机；②转塔冲床及数控五面钻；③真空搬运机及曲线封边机；④高速电脑裁板锯及中央除尘设备；⑤家具综合力学测试仪；⑥甲醛测试机VOC分析仪；⑦气动抽屉导轨耐久性测试仪。 具有上述全部（7个项目）设备的得100分，具有上述任意6个项目设备的得50分，具有上述任意5个项目设备的得20分，其他情况不得分。 评分依据： 1.设备的实物照片（注：自有和租赁均需提供）； 2.自有设备要求提供设备购买合同关键页及购买发票扫描件（发票抬头名称必须是投标人或所投核心产品制造商名称）；如设备为租赁设备，需同时提供设备租赁合同关键页及租金支付发票扫描件（合同和发票抬头名称是投标人或所投核心产品制造商名称）。未按要求提供或扫描件不清晰导致无法识别的不得分，原件备查； 3.提供的设备名称与招标文件要求不一致的，但为同种设备的，需提供承诺为同种设备的书面说明（格式自拟），若名称不一致又未提供说明的，不得分。同种设备不可重复计分。 注：设备发票或合同的公司名称须与投标人或所投核心产品制造商的公司名称一致，如前后投标人或所投核心产品制造商名称有变更的，提供市场监督管理局出具的“公司准予变更登记通知书”。</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评审委员会根据投标单位的服务方案进行评审，包括但不限于以下方案： （1）技术团队构架、技术人员安排 （2）服务方案 （3）售后服务方案 评分依据： 1、提供以上3点内容得30分，缺项不得分。 2、在此基础上，专家根据内容的合理性进行评分 （1）方案符合实际、完整、规范、思路清晰，内容合理性强，评价为优加70分； （2）方案较符合实际、较完整规范、思路较清晰，内容合理性较强，评价为良加40分； （3）方案较普通、完整性规范性一般，思路不够清晰，内容合理性一般，评价为中加20分； （4）方案不完整、不规范，思路不清晰，内容合理性较差或未提供，评价为差不加分。 未提供不得分。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设计方案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整体方案符合各项功能性配置及参数符合招标文件要求，空间设计布置合理，符合采购单位需求，针对本项目提供项目设计图方案，方案中应包含： 1.单人间宿舍：提供平面布局图（1张）、俯视效果图（1张）及不同角度效果图（2张），需体现产品序号1单人床、产品序号2床垫、产品序号3书桌、产品序号4单椅、产品序号5文件柜。 评分依据： 1、提供齐全所要求空间图纸的平面布局图、俯视效果图及不同角度效果图的得20分； 2、在此基础上，针对设计图的合理性和可行性，将根据设计图的清晰度、周密性、合理性、完整性、所采用方法和技术的适用性、所采用技术的先进性以及是否符合相关规范要求进行评分。 （1）设计的图纸内容完整，设计合理、实用性强，图片清晰、整体效果完全符合实际需求的评价为优，得80分。 （2）设计的图纸内容完整，设计较为合理、实用性一般，图片清晰、整体效果基本符合实际需求的评价为良，得20分。 （3）设计的图纸内容基本完整，设计合理性较差、实用性较差，图片清晰、整体效果不符合实际需求的评价为中，得5分。 （4）如果未提供设计图或设计图不符合要求未能体现上述评分内容的，则对应项不得分。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商务评分部分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投标人应如实填写《商务条款偏离情况》，评审小组根据响应情况进行打分，全部满足要求的得100分，每负偏离一项扣20分。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2021年1月1日至本项目投标截止日（以合同签订日期为准），投标人具有家具类项目业绩的，每提供1个得100分，最高得100分。 证明文件： 要求提供中标通知书、合同关键信息（包括但不限于合同标的、签订时间、双方签章页）及验收报告扫描件，通过合同关键信息无法判断是否得分的，还须同时提供能证明得分的其它证明资料，如合同甲方出具的证明文件或项目报告,原件备查。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2021年1月1日至本项目投标截止日前，投标人具有上述同类项目经验中经评审有效得分的业绩，并经用户单位考核评价为优或满意或其他最高等级评价的，每提供1项得100分，最高得100分。 证明文件： 要求提供以上项目合同关键页（包括但不限于合同标的、签订时间、双方签章页）及盖有用户单位公章或加盖职能部门或下属机构业务章的履约评价扫描件，原件备查。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评标价计算公式：评标价=投标函中的投标报价（有修正投标报价的取修正后的投标报价）</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F31A29CA"/>
    <w:multiLevelType w:val="singleLevel"/>
    <w:tmpl w:val="F31A29CA"/>
    <w:lvl w:ilvl="0">
      <w:start w:val="2"/>
      <w:numFmt w:val="chineseCounting"/>
      <w:suff w:val="nothing"/>
      <w:lvlText w:val="（%1）"/>
      <w:lvlJc w:val="left"/>
      <w:rPr>
        <w:rFonts w:hint="eastAsia"/>
      </w:rPr>
    </w:lvl>
  </w:abstractNum>
  <w:abstractNum w:abstractNumId="3">
    <w:nsid w:val="2D258D39"/>
    <w:multiLevelType w:val="singleLevel"/>
    <w:tmpl w:val="2D258D39"/>
    <w:lvl w:ilvl="0">
      <w:start w:val="2"/>
      <w:numFmt w:val="chineseCounting"/>
      <w:suff w:val="nothing"/>
      <w:lvlText w:val="%1、"/>
      <w:lvlJc w:val="left"/>
      <w:rPr>
        <w:rFonts w:hint="eastAsia"/>
      </w:rPr>
    </w:lvl>
  </w:abstractNum>
  <w:abstractNum w:abstractNumId="4">
    <w:nsid w:val="453942D1"/>
    <w:multiLevelType w:val="singleLevel"/>
    <w:tmpl w:val="453942D1"/>
    <w:lvl w:ilvl="0">
      <w:start w:val="1"/>
      <w:numFmt w:val="decimal"/>
      <w:suff w:val="nothing"/>
      <w:lvlText w:val="%1、"/>
      <w:lvlJc w:val="left"/>
    </w:lvl>
  </w:abstractNum>
  <w:abstractNum w:abstractNumId="5">
    <w:nsid w:val="721CBBE0"/>
    <w:multiLevelType w:val="singleLevel"/>
    <w:tmpl w:val="721CBBE0"/>
    <w:lvl w:ilvl="0">
      <w:start w:val="1"/>
      <w:numFmt w:val="decimal"/>
      <w:suff w:val="nothing"/>
      <w:lvlText w:val="%1、"/>
      <w:lvlJc w:val="left"/>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DefaultParagraphFont"/>
    <w:link w:val="Header"/>
    <w:uiPriority w:val="99"/>
    <w:qFormat/>
    <w:rPr>
      <w:rFonts w:eastAsia="宋体"/>
      <w:sz w:val="18"/>
      <w:szCs w:val="18"/>
    </w:rPr>
  </w:style>
  <w:style w:type="paragraph" w:styleId="Footer">
    <w:name w:val="footer"/>
    <w:basedOn w:val="Normal"/>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DefaultParagraphFont"/>
    <w:link w:val="Footer"/>
    <w:uiPriority w:val="99"/>
    <w:qFormat/>
    <w:rPr>
      <w:rFonts w:eastAsia="宋体"/>
      <w:sz w:val="18"/>
      <w:szCs w:val="18"/>
    </w:rPr>
  </w:style>
  <w:style w:type="paragraph" w:styleId="BodyText">
    <w:name w:val="Body Text"/>
    <w:basedOn w:val="Normal"/>
    <w:qFormat/>
    <w:pPr>
      <w:spacing w:line="360" w:lineRule="auto"/>
    </w:pPr>
    <w:rPr>
      <w:b/>
      <w:bCs/>
    </w:rPr>
  </w:style>
  <w:style w:type="paragraph" w:styleId="Quote">
    <w:name w:val="Quote"/>
    <w:next w:val="Normal"/>
    <w:uiPriority w:val="29"/>
    <w:qFormat/>
    <w:pPr>
      <w:widowControl w:val="0"/>
      <w:jc w:val="both"/>
    </w:pPr>
    <w:rPr>
      <w:rFonts w:ascii="Calibri" w:eastAsia="宋体" w:hAnsi="Calibri" w:cs="Calibri"/>
      <w:i/>
      <w:iCs/>
      <w:color w:val="000000"/>
      <w:kern w:val="2"/>
      <w:sz w:val="22"/>
      <w:szCs w:val="22"/>
      <w:lang w:eastAsia="zh-CN"/>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amr.sz.gov.cn/outer/entSelect/gs.html" TargetMode="Externa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yperlink" Target="https://www.gsxt.gov.cn/corp-query-homepage.html" TargetMode="External"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