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9"/>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LHAZXDL-2024-00261</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楼层宿管员值班房家具采购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spacing w:line="360" w:lineRule="auto"/>
        <w:jc w:val="both"/>
        <w:rPr>
          <w:rFonts w:ascii="Calibri" w:eastAsia="宋体" w:hAnsi="Calibri" w:hint="eastAsia"/>
          <w:b/>
          <w:bCs/>
          <w:kern w:val="2"/>
          <w:lang w:eastAsia="zh-CN"/>
        </w:rPr>
      </w:pPr>
    </w:p>
    <w:p>
      <w:pPr>
        <w:widowControl w:val="0"/>
        <w:spacing w:line="360" w:lineRule="auto"/>
        <w:jc w:val="both"/>
        <w:rPr>
          <w:rFonts w:ascii="Calibri" w:eastAsia="宋体" w:hAnsi="Calibri" w:hint="eastAsia"/>
          <w:b/>
          <w:bCs/>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8599"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8599"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08"/>
        <w:gridCol w:w="738"/>
        <w:gridCol w:w="14"/>
        <w:gridCol w:w="1374"/>
        <w:gridCol w:w="1320"/>
        <w:gridCol w:w="500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392"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309" w:type="dxa"/>
            <w:gridSpan w:val="4"/>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803"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Layout w:type="fixed"/>
          <w:tblCellMar>
            <w:top w:w="0" w:type="dxa"/>
            <w:left w:w="108" w:type="dxa"/>
            <w:bottom w:w="0" w:type="dxa"/>
            <w:right w:w="108" w:type="dxa"/>
          </w:tblCellMar>
        </w:tblPrEx>
        <w:trPr>
          <w:trHeight w:val="326"/>
          <w:jc w:val="center"/>
        </w:trPr>
        <w:tc>
          <w:tcPr>
            <w:tcW w:w="392"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309" w:type="dxa"/>
            <w:gridSpan w:val="4"/>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803"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jc w:val="center"/>
          <w:tblLayout w:type="fixed"/>
          <w:tblCellMar>
            <w:top w:w="0" w:type="dxa"/>
            <w:left w:w="108" w:type="dxa"/>
            <w:bottom w:w="0" w:type="dxa"/>
            <w:right w:w="108" w:type="dxa"/>
          </w:tblCellMar>
        </w:tblPrEx>
        <w:trPr>
          <w:trHeight w:val="366"/>
          <w:jc w:val="center"/>
        </w:trPr>
        <w:tc>
          <w:tcPr>
            <w:tcW w:w="392"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309" w:type="dxa"/>
            <w:gridSpan w:val="4"/>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技术评分部分</w:t>
            </w:r>
          </w:p>
        </w:tc>
        <w:tc>
          <w:tcPr>
            <w:tcW w:w="4803" w:type="dxa"/>
            <w:noWrap w:val="0"/>
            <w:vAlign w:val="center"/>
          </w:tcPr>
          <w:p>
            <w:pPr>
              <w:spacing w:line="360" w:lineRule="auto"/>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61</w:t>
            </w:r>
          </w:p>
        </w:tc>
      </w:tr>
      <w:tr>
        <w:tblPrEx>
          <w:tblW w:w="5000" w:type="pct"/>
          <w:jc w:val="center"/>
          <w:tblLayout w:type="fixed"/>
          <w:tblCellMar>
            <w:top w:w="0" w:type="dxa"/>
            <w:left w:w="108" w:type="dxa"/>
            <w:bottom w:w="0" w:type="dxa"/>
            <w:right w:w="108" w:type="dxa"/>
          </w:tblCellMar>
        </w:tblPrEx>
        <w:trPr>
          <w:trHeight w:val="339"/>
          <w:jc w:val="center"/>
        </w:trPr>
        <w:tc>
          <w:tcPr>
            <w:tcW w:w="392" w:type="dxa"/>
            <w:vMerge w:val="restart"/>
            <w:noWrap w:val="0"/>
            <w:vAlign w:val="center"/>
          </w:tcPr>
          <w:p>
            <w:pPr>
              <w:spacing w:line="360" w:lineRule="auto"/>
              <w:jc w:val="center"/>
              <w:rPr>
                <w:rFonts w:ascii="宋体" w:eastAsia="宋体" w:hAnsi="宋体" w:cs="宋体" w:hint="eastAsia"/>
                <w:sz w:val="21"/>
                <w:szCs w:val="21"/>
              </w:rPr>
            </w:pPr>
          </w:p>
        </w:tc>
        <w:tc>
          <w:tcPr>
            <w:tcW w:w="709"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32" w:type="dxa"/>
            <w:gridSpan w:val="2"/>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268"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03"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709"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w:t>
            </w:r>
          </w:p>
        </w:tc>
        <w:tc>
          <w:tcPr>
            <w:tcW w:w="1332"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268"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36</w:t>
            </w:r>
          </w:p>
        </w:tc>
        <w:tc>
          <w:tcPr>
            <w:tcW w:w="4803" w:type="dxa"/>
            <w:noWrap w:val="0"/>
            <w:vAlign w:val="center"/>
          </w:tcPr>
          <w:p>
            <w:pPr>
              <w:widowControl w:val="0"/>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考察内容：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评审小组根据《技术规格偏离表》（以下简称“偏离表”）响应情况进行打分，全部满足的得100分，一般参数负偏离一项扣</w:t>
            </w:r>
            <w:r>
              <w:rPr>
                <w:rFonts w:ascii="宋体" w:eastAsia="宋体" w:hAnsi="宋体" w:cs="宋体" w:hint="eastAsia"/>
                <w:color w:val="FF0000"/>
                <w:kern w:val="2"/>
                <w:sz w:val="21"/>
                <w:szCs w:val="21"/>
                <w:lang w:eastAsia="zh-CN"/>
              </w:rPr>
              <w:t>2</w:t>
            </w:r>
            <w:r>
              <w:rPr>
                <w:rFonts w:ascii="宋体" w:eastAsia="宋体" w:hAnsi="宋体" w:cs="宋体" w:hint="eastAsia"/>
                <w:kern w:val="2"/>
                <w:sz w:val="21"/>
                <w:szCs w:val="21"/>
                <w:lang w:eastAsia="zh-CN"/>
              </w:rPr>
              <w:t>分，重点技术参数▲项负偏离一项扣</w:t>
            </w:r>
            <w:r>
              <w:rPr>
                <w:rFonts w:ascii="宋体" w:eastAsia="宋体" w:hAnsi="宋体" w:cs="宋体" w:hint="eastAsia"/>
                <w:kern w:val="2"/>
                <w:sz w:val="21"/>
                <w:szCs w:val="21"/>
                <w:lang w:eastAsia="zh-CN"/>
              </w:rPr>
              <w:t>14</w:t>
            </w:r>
            <w:r>
              <w:rPr>
                <w:rFonts w:ascii="宋体" w:eastAsia="宋体" w:hAnsi="宋体" w:cs="宋体" w:hint="eastAsia"/>
                <w:kern w:val="2"/>
                <w:sz w:val="21"/>
                <w:szCs w:val="21"/>
                <w:lang w:eastAsia="zh-CN"/>
              </w:rPr>
              <w:t>分。扣完为止。</w:t>
            </w:r>
          </w:p>
          <w:p>
            <w:pPr>
              <w:keepNext w:val="0"/>
              <w:keepLines w:val="0"/>
              <w:pageBreakBefore w:val="0"/>
              <w:widowControl w:val="0"/>
              <w:kinsoku/>
              <w:wordWrap/>
              <w:overflowPunct/>
              <w:topLinePunct w:val="0"/>
              <w:autoSpaceDE/>
              <w:autoSpaceDN/>
              <w:bidi w:val="0"/>
              <w:adjustRightInd/>
              <w:spacing w:line="360" w:lineRule="auto"/>
              <w:ind w:firstLine="0" w:firstLineChars="0"/>
              <w:jc w:val="both"/>
              <w:textAlignment w:val="auto"/>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证明文件：</w:t>
            </w:r>
          </w:p>
          <w:p>
            <w:pPr>
              <w:spacing w:line="360" w:lineRule="auto"/>
              <w:jc w:val="both"/>
              <w:rPr>
                <w:rFonts w:ascii="宋体" w:eastAsia="宋体" w:hAnsi="宋体" w:cs="宋体" w:hint="eastAsia"/>
                <w:sz w:val="21"/>
                <w:szCs w:val="21"/>
              </w:rPr>
            </w:pPr>
            <w:r>
              <w:rPr>
                <w:rFonts w:ascii="宋体" w:eastAsia="宋体" w:hAnsi="宋体" w:cs="宋体" w:hint="eastAsia"/>
                <w:kern w:val="2"/>
                <w:sz w:val="21"/>
                <w:szCs w:val="21"/>
                <w:lang w:eastAsia="zh-CN"/>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未提供或未按要求提供或提供的不清晰导致专家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709"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1332"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lang w:eastAsia="zh-CN"/>
              </w:rPr>
              <w:t>技术保障措施</w:t>
            </w:r>
          </w:p>
        </w:tc>
        <w:tc>
          <w:tcPr>
            <w:tcW w:w="1268"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4803" w:type="dxa"/>
            <w:noWrap w:val="0"/>
            <w:vAlign w:val="center"/>
          </w:tcPr>
          <w:p>
            <w:pPr>
              <w:widowControl w:val="0"/>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考察内容：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投标人或所投核心产品制造商提供以下生产设备的配置证明资料，设备包含：</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①计算机数控加工中心及全自动激光直线封边机；②转塔冲床及数控五面钻；③真空搬运机及曲线封边机；④高速电脑裁板锯及中央除尘设备；⑤家具综合力学测试仪；⑥甲醛测试机VOC分析仪；⑦气动抽屉导轨耐久性测试仪。</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具有上述全部（7个项目）设备的得100分，具有上述任意6个项目设备的得50分，具有上述任意5个项目设备的得20分，其他情况不得分。</w:t>
            </w:r>
          </w:p>
          <w:p>
            <w:pPr>
              <w:widowControl w:val="0"/>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评分依据：</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1.设备的实物照片（注：自有和租赁均需提供）；</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自有设备要求提供设备购买合同关键页及购买发票扫描件（发票抬头名称必须是投标人或所投核心产品制造商名称）；如设备为租赁设备，需同时提供设备租赁合同关键页及租金支付发票扫描件（合同和发票抬头名称是投标人或所投核心产品制造商名称）。未按要求提供或扫描件不清晰导致无法识别的不得分，原件备查；</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3.提供的设备名称与招标文件要求不一致的，但为同种设备的，需提供承诺为同种设备的书面说明（格式自拟），若名称不一致又未提供说明的，不得分。同种设备不可重复计分。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注：设备发票或合同的公司名称须与投标人或所投核心产品制造商的公司名称一致，如前后投标人或所投核心产品制造商名称有变更的，提供市场监督管理局出具的“公司准予变更登记通知书”。</w:t>
            </w:r>
          </w:p>
        </w:tc>
      </w:tr>
      <w:tr>
        <w:tblPrEx>
          <w:tblW w:w="5000" w:type="pct"/>
          <w:jc w:val="center"/>
          <w:tblLayout w:type="fixed"/>
          <w:tblCellMar>
            <w:top w:w="0" w:type="dxa"/>
            <w:left w:w="108" w:type="dxa"/>
            <w:bottom w:w="0" w:type="dxa"/>
            <w:right w:w="108" w:type="dxa"/>
          </w:tblCellMar>
        </w:tblPrEx>
        <w:trPr>
          <w:trHeight w:val="1377"/>
          <w:jc w:val="center"/>
        </w:trPr>
        <w:tc>
          <w:tcPr>
            <w:tcW w:w="392" w:type="dxa"/>
            <w:vMerge/>
            <w:noWrap w:val="0"/>
            <w:vAlign w:val="center"/>
          </w:tcPr>
          <w:p>
            <w:pPr>
              <w:spacing w:line="360" w:lineRule="auto"/>
              <w:jc w:val="center"/>
              <w:rPr>
                <w:rFonts w:ascii="宋体" w:eastAsia="宋体" w:hAnsi="宋体" w:cs="宋体" w:hint="eastAsia"/>
                <w:sz w:val="21"/>
                <w:szCs w:val="21"/>
              </w:rPr>
            </w:pPr>
          </w:p>
        </w:tc>
        <w:tc>
          <w:tcPr>
            <w:tcW w:w="709"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332" w:type="dxa"/>
            <w:gridSpan w:val="2"/>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服务方案</w:t>
            </w:r>
          </w:p>
        </w:tc>
        <w:tc>
          <w:tcPr>
            <w:tcW w:w="1268"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c>
          <w:tcPr>
            <w:tcW w:w="4803" w:type="dxa"/>
            <w:noWrap w:val="0"/>
            <w:vAlign w:val="center"/>
          </w:tcPr>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考察内容：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评审委员会根据投标单位的服务方案进行评审，包括但不限于以下方案：</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（1）技术团队构架、技术人员安排</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（2）服务方案</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（3）售后服务方案</w:t>
            </w:r>
          </w:p>
          <w:p>
            <w:pPr>
              <w:widowControl w:val="0"/>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评分依据：</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提供以上3点内容得30分，缺项不得分。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在此基础上，专家根据内容的合理性进行评分: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（1）方案符合实际、完整、规范、思路清晰，内容合理性强，评价为优加70分；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（2）方案较符合实际、较完整规范、思路较清晰，内容合理性较强，评价为良加40分；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（3）方案较普通、完整性规范性一般，思路不够清晰，内容合理性一般，评价为中加20分；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（4）方案不完整、不规范，思路不清晰，内容合理性较差或未提供，评价为差不加分。</w:t>
            </w:r>
          </w:p>
          <w:p>
            <w:pPr>
              <w:widowControl w:val="0"/>
              <w:spacing w:line="360" w:lineRule="auto"/>
              <w:jc w:val="both"/>
              <w:rPr>
                <w:rFonts w:ascii="宋体" w:eastAsia="宋体" w:hAnsi="宋体" w:cs="宋体" w:hint="eastAsia"/>
                <w:sz w:val="21"/>
                <w:szCs w:val="21"/>
              </w:rPr>
            </w:pPr>
            <w:r>
              <w:rPr>
                <w:rFonts w:ascii="宋体" w:eastAsia="宋体" w:hAnsi="宋体" w:cs="宋体" w:hint="eastAsia"/>
                <w:kern w:val="2"/>
                <w:sz w:val="21"/>
                <w:szCs w:val="21"/>
                <w:lang w:eastAsia="zh-CN"/>
              </w:rPr>
              <w:t>未提供不得分。</w:t>
            </w:r>
          </w:p>
        </w:tc>
      </w:tr>
      <w:tr>
        <w:tblPrEx>
          <w:tblW w:w="5000" w:type="pct"/>
          <w:jc w:val="center"/>
          <w:tblLayout w:type="fixed"/>
          <w:tblCellMar>
            <w:top w:w="0" w:type="dxa"/>
            <w:left w:w="108" w:type="dxa"/>
            <w:bottom w:w="0" w:type="dxa"/>
            <w:right w:w="108" w:type="dxa"/>
          </w:tblCellMar>
        </w:tblPrEx>
        <w:trPr>
          <w:trHeight w:val="247"/>
          <w:jc w:val="center"/>
        </w:trPr>
        <w:tc>
          <w:tcPr>
            <w:tcW w:w="392" w:type="dxa"/>
            <w:noWrap w:val="0"/>
            <w:vAlign w:val="center"/>
          </w:tcPr>
          <w:p>
            <w:pPr>
              <w:spacing w:line="360" w:lineRule="auto"/>
              <w:jc w:val="center"/>
              <w:rPr>
                <w:rFonts w:ascii="宋体" w:eastAsia="宋体" w:hAnsi="宋体" w:cs="宋体" w:hint="eastAsia"/>
                <w:sz w:val="21"/>
                <w:szCs w:val="21"/>
              </w:rPr>
            </w:pPr>
          </w:p>
        </w:tc>
        <w:tc>
          <w:tcPr>
            <w:tcW w:w="709"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332" w:type="dxa"/>
            <w:gridSpan w:val="2"/>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rPr>
              <w:t>设计</w:t>
            </w:r>
            <w:r>
              <w:rPr>
                <w:rFonts w:ascii="宋体" w:eastAsia="宋体" w:hAnsi="宋体" w:cs="宋体" w:hint="eastAsia"/>
                <w:sz w:val="21"/>
                <w:szCs w:val="21"/>
                <w:lang w:eastAsia="zh-CN"/>
              </w:rPr>
              <w:t>方案</w:t>
            </w:r>
          </w:p>
        </w:tc>
        <w:tc>
          <w:tcPr>
            <w:tcW w:w="1268" w:type="dxa"/>
            <w:noWrap w:val="0"/>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w:t>
            </w:r>
          </w:p>
        </w:tc>
        <w:tc>
          <w:tcPr>
            <w:tcW w:w="4803" w:type="dxa"/>
            <w:noWrap w:val="0"/>
            <w:vAlign w:val="center"/>
          </w:tcPr>
          <w:p>
            <w:pPr>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考察内容：</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整体方案符合各项功能性配置及参数符合招标文件要求，空间设计布置合理，符合采购单位需求，针对本项目提供项目设计图方案，方案中应包含：</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1.单人间宿舍：提供平面布局图（1张）、俯视效果图（1张）及不同角度效果图（2张），需体现产品序号1单人床、产品序号2床垫、产品序号3书桌、产品序号4单椅、产品序号5文件柜。</w:t>
            </w:r>
          </w:p>
          <w:p>
            <w:pPr>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评分依据：</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提供齐全所要求空间图纸的平面布局图、俯视效果图及不同角度效果图的得</w:t>
            </w: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0分；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在此基础上，针对设计图的合理性和可行性，将根据设计图的清晰度、周密性、合理性、完整性、所采用方法和技术的适用性、所采用技术的先进性以及是否符合相关规范要求进行评分。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（1）设计的图纸内容完整，设计合理、实用性强，图片清晰、整体效果完全符合实际需求的评价为优，</w:t>
            </w:r>
            <w:r>
              <w:rPr>
                <w:rFonts w:ascii="宋体" w:eastAsia="宋体" w:hAnsi="宋体" w:cs="宋体" w:hint="eastAsia"/>
                <w:kern w:val="2"/>
                <w:sz w:val="21"/>
                <w:szCs w:val="21"/>
                <w:lang w:eastAsia="zh-CN"/>
              </w:rPr>
              <w:t>得</w:t>
            </w:r>
            <w:r>
              <w:rPr>
                <w:rFonts w:ascii="宋体" w:eastAsia="宋体" w:hAnsi="宋体" w:cs="宋体" w:hint="eastAsia"/>
                <w:kern w:val="2"/>
                <w:sz w:val="21"/>
                <w:szCs w:val="21"/>
                <w:lang w:eastAsia="zh-CN"/>
              </w:rPr>
              <w:t>8</w:t>
            </w:r>
            <w:r>
              <w:rPr>
                <w:rFonts w:ascii="宋体" w:eastAsia="宋体" w:hAnsi="宋体" w:cs="宋体" w:hint="eastAsia"/>
                <w:kern w:val="2"/>
                <w:sz w:val="21"/>
                <w:szCs w:val="21"/>
                <w:lang w:eastAsia="zh-CN"/>
              </w:rPr>
              <w:t>0分。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（2）设计的图纸内容完整，设计较为合理、实用性一般，图片清晰、整体效果基本符合实际需求的评价为良，得20分</w:t>
            </w:r>
            <w:r>
              <w:rPr>
                <w:rFonts w:ascii="宋体" w:eastAsia="宋体" w:hAnsi="宋体" w:cs="宋体" w:hint="eastAsia"/>
                <w:kern w:val="2"/>
                <w:sz w:val="21"/>
                <w:szCs w:val="21"/>
                <w:lang w:eastAsia="zh-CN"/>
              </w:rPr>
              <w:t>。</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设计的图纸</w:t>
            </w:r>
            <w:r>
              <w:rPr>
                <w:rFonts w:ascii="宋体" w:eastAsia="宋体" w:hAnsi="宋体" w:cs="宋体" w:hint="eastAsia"/>
                <w:kern w:val="2"/>
                <w:sz w:val="21"/>
                <w:szCs w:val="21"/>
                <w:lang w:eastAsia="zh-CN"/>
              </w:rPr>
              <w:t>内容基本完整，设计合理性较差、实用性较差，图片清晰、整体效果不符合实际需求的评价为中，得</w:t>
            </w:r>
            <w:r>
              <w:rPr>
                <w:rFonts w:ascii="宋体" w:eastAsia="宋体" w:hAnsi="宋体" w:cs="宋体" w:hint="eastAsia"/>
                <w:kern w:val="2"/>
                <w:sz w:val="21"/>
                <w:szCs w:val="21"/>
                <w:lang w:eastAsia="zh-CN"/>
              </w:rPr>
              <w:t>5分。</w:t>
            </w:r>
          </w:p>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）如果未提供设计图或设计图不符合要求未能体现上述评分内容的，则对应项不得分。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309" w:type="dxa"/>
            <w:gridSpan w:val="4"/>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商务评分部分</w:t>
            </w:r>
          </w:p>
        </w:tc>
        <w:tc>
          <w:tcPr>
            <w:tcW w:w="4803" w:type="dxa"/>
            <w:noWrap w:val="0"/>
            <w:vAlign w:val="center"/>
          </w:tcPr>
          <w:p>
            <w:pPr>
              <w:spacing w:line="360" w:lineRule="auto"/>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9</w:t>
            </w:r>
          </w:p>
        </w:tc>
      </w:tr>
      <w:tr>
        <w:tblPrEx>
          <w:tblW w:w="5000" w:type="pct"/>
          <w:jc w:val="center"/>
          <w:tblLayout w:type="fixed"/>
          <w:tblCellMar>
            <w:top w:w="0" w:type="dxa"/>
            <w:left w:w="108" w:type="dxa"/>
            <w:bottom w:w="0" w:type="dxa"/>
            <w:right w:w="108" w:type="dxa"/>
          </w:tblCellMar>
        </w:tblPrEx>
        <w:trPr>
          <w:trHeight w:val="367"/>
          <w:jc w:val="center"/>
        </w:trPr>
        <w:tc>
          <w:tcPr>
            <w:tcW w:w="392" w:type="dxa"/>
            <w:vMerge w:val="restart"/>
            <w:noWrap w:val="0"/>
            <w:vAlign w:val="center"/>
          </w:tcPr>
          <w:p>
            <w:pPr>
              <w:keepNext/>
              <w:keepLines/>
              <w:spacing w:before="340" w:after="330" w:line="360" w:lineRule="auto"/>
              <w:jc w:val="center"/>
              <w:outlineLvl w:val="0"/>
              <w:rPr>
                <w:rFonts w:ascii="宋体" w:eastAsia="宋体" w:hAnsi="宋体" w:cs="宋体" w:hint="eastAsia"/>
                <w:sz w:val="21"/>
                <w:szCs w:val="21"/>
              </w:rPr>
            </w:pPr>
          </w:p>
        </w:tc>
        <w:tc>
          <w:tcPr>
            <w:tcW w:w="722" w:type="dxa"/>
            <w:gridSpan w:val="2"/>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19"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268"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03"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340" w:after="330" w:line="360" w:lineRule="auto"/>
              <w:jc w:val="center"/>
              <w:outlineLvl w:val="0"/>
              <w:rPr>
                <w:rFonts w:ascii="宋体" w:eastAsia="宋体" w:hAnsi="宋体" w:cs="宋体" w:hint="eastAsia"/>
                <w:sz w:val="21"/>
                <w:szCs w:val="21"/>
              </w:rPr>
            </w:pPr>
          </w:p>
        </w:tc>
        <w:tc>
          <w:tcPr>
            <w:tcW w:w="722"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319"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1268"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w:t>
            </w:r>
          </w:p>
        </w:tc>
        <w:tc>
          <w:tcPr>
            <w:tcW w:w="4803" w:type="dxa"/>
            <w:noWrap w:val="0"/>
            <w:vAlign w:val="center"/>
          </w:tcPr>
          <w:p>
            <w:pPr>
              <w:spacing w:line="360" w:lineRule="auto"/>
              <w:jc w:val="both"/>
              <w:rPr>
                <w:rFonts w:ascii="宋体" w:eastAsia="宋体" w:hAnsi="宋体" w:cs="宋体" w:hint="eastAsia"/>
                <w:sz w:val="21"/>
                <w:szCs w:val="21"/>
              </w:rPr>
            </w:pPr>
            <w:r>
              <w:rPr>
                <w:rFonts w:ascii="宋体" w:eastAsia="宋体" w:hAnsi="宋体" w:cs="宋体" w:hint="eastAsia"/>
                <w:kern w:val="2"/>
                <w:sz w:val="21"/>
                <w:szCs w:val="21"/>
                <w:lang w:eastAsia="zh-CN"/>
              </w:rPr>
              <w:t>投标人应如实填写《商务条款偏离情况》，评审小组根据响应情况进行打分，全部满足要求的得100分，每负偏离一项扣20分。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722"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19"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1268"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w:t>
            </w:r>
          </w:p>
        </w:tc>
        <w:tc>
          <w:tcPr>
            <w:tcW w:w="4803" w:type="dxa"/>
            <w:noWrap w:val="0"/>
            <w:vAlign w:val="center"/>
          </w:tcPr>
          <w:p>
            <w:pPr>
              <w:widowControl w:val="0"/>
              <w:spacing w:line="360" w:lineRule="auto"/>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考察内容：</w:t>
            </w:r>
          </w:p>
          <w:p>
            <w:pPr>
              <w:widowControl w:val="0"/>
              <w:spacing w:line="360" w:lineRule="auto"/>
              <w:jc w:val="distribute"/>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2021年1月1日至本项目投标截止日（以合同签订日期为准），投标人具有家具类项目业绩的，每提供1个得</w:t>
            </w:r>
            <w:r>
              <w:rPr>
                <w:rFonts w:ascii="宋体" w:eastAsia="宋体" w:hAnsi="宋体" w:cs="宋体" w:hint="eastAsia"/>
                <w:kern w:val="2"/>
                <w:sz w:val="21"/>
                <w:szCs w:val="21"/>
                <w:lang w:eastAsia="zh-CN"/>
              </w:rPr>
              <w:t>100</w:t>
            </w:r>
            <w:r>
              <w:rPr>
                <w:rFonts w:ascii="宋体" w:eastAsia="宋体" w:hAnsi="宋体" w:cs="宋体" w:hint="eastAsia"/>
                <w:kern w:val="2"/>
                <w:sz w:val="21"/>
                <w:szCs w:val="21"/>
                <w:lang w:eastAsia="zh-CN"/>
              </w:rPr>
              <w:t>分，最高得100分。</w:t>
            </w:r>
          </w:p>
          <w:p>
            <w:pPr>
              <w:widowControl w:val="0"/>
              <w:spacing w:line="360" w:lineRule="auto"/>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证明文件：</w:t>
            </w:r>
          </w:p>
          <w:p>
            <w:pPr>
              <w:snapToGrid w:val="0"/>
              <w:spacing w:line="360" w:lineRule="auto"/>
              <w:jc w:val="both"/>
              <w:rPr>
                <w:rFonts w:ascii="宋体" w:eastAsia="宋体" w:hAnsi="宋体" w:cs="宋体" w:hint="eastAsia"/>
                <w:sz w:val="21"/>
                <w:szCs w:val="21"/>
              </w:rPr>
            </w:pPr>
            <w:r>
              <w:rPr>
                <w:rFonts w:ascii="宋体" w:eastAsia="宋体" w:hAnsi="宋体" w:cs="宋体" w:hint="eastAsia"/>
                <w:kern w:val="2"/>
                <w:sz w:val="21"/>
                <w:szCs w:val="21"/>
                <w:lang w:eastAsia="zh-CN"/>
              </w:rPr>
              <w:t>要求提供中标通知书、合同关键信息（包括但不限于合同标的、签订时间、双方签章页）及验收报告扫描件，通过合同关键信息无法判断是否得分的，还须同时提供能证明得分的其它证明资料，如合同甲方出具的证明文件或项目报告,原件备查。未提供或未按要求提供或提供的不清晰导致专家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722" w:type="dxa"/>
            <w:gridSpan w:val="2"/>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319"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lang w:eastAsia="zh-CN" w:bidi="ar"/>
              </w:rPr>
              <w:t>履约评价情况</w:t>
            </w:r>
          </w:p>
        </w:tc>
        <w:tc>
          <w:tcPr>
            <w:tcW w:w="1268" w:type="dxa"/>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w:t>
            </w:r>
          </w:p>
        </w:tc>
        <w:tc>
          <w:tcPr>
            <w:tcW w:w="4803" w:type="dxa"/>
            <w:noWrap w:val="0"/>
            <w:vAlign w:val="top"/>
          </w:tcPr>
          <w:p>
            <w:pPr>
              <w:widowControl w:val="0"/>
              <w:spacing w:line="360" w:lineRule="auto"/>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考察内容：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2021年1月1日至本项目投标截止日前，投标人具有上述同类项目经验中经评审有效得分的业绩，并经用户单位考核评价为优或满意或其他最高等级评价的，每提供1项得</w:t>
            </w:r>
            <w:r>
              <w:rPr>
                <w:rFonts w:ascii="宋体" w:eastAsia="宋体" w:hAnsi="宋体" w:cs="宋体" w:hint="eastAsia"/>
                <w:kern w:val="2"/>
                <w:sz w:val="21"/>
                <w:szCs w:val="21"/>
                <w:lang w:eastAsia="zh-CN"/>
              </w:rPr>
              <w:t>100</w:t>
            </w:r>
            <w:r>
              <w:rPr>
                <w:rFonts w:ascii="宋体" w:eastAsia="宋体" w:hAnsi="宋体" w:cs="宋体" w:hint="eastAsia"/>
                <w:kern w:val="2"/>
                <w:sz w:val="21"/>
                <w:szCs w:val="21"/>
                <w:lang w:eastAsia="zh-CN"/>
              </w:rPr>
              <w:t>分，最高得100分。</w:t>
            </w:r>
          </w:p>
          <w:p>
            <w:pPr>
              <w:widowControl w:val="0"/>
              <w:spacing w:line="360" w:lineRule="auto"/>
              <w:jc w:val="left"/>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证明文件：</w:t>
            </w:r>
          </w:p>
          <w:p>
            <w:pPr>
              <w:keepNext w:val="0"/>
              <w:keepLines w:val="0"/>
              <w:widowControl/>
              <w:suppressLineNumbers w:val="0"/>
              <w:pBdr>
                <w:top w:val="none" w:sz="0" w:space="0" w:color="auto"/>
                <w:left w:val="none" w:sz="0" w:space="0" w:color="auto"/>
                <w:bottom w:val="none" w:sz="0" w:space="0" w:color="auto"/>
                <w:right w:val="none" w:sz="0" w:space="0" w:color="auto"/>
              </w:pBdr>
              <w:wordWrap w:val="0"/>
              <w:spacing w:line="360" w:lineRule="auto"/>
              <w:jc w:val="both"/>
              <w:textAlignment w:val="top"/>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要求提供以上项目合同关键页</w:t>
            </w:r>
            <w:r>
              <w:rPr>
                <w:rFonts w:ascii="宋体" w:eastAsia="宋体" w:hAnsi="宋体" w:cs="宋体" w:hint="eastAsia"/>
                <w:kern w:val="2"/>
                <w:sz w:val="21"/>
                <w:szCs w:val="21"/>
                <w:lang w:eastAsia="zh-CN"/>
              </w:rPr>
              <w:t>（包括但不限于合同标的、签订时间、双方签章页）</w:t>
            </w:r>
            <w:r>
              <w:rPr>
                <w:rFonts w:ascii="宋体" w:eastAsia="宋体" w:hAnsi="宋体" w:cs="宋体" w:hint="eastAsia"/>
                <w:sz w:val="21"/>
                <w:szCs w:val="21"/>
                <w:lang w:eastAsia="zh-CN" w:bidi="ar"/>
              </w:rPr>
              <w:t>及盖有用户单位公章或</w:t>
            </w:r>
            <w:r>
              <w:rPr>
                <w:rFonts w:ascii="宋体" w:eastAsia="宋体" w:hAnsi="宋体" w:cs="宋体" w:hint="eastAsia"/>
                <w:kern w:val="2"/>
                <w:sz w:val="21"/>
                <w:szCs w:val="21"/>
                <w:lang w:eastAsia="zh-CN"/>
              </w:rPr>
              <w:t>加盖职能部门或下属机构业务章</w:t>
            </w:r>
            <w:r>
              <w:rPr>
                <w:rFonts w:ascii="宋体" w:eastAsia="宋体" w:hAnsi="宋体" w:cs="宋体" w:hint="eastAsia"/>
                <w:sz w:val="21"/>
                <w:szCs w:val="21"/>
                <w:lang w:eastAsia="zh-CN" w:bidi="ar"/>
              </w:rPr>
              <w:t>的履约评价扫描件，</w:t>
            </w:r>
            <w:r>
              <w:rPr>
                <w:rFonts w:ascii="宋体" w:eastAsia="宋体" w:hAnsi="宋体" w:cs="宋体" w:hint="eastAsia"/>
                <w:kern w:val="2"/>
                <w:sz w:val="21"/>
                <w:szCs w:val="21"/>
                <w:lang w:eastAsia="zh-CN"/>
              </w:rPr>
              <w:t>原件备查。未提供或未按要求提供或提供的不清晰导致专家无法判断的不得分。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392" w:type="dxa"/>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722" w:type="dxa"/>
            <w:gridSpan w:val="2"/>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c>
          <w:tcPr>
            <w:tcW w:w="1319" w:type="dxa"/>
            <w:noWrap w:val="0"/>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诚信评价</w:t>
            </w:r>
          </w:p>
        </w:tc>
        <w:tc>
          <w:tcPr>
            <w:tcW w:w="1268" w:type="dxa"/>
            <w:noWrap w:val="0"/>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4803" w:type="dxa"/>
            <w:noWrap w:val="0"/>
            <w:vAlign w:val="top"/>
          </w:tcPr>
          <w:p>
            <w:p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tc>
      </w:tr>
    </w:tbl>
    <w:p>
      <w:pPr>
        <w:widowControl w:val="0"/>
        <w:jc w:val="center"/>
        <w:rPr>
          <w:rFonts w:ascii="Calibri" w:eastAsia="宋体" w:hAnsi="Calibri" w:hint="eastAsia"/>
          <w:b/>
          <w:kern w:val="2"/>
          <w:sz w:val="120"/>
          <w:szCs w:val="120"/>
          <w:lang w:eastAsia="zh-CN"/>
        </w:rPr>
      </w:pPr>
    </w:p>
    <w:p>
      <w:pPr>
        <w:spacing w:line="360" w:lineRule="auto"/>
        <w:rPr>
          <w:rFonts w:ascii="Calibri" w:eastAsia="宋体" w:hAnsi="Calibri" w:hint="eastAsia"/>
          <w:b/>
          <w:bCs/>
          <w:kern w:val="2"/>
          <w:sz w:val="120"/>
          <w:szCs w:val="120"/>
          <w:lang w:eastAsia="zh-CN"/>
        </w:rPr>
      </w:pPr>
    </w:p>
    <w:p>
      <w:pPr>
        <w:widowControl w:val="0"/>
        <w:jc w:val="both"/>
        <w:rPr>
          <w:rFonts w:ascii="Calibri" w:eastAsia="宋体" w:hAnsi="Calibri" w:cs="Calibri" w:hint="eastAsia"/>
          <w:i/>
          <w:iCs/>
          <w:color w:val="000000"/>
          <w:kern w:val="2"/>
          <w:sz w:val="22"/>
          <w:szCs w:val="22"/>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rPr>
        <w:t>1、具有独立法人资格或具有独立承担民事责任的能力的其它组织（提供营业执照或事业单位法人证等法人证明扫描件，原件备查）</w:t>
      </w:r>
      <w:r>
        <w:rPr>
          <w:rFonts w:ascii="宋体" w:eastAsia="宋体" w:hAnsi="宋体" w:cs="宋体" w:hint="eastAsia"/>
          <w:sz w:val="21"/>
          <w:szCs w:val="21"/>
          <w:lang w:eastAsia="zh-CN"/>
        </w:rPr>
        <w:t>。</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2、参与本项目投标前三年内，在经营活动中没有重大违法记录（由供应商在《龙华区教育局自行采购投标及履约承诺函》中作出声明）。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3、参与本项目政府采购活动时不存在被有关部门禁止参与政府采购活动且在有效期内的情况（由供应商在《龙华区教育局自行采购投标及履约承诺函》中作出声明）。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4、具备《中华人民共和国政府采购法》第二十二条第一款的条件（由供应商在《龙华区教育局自行采购投标及履约承诺函》中作出声明）。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5、参与本项目政府采购活动时未被列入失信被执行人、重大税收违法失信主体、政府采购严重违法失信行为记录名单（由供应商在《龙华区教育局自行采购投标及履约承诺函》中作出承诺）。</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sz w:val="21"/>
          <w:szCs w:val="21"/>
        </w:rPr>
        <w:t>《龙华区教育局自行采购投标及履约承诺函》</w:t>
      </w:r>
      <w:r>
        <w:rPr>
          <w:rFonts w:ascii="宋体" w:eastAsia="宋体" w:hAnsi="宋体" w:cs="宋体" w:hint="eastAsia"/>
          <w:sz w:val="21"/>
          <w:szCs w:val="21"/>
          <w:lang w:eastAsia="zh-CN"/>
        </w:rPr>
        <w:t>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宋体" w:eastAsia="宋体" w:hAnsi="宋体" w:cs="宋体" w:hint="eastAsia"/>
          <w:sz w:val="21"/>
          <w:szCs w:val="21"/>
          <w:lang w:eastAsia="zh-CN"/>
        </w:rPr>
        <w:t>。</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8</w:t>
      </w:r>
      <w:r>
        <w:rPr>
          <w:rFonts w:ascii="宋体" w:eastAsia="宋体" w:hAnsi="宋体" w:cs="宋体" w:hint="eastAsia"/>
          <w:sz w:val="21"/>
          <w:szCs w:val="21"/>
        </w:rPr>
        <w:t>、单位负责人为同一人或者存在直接控股、管理关系的不同供应商，不得参加同一合同项下的政府采购活动。（由供应商在《龙华区教育局自行采购投标及履约承诺函》中作出承诺）</w:t>
      </w:r>
      <w:r>
        <w:rPr>
          <w:rFonts w:ascii="宋体" w:eastAsia="宋体" w:hAnsi="宋体" w:cs="宋体" w:hint="eastAsia"/>
          <w:sz w:val="21"/>
          <w:szCs w:val="21"/>
          <w:lang w:eastAsia="zh-CN"/>
        </w:rPr>
        <w:t>。</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9</w:t>
      </w:r>
      <w:r>
        <w:rPr>
          <w:rFonts w:ascii="宋体" w:eastAsia="宋体" w:hAnsi="宋体" w:cs="宋体" w:hint="eastAsia"/>
          <w:color w:val="FF0000"/>
          <w:sz w:val="21"/>
          <w:szCs w:val="21"/>
        </w:rPr>
        <w:t>、</w:t>
      </w:r>
      <w:r>
        <w:rPr>
          <w:rFonts w:ascii="宋体" w:eastAsia="宋体" w:hAnsi="宋体" w:cs="宋体" w:hint="eastAsia"/>
          <w:color w:val="FF0000"/>
          <w:sz w:val="21"/>
          <w:szCs w:val="21"/>
          <w:lang w:eastAsia="zh-C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keepNext w:val="0"/>
        <w:keepLines w:val="0"/>
        <w:pageBreakBefore w:val="0"/>
        <w:widowControl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10</w:t>
      </w:r>
      <w:r>
        <w:rPr>
          <w:rFonts w:ascii="宋体" w:eastAsia="宋体" w:hAnsi="宋体" w:cs="宋体" w:hint="eastAsia"/>
          <w:sz w:val="21"/>
          <w:szCs w:val="21"/>
        </w:rPr>
        <w:t>、本项目不接受联合体投标，不接受进口产品参与投标，不允许转包、分包。（由供应商在《龙华区教育局自行采购投标及履约承诺函》中作出承诺）</w:t>
      </w:r>
      <w:r>
        <w:rPr>
          <w:rFonts w:ascii="宋体" w:eastAsia="宋体" w:hAnsi="宋体" w:cs="宋体" w:hint="eastAsia"/>
          <w:sz w:val="21"/>
          <w:szCs w:val="21"/>
          <w:lang w:eastAsia="zh-CN"/>
        </w:rPr>
        <w:t>。</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73517639"/>
      <w:bookmarkStart w:id="4" w:name="_Toc100052364"/>
      <w:bookmarkStart w:id="5" w:name="_Toc60631620"/>
      <w:bookmarkStart w:id="6" w:name="_Toc73521635"/>
      <w:bookmarkStart w:id="7" w:name="_Toc101074876"/>
      <w:bookmarkStart w:id="8" w:name="_Toc73518117"/>
      <w:bookmarkStart w:id="9" w:name="_Toc60560625"/>
      <w:bookmarkStart w:id="10" w:name="_Toc73521547"/>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深圳市龙华职业技术学校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line="360" w:lineRule="auto"/>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spacing w:line="360" w:lineRule="auto"/>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spacing w:line="360" w:lineRule="auto"/>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vAlign w:val="center"/>
          </w:tcPr>
          <w:p>
            <w:pPr>
              <w:spacing w:line="360" w:lineRule="auto"/>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360" w:lineRule="auto"/>
        <w:jc w:val="both"/>
        <w:rPr>
          <w:rFonts w:ascii="黑体" w:eastAsia="黑体" w:hAnsi="宋体" w:hint="eastAsia"/>
          <w:bCs/>
          <w:kern w:val="2"/>
          <w:szCs w:val="22"/>
          <w:lang w:eastAsia="zh-CN"/>
        </w:rPr>
      </w:pPr>
    </w:p>
    <w:p>
      <w:pPr>
        <w:widowControl w:val="0"/>
        <w:tabs>
          <w:tab w:val="left" w:pos="720"/>
        </w:tabs>
        <w:spacing w:line="360" w:lineRule="auto"/>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（二）其他事项</w:t>
      </w:r>
    </w:p>
    <w:p>
      <w:pPr>
        <w:widowControl w:val="0"/>
        <w:tabs>
          <w:tab w:val="left" w:pos="720"/>
        </w:tabs>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1、关于享受优惠政策的主体、价格扣除比例及采购标的所属行业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1、关于享受优惠政策的主体及价格扣除比例</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专门面向中小企业采购的项目，不再执行价格扣除比例。</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spacing w:line="360" w:lineRule="auto"/>
        <w:ind w:firstLine="420" w:firstLineChars="200"/>
        <w:jc w:val="both"/>
        <w:rPr>
          <w:rFonts w:ascii="黑体" w:eastAsia="黑体" w:hAnsi="宋体"/>
          <w:kern w:val="2"/>
          <w:szCs w:val="22"/>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亿元（含）以上</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备注：最低收费不低于人民币6000元。代理服务费用超过6000元，则按国家计费规定收取代理服务费。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widowControl/>
        <w:jc w:val="left"/>
        <w:rPr>
          <w:rFonts w:ascii="宋体" w:eastAsia="黑体" w:hAnsi="宋体"/>
          <w:bCs/>
          <w:kern w:val="44"/>
          <w:sz w:val="28"/>
          <w:szCs w:val="44"/>
          <w:highlight w:val="yellow"/>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90"/>
        <w:gridCol w:w="2369"/>
        <w:gridCol w:w="2556"/>
        <w:gridCol w:w="3055"/>
      </w:tblGrid>
      <w:tr>
        <w:tblPrEx>
          <w:tblW w:w="5000" w:type="pct"/>
          <w:jc w:val="center"/>
          <w:tblLayout w:type="fixed"/>
          <w:tblCellMar>
            <w:top w:w="15" w:type="dxa"/>
            <w:left w:w="15" w:type="dxa"/>
            <w:bottom w:w="15" w:type="dxa"/>
            <w:right w:w="15" w:type="dxa"/>
          </w:tblCellMar>
        </w:tblPrEx>
        <w:trPr>
          <w:trHeight w:val="552"/>
          <w:jc w:val="center"/>
        </w:trPr>
        <w:tc>
          <w:tcPr>
            <w:tcW w:w="752"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594"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799"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334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jc w:val="center"/>
          <w:tblLayout w:type="fixed"/>
          <w:tblCellMar>
            <w:top w:w="15" w:type="dxa"/>
            <w:left w:w="15" w:type="dxa"/>
            <w:bottom w:w="15" w:type="dxa"/>
            <w:right w:w="15" w:type="dxa"/>
          </w:tblCellMar>
        </w:tblPrEx>
        <w:trPr>
          <w:trHeight w:val="485"/>
          <w:jc w:val="center"/>
        </w:trPr>
        <w:tc>
          <w:tcPr>
            <w:tcW w:w="752"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594"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LHAZXDL-2024-00261</w:t>
            </w:r>
          </w:p>
        </w:tc>
        <w:tc>
          <w:tcPr>
            <w:tcW w:w="2799"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楼层宿管员值班房家具采购</w:t>
            </w:r>
          </w:p>
        </w:tc>
        <w:tc>
          <w:tcPr>
            <w:tcW w:w="334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kern w:val="2"/>
                <w:sz w:val="21"/>
                <w:szCs w:val="21"/>
                <w:lang w:eastAsia="zh-CN"/>
              </w:rPr>
            </w:pPr>
            <w:r>
              <w:rPr>
                <w:rFonts w:ascii="宋体" w:eastAsia="宋体" w:hAnsi="宋体" w:hint="eastAsia"/>
                <w:kern w:val="2"/>
                <w:sz w:val="21"/>
                <w:szCs w:val="21"/>
                <w:lang w:eastAsia="zh-CN"/>
              </w:rPr>
              <w:t xml:space="preserve">285,600.00 </w:t>
            </w:r>
          </w:p>
        </w:tc>
      </w:tr>
    </w:tbl>
    <w:p>
      <w:pPr>
        <w:keepNext/>
        <w:keepLines/>
        <w:widowControl w:val="0"/>
        <w:numPr>
          <w:ilvl w:val="0"/>
          <w:numId w:val="1"/>
        </w:numPr>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货物需求明细</w:t>
      </w:r>
      <w:bookmarkStart w:id="13" w:name="_Toc128884461"/>
    </w:p>
    <w:tbl>
      <w:tblPr>
        <w:tblStyle w:val="TableNormal"/>
        <w:tblpPr w:leftFromText="180" w:rightFromText="180" w:vertAnchor="text" w:horzAnchor="page" w:tblpX="1929" w:tblpY="127"/>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1890"/>
        <w:gridCol w:w="753"/>
        <w:gridCol w:w="771"/>
        <w:gridCol w:w="934"/>
        <w:gridCol w:w="1500"/>
        <w:gridCol w:w="1155"/>
        <w:gridCol w:w="111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6"/>
          <w:jc w:val="center"/>
        </w:trPr>
        <w:tc>
          <w:tcPr>
            <w:tcW w:w="708" w:type="dxa"/>
            <w:vMerge w:val="restart"/>
            <w:noWrap w:val="0"/>
            <w:vAlign w:val="center"/>
          </w:tcPr>
          <w:p>
            <w:pPr>
              <w:tabs>
                <w:tab w:val="left" w:pos="0"/>
              </w:tabs>
              <w:jc w:val="center"/>
              <w:rPr>
                <w:rFonts w:ascii="宋体" w:eastAsia="宋体" w:hAnsi="宋体" w:cs="宋体" w:hint="eastAsia"/>
                <w:bCs/>
                <w:sz w:val="21"/>
                <w:szCs w:val="21"/>
              </w:rPr>
            </w:pPr>
            <w:r>
              <w:rPr>
                <w:rFonts w:ascii="宋体" w:eastAsia="宋体" w:hAnsi="宋体" w:cs="宋体" w:hint="eastAsia"/>
                <w:bCs/>
                <w:sz w:val="21"/>
                <w:szCs w:val="21"/>
              </w:rPr>
              <w:t>序号</w:t>
            </w:r>
          </w:p>
        </w:tc>
        <w:tc>
          <w:tcPr>
            <w:tcW w:w="1824" w:type="dxa"/>
            <w:vMerge w:val="restart"/>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货物名称</w:t>
            </w:r>
          </w:p>
        </w:tc>
        <w:tc>
          <w:tcPr>
            <w:tcW w:w="727"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数量</w:t>
            </w:r>
          </w:p>
        </w:tc>
        <w:tc>
          <w:tcPr>
            <w:tcW w:w="744"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单位</w:t>
            </w:r>
          </w:p>
        </w:tc>
        <w:tc>
          <w:tcPr>
            <w:tcW w:w="2348" w:type="dxa"/>
            <w:gridSpan w:val="2"/>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单价限额（元）</w:t>
            </w:r>
          </w:p>
        </w:tc>
        <w:tc>
          <w:tcPr>
            <w:tcW w:w="1114" w:type="dxa"/>
            <w:vMerge w:val="restart"/>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备注</w:t>
            </w:r>
          </w:p>
        </w:tc>
        <w:tc>
          <w:tcPr>
            <w:tcW w:w="1080" w:type="dxa"/>
            <w:vMerge w:val="restart"/>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财政预算限额（元）</w:t>
            </w:r>
          </w:p>
        </w:tc>
      </w:tr>
      <w:tr>
        <w:tblPrEx>
          <w:tblW w:w="5000" w:type="pct"/>
          <w:jc w:val="center"/>
          <w:tblLayout w:type="fixed"/>
          <w:tblCellMar>
            <w:top w:w="0" w:type="dxa"/>
            <w:left w:w="108" w:type="dxa"/>
            <w:bottom w:w="0" w:type="dxa"/>
            <w:right w:w="108" w:type="dxa"/>
          </w:tblCellMar>
        </w:tblPrEx>
        <w:trPr>
          <w:trHeight w:val="566"/>
          <w:jc w:val="center"/>
        </w:trPr>
        <w:tc>
          <w:tcPr>
            <w:tcW w:w="708" w:type="dxa"/>
            <w:vMerge/>
            <w:noWrap w:val="0"/>
            <w:vAlign w:val="center"/>
          </w:tcPr>
          <w:p>
            <w:pPr>
              <w:jc w:val="center"/>
              <w:rPr>
                <w:rFonts w:ascii="宋体" w:eastAsia="宋体" w:hAnsi="宋体" w:cs="宋体" w:hint="eastAsia"/>
                <w:bCs/>
                <w:sz w:val="21"/>
                <w:szCs w:val="21"/>
              </w:rPr>
            </w:pPr>
          </w:p>
        </w:tc>
        <w:tc>
          <w:tcPr>
            <w:tcW w:w="1824" w:type="dxa"/>
            <w:vMerge/>
            <w:noWrap w:val="0"/>
            <w:vAlign w:val="center"/>
          </w:tcPr>
          <w:p>
            <w:pPr>
              <w:jc w:val="center"/>
              <w:rPr>
                <w:rFonts w:ascii="宋体" w:eastAsia="宋体" w:hAnsi="宋体" w:cs="宋体" w:hint="eastAsia"/>
                <w:bCs/>
                <w:sz w:val="21"/>
                <w:szCs w:val="21"/>
              </w:rPr>
            </w:pPr>
          </w:p>
        </w:tc>
        <w:tc>
          <w:tcPr>
            <w:tcW w:w="727" w:type="dxa"/>
            <w:vMerge/>
            <w:noWrap w:val="0"/>
            <w:vAlign w:val="center"/>
          </w:tcPr>
          <w:p>
            <w:pPr>
              <w:jc w:val="center"/>
              <w:rPr>
                <w:rFonts w:ascii="宋体" w:eastAsia="宋体" w:hAnsi="宋体" w:cs="宋体" w:hint="eastAsia"/>
                <w:bCs/>
                <w:sz w:val="21"/>
                <w:szCs w:val="21"/>
              </w:rPr>
            </w:pPr>
          </w:p>
        </w:tc>
        <w:tc>
          <w:tcPr>
            <w:tcW w:w="744" w:type="dxa"/>
            <w:vMerge/>
            <w:noWrap w:val="0"/>
            <w:vAlign w:val="center"/>
          </w:tcPr>
          <w:p>
            <w:pPr>
              <w:jc w:val="center"/>
              <w:rPr>
                <w:rFonts w:ascii="宋体" w:eastAsia="宋体" w:hAnsi="宋体" w:cs="宋体" w:hint="eastAsia"/>
                <w:bCs/>
                <w:sz w:val="21"/>
                <w:szCs w:val="21"/>
              </w:rPr>
            </w:pPr>
          </w:p>
        </w:tc>
        <w:tc>
          <w:tcPr>
            <w:tcW w:w="901"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单价</w:t>
            </w:r>
          </w:p>
        </w:tc>
        <w:tc>
          <w:tcPr>
            <w:tcW w:w="1447"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单项总额（单价乘以数量）</w:t>
            </w:r>
          </w:p>
        </w:tc>
        <w:tc>
          <w:tcPr>
            <w:tcW w:w="1114" w:type="dxa"/>
            <w:vMerge/>
            <w:noWrap w:val="0"/>
            <w:vAlign w:val="center"/>
          </w:tcPr>
          <w:p>
            <w:pPr>
              <w:jc w:val="center"/>
              <w:rPr>
                <w:rFonts w:ascii="宋体" w:eastAsia="宋体" w:hAnsi="宋体" w:cs="宋体" w:hint="eastAsia"/>
                <w:b/>
                <w:bCs/>
                <w:color w:val="FF0000"/>
                <w:sz w:val="21"/>
                <w:szCs w:val="21"/>
              </w:rPr>
            </w:pPr>
          </w:p>
        </w:tc>
        <w:tc>
          <w:tcPr>
            <w:tcW w:w="1080" w:type="dxa"/>
            <w:vMerge/>
            <w:noWrap w:val="0"/>
            <w:vAlign w:val="center"/>
          </w:tcPr>
          <w:p>
            <w:pPr>
              <w:jc w:val="center"/>
              <w:rPr>
                <w:rFonts w:ascii="宋体" w:eastAsia="宋体" w:hAnsi="宋体" w:cs="宋体" w:hint="eastAsia"/>
                <w:b/>
                <w:bCs/>
                <w:color w:val="FF0000"/>
                <w:sz w:val="21"/>
                <w:szCs w:val="21"/>
              </w:rPr>
            </w:pPr>
          </w:p>
        </w:tc>
      </w:tr>
      <w:tr>
        <w:tblPrEx>
          <w:tblW w:w="5000" w:type="pct"/>
          <w:jc w:val="center"/>
          <w:tblLayout w:type="fixed"/>
          <w:tblCellMar>
            <w:top w:w="0" w:type="dxa"/>
            <w:left w:w="108" w:type="dxa"/>
            <w:bottom w:w="0" w:type="dxa"/>
            <w:right w:w="108" w:type="dxa"/>
          </w:tblCellMar>
        </w:tblPrEx>
        <w:trPr>
          <w:trHeight w:val="332"/>
          <w:jc w:val="center"/>
        </w:trPr>
        <w:tc>
          <w:tcPr>
            <w:tcW w:w="708"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82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单人床</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w:t>
            </w:r>
          </w:p>
        </w:tc>
        <w:tc>
          <w:tcPr>
            <w:tcW w:w="74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张</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1300</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20800</w:t>
            </w:r>
          </w:p>
        </w:tc>
        <w:tc>
          <w:tcPr>
            <w:tcW w:w="1114" w:type="dxa"/>
            <w:noWrap w:val="0"/>
            <w:vAlign w:val="top"/>
          </w:tcPr>
          <w:p>
            <w:pPr>
              <w:jc w:val="center"/>
              <w:rPr>
                <w:rFonts w:ascii="宋体" w:eastAsia="宋体" w:hAnsi="宋体" w:cs="宋体" w:hint="eastAsia"/>
                <w:b/>
                <w:bCs/>
                <w:color w:val="FF0000"/>
                <w:sz w:val="21"/>
                <w:szCs w:val="21"/>
              </w:rPr>
            </w:pPr>
          </w:p>
        </w:tc>
        <w:tc>
          <w:tcPr>
            <w:tcW w:w="108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sz w:val="21"/>
                <w:szCs w:val="21"/>
                <w:lang w:eastAsia="zh-CN"/>
              </w:rPr>
              <w:t>285600</w:t>
            </w:r>
            <w:r>
              <w:rPr>
                <w:rFonts w:ascii="宋体" w:eastAsia="宋体" w:hAnsi="宋体" w:cs="宋体" w:hint="eastAsia"/>
                <w:sz w:val="21"/>
                <w:szCs w:val="21"/>
              </w:rPr>
              <w:t>.00</w:t>
            </w:r>
          </w:p>
        </w:tc>
      </w:tr>
      <w:tr>
        <w:tblPrEx>
          <w:tblW w:w="5000" w:type="pct"/>
          <w:jc w:val="center"/>
          <w:tblLayout w:type="fixed"/>
          <w:tblCellMar>
            <w:top w:w="0" w:type="dxa"/>
            <w:left w:w="108" w:type="dxa"/>
            <w:bottom w:w="0" w:type="dxa"/>
            <w:right w:w="108" w:type="dxa"/>
          </w:tblCellMar>
        </w:tblPrEx>
        <w:trPr>
          <w:trHeight w:val="288"/>
          <w:jc w:val="center"/>
        </w:trPr>
        <w:tc>
          <w:tcPr>
            <w:tcW w:w="708"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82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床垫</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w:t>
            </w:r>
          </w:p>
        </w:tc>
        <w:tc>
          <w:tcPr>
            <w:tcW w:w="744" w:type="dxa"/>
            <w:noWrap w:val="0"/>
            <w:vAlign w:val="top"/>
          </w:tcPr>
          <w:p>
            <w:pPr>
              <w:jc w:val="center"/>
              <w:rPr>
                <w:rFonts w:ascii="宋体" w:eastAsia="宋体" w:hAnsi="宋体" w:cs="宋体" w:hint="eastAsia"/>
                <w:bCs/>
                <w:sz w:val="21"/>
                <w:szCs w:val="21"/>
              </w:rPr>
            </w:pPr>
            <w:r>
              <w:rPr>
                <w:rFonts w:ascii="宋体" w:eastAsia="宋体" w:hAnsi="宋体" w:cs="宋体" w:hint="eastAsia"/>
                <w:sz w:val="21"/>
                <w:szCs w:val="21"/>
              </w:rPr>
              <w:t>张</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650</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10400</w:t>
            </w:r>
          </w:p>
        </w:tc>
        <w:tc>
          <w:tcPr>
            <w:tcW w:w="1114" w:type="dxa"/>
            <w:noWrap w:val="0"/>
            <w:vAlign w:val="top"/>
          </w:tcPr>
          <w:p>
            <w:pPr>
              <w:jc w:val="center"/>
              <w:rPr>
                <w:rFonts w:ascii="宋体" w:eastAsia="宋体" w:hAnsi="宋体" w:cs="宋体" w:hint="eastAsia"/>
                <w:b/>
                <w:bCs/>
                <w:color w:val="FF0000"/>
                <w:sz w:val="21"/>
                <w:szCs w:val="21"/>
              </w:rPr>
            </w:pPr>
          </w:p>
        </w:tc>
        <w:tc>
          <w:tcPr>
            <w:tcW w:w="1080" w:type="dxa"/>
            <w:vMerge/>
            <w:noWrap w:val="0"/>
            <w:vAlign w:val="top"/>
          </w:tcPr>
          <w:p>
            <w:pPr>
              <w:jc w:val="center"/>
              <w:rPr>
                <w:rFonts w:ascii="宋体" w:eastAsia="宋体" w:hAnsi="宋体" w:cs="宋体" w:hint="eastAsia"/>
                <w:bCs/>
                <w:sz w:val="21"/>
                <w:szCs w:val="21"/>
              </w:rPr>
            </w:pPr>
          </w:p>
        </w:tc>
      </w:tr>
      <w:tr>
        <w:tblPrEx>
          <w:tblW w:w="5000" w:type="pct"/>
          <w:jc w:val="center"/>
          <w:tblLayout w:type="fixed"/>
          <w:tblCellMar>
            <w:top w:w="0" w:type="dxa"/>
            <w:left w:w="108" w:type="dxa"/>
            <w:bottom w:w="0" w:type="dxa"/>
            <w:right w:w="108" w:type="dxa"/>
          </w:tblCellMar>
        </w:tblPrEx>
        <w:trPr>
          <w:trHeight w:val="288"/>
          <w:jc w:val="center"/>
        </w:trPr>
        <w:tc>
          <w:tcPr>
            <w:tcW w:w="708"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82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书桌</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w:t>
            </w:r>
          </w:p>
        </w:tc>
        <w:tc>
          <w:tcPr>
            <w:tcW w:w="744" w:type="dxa"/>
            <w:noWrap w:val="0"/>
            <w:vAlign w:val="top"/>
          </w:tcPr>
          <w:p>
            <w:pPr>
              <w:jc w:val="center"/>
              <w:rPr>
                <w:rFonts w:ascii="宋体" w:eastAsia="宋体" w:hAnsi="宋体" w:cs="宋体" w:hint="eastAsia"/>
                <w:bCs/>
                <w:sz w:val="21"/>
                <w:szCs w:val="21"/>
              </w:rPr>
            </w:pPr>
            <w:r>
              <w:rPr>
                <w:rFonts w:ascii="宋体" w:eastAsia="宋体" w:hAnsi="宋体" w:cs="宋体" w:hint="eastAsia"/>
                <w:sz w:val="21"/>
                <w:szCs w:val="21"/>
              </w:rPr>
              <w:t>张</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1120</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17920</w:t>
            </w:r>
          </w:p>
        </w:tc>
        <w:tc>
          <w:tcPr>
            <w:tcW w:w="1114" w:type="dxa"/>
            <w:noWrap w:val="0"/>
            <w:vAlign w:val="top"/>
          </w:tcPr>
          <w:p>
            <w:pPr>
              <w:jc w:val="center"/>
              <w:rPr>
                <w:rFonts w:ascii="宋体" w:eastAsia="宋体" w:hAnsi="宋体" w:cs="宋体" w:hint="eastAsia"/>
                <w:b/>
                <w:bCs/>
                <w:color w:val="FF0000"/>
                <w:sz w:val="21"/>
                <w:szCs w:val="21"/>
              </w:rPr>
            </w:pPr>
          </w:p>
        </w:tc>
        <w:tc>
          <w:tcPr>
            <w:tcW w:w="1080" w:type="dxa"/>
            <w:vMerge/>
            <w:noWrap w:val="0"/>
            <w:vAlign w:val="top"/>
          </w:tcPr>
          <w:p>
            <w:pPr>
              <w:jc w:val="center"/>
              <w:rPr>
                <w:rFonts w:ascii="宋体" w:eastAsia="宋体" w:hAnsi="宋体" w:cs="宋体" w:hint="eastAsia"/>
                <w:bCs/>
                <w:sz w:val="21"/>
                <w:szCs w:val="21"/>
              </w:rPr>
            </w:pPr>
          </w:p>
        </w:tc>
      </w:tr>
      <w:tr>
        <w:tblPrEx>
          <w:tblW w:w="5000" w:type="pct"/>
          <w:jc w:val="center"/>
          <w:tblLayout w:type="fixed"/>
          <w:tblCellMar>
            <w:top w:w="0" w:type="dxa"/>
            <w:left w:w="108" w:type="dxa"/>
            <w:bottom w:w="0" w:type="dxa"/>
            <w:right w:w="108" w:type="dxa"/>
          </w:tblCellMar>
        </w:tblPrEx>
        <w:trPr>
          <w:trHeight w:val="288"/>
          <w:jc w:val="center"/>
        </w:trPr>
        <w:tc>
          <w:tcPr>
            <w:tcW w:w="708"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182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单椅</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w:t>
            </w:r>
          </w:p>
        </w:tc>
        <w:tc>
          <w:tcPr>
            <w:tcW w:w="744" w:type="dxa"/>
            <w:noWrap w:val="0"/>
            <w:vAlign w:val="top"/>
          </w:tcPr>
          <w:p>
            <w:pPr>
              <w:jc w:val="center"/>
              <w:rPr>
                <w:rFonts w:ascii="宋体" w:eastAsia="宋体" w:hAnsi="宋体" w:cs="宋体" w:hint="eastAsia"/>
                <w:bCs/>
                <w:sz w:val="21"/>
                <w:szCs w:val="21"/>
              </w:rPr>
            </w:pPr>
            <w:r>
              <w:rPr>
                <w:rFonts w:ascii="宋体" w:eastAsia="宋体" w:hAnsi="宋体" w:cs="宋体" w:hint="eastAsia"/>
                <w:sz w:val="21"/>
                <w:szCs w:val="21"/>
              </w:rPr>
              <w:t>张</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980</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15680</w:t>
            </w:r>
          </w:p>
        </w:tc>
        <w:tc>
          <w:tcPr>
            <w:tcW w:w="1114" w:type="dxa"/>
            <w:noWrap w:val="0"/>
            <w:vAlign w:val="top"/>
          </w:tcPr>
          <w:p>
            <w:pPr>
              <w:jc w:val="center"/>
              <w:rPr>
                <w:rFonts w:ascii="宋体" w:eastAsia="宋体" w:hAnsi="宋体" w:cs="宋体" w:hint="eastAsia"/>
                <w:b/>
                <w:bCs/>
                <w:color w:val="FF0000"/>
                <w:sz w:val="21"/>
                <w:szCs w:val="21"/>
              </w:rPr>
            </w:pPr>
          </w:p>
        </w:tc>
        <w:tc>
          <w:tcPr>
            <w:tcW w:w="1080" w:type="dxa"/>
            <w:vMerge/>
            <w:noWrap w:val="0"/>
            <w:vAlign w:val="top"/>
          </w:tcPr>
          <w:p>
            <w:pPr>
              <w:jc w:val="center"/>
              <w:rPr>
                <w:rFonts w:ascii="宋体" w:eastAsia="宋体" w:hAnsi="宋体" w:cs="宋体" w:hint="eastAsia"/>
                <w:bCs/>
                <w:sz w:val="21"/>
                <w:szCs w:val="21"/>
              </w:rPr>
            </w:pPr>
          </w:p>
        </w:tc>
      </w:tr>
      <w:tr>
        <w:tblPrEx>
          <w:tblW w:w="5000" w:type="pct"/>
          <w:jc w:val="center"/>
          <w:tblLayout w:type="fixed"/>
          <w:tblCellMar>
            <w:top w:w="0" w:type="dxa"/>
            <w:left w:w="108" w:type="dxa"/>
            <w:bottom w:w="0" w:type="dxa"/>
            <w:right w:w="108" w:type="dxa"/>
          </w:tblCellMar>
        </w:tblPrEx>
        <w:trPr>
          <w:trHeight w:val="288"/>
          <w:jc w:val="center"/>
        </w:trPr>
        <w:tc>
          <w:tcPr>
            <w:tcW w:w="708"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p>
        </w:tc>
        <w:tc>
          <w:tcPr>
            <w:tcW w:w="182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文件柜</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16</w:t>
            </w:r>
          </w:p>
        </w:tc>
        <w:tc>
          <w:tcPr>
            <w:tcW w:w="744"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个</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2800</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44800</w:t>
            </w:r>
          </w:p>
        </w:tc>
        <w:tc>
          <w:tcPr>
            <w:tcW w:w="1114" w:type="dxa"/>
            <w:noWrap w:val="0"/>
            <w:vAlign w:val="top"/>
          </w:tcPr>
          <w:p>
            <w:pPr>
              <w:jc w:val="center"/>
              <w:rPr>
                <w:rFonts w:ascii="宋体" w:eastAsia="宋体" w:hAnsi="宋体" w:cs="宋体" w:hint="eastAsia"/>
                <w:b/>
                <w:bCs/>
                <w:color w:val="FF0000"/>
                <w:sz w:val="21"/>
                <w:szCs w:val="21"/>
              </w:rPr>
            </w:pPr>
          </w:p>
        </w:tc>
        <w:tc>
          <w:tcPr>
            <w:tcW w:w="1080" w:type="dxa"/>
            <w:vMerge/>
            <w:noWrap w:val="0"/>
            <w:vAlign w:val="top"/>
          </w:tcPr>
          <w:p>
            <w:pPr>
              <w:jc w:val="center"/>
              <w:rPr>
                <w:rFonts w:ascii="宋体" w:eastAsia="宋体" w:hAnsi="宋体" w:cs="宋体" w:hint="eastAsia"/>
                <w:bCs/>
                <w:sz w:val="21"/>
                <w:szCs w:val="21"/>
              </w:rPr>
            </w:pPr>
          </w:p>
        </w:tc>
      </w:tr>
      <w:tr>
        <w:tblPrEx>
          <w:tblW w:w="5000" w:type="pct"/>
          <w:jc w:val="center"/>
          <w:tblLayout w:type="fixed"/>
          <w:tblCellMar>
            <w:top w:w="0" w:type="dxa"/>
            <w:left w:w="108" w:type="dxa"/>
            <w:bottom w:w="0" w:type="dxa"/>
            <w:right w:w="108" w:type="dxa"/>
          </w:tblCellMar>
        </w:tblPrEx>
        <w:trPr>
          <w:trHeight w:val="288"/>
          <w:jc w:val="center"/>
        </w:trPr>
        <w:tc>
          <w:tcPr>
            <w:tcW w:w="708"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6</w:t>
            </w:r>
          </w:p>
        </w:tc>
        <w:tc>
          <w:tcPr>
            <w:tcW w:w="1824" w:type="dxa"/>
            <w:noWrap w:val="0"/>
            <w:vAlign w:val="top"/>
          </w:tcPr>
          <w:p>
            <w:pPr>
              <w:jc w:val="center"/>
              <w:rPr>
                <w:rFonts w:ascii="宋体" w:eastAsia="宋体" w:hAnsi="宋体" w:cs="宋体" w:hint="eastAsia"/>
                <w:bCs/>
                <w:sz w:val="21"/>
                <w:szCs w:val="21"/>
              </w:rPr>
            </w:pPr>
            <w:r>
              <w:rPr>
                <w:rFonts w:ascii="宋体" w:eastAsia="宋体" w:hAnsi="宋体" w:cs="宋体" w:hint="eastAsia"/>
                <w:bCs/>
                <w:sz w:val="21"/>
                <w:szCs w:val="21"/>
              </w:rPr>
              <w:t>户外休闲桌椅</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32</w:t>
            </w:r>
          </w:p>
        </w:tc>
        <w:tc>
          <w:tcPr>
            <w:tcW w:w="744"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5500</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176000</w:t>
            </w:r>
          </w:p>
        </w:tc>
        <w:tc>
          <w:tcPr>
            <w:tcW w:w="1114" w:type="dxa"/>
            <w:noWrap w:val="0"/>
            <w:vAlign w:val="top"/>
          </w:tcPr>
          <w:p>
            <w:pPr>
              <w:jc w:val="center"/>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lang w:eastAsia="zh-CN"/>
              </w:rPr>
              <w:t>核心产品</w:t>
            </w:r>
          </w:p>
        </w:tc>
        <w:tc>
          <w:tcPr>
            <w:tcW w:w="1080" w:type="dxa"/>
            <w:vMerge/>
            <w:noWrap w:val="0"/>
            <w:vAlign w:val="top"/>
          </w:tcPr>
          <w:p>
            <w:pPr>
              <w:jc w:val="center"/>
              <w:rPr>
                <w:rFonts w:ascii="宋体" w:eastAsia="宋体" w:hAnsi="宋体" w:cs="宋体" w:hint="eastAsia"/>
                <w:bCs/>
                <w:sz w:val="21"/>
                <w:szCs w:val="21"/>
              </w:rPr>
            </w:pPr>
          </w:p>
        </w:tc>
      </w:tr>
      <w:tr>
        <w:tblPrEx>
          <w:tblW w:w="5000" w:type="pct"/>
          <w:jc w:val="center"/>
          <w:tblLayout w:type="fixed"/>
          <w:tblCellMar>
            <w:top w:w="0" w:type="dxa"/>
            <w:left w:w="108" w:type="dxa"/>
            <w:bottom w:w="0" w:type="dxa"/>
            <w:right w:w="108" w:type="dxa"/>
          </w:tblCellMar>
        </w:tblPrEx>
        <w:trPr>
          <w:trHeight w:val="323"/>
          <w:jc w:val="center"/>
        </w:trPr>
        <w:tc>
          <w:tcPr>
            <w:tcW w:w="708"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合计</w:t>
            </w:r>
          </w:p>
        </w:tc>
        <w:tc>
          <w:tcPr>
            <w:tcW w:w="1824"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w:t>
            </w:r>
          </w:p>
        </w:tc>
        <w:tc>
          <w:tcPr>
            <w:tcW w:w="72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w:t>
            </w:r>
          </w:p>
        </w:tc>
        <w:tc>
          <w:tcPr>
            <w:tcW w:w="744"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w:t>
            </w:r>
          </w:p>
        </w:tc>
        <w:tc>
          <w:tcPr>
            <w:tcW w:w="901"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w:t>
            </w:r>
          </w:p>
        </w:tc>
        <w:tc>
          <w:tcPr>
            <w:tcW w:w="1447" w:type="dxa"/>
            <w:noWrap w:val="0"/>
            <w:vAlign w:val="top"/>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285600</w:t>
            </w:r>
          </w:p>
        </w:tc>
        <w:tc>
          <w:tcPr>
            <w:tcW w:w="1114" w:type="dxa"/>
            <w:noWrap w:val="0"/>
            <w:vAlign w:val="top"/>
          </w:tcPr>
          <w:p>
            <w:pPr>
              <w:jc w:val="center"/>
              <w:rPr>
                <w:rFonts w:ascii="宋体" w:eastAsia="宋体" w:hAnsi="宋体" w:cs="宋体" w:hint="eastAsia"/>
                <w:bCs/>
                <w:sz w:val="21"/>
                <w:szCs w:val="21"/>
              </w:rPr>
            </w:pPr>
          </w:p>
        </w:tc>
        <w:tc>
          <w:tcPr>
            <w:tcW w:w="1080" w:type="dxa"/>
            <w:vMerge/>
            <w:noWrap w:val="0"/>
            <w:vAlign w:val="top"/>
          </w:tcPr>
          <w:p>
            <w:pPr>
              <w:jc w:val="center"/>
              <w:rPr>
                <w:rFonts w:ascii="宋体" w:eastAsia="宋体" w:hAnsi="宋体" w:cs="宋体" w:hint="eastAsia"/>
                <w:bCs/>
                <w:sz w:val="21"/>
                <w:szCs w:val="21"/>
              </w:rPr>
            </w:pPr>
          </w:p>
        </w:tc>
      </w:tr>
    </w:tbl>
    <w:p>
      <w:pPr>
        <w:numPr>
          <w:ilvl w:val="0"/>
          <w:numId w:val="0"/>
        </w:numPr>
        <w:spacing w:line="360" w:lineRule="auto"/>
        <w:ind w:left="0" w:firstLine="0"/>
        <w:rPr>
          <w:rFonts w:hint="eastAsia"/>
          <w:b/>
          <w:bCs/>
          <w:lang w:eastAsia="zh-CN"/>
        </w:rPr>
      </w:pPr>
    </w:p>
    <w:p>
      <w:pPr>
        <w:widowControl w:val="0"/>
        <w:numPr>
          <w:ilvl w:val="0"/>
          <w:numId w:val="2"/>
        </w:numPr>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本项目总预算为285,600.00 元。投标总价不得超过项目总预算限额，设置最高单价限价的，分项报价不得超过相应单价限额。</w:t>
      </w:r>
    </w:p>
    <w:p>
      <w:pPr>
        <w:widowControl w:val="0"/>
        <w:numPr>
          <w:ilvl w:val="0"/>
          <w:numId w:val="2"/>
        </w:numPr>
        <w:spacing w:after="120" w:line="360" w:lineRule="auto"/>
        <w:ind w:left="0" w:firstLine="420" w:leftChars="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numPr>
          <w:ilvl w:val="0"/>
          <w:numId w:val="0"/>
        </w:numPr>
        <w:spacing w:after="120" w:line="360" w:lineRule="auto"/>
        <w:ind w:left="480" w:firstLine="0" w:leftChars="200"/>
        <w:jc w:val="both"/>
        <w:rPr>
          <w:rFonts w:ascii="宋体" w:eastAsia="宋体" w:hAnsi="宋体" w:hint="eastAsia"/>
          <w:b/>
          <w:color w:val="000000"/>
          <w:sz w:val="21"/>
          <w:szCs w:val="21"/>
          <w:u w:val="single"/>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户外休闲桌椅</w:t>
      </w:r>
    </w:p>
    <w:p>
      <w:pPr>
        <w:keepNext/>
        <w:keepLines/>
        <w:widowControl w:val="0"/>
        <w:numPr>
          <w:ilvl w:val="0"/>
          <w:numId w:val="0"/>
        </w:numPr>
        <w:tabs>
          <w:tab w:val="left" w:pos="1680"/>
        </w:tabs>
        <w:spacing w:before="260" w:after="60" w:afterLines="25"/>
        <w:ind w:left="0" w:firstLine="0"/>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jc w:val="center"/>
        </w:trPr>
        <w:tc>
          <w:tcPr>
            <w:tcW w:w="961"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numPr>
          <w:ilvl w:val="0"/>
          <w:numId w:val="0"/>
        </w:numPr>
        <w:tabs>
          <w:tab w:val="left" w:pos="1680"/>
        </w:tabs>
        <w:spacing w:before="260" w:after="60" w:afterLines="25"/>
        <w:ind w:left="0" w:firstLine="0"/>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四、商务条款要求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98"/>
        <w:gridCol w:w="1535"/>
        <w:gridCol w:w="6123"/>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序号</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目录</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938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1</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kern w:val="2"/>
                <w:sz w:val="21"/>
                <w:szCs w:val="22"/>
                <w:lang w:eastAsia="zh-CN"/>
              </w:rPr>
            </w:pPr>
            <w:r>
              <w:rPr>
                <w:rFonts w:ascii="Calibri" w:eastAsia="宋体" w:hAnsi="Calibri" w:hint="eastAsia"/>
                <w:kern w:val="2"/>
                <w:sz w:val="21"/>
                <w:szCs w:val="22"/>
                <w:lang w:eastAsia="zh-CN"/>
              </w:rPr>
              <w:t>免费保修期</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
                <w:kern w:val="2"/>
                <w:sz w:val="21"/>
                <w:szCs w:val="22"/>
                <w:lang w:eastAsia="zh-CN"/>
              </w:rPr>
            </w:pPr>
            <w:r>
              <w:rPr>
                <w:rFonts w:ascii="宋体" w:eastAsia="宋体" w:hAnsi="宋体" w:cs="宋体" w:hint="eastAsia"/>
                <w:kern w:val="2"/>
                <w:sz w:val="21"/>
                <w:szCs w:val="21"/>
                <w:lang w:eastAsia="zh-CN"/>
              </w:rPr>
              <w:t>★</w:t>
            </w:r>
            <w:r>
              <w:rPr>
                <w:rFonts w:ascii="Calibri" w:eastAsia="宋体" w:hAnsi="Calibri" w:hint="eastAsia"/>
                <w:bCs/>
                <w:kern w:val="2"/>
                <w:sz w:val="21"/>
                <w:szCs w:val="21"/>
                <w:lang w:eastAsia="zh-CN"/>
              </w:rPr>
              <w:t>货物免费保修期至少__3__年，时间自最终验收合格并交付使用之日起计算。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2</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kern w:val="2"/>
                <w:sz w:val="21"/>
                <w:szCs w:val="22"/>
                <w:lang w:eastAsia="zh-CN"/>
              </w:rPr>
            </w:pPr>
            <w:r>
              <w:rPr>
                <w:rFonts w:ascii="Calibri" w:eastAsia="宋体" w:hAnsi="Calibri" w:hint="eastAsia"/>
                <w:kern w:val="2"/>
                <w:sz w:val="21"/>
                <w:szCs w:val="22"/>
                <w:lang w:eastAsia="zh-CN"/>
              </w:rPr>
              <w:t>维修响应及故障解决时间</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
                <w:kern w:val="2"/>
                <w:sz w:val="21"/>
                <w:szCs w:val="22"/>
                <w:lang w:eastAsia="zh-CN"/>
              </w:rPr>
            </w:pPr>
            <w:r>
              <w:rPr>
                <w:rFonts w:ascii="Calibri" w:eastAsia="宋体" w:hAnsi="Calibri" w:hint="eastAsia"/>
                <w:bCs/>
                <w:kern w:val="2"/>
                <w:sz w:val="21"/>
                <w:szCs w:val="21"/>
                <w:lang w:eastAsia="zh-CN"/>
              </w:rPr>
              <w:t>在保修期内，一旦发生质量问题，响应供应商保证在接到通知24小时内赶到现场进行修理或更换。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
                <w:kern w:val="2"/>
                <w:sz w:val="21"/>
                <w:szCs w:val="22"/>
                <w:lang w:eastAsia="zh-CN"/>
              </w:rPr>
            </w:pPr>
            <w:r>
              <w:rPr>
                <w:rFonts w:ascii="Calibri" w:eastAsia="宋体" w:hAnsi="Calibri" w:hint="eastAsia"/>
                <w:b/>
                <w:kern w:val="2"/>
                <w:sz w:val="21"/>
                <w:szCs w:val="22"/>
                <w:lang w:eastAsia="zh-CN"/>
              </w:rPr>
              <w:t>3</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kern w:val="2"/>
                <w:sz w:val="21"/>
                <w:szCs w:val="22"/>
                <w:lang w:eastAsia="zh-CN"/>
              </w:rPr>
              <w:t>其他</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
                <w:kern w:val="2"/>
                <w:sz w:val="21"/>
                <w:szCs w:val="22"/>
                <w:lang w:eastAsia="zh-CN"/>
              </w:rPr>
            </w:pPr>
            <w:r>
              <w:rPr>
                <w:rFonts w:ascii="Calibri" w:eastAsia="宋体" w:hAnsi="Calibri" w:hint="eastAsia"/>
                <w:bCs/>
                <w:kern w:val="2"/>
                <w:sz w:val="21"/>
                <w:szCs w:val="21"/>
                <w:lang w:eastAsia="zh-CN"/>
              </w:rPr>
              <w:t>投标人中标后，应按其投标文件中的承诺，进行其他售后服务工作。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350"/>
        </w:trPr>
        <w:tc>
          <w:tcPr>
            <w:tcW w:w="938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（二）其他商务要求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1</w:t>
            </w:r>
          </w:p>
        </w:tc>
        <w:tc>
          <w:tcPr>
            <w:tcW w:w="16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kern w:val="2"/>
                <w:sz w:val="21"/>
                <w:szCs w:val="22"/>
                <w:lang w:eastAsia="zh-CN"/>
              </w:rPr>
            </w:pPr>
            <w:r>
              <w:rPr>
                <w:rFonts w:ascii="Calibri" w:eastAsia="宋体" w:hAnsi="Calibri" w:hint="eastAsia"/>
                <w:kern w:val="2"/>
                <w:sz w:val="21"/>
                <w:szCs w:val="22"/>
                <w:lang w:eastAsia="zh-CN"/>
              </w:rPr>
              <w:t>关于交货</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
                <w:kern w:val="2"/>
                <w:sz w:val="21"/>
                <w:szCs w:val="22"/>
                <w:lang w:eastAsia="zh-CN"/>
              </w:rPr>
            </w:pPr>
            <w:r>
              <w:rPr>
                <w:rFonts w:ascii="Calibri" w:eastAsia="宋体" w:hAnsi="Calibri" w:hint="eastAsia"/>
                <w:bCs/>
                <w:kern w:val="2"/>
                <w:sz w:val="21"/>
                <w:szCs w:val="21"/>
                <w:lang w:eastAsia="zh-CN"/>
              </w:rPr>
              <w:t>1.1</w:t>
            </w:r>
            <w:r>
              <w:rPr>
                <w:rFonts w:ascii="宋体" w:eastAsia="宋体" w:hAnsi="宋体" w:cs="宋体" w:hint="eastAsia"/>
                <w:kern w:val="2"/>
                <w:sz w:val="21"/>
                <w:szCs w:val="21"/>
                <w:lang w:eastAsia="zh-CN"/>
              </w:rPr>
              <w:t>★</w:t>
            </w:r>
            <w:r>
              <w:rPr>
                <w:rFonts w:ascii="Calibri" w:eastAsia="宋体" w:hAnsi="Calibri" w:hint="eastAsia"/>
                <w:bCs/>
                <w:kern w:val="2"/>
                <w:sz w:val="21"/>
                <w:szCs w:val="21"/>
                <w:lang w:eastAsia="zh-CN"/>
              </w:rPr>
              <w:t>签订合同后_30___天（日历日）内。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Cs/>
                <w:kern w:val="2"/>
                <w:sz w:val="21"/>
                <w:szCs w:val="21"/>
                <w:lang w:eastAsia="zh-CN"/>
              </w:rPr>
            </w:pPr>
            <w:r>
              <w:rPr>
                <w:rFonts w:ascii="Calibri" w:eastAsia="宋体" w:hAnsi="Calibri" w:hint="eastAsia"/>
                <w:bCs/>
                <w:kern w:val="2"/>
                <w:sz w:val="21"/>
                <w:szCs w:val="21"/>
                <w:lang w:eastAsia="zh-CN"/>
              </w:rPr>
              <w:t>1.2投标人中标后，必须承担设备运输、安装调试、验收检测和提供设备操作说明书、图纸等其他类似的义务。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r>
              <w:rPr>
                <w:rFonts w:ascii="Calibri" w:eastAsia="宋体" w:hAnsi="Calibri" w:hint="eastAsia"/>
                <w:b/>
                <w:kern w:val="2"/>
                <w:sz w:val="21"/>
                <w:szCs w:val="22"/>
                <w:lang w:eastAsia="zh-CN"/>
              </w:rPr>
              <w:t>2</w:t>
            </w:r>
          </w:p>
        </w:tc>
        <w:tc>
          <w:tcPr>
            <w:tcW w:w="16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kern w:val="2"/>
                <w:sz w:val="21"/>
                <w:szCs w:val="22"/>
                <w:lang w:eastAsia="zh-CN"/>
              </w:rPr>
            </w:pPr>
            <w:r>
              <w:rPr>
                <w:rFonts w:ascii="Calibri" w:eastAsia="宋体" w:hAnsi="Calibri" w:hint="eastAsia"/>
                <w:kern w:val="2"/>
                <w:sz w:val="21"/>
                <w:szCs w:val="22"/>
                <w:lang w:eastAsia="zh-CN"/>
              </w:rPr>
              <w:t>关于验收</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Cs/>
                <w:kern w:val="2"/>
                <w:sz w:val="21"/>
                <w:szCs w:val="21"/>
                <w:lang w:eastAsia="zh-CN"/>
              </w:rPr>
            </w:pPr>
            <w:r>
              <w:rPr>
                <w:rFonts w:ascii="Calibri" w:eastAsia="宋体" w:hAnsi="Calibri" w:hint="eastAsia"/>
                <w:bCs/>
                <w:kern w:val="2"/>
                <w:sz w:val="21"/>
                <w:szCs w:val="21"/>
                <w:lang w:eastAsia="zh-CN"/>
              </w:rPr>
              <w:t>2.1投标人中标后，其货物经过双方检验认可后，签署验收报告，产品保修期自验收合格之日起算，由投标人提供产品保修文件。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Calibri" w:eastAsia="宋体" w:hAnsi="Calibri"/>
                <w:bCs/>
                <w:kern w:val="2"/>
                <w:sz w:val="21"/>
                <w:szCs w:val="21"/>
                <w:lang w:eastAsia="zh-CN"/>
              </w:rPr>
            </w:pPr>
            <w:r>
              <w:rPr>
                <w:rFonts w:ascii="Calibri" w:eastAsia="宋体" w:hAnsi="Calibri" w:hint="eastAsia"/>
                <w:bCs/>
                <w:kern w:val="2"/>
                <w:sz w:val="21"/>
                <w:szCs w:val="21"/>
                <w:lang w:eastAsia="zh-CN"/>
              </w:rPr>
              <w:t>2.2投标人中标后，当满足以下条件时，采购人才向投标人签发货物验收报告：</w:t>
            </w:r>
          </w:p>
          <w:p>
            <w:pPr>
              <w:keepNext w:val="0"/>
              <w:keepLines w:val="0"/>
              <w:pageBreakBefore w:val="0"/>
              <w:widowControl w:val="0"/>
              <w:tabs>
                <w:tab w:val="left" w:pos="1260"/>
              </w:tabs>
              <w:kinsoku/>
              <w:wordWrap/>
              <w:overflowPunct/>
              <w:topLinePunct w:val="0"/>
              <w:autoSpaceDE/>
              <w:autoSpaceDN/>
              <w:bidi w:val="0"/>
              <w:adjustRightInd/>
              <w:snapToGrid/>
              <w:spacing w:line="312" w:lineRule="auto"/>
              <w:jc w:val="both"/>
              <w:textAlignment w:val="auto"/>
              <w:rPr>
                <w:rFonts w:ascii="Calibri" w:eastAsia="宋体" w:hAnsi="Calibri"/>
                <w:bCs/>
                <w:kern w:val="2"/>
                <w:sz w:val="21"/>
                <w:szCs w:val="21"/>
                <w:lang w:eastAsia="zh-CN"/>
              </w:rPr>
            </w:pPr>
            <w:r>
              <w:rPr>
                <w:rFonts w:ascii="Calibri" w:eastAsia="宋体" w:hAnsi="Calibri"/>
                <w:bCs/>
                <w:kern w:val="2"/>
                <w:sz w:val="21"/>
                <w:szCs w:val="21"/>
                <w:lang w:eastAsia="zh-CN"/>
              </w:rPr>
              <w:t>a</w:t>
            </w:r>
            <w:r>
              <w:rPr>
                <w:rFonts w:ascii="Calibri" w:eastAsia="宋体" w:hAnsi="Calibri" w:hint="eastAsia"/>
                <w:bCs/>
                <w:kern w:val="2"/>
                <w:sz w:val="21"/>
                <w:szCs w:val="21"/>
                <w:lang w:eastAsia="zh-CN"/>
              </w:rPr>
              <w:t>、投标人已按照合同规定提供了全部产品及完整的技术资料。</w:t>
            </w:r>
          </w:p>
          <w:p>
            <w:pPr>
              <w:keepNext w:val="0"/>
              <w:keepLines w:val="0"/>
              <w:pageBreakBefore w:val="0"/>
              <w:widowControl w:val="0"/>
              <w:tabs>
                <w:tab w:val="left" w:pos="1260"/>
              </w:tabs>
              <w:kinsoku/>
              <w:wordWrap/>
              <w:overflowPunct/>
              <w:topLinePunct w:val="0"/>
              <w:autoSpaceDE/>
              <w:autoSpaceDN/>
              <w:bidi w:val="0"/>
              <w:adjustRightInd/>
              <w:snapToGrid/>
              <w:spacing w:line="312" w:lineRule="auto"/>
              <w:jc w:val="both"/>
              <w:textAlignment w:val="auto"/>
              <w:rPr>
                <w:rFonts w:ascii="Calibri" w:eastAsia="宋体" w:hAnsi="Calibri"/>
                <w:bCs/>
                <w:kern w:val="2"/>
                <w:sz w:val="21"/>
                <w:szCs w:val="21"/>
                <w:lang w:eastAsia="zh-CN"/>
              </w:rPr>
            </w:pPr>
            <w:r>
              <w:rPr>
                <w:rFonts w:ascii="Calibri" w:eastAsia="宋体" w:hAnsi="Calibri"/>
                <w:bCs/>
                <w:kern w:val="2"/>
                <w:sz w:val="21"/>
                <w:szCs w:val="21"/>
                <w:lang w:eastAsia="zh-CN"/>
              </w:rPr>
              <w:t>b</w:t>
            </w:r>
            <w:r>
              <w:rPr>
                <w:rFonts w:ascii="Calibri" w:eastAsia="宋体" w:hAnsi="Calibri" w:hint="eastAsia"/>
                <w:bCs/>
                <w:kern w:val="2"/>
                <w:sz w:val="21"/>
                <w:szCs w:val="21"/>
                <w:lang w:eastAsia="zh-CN"/>
              </w:rPr>
              <w:t>、货物符合采购文件技术规格书的要求，性能满足要求。</w:t>
            </w:r>
          </w:p>
          <w:p>
            <w:pPr>
              <w:keepNext w:val="0"/>
              <w:keepLines w:val="0"/>
              <w:pageBreakBefore w:val="0"/>
              <w:widowControl w:val="0"/>
              <w:tabs>
                <w:tab w:val="left" w:pos="1260"/>
              </w:tabs>
              <w:kinsoku/>
              <w:wordWrap/>
              <w:overflowPunct/>
              <w:topLinePunct w:val="0"/>
              <w:autoSpaceDE/>
              <w:autoSpaceDN/>
              <w:bidi w:val="0"/>
              <w:adjustRightInd/>
              <w:snapToGrid/>
              <w:spacing w:line="312" w:lineRule="auto"/>
              <w:jc w:val="both"/>
              <w:textAlignment w:val="auto"/>
              <w:rPr>
                <w:rFonts w:ascii="Calibri" w:eastAsia="宋体" w:hAnsi="Calibri"/>
                <w:bCs/>
                <w:kern w:val="2"/>
                <w:sz w:val="21"/>
                <w:szCs w:val="21"/>
                <w:lang w:eastAsia="zh-CN"/>
              </w:rPr>
            </w:pPr>
            <w:r>
              <w:rPr>
                <w:rFonts w:ascii="Calibri" w:eastAsia="宋体" w:hAnsi="Calibri"/>
                <w:bCs/>
                <w:kern w:val="2"/>
                <w:sz w:val="21"/>
                <w:szCs w:val="21"/>
                <w:lang w:eastAsia="zh-CN"/>
              </w:rPr>
              <w:t>c</w:t>
            </w:r>
            <w:r>
              <w:rPr>
                <w:rFonts w:ascii="Calibri" w:eastAsia="宋体" w:hAnsi="Calibri" w:hint="eastAsia"/>
                <w:bCs/>
                <w:kern w:val="2"/>
                <w:sz w:val="21"/>
                <w:szCs w:val="21"/>
                <w:lang w:eastAsia="zh-CN"/>
              </w:rPr>
              <w:t>、货物具备产品合格证。</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3</w:t>
            </w:r>
          </w:p>
        </w:tc>
        <w:tc>
          <w:tcPr>
            <w:tcW w:w="16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违约责任</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1"/>
                <w:lang w:eastAsia="zh-CN"/>
              </w:rPr>
            </w:pPr>
            <w:r>
              <w:rPr>
                <w:rFonts w:ascii="Calibri" w:eastAsia="宋体" w:hAnsi="Calibri" w:hint="eastAsia"/>
                <w:kern w:val="2"/>
                <w:sz w:val="21"/>
                <w:szCs w:val="22"/>
                <w:lang w:eastAsia="zh-CN"/>
              </w:rPr>
              <w:t>3.1如中标供应商未按照投标文件中承诺的时间交货或提供服务，中标供应商应承担延期交货和延期服务的违约责任，并赔偿采购人因此造成的实际经济损失，采购人有权终止合同。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3.2</w:t>
            </w:r>
            <w:r>
              <w:rPr>
                <w:rFonts w:ascii="Calibri" w:eastAsia="宋体" w:hAnsi="Calibri" w:hint="eastAsia"/>
                <w:bCs/>
                <w:kern w:val="2"/>
                <w:sz w:val="21"/>
                <w:szCs w:val="21"/>
                <w:lang w:eastAsia="zh-CN"/>
              </w:rPr>
              <w:t>投标人中标后</w:t>
            </w:r>
            <w:r>
              <w:rPr>
                <w:rFonts w:ascii="宋体" w:eastAsia="宋体" w:hAnsi="宋体" w:cs="宋体" w:hint="eastAsia"/>
                <w:bCs/>
                <w:kern w:val="2"/>
                <w:sz w:val="21"/>
                <w:szCs w:val="21"/>
                <w:lang w:eastAsia="zh-CN"/>
              </w:rPr>
              <w:t>所交设备的品种、型号、规格、质量、功能、技术参数等方面不能实质性满足采购文件要求的，采购人有权拒绝收货，</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1"/>
                <w:lang w:eastAsia="zh-CN"/>
              </w:rPr>
              <w:t>向采购人偿付项目采购金额【15】%（10%以上20%以下）的违约金并采取更换、补足等补救措施，致使逾期交付的，还应承担逾期交付的违约责任。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3.3</w:t>
            </w:r>
            <w:r>
              <w:rPr>
                <w:rFonts w:ascii="Calibri" w:eastAsia="宋体" w:hAnsi="Calibri" w:hint="eastAsia"/>
                <w:bCs/>
                <w:kern w:val="2"/>
                <w:sz w:val="21"/>
                <w:szCs w:val="21"/>
                <w:lang w:eastAsia="zh-CN"/>
              </w:rPr>
              <w:t>投标人中标后</w:t>
            </w:r>
            <w:r>
              <w:rPr>
                <w:rFonts w:ascii="宋体" w:eastAsia="宋体" w:hAnsi="宋体" w:cs="宋体" w:hint="eastAsia"/>
                <w:bCs/>
                <w:kern w:val="2"/>
                <w:sz w:val="21"/>
                <w:szCs w:val="21"/>
                <w:lang w:eastAsia="zh-CN"/>
              </w:rPr>
              <w:t>不能交付设备的，</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1"/>
                <w:lang w:eastAsia="zh-CN"/>
              </w:rPr>
              <w:t>向采购人偿付项目采购金额【15】%（10%以上20%以下）的违约金。</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3.4</w:t>
            </w:r>
            <w:r>
              <w:rPr>
                <w:rFonts w:ascii="Calibri" w:eastAsia="宋体" w:hAnsi="Calibri" w:hint="eastAsia"/>
                <w:bCs/>
                <w:kern w:val="2"/>
                <w:sz w:val="21"/>
                <w:szCs w:val="21"/>
                <w:lang w:eastAsia="zh-CN"/>
              </w:rPr>
              <w:t>投标人中标后</w:t>
            </w:r>
            <w:r>
              <w:rPr>
                <w:rFonts w:ascii="宋体" w:eastAsia="宋体" w:hAnsi="宋体" w:cs="宋体" w:hint="eastAsia"/>
                <w:bCs/>
                <w:kern w:val="2"/>
                <w:sz w:val="21"/>
                <w:szCs w:val="21"/>
                <w:lang w:eastAsia="zh-CN"/>
              </w:rPr>
              <w:t>逾期交付货物的，每逾期1天，</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1"/>
                <w:lang w:eastAsia="zh-CN"/>
              </w:rPr>
              <w:t>向采购人偿付项目采购金额的【3】‰（1‰以上5‰以下）的违约金。如</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1"/>
                <w:lang w:eastAsia="zh-CN"/>
              </w:rPr>
              <w:t>逾期交货达</w:t>
            </w:r>
            <w:r>
              <w:rPr>
                <w:rFonts w:ascii="宋体" w:eastAsia="宋体" w:hAnsi="宋体" w:cs="宋体" w:hint="eastAsia"/>
                <w:bCs/>
                <w:kern w:val="2"/>
                <w:sz w:val="21"/>
                <w:szCs w:val="21"/>
                <w:u w:val="single"/>
                <w:lang w:eastAsia="zh-CN"/>
              </w:rPr>
              <w:t>30</w:t>
            </w:r>
            <w:r>
              <w:rPr>
                <w:rFonts w:ascii="宋体" w:eastAsia="宋体" w:hAnsi="宋体" w:cs="宋体" w:hint="eastAsia"/>
                <w:bCs/>
                <w:kern w:val="2"/>
                <w:sz w:val="21"/>
                <w:szCs w:val="21"/>
                <w:lang w:eastAsia="zh-CN"/>
              </w:rPr>
              <w:t>天，采购人有权解除合同。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Cs/>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
                <w:kern w:val="2"/>
                <w:sz w:val="21"/>
                <w:szCs w:val="22"/>
                <w:lang w:eastAsia="zh-CN"/>
              </w:rPr>
            </w:pPr>
            <w:r>
              <w:rPr>
                <w:rFonts w:ascii="宋体" w:eastAsia="宋体" w:hAnsi="宋体" w:cs="宋体" w:hint="eastAsia"/>
                <w:bCs/>
                <w:kern w:val="2"/>
                <w:sz w:val="21"/>
                <w:szCs w:val="22"/>
                <w:lang w:eastAsia="zh-CN"/>
              </w:rPr>
              <w:t>3.5</w:t>
            </w:r>
            <w:r>
              <w:rPr>
                <w:rFonts w:ascii="Calibri" w:eastAsia="宋体" w:hAnsi="Calibri" w:hint="eastAsia"/>
                <w:bCs/>
                <w:kern w:val="2"/>
                <w:sz w:val="21"/>
                <w:szCs w:val="21"/>
                <w:lang w:eastAsia="zh-CN"/>
              </w:rPr>
              <w:t>投标人中标后，在其</w:t>
            </w:r>
            <w:r>
              <w:rPr>
                <w:rFonts w:ascii="宋体" w:eastAsia="宋体" w:hAnsi="宋体" w:cs="宋体" w:hint="eastAsia"/>
                <w:bCs/>
                <w:kern w:val="2"/>
                <w:sz w:val="21"/>
                <w:szCs w:val="22"/>
                <w:lang w:eastAsia="zh-CN"/>
              </w:rPr>
              <w:t>承诺的或国家规定的质量保证期内（取两者中最长的期限），如经</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2"/>
                <w:lang w:eastAsia="zh-CN"/>
              </w:rPr>
              <w:t>两次维修或更换，货物仍不能达到采购文件要求及投标文件承诺的质量标准，采购人有权退货，</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2"/>
                <w:lang w:eastAsia="zh-CN"/>
              </w:rPr>
              <w:t>应退回全部货款并赔偿采购人因此遭受的损失。</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p>
        </w:tc>
        <w:tc>
          <w:tcPr>
            <w:tcW w:w="1620" w:type="dxa"/>
            <w:vMerge/>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bCs/>
                <w:kern w:val="2"/>
                <w:sz w:val="21"/>
                <w:szCs w:val="22"/>
                <w:lang w:eastAsia="zh-CN"/>
              </w:rPr>
            </w:pP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
                <w:kern w:val="2"/>
                <w:sz w:val="21"/>
                <w:szCs w:val="22"/>
                <w:lang w:eastAsia="zh-CN"/>
              </w:rPr>
            </w:pPr>
            <w:r>
              <w:rPr>
                <w:rFonts w:ascii="宋体" w:eastAsia="宋体" w:hAnsi="宋体" w:cs="宋体" w:hint="eastAsia"/>
                <w:bCs/>
                <w:kern w:val="2"/>
                <w:sz w:val="21"/>
                <w:szCs w:val="22"/>
                <w:lang w:eastAsia="zh-CN"/>
              </w:rPr>
              <w:t>3.6</w:t>
            </w:r>
            <w:r>
              <w:rPr>
                <w:rFonts w:ascii="Calibri" w:eastAsia="宋体" w:hAnsi="Calibri" w:hint="eastAsia"/>
                <w:bCs/>
                <w:kern w:val="2"/>
                <w:sz w:val="21"/>
                <w:szCs w:val="21"/>
                <w:lang w:eastAsia="zh-CN"/>
              </w:rPr>
              <w:t>投标人中标后</w:t>
            </w:r>
            <w:r>
              <w:rPr>
                <w:rFonts w:ascii="宋体" w:eastAsia="宋体" w:hAnsi="宋体" w:cs="宋体" w:hint="eastAsia"/>
                <w:bCs/>
                <w:kern w:val="2"/>
                <w:sz w:val="21"/>
                <w:szCs w:val="22"/>
                <w:lang w:eastAsia="zh-CN"/>
              </w:rPr>
              <w:t>在承担上述一项或多项违约责任后，仍应继续履行合同规定的义务（采购人解除合同的除外）。采购人未能及时追究</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2"/>
                <w:lang w:eastAsia="zh-CN"/>
              </w:rPr>
              <w:t>的任何一项违约责任并不表明采购人放弃追究</w:t>
            </w:r>
            <w:r>
              <w:rPr>
                <w:rFonts w:ascii="Calibri" w:eastAsia="宋体" w:hAnsi="Calibri" w:hint="eastAsia"/>
                <w:bCs/>
                <w:kern w:val="2"/>
                <w:sz w:val="21"/>
                <w:szCs w:val="21"/>
                <w:lang w:eastAsia="zh-CN"/>
              </w:rPr>
              <w:t>投标人</w:t>
            </w:r>
            <w:r>
              <w:rPr>
                <w:rFonts w:ascii="宋体" w:eastAsia="宋体" w:hAnsi="宋体" w:cs="宋体" w:hint="eastAsia"/>
                <w:bCs/>
                <w:kern w:val="2"/>
                <w:sz w:val="21"/>
                <w:szCs w:val="22"/>
                <w:lang w:eastAsia="zh-CN"/>
              </w:rPr>
              <w:t>该项或其他违约责任。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4</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其他</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投标人</w:t>
            </w:r>
            <w:r>
              <w:rPr>
                <w:rFonts w:ascii="Calibri" w:eastAsia="宋体" w:hAnsi="Calibri" w:hint="eastAsia"/>
                <w:bCs/>
                <w:kern w:val="2"/>
                <w:sz w:val="21"/>
                <w:szCs w:val="21"/>
                <w:lang w:eastAsia="zh-CN"/>
              </w:rPr>
              <w:t>中标后</w:t>
            </w:r>
            <w:r>
              <w:rPr>
                <w:rFonts w:ascii="宋体" w:eastAsia="宋体" w:hAnsi="宋体" w:cs="宋体" w:hint="eastAsia"/>
                <w:bCs/>
                <w:kern w:val="2"/>
                <w:sz w:val="21"/>
                <w:szCs w:val="22"/>
                <w:lang w:eastAsia="zh-CN"/>
              </w:rPr>
              <w:t>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90"/>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5</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付款方式</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1</w:t>
            </w:r>
            <w:r>
              <w:rPr>
                <w:rFonts w:ascii="宋体" w:eastAsia="宋体" w:hAnsi="宋体" w:cs="宋体" w:hint="eastAsia"/>
                <w:bCs/>
                <w:kern w:val="2"/>
                <w:sz w:val="21"/>
                <w:szCs w:val="22"/>
                <w:lang w:eastAsia="zh-CN"/>
              </w:rPr>
              <w:t>、全部货物送到采购人指定地点、完成安装并验收合格后 10 个工作日内，采购人向中标供应商支付合同总价【100】%的款项；</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2</w:t>
            </w:r>
            <w:r>
              <w:rPr>
                <w:rFonts w:ascii="宋体" w:eastAsia="宋体" w:hAnsi="宋体" w:cs="宋体" w:hint="eastAsia"/>
                <w:bCs/>
                <w:kern w:val="2"/>
                <w:sz w:val="21"/>
                <w:szCs w:val="22"/>
                <w:lang w:eastAsia="zh-CN"/>
              </w:rPr>
              <w:t>、因财政资金拨款未到位而导致甲方未在约定期限内支付合同费用的，中标供应商不得要求采购人承担逾期付款的违约责任。每次付款前，中标供应商应需先提供相应额度的正规发票给采购人，以便办理支付手续。</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6</w:t>
            </w:r>
          </w:p>
        </w:tc>
        <w:tc>
          <w:tcPr>
            <w:tcW w:w="1620"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Calibri" w:eastAsia="宋体" w:hAnsi="Calibri" w:hint="eastAsia"/>
                <w:bCs/>
                <w:kern w:val="2"/>
                <w:sz w:val="21"/>
                <w:szCs w:val="22"/>
                <w:lang w:eastAsia="zh-CN"/>
              </w:rPr>
            </w:pPr>
            <w:r>
              <w:rPr>
                <w:rFonts w:ascii="Calibri" w:eastAsia="宋体" w:hAnsi="Calibri" w:hint="eastAsia"/>
                <w:bCs/>
                <w:kern w:val="2"/>
                <w:sz w:val="21"/>
                <w:szCs w:val="22"/>
                <w:lang w:eastAsia="zh-CN"/>
              </w:rPr>
              <w:t>投标报价要求</w:t>
            </w:r>
          </w:p>
        </w:tc>
        <w:tc>
          <w:tcPr>
            <w:tcW w:w="6506" w:type="dxa"/>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3、投标人的投标报价不得超过财政预算限额，如设投标最高限价的，报价不得超过最高限价；</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4、投标人的投标报价，应是本项目采购范围和采购文件及合同条款上所列的各项内容中所述的全部，不得以任何理由予以重复，并以投标人在中提出的综合单价或总价为依据；</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5、除非采购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7、投标人应先到项目地点踏勘以充分了解项目的位置、情况、道路及任何其它足以影响投标报价的情况，任何因忽视或误解项目情况而导致的索赔或服务期限延长申请将不获批准；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ascii="宋体" w:eastAsia="宋体" w:hAnsi="宋体" w:cs="宋体" w:hint="eastAsia"/>
                <w:bCs/>
                <w:kern w:val="2"/>
                <w:sz w:val="21"/>
                <w:szCs w:val="22"/>
                <w:lang w:eastAsia="zh-CN"/>
              </w:rPr>
            </w:pPr>
            <w:r>
              <w:rPr>
                <w:rFonts w:ascii="宋体" w:eastAsia="宋体" w:hAnsi="宋体" w:cs="宋体" w:hint="eastAsia"/>
                <w:bCs/>
                <w:kern w:val="2"/>
                <w:sz w:val="21"/>
                <w:szCs w:val="22"/>
                <w:lang w:eastAsia="zh-CN"/>
              </w:rPr>
              <w:t>8、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tc>
      </w:tr>
    </w:tbl>
    <w:p>
      <w:pPr>
        <w:spacing w:line="360" w:lineRule="auto"/>
        <w:rPr>
          <w:rFonts w:ascii="Calibri" w:eastAsia="宋体" w:hAnsi="Calibri" w:hint="eastAsia"/>
          <w:b/>
          <w:bCs/>
          <w:kern w:val="2"/>
          <w:sz w:val="21"/>
          <w:szCs w:val="21"/>
          <w:lang w:eastAsia="zh-CN"/>
        </w:rPr>
      </w:pPr>
    </w:p>
    <w:p>
      <w:pPr>
        <w:widowControl w:val="0"/>
        <w:jc w:val="both"/>
        <w:rPr>
          <w:rFonts w:ascii="Calibri" w:eastAsia="宋体" w:hAnsi="Calibri" w:cs="Calibri" w:hint="eastAsia"/>
          <w:i/>
          <w:iCs/>
          <w:color w:val="000000"/>
          <w:kern w:val="2"/>
          <w:sz w:val="22"/>
          <w:szCs w:val="22"/>
          <w:lang w:eastAsia="zh-CN"/>
        </w:rPr>
      </w:pPr>
    </w:p>
    <w:p>
      <w:pPr>
        <w:widowControl w:val="0"/>
        <w:ind w:firstLine="420" w:firstLineChars="200"/>
        <w:jc w:val="both"/>
        <w:rPr>
          <w:rFonts w:ascii="Calibri" w:eastAsia="宋体" w:hAnsi="Calibri" w:hint="eastAsia"/>
          <w:b/>
          <w:kern w:val="2"/>
          <w:sz w:val="21"/>
          <w:szCs w:val="21"/>
          <w:lang w:eastAsia="zh-CN"/>
        </w:rPr>
      </w:pPr>
    </w:p>
    <w:p>
      <w:pPr>
        <w:keepNext/>
        <w:keepLines/>
        <w:widowControl w:val="0"/>
        <w:numPr>
          <w:ilvl w:val="0"/>
          <w:numId w:val="0"/>
        </w:numPr>
        <w:tabs>
          <w:tab w:val="left" w:pos="1680"/>
        </w:tabs>
        <w:spacing w:before="260" w:after="60" w:afterLines="25"/>
        <w:ind w:left="0" w:firstLine="0"/>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五、技术要求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r>
        <w:rPr>
          <w:rFonts w:ascii="宋体" w:eastAsia="宋体" w:hAnsi="宋体" w:cs="宋体" w:hint="eastAsia"/>
          <w:bCs/>
          <w:kern w:val="2"/>
          <w:sz w:val="21"/>
          <w:szCs w:val="22"/>
          <w:lang w:eastAsia="zh-CN"/>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60"/>
        <w:gridCol w:w="1937"/>
        <w:gridCol w:w="585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jc w:val="center"/>
        </w:trPr>
        <w:tc>
          <w:tcPr>
            <w:tcW w:w="1081" w:type="dxa"/>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980" w:type="dxa"/>
            <w:noWrap w:val="0"/>
            <w:vAlign w:val="center"/>
          </w:tcPr>
          <w:p>
            <w:pPr>
              <w:keepNext w:val="0"/>
              <w:keepLines w:val="0"/>
              <w:pageBreakBefore w:val="0"/>
              <w:widowControl/>
              <w:kinsoku/>
              <w:wordWrap/>
              <w:overflowPunct/>
              <w:topLinePunct w:val="0"/>
              <w:autoSpaceDE/>
              <w:autoSpaceDN/>
              <w:bidi w:val="0"/>
              <w:adjustRightInd/>
              <w:spacing w:line="312"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6003" w:type="dxa"/>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1</w:t>
            </w:r>
          </w:p>
        </w:tc>
        <w:tc>
          <w:tcPr>
            <w:tcW w:w="1980"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r>
              <w:rPr>
                <w:rFonts w:ascii="宋体" w:eastAsia="宋体" w:hAnsi="宋体" w:cs="宋体" w:hint="eastAsia"/>
                <w:sz w:val="21"/>
                <w:szCs w:val="21"/>
              </w:rPr>
              <w:t>单人床</w:t>
            </w: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1.规格：（W2000*D1200）mm±5%，实际尺寸以现场测量为准；</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2.床头板：采用国标不低于E0级环保刨花板，三聚氰胺饰面；</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3.床立柱：型材W80mm（±10mm）*D50mm（±10mm）*厚度1.2mm（±0.2mm）；</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4.长横梁：型材W80mm（±10mm）*D30mm（±10mm）*厚度1.2mm（±0.2mm）；</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5.短横梁：型材W80mm（±10mm）*D39mm（±10mm）*厚度1.2mm（±0.2mm）；</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6.床挂件：钢板W110mm（±10mm）*D35mm（±10mm）*厚度2.5mm（±0.2mm）；</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7.床支撑：W35mm（±10mm）*D20mm（±10mm）*厚度0.9mm（±0.2mm）。</w:t>
            </w:r>
          </w:p>
        </w:tc>
      </w:tr>
      <w:tr>
        <w:tblPrEx>
          <w:tblW w:w="5000" w:type="pct"/>
          <w:jc w:val="center"/>
          <w:tblLayout w:type="fixed"/>
          <w:tblCellMar>
            <w:top w:w="0" w:type="dxa"/>
            <w:left w:w="108" w:type="dxa"/>
            <w:bottom w:w="0" w:type="dxa"/>
            <w:right w:w="108" w:type="dxa"/>
          </w:tblCellMar>
        </w:tblPrEx>
        <w:trPr>
          <w:trHeight w:val="45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widowControl w:val="0"/>
              <w:kinsoku/>
              <w:wordWrap/>
              <w:overflowPunct/>
              <w:topLinePunct w:val="0"/>
              <w:autoSpaceDE/>
              <w:autoSpaceDN/>
              <w:bidi w:val="0"/>
              <w:adjustRightInd/>
              <w:snapToGrid w:val="0"/>
              <w:spacing w:line="312"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8</w:t>
            </w:r>
            <w:r>
              <w:rPr>
                <w:rFonts w:ascii="宋体" w:eastAsia="宋体" w:hAnsi="宋体" w:cs="宋体" w:hint="eastAsia"/>
                <w:sz w:val="21"/>
                <w:szCs w:val="21"/>
                <w:lang w:eastAsia="zh-CN" w:bidi="ar"/>
              </w:rPr>
              <w:t>.提供符合以下要求的检测报告：检测或判定依据</w:t>
            </w:r>
            <w:r>
              <w:rPr>
                <w:rFonts w:ascii="宋体" w:eastAsia="宋体" w:hAnsi="宋体" w:cs="宋体" w:hint="eastAsia"/>
                <w:sz w:val="21"/>
                <w:szCs w:val="21"/>
                <w:lang w:eastAsia="zh-CN" w:bidi="ar"/>
              </w:rPr>
              <w:t>QB/T 5617-2021、GB 18584-2001、GB/T 35607-2017</w:t>
            </w:r>
            <w:r>
              <w:rPr>
                <w:rFonts w:ascii="宋体" w:eastAsia="宋体" w:hAnsi="宋体" w:cs="宋体" w:hint="eastAsia"/>
                <w:sz w:val="21"/>
                <w:szCs w:val="21"/>
                <w:lang w:eastAsia="zh-CN" w:bidi="ar"/>
              </w:rPr>
              <w:t>，GB 18580-2017、GB/T 35601-2017、GB/T 4897-2015、GB/T 39600-2021，要求</w:t>
            </w:r>
            <w:r>
              <w:rPr>
                <w:rFonts w:ascii="宋体" w:eastAsia="宋体" w:hAnsi="宋体" w:cs="宋体" w:hint="eastAsia"/>
                <w:sz w:val="21"/>
                <w:szCs w:val="21"/>
                <w:lang w:eastAsia="zh-CN" w:bidi="ar"/>
              </w:rPr>
              <w:t>单人</w:t>
            </w:r>
            <w:r>
              <w:rPr>
                <w:rFonts w:ascii="宋体" w:eastAsia="宋体" w:hAnsi="宋体" w:cs="宋体" w:hint="eastAsia"/>
                <w:sz w:val="21"/>
                <w:szCs w:val="21"/>
                <w:lang w:eastAsia="zh-CN" w:bidi="ar"/>
              </w:rPr>
              <w:t>床的邻边垂直度合格，翘曲度≤1.1mm，着地平稳性≤0.35mm，木制件外观性能合格，木制件表面贴面层（耐冷热循环、耐划痕、图案表面耐磨性合格，耐干热、耐湿热、耐污染性能≥4级，抗冲击≥2级），结构安全合格；甲醛释放量≤0.02mg/m³，挥发性有机化合物苯未检出、甲苯未检出、二甲苯未检出，TVOC≤0.028mg/m³；力学性能（床铺面均布静载荷试验、床铺面集中静载荷试验、床屏水平静载荷试验、床长边静载荷试验、床结构耐久性试验、床铺面冲击载荷试验）合格；甲醛释放量（GB 18584-2001）≤0.3mg/L；产品寿命床类床结构耐久性试验合格。</w:t>
            </w:r>
            <w:r>
              <w:rPr>
                <w:rFonts w:ascii="宋体" w:eastAsia="宋体" w:hAnsi="宋体" w:cs="宋体" w:hint="eastAsia"/>
                <w:sz w:val="21"/>
                <w:szCs w:val="21"/>
                <w:lang w:eastAsia="zh-CN" w:bidi="ar"/>
              </w:rPr>
              <w:t>刨花板的含水率在9.5%~10%区间内、板内密度偏差在±1.5%区间内、静曲强度≥11.6MPa、弹性模量≥2120MPa、内胶合强度≥0.31MPa、表面胶合强度≥1.21MPa、2h吸水厚度膨胀率≤1.3%、握螺钉力板面≥1390N、板边≥1180N，甲醛释放量（气候箱法）≤0.018mg/m³，挥发性有机化合物（72h）的苯、甲苯、二甲苯均未检出，TVOC≤83ug/m³。</w:t>
            </w:r>
          </w:p>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sz w:val="21"/>
                <w:szCs w:val="21"/>
              </w:rPr>
            </w:pPr>
            <w:r>
              <w:rPr>
                <w:rFonts w:ascii="宋体" w:eastAsia="宋体" w:hAnsi="宋体" w:cs="宋体" w:hint="eastAsia"/>
                <w:kern w:val="2"/>
                <w:sz w:val="21"/>
                <w:szCs w:val="21"/>
                <w:lang w:eastAsia="zh-CN"/>
              </w:rPr>
              <w:t>投标时提供202</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年1月1日至投标截止之日的第三方检测机构出具的具有CMA</w:t>
            </w:r>
            <w:r>
              <w:rPr>
                <w:rFonts w:ascii="宋体" w:eastAsia="宋体" w:hAnsi="宋体" w:cs="宋体" w:hint="eastAsia"/>
                <w:kern w:val="2"/>
                <w:sz w:val="21"/>
                <w:szCs w:val="21"/>
                <w:lang w:eastAsia="zh-CN"/>
              </w:rPr>
              <w:t>或CNAS</w:t>
            </w:r>
            <w:r>
              <w:rPr>
                <w:rFonts w:ascii="宋体" w:eastAsia="宋体" w:hAnsi="宋体" w:cs="宋体" w:hint="eastAsia"/>
                <w:kern w:val="2"/>
                <w:sz w:val="21"/>
                <w:szCs w:val="21"/>
                <w:lang w:eastAsia="zh-CN"/>
              </w:rPr>
              <w:t>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170"/>
          <w:jc w:val="center"/>
        </w:trPr>
        <w:tc>
          <w:tcPr>
            <w:tcW w:w="1081"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2</w:t>
            </w:r>
          </w:p>
        </w:tc>
        <w:tc>
          <w:tcPr>
            <w:tcW w:w="1980"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r>
              <w:rPr>
                <w:rFonts w:ascii="宋体" w:eastAsia="宋体" w:hAnsi="宋体" w:cs="宋体" w:hint="eastAsia"/>
                <w:sz w:val="21"/>
                <w:szCs w:val="21"/>
              </w:rPr>
              <w:t>床垫</w:t>
            </w: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1.规格：（W2000*D1200）mm±5%，实际尺寸以现场测量为准；</w:t>
            </w:r>
          </w:p>
        </w:tc>
      </w:tr>
      <w:tr>
        <w:tblPrEx>
          <w:tblW w:w="5000" w:type="pct"/>
          <w:jc w:val="center"/>
          <w:tblLayout w:type="fixed"/>
          <w:tblCellMar>
            <w:top w:w="0" w:type="dxa"/>
            <w:left w:w="108" w:type="dxa"/>
            <w:bottom w:w="0" w:type="dxa"/>
            <w:right w:w="108" w:type="dxa"/>
          </w:tblCellMar>
        </w:tblPrEx>
        <w:trPr>
          <w:trHeight w:val="17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2.采用阻燃针织面料，有氧树脂棉，高弹舒适</w:t>
            </w:r>
            <w:r>
              <w:rPr>
                <w:rFonts w:ascii="宋体" w:eastAsia="宋体" w:hAnsi="宋体" w:cs="宋体" w:hint="eastAsia"/>
                <w:sz w:val="21"/>
                <w:szCs w:val="21"/>
                <w:lang w:eastAsia="zh-CN"/>
              </w:rPr>
              <w:t>阻燃</w:t>
            </w:r>
            <w:r>
              <w:rPr>
                <w:rFonts w:ascii="宋体" w:eastAsia="宋体" w:hAnsi="宋体" w:cs="宋体" w:hint="eastAsia"/>
                <w:sz w:val="21"/>
                <w:szCs w:val="21"/>
              </w:rPr>
              <w:t>海绵。</w:t>
            </w:r>
          </w:p>
        </w:tc>
      </w:tr>
      <w:tr>
        <w:tblPrEx>
          <w:tblW w:w="5000" w:type="pct"/>
          <w:jc w:val="center"/>
          <w:tblLayout w:type="fixed"/>
          <w:tblCellMar>
            <w:top w:w="0" w:type="dxa"/>
            <w:left w:w="108" w:type="dxa"/>
            <w:bottom w:w="0" w:type="dxa"/>
            <w:right w:w="108" w:type="dxa"/>
          </w:tblCellMar>
        </w:tblPrEx>
        <w:trPr>
          <w:trHeight w:val="17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widowControl w:val="0"/>
              <w:kinsoku/>
              <w:wordWrap/>
              <w:overflowPunct/>
              <w:topLinePunct w:val="0"/>
              <w:autoSpaceDE/>
              <w:autoSpaceDN/>
              <w:bidi w:val="0"/>
              <w:adjustRightInd/>
              <w:snapToGrid w:val="0"/>
              <w:spacing w:line="312"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w:t>
            </w:r>
            <w:r>
              <w:rPr>
                <w:rFonts w:ascii="宋体" w:eastAsia="宋体" w:hAnsi="宋体" w:cs="宋体" w:hint="eastAsia"/>
                <w:sz w:val="21"/>
                <w:szCs w:val="21"/>
                <w:lang w:eastAsia="zh-CN" w:bidi="ar"/>
              </w:rPr>
              <w:t>G</w:t>
            </w:r>
            <w:r>
              <w:rPr>
                <w:rFonts w:ascii="宋体" w:eastAsia="宋体" w:hAnsi="宋体" w:cs="宋体" w:hint="eastAsia"/>
                <w:sz w:val="21"/>
                <w:szCs w:val="21"/>
                <w:lang w:eastAsia="zh-CN" w:bidi="ar"/>
              </w:rPr>
              <w:t>B</w:t>
            </w:r>
            <w:r>
              <w:rPr>
                <w:rFonts w:ascii="宋体" w:eastAsia="宋体" w:hAnsi="宋体" w:cs="宋体" w:hint="eastAsia"/>
                <w:sz w:val="21"/>
                <w:szCs w:val="21"/>
                <w:lang w:eastAsia="zh-CN" w:bidi="ar"/>
              </w:rPr>
              <w:t xml:space="preserve"> 18401-2010、HJ 2546-2016、GB 17927.1-2011</w:t>
            </w: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GB/T 10802-2023，</w:t>
            </w:r>
            <w:r>
              <w:rPr>
                <w:rFonts w:ascii="宋体" w:eastAsia="宋体" w:hAnsi="宋体" w:cs="宋体" w:hint="eastAsia"/>
                <w:sz w:val="21"/>
                <w:szCs w:val="21"/>
                <w:lang w:eastAsia="zh-CN" w:bidi="ar"/>
              </w:rPr>
              <w:t>要求</w:t>
            </w:r>
            <w:r>
              <w:rPr>
                <w:rFonts w:ascii="宋体" w:eastAsia="宋体" w:hAnsi="宋体" w:cs="宋体" w:hint="eastAsia"/>
                <w:kern w:val="2"/>
                <w:sz w:val="21"/>
                <w:szCs w:val="21"/>
                <w:lang w:eastAsia="zh-CN"/>
              </w:rPr>
              <w:t>阻燃布的甲醛含量未检出；可分解致癌芳香胺染料未检出；可萃取重金属（包括砷As、铅Pb、铬Cr、钴Co、铜Cu、镍Ni、铬Cr（Ⅵ）、镉Cd、锑Sb、汞Hg）均未检出；五氯苯酚（其他产品）未检出；通过香烟抗引燃特性试验。阻燃海绵的表观密度偏差在±0.5kg/m³区间内；40%压陷硬度偏差在±5N区间内；回弹率≥47%；75%压缩永久变形≤3.3%；65%/25%压陷比≥2.6；气味等级≥9级；拉伸强度（kPa）≥89.4；断裂伸长率（%）≥157.5；撕裂强度（N/cm）≥3.3；干热老化后拉伸强度（kPa）≥111.9；干热老化后拉伸强度变化率≤25.2%；湿热老化后拉伸强度（kPa）≥87.9；湿热老化后拉伸强度变化率在±1.7%区间内；灰分≤0.14%；甲醛散发检测要求未检出；软质聚氨酯泡沫塑料的座面密度≥44.8㎏/m³；通过香烟抗引燃特性试验。</w:t>
            </w:r>
          </w:p>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kern w:val="2"/>
                <w:sz w:val="21"/>
                <w:szCs w:val="21"/>
                <w:lang w:eastAsia="zh-CN"/>
              </w:rPr>
              <w:t>投标时提供202</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年1月1日至投标截止之日的第三方检测机构出具的具有CMA</w:t>
            </w:r>
            <w:r>
              <w:rPr>
                <w:rFonts w:ascii="宋体" w:eastAsia="宋体" w:hAnsi="宋体" w:cs="宋体" w:hint="eastAsia"/>
                <w:kern w:val="2"/>
                <w:sz w:val="21"/>
                <w:szCs w:val="21"/>
                <w:lang w:eastAsia="zh-CN"/>
              </w:rPr>
              <w:t>或CNAS</w:t>
            </w:r>
            <w:r>
              <w:rPr>
                <w:rFonts w:ascii="宋体" w:eastAsia="宋体" w:hAnsi="宋体" w:cs="宋体" w:hint="eastAsia"/>
                <w:kern w:val="2"/>
                <w:sz w:val="21"/>
                <w:szCs w:val="21"/>
                <w:lang w:eastAsia="zh-CN"/>
              </w:rPr>
              <w:t>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r>
              <w:rPr>
                <w:rFonts w:ascii="宋体" w:eastAsia="宋体" w:hAnsi="宋体" w:cs="宋体" w:hint="eastAsia"/>
                <w:b/>
                <w:sz w:val="21"/>
                <w:szCs w:val="21"/>
              </w:rPr>
              <w:t>3</w:t>
            </w:r>
          </w:p>
        </w:tc>
        <w:tc>
          <w:tcPr>
            <w:tcW w:w="1980"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r>
              <w:rPr>
                <w:rFonts w:ascii="宋体" w:eastAsia="宋体" w:hAnsi="宋体" w:cs="宋体" w:hint="eastAsia"/>
                <w:sz w:val="21"/>
                <w:szCs w:val="21"/>
              </w:rPr>
              <w:t>书桌</w:t>
            </w: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1.规格：（W1000*D600*H770）mm±5%，实际尺寸以现场测量为准；</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r>
              <w:rPr>
                <w:rFonts w:ascii="宋体" w:eastAsia="宋体" w:hAnsi="宋体" w:cs="宋体" w:hint="eastAsia"/>
                <w:sz w:val="21"/>
                <w:szCs w:val="21"/>
              </w:rPr>
              <w:t>2.基材：整体框架采用国标不低于E0级环保实木刨花板，面贴三聚氰胺饰面纸，贴面胶采用水性白乳胶；封边采用厚度≥2.0mm的激光ABS封边条；配置≥2个抽屉。阻尼导轨、五金配件均经过酸洗磷洗的防锈处理。后期需根据用户需求进行深化设计。</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
                <w:sz w:val="21"/>
                <w:szCs w:val="21"/>
              </w:rPr>
            </w:pPr>
          </w:p>
        </w:tc>
        <w:tc>
          <w:tcPr>
            <w:tcW w:w="1980" w:type="dxa"/>
            <w:vMerge/>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
                <w:sz w:val="21"/>
                <w:szCs w:val="21"/>
              </w:rPr>
            </w:pPr>
          </w:p>
        </w:tc>
        <w:tc>
          <w:tcPr>
            <w:tcW w:w="6003" w:type="dxa"/>
            <w:noWrap w:val="0"/>
            <w:vAlign w:val="top"/>
          </w:tcPr>
          <w:p>
            <w:pPr>
              <w:keepNext w:val="0"/>
              <w:keepLines w:val="0"/>
              <w:pageBreakBefore w:val="0"/>
              <w:widowControl w:val="0"/>
              <w:kinsoku/>
              <w:wordWrap/>
              <w:overflowPunct/>
              <w:topLinePunct w:val="0"/>
              <w:autoSpaceDE/>
              <w:autoSpaceDN/>
              <w:bidi w:val="0"/>
              <w:adjustRightInd/>
              <w:snapToGrid w:val="0"/>
              <w:spacing w:line="312"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▲3.提供符合以下要求的检测报告：检测或判定依据</w:t>
            </w:r>
            <w:r>
              <w:rPr>
                <w:rFonts w:ascii="宋体" w:eastAsia="宋体" w:hAnsi="宋体" w:cs="宋体" w:hint="eastAsia"/>
                <w:sz w:val="21"/>
                <w:szCs w:val="21"/>
                <w:lang w:eastAsia="zh-CN" w:bidi="ar"/>
              </w:rPr>
              <w:t>QB/T 4463-2013，QB/T 3832-1999、QB/T 3827-1999、GB/T 10125-2021、QB/T 2454-2013，</w:t>
            </w:r>
            <w:r>
              <w:rPr>
                <w:rFonts w:ascii="宋体" w:eastAsia="宋体" w:hAnsi="宋体" w:cs="宋体" w:hint="eastAsia"/>
                <w:sz w:val="21"/>
                <w:szCs w:val="21"/>
                <w:lang w:eastAsia="zh-CN" w:bidi="ar"/>
              </w:rPr>
              <w:t>要求</w:t>
            </w:r>
            <w:r>
              <w:rPr>
                <w:rFonts w:ascii="宋体" w:eastAsia="宋体" w:hAnsi="宋体" w:cs="宋体" w:hint="eastAsia"/>
                <w:kern w:val="2"/>
                <w:sz w:val="21"/>
                <w:szCs w:val="21"/>
                <w:lang w:eastAsia="zh-CN"/>
              </w:rPr>
              <w:t>激光ABS封边条的耐干热性、耐磨性检测合格；耐开裂性为1级，耐老化性、耐冷热循环性、耐光色牢度（灰色样卡）均符合检测要求；甲醛释放量未检出，氯乙烯单体未检出，可迁移元素（可溶性重金属）的铅、镉、铬、汞、砷、锑、硒检测结果要求未检出，可迁移元素钡≤6.4mg/kg；邻苯二甲酸酯（包括DBP、BBP、DEHP、DNOP、DINP和DIDP）、多溴联苯、多溴联苯醚检测结果要求均未检出。阻尼导轨的过载要求（包括垂直向下静载荷（300N）、水平侧向静载荷（150N）、猛关或猛开）检测合格，功能要求（包括操作力、耐久性(80000次)、拉出安全性、下沉量不应超过抽屉导轨拉出长度的2.6%）检测合格，耐腐蚀≥18h检测符合标准要求；金属表面耐腐蚀（乙酸盐雾连续喷雾≥168小时）、盐雾试验（铜加速乙酸盐雾连续喷雾≥24小时）达到涂层本身的耐腐蚀等级和涂层对基体的保护等级均为10级（10级最好，0级最差）。</w:t>
            </w:r>
          </w:p>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sz w:val="21"/>
                <w:szCs w:val="21"/>
              </w:rPr>
            </w:pPr>
            <w:r>
              <w:rPr>
                <w:rFonts w:ascii="宋体" w:eastAsia="宋体" w:hAnsi="宋体" w:cs="宋体" w:hint="eastAsia"/>
                <w:kern w:val="2"/>
                <w:sz w:val="21"/>
                <w:szCs w:val="21"/>
                <w:lang w:eastAsia="zh-CN"/>
              </w:rPr>
              <w:t>投标时提供202</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年1月1日至投标截止之日的第三方检测机构出具的具有CMA</w:t>
            </w:r>
            <w:r>
              <w:rPr>
                <w:rFonts w:ascii="宋体" w:eastAsia="宋体" w:hAnsi="宋体" w:cs="宋体" w:hint="eastAsia"/>
                <w:kern w:val="2"/>
                <w:sz w:val="21"/>
                <w:szCs w:val="21"/>
                <w:lang w:eastAsia="zh-CN"/>
              </w:rPr>
              <w:t>或CNAS</w:t>
            </w:r>
            <w:r>
              <w:rPr>
                <w:rFonts w:ascii="宋体" w:eastAsia="宋体" w:hAnsi="宋体" w:cs="宋体" w:hint="eastAsia"/>
                <w:kern w:val="2"/>
                <w:sz w:val="21"/>
                <w:szCs w:val="21"/>
                <w:lang w:eastAsia="zh-CN"/>
              </w:rPr>
              <w:t>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1980"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r>
              <w:rPr>
                <w:rFonts w:ascii="宋体" w:eastAsia="宋体" w:hAnsi="宋体" w:cs="宋体" w:hint="eastAsia"/>
                <w:bCs/>
                <w:sz w:val="21"/>
                <w:szCs w:val="21"/>
              </w:rPr>
              <w:t>单椅</w:t>
            </w: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r>
              <w:rPr>
                <w:rFonts w:ascii="宋体" w:eastAsia="宋体" w:hAnsi="宋体" w:cs="宋体" w:hint="eastAsia"/>
                <w:bCs/>
                <w:sz w:val="21"/>
                <w:szCs w:val="21"/>
              </w:rPr>
              <w:t>1.靠背使用PP新料，座面采用绒麻饰面，椅脚为实木腿；用榉木本色木腿，使用天然植物精炼木蜡油；采用螺母安装，防滑脚垫。颜色可选。</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lang w:eastAsia="zh-CN"/>
              </w:rPr>
            </w:pPr>
          </w:p>
        </w:tc>
        <w:tc>
          <w:tcPr>
            <w:tcW w:w="1980"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p>
        </w:tc>
        <w:tc>
          <w:tcPr>
            <w:tcW w:w="6003" w:type="dxa"/>
            <w:noWrap w:val="0"/>
            <w:vAlign w:val="top"/>
          </w:tcPr>
          <w:p>
            <w:pPr>
              <w:keepNext w:val="0"/>
              <w:keepLines w:val="0"/>
              <w:pageBreakBefore w:val="0"/>
              <w:widowControl w:val="0"/>
              <w:kinsoku/>
              <w:wordWrap/>
              <w:overflowPunct/>
              <w:topLinePunct w:val="0"/>
              <w:autoSpaceDE/>
              <w:autoSpaceDN/>
              <w:bidi w:val="0"/>
              <w:adjustRightInd/>
              <w:snapToGrid w:val="0"/>
              <w:spacing w:line="312"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2</w:t>
            </w:r>
            <w:r>
              <w:rPr>
                <w:rFonts w:ascii="宋体" w:eastAsia="宋体" w:hAnsi="宋体" w:cs="宋体" w:hint="eastAsia"/>
                <w:sz w:val="21"/>
                <w:szCs w:val="21"/>
                <w:lang w:eastAsia="zh-CN" w:bidi="ar"/>
              </w:rPr>
              <w:t>.提供符合以下要求的检测报告：检测或判定依据GB 28481-2012、GB/T 1040.2-2006</w:t>
            </w:r>
            <w:r>
              <w:rPr>
                <w:rFonts w:ascii="宋体" w:eastAsia="宋体" w:hAnsi="宋体" w:cs="宋体" w:hint="eastAsia"/>
                <w:sz w:val="21"/>
                <w:szCs w:val="21"/>
                <w:lang w:eastAsia="zh-CN" w:bidi="ar"/>
              </w:rPr>
              <w:t>或</w:t>
            </w:r>
            <w:r>
              <w:rPr>
                <w:rFonts w:ascii="宋体" w:eastAsia="宋体" w:hAnsi="宋体" w:cs="宋体" w:hint="eastAsia"/>
                <w:sz w:val="21"/>
                <w:szCs w:val="21"/>
                <w:lang w:eastAsia="zh-CN" w:bidi="ar"/>
              </w:rPr>
              <w:t>GB/T 1040.2-20</w:t>
            </w:r>
            <w:r>
              <w:rPr>
                <w:rFonts w:ascii="宋体" w:eastAsia="宋体" w:hAnsi="宋体" w:cs="宋体" w:hint="eastAsia"/>
                <w:sz w:val="21"/>
                <w:szCs w:val="21"/>
                <w:lang w:eastAsia="zh-CN" w:bidi="ar"/>
              </w:rPr>
              <w:t>22，</w:t>
            </w:r>
            <w:r>
              <w:rPr>
                <w:rFonts w:ascii="宋体" w:eastAsia="宋体" w:hAnsi="宋体" w:cs="宋体" w:hint="eastAsia"/>
                <w:sz w:val="21"/>
                <w:szCs w:val="21"/>
                <w:lang w:eastAsia="zh-CN" w:bidi="ar"/>
              </w:rPr>
              <w:t>要求</w:t>
            </w:r>
            <w:r>
              <w:rPr>
                <w:rFonts w:ascii="宋体" w:eastAsia="宋体" w:hAnsi="宋体" w:cs="宋体" w:hint="eastAsia"/>
                <w:sz w:val="21"/>
                <w:szCs w:val="21"/>
                <w:lang w:eastAsia="zh-CN" w:bidi="ar"/>
              </w:rPr>
              <w:t>PP材料的邻苯二甲酸酯（包括DBP、BBP、DEHP、DNOP、DINP、DIDP）均未检出，重金属含量（包括可溶性铅、可溶性镉、可溶性铬、可溶性汞）均未检出，多环芳烃（包括苯并[a]芘、16种多环芳烃（PAH）总量）均未检出；拉伸强度≥27.9MPa；拉伸弹性模量≥569MPa。</w:t>
            </w:r>
          </w:p>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r>
              <w:rPr>
                <w:rFonts w:ascii="宋体" w:eastAsia="宋体" w:hAnsi="宋体" w:cs="宋体" w:hint="eastAsia"/>
                <w:kern w:val="2"/>
                <w:sz w:val="21"/>
                <w:szCs w:val="21"/>
                <w:lang w:eastAsia="zh-CN"/>
              </w:rPr>
              <w:t>投标时提供202</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年1月1日至投标截止之日的第三方检测机构出具的具有CMA</w:t>
            </w:r>
            <w:r>
              <w:rPr>
                <w:rFonts w:ascii="宋体" w:eastAsia="宋体" w:hAnsi="宋体" w:cs="宋体" w:hint="eastAsia"/>
                <w:kern w:val="2"/>
                <w:sz w:val="21"/>
                <w:szCs w:val="21"/>
                <w:lang w:eastAsia="zh-CN"/>
              </w:rPr>
              <w:t>或CNAS</w:t>
            </w:r>
            <w:r>
              <w:rPr>
                <w:rFonts w:ascii="宋体" w:eastAsia="宋体" w:hAnsi="宋体" w:cs="宋体" w:hint="eastAsia"/>
                <w:kern w:val="2"/>
                <w:sz w:val="21"/>
                <w:szCs w:val="21"/>
                <w:lang w:eastAsia="zh-CN"/>
              </w:rPr>
              <w:t>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p>
        </w:tc>
        <w:tc>
          <w:tcPr>
            <w:tcW w:w="1980"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r>
              <w:rPr>
                <w:rFonts w:ascii="宋体" w:eastAsia="宋体" w:hAnsi="宋体" w:cs="宋体" w:hint="eastAsia"/>
                <w:bCs/>
                <w:sz w:val="21"/>
                <w:szCs w:val="21"/>
              </w:rPr>
              <w:t>文件柜</w:t>
            </w: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r>
              <w:rPr>
                <w:rFonts w:ascii="宋体" w:eastAsia="宋体" w:hAnsi="宋体" w:cs="宋体" w:hint="eastAsia"/>
                <w:sz w:val="21"/>
                <w:szCs w:val="21"/>
              </w:rPr>
              <w:t>1.规格：（W900*D450*H2000）mm±5%，实际尺寸以现场测量为准；</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p>
        </w:tc>
        <w:tc>
          <w:tcPr>
            <w:tcW w:w="1980" w:type="dxa"/>
            <w:vMerge/>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r>
              <w:rPr>
                <w:rFonts w:ascii="宋体" w:eastAsia="宋体" w:hAnsi="宋体" w:cs="宋体" w:hint="eastAsia"/>
                <w:sz w:val="21"/>
                <w:szCs w:val="21"/>
              </w:rPr>
              <w:t>2.全钢制，采用≥0.8mm厚冷轧钢板，经酸洗、磷化、钝化，焊接无灰渣、气孔焊瘤；无脱焊、虚焊、焊穿。环氧聚酯热固粉末高压静电喷塑，喷塑外膜的表面光滑平整。拉手为隐藏或暗拉手。</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p>
        </w:tc>
        <w:tc>
          <w:tcPr>
            <w:tcW w:w="1980" w:type="dxa"/>
            <w:vMerge/>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p>
        </w:tc>
        <w:tc>
          <w:tcPr>
            <w:tcW w:w="6003" w:type="dxa"/>
            <w:noWrap w:val="0"/>
            <w:vAlign w:val="top"/>
          </w:tcPr>
          <w:p>
            <w:pPr>
              <w:keepNext w:val="0"/>
              <w:keepLines w:val="0"/>
              <w:pageBreakBefore w:val="0"/>
              <w:widowControl w:val="0"/>
              <w:kinsoku/>
              <w:wordWrap/>
              <w:overflowPunct/>
              <w:topLinePunct w:val="0"/>
              <w:autoSpaceDE/>
              <w:autoSpaceDN/>
              <w:bidi w:val="0"/>
              <w:adjustRightInd/>
              <w:snapToGrid w:val="0"/>
              <w:spacing w:line="312" w:lineRule="auto"/>
              <w:jc w:val="both"/>
              <w:textAlignment w:val="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w:t>
            </w:r>
            <w:r>
              <w:rPr>
                <w:rFonts w:ascii="宋体" w:eastAsia="宋体" w:hAnsi="宋体" w:cs="宋体" w:hint="eastAsia"/>
                <w:sz w:val="21"/>
                <w:szCs w:val="21"/>
                <w:lang w:eastAsia="zh-CN" w:bidi="ar"/>
              </w:rPr>
              <w:t>3</w:t>
            </w:r>
            <w:r>
              <w:rPr>
                <w:rFonts w:ascii="宋体" w:eastAsia="宋体" w:hAnsi="宋体" w:cs="宋体" w:hint="eastAsia"/>
                <w:sz w:val="21"/>
                <w:szCs w:val="21"/>
                <w:lang w:eastAsia="zh-CN" w:bidi="ar"/>
              </w:rPr>
              <w:t>.提供符合以下要求的检测报告：检测或判定依据GB/T 3325-2017、GB/T 35607-2017</w:t>
            </w:r>
            <w:r>
              <w:rPr>
                <w:rFonts w:ascii="宋体" w:eastAsia="宋体" w:hAnsi="宋体" w:cs="宋体" w:hint="eastAsia"/>
                <w:sz w:val="21"/>
                <w:szCs w:val="21"/>
                <w:lang w:eastAsia="zh-CN" w:bidi="ar"/>
              </w:rPr>
              <w:t>，GB/T 11253-2019，</w:t>
            </w:r>
            <w:r>
              <w:rPr>
                <w:rFonts w:ascii="宋体" w:eastAsia="宋体" w:hAnsi="宋体" w:cs="宋体" w:hint="eastAsia"/>
                <w:sz w:val="21"/>
                <w:szCs w:val="21"/>
                <w:lang w:eastAsia="zh-CN" w:bidi="ar"/>
              </w:rPr>
              <w:t>要求</w:t>
            </w:r>
            <w:r>
              <w:rPr>
                <w:rFonts w:ascii="宋体" w:eastAsia="宋体" w:hAnsi="宋体" w:cs="宋体" w:hint="eastAsia"/>
                <w:kern w:val="2"/>
                <w:sz w:val="21"/>
                <w:szCs w:val="21"/>
                <w:lang w:eastAsia="zh-CN"/>
              </w:rPr>
              <w:t>钢制文件柜的邻边垂直度合格；翘曲度≤0.9mm；平整度≤0.10mm；位差度≤0.50mm；分缝≤1.50mm；着地平稳性≤0.30mm；金属件外观（焊接件、冲压件、喷涂层、电镀层）检测合格；配件外观性能要求家具锁锁定到位，开启应灵活；结构安全要求活动部件间距离符合技术要求，人体接触或收藏物品的部位应无毛刺、刃口、棱角，固定部位的结合应牢固无松动；涂层和覆面层可溶性重金属（可溶性铅、可溶性镉、可溶性铬、可溶性汞）均未检出；金属喷漆（塑）涂层（硬度≥2H、冲击强度合格、耐腐蚀≥100h合格、附着力不低于1级）；柜类强度和耐久性的搁板试验（搁板定位试验-水平向外的力试验、垂直向下的力试验、搁板弯曲试验、搁板支撑件强度试验）均检测合格，其中搁板弯曲挠度变化值≤0.10%；顶板和底板持续加载试验检测合格，其中顶板、底板最大挠度≤0.10%；顶板和底板静载荷试验检测合格；结构强度试验（结构底架或腿强度试验、跌落试验）检测合格；开门试验（开门垂直加载试验、开门水平加载试验、开门猛关试验、开门耐久性试验）检测合格；锁具插销试验（门锁和插销强度试验、锁具插销耐久性试验）检测合格；柜类稳定性（所有开门推拉构件和翻门关闭且所有储存部件空载（高度≤1000mm的试件），所有开门推拉构件和翻门开启且所有储存部件空载，开门推拉构件和翻门开启并解锁，所有锁闭的开门推拉构件和翻门开启方向加载且所有储存部件加载）检测合格；甲醛释放量（GB/T 35607-2017）未检出；挥发性有机化合物苯未检出、甲苯未检出、二甲苯未检出、TVOC≤0.012mg/m³；家具涂层可迁移元素的铅、镉、铬、汞、锑、砷、硒检测结果要求未检出，可迁移元素钡≤236mg/kg。冷轧钢板的金属件冲压件外观性能符合标准要求；金属抗盐雾≥18h检测合格；化学成分C≤0.030%、S≤0.010%、P≤0.020%、Si≤0.030%、Mn≤0.200%、Ni≤0.010%、Cr≤0.050%、Cu≤0.020%；拉伸试验的抗拉强度≥325MPa（在315~430MPa区间内），下屈服强度≥217MPa，断后伸长率≥33.5%。</w:t>
            </w:r>
          </w:p>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sz w:val="21"/>
                <w:szCs w:val="21"/>
              </w:rPr>
            </w:pPr>
            <w:r>
              <w:rPr>
                <w:rFonts w:ascii="宋体" w:eastAsia="宋体" w:hAnsi="宋体" w:cs="宋体" w:hint="eastAsia"/>
                <w:kern w:val="2"/>
                <w:sz w:val="21"/>
                <w:szCs w:val="21"/>
                <w:lang w:eastAsia="zh-CN"/>
              </w:rPr>
              <w:t>投标时提供202</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年1月1日至投标截止之日的第三方检测机构出具的具有CMA</w:t>
            </w:r>
            <w:r>
              <w:rPr>
                <w:rFonts w:ascii="宋体" w:eastAsia="宋体" w:hAnsi="宋体" w:cs="宋体" w:hint="eastAsia"/>
                <w:kern w:val="2"/>
                <w:sz w:val="21"/>
                <w:szCs w:val="21"/>
                <w:lang w:eastAsia="zh-CN"/>
              </w:rPr>
              <w:t>或CNAS</w:t>
            </w:r>
            <w:r>
              <w:rPr>
                <w:rFonts w:ascii="宋体" w:eastAsia="宋体" w:hAnsi="宋体" w:cs="宋体" w:hint="eastAsia"/>
                <w:kern w:val="2"/>
                <w:sz w:val="21"/>
                <w:szCs w:val="21"/>
                <w:lang w:eastAsia="zh-CN"/>
              </w:rPr>
              <w:t>标识的检测报告扫描件，检测报告内容符合以上检测要求。同时需要提供在全国认证认可信息公共服务平台（认e云-http://cx.cnca.cn/）检测报告查询截图，原件备查。</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6</w:t>
            </w:r>
          </w:p>
        </w:tc>
        <w:tc>
          <w:tcPr>
            <w:tcW w:w="1980" w:type="dxa"/>
            <w:vMerge w:val="restart"/>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r>
              <w:rPr>
                <w:rFonts w:ascii="宋体" w:eastAsia="宋体" w:hAnsi="宋体" w:cs="宋体" w:hint="eastAsia"/>
                <w:bCs/>
                <w:sz w:val="21"/>
                <w:szCs w:val="21"/>
              </w:rPr>
              <w:t>户外休闲桌椅</w:t>
            </w: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r>
              <w:rPr>
                <w:rFonts w:ascii="宋体" w:eastAsia="宋体" w:hAnsi="宋体" w:cs="宋体" w:hint="eastAsia"/>
                <w:sz w:val="21"/>
                <w:szCs w:val="21"/>
              </w:rPr>
              <w:t>1.规格：（W1400*D1760*H750）mm±5%，实际尺寸以现场测量为准；</w:t>
            </w:r>
          </w:p>
        </w:tc>
      </w:tr>
      <w:tr>
        <w:tblPrEx>
          <w:tblW w:w="5000" w:type="pct"/>
          <w:jc w:val="center"/>
          <w:tblLayout w:type="fixed"/>
          <w:tblCellMar>
            <w:top w:w="0" w:type="dxa"/>
            <w:left w:w="108" w:type="dxa"/>
            <w:bottom w:w="0" w:type="dxa"/>
            <w:right w:w="108" w:type="dxa"/>
          </w:tblCellMar>
        </w:tblPrEx>
        <w:trPr>
          <w:trHeight w:val="510"/>
          <w:jc w:val="center"/>
        </w:trPr>
        <w:tc>
          <w:tcPr>
            <w:tcW w:w="1081" w:type="dxa"/>
            <w:vMerge/>
            <w:noWrap w:val="0"/>
            <w:vAlign w:val="center"/>
          </w:tcPr>
          <w:p>
            <w:pPr>
              <w:keepNext w:val="0"/>
              <w:keepLines w:val="0"/>
              <w:pageBreakBefore w:val="0"/>
              <w:kinsoku/>
              <w:wordWrap/>
              <w:overflowPunct/>
              <w:topLinePunct w:val="0"/>
              <w:autoSpaceDE/>
              <w:autoSpaceDN/>
              <w:bidi w:val="0"/>
              <w:adjustRightInd/>
              <w:spacing w:line="312" w:lineRule="auto"/>
              <w:jc w:val="center"/>
              <w:textAlignment w:val="auto"/>
              <w:rPr>
                <w:rFonts w:ascii="宋体" w:eastAsia="宋体" w:hAnsi="宋体" w:cs="宋体" w:hint="eastAsia"/>
                <w:bCs/>
                <w:sz w:val="21"/>
                <w:szCs w:val="21"/>
              </w:rPr>
            </w:pPr>
          </w:p>
        </w:tc>
        <w:tc>
          <w:tcPr>
            <w:tcW w:w="1980" w:type="dxa"/>
            <w:vMerge/>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p>
        </w:tc>
        <w:tc>
          <w:tcPr>
            <w:tcW w:w="6003" w:type="dxa"/>
            <w:noWrap w:val="0"/>
            <w:vAlign w:val="top"/>
          </w:tcPr>
          <w:p>
            <w:pPr>
              <w:keepNext w:val="0"/>
              <w:keepLines w:val="0"/>
              <w:pageBreakBefore w:val="0"/>
              <w:kinsoku/>
              <w:wordWrap/>
              <w:overflowPunct/>
              <w:topLinePunct w:val="0"/>
              <w:autoSpaceDE/>
              <w:autoSpaceDN/>
              <w:bidi w:val="0"/>
              <w:adjustRightInd/>
              <w:spacing w:line="312" w:lineRule="auto"/>
              <w:textAlignment w:val="auto"/>
              <w:rPr>
                <w:rFonts w:ascii="宋体" w:eastAsia="宋体" w:hAnsi="宋体" w:cs="宋体" w:hint="eastAsia"/>
                <w:bCs/>
                <w:sz w:val="21"/>
                <w:szCs w:val="21"/>
              </w:rPr>
            </w:pPr>
            <w:r>
              <w:rPr>
                <w:rFonts w:ascii="宋体" w:eastAsia="宋体" w:hAnsi="宋体" w:cs="宋体" w:hint="eastAsia"/>
                <w:sz w:val="21"/>
                <w:szCs w:val="21"/>
              </w:rPr>
              <w:t>2.采用环保塑木桌椅，铝合金框架支撑，带防滑塑胶脚垫。</w:t>
            </w:r>
          </w:p>
        </w:tc>
      </w:tr>
    </w:tbl>
    <w:p>
      <w:pPr>
        <w:widowControl w:val="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highlight w:val="yellow"/>
          <w:lang w:eastAsia="zh-CN"/>
        </w:rPr>
      </w:pPr>
      <w:r>
        <w:rPr>
          <w:rFonts w:ascii="宋体" w:eastAsia="宋体" w:hAnsi="宋体" w:cstheme="minorBidi" w:hint="eastAsia"/>
          <w:b/>
          <w:bCs/>
          <w:kern w:val="2"/>
          <w:sz w:val="28"/>
          <w:szCs w:val="28"/>
          <w:lang w:eastAsia="zh-CN"/>
        </w:rPr>
        <w:t>六、图纸</w:t>
      </w:r>
    </w:p>
    <w:p>
      <w:pPr>
        <w:spacing w:before="60" w:beforeLines="25" w:after="60" w:afterLines="25" w:line="360" w:lineRule="auto"/>
        <w:ind w:firstLine="449" w:firstLineChars="187"/>
      </w:pPr>
      <w:r>
        <w:drawing>
          <wp:inline distT="0" distB="0" distL="114300" distR="114300">
            <wp:extent cx="4378960" cy="6421755"/>
            <wp:effectExtent l="0" t="0" r="254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4378960" cy="6421755"/>
                    </a:xfrm>
                    <a:prstGeom prst="rect">
                      <a:avLst/>
                    </a:prstGeom>
                    <a:noFill/>
                    <a:ln>
                      <a:noFill/>
                    </a:ln>
                  </pic:spPr>
                </pic:pic>
              </a:graphicData>
            </a:graphic>
          </wp:inline>
        </w:drawing>
      </w:r>
    </w:p>
    <w:p>
      <w:pPr>
        <w:spacing w:before="60" w:beforeLines="25" w:after="60" w:afterLines="25" w:line="360" w:lineRule="auto"/>
        <w:ind w:firstLine="449" w:firstLineChars="187"/>
        <w:rPr>
          <w:rFonts w:hint="eastAsia"/>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七、注意事项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1、中标供应商不得将项目非法分包或转包给任何单位和个人。否则，采购单位有权即刻终止合同，并要求中标供应商赔偿相应损失。</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2、投标人使用的标准必须是国际公认或国家、或地方政府颁布的同等或更高的标准，如投标人使用的标准低于上述标准,评审委员会将有权不予接受，投标人必须列表将明显的差异详细说明。</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3、供应商须在质疑期内一次性提出针对同一采购程序环节的质疑。</w:t>
      </w:r>
    </w:p>
    <w:p>
      <w:pPr>
        <w:widowControl w:val="0"/>
        <w:ind w:firstLine="420" w:firstLineChars="200"/>
        <w:jc w:val="both"/>
        <w:rPr>
          <w:rFonts w:ascii="Calibri" w:eastAsia="宋体" w:hAnsi="Calibri"/>
          <w:bCs/>
          <w:kern w:val="2"/>
          <w:sz w:val="21"/>
          <w:szCs w:val="21"/>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spacing w:line="360" w:lineRule="auto"/>
        <w:rPr>
          <w:rFonts w:ascii="Calibri" w:eastAsia="宋体" w:hAnsi="Calibri"/>
          <w:b/>
          <w:bCs/>
          <w:kern w:val="2"/>
          <w:sz w:val="21"/>
          <w:szCs w:val="22"/>
          <w:lang w:eastAsia="zh-CN"/>
        </w:rPr>
      </w:pPr>
    </w:p>
    <w:p>
      <w:pPr>
        <w:widowControl w:val="0"/>
        <w:jc w:val="both"/>
        <w:rPr>
          <w:rFonts w:ascii="Calibri" w:eastAsia="宋体" w:hAnsi="Calibri" w:cs="Calibri"/>
          <w:i/>
          <w:iCs/>
          <w:color w:val="000000"/>
          <w:kern w:val="2"/>
          <w:sz w:val="21"/>
          <w:szCs w:val="22"/>
          <w:lang w:eastAsia="zh-CN"/>
        </w:rPr>
      </w:pPr>
    </w:p>
    <w:p>
      <w:pPr>
        <w:rPr>
          <w:rFonts w:ascii="Calibri" w:eastAsia="宋体" w:hAnsi="Calibri"/>
          <w:kern w:val="2"/>
          <w:sz w:val="21"/>
          <w:szCs w:val="22"/>
          <w:lang w:eastAsia="zh-CN"/>
        </w:rPr>
      </w:pPr>
    </w:p>
    <w:p>
      <w:pPr>
        <w:spacing w:line="360" w:lineRule="auto"/>
        <w:rPr>
          <w:b/>
          <w:bCs/>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bookmarkStart w:id="15"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（12）服务方案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（13）设计方案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（14）同类项目业绩</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w:t>
      </w:r>
      <w:r>
        <w:rPr>
          <w:rFonts w:eastAsia="宋体" w:hint="eastAsia"/>
          <w:lang w:eastAsia="zh-CN"/>
        </w:rPr>
        <w:t>5</w:t>
      </w:r>
      <w:r>
        <w:rPr>
          <w:rFonts w:hint="eastAsia"/>
        </w:rPr>
        <w:t>）履约评价情况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w:t>
      </w:r>
      <w:r>
        <w:rPr>
          <w:rFonts w:eastAsia="宋体" w:hint="eastAsia"/>
          <w:lang w:eastAsia="zh-CN"/>
        </w:rPr>
        <w:t>6</w:t>
      </w:r>
      <w:r>
        <w:rPr>
          <w:rFonts w:hint="eastAsia"/>
        </w:rPr>
        <w:t>）诚信承诺函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w:t>
      </w:r>
      <w:r>
        <w:rPr>
          <w:rFonts w:eastAsia="宋体" w:hint="eastAsia"/>
          <w:lang w:eastAsia="zh-CN"/>
        </w:rPr>
        <w:t>1</w:t>
      </w:r>
      <w:r>
        <w:rPr>
          <w:rFonts w:eastAsia="宋体" w:hint="eastAsia"/>
          <w:lang w:eastAsia="zh-CN"/>
        </w:rPr>
        <w:t>7</w:t>
      </w:r>
      <w:r>
        <w:rPr>
          <w:rFonts w:hint="eastAsia"/>
        </w:rPr>
        <w:t>）投标人认为需要加以说明的其他内容</w:t>
      </w: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6" w:name="_Hlk72263559"/>
      <w:r>
        <w:rPr>
          <w:rFonts w:ascii="宋体" w:eastAsia="宋体" w:hAnsi="宋体" w:cstheme="minorBidi" w:hint="eastAsia"/>
          <w:b/>
          <w:kern w:val="2"/>
          <w:lang w:eastAsia="zh-CN"/>
        </w:rPr>
        <w:t>2.关于填写“开标一览表”的说明：“开标一览表”中除“投标总价”外，其他信息不作评审依据。</w:t>
      </w:r>
      <w:bookmarkEnd w:id="15"/>
      <w:bookmarkEnd w:id="16"/>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7"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8"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LHAZXDL-2024-00261</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楼层宿管员值班房家具采购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9" w:name="_Hlk72263588"/>
      <w:r>
        <w:rPr>
          <w:rFonts w:ascii="Calibri" w:eastAsia="宋体" w:hAnsi="Calibri" w:cstheme="minorBidi" w:hint="eastAsia"/>
          <w:kern w:val="2"/>
          <w:sz w:val="21"/>
          <w:szCs w:val="21"/>
          <w:lang w:eastAsia="zh-CN"/>
        </w:rPr>
        <w:t>愿意按照招标文件要求承包上述项目并修补其任何缺陷。</w:t>
      </w:r>
      <w:bookmarkEnd w:id="19"/>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0"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8"/>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7"/>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widowControl w:val="0"/>
        <w:jc w:val="right"/>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1"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2" w:name="_Hlk72257908"/>
      <w:r>
        <w:rPr>
          <w:rFonts w:ascii="黑体" w:eastAsia="黑体" w:hAnsi="宋体" w:cstheme="minorBidi" w:hint="eastAsia"/>
          <w:bCs/>
          <w:szCs w:val="32"/>
          <w:lang w:eastAsia="zh-CN"/>
        </w:rPr>
        <w:t>（二）中小企业声明函、残疾人福利性单位声明函及监狱企业声明函</w:t>
      </w:r>
    </w:p>
    <w:bookmarkEnd w:id="21"/>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3"/>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3"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3"/>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4" w:name="_Hlk73562331"/>
      <w:bookmarkStart w:id="25"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4"/>
    </w:p>
    <w:bookmarkEnd w:id="25"/>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2"/>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4"/>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5"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6"/>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7"/>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（须体现股东及出资信息）</w:t>
      </w:r>
      <w:r>
        <w:rPr>
          <w:rFonts w:ascii="宋体" w:eastAsia="宋体" w:hAnsi="宋体" w:cs="宋体" w:hint="eastAsia"/>
          <w:kern w:val="2"/>
          <w:sz w:val="21"/>
          <w:szCs w:val="21"/>
          <w:lang w:eastAsia="zh-CN"/>
        </w:rPr>
        <w:t>。网址：</w:t>
      </w:r>
      <w:hyperlink r:id="rId8"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9"/>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26" w:name="_Hlk72092499"/>
      <w:r>
        <w:rPr>
          <w:rFonts w:ascii="黑体" w:eastAsia="黑体" w:hAnsi="宋体" w:cstheme="minorBidi" w:hint="eastAsia"/>
          <w:b/>
          <w:kern w:val="2"/>
          <w:sz w:val="30"/>
          <w:szCs w:val="30"/>
          <w:lang w:eastAsia="zh-CN"/>
        </w:rPr>
        <w:t>法定代表人（负责人）证明书</w:t>
      </w:r>
      <w:bookmarkEnd w:id="26"/>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5"/>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5"/>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5"/>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27" w:name="_Hlk72092634"/>
      <w:r>
        <w:rPr>
          <w:rFonts w:ascii="黑体" w:eastAsia="黑体" w:hAnsi="Calibri" w:cstheme="minorBidi" w:hint="eastAsia"/>
          <w:b/>
          <w:kern w:val="2"/>
          <w:sz w:val="30"/>
          <w:szCs w:val="22"/>
          <w:lang w:eastAsia="zh-CN"/>
        </w:rPr>
        <w:t>实质性条款响应情况表</w:t>
      </w:r>
      <w:bookmarkEnd w:id="27"/>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jc w:val="both"/>
        <w:rPr>
          <w:rFonts w:ascii="宋体" w:eastAsia="宋体" w:hAnsi="宋体"/>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widowControl/>
        <w:numPr>
          <w:ilvl w:val="0"/>
          <w:numId w:val="5"/>
        </w:numPr>
        <w:wordWrap w:val="0"/>
        <w:autoSpaceDE w:val="0"/>
        <w:autoSpaceDN w:val="0"/>
        <w:spacing w:line="400" w:lineRule="exact"/>
        <w:ind w:left="0" w:right="808" w:firstLine="420" w:leftChars="0" w:firstLineChars="200"/>
        <w:jc w:val="both"/>
        <w:rPr>
          <w:rFonts w:eastAsia="宋体" w:hint="eastAsia"/>
          <w:kern w:val="2"/>
          <w:sz w:val="21"/>
          <w:lang w:eastAsia="zh-CN"/>
        </w:rPr>
      </w:pPr>
      <w:r>
        <w:rPr>
          <w:rFonts w:eastAsia="宋体" w:hint="eastAsia"/>
          <w:kern w:val="2"/>
          <w:sz w:val="21"/>
          <w:lang w:eastAsia="zh-CN"/>
        </w:rPr>
        <w:t>带★号条款为不可偏离条款，如未响应或出现负偏离的，将作投标无效处理。</w:t>
      </w: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numPr>
          <w:ilvl w:val="0"/>
          <w:numId w:val="0"/>
        </w:numPr>
        <w:wordWrap w:val="0"/>
        <w:autoSpaceDE w:val="0"/>
        <w:autoSpaceDN w:val="0"/>
        <w:spacing w:line="400" w:lineRule="exact"/>
        <w:ind w:left="0" w:right="808" w:firstLine="0" w:rightChars="0"/>
        <w:jc w:val="both"/>
        <w:rPr>
          <w:rFonts w:eastAsia="宋体" w:hint="eastAsia"/>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十一、技术保障措施</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十二、服务方案</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十三、设计方案</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十四、同类项目业绩</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十五、履约评价情况</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spacing w:line="360" w:lineRule="auto"/>
        <w:jc w:val="center"/>
        <w:rPr>
          <w:rFonts w:ascii="黑体" w:eastAsia="黑体" w:hAnsi="黑体" w:cs="黑体" w:hint="eastAsia"/>
          <w:b/>
          <w:bCs/>
          <w:sz w:val="30"/>
          <w:szCs w:val="30"/>
          <w:lang w:eastAsia="zh-CN"/>
        </w:rPr>
      </w:pP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十六、诚信承诺函</w:t>
      </w:r>
    </w:p>
    <w:p>
      <w:pPr>
        <w:spacing w:before="120" w:after="120"/>
        <w:jc w:val="both"/>
        <w:outlineLvl w:val="9"/>
        <w:rPr>
          <w:rFonts w:ascii="宋体" w:eastAsia="宋体" w:hAnsi="宋体"/>
          <w:b/>
          <w:bCs/>
          <w:sz w:val="21"/>
          <w:szCs w:val="21"/>
        </w:rPr>
      </w:pPr>
    </w:p>
    <w:p>
      <w:pPr>
        <w:spacing w:line="360" w:lineRule="auto"/>
        <w:jc w:val="left"/>
        <w:rPr>
          <w:rFonts w:ascii="宋体" w:eastAsia="宋体" w:hAnsi="宋体"/>
          <w:b/>
          <w:szCs w:val="21"/>
        </w:rPr>
      </w:pPr>
      <w:r>
        <w:rPr>
          <w:rFonts w:ascii="宋体" w:eastAsia="宋体" w:hAnsi="宋体" w:hint="eastAsia"/>
          <w:b/>
          <w:szCs w:val="21"/>
        </w:rPr>
        <w:t>致：深圳市千里招标代理有限公司</w:t>
      </w:r>
    </w:p>
    <w:p>
      <w:pPr>
        <w:spacing w:line="360" w:lineRule="auto"/>
        <w:ind w:firstLine="480" w:firstLineChars="200"/>
        <w:jc w:val="left"/>
        <w:rPr>
          <w:rFonts w:ascii="宋体" w:eastAsia="宋体" w:hAnsi="宋体"/>
          <w:szCs w:val="21"/>
        </w:rPr>
      </w:pPr>
      <w:r>
        <w:rPr>
          <w:rFonts w:ascii="宋体" w:eastAsia="宋体" w:hAnsi="宋体" w:hint="eastAsia"/>
          <w:szCs w:val="21"/>
        </w:rPr>
        <w:t>我公司承诺近三年内在采购招标投标活动中，不存在以下情形：</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（一）被纪检监察部门立案调查，违法违规事实成立的；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（二）未按本条例规定签订、履行采购合同，造成严重后果的；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（三）隐瞒真实情况，提供虚假资料的；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（四）以非法手段排斥其他供应商参与竞争的；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（五）与其他采购参加人串通投标的；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（六）在采购活动中应当回避而未回避的；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（七）恶意投诉的；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（八）向采购项目相关人行贿或者提供其他不当利益的；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（九）阻碍、抗拒主管部门监督检查的；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（十）履约检查不合格或者评价为差的；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（十一）重大违法犯罪记录和被财政等政府主管部门处以禁止参与政府采购活动的情况；</w:t>
      </w:r>
    </w:p>
    <w:p>
      <w:pPr>
        <w:spacing w:line="360" w:lineRule="auto"/>
        <w:ind w:firstLine="480" w:firstLineChars="200"/>
        <w:jc w:val="left"/>
        <w:rPr>
          <w:rFonts w:ascii="宋体" w:eastAsia="宋体" w:hAnsi="宋体"/>
          <w:szCs w:val="21"/>
        </w:rPr>
      </w:pPr>
      <w:r>
        <w:rPr>
          <w:rFonts w:ascii="宋体" w:eastAsia="宋体" w:hAnsi="宋体" w:hint="eastAsia"/>
          <w:szCs w:val="21"/>
        </w:rPr>
        <w:t>（十二）主管部门认定的其他情形。</w:t>
      </w:r>
    </w:p>
    <w:p>
      <w:pPr>
        <w:spacing w:line="360" w:lineRule="auto"/>
        <w:ind w:firstLine="480" w:firstLineChars="200"/>
        <w:jc w:val="left"/>
        <w:rPr>
          <w:rFonts w:ascii="宋体" w:eastAsia="宋体" w:hAnsi="宋体"/>
          <w:szCs w:val="21"/>
        </w:rPr>
      </w:pPr>
      <w:r>
        <w:rPr>
          <w:rFonts w:ascii="宋体" w:eastAsia="宋体" w:hAnsi="宋体" w:hint="eastAsia"/>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jc w:val="left"/>
        <w:rPr>
          <w:rFonts w:ascii="宋体" w:eastAsia="宋体" w:hAnsi="宋体"/>
          <w:szCs w:val="21"/>
        </w:rPr>
      </w:pPr>
      <w:r>
        <w:rPr>
          <w:rFonts w:ascii="宋体" w:eastAsia="宋体" w:hAnsi="宋体" w:hint="eastAsia"/>
          <w:szCs w:val="21"/>
        </w:rPr>
        <w:t>特此承诺。</w:t>
      </w:r>
    </w:p>
    <w:p>
      <w:pPr>
        <w:spacing w:line="360" w:lineRule="auto"/>
        <w:jc w:val="left"/>
        <w:rPr>
          <w:rFonts w:ascii="宋体" w:eastAsia="宋体" w:hAnsi="宋体"/>
          <w:szCs w:val="21"/>
        </w:rPr>
      </w:pPr>
    </w:p>
    <w:p>
      <w:pPr>
        <w:spacing w:line="360" w:lineRule="auto"/>
        <w:ind w:firstLine="3600" w:firstLineChars="1500"/>
        <w:jc w:val="left"/>
        <w:rPr>
          <w:rFonts w:ascii="宋体" w:eastAsia="宋体" w:hAnsi="宋体"/>
          <w:szCs w:val="21"/>
        </w:rPr>
      </w:pPr>
      <w:r>
        <w:rPr>
          <w:rFonts w:ascii="宋体" w:eastAsia="宋体" w:hAnsi="宋体" w:hint="eastAsia"/>
          <w:szCs w:val="21"/>
        </w:rPr>
        <w:t>投标单位：</w:t>
      </w:r>
    </w:p>
    <w:p>
      <w:pPr>
        <w:spacing w:line="360" w:lineRule="auto"/>
        <w:jc w:val="left"/>
        <w:rPr>
          <w:rFonts w:ascii="宋体" w:eastAsia="宋体" w:hAnsi="宋体"/>
          <w:szCs w:val="21"/>
        </w:rPr>
      </w:pPr>
    </w:p>
    <w:p>
      <w:pPr>
        <w:spacing w:line="360" w:lineRule="auto"/>
        <w:jc w:val="right"/>
        <w:rPr>
          <w:rFonts w:ascii="宋体" w:eastAsia="宋体" w:hAnsi="宋体" w:hint="eastAsia"/>
          <w:szCs w:val="21"/>
        </w:rPr>
      </w:pPr>
      <w:r>
        <w:rPr>
          <w:rFonts w:ascii="宋体" w:eastAsia="宋体" w:hAnsi="宋体" w:hint="eastAsia"/>
          <w:szCs w:val="21"/>
        </w:rPr>
        <w:t>日期：</w:t>
      </w:r>
      <w:r>
        <w:rPr>
          <w:rFonts w:ascii="宋体" w:eastAsia="宋体" w:hAnsi="宋体" w:hint="eastAsia"/>
          <w:szCs w:val="21"/>
          <w:u w:val="single"/>
          <w:lang w:eastAsia="zh-CN"/>
        </w:rPr>
        <w:t xml:space="preserve">     </w:t>
      </w:r>
      <w:r>
        <w:rPr>
          <w:rFonts w:ascii="宋体" w:eastAsia="宋体" w:hAnsi="宋体" w:hint="eastAsia"/>
          <w:szCs w:val="21"/>
        </w:rPr>
        <w:t>年</w:t>
      </w:r>
      <w:r>
        <w:rPr>
          <w:rFonts w:ascii="宋体" w:eastAsia="宋体" w:hAnsi="宋体" w:hint="eastAsia"/>
          <w:szCs w:val="21"/>
          <w:u w:val="single"/>
          <w:lang w:eastAsia="zh-CN"/>
        </w:rPr>
        <w:t xml:space="preserve">     </w:t>
      </w:r>
      <w:r>
        <w:rPr>
          <w:rFonts w:ascii="宋体" w:eastAsia="宋体" w:hAnsi="宋体" w:hint="eastAsia"/>
          <w:szCs w:val="21"/>
        </w:rPr>
        <w:t>月</w:t>
      </w:r>
      <w:r>
        <w:rPr>
          <w:rFonts w:ascii="宋体" w:eastAsia="宋体" w:hAnsi="宋体" w:hint="eastAsia"/>
          <w:szCs w:val="21"/>
          <w:u w:val="single"/>
          <w:lang w:eastAsia="zh-CN"/>
        </w:rPr>
        <w:t xml:space="preserve">     </w:t>
      </w:r>
      <w:r>
        <w:rPr>
          <w:rFonts w:ascii="宋体" w:eastAsia="宋体" w:hAnsi="宋体" w:hint="eastAsia"/>
          <w:szCs w:val="21"/>
        </w:rPr>
        <w:t>日</w:t>
      </w:r>
    </w:p>
    <w:p>
      <w:pPr>
        <w:spacing w:line="360" w:lineRule="auto"/>
        <w:jc w:val="right"/>
        <w:rPr>
          <w:rFonts w:ascii="宋体" w:eastAsia="宋体" w:hAnsi="宋体" w:hint="eastAsia"/>
          <w:szCs w:val="21"/>
        </w:rPr>
      </w:pPr>
    </w:p>
    <w:p>
      <w:pPr>
        <w:spacing w:line="360" w:lineRule="auto"/>
        <w:jc w:val="right"/>
        <w:rPr>
          <w:rFonts w:ascii="宋体" w:eastAsia="宋体" w:hAnsi="宋体" w:hint="eastAsia"/>
          <w:szCs w:val="21"/>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十七、</w:t>
      </w:r>
      <w:bookmarkStart w:id="28" w:name="_Hlk72062872"/>
      <w:r>
        <w:rPr>
          <w:rFonts w:ascii="黑体" w:eastAsia="黑体" w:hAnsi="宋体" w:cstheme="minorBidi" w:hint="eastAsia"/>
          <w:b/>
          <w:bCs/>
          <w:kern w:val="2"/>
          <w:sz w:val="30"/>
          <w:szCs w:val="30"/>
          <w:lang w:eastAsia="zh-CN"/>
        </w:rPr>
        <w:t>投标人认为需要加以说明的其他内容</w:t>
      </w:r>
      <w:bookmarkEnd w:id="28"/>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579" w:lineRule="exact"/>
        <w:ind w:firstLine="480" w:firstLineChars="200"/>
        <w:jc w:val="both"/>
        <w:rPr>
          <w:rFonts w:ascii="宋体" w:eastAsia="宋体" w:hAnsi="宋体" w:cs="仿宋_GB2312"/>
          <w:lang w:eastAsia="zh-CN"/>
        </w:rPr>
      </w:pPr>
      <w:r>
        <w:rPr>
          <w:rFonts w:ascii="宋体" w:eastAsia="宋体" w:hAnsi="宋体" w:cs="仿宋_GB2312" w:hint="eastAsia"/>
          <w:kern w:val="2"/>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jc w:val="left"/>
        <w:rPr>
          <w:rFonts w:ascii="宋体" w:eastAsia="宋体" w:hAnsi="宋体" w:cs="仿宋_GB2312"/>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kern w:val="2"/>
          <w:u w:val="single"/>
          <w:lang w:eastAsia="zh-CN"/>
        </w:rPr>
      </w:pP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jc w:val="left"/>
        <w:rPr>
          <w:rFonts w:ascii="宋体" w:eastAsia="宋体" w:hAnsi="宋体" w:cs="仿宋_GB2312"/>
          <w:kern w:val="2"/>
          <w:lang w:eastAsia="zh-CN"/>
        </w:rPr>
      </w:pPr>
    </w:p>
    <w:p>
      <w:pPr>
        <w:widowControl/>
        <w:autoSpaceDE w:val="0"/>
        <w:autoSpaceDN w:val="0"/>
        <w:spacing w:line="400" w:lineRule="exact"/>
        <w:ind w:firstLine="480" w:firstLineChars="200"/>
        <w:jc w:val="left"/>
        <w:rPr>
          <w:rFonts w:ascii="宋体" w:eastAsia="宋体" w:hAnsi="宋体"/>
          <w:color w:val="FF0000"/>
          <w:spacing w:val="-4"/>
          <w:sz w:val="21"/>
          <w:szCs w:val="21"/>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numPr>
          <w:ilvl w:val="0"/>
          <w:numId w:val="6"/>
        </w:numPr>
        <w:jc w:val="center"/>
        <w:rPr>
          <w:rFonts w:ascii="黑体" w:eastAsia="黑体" w:hAnsi="宋体" w:hint="eastAsia"/>
          <w:szCs w:val="20"/>
          <w:lang w:eastAsia="zh-CN"/>
        </w:rPr>
      </w:pPr>
      <w:r>
        <w:rPr>
          <w:rFonts w:ascii="黑体" w:eastAsia="黑体" w:hAnsi="宋体" w:cstheme="minorBidi" w:hint="eastAsia"/>
          <w:szCs w:val="20"/>
          <w:lang w:eastAsia="zh-CN"/>
        </w:rPr>
        <w:t>投标人认为需要加以说明的其他内容（格式自定）</w:t>
      </w:r>
    </w:p>
    <w:p>
      <w:pPr>
        <w:widowControl/>
        <w:numPr>
          <w:ilvl w:val="0"/>
          <w:numId w:val="0"/>
        </w:numPr>
        <w:ind w:left="0" w:firstLine="0"/>
        <w:jc w:val="center"/>
        <w:rPr>
          <w:rFonts w:ascii="黑体" w:eastAsia="黑体" w:hAnsi="宋体" w:hint="eastAsia"/>
          <w:szCs w:val="20"/>
          <w:lang w:eastAsia="zh-CN"/>
        </w:rPr>
      </w:pPr>
    </w:p>
    <w:p>
      <w:pPr>
        <w:widowControl/>
        <w:numPr>
          <w:ilvl w:val="0"/>
          <w:numId w:val="0"/>
        </w:numPr>
        <w:ind w:left="0" w:firstLine="0"/>
        <w:jc w:val="center"/>
        <w:rPr>
          <w:rFonts w:ascii="黑体" w:eastAsia="黑体" w:hAnsi="宋体" w:hint="eastAsia"/>
          <w:szCs w:val="20"/>
          <w:lang w:eastAsia="zh-CN"/>
        </w:rPr>
      </w:pPr>
    </w:p>
    <w:p>
      <w:pPr>
        <w:widowControl/>
        <w:numPr>
          <w:ilvl w:val="0"/>
          <w:numId w:val="0"/>
        </w:numPr>
        <w:ind w:left="0" w:firstLine="0"/>
        <w:jc w:val="center"/>
        <w:rPr>
          <w:rFonts w:ascii="黑体" w:eastAsia="黑体" w:hAnsi="宋体" w:hint="eastAsia"/>
          <w:szCs w:val="20"/>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有专业类别的格式合同范本请选择相应的合同</w:t>
      </w:r>
    </w:p>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w:t>
      </w:r>
      <w:r>
        <w:rPr>
          <w:rFonts w:ascii="宋体" w:eastAsia="宋体" w:hAnsi="宋体" w:cs="宋体" w:hint="eastAsia"/>
          <w:sz w:val="21"/>
          <w:szCs w:val="21"/>
          <w:lang w:eastAsia="zh-CN"/>
        </w:rPr>
        <w:t>深圳市龙华职业技术学校</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w:t>
      </w:r>
      <w:r>
        <w:rPr>
          <w:rFonts w:ascii="宋体" w:eastAsia="宋体" w:hAnsi="宋体" w:cs="宋体" w:hint="eastAsia"/>
          <w:sz w:val="21"/>
          <w:szCs w:val="21"/>
          <w:lang w:eastAsia="zh-CN"/>
        </w:rPr>
        <w:t>深圳市龙华职业技术学校</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b/>
          <w:sz w:val="21"/>
          <w:szCs w:val="21"/>
          <w:u w:val="single"/>
          <w:lang w:eastAsia="zh-CN"/>
        </w:rPr>
        <w:t>（采购清单）</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 xml:space="preserve">10 </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20</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widowControl w:val="0"/>
        <w:spacing w:line="360" w:lineRule="auto"/>
        <w:ind w:firstLine="560"/>
        <w:jc w:val="left"/>
        <w:rPr>
          <w:rFonts w:ascii="宋体" w:eastAsia="宋体" w:hAnsi="宋体" w:cs="宋体"/>
          <w:kern w:val="2"/>
          <w:sz w:val="21"/>
          <w:szCs w:val="21"/>
          <w:lang w:eastAsia="zh-CN"/>
        </w:rPr>
      </w:pPr>
    </w:p>
    <w:p>
      <w:pPr>
        <w:widowControl w:val="0"/>
        <w:spacing w:line="360" w:lineRule="auto"/>
        <w:jc w:val="both"/>
        <w:rPr>
          <w:rFonts w:ascii="宋体" w:eastAsia="宋体" w:hAnsi="宋体"/>
          <w:kern w:val="2"/>
          <w:sz w:val="21"/>
          <w:szCs w:val="21"/>
          <w:lang w:eastAsia="zh-CN"/>
        </w:rPr>
      </w:pPr>
    </w:p>
    <w:p>
      <w:pPr>
        <w:widowControl/>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both"/>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9" w:name="_Toc1312"/>
      <w:r>
        <w:rPr>
          <w:rFonts w:ascii="Arial" w:eastAsia="宋体" w:hAnsi="Arial" w:hint="eastAsia"/>
          <w:b/>
          <w:kern w:val="2"/>
          <w:sz w:val="32"/>
          <w:lang w:eastAsia="zh-CN"/>
        </w:rPr>
        <w:t>第一章  总则</w:t>
      </w:r>
      <w:bookmarkEnd w:id="29"/>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0" w:name="_Toc696"/>
      <w:r>
        <w:rPr>
          <w:rFonts w:ascii="Arial" w:eastAsia="宋体" w:hAnsi="Arial" w:hint="eastAsia"/>
          <w:b/>
          <w:kern w:val="2"/>
          <w:sz w:val="32"/>
          <w:lang w:eastAsia="zh-CN"/>
        </w:rPr>
        <w:t>第二章</w:t>
      </w:r>
      <w:bookmarkStart w:id="31" w:name="_Toc25500"/>
      <w:bookmarkStart w:id="32" w:name="_Toc16272"/>
      <w:bookmarkStart w:id="33" w:name="_Toc4237"/>
      <w:r>
        <w:rPr>
          <w:rFonts w:ascii="Arial" w:eastAsia="宋体" w:hAnsi="Arial" w:hint="eastAsia"/>
          <w:b/>
          <w:kern w:val="2"/>
          <w:sz w:val="32"/>
          <w:lang w:eastAsia="zh-CN"/>
        </w:rPr>
        <w:t xml:space="preserve">  招标文件</w:t>
      </w:r>
      <w:bookmarkEnd w:id="30"/>
      <w:bookmarkEnd w:id="31"/>
      <w:bookmarkEnd w:id="32"/>
      <w:bookmarkEnd w:id="3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4"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4"/>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5" w:name="_Toc17279"/>
      <w:bookmarkStart w:id="36" w:name="_Toc13741"/>
      <w:bookmarkStart w:id="37" w:name="_Toc31413"/>
      <w:bookmarkStart w:id="38" w:name="_Toc18814"/>
      <w:r>
        <w:rPr>
          <w:rFonts w:ascii="Arial" w:eastAsia="宋体" w:hAnsi="Arial" w:hint="eastAsia"/>
          <w:b/>
          <w:kern w:val="2"/>
          <w:sz w:val="32"/>
          <w:lang w:eastAsia="zh-CN"/>
        </w:rPr>
        <w:t>第三章  投标文件的编制</w:t>
      </w:r>
      <w:bookmarkEnd w:id="35"/>
      <w:bookmarkEnd w:id="36"/>
      <w:bookmarkEnd w:id="37"/>
      <w:bookmarkEnd w:id="3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9"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0"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1"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2"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3"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bookmarkStart w:id="44"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4"/>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5"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6"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6"/>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7" w:name="_Toc18062"/>
      <w:bookmarkStart w:id="48" w:name="_Toc28552"/>
      <w:bookmarkStart w:id="49" w:name="_Toc26761"/>
      <w:bookmarkStart w:id="50" w:name="_Toc21427"/>
      <w:r>
        <w:rPr>
          <w:rFonts w:ascii="Arial" w:eastAsia="宋体" w:hAnsi="Arial" w:hint="eastAsia"/>
          <w:b/>
          <w:kern w:val="2"/>
          <w:sz w:val="32"/>
          <w:lang w:eastAsia="zh-CN"/>
        </w:rPr>
        <w:t>第四章</w:t>
      </w:r>
      <w:bookmarkStart w:id="51" w:name="_Toc30105"/>
      <w:r>
        <w:rPr>
          <w:rFonts w:ascii="Arial" w:eastAsia="宋体" w:hAnsi="Arial" w:hint="eastAsia"/>
          <w:b/>
          <w:kern w:val="2"/>
          <w:sz w:val="32"/>
          <w:lang w:eastAsia="zh-CN"/>
        </w:rPr>
        <w:t xml:space="preserve">  投标文件的</w:t>
      </w:r>
      <w:bookmarkEnd w:id="47"/>
      <w:r>
        <w:rPr>
          <w:rFonts w:ascii="Arial" w:eastAsia="宋体" w:hAnsi="Arial" w:hint="eastAsia"/>
          <w:b/>
          <w:kern w:val="2"/>
          <w:sz w:val="32"/>
          <w:lang w:eastAsia="zh-CN"/>
        </w:rPr>
        <w:t>递交</w:t>
      </w:r>
      <w:bookmarkEnd w:id="48"/>
      <w:bookmarkEnd w:id="49"/>
      <w:bookmarkEnd w:id="50"/>
      <w:bookmarkEnd w:id="51"/>
    </w:p>
    <w:p>
      <w:pPr>
        <w:widowControl/>
        <w:wordWrap w:val="0"/>
        <w:autoSpaceDE w:val="0"/>
        <w:autoSpaceDN w:val="0"/>
        <w:spacing w:line="400" w:lineRule="exact"/>
        <w:ind w:right="808" w:firstLine="420" w:firstLineChars="200"/>
        <w:jc w:val="both"/>
        <w:rPr>
          <w:rFonts w:eastAsia="宋体"/>
          <w:kern w:val="2"/>
          <w:sz w:val="21"/>
          <w:lang w:eastAsia="zh-CN"/>
        </w:rPr>
      </w:pPr>
      <w:bookmarkStart w:id="52"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3"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3"/>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4" w:name="第五章1"/>
      <w:bookmarkEnd w:id="54"/>
      <w:bookmarkStart w:id="55" w:name="_Toc14713"/>
      <w:bookmarkStart w:id="56" w:name="_Toc101074881"/>
      <w:bookmarkStart w:id="57" w:name="_Toc2041"/>
      <w:bookmarkStart w:id="58" w:name="_Toc100052391"/>
      <w:bookmarkStart w:id="59" w:name="_Toc1658"/>
      <w:bookmarkStart w:id="60" w:name="_Toc13806"/>
      <w:bookmarkStart w:id="61" w:name="_Toc73518144"/>
      <w:bookmarkStart w:id="62" w:name="_Toc73517666"/>
      <w:r>
        <w:rPr>
          <w:rFonts w:ascii="Arial" w:eastAsia="宋体" w:hAnsi="Arial" w:hint="eastAsia"/>
          <w:b/>
          <w:kern w:val="2"/>
          <w:sz w:val="32"/>
          <w:lang w:eastAsia="zh-CN"/>
        </w:rPr>
        <w:t>第五章</w:t>
      </w:r>
      <w:bookmarkStart w:id="63" w:name="_Toc4434"/>
      <w:r>
        <w:rPr>
          <w:rFonts w:ascii="Arial" w:eastAsia="宋体" w:hAnsi="Arial" w:hint="eastAsia"/>
          <w:b/>
          <w:kern w:val="2"/>
          <w:sz w:val="32"/>
          <w:lang w:eastAsia="zh-CN"/>
        </w:rPr>
        <w:t xml:space="preserve">  开标</w:t>
      </w:r>
      <w:bookmarkEnd w:id="55"/>
      <w:bookmarkEnd w:id="56"/>
      <w:bookmarkEnd w:id="57"/>
      <w:bookmarkEnd w:id="58"/>
      <w:bookmarkEnd w:id="59"/>
      <w:bookmarkEnd w:id="60"/>
      <w:bookmarkEnd w:id="61"/>
      <w:bookmarkEnd w:id="62"/>
      <w:bookmarkEnd w:id="63"/>
    </w:p>
    <w:p>
      <w:pPr>
        <w:widowControl/>
        <w:wordWrap w:val="0"/>
        <w:autoSpaceDE w:val="0"/>
        <w:autoSpaceDN w:val="0"/>
        <w:spacing w:line="400" w:lineRule="exact"/>
        <w:ind w:right="808" w:firstLine="420" w:firstLineChars="200"/>
        <w:jc w:val="both"/>
        <w:rPr>
          <w:rFonts w:eastAsia="宋体"/>
          <w:kern w:val="2"/>
          <w:sz w:val="21"/>
          <w:lang w:eastAsia="zh-CN"/>
        </w:rPr>
      </w:pPr>
      <w:bookmarkStart w:id="64" w:name="_Toc73518146"/>
      <w:bookmarkStart w:id="65" w:name="_Toc73517668"/>
      <w:bookmarkStart w:id="66" w:name="_Toc101074882"/>
      <w:bookmarkStart w:id="67"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4"/>
    <w:bookmarkEnd w:id="65"/>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8" w:name="第六章1"/>
      <w:bookmarkEnd w:id="68"/>
      <w:bookmarkStart w:id="69" w:name="_Toc20179"/>
      <w:bookmarkStart w:id="70" w:name="_Toc7319"/>
      <w:bookmarkStart w:id="71" w:name="_Toc29197"/>
      <w:bookmarkStart w:id="72" w:name="_Toc27869"/>
      <w:r>
        <w:rPr>
          <w:rFonts w:ascii="Arial" w:eastAsia="宋体" w:hAnsi="Arial" w:hint="eastAsia"/>
          <w:b/>
          <w:kern w:val="2"/>
          <w:sz w:val="32"/>
          <w:lang w:eastAsia="zh-CN"/>
        </w:rPr>
        <w:t>第六章</w:t>
      </w:r>
      <w:bookmarkStart w:id="73" w:name="_Toc29225"/>
      <w:r>
        <w:rPr>
          <w:rFonts w:ascii="Arial" w:eastAsia="宋体" w:hAnsi="Arial" w:hint="eastAsia"/>
          <w:b/>
          <w:kern w:val="2"/>
          <w:sz w:val="32"/>
          <w:lang w:eastAsia="zh-CN"/>
        </w:rPr>
        <w:t xml:space="preserve">  评审要求</w:t>
      </w:r>
      <w:bookmarkEnd w:id="66"/>
      <w:bookmarkEnd w:id="67"/>
      <w:bookmarkEnd w:id="69"/>
      <w:bookmarkEnd w:id="70"/>
      <w:bookmarkEnd w:id="71"/>
      <w:bookmarkEnd w:id="72"/>
      <w:bookmarkEnd w:id="73"/>
    </w:p>
    <w:p>
      <w:pPr>
        <w:widowControl/>
        <w:wordWrap w:val="0"/>
        <w:autoSpaceDE w:val="0"/>
        <w:autoSpaceDN w:val="0"/>
        <w:spacing w:line="400" w:lineRule="exact"/>
        <w:ind w:right="808" w:firstLine="420" w:firstLineChars="200"/>
        <w:jc w:val="both"/>
        <w:rPr>
          <w:rFonts w:eastAsia="宋体"/>
          <w:kern w:val="2"/>
          <w:sz w:val="21"/>
          <w:lang w:eastAsia="zh-CN"/>
        </w:rPr>
      </w:pPr>
      <w:bookmarkStart w:id="74" w:name="第七章1"/>
      <w:bookmarkEnd w:id="74"/>
      <w:bookmarkStart w:id="75" w:name="_Toc1296"/>
      <w:bookmarkStart w:id="76" w:name="_Toc101074883"/>
      <w:bookmarkStart w:id="77" w:name="_Toc20125"/>
      <w:bookmarkStart w:id="78" w:name="_Toc100052397"/>
      <w:bookmarkStart w:id="79" w:name="_Toc19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0"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0"/>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1" w:name="_Toc18761"/>
      <w:r>
        <w:rPr>
          <w:rFonts w:ascii="Arial" w:eastAsia="宋体" w:hAnsi="Arial" w:hint="eastAsia"/>
          <w:b/>
          <w:kern w:val="2"/>
          <w:sz w:val="32"/>
          <w:lang w:eastAsia="zh-CN"/>
        </w:rPr>
        <w:t>第七章</w:t>
      </w:r>
      <w:bookmarkStart w:id="82" w:name="_Toc26636"/>
      <w:r>
        <w:rPr>
          <w:rFonts w:ascii="Arial" w:eastAsia="宋体" w:hAnsi="Arial" w:hint="eastAsia"/>
          <w:b/>
          <w:kern w:val="2"/>
          <w:sz w:val="32"/>
          <w:lang w:eastAsia="zh-CN"/>
        </w:rPr>
        <w:t xml:space="preserve">  评审程序</w:t>
      </w:r>
      <w:bookmarkStart w:id="83" w:name="_Toc73518149"/>
      <w:bookmarkStart w:id="84" w:name="_Toc73517671"/>
      <w:r>
        <w:rPr>
          <w:rFonts w:ascii="Arial" w:eastAsia="宋体" w:hAnsi="Arial" w:hint="eastAsia"/>
          <w:b/>
          <w:kern w:val="2"/>
          <w:sz w:val="32"/>
          <w:lang w:eastAsia="zh-CN"/>
        </w:rPr>
        <w:t>及评审方法</w:t>
      </w:r>
      <w:bookmarkEnd w:id="75"/>
      <w:bookmarkEnd w:id="76"/>
      <w:bookmarkEnd w:id="77"/>
      <w:bookmarkEnd w:id="78"/>
      <w:bookmarkEnd w:id="79"/>
      <w:bookmarkEnd w:id="81"/>
      <w:bookmarkEnd w:id="82"/>
    </w:p>
    <w:bookmarkEnd w:id="83"/>
    <w:bookmarkEnd w:id="8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5"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5"/>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6" w:name="_Toc73521669"/>
      <w:bookmarkStart w:id="87" w:name="_Toc100052400"/>
      <w:bookmarkStart w:id="88" w:name="_Toc73518151"/>
      <w:bookmarkStart w:id="89" w:name="_Toc73521581"/>
      <w:bookmarkStart w:id="90" w:name="_Toc73517673"/>
      <w:r>
        <w:rPr>
          <w:rFonts w:eastAsia="宋体" w:hint="eastAsia"/>
          <w:kern w:val="2"/>
          <w:sz w:val="21"/>
          <w:lang w:eastAsia="zh-CN"/>
        </w:rPr>
        <w:t>34．错误的修正</w:t>
      </w:r>
      <w:bookmarkEnd w:id="86"/>
      <w:bookmarkEnd w:id="87"/>
      <w:bookmarkEnd w:id="88"/>
      <w:bookmarkEnd w:id="89"/>
      <w:bookmarkEnd w:id="9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1"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2" w:name="第八章1"/>
      <w:bookmarkEnd w:id="92"/>
      <w:bookmarkStart w:id="93" w:name="_Toc13341"/>
      <w:bookmarkStart w:id="94" w:name="_Toc1513"/>
      <w:bookmarkStart w:id="95" w:name="_Toc30568"/>
      <w:bookmarkStart w:id="96" w:name="_Toc26094"/>
      <w:r>
        <w:rPr>
          <w:rFonts w:ascii="Arial" w:eastAsia="宋体" w:hAnsi="Arial" w:hint="eastAsia"/>
          <w:b/>
          <w:kern w:val="2"/>
          <w:sz w:val="32"/>
          <w:lang w:eastAsia="zh-CN"/>
        </w:rPr>
        <w:t>第八章</w:t>
      </w:r>
      <w:bookmarkStart w:id="97" w:name="_Toc24537"/>
      <w:r>
        <w:rPr>
          <w:rFonts w:ascii="Arial" w:eastAsia="宋体" w:hAnsi="Arial" w:hint="eastAsia"/>
          <w:b/>
          <w:kern w:val="2"/>
          <w:sz w:val="32"/>
          <w:lang w:eastAsia="zh-CN"/>
        </w:rPr>
        <w:t xml:space="preserve">  定标及公示</w:t>
      </w:r>
      <w:bookmarkEnd w:id="93"/>
      <w:bookmarkEnd w:id="94"/>
      <w:bookmarkEnd w:id="95"/>
      <w:bookmarkEnd w:id="96"/>
      <w:bookmarkEnd w:id="9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8"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99"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0"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9"/>
      <w:bookmarkEnd w:id="100"/>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1"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1"/>
      <w:bookmarkStart w:id="102"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3"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4" w:name="_Hlk71407340"/>
      <w:r>
        <w:rPr>
          <w:rFonts w:eastAsia="宋体" w:hint="eastAsia"/>
          <w:kern w:val="2"/>
          <w:sz w:val="21"/>
          <w:lang w:eastAsia="zh-CN"/>
        </w:rPr>
        <w:t>41.3因质疑投诉或其它原因导致项目结果变更或采购终止的，采购代理机构有权吊销中标通知书。</w:t>
      </w:r>
    </w:p>
    <w:bookmarkEnd w:id="104"/>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5" w:name="第九章1"/>
      <w:bookmarkEnd w:id="105"/>
      <w:bookmarkStart w:id="106" w:name="_Toc25733"/>
      <w:bookmarkStart w:id="107" w:name="_Toc20277"/>
      <w:bookmarkStart w:id="108" w:name="_Toc11736"/>
      <w:bookmarkStart w:id="109" w:name="_Toc17412"/>
      <w:bookmarkStart w:id="110" w:name="_Toc24474"/>
      <w:bookmarkStart w:id="111" w:name="_Toc73517678"/>
      <w:bookmarkStart w:id="112" w:name="_Toc101074884"/>
      <w:bookmarkStart w:id="113" w:name="_Toc100052407"/>
      <w:r>
        <w:rPr>
          <w:rFonts w:ascii="Arial" w:eastAsia="宋体" w:hAnsi="Arial" w:hint="eastAsia"/>
          <w:b/>
          <w:kern w:val="2"/>
          <w:sz w:val="32"/>
          <w:lang w:eastAsia="zh-CN"/>
        </w:rPr>
        <w:t>第九章  公开采购失败的后续处理</w:t>
      </w:r>
      <w:bookmarkEnd w:id="106"/>
      <w:bookmarkEnd w:id="107"/>
      <w:bookmarkEnd w:id="108"/>
      <w:bookmarkEnd w:id="109"/>
      <w:bookmarkEnd w:id="11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1"/>
    <w:bookmarkEnd w:id="112"/>
    <w:bookmarkEnd w:id="113"/>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4" w:name="第十章1"/>
      <w:bookmarkEnd w:id="114"/>
      <w:bookmarkStart w:id="115" w:name="_Toc26814"/>
      <w:bookmarkStart w:id="116" w:name="_Toc9122"/>
      <w:bookmarkStart w:id="117" w:name="_Toc27904"/>
      <w:bookmarkStart w:id="118" w:name="_Toc26432"/>
      <w:bookmarkStart w:id="119" w:name="_Toc13677"/>
      <w:r>
        <w:rPr>
          <w:rFonts w:ascii="Arial" w:eastAsia="宋体" w:hAnsi="Arial" w:hint="eastAsia"/>
          <w:b/>
          <w:kern w:val="2"/>
          <w:sz w:val="32"/>
          <w:lang w:eastAsia="zh-CN"/>
        </w:rPr>
        <w:t>第十章  合同的授予与备案</w:t>
      </w:r>
      <w:bookmarkEnd w:id="115"/>
      <w:bookmarkEnd w:id="116"/>
      <w:bookmarkEnd w:id="117"/>
      <w:bookmarkEnd w:id="118"/>
      <w:bookmarkEnd w:id="119"/>
    </w:p>
    <w:p>
      <w:pPr>
        <w:widowControl/>
        <w:wordWrap w:val="0"/>
        <w:autoSpaceDE w:val="0"/>
        <w:autoSpaceDN w:val="0"/>
        <w:spacing w:line="400" w:lineRule="exact"/>
        <w:ind w:right="808" w:firstLine="420" w:firstLineChars="200"/>
        <w:jc w:val="both"/>
        <w:rPr>
          <w:rFonts w:eastAsia="宋体"/>
          <w:kern w:val="2"/>
          <w:sz w:val="21"/>
          <w:lang w:eastAsia="zh-CN"/>
        </w:rPr>
      </w:pPr>
      <w:bookmarkStart w:id="120" w:name="_33._合同授予标准"/>
      <w:bookmarkEnd w:id="120"/>
      <w:bookmarkStart w:id="121" w:name="_Toc73521586"/>
      <w:bookmarkStart w:id="122" w:name="_Toc73518157"/>
      <w:bookmarkStart w:id="123" w:name="_Toc100052408"/>
      <w:bookmarkStart w:id="124" w:name="_Toc73517679"/>
      <w:bookmarkStart w:id="125" w:name="_Toc73521674"/>
      <w:bookmarkStart w:id="126" w:name="_Hlk72439088"/>
      <w:r>
        <w:rPr>
          <w:rFonts w:eastAsia="宋体" w:hint="eastAsia"/>
          <w:kern w:val="2"/>
          <w:sz w:val="21"/>
          <w:lang w:eastAsia="zh-CN"/>
        </w:rPr>
        <w:t>43．合同授予标准</w:t>
      </w:r>
      <w:bookmarkEnd w:id="121"/>
      <w:bookmarkEnd w:id="122"/>
      <w:bookmarkEnd w:id="123"/>
      <w:bookmarkEnd w:id="124"/>
      <w:bookmarkEnd w:id="12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7" w:name="_Toc73518158"/>
      <w:bookmarkStart w:id="128" w:name="_Toc73517680"/>
      <w:bookmarkStart w:id="129" w:name="_Toc73521675"/>
      <w:bookmarkStart w:id="130" w:name="_Toc100052409"/>
      <w:bookmarkStart w:id="131" w:name="_Toc73521587"/>
      <w:r>
        <w:rPr>
          <w:rFonts w:eastAsia="宋体" w:hint="eastAsia"/>
          <w:kern w:val="2"/>
          <w:sz w:val="21"/>
          <w:lang w:eastAsia="zh-CN"/>
        </w:rPr>
        <w:t>44．</w:t>
      </w:r>
      <w:bookmarkEnd w:id="127"/>
      <w:bookmarkEnd w:id="128"/>
      <w:bookmarkEnd w:id="129"/>
      <w:bookmarkEnd w:id="130"/>
      <w:bookmarkEnd w:id="131"/>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2" w:name="_Toc73517682"/>
      <w:bookmarkStart w:id="133" w:name="_Toc73521677"/>
      <w:bookmarkStart w:id="134" w:name="_Toc73518160"/>
      <w:bookmarkStart w:id="135" w:name="_Toc73521589"/>
      <w:bookmarkStart w:id="136" w:name="_Toc100052410"/>
      <w:r>
        <w:rPr>
          <w:rFonts w:eastAsia="宋体" w:hint="eastAsia"/>
          <w:kern w:val="2"/>
          <w:sz w:val="21"/>
          <w:lang w:eastAsia="zh-CN"/>
        </w:rPr>
        <w:t>45．合同的签订</w:t>
      </w:r>
      <w:bookmarkEnd w:id="132"/>
      <w:bookmarkEnd w:id="133"/>
      <w:bookmarkEnd w:id="134"/>
      <w:bookmarkEnd w:id="135"/>
      <w:bookmarkEnd w:id="1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7" w:name="_Toc100052411"/>
      <w:bookmarkStart w:id="138" w:name="_Toc73518161"/>
      <w:bookmarkStart w:id="139" w:name="_Toc73521590"/>
      <w:bookmarkStart w:id="140" w:name="_Toc73517683"/>
      <w:bookmarkStart w:id="141" w:name="_Toc73521678"/>
      <w:r>
        <w:rPr>
          <w:rFonts w:eastAsia="宋体" w:hint="eastAsia"/>
          <w:kern w:val="2"/>
          <w:sz w:val="21"/>
          <w:lang w:eastAsia="zh-CN"/>
        </w:rPr>
        <w:t>46．履约担保</w:t>
      </w:r>
      <w:bookmarkEnd w:id="137"/>
      <w:bookmarkEnd w:id="138"/>
      <w:bookmarkEnd w:id="139"/>
      <w:bookmarkEnd w:id="140"/>
      <w:bookmarkEnd w:id="1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2" w:name="_Hlk72440769"/>
      <w:r>
        <w:rPr>
          <w:rFonts w:eastAsia="宋体" w:hint="eastAsia"/>
          <w:kern w:val="2"/>
          <w:sz w:val="21"/>
          <w:lang w:eastAsia="zh-CN"/>
        </w:rPr>
        <w:t>采购代理机构或采购人不予退还其交纳的谈判保证金，情节严重的，并由主管部门</w:t>
      </w:r>
      <w:bookmarkEnd w:id="142"/>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6"/>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3" w:name="_Toc19433"/>
      <w:r>
        <w:rPr>
          <w:rFonts w:ascii="Arial" w:eastAsia="宋体" w:hAnsi="Arial" w:hint="eastAsia"/>
          <w:b/>
          <w:kern w:val="2"/>
          <w:sz w:val="32"/>
          <w:lang w:eastAsia="zh-CN"/>
        </w:rPr>
        <w:t>第十一章  质疑处理</w:t>
      </w:r>
      <w:bookmarkEnd w:id="14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4" w:name="_Hlk75374941"/>
      <w:r>
        <w:rPr>
          <w:rFonts w:eastAsia="宋体" w:hint="eastAsia"/>
          <w:kern w:val="2"/>
          <w:sz w:val="21"/>
          <w:lang w:eastAsia="zh-CN"/>
        </w:rPr>
        <w:t>以联合体形式参与的，质疑应当由组成联合体的所有成员共同提出</w:t>
      </w:r>
      <w:bookmarkEnd w:id="144"/>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10"/>
          <w:footerReference w:type="default" r:id="rId11"/>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bookmarkStart w:id="145" w:name="_GoBack"/>
      <w:bookmarkEnd w:id="145"/>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楼层宿管员值班房家具采购-A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设计方案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LHAZXDL-2024-00261-001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楼层宿管员值班房家具采购-A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技术评分部分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评审小组根据《技术规格偏离表》（以下简称“偏离表”）响应情况进行打分，全部满足的得100分，一般参数负偏离一项扣2分，重点技术参数▲项负偏离一项扣14分。扣完为止。 证明文件： 偏离表应如实对应填写所投产品的具体参数。如要求提供“厂家网站截图说明书厂家出具的参数文件检验报告”等证明资料的，需按要求提供相关证明资料；提供的证明资料与所填写内容不一致的，以证明资料为准，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投标人或所投核心产品制造商提供以下生产设备的配置证明资料，设备包含： ①计算机数控加工中心及全自动激光直线封边机；②转塔冲床及数控五面钻；③真空搬运机及曲线封边机；④高速电脑裁板锯及中央除尘设备；⑤家具综合力学测试仪；⑥甲醛测试机VOC分析仪；⑦气动抽屉导轨耐久性测试仪。 具有上述全部（7个项目）设备的得100分，具有上述任意6个项目设备的得50分，具有上述任意5个项目设备的得20分，其他情况不得分。 评分依据： 1.设备的实物照片（注：自有和租赁均需提供）； 2.自有设备要求提供设备购买合同关键页及购买发票扫描件（发票抬头名称必须是投标人或所投核心产品制造商名称）；如设备为租赁设备，需同时提供设备租赁合同关键页及租金支付发票扫描件（合同和发票抬头名称是投标人或所投核心产品制造商名称）。未按要求提供或扫描件不清晰导致无法识别的不得分，原件备查； 3.提供的设备名称与招标文件要求不一致的，但为同种设备的，需提供承诺为同种设备的书面说明（格式自拟），若名称不一致又未提供说明的，不得分。同种设备不可重复计分。 注：设备发票或合同的公司名称须与投标人或所投核心产品制造商的公司名称一致，如前后投标人或所投核心产品制造商名称有变更的，提供市场监督管理局出具的“公司准予变更登记通知书”。</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评审委员会根据投标单位的服务方案进行评审，包括但不限于以下方案： （1）技术团队构架、技术人员安排 （2）服务方案 （3）售后服务方案 评分依据： 1、提供以上3点内容得30分，缺项不得分。 2、在此基础上，专家根据内容的合理性进行评分 （1）方案符合实际、完整、规范、思路清晰，内容合理性强，评价为优加70分； （2）方案较符合实际、较完整规范、思路较清晰，内容合理性较强，评价为良加40分； （3）方案较普通、完整性规范性一般，思路不够清晰，内容合理性一般，评价为中加20分； （4）方案不完整、不规范，思路不清晰，内容合理性较差或未提供，评价为差不加分。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设计方案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整体方案符合各项功能性配置及参数符合招标文件要求，空间设计布置合理，符合采购单位需求，针对本项目提供项目设计图方案，方案中应包含： 1.单人间宿舍：提供平面布局图（1张）、俯视效果图（1张）及不同角度效果图（2张），需体现产品序号1单人床、产品序号2床垫、产品序号3书桌、产品序号4单椅、产品序号5文件柜。 评分依据： 1、提供齐全所要求空间图纸的平面布局图、俯视效果图及不同角度效果图的得20分； 2、在此基础上，针对设计图的合理性和可行性，将根据设计图的清晰度、周密性、合理性、完整性、所采用方法和技术的适用性、所采用技术的先进性以及是否符合相关规范要求进行评分。 （1）设计的图纸内容完整，设计合理、实用性强，图片清晰、整体效果完全符合实际需求的评价为优，得80分。 （2）设计的图纸内容完整，设计较为合理、实用性一般，图片清晰、整体效果基本符合实际需求的评价为良，得20分。 （3）设计的图纸内容基本完整，设计合理性较差、实用性较差，图片清晰、整体效果不符合实际需求的评价为中，得5分。 （4）如果未提供设计图或设计图不符合要求未能体现上述评分内容的，则对应项不得分。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商务评分部分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投标人应如实填写《商务条款偏离情况》，评审小组根据响应情况进行打分，全部满足要求的得100分，每负偏离一项扣20分。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2021年1月1日至本项目投标截止日（以合同签订日期为准），投标人具有家具类项目业绩的，每提供1个得100分，最高得100分。 证明文件： 要求提供中标通知书、合同关键信息（包括但不限于合同标的、签订时间、双方签章页）及验收报告扫描件，通过合同关键信息无法判断是否得分的，还须同时提供能证明得分的其它证明资料，如合同甲方出具的证明文件或项目报告,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履约评价情况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2021年1月1日至本项目投标截止日前，投标人具有上述同类项目经验中经评审有效得分的业绩，并经用户单位考核评价为优或满意或其他最高等级评价的，每提供1项得100分，最高得100分。 证明文件： 要求提供以上项目合同关键页（包括但不限于合同标的、签订时间、双方签章页）及盖有用户单位公章或加盖职能部门或下属机构业务章的履约评价扫描件，原件备查。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F31A29CA"/>
    <w:multiLevelType w:val="singleLevel"/>
    <w:tmpl w:val="F31A29CA"/>
    <w:lvl w:ilvl="0">
      <w:start w:val="2"/>
      <w:numFmt w:val="chineseCounting"/>
      <w:suff w:val="nothing"/>
      <w:lvlText w:val="（%1）"/>
      <w:lvlJc w:val="left"/>
      <w:rPr>
        <w:rFonts w:hint="eastAsia"/>
      </w:rPr>
    </w:lvl>
  </w:abstractNum>
  <w:abstractNum w:abstractNumId="3">
    <w:nsid w:val="2D258D39"/>
    <w:multiLevelType w:val="singleLevel"/>
    <w:tmpl w:val="2D258D39"/>
    <w:lvl w:ilvl="0">
      <w:start w:val="2"/>
      <w:numFmt w:val="chineseCounting"/>
      <w:suff w:val="nothing"/>
      <w:lvlText w:val="%1、"/>
      <w:lvlJc w:val="left"/>
      <w:rPr>
        <w:rFonts w:hint="eastAsia"/>
      </w:rPr>
    </w:lvl>
  </w:abstractNum>
  <w:abstractNum w:abstractNumId="4">
    <w:nsid w:val="453942D1"/>
    <w:multiLevelType w:val="singleLevel"/>
    <w:tmpl w:val="453942D1"/>
    <w:lvl w:ilvl="0">
      <w:start w:val="1"/>
      <w:numFmt w:val="decimal"/>
      <w:suff w:val="nothing"/>
      <w:lvlText w:val="%1、"/>
      <w:lvlJc w:val="left"/>
    </w:lvl>
  </w:abstractNum>
  <w:abstractNum w:abstractNumId="5">
    <w:nsid w:val="721CBBE0"/>
    <w:multiLevelType w:val="singleLevel"/>
    <w:tmpl w:val="721CBBE0"/>
    <w:lvl w:ilvl="0">
      <w:start w:val="1"/>
      <w:numFmt w:val="decimal"/>
      <w:suff w:val="nothing"/>
      <w:lvlText w:val="%1、"/>
      <w:lvlJc w:val="left"/>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BodyText">
    <w:name w:val="Body Text"/>
    <w:basedOn w:val="Normal"/>
    <w:qFormat/>
    <w:pPr>
      <w:spacing w:line="360" w:lineRule="auto"/>
    </w:pPr>
    <w:rPr>
      <w:b/>
      <w:bCs/>
    </w:rPr>
  </w:style>
  <w:style w:type="paragraph" w:styleId="Quote">
    <w:name w:val="Quote"/>
    <w:next w:val="Normal"/>
    <w:uiPriority w:val="29"/>
    <w:qFormat/>
    <w:pPr>
      <w:widowControl w:val="0"/>
      <w:jc w:val="both"/>
    </w:pPr>
    <w:rPr>
      <w:rFonts w:ascii="Calibri" w:eastAsia="宋体" w:hAnsi="Calibri" w:cs="Calibri"/>
      <w:i/>
      <w:iCs/>
      <w:color w:val="000000"/>
      <w:kern w:val="2"/>
      <w:sz w:val="22"/>
      <w:szCs w:val="22"/>
      <w:lang w:eastAsia="zh-CN"/>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amr.sz.gov.cn/outer/entSelect/gs.html" TargetMode="Externa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yperlink" Target="https://www.gsxt.gov.cn/corp-query-homepage.html"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