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1" w:afterAutospacing="1" w:line="278" w:lineRule="auto"/>
        <w:jc w:val="center"/>
        <w:outlineLvl w:val="1"/>
        <w:rPr>
          <w:rFonts w:ascii="黑体" w:hAnsi="宋体" w:eastAsia="黑体" w:cs="黑体"/>
          <w:sz w:val="40"/>
          <w:szCs w:val="40"/>
          <w:lang w:eastAsia="zh-CN"/>
        </w:rPr>
      </w:pPr>
      <w:bookmarkStart w:id="0" w:name="_Hlk71456902"/>
    </w:p>
    <w:p>
      <w:pPr>
        <w:spacing w:beforeAutospacing="1" w:after="160" w:afterAutospacing="1" w:line="278" w:lineRule="auto"/>
        <w:jc w:val="center"/>
        <w:outlineLvl w:val="1"/>
        <w:rPr>
          <w:rFonts w:ascii="黑体" w:hAnsi="宋体" w:eastAsia="黑体" w:cs="黑体"/>
          <w:sz w:val="40"/>
          <w:szCs w:val="40"/>
          <w:lang w:eastAsia="zh-CN"/>
        </w:rPr>
      </w:pPr>
    </w:p>
    <w:p>
      <w:pPr>
        <w:spacing w:beforeAutospacing="1" w:after="160" w:afterAutospacing="1" w:line="278" w:lineRule="auto"/>
        <w:jc w:val="center"/>
        <w:outlineLvl w:val="1"/>
        <w:rPr>
          <w:rFonts w:ascii="黑体" w:hAnsi="宋体" w:eastAsia="黑体" w:cs="黑体"/>
          <w:sz w:val="40"/>
          <w:szCs w:val="40"/>
          <w:lang w:eastAsia="zh-CN"/>
        </w:rPr>
      </w:pPr>
    </w:p>
    <w:p>
      <w:pPr>
        <w:spacing w:beforeAutospacing="1" w:after="160" w:afterAutospacing="1" w:line="278" w:lineRule="auto"/>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19"/>
        <w:tblW w:w="5000" w:type="pct"/>
        <w:jc w:val="center"/>
        <w:tblCellSpacing w:w="0" w:type="dxa"/>
        <w:tblLayout w:type="fixed"/>
        <w:tblCellMar>
          <w:top w:w="45" w:type="dxa"/>
          <w:left w:w="45" w:type="dxa"/>
          <w:bottom w:w="45" w:type="dxa"/>
          <w:right w:w="45" w:type="dxa"/>
        </w:tblCellMar>
      </w:tblPr>
      <w:tblGrid>
        <w:gridCol w:w="3141"/>
        <w:gridCol w:w="60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项目编号：</w:t>
            </w:r>
          </w:p>
        </w:tc>
        <w:tc>
          <w:tcPr>
            <w:tcW w:w="5220" w:type="dxa"/>
            <w:shd w:val="clear" w:color="auto" w:fill="auto"/>
            <w:vAlign w:val="center"/>
          </w:tcPr>
          <w:p>
            <w:pPr>
              <w:spacing w:after="160" w:line="278" w:lineRule="auto"/>
              <w:rPr>
                <w:rFonts w:eastAsia="宋体"/>
                <w:kern w:val="2"/>
                <w:sz w:val="30"/>
                <w:szCs w:val="30"/>
                <w:lang w:eastAsia="zh-CN"/>
              </w:rPr>
            </w:pPr>
            <w:r>
              <w:rPr>
                <w:rFonts w:hint="eastAsia" w:eastAsia="宋体"/>
                <w:kern w:val="2"/>
                <w:sz w:val="30"/>
                <w:szCs w:val="30"/>
                <w:lang w:eastAsia="zh-CN"/>
              </w:rPr>
              <w:t>SZZXCG-2025-00145</w:t>
            </w:r>
          </w:p>
        </w:tc>
      </w:tr>
      <w:tr>
        <w:tblPrEx>
          <w:tblCellMar>
            <w:top w:w="45" w:type="dxa"/>
            <w:left w:w="45" w:type="dxa"/>
            <w:bottom w:w="45" w:type="dxa"/>
            <w:right w:w="45" w:type="dxa"/>
          </w:tblCellMar>
        </w:tblPrEx>
        <w:trPr>
          <w:trHeight w:val="749" w:hRule="atLeast"/>
          <w:tblCellSpacing w:w="0" w:type="dxa"/>
          <w:jc w:val="center"/>
        </w:trPr>
        <w:tc>
          <w:tcPr>
            <w:tcW w:w="2723" w:type="dxa"/>
            <w:shd w:val="clear" w:color="auto" w:fill="auto"/>
            <w:vAlign w:val="center"/>
          </w:tcPr>
          <w:p>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项目名称：</w:t>
            </w:r>
          </w:p>
        </w:tc>
        <w:tc>
          <w:tcPr>
            <w:tcW w:w="5220" w:type="dxa"/>
            <w:shd w:val="clear" w:color="auto" w:fill="auto"/>
            <w:vAlign w:val="center"/>
          </w:tcPr>
          <w:p>
            <w:pPr>
              <w:spacing w:after="160" w:line="278" w:lineRule="auto"/>
              <w:rPr>
                <w:rFonts w:eastAsia="宋体"/>
                <w:kern w:val="2"/>
                <w:sz w:val="30"/>
                <w:szCs w:val="30"/>
                <w:lang w:eastAsia="zh-CN"/>
              </w:rPr>
            </w:pPr>
            <w:r>
              <w:rPr>
                <w:rFonts w:hint="eastAsia" w:ascii="宋体" w:hAnsi="宋体" w:eastAsia="宋体" w:cs="宋体"/>
                <w:sz w:val="30"/>
                <w:szCs w:val="30"/>
                <w:lang w:eastAsia="zh-CN" w:bidi="ar"/>
              </w:rPr>
              <w:t>深圳北理莫斯科大学附属实验中学智能竞赛车采购</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 xml:space="preserve">包 </w:t>
            </w:r>
            <w:r>
              <w:rPr>
                <w:rFonts w:hint="eastAsia" w:ascii="宋体" w:hAnsi="宋体" w:eastAsia="宋体" w:cs="宋体"/>
                <w:sz w:val="30"/>
                <w:szCs w:val="30"/>
                <w:lang w:eastAsia="zh-CN" w:bidi="ar"/>
              </w:rPr>
              <w:t xml:space="preserve">   </w:t>
            </w:r>
            <w:r>
              <w:rPr>
                <w:rFonts w:ascii="宋体" w:hAnsi="宋体" w:eastAsia="宋体" w:cs="宋体"/>
                <w:sz w:val="30"/>
                <w:szCs w:val="30"/>
                <w:lang w:eastAsia="zh-CN" w:bidi="ar"/>
              </w:rPr>
              <w:t>号：</w:t>
            </w:r>
          </w:p>
        </w:tc>
        <w:tc>
          <w:tcPr>
            <w:tcW w:w="5220" w:type="dxa"/>
            <w:shd w:val="clear" w:color="auto" w:fill="auto"/>
            <w:vAlign w:val="center"/>
          </w:tcPr>
          <w:p>
            <w:pPr>
              <w:spacing w:after="160" w:line="278" w:lineRule="auto"/>
              <w:rPr>
                <w:rFonts w:eastAsia="宋体"/>
                <w:kern w:val="2"/>
                <w:sz w:val="30"/>
                <w:szCs w:val="30"/>
                <w:lang w:eastAsia="zh-CN"/>
              </w:rPr>
            </w:pPr>
            <w:r>
              <w:rPr>
                <w:rFonts w:ascii="宋体" w:hAnsi="宋体" w:eastAsia="宋体" w:cs="宋体"/>
                <w:sz w:val="30"/>
                <w:szCs w:val="30"/>
                <w:lang w:eastAsia="zh-CN"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项目类型：</w:t>
            </w:r>
          </w:p>
        </w:tc>
        <w:tc>
          <w:tcPr>
            <w:tcW w:w="5220" w:type="dxa"/>
            <w:shd w:val="clear" w:color="auto" w:fill="auto"/>
            <w:vAlign w:val="center"/>
          </w:tcPr>
          <w:p>
            <w:pPr>
              <w:spacing w:after="160" w:line="278" w:lineRule="auto"/>
              <w:rPr>
                <w:rFonts w:eastAsia="宋体"/>
                <w:kern w:val="2"/>
                <w:sz w:val="30"/>
                <w:szCs w:val="30"/>
                <w:lang w:eastAsia="zh-CN"/>
              </w:rPr>
            </w:pPr>
            <w:r>
              <w:rPr>
                <w:rFonts w:ascii="宋体" w:hAnsi="宋体" w:eastAsia="宋体" w:cs="宋体"/>
                <w:sz w:val="30"/>
                <w:szCs w:val="30"/>
                <w:lang w:eastAsia="zh-CN"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采购方式：</w:t>
            </w:r>
          </w:p>
        </w:tc>
        <w:tc>
          <w:tcPr>
            <w:tcW w:w="5220" w:type="dxa"/>
            <w:shd w:val="clear" w:color="auto" w:fill="auto"/>
            <w:vAlign w:val="center"/>
          </w:tcPr>
          <w:p>
            <w:pPr>
              <w:spacing w:after="160" w:line="278" w:lineRule="auto"/>
              <w:rPr>
                <w:rFonts w:eastAsia="宋体"/>
                <w:kern w:val="2"/>
                <w:sz w:val="30"/>
                <w:szCs w:val="30"/>
                <w:lang w:eastAsia="zh-CN"/>
              </w:rPr>
            </w:pPr>
            <w:r>
              <w:rPr>
                <w:rFonts w:ascii="宋体" w:hAnsi="宋体" w:eastAsia="宋体" w:cs="宋体"/>
                <w:sz w:val="30"/>
                <w:szCs w:val="30"/>
                <w:lang w:eastAsia="zh-CN"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货币类型：</w:t>
            </w:r>
          </w:p>
        </w:tc>
        <w:tc>
          <w:tcPr>
            <w:tcW w:w="5220" w:type="dxa"/>
            <w:shd w:val="clear" w:color="auto" w:fill="auto"/>
            <w:vAlign w:val="center"/>
          </w:tcPr>
          <w:p>
            <w:pPr>
              <w:spacing w:after="160" w:line="278" w:lineRule="auto"/>
              <w:rPr>
                <w:rFonts w:eastAsia="宋体"/>
                <w:kern w:val="2"/>
                <w:sz w:val="30"/>
                <w:szCs w:val="30"/>
                <w:lang w:eastAsia="zh-CN"/>
              </w:rPr>
            </w:pPr>
            <w:r>
              <w:rPr>
                <w:rFonts w:ascii="宋体" w:hAnsi="宋体" w:eastAsia="宋体" w:cs="宋体"/>
                <w:sz w:val="30"/>
                <w:szCs w:val="30"/>
                <w:lang w:eastAsia="zh-CN"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评标方法：</w:t>
            </w:r>
          </w:p>
        </w:tc>
        <w:tc>
          <w:tcPr>
            <w:tcW w:w="5220" w:type="dxa"/>
            <w:shd w:val="clear" w:color="auto" w:fill="auto"/>
            <w:vAlign w:val="center"/>
          </w:tcPr>
          <w:p>
            <w:pPr>
              <w:spacing w:after="160" w:line="278" w:lineRule="auto"/>
              <w:rPr>
                <w:rFonts w:eastAsia="宋体"/>
                <w:kern w:val="2"/>
                <w:sz w:val="30"/>
                <w:szCs w:val="30"/>
                <w:lang w:eastAsia="zh-CN"/>
              </w:rPr>
            </w:pPr>
            <w:r>
              <w:rPr>
                <w:rFonts w:ascii="宋体" w:hAnsi="宋体" w:eastAsia="宋体" w:cs="宋体"/>
                <w:sz w:val="30"/>
                <w:szCs w:val="30"/>
                <w:lang w:eastAsia="zh-CN" w:bidi="ar"/>
              </w:rPr>
              <w:t>综合评分法</w:t>
            </w:r>
          </w:p>
        </w:tc>
      </w:tr>
      <w:bookmarkEnd w:id="0"/>
    </w:tbl>
    <w:p>
      <w:pPr>
        <w:spacing w:beforeAutospacing="1" w:after="160" w:afterAutospacing="1" w:line="278" w:lineRule="auto"/>
        <w:jc w:val="center"/>
        <w:outlineLvl w:val="1"/>
        <w:rPr>
          <w:rFonts w:ascii="黑体" w:hAnsi="宋体" w:eastAsia="黑体" w:cs="黑体"/>
          <w:sz w:val="40"/>
          <w:szCs w:val="40"/>
          <w:lang w:eastAsia="zh-CN"/>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pPr>
        <w:spacing w:beforeAutospacing="1" w:after="160" w:afterAutospacing="1" w:line="278" w:lineRule="auto"/>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资格性审查表</w:t>
      </w:r>
    </w:p>
    <w:tbl>
      <w:tblPr>
        <w:tblStyle w:val="1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after="160" w:line="278" w:lineRule="auto"/>
              <w:jc w:val="center"/>
              <w:rPr>
                <w:rFonts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after="160" w:line="278" w:lineRule="auto"/>
              <w:jc w:val="center"/>
              <w:rPr>
                <w:rFonts w:eastAsia="宋体"/>
                <w:kern w:val="2"/>
                <w:sz w:val="28"/>
                <w:szCs w:val="28"/>
                <w:lang w:eastAsia="zh-CN"/>
              </w:rPr>
            </w:pPr>
            <w:r>
              <w:rPr>
                <w:rFonts w:ascii="宋体" w:hAnsi="宋体" w:eastAsia="宋体" w:cs="宋体"/>
                <w:sz w:val="28"/>
                <w:szCs w:val="28"/>
                <w:lang w:eastAsia="zh-CN"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spacing w:after="160" w:line="278" w:lineRule="auto"/>
              <w:jc w:val="center"/>
              <w:textAlignment w:val="top"/>
              <w:rPr>
                <w:rFonts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spacing w:after="160" w:line="278" w:lineRule="auto"/>
              <w:textAlignment w:val="top"/>
              <w:rPr>
                <w:rFonts w:eastAsia="宋体"/>
                <w:kern w:val="2"/>
                <w:sz w:val="21"/>
                <w:szCs w:val="21"/>
                <w:lang w:eastAsia="zh-CN"/>
              </w:rPr>
            </w:pPr>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bidi="ar"/>
              </w:rPr>
              <w:t>）</w:t>
            </w:r>
          </w:p>
        </w:tc>
      </w:tr>
    </w:tbl>
    <w:p>
      <w:pPr>
        <w:spacing w:before="280" w:after="160" w:afterAutospacing="1" w:line="278" w:lineRule="auto"/>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符合性审查表</w:t>
      </w:r>
    </w:p>
    <w:tbl>
      <w:tblPr>
        <w:tblStyle w:val="1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after="160" w:line="278" w:lineRule="auto"/>
              <w:jc w:val="center"/>
              <w:rPr>
                <w:rFonts w:eastAsia="宋体"/>
                <w:kern w:val="2"/>
                <w:sz w:val="28"/>
                <w:szCs w:val="28"/>
                <w:lang w:eastAsia="zh-CN"/>
              </w:rPr>
            </w:pPr>
            <w:r>
              <w:rPr>
                <w:rFonts w:ascii="宋体" w:hAnsi="宋体" w:eastAsia="宋体" w:cs="宋体"/>
                <w:sz w:val="28"/>
                <w:szCs w:val="28"/>
                <w:lang w:eastAsia="zh-CN" w:bidi="ar"/>
              </w:rPr>
              <w:t>序号</w:t>
            </w:r>
          </w:p>
        </w:tc>
        <w:tc>
          <w:tcPr>
            <w:tcW w:w="8475"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after="160" w:line="278" w:lineRule="auto"/>
              <w:jc w:val="center"/>
              <w:rPr>
                <w:rFonts w:eastAsia="宋体"/>
                <w:kern w:val="2"/>
                <w:sz w:val="28"/>
                <w:szCs w:val="28"/>
                <w:lang w:eastAsia="zh-CN"/>
              </w:rPr>
            </w:pPr>
            <w:r>
              <w:rPr>
                <w:rFonts w:ascii="宋体" w:hAnsi="宋体" w:eastAsia="宋体" w:cs="宋体"/>
                <w:sz w:val="28"/>
                <w:szCs w:val="28"/>
                <w:lang w:eastAsia="zh-CN"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160" w:line="278" w:lineRule="auto"/>
              <w:jc w:val="center"/>
              <w:textAlignment w:val="top"/>
              <w:rPr>
                <w:rFonts w:eastAsia="宋体"/>
                <w:kern w:val="2"/>
                <w:sz w:val="21"/>
                <w:szCs w:val="21"/>
                <w:lang w:eastAsia="zh-CN"/>
              </w:rPr>
            </w:pPr>
            <w:r>
              <w:rPr>
                <w:rFonts w:ascii="宋体" w:hAnsi="宋体" w:eastAsia="宋体" w:cs="宋体"/>
                <w:sz w:val="21"/>
                <w:szCs w:val="21"/>
                <w:lang w:eastAsia="zh-CN" w:bidi="ar"/>
              </w:rPr>
              <w:t>1</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pPr>
              <w:spacing w:after="160" w:line="278" w:lineRule="auto"/>
              <w:textAlignment w:val="top"/>
              <w:rPr>
                <w:rFonts w:eastAsia="宋体"/>
                <w:kern w:val="2"/>
                <w:sz w:val="21"/>
                <w:szCs w:val="21"/>
                <w:lang w:eastAsia="zh-CN"/>
              </w:rPr>
            </w:pPr>
            <w:r>
              <w:rPr>
                <w:rFonts w:hint="eastAsia" w:eastAsia="宋体"/>
                <w:kern w:val="2"/>
                <w:sz w:val="21"/>
                <w:lang w:eastAsia="zh-CN"/>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160" w:line="278" w:lineRule="auto"/>
              <w:jc w:val="center"/>
              <w:textAlignment w:val="top"/>
              <w:rPr>
                <w:rFonts w:eastAsia="宋体"/>
                <w:kern w:val="2"/>
                <w:sz w:val="21"/>
                <w:szCs w:val="21"/>
                <w:lang w:eastAsia="zh-CN"/>
              </w:rPr>
            </w:pPr>
            <w:r>
              <w:rPr>
                <w:rFonts w:ascii="宋体" w:hAnsi="宋体" w:eastAsia="宋体" w:cs="宋体"/>
                <w:sz w:val="21"/>
                <w:szCs w:val="21"/>
                <w:lang w:eastAsia="zh-CN" w:bidi="ar"/>
              </w:rPr>
              <w:t>2</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pPr>
              <w:spacing w:after="160" w:line="278" w:lineRule="auto"/>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160" w:line="278" w:lineRule="auto"/>
              <w:jc w:val="center"/>
              <w:textAlignment w:val="top"/>
              <w:rPr>
                <w:rFonts w:eastAsia="宋体"/>
                <w:kern w:val="2"/>
                <w:sz w:val="21"/>
                <w:szCs w:val="21"/>
                <w:lang w:eastAsia="zh-CN"/>
              </w:rPr>
            </w:pPr>
            <w:r>
              <w:rPr>
                <w:rFonts w:ascii="宋体" w:hAnsi="宋体" w:eastAsia="宋体" w:cs="宋体"/>
                <w:sz w:val="21"/>
                <w:szCs w:val="21"/>
                <w:lang w:eastAsia="zh-CN" w:bidi="ar"/>
              </w:rPr>
              <w:t>3</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pPr>
              <w:spacing w:after="160" w:line="278" w:lineRule="auto"/>
              <w:textAlignment w:val="top"/>
              <w:rPr>
                <w:rFonts w:eastAsia="宋体"/>
                <w:kern w:val="2"/>
                <w:sz w:val="21"/>
                <w:szCs w:val="21"/>
                <w:lang w:eastAsia="zh-CN"/>
              </w:rPr>
            </w:pPr>
            <w:r>
              <w:rPr>
                <w:rFonts w:hint="eastAsia" w:eastAsia="宋体"/>
                <w:kern w:val="2"/>
                <w:sz w:val="21"/>
                <w:lang w:eastAsia="zh-CN"/>
              </w:rPr>
              <w:t>分项报价或投标总价不得高于</w:t>
            </w:r>
            <w:bookmarkStart w:id="1" w:name="_Hlk71832186"/>
            <w:r>
              <w:rPr>
                <w:rFonts w:hint="eastAsia" w:eastAsia="宋体"/>
                <w:kern w:val="2"/>
                <w:sz w:val="21"/>
                <w:lang w:eastAsia="zh-CN"/>
              </w:rPr>
              <w:t>相应预算金额（或设定的预算金额下的最高限价）</w:t>
            </w:r>
            <w:bookmarkEnd w:id="1"/>
            <w:r>
              <w:rPr>
                <w:rFonts w:hint="eastAsia" w:eastAsia="宋体"/>
                <w:kern w:val="2"/>
                <w:sz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160" w:line="278" w:lineRule="auto"/>
              <w:jc w:val="center"/>
              <w:textAlignment w:val="top"/>
              <w:rPr>
                <w:rFonts w:eastAsia="宋体"/>
                <w:kern w:val="2"/>
                <w:sz w:val="21"/>
                <w:szCs w:val="21"/>
                <w:lang w:eastAsia="zh-CN"/>
              </w:rPr>
            </w:pPr>
            <w:r>
              <w:rPr>
                <w:rFonts w:ascii="宋体" w:hAnsi="宋体" w:eastAsia="宋体" w:cs="宋体"/>
                <w:sz w:val="21"/>
                <w:szCs w:val="21"/>
                <w:lang w:eastAsia="zh-CN" w:bidi="ar"/>
              </w:rPr>
              <w:t>4</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pPr>
              <w:spacing w:after="160" w:line="278" w:lineRule="auto"/>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160" w:line="278" w:lineRule="auto"/>
              <w:jc w:val="center"/>
              <w:textAlignment w:val="top"/>
              <w:rPr>
                <w:rFonts w:eastAsia="宋体"/>
                <w:kern w:val="2"/>
                <w:sz w:val="21"/>
                <w:szCs w:val="21"/>
                <w:lang w:eastAsia="zh-CN"/>
              </w:rPr>
            </w:pPr>
            <w:r>
              <w:rPr>
                <w:rFonts w:ascii="宋体" w:hAnsi="宋体" w:eastAsia="宋体" w:cs="宋体"/>
                <w:sz w:val="21"/>
                <w:szCs w:val="21"/>
                <w:lang w:eastAsia="zh-CN" w:bidi="ar"/>
              </w:rPr>
              <w:t>5</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pPr>
              <w:spacing w:after="160" w:line="278" w:lineRule="auto"/>
              <w:textAlignment w:val="top"/>
              <w:rPr>
                <w:rFonts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160" w:line="278" w:lineRule="auto"/>
              <w:jc w:val="center"/>
              <w:textAlignment w:val="top"/>
              <w:rPr>
                <w:rFonts w:eastAsia="宋体"/>
                <w:kern w:val="2"/>
                <w:sz w:val="21"/>
                <w:szCs w:val="21"/>
                <w:lang w:eastAsia="zh-CN"/>
              </w:rPr>
            </w:pPr>
            <w:r>
              <w:rPr>
                <w:rFonts w:ascii="宋体" w:hAnsi="宋体" w:eastAsia="宋体" w:cs="宋体"/>
                <w:sz w:val="21"/>
                <w:szCs w:val="21"/>
                <w:lang w:eastAsia="zh-CN" w:bidi="ar"/>
              </w:rPr>
              <w:t>6</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pPr>
              <w:spacing w:after="160" w:line="278" w:lineRule="auto"/>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160" w:line="278" w:lineRule="auto"/>
              <w:jc w:val="center"/>
              <w:textAlignment w:val="top"/>
              <w:rPr>
                <w:rFonts w:eastAsia="宋体"/>
                <w:kern w:val="2"/>
                <w:sz w:val="21"/>
                <w:lang w:eastAsia="zh-CN"/>
              </w:rPr>
            </w:pPr>
            <w:r>
              <w:rPr>
                <w:rFonts w:hint="eastAsia" w:eastAsia="宋体"/>
                <w:kern w:val="2"/>
                <w:sz w:val="21"/>
                <w:lang w:eastAsia="zh-CN"/>
              </w:rPr>
              <w:t>7</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pPr>
              <w:spacing w:after="160" w:line="278" w:lineRule="auto"/>
              <w:textAlignment w:val="top"/>
              <w:rPr>
                <w:rFonts w:eastAsia="宋体"/>
                <w:kern w:val="2"/>
                <w:sz w:val="21"/>
                <w:lang w:eastAsia="zh-CN"/>
              </w:rPr>
            </w:pPr>
            <w:r>
              <w:rPr>
                <w:rFonts w:hint="eastAsia" w:eastAsia="宋体"/>
                <w:kern w:val="2"/>
                <w:sz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160" w:line="278" w:lineRule="auto"/>
              <w:jc w:val="center"/>
              <w:textAlignment w:val="top"/>
              <w:rPr>
                <w:rFonts w:eastAsia="宋体"/>
                <w:kern w:val="2"/>
                <w:sz w:val="21"/>
                <w:szCs w:val="21"/>
                <w:lang w:eastAsia="zh-CN"/>
              </w:rPr>
            </w:pPr>
            <w:r>
              <w:rPr>
                <w:rFonts w:hint="eastAsia" w:ascii="宋体" w:hAnsi="宋体" w:eastAsia="宋体" w:cs="宋体"/>
                <w:sz w:val="21"/>
                <w:szCs w:val="21"/>
                <w:lang w:eastAsia="zh-CN" w:bidi="ar"/>
              </w:rPr>
              <w:t>8</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pPr>
              <w:spacing w:after="160" w:line="278" w:lineRule="auto"/>
              <w:textAlignment w:val="top"/>
              <w:rPr>
                <w:rFonts w:eastAsia="宋体"/>
                <w:kern w:val="2"/>
                <w:sz w:val="21"/>
                <w:szCs w:val="21"/>
                <w:lang w:eastAsia="zh-CN"/>
              </w:rPr>
            </w:pPr>
            <w:r>
              <w:rPr>
                <w:rFonts w:hint="eastAsia" w:eastAsia="宋体"/>
                <w:kern w:val="2"/>
                <w:sz w:val="21"/>
                <w:lang w:eastAsia="zh-CN"/>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160" w:line="278" w:lineRule="auto"/>
              <w:jc w:val="center"/>
              <w:textAlignment w:val="top"/>
              <w:rPr>
                <w:rFonts w:eastAsia="宋体"/>
                <w:kern w:val="2"/>
                <w:sz w:val="21"/>
                <w:szCs w:val="21"/>
                <w:lang w:eastAsia="zh-CN"/>
              </w:rPr>
            </w:pPr>
            <w:r>
              <w:rPr>
                <w:rFonts w:hint="eastAsia" w:ascii="宋体" w:hAnsi="宋体" w:eastAsia="宋体" w:cs="宋体"/>
                <w:sz w:val="21"/>
                <w:szCs w:val="21"/>
                <w:lang w:eastAsia="zh-CN" w:bidi="ar"/>
              </w:rPr>
              <w:t>9</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pPr>
              <w:spacing w:after="160" w:line="278" w:lineRule="auto"/>
              <w:textAlignment w:val="top"/>
              <w:rPr>
                <w:rFonts w:eastAsia="宋体"/>
                <w:kern w:val="2"/>
                <w:sz w:val="21"/>
                <w:szCs w:val="21"/>
                <w:lang w:eastAsia="zh-CN"/>
              </w:rPr>
            </w:pPr>
            <w:r>
              <w:rPr>
                <w:rFonts w:hint="eastAsia" w:eastAsia="宋体"/>
                <w:kern w:val="2"/>
                <w:sz w:val="21"/>
                <w:lang w:eastAsia="zh-C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160" w:line="278" w:lineRule="auto"/>
              <w:jc w:val="center"/>
              <w:textAlignment w:val="top"/>
              <w:rPr>
                <w:rFonts w:hint="default" w:eastAsia="宋体"/>
                <w:kern w:val="2"/>
                <w:sz w:val="21"/>
                <w:szCs w:val="21"/>
                <w:lang w:val="en-US" w:eastAsia="zh-CN"/>
              </w:rPr>
            </w:pPr>
            <w:r>
              <w:rPr>
                <w:rFonts w:hint="eastAsia" w:ascii="宋体" w:hAnsi="宋体" w:eastAsia="宋体" w:cs="宋体"/>
                <w:sz w:val="21"/>
                <w:szCs w:val="21"/>
                <w:lang w:eastAsia="zh-CN" w:bidi="ar"/>
              </w:rPr>
              <w:t>1</w:t>
            </w:r>
            <w:r>
              <w:rPr>
                <w:rFonts w:hint="eastAsia" w:ascii="宋体" w:hAnsi="宋体" w:eastAsia="宋体" w:cs="宋体"/>
                <w:sz w:val="21"/>
                <w:szCs w:val="21"/>
                <w:lang w:val="en-US" w:eastAsia="zh-CN" w:bidi="ar"/>
              </w:rPr>
              <w:t>0</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pPr>
              <w:spacing w:after="160" w:line="278" w:lineRule="auto"/>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pPr>
        <w:spacing w:beforeAutospacing="1" w:after="160" w:afterAutospacing="1" w:line="278" w:lineRule="auto"/>
        <w:jc w:val="center"/>
        <w:outlineLvl w:val="1"/>
        <w:rPr>
          <w:rFonts w:ascii="黑体" w:hAnsi="宋体" w:eastAsia="黑体" w:cs="黑体"/>
          <w:sz w:val="40"/>
          <w:szCs w:val="40"/>
          <w:lang w:eastAsia="zh-CN"/>
        </w:rPr>
        <w:sectPr>
          <w:pgSz w:w="11907" w:h="16840"/>
          <w:pgMar w:top="1440" w:right="1418" w:bottom="1440" w:left="1418" w:header="851" w:footer="992" w:gutter="0"/>
          <w:cols w:space="425" w:num="1"/>
          <w:titlePg/>
          <w:docGrid w:linePitch="462" w:charSpace="0"/>
        </w:sectPr>
      </w:pPr>
    </w:p>
    <w:p>
      <w:pPr>
        <w:spacing w:beforeAutospacing="1" w:after="160" w:afterAutospacing="1" w:line="278" w:lineRule="auto"/>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评标信息</w:t>
      </w:r>
    </w:p>
    <w:tbl>
      <w:tblPr>
        <w:tblStyle w:val="19"/>
        <w:tblW w:w="5000" w:type="pct"/>
        <w:jc w:val="center"/>
        <w:tblCellSpacing w:w="0" w:type="dxa"/>
        <w:tblLayout w:type="fixed"/>
        <w:tblCellMar>
          <w:top w:w="45" w:type="dxa"/>
          <w:left w:w="45" w:type="dxa"/>
          <w:bottom w:w="45" w:type="dxa"/>
          <w:right w:w="45" w:type="dxa"/>
        </w:tblCellMar>
      </w:tblPr>
      <w:tblGrid>
        <w:gridCol w:w="169"/>
        <w:gridCol w:w="603"/>
        <w:gridCol w:w="666"/>
        <w:gridCol w:w="2776"/>
        <w:gridCol w:w="666"/>
        <w:gridCol w:w="4111"/>
        <w:gridCol w:w="170"/>
      </w:tblGrid>
      <w:tr>
        <w:tblPrEx>
          <w:tblCellMar>
            <w:top w:w="45" w:type="dxa"/>
            <w:left w:w="45" w:type="dxa"/>
            <w:bottom w:w="45" w:type="dxa"/>
            <w:right w:w="45" w:type="dxa"/>
          </w:tblCellMar>
        </w:tblPrEx>
        <w:trPr>
          <w:gridBefore w:val="1"/>
          <w:wBefore w:w="170" w:type="dxa"/>
          <w:tblCellSpacing w:w="0" w:type="dxa"/>
          <w:jc w:val="center"/>
        </w:trPr>
        <w:tc>
          <w:tcPr>
            <w:tcW w:w="8992" w:type="dxa"/>
            <w:gridSpan w:val="6"/>
            <w:shd w:val="clear" w:color="auto" w:fill="auto"/>
            <w:vAlign w:val="center"/>
          </w:tcPr>
          <w:p>
            <w:pPr>
              <w:widowControl w:val="0"/>
              <w:spacing w:after="160" w:line="278" w:lineRule="auto"/>
              <w:rPr>
                <w:rFonts w:ascii="宋体" w:eastAsia="宋体"/>
                <w:b/>
                <w:bCs/>
                <w:kern w:val="2"/>
                <w:lang w:eastAsia="zh-CN"/>
              </w:rPr>
            </w:pPr>
            <w:r>
              <w:rPr>
                <w:rFonts w:eastAsia="宋体"/>
                <w:b/>
                <w:bCs/>
                <w:kern w:val="2"/>
                <w:sz w:val="21"/>
                <w:lang w:eastAsia="zh-CN"/>
              </w:rPr>
              <w:t>评标方法：综合评分法</w:t>
            </w:r>
          </w:p>
        </w:tc>
      </w:tr>
      <w:tr>
        <w:tblPrEx>
          <w:tblCellMar>
            <w:top w:w="45" w:type="dxa"/>
            <w:left w:w="45" w:type="dxa"/>
            <w:bottom w:w="45" w:type="dxa"/>
            <w:right w:w="45" w:type="dxa"/>
          </w:tblCellMar>
        </w:tblPrEx>
        <w:trPr>
          <w:gridBefore w:val="1"/>
          <w:wBefore w:w="170" w:type="dxa"/>
          <w:tblCellSpacing w:w="0" w:type="dxa"/>
          <w:jc w:val="center"/>
        </w:trPr>
        <w:tc>
          <w:tcPr>
            <w:tcW w:w="8992" w:type="dxa"/>
            <w:gridSpan w:val="6"/>
            <w:shd w:val="clear" w:color="auto" w:fill="auto"/>
            <w:vAlign w:val="center"/>
          </w:tcPr>
          <w:p>
            <w:pPr>
              <w:widowControl w:val="0"/>
              <w:spacing w:after="160" w:line="278" w:lineRule="auto"/>
              <w:ind w:firstLine="420"/>
              <w:jc w:val="both"/>
              <w:rPr>
                <w:rFonts w:eastAsia="宋体"/>
                <w:kern w:val="2"/>
                <w:sz w:val="21"/>
                <w:szCs w:val="21"/>
                <w:lang w:eastAsia="zh-CN"/>
              </w:rPr>
            </w:pPr>
            <w:r>
              <w:rPr>
                <w:rFonts w:eastAsia="宋体"/>
                <w:kern w:val="2"/>
                <w:sz w:val="21"/>
                <w:szCs w:val="21"/>
                <w:lang w:eastAsia="zh-CN"/>
              </w:rPr>
              <w:t>综合评分法，</w:t>
            </w:r>
            <w:r>
              <w:rPr>
                <w:rFonts w:hint="eastAsia" w:eastAsia="宋体"/>
                <w:kern w:val="2"/>
                <w:sz w:val="21"/>
                <w:szCs w:val="21"/>
                <w:lang w:eastAsia="zh-CN"/>
              </w:rPr>
              <w:t>是指投标文件满足招标文件全部实质性要求，且按照评审因素的量化指标评审得分排名前列</w:t>
            </w:r>
            <w:r>
              <w:rPr>
                <w:rFonts w:eastAsia="宋体"/>
                <w:kern w:val="2"/>
                <w:sz w:val="21"/>
                <w:szCs w:val="21"/>
                <w:lang w:eastAsia="zh-CN"/>
              </w:rPr>
              <w:t>的投标人为中标候选人的评标方法。</w:t>
            </w:r>
          </w:p>
          <w:p>
            <w:pPr>
              <w:widowControl w:val="0"/>
              <w:spacing w:after="160" w:line="278" w:lineRule="auto"/>
              <w:ind w:firstLine="420"/>
              <w:jc w:val="both"/>
              <w:rPr>
                <w:rFonts w:eastAsia="宋体"/>
                <w:kern w:val="2"/>
                <w:sz w:val="21"/>
                <w:szCs w:val="21"/>
                <w:lang w:eastAsia="zh-CN"/>
              </w:rPr>
            </w:pPr>
            <w:r>
              <w:rPr>
                <w:rFonts w:eastAsia="宋体"/>
                <w:kern w:val="2"/>
                <w:sz w:val="21"/>
                <w:szCs w:val="21"/>
                <w:lang w:eastAsia="zh-CN"/>
              </w:rPr>
              <w:t>价格分计算方法：</w:t>
            </w:r>
          </w:p>
          <w:p>
            <w:pPr>
              <w:spacing w:after="160" w:line="278" w:lineRule="auto"/>
              <w:ind w:left="420"/>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type="textWrapping"/>
            </w:r>
            <w:r>
              <w:rPr>
                <w:rFonts w:eastAsia="宋体"/>
                <w:kern w:val="2"/>
                <w:sz w:val="21"/>
                <w:szCs w:val="21"/>
                <w:lang w:eastAsia="zh-CN"/>
              </w:rPr>
              <w:t xml:space="preserve">投标报价得分=(评标基准价／投标报价)×100 </w:t>
            </w:r>
            <w:r>
              <w:rPr>
                <w:rFonts w:eastAsia="宋体"/>
                <w:kern w:val="2"/>
                <w:sz w:val="21"/>
                <w:szCs w:val="21"/>
                <w:lang w:eastAsia="zh-CN"/>
              </w:rPr>
              <w:br w:type="textWrapping"/>
            </w:r>
            <w:r>
              <w:rPr>
                <w:rFonts w:eastAsia="宋体"/>
                <w:kern w:val="2"/>
                <w:sz w:val="21"/>
                <w:szCs w:val="21"/>
                <w:lang w:eastAsia="zh-CN"/>
              </w:rPr>
              <w:t xml:space="preserve">评标总得分＝F1×A1＋F2×A2＋……＋Fn×An </w:t>
            </w:r>
            <w:r>
              <w:rPr>
                <w:rFonts w:eastAsia="宋体"/>
                <w:kern w:val="2"/>
                <w:sz w:val="21"/>
                <w:szCs w:val="21"/>
                <w:lang w:eastAsia="zh-CN"/>
              </w:rPr>
              <w:br w:type="textWrapping"/>
            </w:r>
            <w:r>
              <w:rPr>
                <w:rFonts w:eastAsia="宋体"/>
                <w:kern w:val="2"/>
                <w:sz w:val="21"/>
                <w:szCs w:val="21"/>
                <w:lang w:eastAsia="zh-CN"/>
              </w:rPr>
              <w:t xml:space="preserve">F1、F2……Fn分别为各项评审因素的得分； </w:t>
            </w:r>
            <w:r>
              <w:rPr>
                <w:rFonts w:eastAsia="宋体"/>
                <w:kern w:val="2"/>
                <w:sz w:val="21"/>
                <w:szCs w:val="21"/>
                <w:lang w:eastAsia="zh-CN"/>
              </w:rPr>
              <w:br w:type="textWrapping"/>
            </w:r>
            <w:r>
              <w:rPr>
                <w:rFonts w:eastAsia="宋体"/>
                <w:kern w:val="2"/>
                <w:sz w:val="21"/>
                <w:szCs w:val="21"/>
                <w:lang w:eastAsia="zh-CN"/>
              </w:rPr>
              <w:t xml:space="preserve">A1、A2、……An 分别为各项评审因素所占的权重(A1＋A2＋……＋An＝1)。 </w:t>
            </w:r>
            <w:r>
              <w:rPr>
                <w:rFonts w:eastAsia="宋体"/>
                <w:kern w:val="2"/>
                <w:sz w:val="21"/>
                <w:szCs w:val="21"/>
                <w:lang w:eastAsia="zh-CN"/>
              </w:rPr>
              <w:br w:type="textWrapping"/>
            </w:r>
            <w:r>
              <w:rPr>
                <w:rFonts w:eastAsia="宋体"/>
                <w:kern w:val="2"/>
                <w:sz w:val="21"/>
                <w:szCs w:val="21"/>
                <w:lang w:eastAsia="zh-CN"/>
              </w:rPr>
              <w:t>评标过程中，不得去掉报价中的最高报价和最低报价。</w:t>
            </w:r>
          </w:p>
          <w:p>
            <w:pPr>
              <w:spacing w:after="160" w:line="278" w:lineRule="auto"/>
              <w:ind w:left="420"/>
              <w:rPr>
                <w:rFonts w:eastAsia="宋体"/>
                <w:kern w:val="2"/>
                <w:sz w:val="21"/>
                <w:szCs w:val="21"/>
                <w:lang w:eastAsia="zh-CN"/>
              </w:rPr>
            </w:pPr>
            <w:r>
              <w:rPr>
                <w:rFonts w:hint="eastAsia" w:eastAsia="宋体"/>
                <w:kern w:val="2"/>
                <w:sz w:val="21"/>
                <w:szCs w:val="21"/>
                <w:lang w:eastAsia="zh-CN"/>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rHeight w:val="90" w:hRule="atLeast"/>
          <w:tblCellSpacing w:w="0" w:type="dxa"/>
          <w:jc w:val="center"/>
        </w:trPr>
        <w:tc>
          <w:tcPr>
            <w:tcW w:w="773"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after="160" w:line="278" w:lineRule="auto"/>
              <w:jc w:val="center"/>
              <w:rPr>
                <w:rFonts w:ascii="宋体" w:hAnsi="宋体" w:eastAsia="宋体" w:cs="宋体"/>
                <w:b/>
                <w:bCs/>
                <w:kern w:val="2"/>
                <w:sz w:val="21"/>
                <w:szCs w:val="21"/>
                <w:lang w:eastAsia="zh-CN"/>
              </w:rPr>
            </w:pPr>
            <w:bookmarkStart w:id="2" w:name="_Hlk173404792"/>
            <w:r>
              <w:rPr>
                <w:rFonts w:hint="eastAsia" w:ascii="宋体" w:hAnsi="宋体" w:eastAsia="宋体" w:cs="宋体"/>
                <w:b/>
                <w:bCs/>
                <w:sz w:val="21"/>
                <w:szCs w:val="21"/>
                <w:lang w:eastAsia="zh-CN" w:bidi="ar"/>
              </w:rPr>
              <w:t>序号</w:t>
            </w:r>
          </w:p>
        </w:tc>
        <w:tc>
          <w:tcPr>
            <w:tcW w:w="410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after="160" w:line="278" w:lineRule="auto"/>
              <w:jc w:val="center"/>
              <w:rPr>
                <w:rFonts w:ascii="宋体" w:hAnsi="宋体" w:eastAsia="宋体" w:cs="宋体"/>
                <w:b/>
                <w:bCs/>
                <w:kern w:val="2"/>
                <w:sz w:val="21"/>
                <w:szCs w:val="21"/>
                <w:lang w:eastAsia="zh-CN"/>
              </w:rPr>
            </w:pPr>
            <w:r>
              <w:rPr>
                <w:rFonts w:hint="eastAsia" w:ascii="宋体" w:hAnsi="宋体" w:eastAsia="宋体" w:cs="宋体"/>
                <w:b/>
                <w:bCs/>
                <w:sz w:val="21"/>
                <w:szCs w:val="21"/>
                <w:lang w:eastAsia="zh-CN" w:bidi="ar"/>
              </w:rPr>
              <w:t>评分项</w:t>
            </w:r>
          </w:p>
        </w:tc>
        <w:tc>
          <w:tcPr>
            <w:tcW w:w="4111"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after="160" w:line="278" w:lineRule="auto"/>
              <w:jc w:val="center"/>
              <w:rPr>
                <w:rFonts w:ascii="宋体" w:hAnsi="宋体" w:eastAsia="宋体" w:cs="宋体"/>
                <w:b/>
                <w:bCs/>
                <w:kern w:val="2"/>
                <w:sz w:val="21"/>
                <w:szCs w:val="21"/>
                <w:lang w:eastAsia="zh-CN"/>
              </w:rPr>
            </w:pPr>
            <w:r>
              <w:rPr>
                <w:rFonts w:hint="eastAsia" w:ascii="宋体" w:hAnsi="宋体" w:eastAsia="宋体" w:cs="宋体"/>
                <w:b/>
                <w:bCs/>
                <w:sz w:val="21"/>
                <w:szCs w:val="21"/>
                <w:lang w:eastAsia="zh-CN"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1</w:t>
            </w:r>
          </w:p>
        </w:tc>
        <w:tc>
          <w:tcPr>
            <w:tcW w:w="410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价格</w:t>
            </w:r>
          </w:p>
        </w:tc>
        <w:tc>
          <w:tcPr>
            <w:tcW w:w="4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8219" w:type="dxa"/>
            <w:gridSpan w:val="4"/>
            <w:tcBorders>
              <w:top w:val="single" w:color="000000" w:sz="8" w:space="0"/>
              <w:left w:val="single" w:color="000000" w:sz="8" w:space="0"/>
              <w:bottom w:val="single" w:color="000000" w:sz="8" w:space="0"/>
              <w:right w:val="single" w:color="000000" w:sz="8" w:space="0"/>
            </w:tcBorders>
            <w:shd w:val="clear" w:color="auto" w:fill="auto"/>
          </w:tcPr>
          <w:p>
            <w:pPr>
              <w:widowControl w:val="0"/>
              <w:spacing w:after="160" w:line="278" w:lineRule="auto"/>
              <w:jc w:val="both"/>
              <w:rPr>
                <w:rFonts w:ascii="宋体" w:hAnsi="宋体" w:eastAsia="宋体" w:cs="宋体"/>
                <w:kern w:val="2"/>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restart"/>
            <w:tcBorders>
              <w:top w:val="single" w:color="000000" w:sz="8" w:space="0"/>
              <w:left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2</w:t>
            </w:r>
          </w:p>
        </w:tc>
        <w:tc>
          <w:tcPr>
            <w:tcW w:w="410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技术部分</w:t>
            </w:r>
          </w:p>
        </w:tc>
        <w:tc>
          <w:tcPr>
            <w:tcW w:w="4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left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8219" w:type="dxa"/>
            <w:gridSpan w:val="4"/>
            <w:tcBorders>
              <w:top w:val="single" w:color="000000" w:sz="8" w:space="0"/>
              <w:left w:val="single" w:color="000000" w:sz="8" w:space="0"/>
              <w:bottom w:val="single" w:color="000000" w:sz="8" w:space="0"/>
              <w:right w:val="single" w:color="000000" w:sz="8" w:space="0"/>
            </w:tcBorders>
            <w:shd w:val="clear" w:color="auto" w:fill="auto"/>
          </w:tcPr>
          <w:p>
            <w:pPr>
              <w:widowControl w:val="0"/>
              <w:spacing w:after="160" w:line="278" w:lineRule="auto"/>
              <w:jc w:val="both"/>
              <w:rPr>
                <w:rFonts w:ascii="宋体" w:hAnsi="宋体" w:eastAsia="宋体" w:cs="宋体"/>
                <w:kern w:val="2"/>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left w:val="single" w:color="000000" w:sz="8" w:space="0"/>
              <w:right w:val="single" w:color="000000" w:sz="8" w:space="0"/>
            </w:tcBorders>
            <w:shd w:val="clear" w:color="auto" w:fill="E6EFFA"/>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序号</w:t>
            </w:r>
          </w:p>
        </w:tc>
        <w:tc>
          <w:tcPr>
            <w:tcW w:w="27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评分因素</w:t>
            </w: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权重(%)</w:t>
            </w:r>
          </w:p>
        </w:tc>
        <w:tc>
          <w:tcPr>
            <w:tcW w:w="411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left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sz w:val="21"/>
                <w:szCs w:val="21"/>
                <w:lang w:eastAsia="zh-CN" w:bidi="ar"/>
              </w:rPr>
              <w:t>1</w:t>
            </w:r>
          </w:p>
        </w:tc>
        <w:tc>
          <w:tcPr>
            <w:tcW w:w="277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技术要求偏离情况     （▲重要参数）</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26</w:t>
            </w:r>
          </w:p>
        </w:tc>
        <w:tc>
          <w:tcPr>
            <w:tcW w:w="4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所投产品▲符号技术参数响应情况，全部</w:t>
            </w:r>
          </w:p>
          <w:p>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满足得100分；有负偏离的，每负偏离一</w:t>
            </w:r>
          </w:p>
          <w:p>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条扣2</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lang w:eastAsia="zh-CN"/>
              </w:rPr>
              <w:t>分，扣完为止。</w:t>
            </w:r>
          </w:p>
          <w:p>
            <w:pPr>
              <w:widowControl w:val="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如实填写《技术要求偏离表》（注：标▲的技术参数为重要技术参数），并按照招标文件的要求提供相关证明资料。投标人未提供相关证明材料或者提供的证明材料不符合要求的或提供的证明材料不清晰评审专家无法辨认的，该项参数按照负偏离处理，扣除相应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left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2</w:t>
            </w:r>
          </w:p>
        </w:tc>
        <w:tc>
          <w:tcPr>
            <w:tcW w:w="277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技术要求偏离情况     （一般参数）</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8</w:t>
            </w:r>
          </w:p>
        </w:tc>
        <w:tc>
          <w:tcPr>
            <w:tcW w:w="4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所投产品一般技术参数响应情况，全部满足得100分；有负偏离的，每负偏离一条扣</w:t>
            </w:r>
            <w:r>
              <w:rPr>
                <w:rFonts w:hint="eastAsia" w:ascii="宋体" w:hAnsi="宋体" w:eastAsia="宋体" w:cs="宋体"/>
                <w:kern w:val="2"/>
                <w:sz w:val="21"/>
                <w:szCs w:val="21"/>
                <w:lang w:val="en-US" w:eastAsia="zh-CN"/>
              </w:rPr>
              <w:t>20</w:t>
            </w:r>
            <w:r>
              <w:rPr>
                <w:rFonts w:hint="eastAsia" w:ascii="宋体" w:hAnsi="宋体" w:eastAsia="宋体" w:cs="宋体"/>
                <w:kern w:val="2"/>
                <w:sz w:val="21"/>
                <w:szCs w:val="21"/>
                <w:lang w:eastAsia="zh-CN"/>
              </w:rPr>
              <w:t>分，扣完为止。</w:t>
            </w:r>
          </w:p>
          <w:p>
            <w:pPr>
              <w:widowControl w:val="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投标人如实填写《技术要求偏离表》（注：未标▲的技术参数为一般技术参数），并按照招标文件的要求提供相关证明资料。投标人未提供相关证明材料或者提供的证明材料不符合要求的或提供的证</w:t>
            </w:r>
          </w:p>
          <w:p>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明材料不清晰评审专家无法辨认的，该项参数按照负偏离处理，扣除相应分值。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left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3</w:t>
            </w:r>
          </w:p>
        </w:tc>
        <w:tc>
          <w:tcPr>
            <w:tcW w:w="277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sz w:val="21"/>
                <w:szCs w:val="21"/>
              </w:rPr>
              <w:t>技术保障措施</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4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投标人提供技术保障措施，内容包括但不限于：</w:t>
            </w:r>
          </w:p>
          <w:p>
            <w:pPr>
              <w:widowControl w:val="0"/>
              <w:numPr>
                <w:ilvl w:val="0"/>
                <w:numId w:val="1"/>
              </w:numPr>
              <w:jc w:val="both"/>
              <w:rPr>
                <w:rFonts w:ascii="宋体" w:hAnsi="宋体" w:eastAsia="宋体" w:cs="宋体"/>
                <w:sz w:val="21"/>
                <w:szCs w:val="21"/>
                <w:lang w:eastAsia="zh-CN"/>
              </w:rPr>
            </w:pPr>
            <w:r>
              <w:rPr>
                <w:rFonts w:hint="eastAsia" w:ascii="宋体" w:hAnsi="宋体" w:eastAsia="宋体" w:cs="宋体"/>
                <w:sz w:val="21"/>
                <w:szCs w:val="21"/>
                <w:lang w:eastAsia="zh-CN"/>
              </w:rPr>
              <w:t>技术</w:t>
            </w:r>
            <w:r>
              <w:rPr>
                <w:rFonts w:hint="eastAsia" w:ascii="宋体" w:hAnsi="宋体" w:eastAsia="宋体" w:cs="宋体"/>
                <w:sz w:val="21"/>
                <w:szCs w:val="21"/>
                <w:lang w:val="en-US" w:eastAsia="zh-CN"/>
              </w:rPr>
              <w:t>的技术</w:t>
            </w:r>
            <w:r>
              <w:rPr>
                <w:rFonts w:hint="eastAsia" w:ascii="宋体" w:hAnsi="宋体" w:eastAsia="宋体" w:cs="宋体"/>
                <w:sz w:val="21"/>
                <w:szCs w:val="21"/>
                <w:lang w:eastAsia="zh-CN"/>
              </w:rPr>
              <w:t>团队</w:t>
            </w:r>
            <w:r>
              <w:rPr>
                <w:rFonts w:hint="eastAsia" w:ascii="宋体" w:hAnsi="宋体" w:eastAsia="宋体" w:cs="宋体"/>
                <w:sz w:val="21"/>
                <w:szCs w:val="21"/>
                <w:lang w:val="en-US" w:eastAsia="zh-CN"/>
              </w:rPr>
              <w:t>保障</w:t>
            </w:r>
            <w:r>
              <w:rPr>
                <w:rFonts w:hint="eastAsia" w:ascii="宋体" w:hAnsi="宋体" w:eastAsia="宋体" w:cs="宋体"/>
                <w:sz w:val="21"/>
                <w:szCs w:val="21"/>
                <w:lang w:eastAsia="zh-CN"/>
              </w:rPr>
              <w:t>；</w:t>
            </w:r>
          </w:p>
          <w:p>
            <w:pPr>
              <w:widowControl w:val="0"/>
              <w:numPr>
                <w:ilvl w:val="0"/>
                <w:numId w:val="1"/>
              </w:numPr>
              <w:jc w:val="both"/>
              <w:rPr>
                <w:rFonts w:ascii="宋体" w:hAnsi="宋体" w:eastAsia="宋体" w:cs="宋体"/>
                <w:sz w:val="21"/>
                <w:szCs w:val="21"/>
                <w:lang w:eastAsia="zh-CN"/>
              </w:rPr>
            </w:pPr>
            <w:r>
              <w:rPr>
                <w:rFonts w:hint="eastAsia" w:ascii="宋体" w:hAnsi="宋体" w:eastAsia="宋体" w:cs="宋体"/>
                <w:sz w:val="21"/>
                <w:szCs w:val="21"/>
                <w:lang w:eastAsia="zh-CN"/>
              </w:rPr>
              <w:t>技术</w:t>
            </w:r>
            <w:r>
              <w:rPr>
                <w:rFonts w:hint="eastAsia" w:ascii="宋体" w:hAnsi="宋体" w:eastAsia="宋体" w:cs="宋体"/>
                <w:sz w:val="21"/>
                <w:szCs w:val="21"/>
                <w:lang w:val="en-US" w:eastAsia="zh-CN"/>
              </w:rPr>
              <w:t>的技术</w:t>
            </w:r>
            <w:r>
              <w:rPr>
                <w:rFonts w:hint="eastAsia" w:ascii="宋体" w:hAnsi="宋体" w:eastAsia="宋体" w:cs="宋体"/>
                <w:sz w:val="21"/>
                <w:szCs w:val="21"/>
                <w:lang w:eastAsia="zh-CN"/>
              </w:rPr>
              <w:t>方案</w:t>
            </w:r>
            <w:r>
              <w:rPr>
                <w:rFonts w:hint="eastAsia" w:ascii="宋体" w:hAnsi="宋体" w:eastAsia="宋体" w:cs="宋体"/>
                <w:sz w:val="21"/>
                <w:szCs w:val="21"/>
                <w:lang w:val="en-US" w:eastAsia="zh-CN"/>
              </w:rPr>
              <w:t>内容</w:t>
            </w:r>
            <w:r>
              <w:rPr>
                <w:rFonts w:hint="eastAsia" w:ascii="宋体" w:hAnsi="宋体" w:eastAsia="宋体" w:cs="宋体"/>
                <w:sz w:val="21"/>
                <w:szCs w:val="21"/>
                <w:lang w:eastAsia="zh-CN"/>
              </w:rPr>
              <w:t>。</w:t>
            </w:r>
          </w:p>
          <w:p>
            <w:pPr>
              <w:widowControl w:val="0"/>
              <w:jc w:val="both"/>
              <w:rPr>
                <w:rFonts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（二）评分依据：</w:t>
            </w:r>
          </w:p>
          <w:p>
            <w:pPr>
              <w:widowControl w:val="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1、每提供上述任意一项内容得30分，本小项累计最高得60分。</w:t>
            </w:r>
          </w:p>
          <w:p>
            <w:pPr>
              <w:widowControl w:val="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2、在此基础上，专家根据各供应商的具体响应内容按照量化的评审因素指标进一步评审：</w:t>
            </w:r>
          </w:p>
          <w:p>
            <w:pPr>
              <w:widowControl w:val="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（1）对</w:t>
            </w:r>
            <w:r>
              <w:rPr>
                <w:rFonts w:hint="eastAsia" w:ascii="宋体" w:hAnsi="宋体" w:eastAsia="宋体" w:cs="宋体"/>
                <w:sz w:val="21"/>
                <w:szCs w:val="21"/>
                <w:lang w:eastAsia="zh-CN"/>
              </w:rPr>
              <w:t>技术保障措施</w:t>
            </w:r>
            <w:r>
              <w:rPr>
                <w:rFonts w:hint="eastAsia" w:ascii="宋体" w:hAnsi="宋体" w:eastAsia="宋体" w:cs="宋体"/>
                <w:bCs/>
                <w:kern w:val="2"/>
                <w:sz w:val="21"/>
                <w:szCs w:val="21"/>
                <w:lang w:eastAsia="zh-CN"/>
              </w:rPr>
              <w:t>理解全面透彻，描述准确，符合采购人实际需要，方案整体科学合理、针对性强、可操作性强，评审为优</w:t>
            </w:r>
            <w:r>
              <w:rPr>
                <w:rFonts w:hint="eastAsia" w:ascii="宋体" w:hAnsi="宋体" w:eastAsia="宋体" w:cs="宋体"/>
                <w:bCs/>
                <w:kern w:val="2"/>
                <w:sz w:val="21"/>
                <w:szCs w:val="21"/>
                <w:lang w:val="en-US" w:eastAsia="zh-CN"/>
              </w:rPr>
              <w:t>加</w:t>
            </w:r>
            <w:r>
              <w:rPr>
                <w:rFonts w:hint="eastAsia" w:ascii="宋体" w:hAnsi="宋体" w:eastAsia="宋体" w:cs="宋体"/>
                <w:bCs/>
                <w:kern w:val="2"/>
                <w:sz w:val="21"/>
                <w:szCs w:val="21"/>
                <w:lang w:eastAsia="zh-CN"/>
              </w:rPr>
              <w:t>40分。</w:t>
            </w:r>
          </w:p>
          <w:p>
            <w:pPr>
              <w:widowControl w:val="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（2）对</w:t>
            </w:r>
            <w:r>
              <w:rPr>
                <w:rFonts w:hint="eastAsia" w:ascii="宋体" w:hAnsi="宋体" w:eastAsia="宋体" w:cs="宋体"/>
                <w:sz w:val="21"/>
                <w:szCs w:val="21"/>
                <w:lang w:eastAsia="zh-CN"/>
              </w:rPr>
              <w:t>技术保障措施</w:t>
            </w:r>
            <w:r>
              <w:rPr>
                <w:rFonts w:hint="eastAsia" w:ascii="宋体" w:hAnsi="宋体" w:eastAsia="宋体" w:cs="宋体"/>
                <w:bCs/>
                <w:kern w:val="2"/>
                <w:sz w:val="21"/>
                <w:szCs w:val="21"/>
                <w:lang w:eastAsia="zh-CN"/>
              </w:rPr>
              <w:t>理解较为透彻、描述比较准确；方案较合理，有一定针对性、可操作性，评审为良</w:t>
            </w:r>
            <w:r>
              <w:rPr>
                <w:rFonts w:hint="eastAsia" w:ascii="宋体" w:hAnsi="宋体" w:eastAsia="宋体" w:cs="宋体"/>
                <w:bCs/>
                <w:kern w:val="2"/>
                <w:sz w:val="21"/>
                <w:szCs w:val="21"/>
                <w:lang w:val="en-US" w:eastAsia="zh-CN"/>
              </w:rPr>
              <w:t>加</w:t>
            </w:r>
            <w:r>
              <w:rPr>
                <w:rFonts w:hint="eastAsia" w:ascii="宋体" w:hAnsi="宋体" w:eastAsia="宋体" w:cs="宋体"/>
                <w:bCs/>
                <w:kern w:val="2"/>
                <w:sz w:val="21"/>
                <w:szCs w:val="21"/>
                <w:lang w:eastAsia="zh-CN"/>
              </w:rPr>
              <w:t>25分。</w:t>
            </w:r>
          </w:p>
          <w:p>
            <w:pPr>
              <w:widowControl w:val="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（3）对技术保障措施理解基本符合实际，方案基本合理，针对性一般、可操作性一般，评审为中</w:t>
            </w:r>
            <w:r>
              <w:rPr>
                <w:rFonts w:hint="eastAsia" w:ascii="宋体" w:hAnsi="宋体" w:eastAsia="宋体" w:cs="宋体"/>
                <w:bCs/>
                <w:kern w:val="2"/>
                <w:sz w:val="21"/>
                <w:szCs w:val="21"/>
                <w:lang w:val="en-US" w:eastAsia="zh-CN"/>
              </w:rPr>
              <w:t>加</w:t>
            </w:r>
            <w:r>
              <w:rPr>
                <w:rFonts w:hint="eastAsia" w:ascii="宋体" w:hAnsi="宋体" w:eastAsia="宋体" w:cs="宋体"/>
                <w:bCs/>
                <w:kern w:val="2"/>
                <w:sz w:val="21"/>
                <w:szCs w:val="21"/>
                <w:lang w:eastAsia="zh-CN"/>
              </w:rPr>
              <w:t>10分。</w:t>
            </w:r>
          </w:p>
          <w:p>
            <w:pPr>
              <w:widowControl w:val="0"/>
              <w:jc w:val="both"/>
              <w:rPr>
                <w:rFonts w:ascii="宋体" w:hAnsi="宋体" w:eastAsia="宋体" w:cs="宋体"/>
                <w:sz w:val="21"/>
                <w:szCs w:val="21"/>
                <w:lang w:eastAsia="zh-CN"/>
              </w:rPr>
            </w:pPr>
            <w:r>
              <w:rPr>
                <w:rFonts w:hint="eastAsia" w:ascii="宋体" w:hAnsi="宋体" w:eastAsia="宋体" w:cs="宋体"/>
                <w:bCs/>
                <w:kern w:val="2"/>
                <w:sz w:val="21"/>
                <w:szCs w:val="21"/>
                <w:lang w:eastAsia="zh-CN"/>
              </w:rPr>
              <w:t>（4）对技术保障措施分析不到位，方案描述不清晰、不合理、无针对性、无可操作性，或未提供</w:t>
            </w:r>
            <w:r>
              <w:rPr>
                <w:rFonts w:hint="eastAsia" w:ascii="宋体" w:hAnsi="宋体" w:eastAsia="宋体" w:cs="宋体"/>
                <w:bCs/>
                <w:kern w:val="2"/>
                <w:sz w:val="21"/>
                <w:szCs w:val="21"/>
                <w:lang w:val="en-US" w:eastAsia="zh-CN"/>
              </w:rPr>
              <w:t>方案</w:t>
            </w:r>
            <w:r>
              <w:rPr>
                <w:rFonts w:hint="eastAsia" w:ascii="宋体" w:hAnsi="宋体" w:eastAsia="宋体" w:cs="宋体"/>
                <w:bCs/>
                <w:kern w:val="2"/>
                <w:sz w:val="21"/>
                <w:szCs w:val="21"/>
                <w:lang w:eastAsia="zh-CN"/>
              </w:rPr>
              <w:t>的，评审为差</w:t>
            </w:r>
            <w:r>
              <w:rPr>
                <w:rFonts w:hint="eastAsia" w:ascii="宋体" w:hAnsi="宋体" w:eastAsia="宋体" w:cs="宋体"/>
                <w:bCs/>
                <w:kern w:val="2"/>
                <w:sz w:val="21"/>
                <w:szCs w:val="21"/>
                <w:lang w:val="en-US" w:eastAsia="zh-CN"/>
              </w:rPr>
              <w:t>不加分</w:t>
            </w:r>
            <w:r>
              <w:rPr>
                <w:rFonts w:hint="eastAsia" w:ascii="宋体" w:hAnsi="宋体" w:eastAsia="宋体" w:cs="宋体"/>
                <w:bCs/>
                <w:kern w:val="2"/>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left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4</w:t>
            </w:r>
          </w:p>
        </w:tc>
        <w:tc>
          <w:tcPr>
            <w:tcW w:w="277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售后服务方案</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4111" w:type="dxa"/>
            <w:tcBorders>
              <w:top w:val="single" w:color="000000" w:sz="8" w:space="0"/>
              <w:left w:val="single" w:color="000000" w:sz="8" w:space="0"/>
              <w:bottom w:val="single" w:color="000000" w:sz="8" w:space="0"/>
              <w:right w:val="single" w:color="000000" w:sz="8" w:space="0"/>
            </w:tcBorders>
            <w:shd w:val="clear" w:color="auto" w:fill="auto"/>
          </w:tcPr>
          <w:p>
            <w:pPr>
              <w:widowControl w:val="0"/>
              <w:jc w:val="both"/>
              <w:rPr>
                <w:rFonts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（一）评分内容：</w:t>
            </w:r>
          </w:p>
          <w:p>
            <w:pPr>
              <w:widowControl w:val="0"/>
              <w:jc w:val="both"/>
              <w:rPr>
                <w:rFonts w:ascii="宋体" w:hAnsi="宋体" w:eastAsia="宋体" w:cs="宋体"/>
                <w:bCs/>
                <w:sz w:val="21"/>
                <w:szCs w:val="21"/>
                <w:lang w:eastAsia="zh-CN"/>
              </w:rPr>
            </w:pPr>
            <w:r>
              <w:rPr>
                <w:rFonts w:hint="eastAsia" w:ascii="宋体" w:hAnsi="宋体" w:eastAsia="宋体" w:cs="宋体"/>
                <w:bCs/>
                <w:sz w:val="21"/>
                <w:szCs w:val="21"/>
                <w:lang w:eastAsia="zh-CN"/>
              </w:rPr>
              <w:t>投标人提供的售后服务实施方案包含：</w:t>
            </w:r>
          </w:p>
          <w:p>
            <w:pPr>
              <w:widowControl w:val="0"/>
              <w:jc w:val="both"/>
              <w:rPr>
                <w:rFonts w:ascii="宋体" w:hAnsi="宋体" w:eastAsia="宋体" w:cs="宋体"/>
                <w:bCs/>
                <w:sz w:val="21"/>
                <w:szCs w:val="21"/>
                <w:lang w:eastAsia="zh-CN"/>
              </w:rPr>
            </w:pPr>
            <w:r>
              <w:rPr>
                <w:rFonts w:hint="eastAsia" w:ascii="宋体" w:hAnsi="宋体" w:eastAsia="宋体" w:cs="宋体"/>
                <w:bCs/>
                <w:sz w:val="21"/>
                <w:szCs w:val="21"/>
                <w:lang w:eastAsia="zh-CN"/>
              </w:rPr>
              <w:t>1、</w:t>
            </w:r>
            <w:r>
              <w:rPr>
                <w:rFonts w:hint="eastAsia" w:ascii="宋体" w:hAnsi="宋体" w:eastAsia="宋体" w:cs="宋体"/>
                <w:sz w:val="21"/>
                <w:szCs w:val="21"/>
                <w:lang w:eastAsia="zh-CN"/>
              </w:rPr>
              <w:t>售后服务机构及维护人员配置</w:t>
            </w:r>
            <w:r>
              <w:rPr>
                <w:rFonts w:hint="eastAsia" w:ascii="宋体" w:hAnsi="宋体" w:eastAsia="宋体" w:cs="宋体"/>
                <w:bCs/>
                <w:sz w:val="21"/>
                <w:szCs w:val="21"/>
                <w:lang w:eastAsia="zh-CN"/>
              </w:rPr>
              <w:t>；</w:t>
            </w:r>
          </w:p>
          <w:p>
            <w:pPr>
              <w:widowControl w:val="0"/>
              <w:jc w:val="both"/>
              <w:rPr>
                <w:rFonts w:ascii="宋体" w:hAnsi="宋体" w:eastAsia="宋体" w:cs="宋体"/>
                <w:bCs/>
                <w:sz w:val="21"/>
                <w:szCs w:val="21"/>
                <w:lang w:eastAsia="zh-CN"/>
              </w:rPr>
            </w:pPr>
            <w:r>
              <w:rPr>
                <w:rFonts w:hint="eastAsia" w:ascii="宋体" w:hAnsi="宋体" w:eastAsia="宋体" w:cs="宋体"/>
                <w:bCs/>
                <w:sz w:val="21"/>
                <w:szCs w:val="21"/>
                <w:lang w:eastAsia="zh-CN"/>
              </w:rPr>
              <w:t>2、</w:t>
            </w:r>
            <w:r>
              <w:rPr>
                <w:rFonts w:hint="eastAsia" w:ascii="宋体" w:hAnsi="宋体" w:eastAsia="宋体" w:cs="宋体"/>
                <w:sz w:val="21"/>
                <w:szCs w:val="21"/>
                <w:lang w:eastAsia="zh-CN"/>
              </w:rPr>
              <w:t>使用技术培训方案</w:t>
            </w:r>
            <w:r>
              <w:rPr>
                <w:rFonts w:hint="eastAsia" w:ascii="宋体" w:hAnsi="宋体" w:eastAsia="宋体" w:cs="宋体"/>
                <w:bCs/>
                <w:sz w:val="21"/>
                <w:szCs w:val="21"/>
                <w:lang w:eastAsia="zh-CN"/>
              </w:rPr>
              <w:t>；</w:t>
            </w:r>
          </w:p>
          <w:p>
            <w:pPr>
              <w:widowControl w:val="0"/>
              <w:jc w:val="both"/>
              <w:rPr>
                <w:rFonts w:ascii="宋体" w:hAnsi="宋体" w:eastAsia="宋体" w:cs="宋体"/>
                <w:bCs/>
                <w:sz w:val="21"/>
                <w:szCs w:val="21"/>
                <w:lang w:eastAsia="zh-CN"/>
              </w:rPr>
            </w:pPr>
            <w:r>
              <w:rPr>
                <w:rFonts w:hint="eastAsia" w:ascii="宋体" w:hAnsi="宋体" w:eastAsia="宋体" w:cs="宋体"/>
                <w:bCs/>
                <w:sz w:val="21"/>
                <w:szCs w:val="21"/>
                <w:lang w:eastAsia="zh-CN"/>
              </w:rPr>
              <w:t>3、</w:t>
            </w:r>
            <w:r>
              <w:rPr>
                <w:rFonts w:hint="eastAsia" w:ascii="宋体" w:hAnsi="宋体" w:eastAsia="宋体" w:cs="宋体"/>
                <w:sz w:val="21"/>
                <w:szCs w:val="21"/>
                <w:lang w:eastAsia="zh-CN"/>
              </w:rPr>
              <w:t>故障响应时间及备品备件支持计划</w:t>
            </w:r>
            <w:r>
              <w:rPr>
                <w:rFonts w:hint="eastAsia" w:ascii="宋体" w:hAnsi="宋体" w:eastAsia="宋体" w:cs="宋体"/>
                <w:bCs/>
                <w:sz w:val="21"/>
                <w:szCs w:val="21"/>
                <w:lang w:eastAsia="zh-CN"/>
              </w:rPr>
              <w:t>。</w:t>
            </w:r>
          </w:p>
          <w:p>
            <w:pPr>
              <w:widowControl w:val="0"/>
              <w:jc w:val="both"/>
              <w:rPr>
                <w:rFonts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（二）评分依据：</w:t>
            </w:r>
          </w:p>
          <w:p>
            <w:pPr>
              <w:widowControl w:val="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1、每提供上述任意一项内容得20分，本小项累计最高得60分。</w:t>
            </w:r>
          </w:p>
          <w:p>
            <w:pPr>
              <w:widowControl w:val="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2、在此基础上，专家根据各供应商的具体响应内容按照量化的评审因素指标进一步评审：</w:t>
            </w:r>
          </w:p>
          <w:p>
            <w:pPr>
              <w:widowControl w:val="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（1）对</w:t>
            </w:r>
            <w:r>
              <w:rPr>
                <w:rFonts w:hint="eastAsia" w:ascii="宋体" w:hAnsi="宋体" w:eastAsia="宋体" w:cs="宋体"/>
                <w:kern w:val="2"/>
                <w:sz w:val="21"/>
                <w:szCs w:val="21"/>
                <w:lang w:eastAsia="zh-CN"/>
              </w:rPr>
              <w:t>售后服务方案</w:t>
            </w:r>
            <w:r>
              <w:rPr>
                <w:rFonts w:hint="eastAsia" w:ascii="宋体" w:hAnsi="宋体" w:eastAsia="宋体" w:cs="宋体"/>
                <w:bCs/>
                <w:kern w:val="2"/>
                <w:sz w:val="21"/>
                <w:szCs w:val="21"/>
                <w:lang w:eastAsia="zh-CN"/>
              </w:rPr>
              <w:t>理解全面透彻，描述准确，符合采购人实际需要，方案整体科学合理、针对性强、可操作性强，评审为优</w:t>
            </w:r>
            <w:r>
              <w:rPr>
                <w:rFonts w:hint="eastAsia" w:ascii="宋体" w:hAnsi="宋体" w:eastAsia="宋体" w:cs="宋体"/>
                <w:bCs/>
                <w:kern w:val="2"/>
                <w:sz w:val="21"/>
                <w:szCs w:val="21"/>
                <w:lang w:val="en-US" w:eastAsia="zh-CN"/>
              </w:rPr>
              <w:t>加</w:t>
            </w:r>
            <w:r>
              <w:rPr>
                <w:rFonts w:hint="eastAsia" w:ascii="宋体" w:hAnsi="宋体" w:eastAsia="宋体" w:cs="宋体"/>
                <w:bCs/>
                <w:kern w:val="2"/>
                <w:sz w:val="21"/>
                <w:szCs w:val="21"/>
                <w:lang w:eastAsia="zh-CN"/>
              </w:rPr>
              <w:t>40分。</w:t>
            </w:r>
          </w:p>
          <w:p>
            <w:pPr>
              <w:widowControl w:val="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（2）对</w:t>
            </w:r>
            <w:r>
              <w:rPr>
                <w:rFonts w:hint="eastAsia" w:ascii="宋体" w:hAnsi="宋体" w:eastAsia="宋体" w:cs="宋体"/>
                <w:kern w:val="2"/>
                <w:sz w:val="21"/>
                <w:szCs w:val="21"/>
                <w:lang w:eastAsia="zh-CN"/>
              </w:rPr>
              <w:t>售后服务方案</w:t>
            </w:r>
            <w:r>
              <w:rPr>
                <w:rFonts w:hint="eastAsia" w:ascii="宋体" w:hAnsi="宋体" w:eastAsia="宋体" w:cs="宋体"/>
                <w:bCs/>
                <w:kern w:val="2"/>
                <w:sz w:val="21"/>
                <w:szCs w:val="21"/>
                <w:lang w:eastAsia="zh-CN"/>
              </w:rPr>
              <w:t>理解较为透彻、描述比较准确；方案较合理，有一定针对性、可操作性，评审为良</w:t>
            </w:r>
            <w:r>
              <w:rPr>
                <w:rFonts w:hint="eastAsia" w:ascii="宋体" w:hAnsi="宋体" w:eastAsia="宋体" w:cs="宋体"/>
                <w:bCs/>
                <w:kern w:val="2"/>
                <w:sz w:val="21"/>
                <w:szCs w:val="21"/>
                <w:lang w:val="en-US" w:eastAsia="zh-CN"/>
              </w:rPr>
              <w:t>加</w:t>
            </w:r>
            <w:r>
              <w:rPr>
                <w:rFonts w:hint="eastAsia" w:ascii="宋体" w:hAnsi="宋体" w:eastAsia="宋体" w:cs="宋体"/>
                <w:bCs/>
                <w:kern w:val="2"/>
                <w:sz w:val="21"/>
                <w:szCs w:val="21"/>
                <w:lang w:eastAsia="zh-CN"/>
              </w:rPr>
              <w:t>25分。</w:t>
            </w:r>
          </w:p>
          <w:p>
            <w:pPr>
              <w:widowControl w:val="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（3）对</w:t>
            </w:r>
            <w:r>
              <w:rPr>
                <w:rFonts w:hint="eastAsia" w:ascii="宋体" w:hAnsi="宋体" w:eastAsia="宋体" w:cs="宋体"/>
                <w:kern w:val="2"/>
                <w:sz w:val="21"/>
                <w:szCs w:val="21"/>
                <w:lang w:eastAsia="zh-CN"/>
              </w:rPr>
              <w:t>售后服务方案</w:t>
            </w:r>
            <w:r>
              <w:rPr>
                <w:rFonts w:hint="eastAsia" w:ascii="宋体" w:hAnsi="宋体" w:eastAsia="宋体" w:cs="宋体"/>
                <w:bCs/>
                <w:kern w:val="2"/>
                <w:sz w:val="21"/>
                <w:szCs w:val="21"/>
                <w:lang w:eastAsia="zh-CN"/>
              </w:rPr>
              <w:t>理解基本符合实际，方案基本合理，针对性一般、可操作性一般，评审为中</w:t>
            </w:r>
            <w:r>
              <w:rPr>
                <w:rFonts w:hint="eastAsia" w:ascii="宋体" w:hAnsi="宋体" w:eastAsia="宋体" w:cs="宋体"/>
                <w:bCs/>
                <w:kern w:val="2"/>
                <w:sz w:val="21"/>
                <w:szCs w:val="21"/>
                <w:lang w:val="en-US" w:eastAsia="zh-CN"/>
              </w:rPr>
              <w:t>加</w:t>
            </w:r>
            <w:r>
              <w:rPr>
                <w:rFonts w:hint="eastAsia" w:ascii="宋体" w:hAnsi="宋体" w:eastAsia="宋体" w:cs="宋体"/>
                <w:bCs/>
                <w:kern w:val="2"/>
                <w:sz w:val="21"/>
                <w:szCs w:val="21"/>
                <w:lang w:eastAsia="zh-CN"/>
              </w:rPr>
              <w:t>10分。</w:t>
            </w:r>
          </w:p>
          <w:p>
            <w:pPr>
              <w:jc w:val="both"/>
              <w:textAlignment w:val="top"/>
              <w:rPr>
                <w:rFonts w:hint="default" w:ascii="宋体" w:hAnsi="宋体" w:eastAsia="宋体" w:cs="宋体"/>
                <w:kern w:val="2"/>
                <w:sz w:val="21"/>
                <w:szCs w:val="21"/>
                <w:lang w:val="en-US" w:eastAsia="zh-CN"/>
              </w:rPr>
            </w:pPr>
            <w:r>
              <w:rPr>
                <w:rFonts w:hint="eastAsia" w:ascii="宋体" w:hAnsi="宋体" w:eastAsia="宋体" w:cs="宋体"/>
                <w:bCs/>
                <w:kern w:val="2"/>
                <w:sz w:val="21"/>
                <w:szCs w:val="21"/>
                <w:lang w:eastAsia="zh-CN"/>
              </w:rPr>
              <w:t>（4）对</w:t>
            </w:r>
            <w:r>
              <w:rPr>
                <w:rFonts w:hint="eastAsia" w:ascii="宋体" w:hAnsi="宋体" w:eastAsia="宋体" w:cs="宋体"/>
                <w:kern w:val="2"/>
                <w:sz w:val="21"/>
                <w:szCs w:val="21"/>
                <w:lang w:eastAsia="zh-CN"/>
              </w:rPr>
              <w:t>售后服务方案</w:t>
            </w:r>
            <w:r>
              <w:rPr>
                <w:rFonts w:hint="eastAsia" w:ascii="宋体" w:hAnsi="宋体" w:eastAsia="宋体" w:cs="宋体"/>
                <w:bCs/>
                <w:kern w:val="2"/>
                <w:sz w:val="21"/>
                <w:szCs w:val="21"/>
                <w:lang w:eastAsia="zh-CN"/>
              </w:rPr>
              <w:t>分析不到位，方案描述不清晰、不合理、无针对性、无可操作性，或未提供</w:t>
            </w:r>
            <w:r>
              <w:rPr>
                <w:rFonts w:hint="eastAsia" w:ascii="宋体" w:hAnsi="宋体" w:eastAsia="宋体" w:cs="宋体"/>
                <w:bCs/>
                <w:kern w:val="2"/>
                <w:sz w:val="21"/>
                <w:szCs w:val="21"/>
                <w:lang w:val="en-US" w:eastAsia="zh-CN"/>
              </w:rPr>
              <w:t>方案</w:t>
            </w:r>
            <w:r>
              <w:rPr>
                <w:rFonts w:hint="eastAsia" w:ascii="宋体" w:hAnsi="宋体" w:eastAsia="宋体" w:cs="宋体"/>
                <w:bCs/>
                <w:kern w:val="2"/>
                <w:sz w:val="21"/>
                <w:szCs w:val="21"/>
                <w:lang w:eastAsia="zh-CN"/>
              </w:rPr>
              <w:t>的，评审为差</w:t>
            </w:r>
            <w:r>
              <w:rPr>
                <w:rFonts w:hint="eastAsia" w:ascii="宋体" w:hAnsi="宋体" w:eastAsia="宋体" w:cs="宋体"/>
                <w:bCs/>
                <w:kern w:val="2"/>
                <w:sz w:val="21"/>
                <w:szCs w:val="21"/>
                <w:lang w:val="en-US" w:eastAsia="zh-CN"/>
              </w:rPr>
              <w:t>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3</w:t>
            </w:r>
          </w:p>
        </w:tc>
        <w:tc>
          <w:tcPr>
            <w:tcW w:w="410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商务部分</w:t>
            </w:r>
          </w:p>
        </w:tc>
        <w:tc>
          <w:tcPr>
            <w:tcW w:w="4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8219" w:type="dxa"/>
            <w:gridSpan w:val="4"/>
            <w:tcBorders>
              <w:top w:val="single" w:color="000000" w:sz="8" w:space="0"/>
              <w:left w:val="single" w:color="000000" w:sz="8" w:space="0"/>
              <w:bottom w:val="single" w:color="000000" w:sz="8" w:space="0"/>
              <w:right w:val="single" w:color="000000" w:sz="8" w:space="0"/>
            </w:tcBorders>
            <w:shd w:val="clear" w:color="auto" w:fill="auto"/>
          </w:tcPr>
          <w:p>
            <w:pPr>
              <w:widowControl w:val="0"/>
              <w:spacing w:after="160" w:line="278" w:lineRule="auto"/>
              <w:jc w:val="both"/>
              <w:rPr>
                <w:rFonts w:ascii="宋体" w:hAnsi="宋体" w:eastAsia="宋体" w:cs="宋体"/>
                <w:kern w:val="2"/>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序号</w:t>
            </w:r>
          </w:p>
        </w:tc>
        <w:tc>
          <w:tcPr>
            <w:tcW w:w="27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评分因素</w:t>
            </w: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权重(%)</w:t>
            </w:r>
          </w:p>
        </w:tc>
        <w:tc>
          <w:tcPr>
            <w:tcW w:w="411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77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免费保修期内售后服务条款偏离情况</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411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投标人应如实填写《商务要求偏离表（免费保修期内售后服务要求）》，评审委员会根据响应情况进行打分，全部满足要求的得100分，每负偏离一项扣20分，扣完为止。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77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spacing w:after="160" w:line="278" w:lineRule="auto"/>
              <w:jc w:val="center"/>
              <w:textAlignment w:val="top"/>
              <w:rPr>
                <w:rFonts w:hint="eastAsia" w:ascii="宋体" w:hAnsi="宋体" w:eastAsia="宋体" w:cs="宋体"/>
                <w:kern w:val="2"/>
                <w:sz w:val="21"/>
                <w:szCs w:val="21"/>
                <w:lang w:eastAsia="zh-CN"/>
              </w:rPr>
            </w:pPr>
          </w:p>
          <w:p>
            <w:pPr>
              <w:widowControl/>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免费保修期外售后服务条款偏离情况</w:t>
            </w:r>
          </w:p>
          <w:p>
            <w:pPr>
              <w:wordWrap w:val="0"/>
              <w:spacing w:after="160" w:line="278" w:lineRule="auto"/>
              <w:jc w:val="center"/>
              <w:textAlignment w:val="top"/>
              <w:rPr>
                <w:rFonts w:ascii="宋体" w:hAnsi="宋体" w:eastAsia="宋体" w:cs="宋体"/>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411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投标人应如实填写《商务要求偏离表（免费保修期外售后服务要求）》，评审委员会根据响应情况进行打分，全部满足要求的得100分，每负偏离一项扣25分，扣完为止。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77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其他商务条款偏离情况</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411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投标人应如实填写《商务要求偏离表（其他商务要求）》，评审委员会根据响应情况进行打分，全部满足要求的得100分，每负偏离一项扣</w:t>
            </w:r>
            <w:r>
              <w:rPr>
                <w:rFonts w:hint="eastAsia" w:ascii="宋体" w:hAnsi="宋体" w:eastAsia="宋体" w:cs="宋体"/>
                <w:kern w:val="2"/>
                <w:sz w:val="21"/>
                <w:szCs w:val="21"/>
                <w:lang w:val="en-US" w:eastAsia="zh-CN"/>
              </w:rPr>
              <w:t>5.6</w:t>
            </w:r>
            <w:r>
              <w:rPr>
                <w:rFonts w:hint="eastAsia" w:ascii="宋体" w:hAnsi="宋体" w:eastAsia="宋体" w:cs="宋体"/>
                <w:kern w:val="2"/>
                <w:sz w:val="21"/>
                <w:szCs w:val="21"/>
                <w:lang w:eastAsia="zh-CN"/>
              </w:rPr>
              <w:t>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4</w:t>
            </w:r>
          </w:p>
        </w:tc>
        <w:tc>
          <w:tcPr>
            <w:tcW w:w="410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综合实力</w:t>
            </w:r>
          </w:p>
        </w:tc>
        <w:tc>
          <w:tcPr>
            <w:tcW w:w="4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8219" w:type="dxa"/>
            <w:gridSpan w:val="4"/>
            <w:tcBorders>
              <w:top w:val="single" w:color="000000" w:sz="8" w:space="0"/>
              <w:left w:val="single" w:color="000000" w:sz="8" w:space="0"/>
              <w:bottom w:val="single" w:color="000000" w:sz="8" w:space="0"/>
              <w:right w:val="single" w:color="000000" w:sz="8" w:space="0"/>
            </w:tcBorders>
            <w:shd w:val="clear" w:color="auto" w:fill="auto"/>
          </w:tcPr>
          <w:p>
            <w:pPr>
              <w:widowControl w:val="0"/>
              <w:spacing w:after="160" w:line="278" w:lineRule="auto"/>
              <w:jc w:val="both"/>
              <w:rPr>
                <w:rFonts w:ascii="宋体" w:hAnsi="宋体" w:eastAsia="宋体" w:cs="宋体"/>
                <w:kern w:val="2"/>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序号</w:t>
            </w:r>
          </w:p>
        </w:tc>
        <w:tc>
          <w:tcPr>
            <w:tcW w:w="27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评分因素</w:t>
            </w: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权重(%)</w:t>
            </w:r>
          </w:p>
        </w:tc>
        <w:tc>
          <w:tcPr>
            <w:tcW w:w="411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rHeight w:val="712" w:hRule="atLeast"/>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77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sz w:val="21"/>
                <w:szCs w:val="21"/>
              </w:rPr>
              <w:t>认证情况</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4111" w:type="dxa"/>
            <w:tcBorders>
              <w:top w:val="single" w:color="000000" w:sz="8" w:space="0"/>
              <w:left w:val="single" w:color="000000" w:sz="8" w:space="0"/>
              <w:bottom w:val="single" w:color="000000" w:sz="8" w:space="0"/>
              <w:right w:val="single" w:color="000000" w:sz="8" w:space="0"/>
            </w:tcBorders>
            <w:shd w:val="clear" w:color="auto" w:fill="auto"/>
          </w:tcPr>
          <w:p>
            <w:pPr>
              <w:jc w:val="both"/>
              <w:textAlignment w:val="top"/>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pPr>
              <w:jc w:val="both"/>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投标人具有以下认证</w:t>
            </w:r>
            <w:r>
              <w:rPr>
                <w:rFonts w:hint="eastAsia" w:ascii="宋体" w:hAnsi="宋体" w:eastAsia="宋体" w:cs="宋体"/>
                <w:kern w:val="2"/>
                <w:sz w:val="21"/>
                <w:szCs w:val="21"/>
                <w:lang w:val="en-US" w:eastAsia="zh-CN"/>
              </w:rPr>
              <w:t>证书</w:t>
            </w:r>
            <w:r>
              <w:rPr>
                <w:rFonts w:hint="eastAsia" w:ascii="宋体" w:hAnsi="宋体" w:eastAsia="宋体" w:cs="宋体"/>
                <w:kern w:val="2"/>
                <w:sz w:val="21"/>
                <w:szCs w:val="21"/>
                <w:lang w:eastAsia="zh-CN"/>
              </w:rPr>
              <w:t>：</w:t>
            </w:r>
          </w:p>
          <w:p>
            <w:pPr>
              <w:jc w:val="both"/>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1、具有质量管理体系认证证书或相关证书，得25分； </w:t>
            </w:r>
          </w:p>
          <w:p>
            <w:pPr>
              <w:jc w:val="both"/>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2、具有职业健康安全管理体系认证证书或相关证书，得25分；</w:t>
            </w:r>
          </w:p>
          <w:p>
            <w:pPr>
              <w:jc w:val="both"/>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3、具有环境管理体系认证证书或相关证书，得25分；</w:t>
            </w:r>
          </w:p>
          <w:p>
            <w:pPr>
              <w:jc w:val="both"/>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4、具有售后服务认证证书或相关证书，得25分。</w:t>
            </w:r>
          </w:p>
          <w:p>
            <w:pPr>
              <w:textAlignment w:val="top"/>
              <w:rPr>
                <w:rFonts w:hint="default"/>
                <w:lang w:val="en-US" w:eastAsia="zh-CN"/>
              </w:rPr>
            </w:pPr>
            <w:r>
              <w:rPr>
                <w:rFonts w:hint="eastAsia" w:ascii="宋体" w:hAnsi="宋体" w:eastAsia="宋体" w:cs="宋体"/>
                <w:kern w:val="2"/>
                <w:sz w:val="21"/>
                <w:szCs w:val="21"/>
                <w:lang w:val="en-US" w:eastAsia="zh-CN"/>
              </w:rPr>
              <w:t>以上得分累计，最高100分。</w:t>
            </w:r>
          </w:p>
          <w:p>
            <w:pPr>
              <w:wordWrap w:val="0"/>
              <w:rPr>
                <w:rFonts w:ascii="宋体" w:hAnsi="宋体" w:eastAsia="宋体" w:cs="宋体"/>
                <w:b/>
                <w:bCs/>
                <w:color w:val="000000"/>
                <w:sz w:val="21"/>
                <w:szCs w:val="21"/>
              </w:rPr>
            </w:pPr>
            <w:r>
              <w:rPr>
                <w:rFonts w:hint="eastAsia" w:ascii="宋体" w:hAnsi="宋体" w:eastAsia="宋体" w:cs="宋体"/>
                <w:b/>
                <w:bCs/>
                <w:color w:val="000000"/>
                <w:sz w:val="21"/>
                <w:szCs w:val="21"/>
              </w:rPr>
              <w:t>（二）评分依据：</w:t>
            </w:r>
          </w:p>
          <w:p>
            <w:pPr>
              <w:jc w:val="both"/>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1、提供认证证书以及证书在全国认证认可信息公共服务平台（认e云）（http://cx.cnca.cn）查询截图。</w:t>
            </w:r>
          </w:p>
          <w:p>
            <w:pPr>
              <w:jc w:val="both"/>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原件备查，未按要求提供或提供不清晰导致专家无法判断的不得分。</w:t>
            </w:r>
          </w:p>
          <w:p>
            <w:pPr>
              <w:jc w:val="both"/>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2、如投标人距本项目开标之日的注册成立时间不足3个月，且未取得以上认证证书的，可提供承诺函【格式自拟，至少包含中标（成交）后4个月内取得评审因素相关认证证书等内容】。评审委员会根据承诺内容中的认证证书情况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77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sz w:val="21"/>
                <w:szCs w:val="21"/>
              </w:rPr>
              <w:t>同类项目业绩情况</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4111" w:type="dxa"/>
            <w:tcBorders>
              <w:top w:val="single" w:color="000000" w:sz="8" w:space="0"/>
              <w:left w:val="single" w:color="000000" w:sz="8" w:space="0"/>
              <w:bottom w:val="single" w:color="000000" w:sz="8" w:space="0"/>
              <w:right w:val="single" w:color="000000" w:sz="8" w:space="0"/>
            </w:tcBorders>
            <w:shd w:val="clear" w:color="auto" w:fill="auto"/>
          </w:tcPr>
          <w:p>
            <w:pPr>
              <w:jc w:val="both"/>
              <w:textAlignment w:val="top"/>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pPr>
              <w:jc w:val="both"/>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考察投标人自2023年1月1日至本项目投标截止日（以合同签订时间为准）完成的智能竞赛车销售业绩的，每提供1</w:t>
            </w:r>
            <w:r>
              <w:rPr>
                <w:rFonts w:hint="eastAsia" w:ascii="宋体" w:hAnsi="宋体" w:eastAsia="宋体" w:cs="宋体"/>
                <w:kern w:val="2"/>
                <w:sz w:val="21"/>
                <w:szCs w:val="21"/>
                <w:lang w:val="en-US" w:eastAsia="zh-CN"/>
              </w:rPr>
              <w:t>项业绩</w:t>
            </w:r>
            <w:r>
              <w:rPr>
                <w:rFonts w:hint="eastAsia" w:ascii="宋体" w:hAnsi="宋体" w:eastAsia="宋体" w:cs="宋体"/>
                <w:kern w:val="2"/>
                <w:sz w:val="21"/>
                <w:szCs w:val="21"/>
                <w:lang w:eastAsia="zh-CN"/>
              </w:rPr>
              <w:t>得20分，满分100分。未提供的不得分。</w:t>
            </w:r>
          </w:p>
          <w:p>
            <w:pPr>
              <w:jc w:val="both"/>
              <w:textAlignment w:val="top"/>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（二）证明文件：</w:t>
            </w:r>
          </w:p>
          <w:p>
            <w:pPr>
              <w:jc w:val="both"/>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需提供：</w:t>
            </w:r>
          </w:p>
          <w:p>
            <w:pPr>
              <w:jc w:val="both"/>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1、提供每一个项目的合同关键页（包含签订合同双方的单位名称、合同项目名称、签订合同双方的落款盖章、签订日期的关键页等）及验收报告扫描件（验收报告需加盖合同甲方公章或业务章），否则不得分。</w:t>
            </w:r>
          </w:p>
          <w:p>
            <w:pPr>
              <w:jc w:val="both"/>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2、以上文件未提供或提供不清晰导致专家无法判断的不得分。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5</w:t>
            </w:r>
          </w:p>
        </w:tc>
        <w:tc>
          <w:tcPr>
            <w:tcW w:w="410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诚信情况</w:t>
            </w:r>
          </w:p>
        </w:tc>
        <w:tc>
          <w:tcPr>
            <w:tcW w:w="4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8219" w:type="dxa"/>
            <w:gridSpan w:val="4"/>
            <w:tcBorders>
              <w:top w:val="single" w:color="000000" w:sz="8" w:space="0"/>
              <w:left w:val="single" w:color="000000" w:sz="8" w:space="0"/>
              <w:bottom w:val="single" w:color="000000" w:sz="8" w:space="0"/>
              <w:right w:val="single" w:color="000000" w:sz="8" w:space="0"/>
            </w:tcBorders>
            <w:shd w:val="clear" w:color="auto" w:fill="auto"/>
          </w:tcPr>
          <w:p>
            <w:pPr>
              <w:widowControl w:val="0"/>
              <w:spacing w:after="160" w:line="278" w:lineRule="auto"/>
              <w:jc w:val="both"/>
              <w:rPr>
                <w:rFonts w:ascii="宋体" w:hAnsi="宋体" w:eastAsia="宋体" w:cs="宋体"/>
                <w:kern w:val="2"/>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序号</w:t>
            </w:r>
          </w:p>
        </w:tc>
        <w:tc>
          <w:tcPr>
            <w:tcW w:w="27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评分因素</w:t>
            </w: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权重(%)</w:t>
            </w:r>
          </w:p>
        </w:tc>
        <w:tc>
          <w:tcPr>
            <w:tcW w:w="411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160" w:line="278" w:lineRule="auto"/>
              <w:jc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spacing w:after="160" w:line="278" w:lineRule="auto"/>
              <w:jc w:val="center"/>
              <w:rPr>
                <w:rFonts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77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诚信情况</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after="160" w:line="278" w:lineRule="auto"/>
              <w:jc w:val="center"/>
              <w:textAlignment w:val="top"/>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4111" w:type="dxa"/>
            <w:tcBorders>
              <w:top w:val="single" w:color="000000" w:sz="8" w:space="0"/>
              <w:left w:val="single" w:color="000000" w:sz="8" w:space="0"/>
              <w:bottom w:val="single" w:color="000000" w:sz="8" w:space="0"/>
              <w:right w:val="single" w:color="000000" w:sz="8" w:space="0"/>
            </w:tcBorders>
            <w:shd w:val="clear" w:color="auto" w:fill="auto"/>
          </w:tcPr>
          <w:p>
            <w:pPr>
              <w:widowControl w:val="0"/>
              <w:wordWrap w:val="0"/>
              <w:spacing w:after="16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widowControl w:val="0"/>
              <w:wordWrap w:val="0"/>
              <w:spacing w:after="160"/>
              <w:ind w:firstLine="420" w:firstLineChars="200"/>
              <w:jc w:val="both"/>
              <w:rPr>
                <w:rFonts w:ascii="宋体" w:hAnsi="宋体" w:eastAsia="宋体" w:cs="宋体"/>
                <w:b/>
                <w:bCs/>
                <w:kern w:val="2"/>
                <w:sz w:val="21"/>
                <w:szCs w:val="21"/>
                <w:lang w:eastAsia="zh-CN"/>
              </w:rPr>
            </w:pPr>
            <w:r>
              <w:rPr>
                <w:rFonts w:hint="eastAsia" w:ascii="宋体" w:hAnsi="宋体" w:eastAsia="宋体" w:cs="宋体"/>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widowControl w:val="0"/>
        <w:spacing w:after="160" w:line="278" w:lineRule="auto"/>
        <w:jc w:val="both"/>
        <w:rPr>
          <w:rFonts w:eastAsia="宋体"/>
          <w:kern w:val="2"/>
          <w:sz w:val="21"/>
          <w:lang w:eastAsia="zh-CN"/>
        </w:rPr>
        <w:sectPr>
          <w:pgSz w:w="11907" w:h="16840"/>
          <w:pgMar w:top="1440" w:right="1418" w:bottom="1440" w:left="1418" w:header="851" w:footer="992" w:gutter="0"/>
          <w:cols w:space="425" w:num="1"/>
          <w:titlePg/>
          <w:docGrid w:linePitch="462" w:charSpace="0"/>
        </w:sectPr>
      </w:pPr>
    </w:p>
    <w:p>
      <w:pPr>
        <w:widowControl w:val="0"/>
        <w:spacing w:after="160" w:line="278" w:lineRule="auto"/>
        <w:jc w:val="center"/>
        <w:rPr>
          <w:rFonts w:eastAsia="宋体"/>
          <w:b/>
          <w:kern w:val="2"/>
          <w:sz w:val="120"/>
          <w:szCs w:val="120"/>
          <w:lang w:eastAsia="zh-CN"/>
        </w:rPr>
      </w:pPr>
      <w:r>
        <w:rPr>
          <w:rFonts w:hint="eastAsia" w:eastAsia="宋体"/>
          <w:b/>
          <w:kern w:val="2"/>
          <w:sz w:val="120"/>
          <w:szCs w:val="120"/>
          <w:lang w:eastAsia="zh-CN"/>
        </w:rPr>
        <w:t>政府采购</w:t>
      </w:r>
    </w:p>
    <w:p>
      <w:pPr>
        <w:widowControl w:val="0"/>
        <w:spacing w:after="160" w:line="278" w:lineRule="auto"/>
        <w:jc w:val="center"/>
        <w:rPr>
          <w:rFonts w:eastAsia="宋体"/>
          <w:b/>
          <w:kern w:val="2"/>
          <w:sz w:val="120"/>
          <w:szCs w:val="120"/>
          <w:lang w:eastAsia="zh-CN"/>
        </w:rPr>
      </w:pPr>
      <w:r>
        <w:rPr>
          <w:rFonts w:hint="eastAsia" w:eastAsia="宋体"/>
          <w:b/>
          <w:kern w:val="2"/>
          <w:sz w:val="120"/>
          <w:szCs w:val="120"/>
          <w:lang w:eastAsia="zh-CN"/>
        </w:rPr>
        <w:t>招标文件</w:t>
      </w:r>
    </w:p>
    <w:p>
      <w:pPr>
        <w:widowControl w:val="0"/>
        <w:spacing w:after="160" w:line="278" w:lineRule="auto"/>
        <w:jc w:val="center"/>
        <w:rPr>
          <w:rFonts w:eastAsia="宋体"/>
          <w:b/>
          <w:kern w:val="2"/>
          <w:sz w:val="52"/>
          <w:szCs w:val="52"/>
          <w:lang w:eastAsia="zh-CN"/>
        </w:rPr>
      </w:pPr>
      <w:r>
        <w:rPr>
          <w:rFonts w:hint="eastAsia" w:eastAsia="宋体"/>
          <w:b/>
          <w:kern w:val="2"/>
          <w:sz w:val="52"/>
          <w:szCs w:val="52"/>
          <w:lang w:eastAsia="zh-CN"/>
        </w:rPr>
        <w:t>（货物类）</w:t>
      </w: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jc w:val="center"/>
        <w:rPr>
          <w:rFonts w:eastAsia="宋体"/>
          <w:b/>
          <w:kern w:val="2"/>
          <w:sz w:val="44"/>
          <w:szCs w:val="44"/>
          <w:lang w:eastAsia="zh-CN"/>
        </w:rPr>
      </w:pPr>
      <w:bookmarkStart w:id="3" w:name="_Hlk71465316"/>
      <w:r>
        <w:rPr>
          <w:rFonts w:hint="eastAsia" w:eastAsia="宋体"/>
          <w:b/>
          <w:kern w:val="2"/>
          <w:sz w:val="44"/>
          <w:szCs w:val="44"/>
          <w:lang w:eastAsia="zh-CN"/>
        </w:rPr>
        <w:t>深圳公共资源交易中心</w:t>
      </w:r>
    </w:p>
    <w:p>
      <w:pPr>
        <w:widowControl w:val="0"/>
        <w:spacing w:after="160" w:line="278" w:lineRule="auto"/>
        <w:jc w:val="center"/>
        <w:rPr>
          <w:rFonts w:eastAsia="宋体"/>
          <w:b/>
          <w:kern w:val="2"/>
          <w:sz w:val="44"/>
          <w:szCs w:val="44"/>
          <w:lang w:eastAsia="zh-CN"/>
        </w:rPr>
      </w:pPr>
      <w:r>
        <w:rPr>
          <w:rFonts w:hint="eastAsia" w:eastAsia="宋体"/>
          <w:b/>
          <w:kern w:val="2"/>
          <w:sz w:val="44"/>
          <w:szCs w:val="44"/>
          <w:lang w:eastAsia="zh-CN"/>
        </w:rPr>
        <w:t>（</w:t>
      </w:r>
      <w:r>
        <w:rPr>
          <w:rFonts w:eastAsia="宋体"/>
          <w:b/>
          <w:kern w:val="2"/>
          <w:sz w:val="44"/>
          <w:szCs w:val="44"/>
          <w:lang w:eastAsia="zh-CN"/>
        </w:rPr>
        <w:t>20</w:t>
      </w:r>
      <w:r>
        <w:rPr>
          <w:rFonts w:hint="eastAsia" w:eastAsia="宋体"/>
          <w:b/>
          <w:kern w:val="2"/>
          <w:sz w:val="44"/>
          <w:szCs w:val="44"/>
          <w:lang w:eastAsia="zh-CN"/>
        </w:rPr>
        <w:t>25）</w:t>
      </w:r>
    </w:p>
    <w:bookmarkEnd w:id="3"/>
    <w:p>
      <w:pPr>
        <w:widowControl w:val="0"/>
        <w:spacing w:after="160" w:line="278" w:lineRule="auto"/>
        <w:ind w:firstLine="3654" w:firstLineChars="1300"/>
        <w:jc w:val="both"/>
        <w:rPr>
          <w:rFonts w:ascii="宋体" w:hAnsi="宋体" w:eastAsia="宋体"/>
          <w:color w:val="FF0000"/>
          <w:kern w:val="2"/>
          <w:sz w:val="21"/>
          <w:szCs w:val="21"/>
          <w:lang w:eastAsia="zh-CN"/>
        </w:rPr>
      </w:pPr>
      <w:bookmarkStart w:id="4" w:name="_Hlk73564573"/>
      <w:r>
        <w:rPr>
          <w:rFonts w:hint="eastAsia" w:ascii="宋体" w:hAnsi="宋体" w:eastAsia="黑体"/>
          <w:b/>
          <w:bCs/>
          <w:color w:val="FF0000"/>
          <w:kern w:val="44"/>
          <w:sz w:val="28"/>
          <w:szCs w:val="44"/>
          <w:lang w:eastAsia="zh-CN"/>
        </w:rPr>
        <w:t>警示条款</w:t>
      </w:r>
    </w:p>
    <w:p>
      <w:pPr>
        <w:widowControl w:val="0"/>
        <w:spacing w:after="160" w:line="278" w:lineRule="auto"/>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spacing w:after="160" w:line="278" w:lineRule="auto"/>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pPr>
        <w:widowControl w:val="0"/>
        <w:spacing w:after="160" w:line="278" w:lineRule="auto"/>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pPr>
        <w:widowControl w:val="0"/>
        <w:spacing w:after="160" w:line="278" w:lineRule="auto"/>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pPr>
        <w:widowControl w:val="0"/>
        <w:spacing w:after="160" w:line="278" w:lineRule="auto"/>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pPr>
        <w:widowControl w:val="0"/>
        <w:spacing w:after="160" w:line="278" w:lineRule="auto"/>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pPr>
        <w:widowControl w:val="0"/>
        <w:spacing w:after="160" w:line="278" w:lineRule="auto"/>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pPr>
        <w:widowControl w:val="0"/>
        <w:spacing w:after="160" w:line="278" w:lineRule="auto"/>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pPr>
        <w:widowControl w:val="0"/>
        <w:spacing w:after="160" w:line="278" w:lineRule="auto"/>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pPr>
        <w:widowControl w:val="0"/>
        <w:spacing w:after="160" w:line="278" w:lineRule="auto"/>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pPr>
        <w:widowControl w:val="0"/>
        <w:spacing w:after="160" w:line="278" w:lineRule="auto"/>
        <w:ind w:firstLine="402" w:firstLineChars="200"/>
        <w:jc w:val="both"/>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二、《深圳经济特区政府采购条例实施细则》第七十五条 </w:t>
      </w:r>
      <w:r>
        <w:rPr>
          <w:rFonts w:hint="eastAsia" w:ascii="宋体" w:hAnsi="宋体" w:eastAsia="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spacing w:after="160" w:line="278" w:lineRule="auto"/>
        <w:ind w:firstLine="402" w:firstLineChars="200"/>
        <w:jc w:val="both"/>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spacing w:after="160" w:line="278" w:lineRule="auto"/>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bookmarkEnd w:id="4"/>
    <w:p>
      <w:pPr>
        <w:widowControl w:val="0"/>
        <w:spacing w:after="160" w:line="278" w:lineRule="auto"/>
        <w:ind w:firstLine="422" w:firstLineChars="200"/>
        <w:jc w:val="both"/>
        <w:rPr>
          <w:rFonts w:eastAsia="宋体"/>
          <w:b/>
          <w:color w:val="FF0000"/>
          <w:kern w:val="2"/>
          <w:sz w:val="21"/>
          <w:lang w:eastAsia="zh-CN"/>
        </w:rPr>
      </w:pPr>
      <w:r>
        <w:rPr>
          <w:rFonts w:hint="eastAsia" w:eastAsia="宋体"/>
          <w:b/>
          <w:color w:val="FF0000"/>
          <w:kern w:val="2"/>
          <w:sz w:val="21"/>
          <w:lang w:eastAsia="zh-CN"/>
        </w:rPr>
        <w:t>四、请投标供应商阅读《政府采购违法行为风险知悉确认书》（内容详见“投标文件附件”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spacing w:after="160" w:line="278" w:lineRule="auto"/>
        <w:ind w:firstLine="400" w:firstLineChars="200"/>
        <w:jc w:val="both"/>
        <w:rPr>
          <w:rFonts w:eastAsia="宋体"/>
          <w:bCs/>
          <w:color w:val="FF0000"/>
          <w:kern w:val="2"/>
          <w:sz w:val="20"/>
          <w:szCs w:val="20"/>
          <w:lang w:eastAsia="zh-CN"/>
        </w:rPr>
      </w:pPr>
      <w:r>
        <w:rPr>
          <w:rFonts w:hint="eastAsia" w:eastAsia="宋体"/>
          <w:bCs/>
          <w:color w:val="FF0000"/>
          <w:kern w:val="2"/>
          <w:sz w:val="20"/>
          <w:szCs w:val="20"/>
          <w:lang w:eastAsia="zh-CN"/>
        </w:rPr>
        <w:t>五、供应商在使用深圳市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spacing w:after="160" w:line="278" w:lineRule="auto"/>
        <w:ind w:firstLine="400" w:firstLineChars="200"/>
        <w:jc w:val="both"/>
        <w:rPr>
          <w:rFonts w:eastAsia="宋体"/>
          <w:bCs/>
          <w:color w:val="FF0000"/>
          <w:kern w:val="2"/>
          <w:sz w:val="20"/>
          <w:szCs w:val="20"/>
          <w:lang w:eastAsia="zh-CN"/>
        </w:rPr>
      </w:pPr>
      <w:r>
        <w:rPr>
          <w:rFonts w:hint="eastAsia" w:eastAsia="宋体"/>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spacing w:after="160" w:line="278" w:lineRule="auto"/>
        <w:ind w:firstLine="400" w:firstLineChars="200"/>
        <w:jc w:val="both"/>
        <w:rPr>
          <w:rFonts w:eastAsia="宋体"/>
          <w:bCs/>
          <w:color w:val="FF0000"/>
          <w:kern w:val="2"/>
          <w:sz w:val="20"/>
          <w:szCs w:val="20"/>
          <w:lang w:eastAsia="zh-CN"/>
        </w:rPr>
      </w:pPr>
      <w:r>
        <w:rPr>
          <w:rFonts w:hint="eastAsia" w:eastAsia="宋体"/>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olor w:val="FF0000"/>
          <w:kern w:val="2"/>
          <w:sz w:val="20"/>
          <w:szCs w:val="20"/>
          <w:lang w:eastAsia="zh-CN"/>
        </w:rPr>
        <w:t>取消参与本市政府采购资格</w:t>
      </w:r>
      <w:r>
        <w:rPr>
          <w:rFonts w:hint="eastAsia" w:hAnsi="宋体" w:eastAsia="宋体"/>
          <w:color w:val="FF0000"/>
          <w:kern w:val="2"/>
          <w:sz w:val="20"/>
          <w:szCs w:val="20"/>
          <w:lang w:eastAsia="zh-CN"/>
        </w:rPr>
        <w:t>、</w:t>
      </w:r>
      <w:r>
        <w:rPr>
          <w:rFonts w:hint="eastAsia" w:ascii="宋体" w:hAnsi="宋体" w:eastAsia="宋体"/>
          <w:color w:val="FF0000"/>
          <w:kern w:val="2"/>
          <w:sz w:val="20"/>
          <w:szCs w:val="20"/>
          <w:lang w:eastAsia="zh-CN"/>
        </w:rPr>
        <w:t>依法吊销其营业</w:t>
      </w:r>
      <w:r>
        <w:rPr>
          <w:rFonts w:hint="eastAsia" w:hAnsi="宋体" w:eastAsia="宋体"/>
          <w:color w:val="FF0000"/>
          <w:kern w:val="2"/>
          <w:sz w:val="20"/>
          <w:szCs w:val="20"/>
          <w:lang w:eastAsia="zh-CN"/>
        </w:rPr>
        <w:t>执照等行政处罚，</w:t>
      </w:r>
      <w:r>
        <w:rPr>
          <w:rFonts w:hint="eastAsia" w:ascii="宋体" w:hAnsi="宋体" w:eastAsia="宋体"/>
          <w:color w:val="FF0000"/>
          <w:kern w:val="2"/>
          <w:sz w:val="20"/>
          <w:szCs w:val="20"/>
          <w:lang w:eastAsia="zh-CN"/>
        </w:rPr>
        <w:t>构成犯罪的，依法追究刑事责任</w:t>
      </w:r>
      <w:r>
        <w:rPr>
          <w:rFonts w:hint="eastAsia" w:eastAsia="宋体"/>
          <w:bCs/>
          <w:color w:val="FF0000"/>
          <w:kern w:val="2"/>
          <w:sz w:val="20"/>
          <w:szCs w:val="20"/>
          <w:lang w:eastAsia="zh-CN"/>
        </w:rPr>
        <w:t>，请各供应商独立编制、上传投标文件，妥善保管和使用电子秘钥。</w:t>
      </w:r>
    </w:p>
    <w:p>
      <w:pPr>
        <w:widowControl w:val="0"/>
        <w:spacing w:after="160" w:line="278" w:lineRule="auto"/>
        <w:ind w:firstLine="400" w:firstLineChars="200"/>
        <w:jc w:val="both"/>
        <w:rPr>
          <w:rFonts w:ascii="宋体" w:hAnsi="宋体" w:eastAsia="宋体"/>
          <w:color w:val="FF0000"/>
          <w:kern w:val="2"/>
          <w:sz w:val="20"/>
          <w:szCs w:val="20"/>
          <w:lang w:eastAsia="zh-CN"/>
        </w:rPr>
        <w:sectPr>
          <w:pgSz w:w="11907" w:h="16840"/>
          <w:pgMar w:top="1440" w:right="1797" w:bottom="1440" w:left="1797" w:header="851" w:footer="992" w:gutter="0"/>
          <w:cols w:space="425" w:num="1"/>
          <w:titlePg/>
          <w:docGrid w:linePitch="462" w:charSpace="0"/>
        </w:sectPr>
      </w:pPr>
    </w:p>
    <w:p>
      <w:pPr>
        <w:widowControl w:val="0"/>
        <w:spacing w:before="240" w:beforeLines="100" w:after="240" w:afterLines="100" w:line="278" w:lineRule="auto"/>
        <w:jc w:val="center"/>
        <w:rPr>
          <w:rFonts w:ascii="黑体" w:hAnsi="黑体" w:eastAsia="黑体" w:cs="黑体"/>
          <w:b/>
          <w:bCs/>
          <w:kern w:val="2"/>
          <w:sz w:val="28"/>
          <w:szCs w:val="36"/>
          <w:lang w:eastAsia="zh-CN"/>
        </w:rPr>
      </w:pPr>
      <w:bookmarkStart w:id="5" w:name="_Hlk72218009"/>
      <w:r>
        <w:rPr>
          <w:rFonts w:hint="eastAsia" w:ascii="黑体" w:hAnsi="黑体" w:eastAsia="黑体" w:cs="黑体"/>
          <w:b/>
          <w:bCs/>
          <w:kern w:val="2"/>
          <w:sz w:val="28"/>
          <w:szCs w:val="36"/>
          <w:lang w:eastAsia="zh-CN"/>
        </w:rPr>
        <w:t>目   录</w:t>
      </w:r>
    </w:p>
    <w:p>
      <w:pPr>
        <w:outlineLvl w:val="0"/>
        <w:rPr>
          <w:rFonts w:hint="eastAsia" w:ascii="宋体" w:hAnsi="宋体" w:eastAsia="宋体" w:cs="宋体"/>
          <w:b/>
          <w:sz w:val="21"/>
          <w:szCs w:val="21"/>
        </w:rPr>
      </w:pPr>
      <w:r>
        <w:rPr>
          <w:rFonts w:hint="eastAsia" w:ascii="宋体" w:hAnsi="宋体" w:eastAsia="宋体" w:cs="宋体"/>
          <w:b/>
          <w:sz w:val="21"/>
          <w:szCs w:val="21"/>
        </w:rPr>
        <w:t>第一册  专用条款</w:t>
      </w:r>
    </w:p>
    <w:p>
      <w:pPr>
        <w:rPr>
          <w:rFonts w:hint="eastAsia" w:ascii="宋体" w:hAnsi="宋体" w:eastAsia="宋体" w:cs="宋体"/>
          <w:sz w:val="21"/>
          <w:szCs w:val="21"/>
        </w:rPr>
      </w:pPr>
      <w:r>
        <w:rPr>
          <w:rFonts w:hint="eastAsia" w:ascii="宋体" w:hAnsi="宋体" w:eastAsia="宋体" w:cs="宋体"/>
          <w:sz w:val="21"/>
          <w:szCs w:val="21"/>
        </w:rPr>
        <w:t xml:space="preserve">          关键信息</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第一章  招标公告</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 xml:space="preserve">第二章  </w:t>
      </w:r>
      <w:bookmarkStart w:id="6" w:name="_Hlk71994379"/>
      <w:r>
        <w:rPr>
          <w:rFonts w:hint="eastAsia" w:ascii="宋体" w:hAnsi="宋体" w:eastAsia="宋体" w:cs="宋体"/>
          <w:sz w:val="21"/>
          <w:szCs w:val="21"/>
        </w:rPr>
        <w:t>对通用条款的补充内容及其他关键信息</w:t>
      </w:r>
      <w:bookmarkEnd w:id="6"/>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第三章  用户需求书</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第四章  投标文件组成要求及格式</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第五章  合同条款及格式</w:t>
      </w:r>
    </w:p>
    <w:p>
      <w:pPr>
        <w:rPr>
          <w:rFonts w:hint="eastAsia" w:ascii="宋体" w:hAnsi="宋体" w:eastAsia="宋体" w:cs="宋体"/>
          <w:b/>
          <w:sz w:val="21"/>
          <w:szCs w:val="21"/>
        </w:rPr>
      </w:pPr>
    </w:p>
    <w:p>
      <w:pPr>
        <w:outlineLvl w:val="0"/>
        <w:rPr>
          <w:rFonts w:hint="eastAsia" w:ascii="宋体" w:hAnsi="宋体" w:eastAsia="宋体" w:cs="宋体"/>
          <w:b/>
          <w:sz w:val="21"/>
          <w:szCs w:val="21"/>
        </w:rPr>
      </w:pPr>
      <w:r>
        <w:rPr>
          <w:rFonts w:hint="eastAsia" w:ascii="宋体" w:hAnsi="宋体" w:eastAsia="宋体" w:cs="宋体"/>
          <w:b/>
          <w:sz w:val="21"/>
          <w:szCs w:val="21"/>
        </w:rPr>
        <w:t>第二册  通用条款</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第一章  总则</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第二章  招标文件</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第三章  投标文件的编制</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第四章  投标文件的递交</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第五章  开标</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第六章  评审要求</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第七章  评审程序及评审方法</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第八章  定标及公示</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第九章  公开招标失败的后续处理</w:t>
      </w:r>
    </w:p>
    <w:p>
      <w:pPr>
        <w:ind w:left="720" w:leftChars="300"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第十章  合同的授予与备案</w:t>
      </w:r>
      <w:r>
        <w:rPr>
          <w:rFonts w:hint="eastAsia" w:ascii="宋体" w:hAnsi="宋体" w:eastAsia="宋体" w:cs="宋体"/>
          <w:sz w:val="21"/>
          <w:szCs w:val="21"/>
          <w:lang w:val="en-US" w:eastAsia="zh-CN"/>
        </w:rPr>
        <w:t xml:space="preserve">  </w:t>
      </w:r>
    </w:p>
    <w:p>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第十一章  质疑处理</w:t>
      </w:r>
    </w:p>
    <w:p>
      <w:pPr>
        <w:widowControl w:val="0"/>
        <w:spacing w:after="160" w:line="360" w:lineRule="auto"/>
        <w:jc w:val="both"/>
        <w:rPr>
          <w:rFonts w:eastAsia="宋体"/>
          <w:b/>
          <w:bCs/>
          <w:kern w:val="2"/>
          <w:lang w:eastAsia="zh-CN"/>
        </w:rPr>
      </w:pPr>
    </w:p>
    <w:p>
      <w:pPr>
        <w:widowControl w:val="0"/>
        <w:spacing w:after="160" w:line="360" w:lineRule="auto"/>
        <w:jc w:val="both"/>
        <w:rPr>
          <w:rFonts w:eastAsia="宋体"/>
          <w:kern w:val="2"/>
          <w:lang w:eastAsia="zh-CN"/>
        </w:rPr>
      </w:pPr>
    </w:p>
    <w:p>
      <w:pPr>
        <w:widowControl w:val="0"/>
        <w:spacing w:after="160" w:line="360" w:lineRule="auto"/>
        <w:jc w:val="both"/>
        <w:rPr>
          <w:rFonts w:eastAsia="宋体"/>
          <w:kern w:val="2"/>
          <w:lang w:eastAsia="zh-CN"/>
        </w:rPr>
      </w:pPr>
    </w:p>
    <w:p>
      <w:pPr>
        <w:widowControl w:val="0"/>
        <w:spacing w:after="160" w:line="360" w:lineRule="auto"/>
        <w:jc w:val="both"/>
        <w:rPr>
          <w:rFonts w:eastAsia="宋体"/>
          <w:b/>
          <w:bCs/>
          <w:kern w:val="2"/>
          <w:lang w:eastAsia="zh-CN"/>
        </w:rPr>
        <w:sectPr>
          <w:pgSz w:w="11907" w:h="16840"/>
          <w:pgMar w:top="1440" w:right="1797" w:bottom="1440" w:left="1797" w:header="851" w:footer="992" w:gutter="0"/>
          <w:cols w:space="425" w:num="1"/>
          <w:titlePg/>
          <w:docGrid w:linePitch="462" w:charSpace="0"/>
        </w:sectPr>
      </w:pPr>
    </w:p>
    <w:bookmarkEnd w:id="5"/>
    <w:p>
      <w:pPr>
        <w:keepNext/>
        <w:keepLines/>
        <w:widowControl w:val="0"/>
        <w:spacing w:before="340" w:after="330" w:line="360" w:lineRule="auto"/>
        <w:jc w:val="center"/>
        <w:outlineLvl w:val="0"/>
        <w:rPr>
          <w:rFonts w:ascii="宋体" w:hAnsi="宋体" w:eastAsia="黑体"/>
          <w:b/>
          <w:bCs/>
          <w:color w:val="FF0000"/>
          <w:kern w:val="44"/>
          <w:szCs w:val="44"/>
          <w:lang w:eastAsia="zh-CN"/>
        </w:rPr>
      </w:pPr>
      <w:bookmarkStart w:id="7" w:name="bt投标报价汇总表"/>
      <w:bookmarkEnd w:id="7"/>
      <w:bookmarkStart w:id="8" w:name="bt合同格式"/>
      <w:bookmarkEnd w:id="8"/>
      <w:bookmarkStart w:id="9" w:name="bt技术标投标文件格式"/>
      <w:bookmarkEnd w:id="9"/>
      <w:bookmarkStart w:id="10" w:name="bt开标一览表"/>
      <w:bookmarkEnd w:id="10"/>
      <w:bookmarkStart w:id="11" w:name="bt其他资料2"/>
      <w:bookmarkEnd w:id="11"/>
      <w:bookmarkStart w:id="12" w:name="bt本工程承诺书"/>
      <w:bookmarkEnd w:id="12"/>
      <w:bookmarkStart w:id="13" w:name="bt说明"/>
      <w:bookmarkEnd w:id="13"/>
      <w:bookmarkStart w:id="14" w:name="bt其他资料由投标人自定"/>
      <w:bookmarkEnd w:id="14"/>
      <w:bookmarkStart w:id="15" w:name="bt投标函"/>
      <w:bookmarkEnd w:id="15"/>
      <w:bookmarkStart w:id="16" w:name="bt项目管理班子配备情况"/>
      <w:bookmarkEnd w:id="16"/>
      <w:bookmarkStart w:id="17" w:name="bt投标人情况介绍"/>
      <w:bookmarkEnd w:id="17"/>
      <w:bookmarkStart w:id="18" w:name="合同格式"/>
      <w:bookmarkEnd w:id="18"/>
      <w:bookmarkStart w:id="19" w:name="bt合同条款及格式"/>
      <w:bookmarkEnd w:id="19"/>
      <w:bookmarkStart w:id="20" w:name="bt投标文件签署授权委托书"/>
      <w:bookmarkEnd w:id="20"/>
      <w:bookmarkStart w:id="21" w:name="bt商务标投标文件格式"/>
      <w:bookmarkEnd w:id="21"/>
      <w:bookmarkStart w:id="22" w:name="bt投标人须知"/>
      <w:bookmarkEnd w:id="22"/>
      <w:bookmarkStart w:id="23" w:name="bt合同条款"/>
      <w:bookmarkEnd w:id="23"/>
      <w:r>
        <w:rPr>
          <w:rFonts w:hint="eastAsia" w:ascii="宋体" w:hAnsi="宋体" w:eastAsia="黑体"/>
          <w:b/>
          <w:bCs/>
          <w:kern w:val="44"/>
          <w:sz w:val="28"/>
          <w:szCs w:val="44"/>
          <w:lang w:eastAsia="zh-CN"/>
        </w:rPr>
        <w:t>第一册  专用条款</w:t>
      </w:r>
    </w:p>
    <w:p>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pPr>
        <w:widowControl w:val="0"/>
        <w:spacing w:after="160"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pPr>
        <w:widowControl w:val="0"/>
        <w:wordWrap w:val="0"/>
        <w:spacing w:after="16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1.具有独立承担民事责任的能力（提供营业执照或事业单位法人证书等证明资料扫描件，原件备查，分支机构参与投标的，须同时提供总公司授权文件且授权书载明其民事责任由总公司承担）；</w:t>
      </w:r>
    </w:p>
    <w:p>
      <w:pPr>
        <w:widowControl w:val="0"/>
        <w:wordWrap w:val="0"/>
        <w:spacing w:after="160"/>
        <w:ind w:firstLine="420" w:firstLineChars="2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2.本项目不接受联合体投标，不接受投标人选用进口产品参与投标，详见招标文件“第三章 用户需求书”，不允许分包；</w:t>
      </w:r>
    </w:p>
    <w:p>
      <w:pPr>
        <w:widowControl w:val="0"/>
        <w:wordWrap w:val="0"/>
        <w:spacing w:after="16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3.参与本项目政府采购活动时不存在被有关部门禁止参与政府采购活动且在有效期内的情况（由供应商在《政府采购投标及履约承诺函》中作出声明）；</w:t>
      </w:r>
    </w:p>
    <w:p>
      <w:pPr>
        <w:widowControl w:val="0"/>
        <w:wordWrap w:val="0"/>
        <w:spacing w:after="16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4.具备《中华人民共和国政府采购法》第二十二条第一款的条件（由供应商在《政府采购投标及履约承诺函》中作出声明）；</w:t>
      </w:r>
    </w:p>
    <w:p>
      <w:pPr>
        <w:widowControl w:val="0"/>
        <w:wordWrap w:val="0"/>
        <w:spacing w:after="16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5.未被列入失信被执行人、重大税收违法案件当事人名单、政府采购严重违法失信行为记录名单（由供应商在《政府采购投标及履约承诺函》中作出声明）；</w:t>
      </w:r>
    </w:p>
    <w:p>
      <w:pPr>
        <w:widowControl w:val="0"/>
        <w:wordWrap w:val="0"/>
        <w:spacing w:after="160"/>
        <w:ind w:firstLine="420" w:firstLineChars="2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6.不存在《深圳市财政局政府采购供应商信用信息管理办法》（深财规〔2023〕3号）列明的严重违法失信行为（由供应商在《政府采购投标及履约承诺函》中作出声明）；</w:t>
      </w:r>
    </w:p>
    <w:p>
      <w:pPr>
        <w:widowControl w:val="0"/>
        <w:wordWrap w:val="0"/>
        <w:spacing w:after="16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7.为采购项目提供整体设计、规范编制或者项目管理、监理、检测等服务的供应商，不得再参加该采购项目的其他采购活动（由供应商在《政府采购投标及履约承诺函》中作出声明）；</w:t>
      </w:r>
    </w:p>
    <w:p>
      <w:pPr>
        <w:widowControl w:val="0"/>
        <w:wordWrap w:val="0"/>
        <w:spacing w:after="160"/>
        <w:ind w:firstLine="420" w:firstLineChars="2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wordWrap w:val="0"/>
        <w:spacing w:after="16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9.本项目是（否）专门面向中小企业采购：否。</w:t>
      </w:r>
    </w:p>
    <w:p>
      <w:pPr>
        <w:widowControl w:val="0"/>
        <w:spacing w:after="160" w:line="278" w:lineRule="auto"/>
        <w:ind w:firstLine="420" w:firstLineChars="200"/>
        <w:jc w:val="both"/>
        <w:rPr>
          <w:rFonts w:hint="eastAsia" w:ascii="宋体" w:hAnsi="宋体" w:eastAsia="宋体"/>
          <w:kern w:val="2"/>
          <w:sz w:val="21"/>
          <w:lang w:eastAsia="zh-CN"/>
        </w:rPr>
      </w:pPr>
    </w:p>
    <w:p>
      <w:pPr>
        <w:widowControl w:val="0"/>
        <w:spacing w:after="160" w:line="278" w:lineRule="auto"/>
        <w:ind w:firstLine="420" w:firstLineChars="200"/>
        <w:jc w:val="both"/>
        <w:rPr>
          <w:rFonts w:hint="eastAsia" w:ascii="宋体" w:hAnsi="宋体" w:eastAsia="宋体"/>
          <w:kern w:val="2"/>
          <w:sz w:val="21"/>
          <w:lang w:eastAsia="zh-CN"/>
        </w:rPr>
      </w:pPr>
      <w:r>
        <w:rPr>
          <w:rFonts w:hint="eastAsia" w:ascii="宋体" w:hAnsi="宋体" w:eastAsia="宋体"/>
          <w:kern w:val="2"/>
          <w:sz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spacing w:after="160" w:line="278" w:lineRule="auto"/>
        <w:ind w:firstLine="420" w:firstLineChars="200"/>
        <w:jc w:val="both"/>
        <w:rPr>
          <w:rFonts w:ascii="宋体" w:hAnsi="宋体" w:eastAsia="宋体"/>
          <w:kern w:val="2"/>
          <w:sz w:val="21"/>
          <w:lang w:eastAsia="zh-CN"/>
        </w:rPr>
      </w:pPr>
      <w:r>
        <w:rPr>
          <w:rFonts w:hint="eastAsia" w:ascii="宋体" w:hAnsi="宋体" w:eastAsia="宋体"/>
          <w:kern w:val="2"/>
          <w:sz w:val="21"/>
          <w:lang w:eastAsia="zh-CN"/>
        </w:rPr>
        <w:t>（2）供应商投标（上传投标文件）必须先行办理注册手续，具体请按照本公告“六、其他补充事宜”相关内容指引办理。</w:t>
      </w:r>
    </w:p>
    <w:p>
      <w:pPr>
        <w:widowControl w:val="0"/>
        <w:spacing w:after="160" w:line="278" w:lineRule="auto"/>
        <w:ind w:firstLine="442" w:firstLineChars="200"/>
        <w:jc w:val="both"/>
        <w:rPr>
          <w:rFonts w:eastAsia="宋体"/>
          <w:b/>
          <w:kern w:val="2"/>
          <w:sz w:val="21"/>
          <w:lang w:eastAsia="zh-CN"/>
        </w:rPr>
      </w:pPr>
      <w:r>
        <w:rPr>
          <w:rFonts w:hint="eastAsia" w:eastAsia="宋体"/>
          <w:b/>
          <w:kern w:val="2"/>
          <w:sz w:val="22"/>
          <w:szCs w:val="18"/>
          <w:lang w:eastAsia="zh-CN"/>
        </w:rPr>
        <w:t>完整公告内容详见：深圳公共资源交易网（</w:t>
      </w:r>
      <w:r>
        <w:rPr>
          <w:rFonts w:eastAsia="宋体"/>
          <w:b/>
          <w:kern w:val="2"/>
          <w:sz w:val="22"/>
          <w:szCs w:val="18"/>
          <w:lang w:eastAsia="zh-CN"/>
        </w:rPr>
        <w:t>https://www.szggzy.com</w:t>
      </w:r>
      <w:r>
        <w:rPr>
          <w:rFonts w:hint="eastAsia" w:eastAsia="宋体"/>
          <w:b/>
          <w:kern w:val="2"/>
          <w:sz w:val="22"/>
          <w:szCs w:val="18"/>
          <w:lang w:eastAsia="zh-CN"/>
        </w:rPr>
        <w:t>）</w:t>
      </w:r>
    </w:p>
    <w:p>
      <w:pPr>
        <w:widowControl w:val="0"/>
        <w:spacing w:after="160" w:line="278" w:lineRule="auto"/>
        <w:ind w:firstLine="422" w:firstLineChars="200"/>
        <w:jc w:val="both"/>
        <w:rPr>
          <w:rFonts w:eastAsia="宋体"/>
          <w:b/>
          <w:kern w:val="2"/>
          <w:sz w:val="21"/>
          <w:lang w:eastAsia="zh-CN"/>
        </w:rPr>
      </w:pPr>
    </w:p>
    <w:p>
      <w:pPr>
        <w:widowControl w:val="0"/>
        <w:spacing w:after="160" w:line="278" w:lineRule="auto"/>
        <w:jc w:val="both"/>
        <w:rPr>
          <w:rFonts w:eastAsia="宋体"/>
          <w:kern w:val="2"/>
          <w:lang w:eastAsia="zh-CN"/>
        </w:rPr>
        <w:sectPr>
          <w:pgSz w:w="11907" w:h="16840"/>
          <w:pgMar w:top="1440" w:right="1797" w:bottom="1440" w:left="1797" w:header="851" w:footer="992" w:gutter="0"/>
          <w:cols w:space="425" w:num="1"/>
          <w:titlePg/>
          <w:docGrid w:linePitch="462" w:charSpace="0"/>
        </w:sectPr>
      </w:pPr>
    </w:p>
    <w:p>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24" w:name="_Hlk71926094"/>
      <w:r>
        <w:rPr>
          <w:rFonts w:hint="eastAsia" w:ascii="宋体" w:hAnsi="宋体" w:eastAsia="宋体"/>
          <w:b/>
          <w:bCs/>
          <w:sz w:val="28"/>
          <w:szCs w:val="28"/>
          <w:lang w:eastAsia="zh-CN"/>
        </w:rPr>
        <w:t>对通用条款的补充内容及其他关键信息</w:t>
      </w:r>
      <w:bookmarkEnd w:id="24"/>
    </w:p>
    <w:p>
      <w:pPr>
        <w:keepNext/>
        <w:keepLines/>
        <w:widowControl w:val="0"/>
        <w:adjustRightInd w:val="0"/>
        <w:spacing w:before="120" w:beforeLines="50" w:after="120" w:afterLines="50"/>
        <w:jc w:val="center"/>
        <w:textAlignment w:val="baseline"/>
        <w:outlineLvl w:val="1"/>
        <w:rPr>
          <w:rFonts w:ascii="宋体" w:hAnsi="宋体" w:eastAsia="宋体"/>
          <w:b/>
          <w:bCs/>
          <w:lang w:eastAsia="zh-CN"/>
        </w:rPr>
      </w:pPr>
      <w:bookmarkStart w:id="25" w:name="_Toc73521547"/>
      <w:bookmarkStart w:id="26" w:name="_Toc100052364"/>
      <w:bookmarkStart w:id="27" w:name="_Toc60631620"/>
      <w:bookmarkStart w:id="28" w:name="_Toc60560625"/>
      <w:bookmarkStart w:id="29" w:name="_Toc73518117"/>
      <w:bookmarkStart w:id="30" w:name="_Toc73521635"/>
      <w:bookmarkStart w:id="31" w:name="_Toc101074876"/>
      <w:bookmarkStart w:id="32" w:name="_Toc73517639"/>
      <w:r>
        <w:rPr>
          <w:rFonts w:hint="eastAsia" w:ascii="宋体" w:hAnsi="宋体" w:eastAsia="宋体"/>
          <w:b/>
          <w:bCs/>
          <w:lang w:eastAsia="zh-CN"/>
        </w:rPr>
        <w:t>一、对通用条款的补充内容</w:t>
      </w:r>
    </w:p>
    <w:bookmarkEnd w:id="25"/>
    <w:bookmarkEnd w:id="26"/>
    <w:bookmarkEnd w:id="27"/>
    <w:bookmarkEnd w:id="28"/>
    <w:bookmarkEnd w:id="29"/>
    <w:bookmarkEnd w:id="30"/>
    <w:bookmarkEnd w:id="31"/>
    <w:bookmarkEnd w:id="32"/>
    <w:tbl>
      <w:tblPr>
        <w:tblStyle w:val="19"/>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7"/>
        <w:gridCol w:w="2456"/>
        <w:gridCol w:w="50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b/>
                <w:bCs/>
                <w:kern w:val="2"/>
                <w:sz w:val="21"/>
                <w:lang w:eastAsia="zh-CN"/>
              </w:rPr>
            </w:pPr>
            <w:bookmarkStart w:id="33" w:name="_Hlk72218097"/>
            <w:r>
              <w:rPr>
                <w:rFonts w:hint="eastAsia" w:ascii="宋体" w:hAnsi="宋体" w:eastAsia="宋体"/>
                <w:b/>
                <w:bCs/>
                <w:kern w:val="2"/>
                <w:sz w:val="21"/>
                <w:lang w:eastAsia="zh-CN"/>
              </w:rPr>
              <w:t>通用条款序号</w:t>
            </w:r>
          </w:p>
        </w:tc>
        <w:tc>
          <w:tcPr>
            <w:tcW w:w="2456" w:type="dxa"/>
            <w:vAlign w:val="center"/>
          </w:tcPr>
          <w:p>
            <w:pPr>
              <w:widowControl w:val="0"/>
              <w:spacing w:after="160" w:line="278" w:lineRule="auto"/>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5076" w:type="dxa"/>
            <w:vAlign w:val="center"/>
          </w:tcPr>
          <w:p>
            <w:pPr>
              <w:widowControl w:val="0"/>
              <w:spacing w:after="160" w:line="278" w:lineRule="auto"/>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456" w:type="dxa"/>
            <w:vAlign w:val="center"/>
          </w:tcPr>
          <w:p>
            <w:pPr>
              <w:widowControl w:val="0"/>
              <w:spacing w:after="160" w:line="278" w:lineRule="auto"/>
              <w:jc w:val="center"/>
              <w:rPr>
                <w:rFonts w:eastAsia="宋体"/>
                <w:kern w:val="2"/>
                <w:sz w:val="21"/>
                <w:lang w:eastAsia="zh-CN"/>
              </w:rPr>
            </w:pPr>
            <w:r>
              <w:rPr>
                <w:rFonts w:hint="eastAsia" w:eastAsia="宋体"/>
                <w:kern w:val="2"/>
                <w:sz w:val="21"/>
                <w:lang w:eastAsia="zh-CN"/>
              </w:rPr>
              <w:t>采购人</w:t>
            </w:r>
          </w:p>
        </w:tc>
        <w:tc>
          <w:tcPr>
            <w:tcW w:w="507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深圳北理莫斯科大学附属实验中学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45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政府集中采购机构</w:t>
            </w:r>
          </w:p>
        </w:tc>
        <w:tc>
          <w:tcPr>
            <w:tcW w:w="507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深圳公共资源交易中心（深圳交易集团有限公司政府采购业务分公司）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9</w:t>
            </w:r>
          </w:p>
        </w:tc>
        <w:tc>
          <w:tcPr>
            <w:tcW w:w="245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507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 xml:space="preserve">不组织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45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507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45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507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45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507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45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507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45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507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456" w:type="dxa"/>
            <w:vAlign w:val="center"/>
          </w:tcPr>
          <w:p>
            <w:pPr>
              <w:widowControl w:val="0"/>
              <w:spacing w:after="160" w:line="278" w:lineRule="auto"/>
              <w:jc w:val="center"/>
              <w:rPr>
                <w:rFonts w:ascii="宋体" w:hAnsi="宋体" w:eastAsia="宋体"/>
                <w:kern w:val="2"/>
                <w:sz w:val="21"/>
                <w:lang w:eastAsia="zh-CN"/>
              </w:rPr>
            </w:pPr>
            <w:bookmarkStart w:id="34" w:name="_Hlk71664860"/>
            <w:r>
              <w:rPr>
                <w:rFonts w:hint="eastAsia" w:ascii="宋体" w:hAnsi="宋体" w:eastAsia="宋体"/>
                <w:kern w:val="2"/>
                <w:sz w:val="21"/>
                <w:lang w:eastAsia="zh-CN"/>
              </w:rPr>
              <w:t>样品、现场演示、方案讲解</w:t>
            </w:r>
            <w:bookmarkEnd w:id="34"/>
          </w:p>
        </w:tc>
        <w:tc>
          <w:tcPr>
            <w:tcW w:w="507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45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507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45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507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456" w:type="dxa"/>
            <w:vAlign w:val="center"/>
          </w:tcPr>
          <w:p>
            <w:pPr>
              <w:widowControl w:val="0"/>
              <w:spacing w:after="160" w:line="278" w:lineRule="auto"/>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5076" w:type="dxa"/>
            <w:vAlign w:val="center"/>
          </w:tcPr>
          <w:p>
            <w:pPr>
              <w:widowControl w:val="0"/>
              <w:spacing w:after="160" w:line="278" w:lineRule="auto"/>
              <w:ind w:firstLine="2100" w:firstLineChars="1000"/>
              <w:jc w:val="both"/>
              <w:rPr>
                <w:rFonts w:ascii="宋体" w:hAnsi="宋体" w:eastAsia="宋体"/>
                <w:kern w:val="2"/>
                <w:sz w:val="21"/>
                <w:lang w:eastAsia="zh-CN"/>
              </w:rPr>
            </w:pPr>
            <w:r>
              <w:rPr>
                <w:rFonts w:hint="eastAsia" w:ascii="宋体" w:hAnsi="宋体" w:eastAsia="宋体"/>
                <w:kern w:val="2"/>
                <w:sz w:val="21"/>
                <w:lang w:eastAsia="zh-CN"/>
              </w:rPr>
              <w:t>不需要</w:t>
            </w:r>
          </w:p>
        </w:tc>
      </w:tr>
    </w:tbl>
    <w:p>
      <w:pPr>
        <w:widowControl w:val="0"/>
        <w:spacing w:after="160" w:line="278" w:lineRule="auto"/>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bookmarkEnd w:id="33"/>
    <w:p>
      <w:pPr>
        <w:rPr>
          <w:rFonts w:ascii="宋体" w:hAnsi="宋体" w:eastAsia="宋体"/>
          <w:b/>
          <w:bCs/>
          <w:lang w:eastAsia="zh-CN"/>
        </w:rPr>
      </w:pPr>
      <w:bookmarkStart w:id="35" w:name="_Hlk72218117"/>
      <w:r>
        <w:rPr>
          <w:rFonts w:hint="eastAsia" w:eastAsia="宋体"/>
          <w:kern w:val="2"/>
          <w:sz w:val="21"/>
          <w:lang w:eastAsia="zh-CN"/>
        </w:rPr>
        <w:br w:type="page"/>
      </w:r>
    </w:p>
    <w:p>
      <w:pPr>
        <w:keepNext/>
        <w:keepLines/>
        <w:widowControl w:val="0"/>
        <w:adjustRightInd w:val="0"/>
        <w:spacing w:before="120" w:beforeLines="50" w:after="120" w:afterLines="50"/>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pPr>
        <w:widowControl w:val="0"/>
        <w:spacing w:after="160" w:line="278" w:lineRule="auto"/>
        <w:ind w:firstLine="422" w:firstLineChars="200"/>
        <w:jc w:val="both"/>
        <w:rPr>
          <w:rFonts w:eastAsia="宋体"/>
          <w:b/>
          <w:bCs/>
          <w:kern w:val="2"/>
          <w:sz w:val="21"/>
          <w:lang w:eastAsia="zh-CN"/>
        </w:rPr>
      </w:pPr>
      <w:bookmarkStart w:id="36" w:name="_Hlk72579427"/>
      <w:r>
        <w:rPr>
          <w:rFonts w:hint="eastAsia" w:eastAsia="宋体"/>
          <w:b/>
          <w:bCs/>
          <w:kern w:val="2"/>
          <w:sz w:val="21"/>
          <w:lang w:eastAsia="zh-CN"/>
        </w:rPr>
        <w:t>（一）与“对通用条款的补充内容”章节相关的事项</w:t>
      </w:r>
    </w:p>
    <w:p>
      <w:pPr>
        <w:widowControl w:val="0"/>
        <w:spacing w:after="160" w:line="276" w:lineRule="auto"/>
        <w:rPr>
          <w:rFonts w:ascii="宋体" w:hAnsi="宋体" w:eastAsia="宋体"/>
          <w:b/>
          <w:sz w:val="21"/>
          <w:szCs w:val="20"/>
          <w:lang w:eastAsia="zh-CN"/>
        </w:rPr>
      </w:pPr>
      <w:r>
        <w:rPr>
          <w:rFonts w:hint="eastAsia" w:ascii="宋体" w:hAnsi="宋体" w:eastAsia="宋体"/>
          <w:b/>
          <w:sz w:val="21"/>
          <w:szCs w:val="20"/>
          <w:lang w:eastAsia="zh-CN"/>
        </w:rPr>
        <w:t>1、评标定标信息</w:t>
      </w:r>
    </w:p>
    <w:p>
      <w:pPr>
        <w:widowControl w:val="0"/>
        <w:spacing w:after="160" w:line="278" w:lineRule="auto"/>
        <w:jc w:val="center"/>
        <w:rPr>
          <w:rFonts w:eastAsia="宋体"/>
          <w:kern w:val="2"/>
          <w:sz w:val="21"/>
          <w:lang w:eastAsia="zh-CN"/>
        </w:rPr>
      </w:pPr>
      <w:r>
        <w:rPr>
          <w:rFonts w:hint="eastAsia" w:eastAsia="宋体"/>
          <w:b/>
          <w:kern w:val="2"/>
          <w:sz w:val="21"/>
          <w:lang w:eastAsia="zh-CN"/>
        </w:rPr>
        <w:t>非评定分离项目</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spacing w:after="160" w:line="278" w:lineRule="auto"/>
              <w:jc w:val="center"/>
              <w:rPr>
                <w:rFonts w:eastAsia="宋体"/>
                <w:kern w:val="2"/>
                <w:sz w:val="21"/>
                <w:lang w:eastAsia="zh-CN"/>
              </w:rPr>
            </w:pPr>
            <w:bookmarkStart w:id="37" w:name="_Hlk74239733"/>
            <w:r>
              <w:rPr>
                <w:rFonts w:hint="eastAsia" w:eastAsia="宋体"/>
                <w:kern w:val="2"/>
                <w:sz w:val="21"/>
                <w:lang w:eastAsia="zh-CN"/>
              </w:rPr>
              <w:t>评标方法</w:t>
            </w:r>
          </w:p>
        </w:tc>
        <w:tc>
          <w:tcPr>
            <w:tcW w:w="4265" w:type="dxa"/>
          </w:tcPr>
          <w:p>
            <w:pPr>
              <w:widowControl w:val="0"/>
              <w:spacing w:after="160" w:line="278" w:lineRule="auto"/>
              <w:jc w:val="center"/>
              <w:rPr>
                <w:rFonts w:eastAsia="宋体"/>
                <w:kern w:val="2"/>
                <w:sz w:val="21"/>
                <w:lang w:eastAsia="zh-CN"/>
              </w:rPr>
            </w:pPr>
            <w:r>
              <w:rPr>
                <w:rFonts w:hint="eastAsia" w:eastAsia="宋体"/>
                <w:kern w:val="2"/>
                <w:sz w:val="21"/>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spacing w:after="160" w:line="278" w:lineRule="auto"/>
              <w:jc w:val="center"/>
              <w:rPr>
                <w:rFonts w:eastAsia="宋体"/>
                <w:kern w:val="2"/>
                <w:sz w:val="21"/>
                <w:lang w:eastAsia="zh-CN"/>
              </w:rPr>
            </w:pPr>
            <w:r>
              <w:rPr>
                <w:rFonts w:hint="eastAsia" w:eastAsia="宋体"/>
                <w:kern w:val="2"/>
                <w:sz w:val="21"/>
                <w:lang w:eastAsia="zh-CN"/>
              </w:rPr>
              <w:t>候选中标供应商家数</w:t>
            </w:r>
          </w:p>
        </w:tc>
        <w:tc>
          <w:tcPr>
            <w:tcW w:w="4265" w:type="dxa"/>
          </w:tcPr>
          <w:p>
            <w:pPr>
              <w:widowControl w:val="0"/>
              <w:spacing w:after="160" w:line="278" w:lineRule="auto"/>
              <w:jc w:val="center"/>
              <w:rPr>
                <w:rFonts w:eastAsia="宋体"/>
                <w:kern w:val="2"/>
                <w:sz w:val="21"/>
                <w:lang w:eastAsia="zh-CN"/>
              </w:rPr>
            </w:pPr>
            <w:r>
              <w:rPr>
                <w:rFonts w:hint="eastAsia" w:eastAsia="宋体"/>
                <w:kern w:val="2"/>
                <w:sz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spacing w:after="160" w:line="278" w:lineRule="auto"/>
              <w:jc w:val="center"/>
              <w:rPr>
                <w:rFonts w:eastAsia="宋体"/>
                <w:kern w:val="2"/>
                <w:sz w:val="21"/>
                <w:lang w:eastAsia="zh-CN"/>
              </w:rPr>
            </w:pPr>
            <w:r>
              <w:rPr>
                <w:rFonts w:hint="eastAsia" w:eastAsia="宋体"/>
                <w:kern w:val="2"/>
                <w:sz w:val="21"/>
                <w:lang w:eastAsia="zh-CN"/>
              </w:rPr>
              <w:t>中标供应商家数</w:t>
            </w:r>
          </w:p>
        </w:tc>
        <w:tc>
          <w:tcPr>
            <w:tcW w:w="4265" w:type="dxa"/>
          </w:tcPr>
          <w:p>
            <w:pPr>
              <w:widowControl w:val="0"/>
              <w:spacing w:after="160" w:line="278" w:lineRule="auto"/>
              <w:jc w:val="center"/>
              <w:rPr>
                <w:rFonts w:eastAsia="宋体"/>
                <w:kern w:val="2"/>
                <w:sz w:val="21"/>
                <w:lang w:eastAsia="zh-CN"/>
              </w:rPr>
            </w:pPr>
            <w:r>
              <w:rPr>
                <w:rFonts w:hint="eastAsia" w:eastAsia="宋体"/>
                <w:kern w:val="2"/>
                <w:sz w:val="21"/>
                <w:lang w:eastAsia="zh-CN"/>
              </w:rPr>
              <w:t>1</w:t>
            </w:r>
          </w:p>
        </w:tc>
      </w:tr>
      <w:bookmarkEnd w:id="37"/>
    </w:tbl>
    <w:p>
      <w:pPr>
        <w:widowControl w:val="0"/>
        <w:spacing w:after="160" w:line="278" w:lineRule="auto"/>
        <w:ind w:firstLine="422" w:firstLineChars="200"/>
        <w:jc w:val="both"/>
        <w:rPr>
          <w:rFonts w:eastAsia="宋体"/>
          <w:b/>
          <w:kern w:val="2"/>
          <w:sz w:val="21"/>
          <w:lang w:eastAsia="zh-CN"/>
        </w:rPr>
      </w:pPr>
    </w:p>
    <w:p>
      <w:pPr>
        <w:widowControl w:val="0"/>
        <w:spacing w:after="160" w:line="278" w:lineRule="auto"/>
        <w:ind w:firstLine="422" w:firstLineChars="200"/>
        <w:jc w:val="both"/>
        <w:rPr>
          <w:rFonts w:eastAsia="宋体"/>
          <w:b/>
          <w:kern w:val="2"/>
          <w:sz w:val="21"/>
          <w:lang w:eastAsia="zh-CN"/>
        </w:rPr>
      </w:pPr>
    </w:p>
    <w:p>
      <w:pPr>
        <w:widowControl w:val="0"/>
        <w:spacing w:after="160" w:line="278" w:lineRule="auto"/>
        <w:ind w:firstLine="422" w:firstLineChars="200"/>
        <w:jc w:val="both"/>
        <w:rPr>
          <w:rFonts w:eastAsia="宋体"/>
          <w:b/>
          <w:kern w:val="2"/>
          <w:sz w:val="21"/>
          <w:lang w:eastAsia="zh-CN"/>
        </w:rPr>
      </w:pPr>
      <w:r>
        <w:rPr>
          <w:rFonts w:hint="eastAsia" w:eastAsia="宋体"/>
          <w:b/>
          <w:kern w:val="2"/>
          <w:sz w:val="21"/>
          <w:lang w:eastAsia="zh-CN"/>
        </w:rPr>
        <w:t>（二）其他事项</w:t>
      </w:r>
      <w:bookmarkEnd w:id="36"/>
    </w:p>
    <w:p>
      <w:pPr>
        <w:widowControl w:val="0"/>
        <w:spacing w:after="160" w:line="278" w:lineRule="auto"/>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、关于享受优惠政策的主体、价格扣除比例及采购标的所属行业</w:t>
      </w:r>
    </w:p>
    <w:p>
      <w:pPr>
        <w:spacing w:line="278" w:lineRule="auto"/>
        <w:ind w:firstLine="420" w:firstLineChars="200"/>
        <w:rPr>
          <w:rFonts w:hint="eastAsia" w:ascii="宋体" w:hAnsi="宋体" w:eastAsia="宋体" w:cs="宋体"/>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sz w:val="21"/>
          <w:szCs w:val="21"/>
          <w:lang w:eastAsia="zh-CN"/>
        </w:rPr>
        <w:t>非专门面向中小企业采购的项目，应执行价格扣除比例：投标人提供的货物（以招标文件用户需求书“货物清单明细”的“货物名称”一栏为准）全部均由优惠主体制造，则对其投标总价给予</w:t>
      </w:r>
      <w:r>
        <w:rPr>
          <w:rFonts w:hint="eastAsia" w:ascii="宋体" w:hAnsi="宋体" w:eastAsia="宋体" w:cs="宋体"/>
          <w:sz w:val="21"/>
          <w:szCs w:val="21"/>
          <w:u w:val="single"/>
          <w:lang w:eastAsia="zh-CN"/>
        </w:rPr>
        <w:t xml:space="preserve">10  </w:t>
      </w:r>
      <w:r>
        <w:rPr>
          <w:rFonts w:hint="eastAsia" w:ascii="宋体" w:hAnsi="宋体" w:eastAsia="宋体" w:cs="宋体"/>
          <w:sz w:val="21"/>
          <w:szCs w:val="21"/>
          <w:lang w:eastAsia="zh-CN"/>
        </w:rPr>
        <w:t>%的扣除，用扣除后的价格参与评审。满足多项优惠政策的供应商，不重复享受多项价格扣除政策。</w:t>
      </w:r>
    </w:p>
    <w:p>
      <w:pPr>
        <w:widowControl/>
        <w:spacing w:after="0" w:line="278" w:lineRule="auto"/>
        <w:ind w:firstLine="420" w:firstLineChars="200"/>
        <w:jc w:val="left"/>
        <w:rPr>
          <w:rFonts w:hint="eastAsia" w:ascii="宋体" w:hAnsi="宋体" w:eastAsia="宋体" w:cs="宋体"/>
          <w:kern w:val="2"/>
          <w:sz w:val="21"/>
          <w:szCs w:val="21"/>
          <w:lang w:eastAsia="zh-CN"/>
        </w:rPr>
      </w:pPr>
      <w:r>
        <w:rPr>
          <w:rFonts w:hint="eastAsia" w:ascii="宋体" w:hAnsi="宋体" w:eastAsia="宋体" w:cs="宋体"/>
          <w:sz w:val="21"/>
          <w:szCs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w:t>
      </w:r>
      <w:r>
        <w:rPr>
          <w:rFonts w:hint="eastAsia" w:ascii="宋体" w:hAnsi="宋体" w:eastAsia="宋体" w:cs="宋体"/>
          <w:kern w:val="2"/>
          <w:sz w:val="21"/>
          <w:szCs w:val="21"/>
          <w:lang w:eastAsia="zh-CN"/>
        </w:rPr>
        <w:t>注册商标；投标人提供的货物既有优惠主体制造货物，又有非优惠主体制造货物的，不给予价格扣除。</w:t>
      </w:r>
    </w:p>
    <w:p>
      <w:pPr>
        <w:widowControl/>
        <w:numPr>
          <w:ilvl w:val="-1"/>
          <w:numId w:val="0"/>
        </w:numPr>
        <w:spacing w:after="0" w:line="278" w:lineRule="auto"/>
        <w:ind w:firstLine="420" w:firstLineChars="200"/>
        <w:jc w:val="left"/>
        <w:rPr>
          <w:rFonts w:hint="eastAsia" w:ascii="宋体" w:hAnsi="宋体" w:eastAsia="宋体" w:cs="宋体"/>
          <w:b/>
          <w:bCs/>
          <w:color w:val="FF0000"/>
          <w:sz w:val="21"/>
          <w:szCs w:val="21"/>
          <w:lang w:eastAsia="zh-CN"/>
        </w:rPr>
      </w:pPr>
      <w:bookmarkStart w:id="38" w:name="_Hlk71970739"/>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8"/>
      <w:r>
        <w:rPr>
          <w:rFonts w:hint="eastAsia" w:ascii="宋体" w:hAnsi="宋体" w:eastAsia="宋体" w:cs="宋体"/>
          <w:kern w:val="2"/>
          <w:sz w:val="21"/>
          <w:szCs w:val="21"/>
          <w:lang w:eastAsia="zh-CN"/>
        </w:rPr>
        <w:t>，</w:t>
      </w:r>
      <w:r>
        <w:rPr>
          <w:rFonts w:hint="eastAsia" w:ascii="宋体" w:hAnsi="宋体" w:eastAsia="宋体" w:cs="宋体"/>
          <w:b/>
          <w:bCs/>
          <w:color w:val="FF0000"/>
          <w:sz w:val="21"/>
          <w:szCs w:val="21"/>
          <w:lang w:eastAsia="zh-CN"/>
        </w:rPr>
        <w:t>《中小企业声明函》中相关企业（货物制造商）所属行业应当与采购标的所属行业相一致，标的所属行业以招标文件第一册第三章用户需求书“货物清单明细”的“标的所属行业”一栏为准。</w:t>
      </w:r>
    </w:p>
    <w:p>
      <w:pPr>
        <w:numPr>
          <w:ilvl w:val="0"/>
          <w:numId w:val="0"/>
        </w:numPr>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 “投标文件组成要求及格式”中“投标人情况及资格证明文件”章节提供的格式）。</w:t>
      </w:r>
    </w:p>
    <w:p>
      <w:pPr>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（4）享受价格扣除获得政府采购合同的，小微企业不得将合同分包给大中型企业。</w:t>
      </w:r>
    </w:p>
    <w:p>
      <w:pPr>
        <w:widowControl w:val="0"/>
        <w:spacing w:after="160" w:line="278" w:lineRule="auto"/>
        <w:ind w:firstLine="422" w:firstLineChars="200"/>
        <w:jc w:val="both"/>
        <w:rPr>
          <w:rFonts w:eastAsia="宋体"/>
          <w:b/>
          <w:kern w:val="2"/>
          <w:sz w:val="21"/>
          <w:lang w:eastAsia="zh-CN"/>
        </w:rPr>
      </w:pPr>
    </w:p>
    <w:p>
      <w:pPr>
        <w:widowControl w:val="0"/>
        <w:spacing w:after="160" w:line="278" w:lineRule="auto"/>
        <w:ind w:firstLine="422" w:firstLineChars="200"/>
        <w:jc w:val="both"/>
        <w:rPr>
          <w:rFonts w:eastAsia="宋体"/>
          <w:b/>
          <w:kern w:val="2"/>
          <w:sz w:val="21"/>
          <w:lang w:eastAsia="zh-CN"/>
        </w:rPr>
      </w:pPr>
      <w:r>
        <w:rPr>
          <w:rFonts w:hint="eastAsia" w:eastAsia="宋体"/>
          <w:b/>
          <w:kern w:val="2"/>
          <w:sz w:val="21"/>
          <w:lang w:val="en-US" w:eastAsia="zh-CN"/>
        </w:rPr>
        <w:t>2</w:t>
      </w:r>
      <w:r>
        <w:rPr>
          <w:rFonts w:hint="eastAsia" w:eastAsia="宋体"/>
          <w:b/>
          <w:kern w:val="2"/>
          <w:sz w:val="21"/>
          <w:lang w:eastAsia="zh-CN"/>
        </w:rPr>
        <w:t>、</w:t>
      </w:r>
      <w:bookmarkStart w:id="39" w:name="_Hlk72594729"/>
      <w:bookmarkStart w:id="40" w:name="_Hlk76855768"/>
      <w:r>
        <w:rPr>
          <w:rFonts w:hint="eastAsia" w:eastAsia="宋体"/>
          <w:b/>
          <w:kern w:val="2"/>
          <w:sz w:val="21"/>
          <w:lang w:eastAsia="zh-CN"/>
        </w:rPr>
        <w:t>本项目为代理服务项目，将向中标（成交）供应商收取代理服务费。</w:t>
      </w:r>
    </w:p>
    <w:bookmarkEnd w:id="39"/>
    <w:bookmarkEnd w:id="40"/>
    <w:p>
      <w:pPr>
        <w:widowControl w:val="0"/>
        <w:spacing w:after="160" w:line="278" w:lineRule="auto"/>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w:t>
      </w:r>
      <w:r>
        <w:rPr>
          <w:rFonts w:hint="eastAsia" w:ascii="宋体" w:hAnsi="宋体" w:eastAsia="宋体"/>
          <w:kern w:val="2"/>
          <w:sz w:val="21"/>
          <w:lang w:eastAsia="zh-CN"/>
        </w:rPr>
        <w:t>政府采购业务分公司</w:t>
      </w:r>
      <w:r>
        <w:rPr>
          <w:rFonts w:hint="eastAsia" w:eastAsia="宋体"/>
          <w:kern w:val="2"/>
          <w:sz w:val="21"/>
          <w:lang w:eastAsia="zh-CN"/>
        </w:rPr>
        <w:t>）交纳代理服务费。若因中标（成交）供应商交纳代理服务费所产生的时间影响到合同签订的，由中标（成交）供应商自行承担责任。代理服务费标准参照下列标准收取。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本项目类型为货物采购：</w:t>
      </w:r>
    </w:p>
    <w:p>
      <w:pPr>
        <w:widowControl w:val="0"/>
        <w:spacing w:after="160" w:line="278" w:lineRule="auto"/>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pPr>
        <w:widowControl w:val="0"/>
        <w:spacing w:after="160" w:line="278" w:lineRule="auto"/>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spacing w:after="160"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spacing w:after="160"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spacing w:after="160"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spacing w:after="160"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spacing w:after="160"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spacing w:after="160"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spacing w:after="160"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spacing w:after="160"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spacing w:after="160"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spacing w:after="160"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spacing w:after="160"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spacing w:after="160" w:line="360" w:lineRule="auto"/>
              <w:jc w:val="center"/>
              <w:rPr>
                <w:rFonts w:eastAsia="宋体"/>
                <w:kern w:val="2"/>
                <w:sz w:val="21"/>
                <w:lang w:eastAsia="zh-CN"/>
              </w:rPr>
            </w:pPr>
            <w:r>
              <w:rPr>
                <w:rFonts w:hint="eastAsia" w:eastAsia="宋体"/>
                <w:kern w:val="2"/>
                <w:sz w:val="21"/>
                <w:lang w:eastAsia="zh-CN"/>
              </w:rPr>
              <w:t>0.004%</w:t>
            </w:r>
          </w:p>
        </w:tc>
      </w:tr>
    </w:tbl>
    <w:p>
      <w:pPr>
        <w:widowControl w:val="0"/>
        <w:spacing w:after="160" w:line="278" w:lineRule="auto"/>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pPr>
        <w:widowControl w:val="0"/>
        <w:numPr>
          <w:ilvl w:val="0"/>
          <w:numId w:val="2"/>
        </w:numPr>
        <w:spacing w:after="160" w:line="278" w:lineRule="auto"/>
        <w:ind w:firstLine="420" w:firstLineChars="200"/>
        <w:jc w:val="both"/>
        <w:rPr>
          <w:rFonts w:eastAsia="宋体"/>
          <w:kern w:val="2"/>
          <w:sz w:val="21"/>
          <w:lang w:eastAsia="zh-CN"/>
        </w:rPr>
      </w:pPr>
      <w:r>
        <w:rPr>
          <w:rFonts w:hint="eastAsia" w:eastAsia="宋体"/>
          <w:kern w:val="2"/>
          <w:sz w:val="21"/>
          <w:lang w:eastAsia="zh-CN"/>
        </w:rPr>
        <w:t>对于报总价的采购类项目，中标（成交）价为中标（成交）金额；对于报单价、折扣或费率的采购类项目，中标（成交）价为预算上限金额或经委托方与代理方确定的支付上限金额；</w:t>
      </w:r>
    </w:p>
    <w:p>
      <w:pPr>
        <w:widowControl w:val="0"/>
        <w:numPr>
          <w:ilvl w:val="0"/>
          <w:numId w:val="0"/>
        </w:numPr>
        <w:spacing w:after="160" w:line="278" w:lineRule="auto"/>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pPr>
        <w:widowControl w:val="0"/>
        <w:spacing w:after="160" w:line="278" w:lineRule="auto"/>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numPr>
          <w:ilvl w:val="0"/>
          <w:numId w:val="3"/>
        </w:numPr>
        <w:spacing w:after="160" w:line="278" w:lineRule="auto"/>
        <w:ind w:firstLine="420" w:firstLineChars="200"/>
        <w:jc w:val="both"/>
        <w:rPr>
          <w:lang w:eastAsia="zh-CN"/>
        </w:rPr>
      </w:pPr>
      <w:r>
        <w:rPr>
          <w:rFonts w:hint="eastAsia" w:eastAsia="宋体"/>
          <w:kern w:val="2"/>
          <w:sz w:val="21"/>
          <w:lang w:eastAsia="zh-CN"/>
        </w:rPr>
        <w:t>中标（成交）供应商中标（成交）后，必须按规定采用银行对公转账方式向深圳交易集团有限公司直接交纳代理服务费，</w:t>
      </w:r>
      <w:r>
        <w:rPr>
          <w:rFonts w:hint="eastAsia"/>
          <w:lang w:eastAsia="zh-CN"/>
        </w:rPr>
        <w:t>交纳信息及要求：</w:t>
      </w:r>
    </w:p>
    <w:p>
      <w:pPr>
        <w:ind w:firstLine="482" w:firstLineChars="200"/>
        <w:rPr>
          <w:rFonts w:ascii="宋体" w:hAnsi="宋体" w:cs="宋体"/>
          <w:bCs/>
          <w:color w:val="FF0000"/>
          <w:szCs w:val="21"/>
          <w:lang w:eastAsia="zh-CN"/>
        </w:rPr>
      </w:pPr>
      <w:r>
        <w:rPr>
          <w:rFonts w:hint="eastAsia" w:eastAsia="宋体"/>
          <w:b/>
          <w:bCs/>
          <w:kern w:val="2"/>
          <w:lang w:eastAsia="zh-CN"/>
        </w:rPr>
        <w:t xml:space="preserve"> </w:t>
      </w:r>
      <w:r>
        <w:rPr>
          <w:rFonts w:hint="eastAsia" w:ascii="宋体" w:hAnsi="宋体" w:cs="宋体"/>
          <w:b/>
          <w:bCs/>
          <w:color w:val="FF0000"/>
          <w:szCs w:val="21"/>
          <w:lang w:eastAsia="zh-CN"/>
        </w:rPr>
        <w:t>基本户信息：</w:t>
      </w:r>
    </w:p>
    <w:p>
      <w:pPr>
        <w:ind w:firstLine="480" w:firstLineChars="200"/>
        <w:rPr>
          <w:rFonts w:ascii="宋体" w:hAnsi="宋体" w:cs="宋体"/>
          <w:color w:val="FF0000"/>
          <w:szCs w:val="21"/>
          <w:lang w:eastAsia="zh-CN"/>
        </w:rPr>
      </w:pPr>
      <w:r>
        <w:rPr>
          <w:rFonts w:hint="eastAsia" w:ascii="宋体" w:hAnsi="宋体" w:cs="宋体"/>
          <w:color w:val="FF0000"/>
          <w:szCs w:val="21"/>
          <w:lang w:eastAsia="zh-CN"/>
        </w:rPr>
        <w:t>账户名：深圳交易集团有限公司</w:t>
      </w:r>
    </w:p>
    <w:p>
      <w:pPr>
        <w:ind w:firstLine="480" w:firstLineChars="200"/>
        <w:rPr>
          <w:rFonts w:ascii="宋体" w:hAnsi="宋体" w:cs="宋体"/>
          <w:color w:val="FF0000"/>
          <w:szCs w:val="21"/>
          <w:lang w:eastAsia="zh-CN"/>
        </w:rPr>
      </w:pPr>
      <w:r>
        <w:rPr>
          <w:rFonts w:hint="eastAsia" w:ascii="宋体" w:hAnsi="宋体" w:cs="宋体"/>
          <w:color w:val="FF0000"/>
          <w:szCs w:val="21"/>
          <w:lang w:eastAsia="zh-CN"/>
        </w:rPr>
        <w:t>账号：632765883</w:t>
      </w:r>
    </w:p>
    <w:p>
      <w:pPr>
        <w:ind w:firstLine="480" w:firstLineChars="200"/>
        <w:rPr>
          <w:rFonts w:ascii="宋体" w:hAnsi="宋体" w:cs="宋体"/>
          <w:color w:val="FF0000"/>
          <w:szCs w:val="21"/>
          <w:lang w:eastAsia="zh-CN"/>
        </w:rPr>
      </w:pPr>
      <w:r>
        <w:rPr>
          <w:rFonts w:hint="eastAsia" w:ascii="宋体" w:hAnsi="宋体" w:cs="宋体"/>
          <w:color w:val="FF0000"/>
          <w:szCs w:val="21"/>
          <w:lang w:eastAsia="zh-CN"/>
        </w:rPr>
        <w:t>开户行：民生银行深圳五洲支行</w:t>
      </w:r>
    </w:p>
    <w:p>
      <w:pPr>
        <w:ind w:firstLine="480" w:firstLineChars="200"/>
        <w:rPr>
          <w:rFonts w:ascii="宋体" w:hAnsi="宋体" w:cs="宋体"/>
          <w:bCs/>
          <w:color w:val="FF0000"/>
          <w:szCs w:val="21"/>
          <w:lang w:eastAsia="zh-CN"/>
        </w:rPr>
      </w:pPr>
      <w:r>
        <w:rPr>
          <w:rFonts w:hint="eastAsia" w:ascii="宋体" w:hAnsi="宋体" w:cs="宋体"/>
          <w:b/>
          <w:bCs/>
          <w:color w:val="FF0000"/>
          <w:szCs w:val="21"/>
          <w:lang w:eastAsia="zh-CN"/>
        </w:rPr>
        <w:t>转账备注：</w:t>
      </w:r>
    </w:p>
    <w:p>
      <w:pPr>
        <w:ind w:firstLine="480" w:firstLineChars="200"/>
        <w:rPr>
          <w:rFonts w:ascii="宋体" w:hAnsi="宋体" w:cs="宋体"/>
          <w:bCs/>
          <w:color w:val="FF0000"/>
          <w:szCs w:val="21"/>
          <w:lang w:eastAsia="zh-CN"/>
        </w:rPr>
      </w:pPr>
      <w:r>
        <w:rPr>
          <w:rFonts w:hint="eastAsia" w:ascii="宋体" w:hAnsi="宋体" w:cs="宋体"/>
          <w:bCs/>
          <w:color w:val="FF0000"/>
          <w:szCs w:val="21"/>
          <w:lang w:eastAsia="zh-CN"/>
        </w:rPr>
        <w:t>项目编号+项目名称</w:t>
      </w:r>
    </w:p>
    <w:p>
      <w:pPr>
        <w:widowControl w:val="0"/>
        <w:spacing w:after="160" w:line="360" w:lineRule="auto"/>
        <w:jc w:val="both"/>
        <w:rPr>
          <w:rFonts w:eastAsia="宋体"/>
          <w:b/>
          <w:kern w:val="2"/>
          <w:lang w:eastAsia="zh-CN"/>
        </w:rPr>
        <w:sectPr>
          <w:pgSz w:w="11907" w:h="16840"/>
          <w:pgMar w:top="1440" w:right="1797" w:bottom="1440" w:left="1797" w:header="851" w:footer="992" w:gutter="0"/>
          <w:cols w:space="425" w:num="1"/>
          <w:titlePg/>
          <w:docGrid w:linePitch="462" w:charSpace="0"/>
        </w:sectPr>
      </w:pPr>
    </w:p>
    <w:bookmarkEnd w:id="35"/>
    <w:p>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pPr>
        <w:keepNext/>
        <w:keepLines/>
        <w:widowControl w:val="0"/>
        <w:adjustRightInd w:val="0"/>
        <w:spacing w:before="120" w:beforeLines="50" w:after="120" w:afterLines="50"/>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9"/>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4302"/>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0" w:type="pct"/>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序号</w:t>
            </w:r>
          </w:p>
        </w:tc>
        <w:tc>
          <w:tcPr>
            <w:tcW w:w="2522" w:type="pct"/>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b/>
                <w:bCs/>
                <w:kern w:val="2"/>
                <w:sz w:val="21"/>
                <w:szCs w:val="21"/>
                <w:lang w:eastAsia="zh-CN"/>
              </w:rPr>
              <w:t>采购项目名称</w:t>
            </w:r>
          </w:p>
        </w:tc>
        <w:tc>
          <w:tcPr>
            <w:tcW w:w="2218" w:type="pct"/>
            <w:vAlign w:val="center"/>
          </w:tcPr>
          <w:p>
            <w:pPr>
              <w:widowControl w:val="0"/>
              <w:spacing w:after="160" w:line="278" w:lineRule="auto"/>
              <w:jc w:val="center"/>
              <w:rPr>
                <w:rFonts w:hint="eastAsia" w:ascii="宋体" w:hAnsi="宋体" w:eastAsia="宋体" w:cs="宋体"/>
                <w:b/>
                <w:bCs/>
                <w:color w:val="FF0000"/>
                <w:kern w:val="2"/>
                <w:sz w:val="21"/>
                <w:szCs w:val="21"/>
                <w:lang w:eastAsia="zh-CN"/>
              </w:rPr>
            </w:pPr>
            <w:r>
              <w:rPr>
                <w:rFonts w:hint="eastAsia" w:ascii="宋体" w:hAnsi="宋体" w:eastAsia="宋体" w:cs="宋体"/>
                <w:b/>
                <w:bCs/>
                <w:kern w:val="2"/>
                <w:sz w:val="21"/>
                <w:szCs w:val="21"/>
                <w:lang w:eastAsia="zh-CN"/>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60" w:type="pct"/>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w:t>
            </w:r>
          </w:p>
        </w:tc>
        <w:tc>
          <w:tcPr>
            <w:tcW w:w="2522" w:type="pct"/>
            <w:vAlign w:val="center"/>
          </w:tcPr>
          <w:p>
            <w:pPr>
              <w:widowControl w:val="0"/>
              <w:spacing w:after="160" w:line="278" w:lineRule="auto"/>
              <w:jc w:val="center"/>
              <w:rPr>
                <w:rFonts w:hint="eastAsia" w:ascii="宋体" w:hAnsi="宋体" w:eastAsia="宋体" w:cs="宋体"/>
                <w:bCs/>
                <w:kern w:val="2"/>
                <w:sz w:val="21"/>
                <w:szCs w:val="21"/>
                <w:lang w:val="en-US" w:eastAsia="zh-CN"/>
              </w:rPr>
            </w:pPr>
            <w:r>
              <w:rPr>
                <w:rFonts w:hint="eastAsia" w:ascii="宋体" w:hAnsi="宋体" w:eastAsia="宋体" w:cs="宋体"/>
                <w:bCs/>
                <w:kern w:val="2"/>
                <w:sz w:val="21"/>
                <w:szCs w:val="21"/>
                <w:lang w:eastAsia="zh-CN"/>
              </w:rPr>
              <w:t>深圳北理莫斯科大学附属实验中学</w:t>
            </w:r>
            <w:r>
              <w:rPr>
                <w:rFonts w:hint="eastAsia" w:ascii="宋体" w:hAnsi="宋体" w:eastAsia="宋体" w:cs="宋体"/>
                <w:bCs/>
                <w:kern w:val="2"/>
                <w:sz w:val="21"/>
                <w:szCs w:val="21"/>
                <w:lang w:val="en-US" w:eastAsia="zh-CN"/>
              </w:rPr>
              <w:t>智能竞赛车采购</w:t>
            </w:r>
          </w:p>
        </w:tc>
        <w:tc>
          <w:tcPr>
            <w:tcW w:w="2218" w:type="pct"/>
            <w:vAlign w:val="center"/>
          </w:tcPr>
          <w:p>
            <w:pPr>
              <w:widowControl w:val="0"/>
              <w:spacing w:after="160" w:line="278" w:lineRule="auto"/>
              <w:jc w:val="center"/>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300000.00</w:t>
            </w:r>
          </w:p>
        </w:tc>
      </w:tr>
    </w:tbl>
    <w:p>
      <w:pPr>
        <w:widowControl w:val="0"/>
        <w:spacing w:after="160" w:line="278" w:lineRule="auto"/>
        <w:jc w:val="both"/>
        <w:rPr>
          <w:rFonts w:ascii="宋体" w:hAnsi="宋体" w:eastAsia="宋体"/>
          <w:b/>
          <w:color w:val="FF0000"/>
          <w:kern w:val="2"/>
          <w:sz w:val="21"/>
          <w:szCs w:val="21"/>
          <w:lang w:eastAsia="zh-CN"/>
        </w:rPr>
      </w:pPr>
    </w:p>
    <w:p>
      <w:pPr>
        <w:keepNext/>
        <w:keepLines/>
        <w:widowControl w:val="0"/>
        <w:adjustRightInd w:val="0"/>
        <w:spacing w:before="120" w:beforeLines="50" w:after="120" w:afterLines="50"/>
        <w:jc w:val="center"/>
        <w:textAlignment w:val="baseline"/>
        <w:outlineLvl w:val="1"/>
        <w:rPr>
          <w:rFonts w:ascii="宋体" w:hAnsi="宋体" w:eastAsia="宋体"/>
          <w:b/>
          <w:bCs/>
          <w:lang w:eastAsia="zh-CN"/>
        </w:rPr>
      </w:pPr>
      <w:bookmarkStart w:id="41" w:name="_Hlk72258617"/>
      <w:r>
        <w:rPr>
          <w:rFonts w:hint="eastAsia" w:ascii="宋体" w:hAnsi="宋体" w:eastAsia="宋体"/>
          <w:b/>
          <w:bCs/>
          <w:lang w:eastAsia="zh-CN"/>
        </w:rPr>
        <w:t>二、</w:t>
      </w:r>
      <w:bookmarkStart w:id="42" w:name="_Hlk72073432"/>
      <w:r>
        <w:rPr>
          <w:rFonts w:hint="eastAsia" w:ascii="宋体" w:hAnsi="宋体" w:eastAsia="宋体"/>
          <w:b/>
          <w:bCs/>
          <w:lang w:eastAsia="zh-CN"/>
        </w:rPr>
        <w:t>货物需求明细</w:t>
      </w:r>
      <w:bookmarkEnd w:id="42"/>
    </w:p>
    <w:tbl>
      <w:tblPr>
        <w:tblStyle w:val="19"/>
        <w:tblW w:w="8537" w:type="dxa"/>
        <w:tblInd w:w="9" w:type="dxa"/>
        <w:tblLayout w:type="fixed"/>
        <w:tblCellMar>
          <w:top w:w="0" w:type="dxa"/>
          <w:left w:w="108" w:type="dxa"/>
          <w:bottom w:w="0" w:type="dxa"/>
          <w:right w:w="108" w:type="dxa"/>
        </w:tblCellMar>
      </w:tblPr>
      <w:tblGrid>
        <w:gridCol w:w="599"/>
        <w:gridCol w:w="2181"/>
        <w:gridCol w:w="957"/>
        <w:gridCol w:w="854"/>
        <w:gridCol w:w="1142"/>
        <w:gridCol w:w="1350"/>
        <w:gridCol w:w="1454"/>
      </w:tblGrid>
      <w:tr>
        <w:tblPrEx>
          <w:tblCellMar>
            <w:top w:w="0" w:type="dxa"/>
            <w:left w:w="108" w:type="dxa"/>
            <w:bottom w:w="0" w:type="dxa"/>
            <w:right w:w="108" w:type="dxa"/>
          </w:tblCellMar>
        </w:tblPrEx>
        <w:trPr>
          <w:trHeight w:val="609" w:hRule="atLeast"/>
        </w:trPr>
        <w:tc>
          <w:tcPr>
            <w:tcW w:w="599" w:type="dxa"/>
            <w:tcBorders>
              <w:top w:val="single" w:color="000000" w:sz="8" w:space="0"/>
              <w:left w:val="single" w:color="000000" w:sz="8" w:space="0"/>
              <w:bottom w:val="single" w:color="000000" w:sz="8" w:space="0"/>
              <w:right w:val="single" w:color="000000" w:sz="8" w:space="0"/>
            </w:tcBorders>
            <w:shd w:val="clear" w:color="auto" w:fill="C0C0C0"/>
            <w:noWrap/>
            <w:vAlign w:val="center"/>
          </w:tcPr>
          <w:p>
            <w:p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bidi="ar"/>
              </w:rPr>
              <w:t>序号</w:t>
            </w:r>
          </w:p>
        </w:tc>
        <w:tc>
          <w:tcPr>
            <w:tcW w:w="2181" w:type="dxa"/>
            <w:tcBorders>
              <w:top w:val="single" w:color="000000" w:sz="8" w:space="0"/>
              <w:left w:val="nil"/>
              <w:bottom w:val="single" w:color="000000" w:sz="8" w:space="0"/>
              <w:right w:val="single" w:color="000000" w:sz="8" w:space="0"/>
            </w:tcBorders>
            <w:shd w:val="clear" w:color="auto" w:fill="C0C0C0"/>
            <w:vAlign w:val="center"/>
          </w:tcPr>
          <w:p>
            <w:pPr>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bidi="ar"/>
              </w:rPr>
              <w:t>货物名称（标的名称）</w:t>
            </w:r>
          </w:p>
        </w:tc>
        <w:tc>
          <w:tcPr>
            <w:tcW w:w="957" w:type="dxa"/>
            <w:tcBorders>
              <w:top w:val="single" w:color="000000" w:sz="8" w:space="0"/>
              <w:left w:val="nil"/>
              <w:bottom w:val="single" w:color="000000" w:sz="8" w:space="0"/>
              <w:right w:val="single" w:color="000000" w:sz="8" w:space="0"/>
            </w:tcBorders>
            <w:shd w:val="clear" w:color="auto" w:fill="C0C0C0"/>
            <w:noWrap/>
            <w:vAlign w:val="center"/>
          </w:tcPr>
          <w:p>
            <w:p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bidi="ar"/>
              </w:rPr>
              <w:t>数量</w:t>
            </w:r>
          </w:p>
        </w:tc>
        <w:tc>
          <w:tcPr>
            <w:tcW w:w="854" w:type="dxa"/>
            <w:tcBorders>
              <w:top w:val="single" w:color="000000" w:sz="8" w:space="0"/>
              <w:left w:val="nil"/>
              <w:bottom w:val="single" w:color="000000" w:sz="8" w:space="0"/>
              <w:right w:val="single" w:color="000000" w:sz="8" w:space="0"/>
            </w:tcBorders>
            <w:shd w:val="clear" w:color="auto" w:fill="C0C0C0"/>
            <w:noWrap/>
            <w:vAlign w:val="center"/>
          </w:tcPr>
          <w:p>
            <w:p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bidi="ar"/>
              </w:rPr>
              <w:t>单位</w:t>
            </w:r>
          </w:p>
        </w:tc>
        <w:tc>
          <w:tcPr>
            <w:tcW w:w="1142" w:type="dxa"/>
            <w:tcBorders>
              <w:top w:val="single" w:color="000000" w:sz="8" w:space="0"/>
              <w:left w:val="nil"/>
              <w:bottom w:val="single" w:color="000000" w:sz="8" w:space="0"/>
              <w:right w:val="single" w:color="000000" w:sz="8" w:space="0"/>
            </w:tcBorders>
            <w:shd w:val="clear" w:color="auto" w:fill="C0C0C0"/>
            <w:noWrap/>
            <w:vAlign w:val="center"/>
          </w:tcPr>
          <w:p>
            <w:pPr>
              <w:jc w:val="center"/>
              <w:textAlignment w:val="center"/>
              <w:rPr>
                <w:rFonts w:hint="default"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是否进口</w:t>
            </w:r>
          </w:p>
        </w:tc>
        <w:tc>
          <w:tcPr>
            <w:tcW w:w="1350" w:type="dxa"/>
            <w:tcBorders>
              <w:top w:val="single" w:color="000000" w:sz="8" w:space="0"/>
              <w:left w:val="nil"/>
              <w:bottom w:val="single" w:color="000000" w:sz="8" w:space="0"/>
              <w:right w:val="single" w:color="000000" w:sz="8" w:space="0"/>
            </w:tcBorders>
            <w:shd w:val="clear" w:color="auto" w:fill="C0C0C0"/>
            <w:noWrap/>
            <w:vAlign w:val="center"/>
          </w:tcPr>
          <w:p>
            <w:pPr>
              <w:jc w:val="center"/>
              <w:textAlignment w:val="center"/>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是否专门面向中小企业</w:t>
            </w:r>
          </w:p>
        </w:tc>
        <w:tc>
          <w:tcPr>
            <w:tcW w:w="1454" w:type="dxa"/>
            <w:tcBorders>
              <w:top w:val="single" w:color="000000" w:sz="8" w:space="0"/>
              <w:left w:val="nil"/>
              <w:bottom w:val="single" w:color="000000" w:sz="8" w:space="0"/>
              <w:right w:val="single" w:color="000000" w:sz="8" w:space="0"/>
            </w:tcBorders>
            <w:shd w:val="clear" w:color="auto" w:fill="C0C0C0"/>
            <w:noWrap/>
            <w:vAlign w:val="center"/>
          </w:tcPr>
          <w:p>
            <w:pPr>
              <w:jc w:val="center"/>
              <w:textAlignment w:val="center"/>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标的所属行业</w:t>
            </w:r>
          </w:p>
        </w:tc>
      </w:tr>
      <w:tr>
        <w:tblPrEx>
          <w:tblCellMar>
            <w:top w:w="0" w:type="dxa"/>
            <w:left w:w="108" w:type="dxa"/>
            <w:bottom w:w="0" w:type="dxa"/>
            <w:right w:w="108" w:type="dxa"/>
          </w:tblCellMar>
        </w:tblPrEx>
        <w:trPr>
          <w:trHeight w:val="609" w:hRule="atLeast"/>
        </w:trPr>
        <w:tc>
          <w:tcPr>
            <w:tcW w:w="5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1</w:t>
            </w:r>
          </w:p>
        </w:tc>
        <w:tc>
          <w:tcPr>
            <w:tcW w:w="218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智能竞赛车</w:t>
            </w:r>
          </w:p>
        </w:tc>
        <w:tc>
          <w:tcPr>
            <w:tcW w:w="957"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
              </w:rPr>
              <w:t>25</w:t>
            </w:r>
          </w:p>
        </w:tc>
        <w:tc>
          <w:tcPr>
            <w:tcW w:w="85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
              </w:rPr>
              <w:t>台</w:t>
            </w:r>
          </w:p>
        </w:tc>
        <w:tc>
          <w:tcPr>
            <w:tcW w:w="1142"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eastAsia="zh-CN" w:bidi="ar"/>
              </w:rPr>
              <w:t>拒绝进口</w:t>
            </w:r>
          </w:p>
        </w:tc>
        <w:tc>
          <w:tcPr>
            <w:tcW w:w="1350"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否</w:t>
            </w:r>
          </w:p>
        </w:tc>
        <w:tc>
          <w:tcPr>
            <w:tcW w:w="145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工业</w:t>
            </w:r>
          </w:p>
        </w:tc>
      </w:tr>
      <w:tr>
        <w:tblPrEx>
          <w:tblCellMar>
            <w:top w:w="0" w:type="dxa"/>
            <w:left w:w="108" w:type="dxa"/>
            <w:bottom w:w="0" w:type="dxa"/>
            <w:right w:w="108" w:type="dxa"/>
          </w:tblCellMar>
        </w:tblPrEx>
        <w:trPr>
          <w:trHeight w:val="654" w:hRule="atLeast"/>
        </w:trPr>
        <w:tc>
          <w:tcPr>
            <w:tcW w:w="599" w:type="dxa"/>
            <w:tcBorders>
              <w:top w:val="nil"/>
              <w:left w:val="single" w:color="000000" w:sz="8" w:space="0"/>
              <w:bottom w:val="single" w:color="000000" w:sz="8" w:space="0"/>
              <w:right w:val="single" w:color="000000" w:sz="8" w:space="0"/>
            </w:tcBorders>
            <w:noWrap/>
            <w:vAlign w:val="center"/>
          </w:tcPr>
          <w:p>
            <w:pPr>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2181" w:type="dxa"/>
            <w:tcBorders>
              <w:top w:val="nil"/>
              <w:left w:val="nil"/>
              <w:bottom w:val="single" w:color="000000" w:sz="8" w:space="0"/>
              <w:right w:val="single" w:color="000000" w:sz="8" w:space="0"/>
            </w:tcBorders>
            <w:noWrap/>
            <w:vAlign w:val="center"/>
          </w:tcPr>
          <w:p>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智能竞赛车比赛系统软件</w:t>
            </w:r>
          </w:p>
        </w:tc>
        <w:tc>
          <w:tcPr>
            <w:tcW w:w="957" w:type="dxa"/>
            <w:tcBorders>
              <w:top w:val="nil"/>
              <w:left w:val="nil"/>
              <w:bottom w:val="single" w:color="000000" w:sz="8" w:space="0"/>
              <w:right w:val="single" w:color="000000" w:sz="8" w:space="0"/>
            </w:tcBorders>
            <w:noWrap/>
            <w:vAlign w:val="center"/>
          </w:tcPr>
          <w:p>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w:t>
            </w:r>
          </w:p>
        </w:tc>
        <w:tc>
          <w:tcPr>
            <w:tcW w:w="854" w:type="dxa"/>
            <w:tcBorders>
              <w:top w:val="nil"/>
              <w:left w:val="nil"/>
              <w:bottom w:val="single" w:color="000000" w:sz="8" w:space="0"/>
              <w:right w:val="single" w:color="000000" w:sz="8" w:space="0"/>
            </w:tcBorders>
            <w:noWrap/>
            <w:vAlign w:val="center"/>
          </w:tcPr>
          <w:p>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套</w:t>
            </w:r>
          </w:p>
        </w:tc>
        <w:tc>
          <w:tcPr>
            <w:tcW w:w="1142" w:type="dxa"/>
            <w:tcBorders>
              <w:top w:val="nil"/>
              <w:left w:val="nil"/>
              <w:bottom w:val="single" w:color="000000" w:sz="8" w:space="0"/>
              <w:right w:val="single" w:color="000000" w:sz="8" w:space="0"/>
            </w:tcBorders>
            <w:noWrap/>
            <w:vAlign w:val="center"/>
          </w:tcPr>
          <w:p>
            <w:pPr>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eastAsia="zh-CN" w:bidi="ar"/>
              </w:rPr>
              <w:t>拒绝进口</w:t>
            </w:r>
          </w:p>
        </w:tc>
        <w:tc>
          <w:tcPr>
            <w:tcW w:w="1350" w:type="dxa"/>
            <w:tcBorders>
              <w:top w:val="nil"/>
              <w:left w:val="nil"/>
              <w:bottom w:val="single" w:color="000000" w:sz="8" w:space="0"/>
              <w:right w:val="single" w:color="000000" w:sz="8" w:space="0"/>
            </w:tcBorders>
            <w:noWrap/>
            <w:vAlign w:val="center"/>
          </w:tcPr>
          <w:p>
            <w:pPr>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否</w:t>
            </w:r>
          </w:p>
        </w:tc>
        <w:tc>
          <w:tcPr>
            <w:tcW w:w="1454" w:type="dxa"/>
            <w:tcBorders>
              <w:top w:val="nil"/>
              <w:left w:val="nil"/>
              <w:bottom w:val="single" w:color="000000" w:sz="8" w:space="0"/>
              <w:right w:val="single" w:color="000000" w:sz="8" w:space="0"/>
            </w:tcBorders>
            <w:noWrap/>
            <w:vAlign w:val="center"/>
          </w:tcPr>
          <w:p>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软件和信息技术服务业</w:t>
            </w:r>
          </w:p>
        </w:tc>
      </w:tr>
    </w:tbl>
    <w:p>
      <w:pPr>
        <w:widowControl w:val="0"/>
        <w:spacing w:after="160" w:line="278" w:lineRule="auto"/>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pPr>
        <w:widowControl w:val="0"/>
        <w:spacing w:after="160" w:line="278" w:lineRule="auto"/>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spacing w:after="160" w:line="278" w:lineRule="auto"/>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3、本项目核心产品为：</w:t>
      </w:r>
      <w:r>
        <w:rPr>
          <w:rFonts w:hint="eastAsia" w:ascii="宋体" w:hAnsi="宋体" w:eastAsia="宋体"/>
          <w:b/>
          <w:color w:val="FF0000"/>
          <w:kern w:val="2"/>
          <w:sz w:val="21"/>
          <w:szCs w:val="21"/>
          <w:u w:val="single"/>
          <w:lang w:eastAsia="zh-CN"/>
        </w:rPr>
        <w:t xml:space="preserve"> 智能竞赛车 </w:t>
      </w:r>
      <w:r>
        <w:rPr>
          <w:rFonts w:hint="eastAsia" w:ascii="宋体" w:hAnsi="宋体" w:eastAsia="宋体"/>
          <w:b/>
          <w:color w:val="FF0000"/>
          <w:kern w:val="2"/>
          <w:sz w:val="21"/>
          <w:szCs w:val="21"/>
          <w:lang w:eastAsia="zh-CN"/>
        </w:rPr>
        <w:t>。</w:t>
      </w:r>
    </w:p>
    <w:bookmarkEnd w:id="41"/>
    <w:p>
      <w:pPr>
        <w:widowControl w:val="0"/>
        <w:spacing w:after="160" w:line="278" w:lineRule="auto"/>
        <w:jc w:val="both"/>
        <w:rPr>
          <w:rFonts w:ascii="宋体" w:hAnsi="宋体" w:eastAsia="宋体"/>
          <w:b/>
          <w:color w:val="FF0000"/>
          <w:kern w:val="2"/>
          <w:sz w:val="21"/>
          <w:szCs w:val="21"/>
          <w:lang w:eastAsia="zh-CN"/>
        </w:rPr>
      </w:pPr>
    </w:p>
    <w:p>
      <w:pPr>
        <w:widowControl w:val="0"/>
        <w:spacing w:after="160" w:line="360" w:lineRule="auto"/>
        <w:jc w:val="both"/>
        <w:rPr>
          <w:rFonts w:eastAsia="宋体"/>
          <w:b/>
          <w:bCs/>
          <w:kern w:val="2"/>
          <w:lang w:eastAsia="zh-CN"/>
        </w:rPr>
      </w:pPr>
    </w:p>
    <w:p>
      <w:pPr>
        <w:rPr>
          <w:rFonts w:ascii="宋体" w:hAnsi="宋体" w:eastAsia="宋体"/>
          <w:b/>
          <w:bCs/>
          <w:sz w:val="28"/>
          <w:szCs w:val="28"/>
          <w:lang w:eastAsia="zh-CN"/>
        </w:rPr>
      </w:pPr>
      <w:bookmarkStart w:id="43" w:name="_Toc128884461"/>
      <w:r>
        <w:rPr>
          <w:rFonts w:hint="eastAsia" w:eastAsia="宋体"/>
          <w:kern w:val="2"/>
          <w:sz w:val="28"/>
          <w:szCs w:val="28"/>
          <w:lang w:eastAsia="zh-CN"/>
        </w:rPr>
        <w:br w:type="page"/>
      </w:r>
    </w:p>
    <w:p>
      <w:pPr>
        <w:keepNext/>
        <w:keepLines/>
        <w:widowControl w:val="0"/>
        <w:adjustRightInd w:val="0"/>
        <w:spacing w:before="120" w:beforeLines="50" w:after="120" w:afterLines="5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三、实质性条款</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4" w:type="dxa"/>
            <w:vAlign w:val="center"/>
          </w:tcPr>
          <w:p>
            <w:pPr>
              <w:widowControl w:val="0"/>
              <w:adjustRightInd w:val="0"/>
              <w:snapToGrid w:val="0"/>
              <w:spacing w:after="160"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7795" w:type="dxa"/>
            <w:vAlign w:val="center"/>
          </w:tcPr>
          <w:p>
            <w:pPr>
              <w:widowControl w:val="0"/>
              <w:adjustRightInd w:val="0"/>
              <w:snapToGrid w:val="0"/>
              <w:spacing w:after="160"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widowControl w:val="0"/>
              <w:adjustRightInd w:val="0"/>
              <w:snapToGrid w:val="0"/>
              <w:spacing w:after="160" w:line="360" w:lineRule="auto"/>
              <w:jc w:val="center"/>
              <w:rPr>
                <w:rFonts w:ascii="宋体" w:hAnsi="宋体" w:eastAsia="宋体"/>
                <w:sz w:val="21"/>
                <w:szCs w:val="21"/>
                <w:lang w:eastAsia="zh-CN"/>
              </w:rPr>
            </w:pPr>
            <w:r>
              <w:rPr>
                <w:rFonts w:hint="eastAsia" w:ascii="宋体" w:hAnsi="宋体" w:eastAsia="宋体"/>
                <w:sz w:val="21"/>
                <w:szCs w:val="21"/>
                <w:lang w:eastAsia="zh-CN"/>
              </w:rPr>
              <w:t>1</w:t>
            </w:r>
          </w:p>
        </w:tc>
        <w:tc>
          <w:tcPr>
            <w:tcW w:w="7795" w:type="dxa"/>
          </w:tcPr>
          <w:p>
            <w:pPr>
              <w:widowControl w:val="0"/>
              <w:adjustRightInd w:val="0"/>
              <w:snapToGrid w:val="0"/>
              <w:spacing w:after="160" w:line="360" w:lineRule="auto"/>
              <w:jc w:val="both"/>
              <w:rPr>
                <w:rFonts w:hAnsi="宋体" w:eastAsia="宋体"/>
                <w:sz w:val="21"/>
                <w:szCs w:val="21"/>
                <w:lang w:eastAsia="zh-CN"/>
              </w:rPr>
            </w:pPr>
            <w:r>
              <w:rPr>
                <w:rFonts w:hint="eastAsia" w:hAnsi="宋体" w:eastAsia="宋体"/>
                <w:sz w:val="21"/>
                <w:szCs w:val="21"/>
                <w:lang w:eastAsia="zh-CN"/>
              </w:rPr>
              <w:t>满足本项目标★的条款要求</w:t>
            </w:r>
          </w:p>
        </w:tc>
      </w:tr>
    </w:tbl>
    <w:p>
      <w:pPr>
        <w:widowControl w:val="0"/>
        <w:spacing w:after="160" w:line="278" w:lineRule="auto"/>
        <w:jc w:val="both"/>
        <w:rPr>
          <w:rFonts w:eastAsia="宋体"/>
          <w:b/>
          <w:kern w:val="2"/>
          <w:sz w:val="21"/>
          <w:lang w:eastAsia="zh-CN"/>
        </w:rPr>
      </w:pPr>
      <w:r>
        <w:rPr>
          <w:rFonts w:hint="eastAsia" w:eastAsia="宋体"/>
          <w:b/>
          <w:kern w:val="2"/>
          <w:sz w:val="21"/>
          <w:lang w:eastAsia="zh-CN"/>
        </w:rPr>
        <w:t>注：上表所列内容为不可负偏离条款</w:t>
      </w:r>
      <w:bookmarkEnd w:id="43"/>
      <w:r>
        <w:rPr>
          <w:rFonts w:hint="eastAsia" w:eastAsia="宋体"/>
          <w:b/>
          <w:kern w:val="2"/>
          <w:sz w:val="21"/>
          <w:lang w:eastAsia="zh-CN"/>
        </w:rPr>
        <w:t>，负偏离将视为未实质性满足招标文件要求作投标无效处理。</w:t>
      </w:r>
    </w:p>
    <w:p>
      <w:pPr>
        <w:widowControl w:val="0"/>
        <w:spacing w:after="160" w:line="278" w:lineRule="auto"/>
        <w:jc w:val="both"/>
        <w:rPr>
          <w:rFonts w:eastAsia="宋体"/>
          <w:b/>
          <w:kern w:val="2"/>
          <w:sz w:val="21"/>
          <w:szCs w:val="21"/>
          <w:lang w:eastAsia="zh-CN"/>
        </w:rPr>
      </w:pPr>
    </w:p>
    <w:p>
      <w:pPr>
        <w:widowControl w:val="0"/>
        <w:spacing w:after="160" w:line="360" w:lineRule="auto"/>
        <w:jc w:val="both"/>
        <w:rPr>
          <w:rFonts w:eastAsia="宋体"/>
          <w:b/>
          <w:bCs/>
          <w:kern w:val="2"/>
          <w:lang w:eastAsia="zh-CN"/>
        </w:rPr>
      </w:pPr>
    </w:p>
    <w:p>
      <w:pPr>
        <w:keepNext/>
        <w:keepLines/>
        <w:widowControl w:val="0"/>
        <w:adjustRightInd w:val="0"/>
        <w:spacing w:before="120" w:beforeLines="50" w:after="120" w:afterLines="5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四、技术要求</w:t>
      </w:r>
    </w:p>
    <w:p>
      <w:pPr>
        <w:widowControl w:val="0"/>
        <w:spacing w:after="160" w:line="278" w:lineRule="auto"/>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hint="eastAsia" w:eastAsia="宋体"/>
          <w:b/>
          <w:kern w:val="2"/>
          <w:sz w:val="21"/>
          <w:lang w:eastAsia="zh-CN"/>
        </w:rPr>
        <w:t>、评分时，如对一项招标技术要求（以划分框为准）中的内容存在两处（或以上）负偏离的，在评分时只作一项负偏离扣分。</w:t>
      </w:r>
    </w:p>
    <w:p>
      <w:pPr>
        <w:widowControl w:val="0"/>
        <w:spacing w:after="160" w:line="278" w:lineRule="auto"/>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”指标项为重要参数条款，负偏离时依相关评分准则内容作重点扣分处理。</w:t>
      </w:r>
    </w:p>
    <w:p>
      <w:pPr>
        <w:widowControl w:val="0"/>
        <w:spacing w:after="160" w:line="278" w:lineRule="auto"/>
        <w:ind w:firstLine="422" w:firstLineChars="200"/>
        <w:jc w:val="both"/>
        <w:rPr>
          <w:rFonts w:eastAsia="宋体"/>
          <w:b/>
          <w:kern w:val="2"/>
          <w:sz w:val="21"/>
          <w:szCs w:val="21"/>
          <w:lang w:eastAsia="zh-CN"/>
        </w:rPr>
      </w:pPr>
      <w:r>
        <w:rPr>
          <w:rFonts w:eastAsia="宋体"/>
          <w:b/>
          <w:kern w:val="2"/>
          <w:sz w:val="21"/>
          <w:szCs w:val="21"/>
          <w:lang w:eastAsia="zh-CN"/>
        </w:rPr>
        <w:t>3</w:t>
      </w:r>
      <w:r>
        <w:rPr>
          <w:rFonts w:hint="eastAsia" w:eastAsia="宋体"/>
          <w:b/>
          <w:kern w:val="2"/>
          <w:sz w:val="21"/>
          <w:szCs w:val="21"/>
          <w:lang w:eastAsia="zh-CN"/>
        </w:rPr>
        <w:t>、</w:t>
      </w:r>
      <w:bookmarkStart w:id="44" w:name="_Hlk72585069"/>
      <w:r>
        <w:rPr>
          <w:rFonts w:hint="eastAsia" w:eastAsia="宋体"/>
          <w:b/>
          <w:kern w:val="2"/>
          <w:sz w:val="21"/>
          <w:szCs w:val="21"/>
          <w:lang w:eastAsia="zh-CN"/>
        </w:rPr>
        <w:t>招标技术要求中，用红色加粗字体标注的指标项均要求提供证明资料；其余指标项未要求提供证明资料，无需提供相关证明资料。</w:t>
      </w:r>
    </w:p>
    <w:p>
      <w:pPr>
        <w:widowControl w:val="0"/>
        <w:spacing w:after="160" w:line="278" w:lineRule="auto"/>
        <w:ind w:firstLine="422" w:firstLineChars="200"/>
        <w:jc w:val="both"/>
        <w:rPr>
          <w:rFonts w:eastAsia="宋体"/>
          <w:b/>
          <w:kern w:val="2"/>
          <w:sz w:val="21"/>
          <w:szCs w:val="21"/>
          <w:lang w:eastAsia="zh-CN"/>
        </w:rPr>
      </w:pPr>
      <w:r>
        <w:rPr>
          <w:rFonts w:hint="eastAsia" w:eastAsia="宋体"/>
          <w:b/>
          <w:kern w:val="2"/>
          <w:sz w:val="21"/>
          <w:szCs w:val="21"/>
          <w:lang w:eastAsia="zh-CN"/>
        </w:rPr>
        <w:t>4.涉及区间的参数，除特别注明以外，产品参数区间与招标要求不一致的均视为负偏离。例：区间要求为0-20ML,只要响应的不是“0-20ML”，如投标文件响应为 0-15ML 、0-21ML 、1-12ML 、 9-20ML 、6-21ML 、9ML等情形均视为负偏离。</w:t>
      </w:r>
    </w:p>
    <w:tbl>
      <w:tblPr>
        <w:tblStyle w:val="19"/>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415"/>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shd w:val="clear" w:color="auto" w:fill="C0C0C0"/>
            <w:noWrap/>
            <w:vAlign w:val="center"/>
          </w:tcPr>
          <w:p>
            <w:p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bidi="ar"/>
              </w:rPr>
              <w:t>序号</w:t>
            </w:r>
          </w:p>
        </w:tc>
        <w:tc>
          <w:tcPr>
            <w:tcW w:w="835" w:type="pct"/>
            <w:shd w:val="clear" w:color="auto" w:fill="C0C0C0"/>
            <w:vAlign w:val="center"/>
          </w:tcPr>
          <w:p>
            <w:p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bidi="ar"/>
              </w:rPr>
              <w:t>货物名称</w:t>
            </w:r>
          </w:p>
        </w:tc>
        <w:tc>
          <w:tcPr>
            <w:tcW w:w="3787" w:type="pct"/>
            <w:shd w:val="clear" w:color="auto" w:fill="C0C0C0"/>
            <w:vAlign w:val="center"/>
          </w:tcPr>
          <w:p>
            <w:p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vMerge w:val="restart"/>
            <w:shd w:val="clear" w:color="auto" w:fill="auto"/>
            <w:noWrap/>
            <w:vAlign w:val="center"/>
          </w:tcPr>
          <w:p>
            <w:p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bidi="ar"/>
              </w:rPr>
              <w:t>1</w:t>
            </w:r>
          </w:p>
        </w:tc>
        <w:tc>
          <w:tcPr>
            <w:tcW w:w="835" w:type="pct"/>
            <w:vMerge w:val="restart"/>
            <w:shd w:val="clear" w:color="auto" w:fill="auto"/>
            <w:noWrap/>
            <w:vAlign w:val="center"/>
          </w:tcPr>
          <w:p>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智能竞赛车</w:t>
            </w:r>
          </w:p>
        </w:tc>
        <w:tc>
          <w:tcPr>
            <w:tcW w:w="3787" w:type="pct"/>
            <w:shd w:val="clear" w:color="auto" w:fill="auto"/>
            <w:vAlign w:val="center"/>
          </w:tcPr>
          <w:p>
            <w:pPr>
              <w:textAlignment w:val="center"/>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竞赛车</w:t>
            </w:r>
            <w:r>
              <w:rPr>
                <w:rFonts w:hint="eastAsia" w:ascii="宋体" w:hAnsi="宋体" w:eastAsia="宋体" w:cs="宋体"/>
                <w:sz w:val="21"/>
                <w:szCs w:val="21"/>
                <w:lang w:eastAsia="zh-CN"/>
              </w:rPr>
              <w:t>产品规格：不小于900×500×1400mm；</w:t>
            </w:r>
            <w:r>
              <w:rPr>
                <w:rFonts w:hint="eastAsia" w:ascii="宋体" w:hAnsi="宋体" w:eastAsia="宋体" w:cs="宋体"/>
                <w:sz w:val="21"/>
                <w:szCs w:val="21"/>
              </w:rPr>
              <w:t>主要承载立柱尺寸：不小于PT50×100×t3.0mm</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vMerge w:val="continue"/>
            <w:shd w:val="clear" w:color="auto" w:fill="auto"/>
            <w:noWrap/>
            <w:vAlign w:val="center"/>
          </w:tcPr>
          <w:p>
            <w:pPr>
              <w:textAlignment w:val="center"/>
              <w:rPr>
                <w:rFonts w:hint="eastAsia" w:ascii="宋体" w:hAnsi="宋体" w:eastAsia="宋体" w:cs="宋体"/>
                <w:sz w:val="21"/>
                <w:szCs w:val="21"/>
                <w:lang w:eastAsia="zh-CN"/>
              </w:rPr>
            </w:pPr>
          </w:p>
        </w:tc>
        <w:tc>
          <w:tcPr>
            <w:tcW w:w="835" w:type="pct"/>
            <w:vMerge w:val="continue"/>
            <w:shd w:val="clear" w:color="auto" w:fill="auto"/>
            <w:noWrap/>
            <w:vAlign w:val="center"/>
          </w:tcPr>
          <w:p>
            <w:pPr>
              <w:textAlignment w:val="center"/>
              <w:rPr>
                <w:rFonts w:hint="eastAsia" w:ascii="宋体" w:hAnsi="宋体" w:eastAsia="宋体" w:cs="宋体"/>
                <w:sz w:val="21"/>
                <w:szCs w:val="21"/>
                <w:lang w:eastAsia="zh-CN"/>
              </w:rPr>
            </w:pPr>
          </w:p>
        </w:tc>
        <w:tc>
          <w:tcPr>
            <w:tcW w:w="3787" w:type="pct"/>
            <w:shd w:val="clear" w:color="auto" w:fill="auto"/>
            <w:vAlign w:val="center"/>
          </w:tcPr>
          <w:p>
            <w:pP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阻力方式：自发电电磁阻力；阻力等级：45级以上。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vMerge w:val="continue"/>
            <w:shd w:val="clear" w:color="auto" w:fill="auto"/>
            <w:noWrap/>
            <w:vAlign w:val="center"/>
          </w:tcPr>
          <w:p>
            <w:pPr>
              <w:jc w:val="center"/>
              <w:rPr>
                <w:rFonts w:hint="eastAsia" w:ascii="宋体" w:hAnsi="宋体" w:eastAsia="宋体" w:cs="宋体"/>
                <w:b/>
                <w:bCs/>
                <w:color w:val="000000"/>
                <w:sz w:val="21"/>
                <w:szCs w:val="21"/>
                <w:lang w:eastAsia="zh-CN"/>
              </w:rPr>
            </w:pPr>
          </w:p>
        </w:tc>
        <w:tc>
          <w:tcPr>
            <w:tcW w:w="835" w:type="pct"/>
            <w:vMerge w:val="continue"/>
            <w:shd w:val="clear" w:color="auto" w:fill="auto"/>
            <w:noWrap/>
            <w:vAlign w:val="center"/>
          </w:tcPr>
          <w:p>
            <w:pPr>
              <w:jc w:val="center"/>
              <w:rPr>
                <w:rFonts w:hint="eastAsia" w:ascii="宋体" w:hAnsi="宋体" w:eastAsia="宋体" w:cs="宋体"/>
                <w:color w:val="000000"/>
                <w:sz w:val="21"/>
                <w:szCs w:val="21"/>
                <w:lang w:eastAsia="zh-CN"/>
              </w:rPr>
            </w:pPr>
          </w:p>
        </w:tc>
        <w:tc>
          <w:tcPr>
            <w:tcW w:w="3787" w:type="pct"/>
            <w:shd w:val="clear" w:color="auto" w:fill="auto"/>
            <w:vAlign w:val="center"/>
          </w:tcPr>
          <w:p>
            <w:pPr>
              <w:textAlignment w:val="center"/>
              <w:rPr>
                <w:rFonts w:hint="eastAsia" w:ascii="宋体" w:hAnsi="宋体" w:eastAsia="宋体" w:cs="宋体"/>
                <w:color w:val="000000"/>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eastAsia="zh-CN"/>
              </w:rPr>
              <w:t>需具有人脸识别功能，自动识别用户后，为已建档用户自动保存运动数据。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vMerge w:val="continue"/>
            <w:shd w:val="clear" w:color="auto" w:fill="auto"/>
            <w:noWrap/>
            <w:vAlign w:val="center"/>
          </w:tcPr>
          <w:p>
            <w:pPr>
              <w:jc w:val="center"/>
              <w:rPr>
                <w:rFonts w:hint="eastAsia" w:ascii="宋体" w:hAnsi="宋体" w:eastAsia="宋体" w:cs="宋体"/>
                <w:b/>
                <w:bCs/>
                <w:color w:val="000000"/>
                <w:sz w:val="21"/>
                <w:szCs w:val="21"/>
                <w:lang w:eastAsia="zh-CN"/>
              </w:rPr>
            </w:pPr>
          </w:p>
        </w:tc>
        <w:tc>
          <w:tcPr>
            <w:tcW w:w="835" w:type="pct"/>
            <w:vMerge w:val="continue"/>
            <w:shd w:val="clear" w:color="auto" w:fill="auto"/>
            <w:noWrap/>
            <w:vAlign w:val="center"/>
          </w:tcPr>
          <w:p>
            <w:pPr>
              <w:jc w:val="center"/>
              <w:rPr>
                <w:rFonts w:hint="eastAsia" w:ascii="宋体" w:hAnsi="宋体" w:eastAsia="宋体" w:cs="宋体"/>
                <w:color w:val="000000"/>
                <w:sz w:val="21"/>
                <w:szCs w:val="21"/>
                <w:lang w:eastAsia="zh-CN"/>
              </w:rPr>
            </w:pPr>
          </w:p>
        </w:tc>
        <w:tc>
          <w:tcPr>
            <w:tcW w:w="3787" w:type="pct"/>
            <w:shd w:val="clear" w:color="auto" w:fill="auto"/>
            <w:vAlign w:val="center"/>
          </w:tcPr>
          <w:p>
            <w:pPr>
              <w:rPr>
                <w:rFonts w:hint="eastAsia" w:ascii="宋体" w:hAnsi="宋体" w:eastAsia="宋体" w:cs="宋体"/>
                <w:color w:val="000000"/>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电子表：TFT触摸彩屏，人脸识别。显示阻力、功率、心率、速度、里程、运动时间和能量消耗。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vMerge w:val="continue"/>
            <w:shd w:val="clear" w:color="auto" w:fill="auto"/>
            <w:noWrap/>
            <w:vAlign w:val="center"/>
          </w:tcPr>
          <w:p>
            <w:pPr>
              <w:jc w:val="center"/>
              <w:rPr>
                <w:rFonts w:hint="eastAsia" w:ascii="宋体" w:hAnsi="宋体" w:eastAsia="宋体" w:cs="宋体"/>
                <w:b/>
                <w:bCs/>
                <w:color w:val="000000"/>
                <w:sz w:val="21"/>
                <w:szCs w:val="21"/>
                <w:lang w:eastAsia="zh-CN"/>
              </w:rPr>
            </w:pPr>
          </w:p>
        </w:tc>
        <w:tc>
          <w:tcPr>
            <w:tcW w:w="835" w:type="pct"/>
            <w:vMerge w:val="continue"/>
            <w:shd w:val="clear" w:color="auto" w:fill="auto"/>
            <w:noWrap/>
            <w:vAlign w:val="center"/>
          </w:tcPr>
          <w:p>
            <w:pPr>
              <w:jc w:val="center"/>
              <w:rPr>
                <w:rFonts w:hint="eastAsia" w:ascii="宋体" w:hAnsi="宋体" w:eastAsia="宋体" w:cs="宋体"/>
                <w:color w:val="000000"/>
                <w:sz w:val="21"/>
                <w:szCs w:val="21"/>
                <w:lang w:eastAsia="zh-CN"/>
              </w:rPr>
            </w:pPr>
          </w:p>
        </w:tc>
        <w:tc>
          <w:tcPr>
            <w:tcW w:w="3787" w:type="pct"/>
            <w:shd w:val="clear" w:color="auto" w:fill="auto"/>
            <w:vAlign w:val="center"/>
          </w:tcPr>
          <w:p>
            <w:pPr>
              <w:rPr>
                <w:rFonts w:hint="eastAsia" w:ascii="宋体" w:hAnsi="宋体" w:eastAsia="宋体" w:cs="宋体"/>
                <w:color w:val="000000"/>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主要锻炼部位：心肺功能，比目鱼肌、腓肠肌、胫骨前肌、股外肌、股内肌、股直肌、臀肌、腘绳肌。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vMerge w:val="continue"/>
            <w:shd w:val="clear" w:color="auto" w:fill="auto"/>
            <w:noWrap/>
            <w:vAlign w:val="center"/>
          </w:tcPr>
          <w:p>
            <w:pPr>
              <w:jc w:val="center"/>
              <w:rPr>
                <w:rFonts w:hint="eastAsia" w:ascii="宋体" w:hAnsi="宋体" w:eastAsia="宋体" w:cs="宋体"/>
                <w:b/>
                <w:bCs/>
                <w:color w:val="000000"/>
                <w:sz w:val="21"/>
                <w:szCs w:val="21"/>
                <w:lang w:eastAsia="zh-CN"/>
              </w:rPr>
            </w:pPr>
          </w:p>
        </w:tc>
        <w:tc>
          <w:tcPr>
            <w:tcW w:w="835" w:type="pct"/>
            <w:vMerge w:val="continue"/>
            <w:shd w:val="clear" w:color="auto" w:fill="auto"/>
            <w:noWrap/>
            <w:vAlign w:val="center"/>
          </w:tcPr>
          <w:p>
            <w:pPr>
              <w:jc w:val="center"/>
              <w:rPr>
                <w:rFonts w:hint="eastAsia" w:ascii="宋体" w:hAnsi="宋体" w:eastAsia="宋体" w:cs="宋体"/>
                <w:color w:val="000000"/>
                <w:sz w:val="21"/>
                <w:szCs w:val="21"/>
                <w:lang w:eastAsia="zh-CN"/>
              </w:rPr>
            </w:pPr>
          </w:p>
        </w:tc>
        <w:tc>
          <w:tcPr>
            <w:tcW w:w="3787" w:type="pct"/>
            <w:shd w:val="clear" w:color="auto" w:fill="auto"/>
            <w:vAlign w:val="center"/>
          </w:tcPr>
          <w:p>
            <w:pPr>
              <w:rPr>
                <w:rFonts w:hint="eastAsia" w:ascii="宋体" w:hAnsi="宋体" w:eastAsia="宋体" w:cs="宋体"/>
                <w:color w:val="000000"/>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b/>
                <w:bCs/>
                <w:sz w:val="21"/>
                <w:szCs w:val="21"/>
                <w:lang w:eastAsia="zh-CN"/>
              </w:rPr>
              <w:t>支持多种使用模式，</w:t>
            </w:r>
            <w:r>
              <w:rPr>
                <w:rFonts w:hint="eastAsia" w:ascii="宋体" w:hAnsi="宋体" w:eastAsia="宋体" w:cs="宋体"/>
                <w:b/>
                <w:bCs/>
                <w:sz w:val="21"/>
                <w:szCs w:val="21"/>
                <w:lang w:val="en-US" w:eastAsia="zh-CN"/>
              </w:rPr>
              <w:t>包含但不限于</w:t>
            </w:r>
            <w:r>
              <w:rPr>
                <w:rFonts w:hint="eastAsia" w:ascii="宋体" w:hAnsi="宋体" w:eastAsia="宋体" w:cs="宋体"/>
                <w:b/>
                <w:bCs/>
                <w:sz w:val="21"/>
                <w:szCs w:val="21"/>
                <w:lang w:eastAsia="zh-CN"/>
              </w:rPr>
              <w:t>多人竞赛模式、按里程训模式、按时长训练模式等。骑行过程中</w:t>
            </w:r>
            <w:r>
              <w:rPr>
                <w:rFonts w:hint="eastAsia" w:ascii="宋体" w:hAnsi="宋体" w:eastAsia="宋体" w:cs="宋体"/>
                <w:b/>
                <w:bCs/>
                <w:sz w:val="21"/>
                <w:szCs w:val="21"/>
                <w:lang w:val="en-US" w:eastAsia="zh-CN"/>
              </w:rPr>
              <w:t>需</w:t>
            </w:r>
            <w:r>
              <w:rPr>
                <w:rFonts w:hint="eastAsia" w:ascii="宋体" w:hAnsi="宋体" w:eastAsia="宋体" w:cs="宋体"/>
                <w:b/>
                <w:bCs/>
                <w:sz w:val="21"/>
                <w:szCs w:val="21"/>
                <w:lang w:eastAsia="zh-CN"/>
              </w:rPr>
              <w:t>支持按里程点亮灯带，灯带长度不低于15米。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vMerge w:val="continue"/>
            <w:shd w:val="clear" w:color="auto" w:fill="auto"/>
            <w:noWrap/>
            <w:vAlign w:val="center"/>
          </w:tcPr>
          <w:p>
            <w:pPr>
              <w:jc w:val="center"/>
              <w:rPr>
                <w:rFonts w:hint="eastAsia" w:ascii="宋体" w:hAnsi="宋体" w:eastAsia="宋体" w:cs="宋体"/>
                <w:b/>
                <w:bCs/>
                <w:color w:val="000000"/>
                <w:sz w:val="21"/>
                <w:szCs w:val="21"/>
                <w:lang w:eastAsia="zh-CN"/>
              </w:rPr>
            </w:pPr>
          </w:p>
        </w:tc>
        <w:tc>
          <w:tcPr>
            <w:tcW w:w="835" w:type="pct"/>
            <w:vMerge w:val="continue"/>
            <w:shd w:val="clear" w:color="auto" w:fill="auto"/>
            <w:noWrap/>
            <w:vAlign w:val="center"/>
          </w:tcPr>
          <w:p>
            <w:pPr>
              <w:jc w:val="center"/>
              <w:rPr>
                <w:rFonts w:hint="eastAsia" w:ascii="宋体" w:hAnsi="宋体" w:eastAsia="宋体" w:cs="宋体"/>
                <w:color w:val="000000"/>
                <w:sz w:val="21"/>
                <w:szCs w:val="21"/>
                <w:lang w:eastAsia="zh-CN"/>
              </w:rPr>
            </w:pPr>
          </w:p>
        </w:tc>
        <w:tc>
          <w:tcPr>
            <w:tcW w:w="3787" w:type="pct"/>
            <w:shd w:val="clear" w:color="auto" w:fill="auto"/>
            <w:vAlign w:val="center"/>
          </w:tcPr>
          <w:p>
            <w:pPr>
              <w:rPr>
                <w:rFonts w:hint="eastAsia" w:ascii="宋体" w:hAnsi="宋体" w:eastAsia="宋体" w:cs="宋体"/>
                <w:color w:val="000000"/>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、多人竞赛时可以自由分组，满足现场25人可以同时竞赛。按照分组数，骑行完成后，可以</w:t>
            </w:r>
            <w:r>
              <w:rPr>
                <w:rFonts w:hint="eastAsia" w:ascii="宋体" w:hAnsi="宋体" w:eastAsia="宋体" w:cs="宋体"/>
                <w:sz w:val="21"/>
                <w:szCs w:val="21"/>
                <w:lang w:val="en-US" w:eastAsia="zh-CN"/>
              </w:rPr>
              <w:t>按成绩</w:t>
            </w:r>
            <w:r>
              <w:rPr>
                <w:rFonts w:hint="eastAsia" w:ascii="宋体" w:hAnsi="宋体" w:eastAsia="宋体" w:cs="宋体"/>
                <w:sz w:val="21"/>
                <w:szCs w:val="21"/>
                <w:lang w:eastAsia="zh-CN"/>
              </w:rPr>
              <w:t>分别点亮屋顶射</w:t>
            </w:r>
            <w:r>
              <w:rPr>
                <w:rFonts w:hint="eastAsia" w:ascii="宋体" w:hAnsi="宋体" w:eastAsia="宋体" w:cs="宋体"/>
                <w:color w:val="auto"/>
                <w:sz w:val="21"/>
                <w:szCs w:val="21"/>
                <w:lang w:eastAsia="zh-CN"/>
              </w:rPr>
              <w:t>灯</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vMerge w:val="continue"/>
            <w:shd w:val="clear" w:color="auto" w:fill="auto"/>
            <w:noWrap/>
            <w:vAlign w:val="center"/>
          </w:tcPr>
          <w:p>
            <w:pPr>
              <w:jc w:val="center"/>
              <w:rPr>
                <w:rFonts w:hint="eastAsia" w:ascii="宋体" w:hAnsi="宋体" w:eastAsia="宋体" w:cs="宋体"/>
                <w:b/>
                <w:bCs/>
                <w:color w:val="000000"/>
                <w:sz w:val="21"/>
                <w:szCs w:val="21"/>
                <w:lang w:eastAsia="zh-CN"/>
              </w:rPr>
            </w:pPr>
          </w:p>
        </w:tc>
        <w:tc>
          <w:tcPr>
            <w:tcW w:w="835" w:type="pct"/>
            <w:vMerge w:val="continue"/>
            <w:shd w:val="clear" w:color="auto" w:fill="auto"/>
            <w:noWrap/>
            <w:vAlign w:val="center"/>
          </w:tcPr>
          <w:p>
            <w:pPr>
              <w:jc w:val="center"/>
              <w:rPr>
                <w:rFonts w:hint="eastAsia" w:ascii="宋体" w:hAnsi="宋体" w:eastAsia="宋体" w:cs="宋体"/>
                <w:color w:val="000000"/>
                <w:sz w:val="21"/>
                <w:szCs w:val="21"/>
                <w:lang w:eastAsia="zh-CN"/>
              </w:rPr>
            </w:pPr>
          </w:p>
        </w:tc>
        <w:tc>
          <w:tcPr>
            <w:tcW w:w="3787" w:type="pct"/>
            <w:shd w:val="clear" w:color="auto" w:fill="auto"/>
            <w:vAlign w:val="center"/>
          </w:tcPr>
          <w:p>
            <w:pPr>
              <w:textAlignment w:val="center"/>
              <w:rPr>
                <w:rFonts w:hint="eastAsia" w:ascii="宋体" w:hAnsi="宋体" w:eastAsia="宋体" w:cs="宋体"/>
                <w:color w:val="000000"/>
                <w:sz w:val="21"/>
                <w:szCs w:val="21"/>
                <w:lang w:eastAsia="zh-CN"/>
              </w:rPr>
            </w:pPr>
            <w:r>
              <w:rPr>
                <w:rFonts w:hint="eastAsia" w:eastAsia="宋体"/>
                <w:b/>
                <w:kern w:val="2"/>
                <w:sz w:val="21"/>
                <w:szCs w:val="21"/>
                <w:lang w:eastAsia="zh-CN"/>
              </w:rPr>
              <w:t>★</w:t>
            </w:r>
            <w:r>
              <w:rPr>
                <w:rFonts w:hint="eastAsia" w:ascii="宋体" w:hAnsi="宋体" w:eastAsia="宋体" w:cs="宋体"/>
                <w:b/>
                <w:bCs/>
                <w:sz w:val="21"/>
                <w:szCs w:val="21"/>
                <w:lang w:val="en-US" w:eastAsia="zh-CN"/>
              </w:rPr>
              <w:t>8、</w:t>
            </w:r>
            <w:r>
              <w:rPr>
                <w:rFonts w:hint="eastAsia" w:ascii="宋体" w:hAnsi="宋体" w:eastAsia="宋体" w:cs="宋体"/>
                <w:b/>
                <w:bCs/>
                <w:sz w:val="21"/>
                <w:szCs w:val="21"/>
                <w:lang w:eastAsia="zh-CN"/>
              </w:rPr>
              <w:t>器材符合GB 19272-2011《室外健身器材的安全</w:t>
            </w:r>
            <w:r>
              <w:rPr>
                <w:rFonts w:hint="eastAsia" w:ascii="宋体" w:hAnsi="宋体" w:eastAsia="宋体" w:cs="宋体"/>
                <w:b/>
                <w:bCs/>
                <w:sz w:val="21"/>
                <w:szCs w:val="21"/>
                <w:lang w:val="en-US" w:eastAsia="zh-CN"/>
              </w:rPr>
              <w:t>通</w:t>
            </w:r>
            <w:r>
              <w:rPr>
                <w:rFonts w:hint="eastAsia" w:ascii="宋体" w:hAnsi="宋体" w:eastAsia="宋体" w:cs="宋体"/>
                <w:b/>
                <w:bCs/>
                <w:sz w:val="21"/>
                <w:szCs w:val="21"/>
                <w:lang w:eastAsia="zh-CN"/>
              </w:rPr>
              <w:t>用要求》，提供具有CMA或CNAS标识的检验合格的报告，原件备查。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vMerge w:val="restart"/>
            <w:shd w:val="clear" w:color="auto" w:fill="auto"/>
            <w:noWrap/>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w:t>
            </w:r>
          </w:p>
        </w:tc>
        <w:tc>
          <w:tcPr>
            <w:tcW w:w="835" w:type="pct"/>
            <w:vMerge w:val="restart"/>
            <w:shd w:val="clear" w:color="auto" w:fill="auto"/>
            <w:noWrap/>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智能竞赛车比赛系统软件</w:t>
            </w:r>
          </w:p>
        </w:tc>
        <w:tc>
          <w:tcPr>
            <w:tcW w:w="3787" w:type="pct"/>
            <w:shd w:val="clear" w:color="auto" w:fill="auto"/>
            <w:vAlign w:val="center"/>
          </w:tcPr>
          <w:p>
            <w:pPr>
              <w:numPr>
                <w:ilvl w:val="0"/>
                <w:numId w:val="0"/>
              </w:numP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1、支持线上骑行主题赛事活动的后台系统代码编辑与发布，支持线上主题赛事活动期间的后台系统运营与维护。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377" w:type="pct"/>
            <w:vMerge w:val="continue"/>
            <w:shd w:val="clear" w:color="auto" w:fill="auto"/>
            <w:noWrap/>
            <w:vAlign w:val="center"/>
          </w:tcPr>
          <w:p>
            <w:pPr>
              <w:jc w:val="center"/>
              <w:rPr>
                <w:rFonts w:hint="eastAsia" w:ascii="宋体" w:hAnsi="宋体" w:eastAsia="宋体" w:cs="宋体"/>
                <w:b/>
                <w:bCs/>
                <w:color w:val="000000"/>
                <w:sz w:val="21"/>
                <w:szCs w:val="21"/>
                <w:lang w:val="en-US" w:eastAsia="zh-CN"/>
              </w:rPr>
            </w:pPr>
          </w:p>
        </w:tc>
        <w:tc>
          <w:tcPr>
            <w:tcW w:w="835" w:type="pct"/>
            <w:vMerge w:val="continue"/>
            <w:shd w:val="clear" w:color="auto" w:fill="auto"/>
            <w:noWrap/>
            <w:vAlign w:val="center"/>
          </w:tcPr>
          <w:p>
            <w:pPr>
              <w:jc w:val="center"/>
              <w:rPr>
                <w:rFonts w:hint="eastAsia" w:ascii="宋体" w:hAnsi="宋体" w:eastAsia="宋体" w:cs="宋体"/>
                <w:color w:val="000000"/>
                <w:sz w:val="21"/>
                <w:szCs w:val="21"/>
                <w:lang w:val="en-US" w:eastAsia="zh-CN"/>
              </w:rPr>
            </w:pPr>
          </w:p>
        </w:tc>
        <w:tc>
          <w:tcPr>
            <w:tcW w:w="3787" w:type="pct"/>
            <w:shd w:val="clear" w:color="auto" w:fill="auto"/>
            <w:vAlign w:val="center"/>
          </w:tcPr>
          <w:p>
            <w:pP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2、人脸识别算法服务。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vMerge w:val="continue"/>
            <w:shd w:val="clear" w:color="auto" w:fill="auto"/>
            <w:noWrap/>
            <w:vAlign w:val="center"/>
          </w:tcPr>
          <w:p>
            <w:pPr>
              <w:jc w:val="center"/>
              <w:rPr>
                <w:rFonts w:hint="eastAsia" w:ascii="宋体" w:hAnsi="宋体" w:eastAsia="宋体" w:cs="宋体"/>
                <w:b/>
                <w:bCs/>
                <w:color w:val="000000"/>
                <w:sz w:val="21"/>
                <w:szCs w:val="21"/>
                <w:lang w:val="en-US" w:eastAsia="zh-CN"/>
              </w:rPr>
            </w:pPr>
          </w:p>
        </w:tc>
        <w:tc>
          <w:tcPr>
            <w:tcW w:w="835" w:type="pct"/>
            <w:vMerge w:val="continue"/>
            <w:shd w:val="clear" w:color="auto" w:fill="auto"/>
            <w:noWrap/>
            <w:vAlign w:val="center"/>
          </w:tcPr>
          <w:p>
            <w:pPr>
              <w:jc w:val="center"/>
              <w:rPr>
                <w:rFonts w:hint="eastAsia" w:ascii="宋体" w:hAnsi="宋体" w:eastAsia="宋体" w:cs="宋体"/>
                <w:color w:val="000000"/>
                <w:sz w:val="21"/>
                <w:szCs w:val="21"/>
                <w:lang w:val="en-US" w:eastAsia="zh-CN"/>
              </w:rPr>
            </w:pPr>
          </w:p>
        </w:tc>
        <w:tc>
          <w:tcPr>
            <w:tcW w:w="3787" w:type="pct"/>
            <w:shd w:val="clear" w:color="auto" w:fill="auto"/>
            <w:vAlign w:val="center"/>
          </w:tcPr>
          <w:p>
            <w:pPr>
              <w:textAlignment w:val="center"/>
              <w:rPr>
                <w:rFonts w:hint="default" w:ascii="宋体" w:hAnsi="宋体" w:eastAsia="宋体" w:cs="宋体"/>
                <w:b w:val="0"/>
                <w:bCs w:val="0"/>
                <w:sz w:val="21"/>
                <w:szCs w:val="21"/>
                <w:lang w:val="en-US" w:eastAsia="zh-CN"/>
              </w:rPr>
            </w:pPr>
            <w:r>
              <w:rPr>
                <w:rFonts w:hint="eastAsia" w:eastAsia="宋体"/>
                <w:b/>
                <w:kern w:val="2"/>
                <w:sz w:val="21"/>
                <w:szCs w:val="21"/>
                <w:lang w:eastAsia="zh-CN"/>
              </w:rPr>
              <w:t>★</w:t>
            </w:r>
            <w:r>
              <w:rPr>
                <w:rFonts w:hint="eastAsia" w:ascii="宋体" w:hAnsi="宋体" w:eastAsia="宋体" w:cs="宋体"/>
                <w:b w:val="0"/>
                <w:bCs w:val="0"/>
                <w:sz w:val="21"/>
                <w:szCs w:val="21"/>
                <w:lang w:val="en-US" w:eastAsia="zh-CN"/>
              </w:rPr>
              <w:t>3、本项目投标报价中已包含竞赛车比赛系统软件的买断费用，在软件使用期间，不再另行收费。</w:t>
            </w:r>
          </w:p>
        </w:tc>
      </w:tr>
    </w:tbl>
    <w:p>
      <w:pPr>
        <w:pStyle w:val="9"/>
        <w:rPr>
          <w:color w:val="FF0000"/>
          <w:sz w:val="21"/>
        </w:rPr>
      </w:pPr>
    </w:p>
    <w:bookmarkEnd w:id="44"/>
    <w:p>
      <w:pPr>
        <w:widowControl w:val="0"/>
        <w:spacing w:after="160" w:line="278" w:lineRule="auto"/>
        <w:jc w:val="both"/>
        <w:rPr>
          <w:rFonts w:eastAsia="宋体"/>
          <w:b/>
          <w:kern w:val="2"/>
          <w:sz w:val="21"/>
          <w:szCs w:val="21"/>
          <w:lang w:eastAsia="zh-CN"/>
        </w:rPr>
      </w:pPr>
    </w:p>
    <w:p>
      <w:pPr>
        <w:spacing w:after="160" w:line="278" w:lineRule="auto"/>
        <w:rPr>
          <w:rFonts w:ascii="宋体" w:hAnsi="宋体" w:eastAsia="宋体"/>
          <w:b/>
          <w:bCs/>
          <w:sz w:val="28"/>
          <w:szCs w:val="28"/>
          <w:lang w:eastAsia="zh-CN"/>
        </w:rPr>
      </w:pPr>
      <w:r>
        <w:rPr>
          <w:rFonts w:hint="eastAsia" w:eastAsia="宋体"/>
          <w:kern w:val="2"/>
          <w:sz w:val="28"/>
          <w:szCs w:val="28"/>
          <w:lang w:eastAsia="zh-CN"/>
        </w:rPr>
        <w:br w:type="page"/>
      </w:r>
    </w:p>
    <w:p>
      <w:pPr>
        <w:keepNext/>
        <w:keepLines/>
        <w:widowControl w:val="0"/>
        <w:adjustRightInd w:val="0"/>
        <w:spacing w:before="120" w:beforeLines="50" w:after="120" w:afterLines="5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五、商务要求</w:t>
      </w:r>
    </w:p>
    <w:p>
      <w:pPr>
        <w:widowControl w:val="0"/>
        <w:spacing w:after="160" w:line="278" w:lineRule="auto"/>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、评分时，如对一项招标商务要求（以划分框为准）中的内容存在两处（或以上）负偏离的，在评分时只作一项负偏离扣分。</w:t>
      </w:r>
    </w:p>
    <w:p>
      <w:pPr>
        <w:widowControl w:val="0"/>
        <w:spacing w:after="160" w:line="278" w:lineRule="auto"/>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”指标项为重要参数，负偏离时依相关评分准则内容作重点扣分处理。</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574"/>
        <w:gridCol w:w="6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35" w:type="pct"/>
            <w:shd w:val="clear" w:color="auto" w:fill="BEBEBE"/>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4564" w:type="pct"/>
            <w:gridSpan w:val="2"/>
            <w:shd w:val="clear" w:color="auto" w:fill="BEBEBE"/>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pPr>
              <w:spacing w:line="360" w:lineRule="auto"/>
              <w:rPr>
                <w:rFonts w:hint="eastAsia" w:ascii="宋体" w:hAnsi="宋体" w:eastAsia="宋体" w:cs="宋体"/>
                <w:b/>
                <w:sz w:val="21"/>
                <w:szCs w:val="21"/>
                <w:lang w:eastAsia="zh-CN"/>
              </w:rPr>
            </w:pPr>
            <w:r>
              <w:rPr>
                <w:rFonts w:hint="eastAsia" w:ascii="宋体" w:hAnsi="宋体" w:eastAsia="宋体" w:cs="宋体"/>
                <w:b/>
                <w:sz w:val="21"/>
                <w:szCs w:val="21"/>
                <w:lang w:eastAsia="zh-CN"/>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923" w:type="pct"/>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维修响应及故障解决时间</w:t>
            </w: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在保修期内，一旦发生质量问题，中标人保证在接到通知24小时内赶到现场进行修理或更换。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923" w:type="pct"/>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免费保修期</w:t>
            </w: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b/>
                <w:sz w:val="21"/>
                <w:szCs w:val="21"/>
                <w:lang w:eastAsia="zh-CN"/>
              </w:rPr>
              <w:t>★货物免费保修期</w:t>
            </w:r>
            <w:r>
              <w:rPr>
                <w:rFonts w:hint="eastAsia" w:ascii="宋体" w:hAnsi="宋体" w:eastAsia="宋体" w:cs="宋体"/>
                <w:b/>
                <w:sz w:val="21"/>
                <w:szCs w:val="21"/>
                <w:lang w:val="en-US" w:eastAsia="zh-CN"/>
              </w:rPr>
              <w:t>5</w:t>
            </w:r>
            <w:r>
              <w:rPr>
                <w:rFonts w:hint="eastAsia" w:ascii="宋体" w:hAnsi="宋体" w:eastAsia="宋体" w:cs="宋体"/>
                <w:b/>
                <w:sz w:val="21"/>
                <w:szCs w:val="21"/>
                <w:lang w:eastAsia="zh-CN"/>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restart"/>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3" w:type="pct"/>
            <w:vMerge w:val="restart"/>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其他</w:t>
            </w: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3.1免费保修期内中标人需负责免费维修、更换配件，如有软件则免费提供软件升级。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lang w:eastAsia="zh-CN"/>
              </w:rPr>
            </w:pPr>
          </w:p>
        </w:tc>
        <w:tc>
          <w:tcPr>
            <w:tcW w:w="923" w:type="pct"/>
            <w:vMerge w:val="continue"/>
            <w:vAlign w:val="center"/>
          </w:tcPr>
          <w:p>
            <w:pPr>
              <w:spacing w:line="360" w:lineRule="auto"/>
              <w:rPr>
                <w:rFonts w:hint="eastAsia" w:ascii="宋体" w:hAnsi="宋体" w:eastAsia="宋体" w:cs="宋体"/>
                <w:sz w:val="21"/>
                <w:szCs w:val="21"/>
                <w:lang w:eastAsia="zh-CN"/>
              </w:rPr>
            </w:pP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3.2所有货物质保服务方式均为中标人上门服务，即由中标人派人员到货物使用现场维修，由此产生的一切费用均由中标人承担。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lang w:eastAsia="zh-CN"/>
              </w:rPr>
            </w:pPr>
          </w:p>
        </w:tc>
        <w:tc>
          <w:tcPr>
            <w:tcW w:w="923" w:type="pct"/>
            <w:vMerge w:val="continue"/>
            <w:vAlign w:val="center"/>
          </w:tcPr>
          <w:p>
            <w:pPr>
              <w:spacing w:line="360" w:lineRule="auto"/>
              <w:rPr>
                <w:rFonts w:hint="eastAsia" w:ascii="宋体" w:hAnsi="宋体" w:eastAsia="宋体" w:cs="宋体"/>
                <w:sz w:val="21"/>
                <w:szCs w:val="21"/>
                <w:lang w:eastAsia="zh-CN"/>
              </w:rPr>
            </w:pP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3.3技术培训方案：对于售后产品，中标人应该对采购方的人员进行培训，定期检查。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lang w:eastAsia="zh-CN"/>
              </w:rPr>
            </w:pPr>
          </w:p>
        </w:tc>
        <w:tc>
          <w:tcPr>
            <w:tcW w:w="923" w:type="pct"/>
            <w:vMerge w:val="continue"/>
            <w:vAlign w:val="center"/>
          </w:tcPr>
          <w:p>
            <w:pPr>
              <w:spacing w:line="360" w:lineRule="auto"/>
              <w:rPr>
                <w:rFonts w:hint="eastAsia" w:ascii="宋体" w:hAnsi="宋体" w:eastAsia="宋体" w:cs="宋体"/>
                <w:sz w:val="21"/>
                <w:szCs w:val="21"/>
                <w:lang w:eastAsia="zh-CN"/>
              </w:rPr>
            </w:pP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3.4售后服务机构：投标人需在投标文件中提供售后服务机构名称、人员情况、办公地址、联系电话。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pPr>
              <w:spacing w:line="360" w:lineRule="auto"/>
              <w:rPr>
                <w:rFonts w:hint="eastAsia" w:ascii="宋体" w:hAnsi="宋体" w:eastAsia="宋体" w:cs="宋体"/>
                <w:b/>
                <w:sz w:val="21"/>
                <w:szCs w:val="21"/>
                <w:lang w:eastAsia="zh-CN"/>
              </w:rPr>
            </w:pPr>
            <w:r>
              <w:rPr>
                <w:rFonts w:hint="eastAsia" w:ascii="宋体" w:hAnsi="宋体" w:eastAsia="宋体" w:cs="宋体"/>
                <w:b/>
                <w:sz w:val="21"/>
                <w:szCs w:val="21"/>
                <w:lang w:eastAsia="zh-CN"/>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restart"/>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923" w:type="pct"/>
            <w:vMerge w:val="restart"/>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维修服务和优惠价格</w:t>
            </w: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1.1由投标人或生产厂家提供售后服务，2小时内响应，24小时内维修到位。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lang w:eastAsia="zh-CN"/>
              </w:rPr>
            </w:pPr>
          </w:p>
        </w:tc>
        <w:tc>
          <w:tcPr>
            <w:tcW w:w="923" w:type="pct"/>
            <w:vMerge w:val="continue"/>
            <w:vAlign w:val="center"/>
          </w:tcPr>
          <w:p>
            <w:pPr>
              <w:spacing w:line="360" w:lineRule="auto"/>
              <w:rPr>
                <w:rFonts w:hint="eastAsia" w:ascii="宋体" w:hAnsi="宋体" w:eastAsia="宋体" w:cs="宋体"/>
                <w:sz w:val="21"/>
                <w:szCs w:val="21"/>
                <w:lang w:eastAsia="zh-CN"/>
              </w:rPr>
            </w:pP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1.2终身维修，保修期满后，投标人或生产厂家对用户进行的售后服务只收更换配件的成本费，提供维修零配件、消耗品优惠价格。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lang w:eastAsia="zh-CN"/>
              </w:rPr>
            </w:pPr>
          </w:p>
        </w:tc>
        <w:tc>
          <w:tcPr>
            <w:tcW w:w="923" w:type="pct"/>
            <w:vMerge w:val="continue"/>
            <w:vAlign w:val="center"/>
          </w:tcPr>
          <w:p>
            <w:pPr>
              <w:spacing w:line="360" w:lineRule="auto"/>
              <w:rPr>
                <w:rFonts w:hint="eastAsia" w:ascii="宋体" w:hAnsi="宋体" w:eastAsia="宋体" w:cs="宋体"/>
                <w:sz w:val="21"/>
                <w:szCs w:val="21"/>
                <w:lang w:eastAsia="zh-CN"/>
              </w:rPr>
            </w:pP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1.3采购人可与投标人就优惠价进行谈判，但优惠价不得高于投标人在投标文件中承诺的消耗品、零配件报价。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lang w:eastAsia="zh-CN"/>
              </w:rPr>
            </w:pPr>
          </w:p>
        </w:tc>
        <w:tc>
          <w:tcPr>
            <w:tcW w:w="923" w:type="pct"/>
            <w:vMerge w:val="continue"/>
            <w:vAlign w:val="center"/>
          </w:tcPr>
          <w:p>
            <w:pPr>
              <w:spacing w:line="360" w:lineRule="auto"/>
              <w:rPr>
                <w:rFonts w:hint="eastAsia" w:ascii="宋体" w:hAnsi="宋体" w:eastAsia="宋体" w:cs="宋体"/>
                <w:sz w:val="21"/>
                <w:szCs w:val="21"/>
                <w:lang w:eastAsia="zh-CN"/>
              </w:rPr>
            </w:pP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1.4投标人及生产厂家不得以任何理由不按时进行维修，不得要求采购人购买所谓“保修服务”（即：不论设备有无故障，先买保修服务），不得在设备中嵌设任何不利于采购人使用与维修设备的障碍。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pPr>
              <w:spacing w:line="360" w:lineRule="auto"/>
              <w:rPr>
                <w:rFonts w:hint="eastAsia" w:ascii="宋体" w:hAnsi="宋体" w:eastAsia="宋体" w:cs="宋体"/>
                <w:b/>
                <w:sz w:val="21"/>
                <w:szCs w:val="21"/>
              </w:rPr>
            </w:pPr>
            <w:r>
              <w:rPr>
                <w:rFonts w:hint="eastAsia" w:ascii="宋体" w:hAnsi="宋体" w:eastAsia="宋体" w:cs="宋体"/>
                <w:b/>
                <w:sz w:val="21"/>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restart"/>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923" w:type="pct"/>
            <w:vMerge w:val="restart"/>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关于交货</w:t>
            </w: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1.1交货地点：采购人指定地点。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lang w:eastAsia="zh-CN"/>
              </w:rPr>
            </w:pPr>
          </w:p>
        </w:tc>
        <w:tc>
          <w:tcPr>
            <w:tcW w:w="923" w:type="pct"/>
            <w:vMerge w:val="continue"/>
            <w:vAlign w:val="center"/>
          </w:tcPr>
          <w:p>
            <w:pPr>
              <w:spacing w:line="360" w:lineRule="auto"/>
              <w:jc w:val="center"/>
              <w:rPr>
                <w:rFonts w:hint="eastAsia" w:ascii="宋体" w:hAnsi="宋体" w:eastAsia="宋体" w:cs="宋体"/>
                <w:sz w:val="21"/>
                <w:szCs w:val="21"/>
                <w:lang w:eastAsia="zh-CN"/>
              </w:rPr>
            </w:pPr>
          </w:p>
        </w:tc>
        <w:tc>
          <w:tcPr>
            <w:tcW w:w="3640"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1.2 投标人须承担的设备运输、安装调试、验收检测，提供货物的技术文件，包括但不限于设备配置清单、产品说明书、图纸、操作手册、维护手册、质量证明文件（含厂家出具的出厂合格证）、服务指南等，所有外文资料须提供中文译本。</w:t>
            </w:r>
            <w:r>
              <w:rPr>
                <w:rFonts w:hint="eastAsia" w:ascii="宋体" w:hAnsi="宋体" w:eastAsia="宋体" w:cs="宋体"/>
                <w:sz w:val="21"/>
                <w:szCs w:val="21"/>
              </w:rPr>
              <w:t>文件应随货物一并交付至采购人指定地点。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rPr>
            </w:pPr>
          </w:p>
        </w:tc>
        <w:tc>
          <w:tcPr>
            <w:tcW w:w="923" w:type="pct"/>
            <w:vMerge w:val="continue"/>
            <w:vAlign w:val="center"/>
          </w:tcPr>
          <w:p>
            <w:pPr>
              <w:spacing w:line="360" w:lineRule="auto"/>
              <w:jc w:val="center"/>
              <w:rPr>
                <w:rFonts w:hint="eastAsia" w:ascii="宋体" w:hAnsi="宋体" w:eastAsia="宋体" w:cs="宋体"/>
                <w:sz w:val="21"/>
                <w:szCs w:val="21"/>
              </w:rPr>
            </w:pP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1.3交货期：自合同签订之日起</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restart"/>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923" w:type="pct"/>
            <w:vMerge w:val="restart"/>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关于验收</w:t>
            </w: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2.1中标人提供的货物经过双方检验认可后，签署验收报告，产品保修期自验收合格之日起算，由中标人提供产品保修文件。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lang w:eastAsia="zh-CN"/>
              </w:rPr>
            </w:pPr>
          </w:p>
        </w:tc>
        <w:tc>
          <w:tcPr>
            <w:tcW w:w="923" w:type="pct"/>
            <w:vMerge w:val="continue"/>
            <w:vAlign w:val="center"/>
          </w:tcPr>
          <w:p>
            <w:pPr>
              <w:spacing w:line="360" w:lineRule="auto"/>
              <w:rPr>
                <w:rFonts w:hint="eastAsia" w:ascii="宋体" w:hAnsi="宋体" w:eastAsia="宋体" w:cs="宋体"/>
                <w:sz w:val="21"/>
                <w:szCs w:val="21"/>
                <w:lang w:eastAsia="zh-CN"/>
              </w:rPr>
            </w:pP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2.2当满足以下条件时，采购人才向中标人签发货物验收报告：</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a、中标人已按照合同规定提供了全部产品及完整的技术资料。</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b、货物符合招标文件技术规格书的要求，性能满足要求。</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lang w:eastAsia="zh-CN"/>
              </w:rPr>
            </w:pPr>
          </w:p>
        </w:tc>
        <w:tc>
          <w:tcPr>
            <w:tcW w:w="923" w:type="pct"/>
            <w:vMerge w:val="continue"/>
            <w:vAlign w:val="center"/>
          </w:tcPr>
          <w:p>
            <w:pPr>
              <w:spacing w:line="360" w:lineRule="auto"/>
              <w:rPr>
                <w:rFonts w:hint="eastAsia" w:ascii="宋体" w:hAnsi="宋体" w:eastAsia="宋体" w:cs="宋体"/>
                <w:sz w:val="21"/>
                <w:szCs w:val="21"/>
                <w:lang w:eastAsia="zh-CN"/>
              </w:rPr>
            </w:pP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2.3采购人有权检验或测试货物，以确认货物是否符合合同规格的要求，并且不承担额外的费用。如果发现所交货物与投标文件中所承诺的不符或存在质量、技术缺陷等，采购人可以拒绝接收该货物，中标人应在3天（日历日）内采取补足、更换或退货等措施，以满足规格的要求，由此发生的一切损失和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lang w:eastAsia="zh-CN"/>
              </w:rPr>
            </w:pPr>
          </w:p>
        </w:tc>
        <w:tc>
          <w:tcPr>
            <w:tcW w:w="923" w:type="pct"/>
            <w:vMerge w:val="continue"/>
            <w:vAlign w:val="center"/>
          </w:tcPr>
          <w:p>
            <w:pPr>
              <w:spacing w:line="360" w:lineRule="auto"/>
              <w:rPr>
                <w:rFonts w:hint="eastAsia" w:ascii="宋体" w:hAnsi="宋体" w:eastAsia="宋体" w:cs="宋体"/>
                <w:sz w:val="21"/>
                <w:szCs w:val="21"/>
                <w:lang w:eastAsia="zh-CN"/>
              </w:rPr>
            </w:pP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2.4供货时须确保产品外观清洁，标记编号以及盘面显示等字体清晰、明确，能够准确无误地表示产品的型号、规格、制造商等，并保证所提供的产品的可追溯性。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lang w:eastAsia="zh-CN"/>
              </w:rPr>
            </w:pPr>
          </w:p>
        </w:tc>
        <w:tc>
          <w:tcPr>
            <w:tcW w:w="923" w:type="pct"/>
            <w:vMerge w:val="continue"/>
            <w:vAlign w:val="center"/>
          </w:tcPr>
          <w:p>
            <w:pPr>
              <w:spacing w:line="360" w:lineRule="auto"/>
              <w:rPr>
                <w:rFonts w:hint="eastAsia" w:ascii="宋体" w:hAnsi="宋体" w:eastAsia="宋体" w:cs="宋体"/>
                <w:sz w:val="21"/>
                <w:szCs w:val="21"/>
                <w:lang w:eastAsia="zh-CN"/>
              </w:rPr>
            </w:pP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2.5中标人负责货物的现场安装和调试，提供货物安装、调试和维修所需的专用工具和辅助材料。中标人应在货物运至指定地点后一周内开始安装调试，并在7天（日历日）内完成安装调试工作。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vAlign w:val="center"/>
          </w:tcPr>
          <w:p>
            <w:pPr>
              <w:spacing w:line="360" w:lineRule="auto"/>
              <w:jc w:val="center"/>
              <w:rPr>
                <w:rFonts w:hint="eastAsia" w:ascii="宋体" w:hAnsi="宋体" w:eastAsia="宋体" w:cs="宋体"/>
                <w:sz w:val="21"/>
                <w:szCs w:val="21"/>
                <w:lang w:eastAsia="zh-CN"/>
              </w:rPr>
            </w:pPr>
          </w:p>
        </w:tc>
        <w:tc>
          <w:tcPr>
            <w:tcW w:w="923" w:type="pct"/>
            <w:vMerge w:val="continue"/>
            <w:vAlign w:val="center"/>
          </w:tcPr>
          <w:p>
            <w:pPr>
              <w:spacing w:line="360" w:lineRule="auto"/>
              <w:rPr>
                <w:rFonts w:hint="eastAsia" w:ascii="宋体" w:hAnsi="宋体" w:eastAsia="宋体" w:cs="宋体"/>
                <w:sz w:val="21"/>
                <w:szCs w:val="21"/>
                <w:lang w:eastAsia="zh-CN"/>
              </w:rPr>
            </w:pPr>
          </w:p>
        </w:tc>
        <w:tc>
          <w:tcPr>
            <w:tcW w:w="3640"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2.6由中标人代表和采购人组成验收小组对产品进行验收。验收标准按照产品技术参数要求和合同约定执行。经检验设备设施正常运作后签署验收报告，产品保修期自验收合格之日起算。</w:t>
            </w:r>
          </w:p>
        </w:tc>
      </w:tr>
    </w:tbl>
    <w:p>
      <w:pPr>
        <w:widowControl w:val="0"/>
        <w:spacing w:after="160" w:line="278" w:lineRule="auto"/>
        <w:jc w:val="both"/>
        <w:rPr>
          <w:rFonts w:eastAsia="宋体"/>
          <w:b/>
          <w:kern w:val="2"/>
          <w:sz w:val="21"/>
          <w:lang w:eastAsia="zh-CN"/>
        </w:rPr>
      </w:pPr>
    </w:p>
    <w:p>
      <w:pPr>
        <w:spacing w:after="160" w:line="278" w:lineRule="auto"/>
        <w:rPr>
          <w:rFonts w:ascii="宋体" w:hAnsi="宋体" w:eastAsia="宋体"/>
          <w:b/>
          <w:bCs/>
          <w:sz w:val="28"/>
          <w:szCs w:val="28"/>
          <w:lang w:eastAsia="zh-CN"/>
        </w:rPr>
      </w:pPr>
      <w:r>
        <w:rPr>
          <w:rFonts w:eastAsia="宋体"/>
          <w:kern w:val="2"/>
          <w:sz w:val="28"/>
          <w:szCs w:val="28"/>
          <w:lang w:eastAsia="zh-CN"/>
        </w:rPr>
        <w:br w:type="page"/>
      </w:r>
    </w:p>
    <w:p>
      <w:pPr>
        <w:keepNext/>
        <w:keepLines/>
        <w:widowControl w:val="0"/>
        <w:adjustRightInd w:val="0"/>
        <w:spacing w:before="120" w:beforeLines="50" w:after="120" w:afterLines="5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六、其他重要条款</w:t>
      </w:r>
    </w:p>
    <w:p>
      <w:pPr>
        <w:widowControl w:val="0"/>
        <w:spacing w:after="160" w:line="278"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line="278" w:lineRule="auto"/>
        <w:ind w:firstLine="392" w:firstLineChars="187"/>
        <w:jc w:val="both"/>
        <w:rPr>
          <w:rFonts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spacing w:after="160" w:line="278" w:lineRule="auto"/>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spacing w:after="160" w:line="278"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4、除政府采购合同继续履行将损害国家利益和社会公共利益外，双方当事人不得擅自变更、中止或者终止合同。</w:t>
      </w:r>
    </w:p>
    <w:p>
      <w:pPr>
        <w:widowControl w:val="0"/>
        <w:spacing w:after="160" w:line="278"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spacing w:after="160" w:line="278" w:lineRule="auto"/>
        <w:jc w:val="both"/>
        <w:rPr>
          <w:rFonts w:ascii="宋体" w:hAnsi="宋体" w:eastAsia="宋体"/>
          <w:kern w:val="2"/>
          <w:sz w:val="21"/>
          <w:lang w:eastAsia="zh-CN"/>
        </w:rPr>
      </w:pPr>
    </w:p>
    <w:p>
      <w:pPr>
        <w:widowControl w:val="0"/>
        <w:spacing w:after="160" w:line="360" w:lineRule="auto"/>
        <w:jc w:val="both"/>
        <w:rPr>
          <w:rFonts w:ascii="宋体" w:hAnsi="宋体" w:eastAsia="宋体"/>
          <w:b/>
          <w:bCs/>
          <w:kern w:val="2"/>
          <w:lang w:eastAsia="zh-CN"/>
        </w:rPr>
      </w:pPr>
    </w:p>
    <w:p>
      <w:pPr>
        <w:widowControl w:val="0"/>
        <w:spacing w:after="160" w:line="360" w:lineRule="auto"/>
        <w:jc w:val="both"/>
        <w:rPr>
          <w:rFonts w:eastAsia="宋体"/>
          <w:kern w:val="2"/>
          <w:lang w:eastAsia="zh-CN"/>
        </w:rPr>
      </w:pPr>
    </w:p>
    <w:p>
      <w:pPr>
        <w:widowControl w:val="0"/>
        <w:spacing w:after="160" w:line="360" w:lineRule="auto"/>
        <w:jc w:val="both"/>
        <w:rPr>
          <w:rFonts w:ascii="宋体" w:hAnsi="宋体" w:eastAsia="宋体"/>
          <w:b/>
          <w:bCs/>
          <w:kern w:val="2"/>
          <w:lang w:eastAsia="zh-CN"/>
        </w:rPr>
        <w:sectPr>
          <w:pgSz w:w="11907" w:h="16840"/>
          <w:pgMar w:top="1440" w:right="1797" w:bottom="1440" w:left="1797" w:header="851" w:footer="992" w:gutter="0"/>
          <w:cols w:space="425" w:num="1"/>
          <w:titlePg/>
          <w:docGrid w:linePitch="462" w:charSpace="0"/>
        </w:sectPr>
      </w:pPr>
    </w:p>
    <w:p>
      <w:pPr>
        <w:keepNext/>
        <w:keepLines/>
        <w:widowControl w:val="0"/>
        <w:adjustRightInd w:val="0"/>
        <w:spacing w:before="260" w:after="260"/>
        <w:jc w:val="center"/>
        <w:textAlignment w:val="baseline"/>
        <w:outlineLvl w:val="1"/>
        <w:rPr>
          <w:rFonts w:ascii="宋体" w:hAnsi="宋体" w:eastAsia="宋体"/>
          <w:b/>
          <w:bCs/>
          <w:kern w:val="2"/>
          <w:szCs w:val="20"/>
          <w:lang w:eastAsia="zh-CN"/>
        </w:rPr>
      </w:pPr>
      <w:r>
        <w:rPr>
          <w:rFonts w:hint="eastAsia" w:ascii="宋体" w:hAnsi="宋体" w:eastAsia="宋体"/>
          <w:b/>
          <w:bCs/>
          <w:kern w:val="2"/>
          <w:szCs w:val="20"/>
          <w:lang w:eastAsia="zh-CN"/>
        </w:rPr>
        <w:t>第四章</w:t>
      </w:r>
      <w:r>
        <w:rPr>
          <w:rFonts w:ascii="宋体" w:hAnsi="宋体" w:eastAsia="宋体"/>
          <w:b/>
          <w:bCs/>
          <w:kern w:val="2"/>
          <w:szCs w:val="20"/>
          <w:lang w:eastAsia="zh-CN"/>
        </w:rPr>
        <w:t xml:space="preserve"> </w:t>
      </w:r>
      <w:r>
        <w:rPr>
          <w:rFonts w:hint="eastAsia" w:ascii="宋体" w:hAnsi="宋体" w:eastAsia="宋体"/>
          <w:b/>
          <w:bCs/>
          <w:kern w:val="2"/>
          <w:szCs w:val="20"/>
          <w:lang w:eastAsia="zh-CN"/>
        </w:rPr>
        <w:t xml:space="preserve"> 投标文件组成要求及格式</w:t>
      </w:r>
    </w:p>
    <w:p>
      <w:pPr>
        <w:widowControl w:val="0"/>
        <w:spacing w:after="160" w:line="278" w:lineRule="auto"/>
        <w:jc w:val="both"/>
        <w:outlineLvl w:val="0"/>
        <w:rPr>
          <w:rFonts w:ascii="黑体" w:eastAsia="黑体"/>
          <w:bCs/>
          <w:kern w:val="2"/>
          <w:sz w:val="28"/>
          <w:szCs w:val="28"/>
          <w:lang w:eastAsia="zh-CN"/>
        </w:rPr>
      </w:pPr>
      <w:r>
        <w:rPr>
          <w:rFonts w:hint="eastAsia" w:ascii="黑体" w:eastAsia="黑体"/>
          <w:bCs/>
          <w:kern w:val="2"/>
          <w:sz w:val="28"/>
          <w:szCs w:val="28"/>
          <w:lang w:eastAsia="zh-CN"/>
        </w:rPr>
        <w:t>投标文件组成：</w:t>
      </w:r>
    </w:p>
    <w:p>
      <w:pPr>
        <w:widowControl w:val="0"/>
        <w:spacing w:after="160" w:line="278" w:lineRule="auto"/>
        <w:ind w:firstLine="1200" w:firstLineChars="500"/>
        <w:jc w:val="both"/>
        <w:outlineLvl w:val="0"/>
        <w:rPr>
          <w:rFonts w:ascii="宋体" w:hAnsi="宋体" w:eastAsia="宋体"/>
          <w:kern w:val="2"/>
          <w:lang w:eastAsia="zh-CN"/>
        </w:rPr>
      </w:pPr>
      <w:bookmarkStart w:id="45" w:name="_Hlk72257253"/>
      <w:bookmarkStart w:id="46" w:name="_Hlk170241633"/>
      <w:r>
        <w:rPr>
          <w:rFonts w:hint="eastAsia" w:ascii="宋体" w:hAnsi="宋体" w:eastAsia="宋体"/>
          <w:kern w:val="2"/>
          <w:lang w:eastAsia="zh-CN"/>
        </w:rPr>
        <w:t>1.投标文件正文，主要包括以下内容：</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bookmarkStart w:id="47" w:name="_Hlk72070784"/>
      <w:r>
        <w:rPr>
          <w:rFonts w:hint="eastAsia" w:ascii="宋体" w:hAnsi="宋体" w:eastAsia="宋体" w:cs="宋体"/>
          <w:kern w:val="2"/>
          <w:sz w:val="21"/>
          <w:szCs w:val="21"/>
          <w:lang w:eastAsia="zh-CN"/>
        </w:rPr>
        <w:t>投标函</w:t>
      </w:r>
      <w:bookmarkEnd w:id="47"/>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bookmarkStart w:id="48" w:name="_Hlk72062521"/>
      <w:r>
        <w:rPr>
          <w:rFonts w:hint="eastAsia" w:ascii="宋体" w:hAnsi="宋体" w:eastAsia="宋体" w:cs="宋体"/>
          <w:kern w:val="2"/>
          <w:sz w:val="21"/>
          <w:szCs w:val="21"/>
          <w:lang w:eastAsia="zh-CN"/>
        </w:rPr>
        <w:t>政府采购投标及履约承诺函</w:t>
      </w:r>
      <w:bookmarkEnd w:id="48"/>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（3）投标人情况及资格证明文件</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bookmarkStart w:id="49" w:name="_Hlk72257201"/>
      <w:r>
        <w:rPr>
          <w:rFonts w:hint="eastAsia" w:ascii="宋体" w:hAnsi="宋体" w:eastAsia="宋体" w:cs="宋体"/>
          <w:kern w:val="2"/>
          <w:sz w:val="21"/>
          <w:szCs w:val="21"/>
          <w:lang w:eastAsia="zh-CN"/>
        </w:rPr>
        <w:t>（4）项目详细报价</w:t>
      </w:r>
    </w:p>
    <w:bookmarkEnd w:id="49"/>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（5）认证情况</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r>
        <w:rPr>
          <w:rFonts w:hint="eastAsia" w:ascii="宋体" w:hAnsi="宋体" w:eastAsia="宋体" w:cs="宋体"/>
          <w:kern w:val="2"/>
          <w:sz w:val="21"/>
          <w:lang w:eastAsia="zh-CN"/>
        </w:rPr>
        <w:t>同类项目业绩情况</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（7）投标人认为需要加以说明的其他内容（正文部分）</w:t>
      </w:r>
    </w:p>
    <w:p>
      <w:pPr>
        <w:widowControl w:val="0"/>
        <w:spacing w:after="160" w:line="278" w:lineRule="auto"/>
        <w:ind w:firstLine="1200" w:firstLineChars="500"/>
        <w:jc w:val="both"/>
        <w:outlineLvl w:val="0"/>
        <w:rPr>
          <w:rFonts w:ascii="宋体" w:hAnsi="宋体" w:eastAsia="宋体"/>
          <w:kern w:val="2"/>
          <w:lang w:eastAsia="zh-CN"/>
        </w:rPr>
      </w:pPr>
      <w:r>
        <w:rPr>
          <w:rFonts w:hint="eastAsia" w:ascii="宋体" w:hAnsi="宋体" w:eastAsia="宋体"/>
          <w:kern w:val="2"/>
          <w:lang w:eastAsia="zh-CN"/>
        </w:rPr>
        <w:t>2.投标文件附件：主要包括以下内容：</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（1）供应商基本情况表</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（2）法定代表人（负责人）证明书</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（3）投标文件签署授权委托书</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（4）实质性条款响应情况表</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lang w:eastAsia="zh-CN"/>
        </w:rPr>
        <w:t>）技术要求偏离表</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lang w:eastAsia="zh-CN"/>
        </w:rPr>
        <w:t>）</w:t>
      </w:r>
      <w:r>
        <w:rPr>
          <w:rFonts w:hint="eastAsia" w:ascii="宋体" w:hAnsi="宋体" w:eastAsia="宋体" w:cs="宋体"/>
          <w:sz w:val="21"/>
          <w:szCs w:val="21"/>
          <w:lang w:eastAsia="zh-CN"/>
        </w:rPr>
        <w:t>技术保障措施</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lang w:eastAsia="zh-CN"/>
        </w:rPr>
        <w:t>）售后服务方案</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8</w:t>
      </w:r>
      <w:r>
        <w:rPr>
          <w:rFonts w:hint="eastAsia" w:ascii="宋体" w:hAnsi="宋体" w:eastAsia="宋体" w:cs="宋体"/>
          <w:kern w:val="2"/>
          <w:sz w:val="21"/>
          <w:szCs w:val="21"/>
          <w:lang w:eastAsia="zh-CN"/>
        </w:rPr>
        <w:t>）商务要求偏离表</w:t>
      </w:r>
    </w:p>
    <w:p>
      <w:pPr>
        <w:widowControl w:val="0"/>
        <w:spacing w:after="160" w:line="278" w:lineRule="auto"/>
        <w:ind w:left="821" w:leftChars="342" w:firstLine="1417" w:firstLineChars="67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9</w:t>
      </w:r>
      <w:r>
        <w:rPr>
          <w:rFonts w:hint="eastAsia" w:ascii="宋体" w:hAnsi="宋体" w:eastAsia="宋体" w:cs="宋体"/>
          <w:kern w:val="2"/>
          <w:sz w:val="21"/>
          <w:szCs w:val="21"/>
          <w:lang w:eastAsia="zh-CN"/>
        </w:rPr>
        <w:t>）</w:t>
      </w:r>
      <w:bookmarkStart w:id="147" w:name="_GoBack"/>
      <w:r>
        <w:rPr>
          <w:rFonts w:hint="eastAsia" w:ascii="宋体" w:hAnsi="宋体" w:eastAsia="宋体" w:cs="宋体"/>
          <w:kern w:val="2"/>
          <w:sz w:val="21"/>
          <w:szCs w:val="21"/>
          <w:lang w:eastAsia="zh-CN"/>
        </w:rPr>
        <w:t>投标人认为需要加以说明的其他内容(附件部分）</w:t>
      </w:r>
      <w:bookmarkEnd w:id="147"/>
    </w:p>
    <w:bookmarkEnd w:id="45"/>
    <w:bookmarkEnd w:id="46"/>
    <w:p>
      <w:pPr>
        <w:widowControl w:val="0"/>
        <w:spacing w:after="160" w:line="278" w:lineRule="auto"/>
        <w:ind w:firstLine="422" w:firstLineChars="200"/>
        <w:jc w:val="both"/>
        <w:rPr>
          <w:rFonts w:ascii="宋体" w:hAnsi="宋体" w:eastAsia="宋体"/>
          <w:b/>
          <w:kern w:val="2"/>
          <w:sz w:val="21"/>
          <w:szCs w:val="21"/>
          <w:lang w:eastAsia="zh-CN"/>
        </w:rPr>
      </w:pPr>
      <w:bookmarkStart w:id="50" w:name="_Hlk72257771"/>
      <w:r>
        <w:rPr>
          <w:rFonts w:hint="eastAsia" w:ascii="宋体" w:hAnsi="宋体" w:eastAsia="宋体"/>
          <w:b/>
          <w:kern w:val="2"/>
          <w:sz w:val="21"/>
          <w:szCs w:val="21"/>
          <w:lang w:eastAsia="zh-CN"/>
        </w:rPr>
        <w:t>备注：</w:t>
      </w:r>
    </w:p>
    <w:p>
      <w:pPr>
        <w:widowControl w:val="0"/>
        <w:spacing w:after="160" w:line="278" w:lineRule="auto"/>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1.本项目为网上电子投标项目，投标文件不需法人或授权委托人另行签字，无需加盖单位公章，招标文件另有规定的除外。</w:t>
      </w:r>
    </w:p>
    <w:p>
      <w:pPr>
        <w:widowControl w:val="0"/>
        <w:spacing w:after="160" w:line="278" w:lineRule="auto"/>
        <w:ind w:firstLine="422" w:firstLineChars="200"/>
        <w:jc w:val="both"/>
        <w:rPr>
          <w:rFonts w:ascii="宋体" w:hAnsi="宋体" w:eastAsia="宋体"/>
          <w:color w:val="FF0000"/>
          <w:kern w:val="2"/>
          <w:lang w:eastAsia="zh-CN"/>
        </w:rPr>
      </w:pPr>
      <w:bookmarkStart w:id="51" w:name="_Hlk72263559"/>
      <w:r>
        <w:rPr>
          <w:rFonts w:hint="eastAsia" w:ascii="宋体" w:hAnsi="宋体" w:eastAsia="宋体"/>
          <w:b/>
          <w:kern w:val="2"/>
          <w:sz w:val="21"/>
          <w:szCs w:val="21"/>
          <w:lang w:eastAsia="zh-CN"/>
        </w:rPr>
        <w:t>2.关于填写“开标一览表”的说明：“开标一览表”中除“投标总价”外，其他信息不作评审依据。</w:t>
      </w:r>
      <w:bookmarkEnd w:id="50"/>
      <w:bookmarkEnd w:id="51"/>
    </w:p>
    <w:p>
      <w:pPr>
        <w:widowControl w:val="0"/>
        <w:spacing w:after="160" w:line="278" w:lineRule="auto"/>
        <w:jc w:val="both"/>
        <w:rPr>
          <w:rFonts w:ascii="宋体" w:hAnsi="宋体" w:eastAsia="宋体"/>
          <w:color w:val="FF0000"/>
          <w:kern w:val="2"/>
          <w:lang w:eastAsia="zh-CN"/>
        </w:rPr>
      </w:pPr>
    </w:p>
    <w:p>
      <w:pPr>
        <w:widowControl w:val="0"/>
        <w:spacing w:after="160" w:line="278" w:lineRule="auto"/>
        <w:jc w:val="both"/>
        <w:rPr>
          <w:rFonts w:ascii="宋体" w:hAnsi="宋体" w:eastAsia="宋体"/>
          <w:color w:val="FF0000"/>
          <w:kern w:val="2"/>
          <w:lang w:eastAsia="zh-CN"/>
        </w:rPr>
      </w:pPr>
    </w:p>
    <w:p>
      <w:pPr>
        <w:widowControl w:val="0"/>
        <w:spacing w:after="160" w:line="278" w:lineRule="auto"/>
        <w:jc w:val="both"/>
        <w:outlineLvl w:val="1"/>
        <w:rPr>
          <w:rFonts w:hint="eastAsia" w:ascii="宋体" w:hAnsi="宋体" w:eastAsia="宋体"/>
          <w:b/>
          <w:color w:val="FF0000"/>
          <w:kern w:val="2"/>
          <w:sz w:val="28"/>
          <w:szCs w:val="28"/>
          <w:lang w:eastAsia="zh-CN"/>
        </w:rPr>
      </w:pPr>
    </w:p>
    <w:p>
      <w:pPr>
        <w:widowControl w:val="0"/>
        <w:spacing w:after="160" w:line="278" w:lineRule="auto"/>
        <w:jc w:val="both"/>
        <w:outlineLvl w:val="1"/>
        <w:rPr>
          <w:rFonts w:hint="eastAsia" w:ascii="宋体" w:hAnsi="宋体" w:eastAsia="宋体"/>
          <w:b/>
          <w:color w:val="FF0000"/>
          <w:kern w:val="2"/>
          <w:sz w:val="28"/>
          <w:szCs w:val="28"/>
          <w:lang w:eastAsia="zh-CN"/>
        </w:rPr>
      </w:pPr>
    </w:p>
    <w:p>
      <w:pPr>
        <w:widowControl w:val="0"/>
        <w:spacing w:after="160" w:line="278" w:lineRule="auto"/>
        <w:jc w:val="both"/>
        <w:outlineLvl w:val="1"/>
        <w:rPr>
          <w:rFonts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t>投标文件正文</w:t>
      </w:r>
    </w:p>
    <w:p>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bCs/>
          <w:kern w:val="2"/>
          <w:szCs w:val="32"/>
          <w:lang w:eastAsia="zh-CN"/>
        </w:rPr>
        <w:t>一、投标函</w:t>
      </w:r>
    </w:p>
    <w:p>
      <w:pPr>
        <w:spacing w:line="360" w:lineRule="auto"/>
        <w:rPr>
          <w:rFonts w:hint="eastAsia" w:ascii="宋体" w:hAnsi="宋体" w:eastAsia="宋体" w:cs="宋体"/>
          <w:color w:val="000000" w:themeColor="text1"/>
          <w:sz w:val="21"/>
          <w:szCs w:val="21"/>
          <w14:textFill>
            <w14:solidFill>
              <w14:schemeClr w14:val="tx1"/>
            </w14:solidFill>
          </w14:textFill>
        </w:rPr>
      </w:pPr>
      <w:bookmarkStart w:id="52" w:name="_Hlk72257506"/>
      <w:r>
        <w:rPr>
          <w:rFonts w:hint="eastAsia" w:ascii="宋体" w:hAnsi="宋体" w:eastAsia="宋体" w:cs="宋体"/>
          <w:sz w:val="21"/>
          <w:szCs w:val="21"/>
        </w:rPr>
        <w:t>致：</w:t>
      </w:r>
      <w:r>
        <w:rPr>
          <w:rFonts w:hint="eastAsia" w:ascii="宋体" w:hAnsi="宋体" w:eastAsia="宋体" w:cs="宋体"/>
          <w:sz w:val="21"/>
          <w:szCs w:val="21"/>
          <w:u w:val="single"/>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深圳公共资源交易中心  </w:t>
      </w:r>
    </w:p>
    <w:p>
      <w:pPr>
        <w:ind w:firstLine="420" w:firstLineChars="200"/>
        <w:rPr>
          <w:rFonts w:hint="eastAsia" w:ascii="宋体" w:hAnsi="宋体" w:eastAsia="宋体" w:cs="宋体"/>
          <w:sz w:val="21"/>
          <w:szCs w:val="21"/>
        </w:rPr>
      </w:pPr>
      <w:bookmarkStart w:id="53" w:name="_Hlk73818812"/>
      <w:r>
        <w:rPr>
          <w:rFonts w:hint="eastAsia" w:ascii="宋体" w:hAnsi="宋体" w:eastAsia="宋体" w:cs="宋体"/>
          <w:sz w:val="21"/>
          <w:szCs w:val="21"/>
        </w:rPr>
        <w:t>1、根据已收到贵单位的项目编号为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项目的招标文件，遵照《深圳经济特区政府采购条例》和《深圳网上政府采购管理暂行办法》等有关规定，我单位经研究上述招标文件的专用条款及通用条款后，</w:t>
      </w:r>
      <w:bookmarkStart w:id="54" w:name="_Hlk72263588"/>
      <w:r>
        <w:rPr>
          <w:rFonts w:hint="eastAsia" w:ascii="宋体" w:hAnsi="宋体" w:eastAsia="宋体" w:cs="宋体"/>
          <w:sz w:val="21"/>
          <w:szCs w:val="21"/>
        </w:rPr>
        <w:t>愿意按照招标文件要求承包上述项目并修补其任何缺陷。</w:t>
      </w:r>
      <w:bookmarkEnd w:id="54"/>
    </w:p>
    <w:p>
      <w:pPr>
        <w:ind w:firstLine="420" w:firstLineChars="200"/>
        <w:rPr>
          <w:rFonts w:hint="eastAsia" w:ascii="宋体" w:hAnsi="宋体" w:eastAsia="宋体" w:cs="宋体"/>
          <w:sz w:val="21"/>
          <w:szCs w:val="21"/>
        </w:rPr>
      </w:pPr>
      <w:r>
        <w:rPr>
          <w:rFonts w:hint="eastAsia" w:ascii="宋体" w:hAnsi="宋体" w:eastAsia="宋体" w:cs="宋体"/>
          <w:sz w:val="21"/>
          <w:szCs w:val="21"/>
        </w:rPr>
        <w:t>2、投标价格见投标书编制软件中《开标一览表》中填写的投标报价。</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3、如果我单位中标，我单位将按照招标文件的要求提交履约担保。</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5、除非另外达成协议并生效，贵单位的中标通知书和本投标文件将构成合同的重要内容。</w:t>
      </w:r>
    </w:p>
    <w:p>
      <w:pPr>
        <w:ind w:left="585" w:leftChars="200" w:hanging="105" w:hangingChars="50"/>
        <w:rPr>
          <w:rFonts w:hint="eastAsia" w:ascii="宋体" w:hAnsi="宋体" w:eastAsia="宋体" w:cs="宋体"/>
          <w:sz w:val="21"/>
          <w:szCs w:val="21"/>
        </w:rPr>
      </w:pPr>
      <w:r>
        <w:rPr>
          <w:rFonts w:hint="eastAsia" w:ascii="宋体" w:hAnsi="宋体" w:eastAsia="宋体" w:cs="宋体"/>
          <w:sz w:val="21"/>
          <w:szCs w:val="21"/>
        </w:rPr>
        <w:t>6、我单位理解贵单位将不受必须接受所收到的最低报价或其它任何投标文件的约束。</w:t>
      </w:r>
      <w:bookmarkEnd w:id="53"/>
    </w:p>
    <w:p>
      <w:pPr>
        <w:ind w:firstLine="420" w:firstLineChars="200"/>
        <w:rPr>
          <w:rFonts w:hint="eastAsia" w:ascii="宋体" w:hAnsi="宋体" w:eastAsia="宋体" w:cs="宋体"/>
          <w:sz w:val="21"/>
          <w:szCs w:val="21"/>
        </w:rPr>
      </w:pPr>
      <w:r>
        <w:rPr>
          <w:rFonts w:hint="eastAsia" w:ascii="宋体" w:hAnsi="宋体" w:eastAsia="宋体" w:cs="宋体"/>
          <w:sz w:val="21"/>
          <w:szCs w:val="21"/>
        </w:rPr>
        <w:t>7、如我单位按项目要求提供样品，且未在规定时间内取回样品的，视同放弃取回，同意深圳公共资源交易中心对样品进行清理。</w:t>
      </w:r>
    </w:p>
    <w:p>
      <w:pPr>
        <w:pStyle w:val="9"/>
        <w:rPr>
          <w:rFonts w:hint="eastAsia" w:ascii="宋体" w:hAnsi="宋体" w:eastAsia="宋体" w:cs="宋体"/>
          <w:sz w:val="21"/>
          <w:szCs w:val="21"/>
        </w:rPr>
      </w:pPr>
    </w:p>
    <w:p>
      <w:pPr>
        <w:keepNext w:val="0"/>
        <w:keepLines w:val="0"/>
        <w:widowControl w:val="0"/>
        <w:suppressLineNumbers w:val="0"/>
        <w:spacing w:before="0" w:beforeAutospacing="0" w:after="0" w:afterAutospacing="0"/>
        <w:ind w:left="480" w:leftChars="200" w:right="0" w:firstLine="210" w:firstLineChars="10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投标人：</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 xml:space="preserve"> ；单位地址：</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ind w:left="480" w:leftChars="200" w:right="0" w:firstLine="210" w:firstLineChars="10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法定代表人（负责人）或其授权委托代理人：</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ind w:left="480" w:leftChars="200" w:right="0" w:firstLine="210" w:firstLineChars="10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电话：</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 xml:space="preserve">；     </w:t>
      </w:r>
    </w:p>
    <w:p>
      <w:pPr>
        <w:widowControl w:val="0"/>
        <w:spacing w:after="160" w:line="278" w:lineRule="auto"/>
        <w:ind w:left="480" w:leftChars="200" w:firstLine="210" w:firstLineChars="1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bidi="ar"/>
        </w:rPr>
        <w:t>日期：</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 xml:space="preserve">日        </w:t>
      </w:r>
      <w:r>
        <w:rPr>
          <w:rFonts w:hint="eastAsia" w:ascii="宋体" w:hAnsi="宋体" w:eastAsia="宋体" w:cs="宋体"/>
          <w:kern w:val="2"/>
          <w:sz w:val="21"/>
          <w:szCs w:val="21"/>
          <w:lang w:eastAsia="zh-CN"/>
        </w:rPr>
        <w:t xml:space="preserve">                   </w:t>
      </w:r>
    </w:p>
    <w:p>
      <w:pPr>
        <w:widowControl w:val="0"/>
        <w:spacing w:after="160" w:line="278" w:lineRule="auto"/>
        <w:jc w:val="both"/>
        <w:rPr>
          <w:rFonts w:ascii="黑体" w:hAnsi="宋体" w:eastAsia="黑体"/>
          <w:kern w:val="2"/>
          <w:sz w:val="21"/>
          <w:lang w:eastAsia="zh-CN"/>
        </w:rPr>
      </w:pPr>
    </w:p>
    <w:p>
      <w:pPr>
        <w:widowControl w:val="0"/>
        <w:spacing w:after="160" w:line="278" w:lineRule="auto"/>
        <w:jc w:val="both"/>
        <w:rPr>
          <w:rFonts w:ascii="黑体" w:hAnsi="宋体" w:eastAsia="黑体"/>
          <w:kern w:val="2"/>
          <w:sz w:val="21"/>
          <w:lang w:eastAsia="zh-CN"/>
        </w:rPr>
      </w:pPr>
    </w:p>
    <w:bookmarkEnd w:id="52"/>
    <w:p>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bCs/>
          <w:kern w:val="2"/>
          <w:szCs w:val="32"/>
          <w:lang w:eastAsia="zh-CN"/>
        </w:rPr>
        <w:t>二、政府采购投标及履约承诺函</w:t>
      </w:r>
    </w:p>
    <w:p>
      <w:pPr>
        <w:widowControl w:val="0"/>
        <w:spacing w:after="160" w:line="278" w:lineRule="auto"/>
        <w:jc w:val="both"/>
        <w:rPr>
          <w:rFonts w:ascii="宋体" w:hAnsi="宋体" w:eastAsia="宋体"/>
          <w:color w:val="FF0000"/>
          <w:kern w:val="2"/>
          <w:sz w:val="21"/>
          <w:szCs w:val="21"/>
          <w:lang w:eastAsia="zh-CN"/>
        </w:rPr>
      </w:pPr>
      <w:bookmarkStart w:id="55" w:name="_Hlk72257530"/>
      <w:r>
        <w:rPr>
          <w:rFonts w:hint="eastAsia" w:ascii="宋体" w:hAnsi="宋体" w:eastAsia="宋体"/>
          <w:color w:val="FF0000"/>
          <w:kern w:val="2"/>
          <w:sz w:val="21"/>
          <w:szCs w:val="21"/>
          <w:lang w:eastAsia="zh-CN"/>
        </w:rPr>
        <w:t>致：</w:t>
      </w:r>
      <w:r>
        <w:rPr>
          <w:rFonts w:hint="eastAsia" w:ascii="宋体" w:hAnsi="宋体" w:eastAsia="宋体"/>
          <w:color w:val="FF0000"/>
          <w:kern w:val="2"/>
          <w:sz w:val="21"/>
          <w:szCs w:val="21"/>
          <w:u w:val="single"/>
          <w:lang w:eastAsia="zh-CN"/>
        </w:rPr>
        <w:t>深圳公共资源交易中心</w:t>
      </w:r>
    </w:p>
    <w:bookmarkEnd w:id="55"/>
    <w:p>
      <w:pPr>
        <w:keepNext w:val="0"/>
        <w:keepLines w:val="0"/>
        <w:widowControl w:val="0"/>
        <w:suppressLineNumbers w:val="0"/>
        <w:spacing w:before="0" w:beforeAutospacing="0" w:after="0" w:afterAutospacing="0"/>
        <w:ind w:left="0" w:right="-815"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我单位承诺：</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bCs/>
          <w:kern w:val="2"/>
          <w:sz w:val="21"/>
          <w:szCs w:val="21"/>
          <w:lang w:val="en-US" w:eastAsia="zh-CN" w:bidi="ar"/>
        </w:rPr>
        <w:t>1.我单位参与本项目所投标（响应）的货物、工程或服务，不存在侵犯知识产权的情况。</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2.我单位参与本项目采购活动</w:t>
      </w:r>
      <w:r>
        <w:rPr>
          <w:rFonts w:hint="eastAsia" w:ascii="Times New Roman" w:hAnsi="Times New Roman" w:eastAsia="宋体" w:cs="宋体"/>
          <w:kern w:val="2"/>
          <w:sz w:val="21"/>
          <w:szCs w:val="24"/>
          <w:lang w:val="en-US" w:eastAsia="zh-CN" w:bidi="ar"/>
        </w:rPr>
        <w:t>时不存在被有关部门禁止参与政府采购活动且在有效期内的情况。</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3.我单位具备《中华人民共和国政府采购法》第二十二条第一款规定的六项条件。</w:t>
      </w:r>
    </w:p>
    <w:p>
      <w:pPr>
        <w:keepNext w:val="0"/>
        <w:keepLines w:val="0"/>
        <w:widowControl w:val="0"/>
        <w:suppressLineNumbers w:val="0"/>
        <w:spacing w:before="0" w:beforeAutospacing="0" w:after="0" w:afterAutospacing="0"/>
        <w:ind w:left="0" w:right="0" w:firstLine="420" w:firstLineChars="200"/>
        <w:jc w:val="both"/>
        <w:rPr>
          <w:lang w:val="en-US"/>
        </w:rPr>
      </w:pPr>
      <w:r>
        <w:rPr>
          <w:rFonts w:hint="eastAsia" w:ascii="宋体" w:hAnsi="宋体" w:eastAsia="宋体" w:cs="宋体"/>
          <w:kern w:val="2"/>
          <w:sz w:val="21"/>
          <w:szCs w:val="21"/>
          <w:lang w:val="en-US" w:eastAsia="zh-CN" w:bidi="ar"/>
        </w:rPr>
        <w:t>4.我单位</w:t>
      </w:r>
      <w:r>
        <w:rPr>
          <w:rFonts w:hint="eastAsia" w:ascii="Times New Roman" w:hAnsi="Times New Roman" w:eastAsia="宋体" w:cs="宋体"/>
          <w:kern w:val="2"/>
          <w:sz w:val="21"/>
          <w:szCs w:val="24"/>
          <w:lang w:val="en-US" w:eastAsia="zh-CN" w:bidi="ar"/>
        </w:rPr>
        <w:t>未被列入失信被执行人、重大税收违法案件当事人名单、政府采购严重违法失信行为记录名单。</w:t>
      </w:r>
    </w:p>
    <w:p>
      <w:pPr>
        <w:keepNext w:val="0"/>
        <w:keepLines w:val="0"/>
        <w:widowControl w:val="0"/>
        <w:suppressLineNumbers w:val="0"/>
        <w:spacing w:before="0" w:beforeAutospacing="0" w:after="0" w:afterAutospacing="0"/>
        <w:ind w:left="0" w:right="0" w:firstLine="420" w:firstLineChars="200"/>
        <w:jc w:val="both"/>
        <w:rPr>
          <w:color w:val="FF0000"/>
          <w:lang w:val="en-US"/>
        </w:rPr>
      </w:pPr>
      <w:r>
        <w:rPr>
          <w:rFonts w:hint="default" w:ascii="Times New Roman" w:hAnsi="Times New Roman" w:eastAsia="宋体" w:cs="Times New Roman"/>
          <w:color w:val="FF0000"/>
          <w:kern w:val="2"/>
          <w:sz w:val="21"/>
          <w:szCs w:val="24"/>
          <w:lang w:val="en-US" w:eastAsia="zh-CN" w:bidi="ar"/>
        </w:rPr>
        <w:t>5.</w:t>
      </w:r>
      <w:r>
        <w:rPr>
          <w:rFonts w:hint="eastAsia" w:ascii="Times New Roman" w:hAnsi="Times New Roman" w:eastAsia="宋体" w:cs="宋体"/>
          <w:color w:val="FF0000"/>
          <w:kern w:val="2"/>
          <w:sz w:val="21"/>
          <w:szCs w:val="24"/>
          <w:lang w:val="en-US" w:eastAsia="zh-CN" w:bidi="ar"/>
        </w:rPr>
        <w:t>我单位不存在《深圳市财政局政府采购供应商信用信息管理办法》（深财规〔</w:t>
      </w:r>
      <w:r>
        <w:rPr>
          <w:rFonts w:hint="default" w:ascii="Times New Roman" w:hAnsi="Times New Roman" w:eastAsia="宋体" w:cs="Times New Roman"/>
          <w:color w:val="FF0000"/>
          <w:kern w:val="2"/>
          <w:sz w:val="21"/>
          <w:szCs w:val="24"/>
          <w:lang w:val="en-US" w:eastAsia="zh-CN" w:bidi="ar"/>
        </w:rPr>
        <w:t>2023</w:t>
      </w:r>
      <w:r>
        <w:rPr>
          <w:rFonts w:hint="eastAsia" w:ascii="Times New Roman" w:hAnsi="Times New Roman"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3</w:t>
      </w:r>
      <w:r>
        <w:rPr>
          <w:rFonts w:hint="eastAsia" w:ascii="Times New Roman" w:hAnsi="Times New Roman" w:eastAsia="宋体" w:cs="宋体"/>
          <w:color w:val="FF0000"/>
          <w:kern w:val="2"/>
          <w:sz w:val="21"/>
          <w:szCs w:val="24"/>
          <w:lang w:val="en-US" w:eastAsia="zh-CN" w:bidi="ar"/>
        </w:rPr>
        <w:t>号）列明的严重违法失信行为。</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w:t>
      </w:r>
      <w:bookmarkStart w:id="56" w:name="_Hlk72587269"/>
      <w:bookmarkStart w:id="57" w:name="_Hlk72587299"/>
      <w:r>
        <w:rPr>
          <w:rFonts w:hint="eastAsia" w:ascii="宋体" w:hAnsi="宋体" w:eastAsia="宋体" w:cs="宋体"/>
          <w:kern w:val="2"/>
          <w:sz w:val="21"/>
          <w:szCs w:val="21"/>
          <w:lang w:val="en-US" w:eastAsia="zh-CN" w:bidi="ar"/>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6"/>
      <w:r>
        <w:rPr>
          <w:rFonts w:hint="eastAsia" w:ascii="宋体" w:hAnsi="宋体" w:eastAsia="宋体" w:cs="宋体"/>
          <w:kern w:val="2"/>
          <w:sz w:val="21"/>
          <w:szCs w:val="21"/>
          <w:lang w:val="en-US" w:eastAsia="zh-CN" w:bidi="ar"/>
        </w:rPr>
        <w:t>。</w:t>
      </w:r>
    </w:p>
    <w:bookmarkEnd w:id="57"/>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9.我单位承诺中标后项目不转包，未经采购人同意不进行分包。</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1"/>
          <w:lang w:val="en-US" w:eastAsia="zh-CN" w:bidi="ar"/>
        </w:rPr>
        <w:t>10.</w:t>
      </w:r>
      <w:r>
        <w:rPr>
          <w:rFonts w:hint="eastAsia" w:ascii="宋体" w:hAnsi="宋体" w:eastAsia="宋体" w:cs="宋体"/>
          <w:kern w:val="2"/>
          <w:sz w:val="21"/>
          <w:szCs w:val="24"/>
          <w:lang w:val="en-US"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ascii="Times New Roman" w:hAnsi="Times New Roman" w:eastAsia="宋体" w:cs="宋体"/>
          <w:kern w:val="2"/>
          <w:sz w:val="21"/>
          <w:szCs w:val="24"/>
          <w:lang w:val="en-US" w:eastAsia="zh-CN" w:bidi="ar"/>
        </w:rPr>
        <w:t>《财政部</w:t>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生态环境部</w:t>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工业和信息化部关于印发</w:t>
      </w:r>
      <w:r>
        <w:rPr>
          <w:rFonts w:hint="default" w:ascii="Times New Roman" w:hAnsi="Times New Roman" w:eastAsia="宋体" w:cs="Times New Roman"/>
          <w:kern w:val="2"/>
          <w:sz w:val="21"/>
          <w:szCs w:val="24"/>
          <w:lang w:val="en-US" w:eastAsia="zh-CN" w:bidi="ar"/>
        </w:rPr>
        <w:t>&lt;</w:t>
      </w:r>
      <w:r>
        <w:rPr>
          <w:rFonts w:hint="eastAsia" w:ascii="Times New Roman" w:hAnsi="Times New Roman" w:eastAsia="宋体" w:cs="宋体"/>
          <w:kern w:val="2"/>
          <w:sz w:val="21"/>
          <w:szCs w:val="24"/>
          <w:lang w:val="en-US" w:eastAsia="zh-CN" w:bidi="ar"/>
        </w:rPr>
        <w:t>绿色数据中心政府采购需求标准（试行）</w:t>
      </w:r>
      <w:r>
        <w:rPr>
          <w:rFonts w:hint="default" w:ascii="Times New Roman" w:hAnsi="Times New Roman" w:eastAsia="宋体" w:cs="Times New Roman"/>
          <w:kern w:val="2"/>
          <w:sz w:val="21"/>
          <w:szCs w:val="24"/>
          <w:lang w:val="en-US" w:eastAsia="zh-CN" w:bidi="ar"/>
        </w:rPr>
        <w:t>&gt;</w:t>
      </w:r>
      <w:r>
        <w:rPr>
          <w:rFonts w:hint="eastAsia" w:ascii="Times New Roman" w:hAnsi="Times New Roman" w:eastAsia="宋体" w:cs="宋体"/>
          <w:kern w:val="2"/>
          <w:sz w:val="21"/>
          <w:szCs w:val="24"/>
          <w:lang w:val="en-US" w:eastAsia="zh-CN" w:bidi="ar"/>
        </w:rPr>
        <w:t>的通知》（财库〔</w:t>
      </w:r>
      <w:r>
        <w:rPr>
          <w:rFonts w:hint="default" w:ascii="Times New Roman" w:hAnsi="Times New Roman" w:eastAsia="宋体" w:cs="Times New Roman"/>
          <w:kern w:val="2"/>
          <w:sz w:val="21"/>
          <w:szCs w:val="24"/>
          <w:lang w:val="en-US" w:eastAsia="zh-CN" w:bidi="ar"/>
        </w:rPr>
        <w:t>2023</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宋体"/>
          <w:kern w:val="2"/>
          <w:sz w:val="21"/>
          <w:szCs w:val="24"/>
          <w:lang w:val="en-US" w:eastAsia="zh-CN" w:bidi="ar"/>
        </w:rPr>
        <w:t>号）要求。若所投产品涉及国家强制性标准的，所投产品应符合国家强制性标准相关要求。</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bCs/>
          <w:lang w:val="en-US"/>
        </w:rPr>
      </w:pPr>
      <w:r>
        <w:rPr>
          <w:rFonts w:hint="eastAsia" w:ascii="宋体" w:hAnsi="宋体" w:eastAsia="宋体" w:cs="宋体"/>
          <w:bCs/>
          <w:kern w:val="0"/>
          <w:sz w:val="21"/>
          <w:szCs w:val="21"/>
          <w:lang w:val="en-US" w:eastAsia="zh-CN" w:bidi="ar"/>
        </w:rPr>
        <w:t>12.</w:t>
      </w:r>
      <w:r>
        <w:rPr>
          <w:rFonts w:hint="eastAsia" w:ascii="宋体" w:hAnsi="宋体" w:eastAsia="宋体" w:cs="宋体"/>
          <w:bCs/>
          <w:kern w:val="2"/>
          <w:sz w:val="21"/>
          <w:szCs w:val="24"/>
          <w:lang w:val="en-US" w:eastAsia="zh-CN" w:bidi="ar"/>
        </w:rPr>
        <w:t>我单位已知悉并同意中标（成交）结果信息公示（公开）的内容。</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b/>
          <w:bCs w:val="0"/>
          <w:color w:val="FF0000"/>
          <w:kern w:val="0"/>
          <w:szCs w:val="21"/>
          <w:lang w:val="en-US"/>
        </w:rPr>
      </w:pPr>
      <w:r>
        <w:rPr>
          <w:rFonts w:hint="eastAsia" w:ascii="宋体" w:hAnsi="宋体" w:eastAsia="宋体" w:cs="宋体"/>
          <w:bCs/>
          <w:kern w:val="2"/>
          <w:sz w:val="21"/>
          <w:szCs w:val="24"/>
          <w:lang w:val="en-US"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4"/>
          <w:lang w:val="en-US" w:eastAsia="zh-CN" w:bidi="ar"/>
        </w:rPr>
        <w:t>14.我单位清楚，如存在违反投标承诺行为情节严重的，将根据《深圳市财政局关于印发&lt;深圳市财政局政府采购供应商信用信息管理办法&gt;的通知》，依法被列入失信信息。</w:t>
      </w:r>
    </w:p>
    <w:p>
      <w:pPr>
        <w:keepNext w:val="0"/>
        <w:keepLines w:val="0"/>
        <w:widowControl w:val="0"/>
        <w:suppressLineNumbers w:val="0"/>
        <w:spacing w:before="0" w:beforeAutospacing="0" w:after="0" w:afterAutospacing="0"/>
        <w:ind w:left="0" w:right="0" w:firstLine="420" w:firstLineChars="200"/>
        <w:jc w:val="both"/>
        <w:rPr>
          <w:lang w:val="en-US"/>
        </w:rPr>
      </w:pPr>
      <w:r>
        <w:rPr>
          <w:rFonts w:hint="eastAsia" w:ascii="宋体" w:hAnsi="宋体" w:eastAsia="宋体" w:cs="宋体"/>
          <w:bCs/>
          <w:kern w:val="2"/>
          <w:sz w:val="21"/>
          <w:szCs w:val="24"/>
          <w:lang w:val="en-US"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以上承诺，如有违反，愿依照国家相关法律法规处理，并承担由此给采购人带来的损失。</w:t>
      </w:r>
    </w:p>
    <w:p>
      <w:pPr>
        <w:keepNext w:val="0"/>
        <w:keepLines w:val="0"/>
        <w:widowControl w:val="0"/>
        <w:suppressLineNumbers w:val="0"/>
        <w:spacing w:before="60" w:beforeLines="25" w:beforeAutospacing="0" w:after="60" w:afterLines="25" w:afterAutospacing="0"/>
        <w:ind w:right="0" w:firstLine="4620" w:firstLineChars="2200"/>
        <w:jc w:val="both"/>
        <w:rPr>
          <w:color w:val="FF0000"/>
          <w:lang w:val="en-US"/>
        </w:rPr>
      </w:pPr>
      <w:r>
        <w:rPr>
          <w:rFonts w:hint="eastAsia" w:ascii="Times New Roman" w:hAnsi="Times New Roman" w:eastAsia="宋体" w:cs="宋体"/>
          <w:color w:val="FF0000"/>
          <w:kern w:val="2"/>
          <w:sz w:val="21"/>
          <w:szCs w:val="21"/>
          <w:lang w:val="en-US" w:eastAsia="zh-CN" w:bidi="ar"/>
        </w:rPr>
        <w:t>投标人：</w:t>
      </w:r>
      <w:r>
        <w:rPr>
          <w:rFonts w:hint="default" w:ascii="Times New Roman" w:hAnsi="Times New Roman" w:eastAsia="宋体" w:cs="Times New Roman"/>
          <w:color w:val="FF0000"/>
          <w:kern w:val="2"/>
          <w:sz w:val="21"/>
          <w:szCs w:val="21"/>
          <w:u w:val="thick"/>
          <w:lang w:val="en-US" w:eastAsia="zh-CN" w:bidi="ar"/>
        </w:rPr>
        <w:t xml:space="preserve">                           </w:t>
      </w:r>
      <w:r>
        <w:rPr>
          <w:rFonts w:hint="default" w:ascii="Times New Roman" w:hAnsi="Times New Roman" w:eastAsia="宋体" w:cs="Times New Roman"/>
          <w:color w:val="FF0000"/>
          <w:kern w:val="2"/>
          <w:sz w:val="21"/>
          <w:szCs w:val="21"/>
          <w:lang w:val="en-US" w:eastAsia="zh-CN" w:bidi="ar"/>
        </w:rPr>
        <w:t>.</w:t>
      </w:r>
    </w:p>
    <w:p>
      <w:pPr>
        <w:keepNext w:val="0"/>
        <w:keepLines w:val="0"/>
        <w:widowControl w:val="0"/>
        <w:suppressLineNumbers w:val="0"/>
        <w:spacing w:before="0" w:beforeAutospacing="0" w:after="0" w:afterAutospacing="0"/>
        <w:ind w:left="0" w:right="0" w:firstLine="4628" w:firstLineChars="2204"/>
        <w:jc w:val="both"/>
        <w:rPr>
          <w:rFonts w:hint="eastAsia" w:ascii="宋体" w:hAnsi="宋体" w:eastAsia="宋体" w:cs="宋体"/>
          <w:color w:val="FF0000"/>
          <w:szCs w:val="21"/>
          <w:lang w:val="en-US"/>
        </w:rPr>
      </w:pPr>
      <w:r>
        <w:rPr>
          <w:rFonts w:hint="eastAsia" w:ascii="宋体" w:hAnsi="宋体" w:eastAsia="宋体" w:cs="宋体"/>
          <w:color w:val="FF0000"/>
          <w:kern w:val="2"/>
          <w:sz w:val="21"/>
          <w:szCs w:val="21"/>
          <w:lang w:val="en-US" w:eastAsia="zh-CN" w:bidi="ar"/>
        </w:rPr>
        <w:t>日期：</w:t>
      </w:r>
      <w:r>
        <w:rPr>
          <w:rFonts w:hint="default" w:ascii="Times New Roman" w:hAnsi="Times New Roman" w:eastAsia="宋体" w:cs="Times New Roman"/>
          <w:color w:val="FF0000"/>
          <w:kern w:val="2"/>
          <w:sz w:val="21"/>
          <w:szCs w:val="21"/>
          <w:u w:val="thick"/>
          <w:lang w:val="en-US" w:eastAsia="zh-CN" w:bidi="ar"/>
        </w:rPr>
        <w:t xml:space="preserve">        </w:t>
      </w:r>
      <w:r>
        <w:rPr>
          <w:rFonts w:hint="eastAsia" w:ascii="宋体" w:hAnsi="宋体"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thick"/>
          <w:lang w:val="en-US" w:eastAsia="zh-CN" w:bidi="ar"/>
        </w:rPr>
        <w:t xml:space="preserve">       </w:t>
      </w:r>
      <w:r>
        <w:rPr>
          <w:rFonts w:hint="eastAsia" w:ascii="宋体" w:hAnsi="宋体"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u w:val="thick"/>
          <w:lang w:val="en-US" w:eastAsia="zh-CN" w:bidi="ar"/>
        </w:rPr>
        <w:t xml:space="preserve">       </w:t>
      </w:r>
      <w:r>
        <w:rPr>
          <w:rFonts w:hint="eastAsia" w:ascii="宋体" w:hAnsi="宋体" w:eastAsia="宋体" w:cs="宋体"/>
          <w:color w:val="FF0000"/>
          <w:kern w:val="2"/>
          <w:sz w:val="21"/>
          <w:szCs w:val="21"/>
          <w:lang w:val="en-US" w:eastAsia="zh-CN" w:bidi="ar"/>
        </w:rPr>
        <w:t>日</w:t>
      </w:r>
    </w:p>
    <w:p>
      <w:pPr>
        <w:widowControl w:val="0"/>
        <w:spacing w:after="160" w:line="278" w:lineRule="auto"/>
        <w:ind w:firstLine="645"/>
        <w:jc w:val="both"/>
        <w:rPr>
          <w:rFonts w:ascii="宋体" w:hAnsi="宋体" w:eastAsia="宋体"/>
          <w:kern w:val="2"/>
          <w:sz w:val="21"/>
          <w:szCs w:val="21"/>
          <w:lang w:eastAsia="zh-CN"/>
        </w:rPr>
      </w:pPr>
    </w:p>
    <w:p>
      <w:pPr>
        <w:widowControl w:val="0"/>
        <w:spacing w:after="160" w:line="278" w:lineRule="auto"/>
        <w:jc w:val="both"/>
        <w:rPr>
          <w:rFonts w:ascii="宋体" w:eastAsia="宋体"/>
          <w:b/>
          <w:kern w:val="2"/>
          <w:sz w:val="21"/>
          <w:szCs w:val="21"/>
          <w:lang w:eastAsia="zh-CN"/>
        </w:rPr>
      </w:pPr>
    </w:p>
    <w:p>
      <w:pPr>
        <w:widowControl w:val="0"/>
        <w:spacing w:after="160" w:line="278" w:lineRule="auto"/>
        <w:ind w:firstLine="482" w:firstLineChars="200"/>
        <w:jc w:val="center"/>
        <w:rPr>
          <w:rFonts w:hAnsi="宋体" w:eastAsia="宋体"/>
          <w:b/>
          <w:bCs/>
          <w:kern w:val="2"/>
          <w:lang w:eastAsia="zh-CN"/>
        </w:rPr>
      </w:pPr>
    </w:p>
    <w:p>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bCs/>
          <w:kern w:val="2"/>
          <w:lang w:eastAsia="zh-CN"/>
        </w:rPr>
        <w:t>三、投标人情况及资格证明文件</w:t>
      </w:r>
    </w:p>
    <w:p>
      <w:pPr>
        <w:widowControl w:val="0"/>
        <w:spacing w:after="160" w:line="278" w:lineRule="auto"/>
        <w:jc w:val="both"/>
        <w:rPr>
          <w:rFonts w:eastAsia="宋体"/>
          <w:b/>
          <w:bCs/>
          <w:kern w:val="2"/>
          <w:lang w:eastAsia="zh-CN"/>
        </w:rPr>
      </w:pPr>
    </w:p>
    <w:p>
      <w:pPr>
        <w:widowControl w:val="0"/>
        <w:spacing w:after="160" w:line="278" w:lineRule="auto"/>
        <w:ind w:firstLine="2640" w:firstLineChars="1100"/>
        <w:jc w:val="both"/>
        <w:outlineLvl w:val="3"/>
        <w:rPr>
          <w:rFonts w:ascii="黑体" w:hAnsi="宋体" w:eastAsia="黑体"/>
          <w:bCs/>
          <w:szCs w:val="32"/>
          <w:lang w:eastAsia="zh-CN"/>
        </w:rPr>
      </w:pPr>
      <w:bookmarkStart w:id="58" w:name="_Hlk72257590"/>
      <w:r>
        <w:rPr>
          <w:rFonts w:hint="eastAsia" w:ascii="黑体" w:hAnsi="宋体" w:eastAsia="黑体"/>
          <w:bCs/>
          <w:szCs w:val="32"/>
          <w:lang w:eastAsia="zh-CN"/>
        </w:rPr>
        <w:t>（一）投标人资格证明文件</w:t>
      </w:r>
    </w:p>
    <w:p>
      <w:pPr>
        <w:spacing w:before="120" w:beforeLines="50"/>
        <w:ind w:firstLine="422" w:firstLineChars="200"/>
        <w:rPr>
          <w:rFonts w:hint="eastAsia" w:ascii="Times New Roman" w:hAnsi="Times New Roman" w:eastAsia="宋体" w:cs="Times New Roman"/>
          <w:b/>
          <w:bCs/>
          <w:color w:val="FF0000"/>
          <w:kern w:val="2"/>
          <w:sz w:val="21"/>
          <w:lang w:eastAsia="zh-CN"/>
        </w:rPr>
      </w:pPr>
      <w:r>
        <w:rPr>
          <w:rFonts w:hint="eastAsia" w:ascii="Times New Roman" w:hAnsi="Times New Roman" w:eastAsia="宋体" w:cs="Times New Roman"/>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w:t>
      </w:r>
      <w:r>
        <w:rPr>
          <w:rFonts w:hint="eastAsia" w:ascii="Times New Roman" w:hAnsi="Times New Roman" w:eastAsia="宋体" w:cs="Times New Roman"/>
          <w:b/>
          <w:bCs/>
          <w:color w:val="FF0000"/>
          <w:kern w:val="2"/>
          <w:sz w:val="21"/>
          <w:lang w:val="en-US" w:eastAsia="zh-CN"/>
        </w:rPr>
        <w:t>其中要求提供《采购投标及履约承诺函》《供应商基本情况表》且已在规定章节中提供的，此处不重复提供。）</w:t>
      </w:r>
    </w:p>
    <w:p>
      <w:pPr>
        <w:widowControl w:val="0"/>
        <w:spacing w:after="160" w:line="278" w:lineRule="auto"/>
        <w:jc w:val="both"/>
        <w:rPr>
          <w:rFonts w:eastAsia="宋体"/>
          <w:b/>
          <w:bCs/>
          <w:kern w:val="2"/>
          <w:lang w:eastAsia="zh-CN"/>
        </w:rPr>
      </w:pPr>
    </w:p>
    <w:p>
      <w:pPr>
        <w:widowControl w:val="0"/>
        <w:spacing w:after="160" w:line="278" w:lineRule="auto"/>
        <w:ind w:firstLine="480" w:firstLineChars="200"/>
        <w:jc w:val="both"/>
        <w:outlineLvl w:val="3"/>
        <w:rPr>
          <w:rFonts w:ascii="黑体" w:hAnsi="宋体" w:eastAsia="黑体"/>
          <w:bCs/>
          <w:szCs w:val="32"/>
          <w:lang w:eastAsia="zh-CN"/>
        </w:rPr>
      </w:pPr>
      <w:bookmarkStart w:id="59" w:name="_Hlk72257908"/>
      <w:r>
        <w:rPr>
          <w:rFonts w:hint="eastAsia" w:ascii="黑体" w:hAnsi="宋体" w:eastAsia="黑体"/>
          <w:bCs/>
          <w:szCs w:val="32"/>
          <w:lang w:eastAsia="zh-CN"/>
        </w:rPr>
        <w:t>（二）中小企业声明函、残疾人福利性单位声明函及监狱企业声明函</w:t>
      </w:r>
    </w:p>
    <w:bookmarkEnd w:id="58"/>
    <w:p>
      <w:pPr>
        <w:widowControl w:val="0"/>
        <w:spacing w:after="160" w:line="278" w:lineRule="auto"/>
        <w:outlineLvl w:val="3"/>
        <w:rPr>
          <w:rFonts w:ascii="黑体" w:hAnsi="宋体" w:eastAsia="黑体"/>
          <w:bCs/>
          <w:szCs w:val="32"/>
          <w:lang w:eastAsia="zh-CN"/>
        </w:rPr>
      </w:pP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填写指引：</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bCs/>
          <w:color w:val="FF0000"/>
          <w:kern w:val="0"/>
          <w:sz w:val="21"/>
          <w:szCs w:val="21"/>
          <w:lang w:val="en-US" w:eastAsia="zh-CN" w:bidi="ar"/>
        </w:rPr>
        <w:t>1、该部分内容由投标人根据自身实际情况填写，不符合要求的投标人可以不填写或直接删除相应的声明函。</w:t>
      </w:r>
      <w:r>
        <w:rPr>
          <w:rFonts w:hint="eastAsia" w:ascii="黑体" w:hAnsi="宋体" w:eastAsia="黑体" w:cs="黑体"/>
          <w:color w:val="FF0000"/>
          <w:kern w:val="2"/>
          <w:sz w:val="21"/>
          <w:szCs w:val="21"/>
          <w:lang w:val="en-US" w:eastAsia="zh-CN" w:bidi="ar"/>
        </w:rPr>
        <w:t>投标人提供的声明函不属实的，属于提供虚假资料谋取中标，依照《中华人民共和国政府采购法》等国家有关规定追究相应责任。</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color w:val="FF0000"/>
          <w:kern w:val="2"/>
          <w:sz w:val="21"/>
          <w:szCs w:val="21"/>
          <w:lang w:val="en-US" w:eastAsia="zh-CN" w:bidi="ar"/>
        </w:rPr>
        <w:t>2、该部分内容填写需要参考的相关文件：</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color w:val="FF0000"/>
          <w:kern w:val="2"/>
          <w:sz w:val="21"/>
          <w:szCs w:val="21"/>
          <w:lang w:val="en-US" w:eastAsia="zh-CN" w:bidi="ar"/>
        </w:rPr>
        <w:t>(1)财政部《政府采购促进中小企业发展管理办法》（财库〔2020〕46号）；</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color w:val="FF0000"/>
          <w:kern w:val="2"/>
          <w:sz w:val="21"/>
          <w:szCs w:val="21"/>
          <w:lang w:val="en-US" w:eastAsia="zh-CN" w:bidi="ar"/>
        </w:rPr>
        <w:t>(2)《工业和信息化部、国家统计局、国家发展和改革委员会、财政部关于印发中小企业划型标准规定的通知》（工信部联企业〔2011〕300号）；</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color w:val="FF0000"/>
          <w:kern w:val="2"/>
          <w:sz w:val="21"/>
          <w:szCs w:val="21"/>
          <w:lang w:val="en-US" w:eastAsia="zh-CN" w:bidi="ar"/>
        </w:rPr>
        <w:t>(3)《统计上大中小微型企业划分办法(2017)》（国统字〔2017〕213号）；</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color w:val="FF0000"/>
          <w:kern w:val="2"/>
          <w:sz w:val="21"/>
          <w:szCs w:val="21"/>
          <w:lang w:val="en-US" w:eastAsia="zh-CN" w:bidi="ar"/>
        </w:rPr>
        <w:t>(4)《关于促进残疾人就业政府采购政策的通知》（财库〔2017〕141号）；</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color w:val="FF0000"/>
          <w:kern w:val="2"/>
          <w:sz w:val="21"/>
          <w:szCs w:val="21"/>
          <w:lang w:val="en-US" w:eastAsia="zh-CN" w:bidi="ar"/>
        </w:rPr>
        <w:t>(5)《关于政府采购支持监狱企业发展有关问题的通知》（财库〔2014〕68号）</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3、请依照提供的格式和内容填写声明函，不要随意变更格式；声明函不需要盖章或签字；</w:t>
      </w:r>
      <w:r>
        <w:rPr>
          <w:rFonts w:hint="eastAsia" w:ascii="黑体" w:hAnsi="宋体" w:eastAsia="黑体" w:cs="黑体"/>
          <w:color w:val="FF0000"/>
          <w:kern w:val="2"/>
          <w:sz w:val="21"/>
          <w:szCs w:val="21"/>
          <w:lang w:val="en-US" w:eastAsia="zh-CN" w:bidi="ar"/>
        </w:rPr>
        <w:t>满足多项优惠政策的投标人，不重复享受多项价格扣除政策。</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4、声明函具体填写要求：</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（1）声明是中小企业须填写《中小企业声明函》的以下内容：</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第一处，在“单位名称”下划线处如实填写采购人名称（深圳公共资源交易中心不是本项目的采购人，而是组织实施机构）；</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第五处，在“企业名称”下划线处如实填写</w:t>
      </w:r>
      <w:r>
        <w:rPr>
          <w:rFonts w:hint="eastAsia" w:ascii="黑体" w:hAnsi="宋体" w:eastAsia="黑体" w:cs="黑体"/>
          <w:b/>
          <w:bCs w:val="0"/>
          <w:color w:val="FF0000"/>
          <w:kern w:val="0"/>
          <w:sz w:val="21"/>
          <w:szCs w:val="21"/>
          <w:lang w:val="en-US" w:eastAsia="zh-CN" w:bidi="ar"/>
        </w:rPr>
        <w:t>货物制造商名称。</w:t>
      </w:r>
      <w:r>
        <w:rPr>
          <w:rFonts w:hint="eastAsia" w:ascii="黑体" w:hAnsi="宋体" w:eastAsia="黑体" w:cs="黑体"/>
          <w:bCs/>
          <w:color w:val="FF0000"/>
          <w:kern w:val="0"/>
          <w:sz w:val="21"/>
          <w:szCs w:val="21"/>
          <w:lang w:val="en-US" w:eastAsia="zh-CN" w:bidi="ar"/>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pStyle w:val="17"/>
        <w:keepNext w:val="0"/>
        <w:keepLines w:val="0"/>
        <w:widowControl w:val="0"/>
        <w:suppressLineNumbers w:val="0"/>
        <w:spacing w:before="0" w:beforeAutospacing="0" w:after="0" w:afterAutospacing="0"/>
        <w:ind w:left="0" w:right="0" w:firstLine="420" w:firstLineChars="200"/>
        <w:jc w:val="both"/>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 w:val="21"/>
          <w:szCs w:val="21"/>
          <w:lang w:val="en-US"/>
        </w:rPr>
      </w:pPr>
      <w:r>
        <w:rPr>
          <w:rFonts w:hint="eastAsia" w:ascii="黑体" w:hAnsi="宋体" w:eastAsia="黑体" w:cs="黑体"/>
          <w:bCs/>
          <w:color w:val="FF0000"/>
          <w:kern w:val="0"/>
          <w:sz w:val="21"/>
          <w:szCs w:val="21"/>
          <w:lang w:val="en-US" w:eastAsia="zh-CN" w:bidi="ar"/>
        </w:rPr>
        <w:t>（3）事业单位、社会组织等非企业主体不享受中小企业扶持政策，但事业单位、社会组织等非企业主体提供全部由中小企业制造的货物参加货物采购项目的除外。</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 w:val="21"/>
          <w:szCs w:val="21"/>
          <w:lang w:val="en-US"/>
        </w:rPr>
      </w:pPr>
      <w:r>
        <w:rPr>
          <w:rFonts w:hint="eastAsia" w:ascii="黑体" w:hAnsi="宋体" w:eastAsia="黑体" w:cs="黑体"/>
          <w:bCs/>
          <w:color w:val="FF0000"/>
          <w:kern w:val="0"/>
          <w:sz w:val="21"/>
          <w:szCs w:val="21"/>
          <w:lang w:val="en-US" w:eastAsia="zh-CN" w:bidi="ar"/>
        </w:rPr>
        <w:t>（4）声明是残疾人福利性单位须填写《残疾人福利性单位声明函》的相关内容，具体参照以上《中小企业声明函》填写要求执行。</w:t>
      </w:r>
    </w:p>
    <w:p>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 w:val="21"/>
          <w:szCs w:val="21"/>
          <w:lang w:val="en-US"/>
        </w:rPr>
      </w:pPr>
      <w:r>
        <w:rPr>
          <w:rFonts w:hint="eastAsia" w:ascii="黑体" w:hAnsi="宋体" w:eastAsia="黑体" w:cs="黑体"/>
          <w:bCs/>
          <w:color w:val="FF0000"/>
          <w:kern w:val="0"/>
          <w:sz w:val="21"/>
          <w:szCs w:val="21"/>
          <w:lang w:val="en-US" w:eastAsia="zh-CN" w:bidi="ar"/>
        </w:rPr>
        <w:t>（5）声明是监狱企业须填写《监狱企业声明函》的三项内容（填写位置的字体已加粗），具体参照以上《中小企业声明函》填写要求执行。</w:t>
      </w:r>
    </w:p>
    <w:p>
      <w:pPr>
        <w:keepNext w:val="0"/>
        <w:keepLines w:val="0"/>
        <w:widowControl w:val="0"/>
        <w:suppressLineNumbers w:val="0"/>
        <w:spacing w:before="0" w:beforeAutospacing="0" w:after="0" w:afterAutospacing="0"/>
        <w:ind w:left="0" w:right="0" w:firstLine="420" w:firstLineChars="200"/>
        <w:jc w:val="both"/>
        <w:rPr>
          <w:rFonts w:hint="eastAsia" w:ascii="黑体" w:hAnsi="宋体" w:eastAsia="黑体" w:cs="黑体"/>
          <w:bCs/>
          <w:color w:val="FF0000"/>
          <w:kern w:val="0"/>
          <w:sz w:val="21"/>
          <w:szCs w:val="21"/>
          <w:lang w:val="en-US"/>
        </w:rPr>
      </w:pPr>
      <w:r>
        <w:rPr>
          <w:rFonts w:hint="eastAsia" w:ascii="黑体" w:hAnsi="宋体" w:eastAsia="黑体" w:cs="黑体"/>
          <w:bCs/>
          <w:color w:val="FF0000"/>
          <w:kern w:val="0"/>
          <w:sz w:val="21"/>
          <w:szCs w:val="21"/>
          <w:lang w:val="en-US" w:eastAsia="zh-CN" w:bidi="ar"/>
        </w:rPr>
        <w:t>5、若本项目属于</w:t>
      </w:r>
      <w:r>
        <w:rPr>
          <w:rFonts w:hint="eastAsia" w:ascii="黑体" w:hAnsi="宋体" w:eastAsia="黑体" w:cs="黑体"/>
          <w:bCs/>
          <w:color w:val="FF0000"/>
          <w:kern w:val="0"/>
          <w:sz w:val="21"/>
          <w:szCs w:val="21"/>
          <w:lang w:eastAsia="zh-CN"/>
        </w:rPr>
        <w:t>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17"/>
        <w:keepNext w:val="0"/>
        <w:keepLines w:val="0"/>
        <w:widowControl w:val="0"/>
        <w:suppressLineNumbers w:val="0"/>
        <w:spacing w:before="0" w:beforeAutospacing="0" w:after="0" w:afterAutospacing="0"/>
        <w:ind w:left="0" w:right="0" w:firstLine="420" w:firstLineChars="200"/>
        <w:jc w:val="both"/>
        <w:rPr>
          <w:rFonts w:hint="eastAsia" w:ascii="黑体" w:hAnsi="宋体" w:eastAsia="黑体" w:cs="黑体"/>
          <w:bCs/>
          <w:color w:val="FF0000"/>
          <w:kern w:val="0"/>
          <w:sz w:val="21"/>
          <w:szCs w:val="21"/>
          <w:lang w:val="en-US" w:eastAsia="zh-CN" w:bidi="ar"/>
        </w:rPr>
      </w:pPr>
      <w:r>
        <w:rPr>
          <w:rFonts w:hint="eastAsia" w:ascii="黑体" w:hAnsi="宋体" w:eastAsia="黑体" w:cs="黑体"/>
          <w:bCs/>
          <w:color w:val="FF0000"/>
          <w:kern w:val="0"/>
          <w:sz w:val="21"/>
          <w:szCs w:val="21"/>
          <w:lang w:val="en-US" w:eastAsia="zh-CN" w:bidi="ar"/>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spacing w:after="160" w:line="278" w:lineRule="auto"/>
        <w:ind w:firstLine="420" w:firstLineChars="200"/>
        <w:jc w:val="both"/>
        <w:rPr>
          <w:rFonts w:eastAsia="宋体"/>
          <w:kern w:val="2"/>
          <w:sz w:val="21"/>
          <w:lang w:eastAsia="zh-CN"/>
        </w:rPr>
      </w:pPr>
    </w:p>
    <w:p>
      <w:pPr>
        <w:widowControl w:val="0"/>
        <w:numPr>
          <w:ilvl w:val="0"/>
          <w:numId w:val="4"/>
        </w:numPr>
        <w:spacing w:after="160" w:line="278" w:lineRule="auto"/>
        <w:jc w:val="center"/>
        <w:outlineLvl w:val="3"/>
        <w:rPr>
          <w:rFonts w:eastAsia="宋体"/>
          <w:b/>
          <w:kern w:val="2"/>
          <w:lang w:eastAsia="zh-CN"/>
        </w:rPr>
      </w:pPr>
      <w:r>
        <w:rPr>
          <w:rFonts w:eastAsia="宋体"/>
          <w:b/>
          <w:kern w:val="2"/>
          <w:lang w:eastAsia="zh-CN"/>
        </w:rPr>
        <w:t>中小企业声明函（货物）</w:t>
      </w:r>
    </w:p>
    <w:p>
      <w:pPr>
        <w:widowControl w:val="0"/>
        <w:spacing w:after="160" w:line="360" w:lineRule="auto"/>
        <w:jc w:val="both"/>
        <w:rPr>
          <w:rFonts w:eastAsia="宋体"/>
          <w:b/>
          <w:bCs/>
          <w:kern w:val="2"/>
          <w:lang w:eastAsia="zh-CN"/>
        </w:rPr>
      </w:pPr>
    </w:p>
    <w:p>
      <w:pPr>
        <w:widowControl w:val="0"/>
        <w:spacing w:after="16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after="16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spacing w:after="16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spacing w:after="16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pPr>
        <w:widowControl w:val="0"/>
        <w:spacing w:after="160" w:line="360" w:lineRule="auto"/>
        <w:ind w:firstLine="420" w:firstLineChars="200"/>
        <w:jc w:val="both"/>
        <w:rPr>
          <w:rFonts w:ascii="宋体" w:hAnsi="宋体" w:eastAsia="宋体" w:cs="宋体"/>
          <w:kern w:val="2"/>
          <w:sz w:val="21"/>
          <w:szCs w:val="21"/>
          <w:lang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以上</w:t>
      </w:r>
      <w:r>
        <w:rPr>
          <w:rFonts w:hint="eastAsia" w:ascii="宋体" w:hAnsi="宋体" w:eastAsia="宋体" w:cs="宋体"/>
          <w:kern w:val="2"/>
          <w:sz w:val="21"/>
          <w:szCs w:val="21"/>
          <w:lang w:val="en-US" w:eastAsia="zh-CN" w:bidi="ar-SA"/>
        </w:rPr>
        <w:t>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lang w:val="en-US" w:eastAsia="zh-CN" w:bidi="ar-SA"/>
        </w:rPr>
      </w:pPr>
      <w:bookmarkStart w:id="60" w:name="_Hlk73562203"/>
      <w:r>
        <w:rPr>
          <w:rFonts w:hint="eastAsia" w:ascii="宋体" w:hAnsi="宋体" w:eastAsia="宋体" w:cs="宋体"/>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w:t>
      </w:r>
      <w:r>
        <w:rPr>
          <w:rFonts w:hint="eastAsia" w:ascii="宋体" w:hAnsi="宋体" w:eastAsia="宋体" w:cs="宋体"/>
          <w:sz w:val="21"/>
          <w:szCs w:val="21"/>
          <w:lang w:val="en-US" w:eastAsia="zh-CN"/>
        </w:rPr>
        <w:t>相应</w:t>
      </w:r>
      <w:r>
        <w:rPr>
          <w:rFonts w:hint="eastAsia" w:ascii="宋体" w:hAnsi="宋体" w:eastAsia="宋体" w:cs="宋体"/>
          <w:kern w:val="2"/>
          <w:sz w:val="21"/>
          <w:szCs w:val="21"/>
          <w:lang w:val="en-US" w:eastAsia="zh-CN" w:bidi="ar-SA"/>
        </w:rPr>
        <w:t>责任。</w:t>
      </w:r>
      <w:bookmarkEnd w:id="60"/>
    </w:p>
    <w:p>
      <w:pPr>
        <w:widowControl w:val="0"/>
        <w:spacing w:after="160" w:line="278" w:lineRule="auto"/>
        <w:ind w:firstLine="420" w:firstLineChars="200"/>
        <w:jc w:val="both"/>
        <w:outlineLvl w:val="3"/>
        <w:rPr>
          <w:rFonts w:ascii="宋体" w:hAnsi="宋体" w:eastAsia="宋体"/>
          <w:bCs/>
          <w:color w:val="FF0000"/>
          <w:sz w:val="21"/>
          <w:szCs w:val="21"/>
          <w:lang w:eastAsia="zh-CN"/>
        </w:rPr>
      </w:pPr>
    </w:p>
    <w:p>
      <w:pPr>
        <w:widowControl w:val="0"/>
        <w:spacing w:after="160" w:line="278" w:lineRule="auto"/>
        <w:jc w:val="both"/>
        <w:rPr>
          <w:rFonts w:eastAsia="宋体"/>
          <w:kern w:val="2"/>
          <w:sz w:val="21"/>
          <w:lang w:eastAsia="zh-CN"/>
        </w:rPr>
      </w:pPr>
    </w:p>
    <w:p>
      <w:pPr>
        <w:widowControl w:val="0"/>
        <w:spacing w:after="160" w:line="278" w:lineRule="auto"/>
        <w:ind w:firstLine="420" w:firstLineChars="200"/>
        <w:jc w:val="both"/>
        <w:rPr>
          <w:rFonts w:eastAsia="宋体"/>
          <w:kern w:val="2"/>
          <w:sz w:val="21"/>
          <w:lang w:eastAsia="zh-CN"/>
        </w:rPr>
      </w:pPr>
    </w:p>
    <w:p>
      <w:pPr>
        <w:widowControl w:val="0"/>
        <w:spacing w:after="160" w:line="278" w:lineRule="auto"/>
        <w:jc w:val="center"/>
        <w:outlineLvl w:val="3"/>
        <w:rPr>
          <w:rFonts w:eastAsia="宋体"/>
          <w:b/>
          <w:kern w:val="2"/>
          <w:lang w:eastAsia="zh-CN"/>
        </w:rPr>
      </w:pPr>
      <w:r>
        <w:rPr>
          <w:rFonts w:hint="eastAsia" w:eastAsia="宋体"/>
          <w:b/>
          <w:kern w:val="2"/>
          <w:lang w:eastAsia="zh-CN"/>
        </w:rPr>
        <w:t>2、残疾人福利性单位声明函（货物类）</w:t>
      </w:r>
    </w:p>
    <w:p>
      <w:pPr>
        <w:widowControl w:val="0"/>
        <w:spacing w:after="160" w:line="278" w:lineRule="auto"/>
        <w:jc w:val="both"/>
        <w:rPr>
          <w:rFonts w:eastAsia="宋体"/>
          <w:b/>
          <w:bCs/>
          <w:kern w:val="2"/>
          <w:sz w:val="21"/>
          <w:lang w:eastAsia="zh-CN"/>
        </w:rPr>
      </w:pPr>
    </w:p>
    <w:p>
      <w:pPr>
        <w:widowControl w:val="0"/>
        <w:spacing w:after="160" w:line="360" w:lineRule="auto"/>
        <w:ind w:firstLine="420" w:firstLineChars="200"/>
        <w:jc w:val="both"/>
        <w:rPr>
          <w:rFonts w:hint="eastAsia" w:ascii="宋体" w:hAnsi="宋体" w:eastAsia="宋体" w:cs="宋体"/>
          <w:kern w:val="2"/>
          <w:sz w:val="21"/>
          <w:szCs w:val="21"/>
          <w:lang w:eastAsia="zh-CN"/>
        </w:rPr>
      </w:pPr>
      <w:bookmarkStart w:id="61" w:name="_Hlk73562331"/>
      <w:bookmarkStart w:id="62"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after="160"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pPr>
        <w:widowControl w:val="0"/>
        <w:spacing w:after="160"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1"/>
    </w:p>
    <w:bookmarkEnd w:id="62"/>
    <w:p>
      <w:pPr>
        <w:widowControl w:val="0"/>
        <w:spacing w:after="160" w:line="278" w:lineRule="auto"/>
        <w:ind w:firstLine="420" w:firstLineChars="200"/>
        <w:jc w:val="both"/>
        <w:rPr>
          <w:rFonts w:hint="eastAsia" w:ascii="宋体" w:hAnsi="宋体" w:eastAsia="宋体" w:cs="宋体"/>
          <w:kern w:val="2"/>
          <w:sz w:val="21"/>
          <w:szCs w:val="21"/>
          <w:lang w:eastAsia="zh-CN"/>
        </w:rPr>
      </w:pPr>
    </w:p>
    <w:p>
      <w:pPr>
        <w:widowControl w:val="0"/>
        <w:spacing w:after="160" w:line="278" w:lineRule="auto"/>
        <w:ind w:firstLine="420" w:firstLineChars="200"/>
        <w:jc w:val="both"/>
        <w:rPr>
          <w:rFonts w:hint="eastAsia" w:ascii="宋体" w:hAnsi="宋体" w:eastAsia="宋体" w:cs="宋体"/>
          <w:kern w:val="2"/>
          <w:sz w:val="21"/>
          <w:szCs w:val="21"/>
          <w:lang w:eastAsia="zh-CN"/>
        </w:rPr>
      </w:pPr>
    </w:p>
    <w:p>
      <w:pPr>
        <w:widowControl w:val="0"/>
        <w:spacing w:after="160" w:line="278" w:lineRule="auto"/>
        <w:jc w:val="center"/>
        <w:outlineLvl w:val="3"/>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after="160"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本投标人郑重声明，根据《财政部司法部关于政府采购支持监狱企业发展有关问题的通知》（财库〔2014〕68号）的规定，本投标人参加</w:t>
      </w:r>
      <w:r>
        <w:rPr>
          <w:rFonts w:hint="eastAsia" w:ascii="宋体" w:hAnsi="宋体" w:eastAsia="宋体" w:cs="宋体"/>
          <w:b/>
          <w:bCs/>
          <w:i/>
          <w:iCs/>
          <w:kern w:val="2"/>
          <w:sz w:val="21"/>
          <w:szCs w:val="21"/>
          <w:u w:val="single"/>
          <w:lang w:eastAsia="zh-CN"/>
        </w:rPr>
        <w:t>（采购人名称）</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（项目名称）</w:t>
      </w:r>
      <w:r>
        <w:rPr>
          <w:rFonts w:hint="eastAsia" w:ascii="宋体" w:hAnsi="宋体" w:eastAsia="宋体" w:cs="宋体"/>
          <w:kern w:val="2"/>
          <w:sz w:val="21"/>
          <w:szCs w:val="21"/>
          <w:lang w:eastAsia="zh-CN"/>
        </w:rPr>
        <w:t>采购活动，提供的货物全部由符合政策要求的监狱企业制造。相关监狱企业的具体情况如下：</w:t>
      </w:r>
    </w:p>
    <w:p>
      <w:pPr>
        <w:widowControl w:val="0"/>
        <w:spacing w:after="160"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，制造商为</w:t>
      </w:r>
      <w:r>
        <w:rPr>
          <w:rFonts w:hint="eastAsia" w:ascii="宋体" w:hAnsi="宋体" w:eastAsia="宋体" w:cs="宋体"/>
          <w:kern w:val="2"/>
          <w:sz w:val="21"/>
          <w:szCs w:val="21"/>
          <w:u w:val="single"/>
          <w:lang w:eastAsia="zh-CN"/>
        </w:rPr>
        <w:t xml:space="preserve">    </w:t>
      </w:r>
      <w:r>
        <w:rPr>
          <w:rFonts w:hint="eastAsia" w:ascii="宋体" w:hAnsi="宋体" w:eastAsia="宋体" w:cs="宋体"/>
          <w:b/>
          <w:bCs/>
          <w:i/>
          <w:iCs/>
          <w:kern w:val="2"/>
          <w:sz w:val="21"/>
          <w:szCs w:val="21"/>
          <w:u w:val="single"/>
          <w:lang w:eastAsia="zh-CN"/>
        </w:rPr>
        <w:t xml:space="preserve">（企业名称）    </w:t>
      </w:r>
      <w:r>
        <w:rPr>
          <w:rFonts w:hint="eastAsia" w:ascii="宋体" w:hAnsi="宋体" w:eastAsia="宋体" w:cs="宋体"/>
          <w:kern w:val="2"/>
          <w:sz w:val="21"/>
          <w:szCs w:val="21"/>
          <w:lang w:eastAsia="zh-CN"/>
        </w:rPr>
        <w:t>，属于</w:t>
      </w:r>
      <w:r>
        <w:rPr>
          <w:rFonts w:hint="eastAsia" w:ascii="宋体" w:hAnsi="宋体" w:eastAsia="宋体" w:cs="宋体"/>
          <w:kern w:val="2"/>
          <w:sz w:val="21"/>
          <w:szCs w:val="21"/>
          <w:u w:val="single"/>
          <w:lang w:eastAsia="zh-CN"/>
        </w:rPr>
        <w:t xml:space="preserve">  </w:t>
      </w:r>
      <w:r>
        <w:rPr>
          <w:rFonts w:hint="eastAsia" w:ascii="宋体" w:hAnsi="宋体" w:eastAsia="宋体" w:cs="宋体"/>
          <w:b/>
          <w:bCs/>
          <w:kern w:val="2"/>
          <w:sz w:val="21"/>
          <w:szCs w:val="21"/>
          <w:u w:val="single"/>
          <w:lang w:eastAsia="zh-CN"/>
        </w:rPr>
        <w:t xml:space="preserve">监狱企业  </w:t>
      </w:r>
      <w:r>
        <w:rPr>
          <w:rFonts w:hint="eastAsia" w:ascii="宋体" w:hAnsi="宋体" w:eastAsia="宋体" w:cs="宋体"/>
          <w:kern w:val="2"/>
          <w:sz w:val="21"/>
          <w:szCs w:val="21"/>
          <w:lang w:eastAsia="zh-CN"/>
        </w:rPr>
        <w:t>；</w:t>
      </w:r>
    </w:p>
    <w:p>
      <w:pPr>
        <w:widowControl w:val="0"/>
        <w:spacing w:after="160"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，制造商为</w:t>
      </w:r>
      <w:r>
        <w:rPr>
          <w:rFonts w:hint="eastAsia" w:ascii="宋体" w:hAnsi="宋体" w:eastAsia="宋体" w:cs="宋体"/>
          <w:kern w:val="2"/>
          <w:sz w:val="21"/>
          <w:szCs w:val="21"/>
          <w:u w:val="single"/>
          <w:lang w:eastAsia="zh-CN"/>
        </w:rPr>
        <w:t xml:space="preserve">    </w:t>
      </w:r>
      <w:r>
        <w:rPr>
          <w:rFonts w:hint="eastAsia" w:ascii="宋体" w:hAnsi="宋体" w:eastAsia="宋体" w:cs="宋体"/>
          <w:b/>
          <w:bCs/>
          <w:i/>
          <w:iCs/>
          <w:kern w:val="2"/>
          <w:sz w:val="21"/>
          <w:szCs w:val="21"/>
          <w:u w:val="single"/>
          <w:lang w:eastAsia="zh-CN"/>
        </w:rPr>
        <w:t xml:space="preserve">（企业名称）    </w:t>
      </w:r>
      <w:r>
        <w:rPr>
          <w:rFonts w:hint="eastAsia" w:ascii="宋体" w:hAnsi="宋体" w:eastAsia="宋体" w:cs="宋体"/>
          <w:kern w:val="2"/>
          <w:sz w:val="21"/>
          <w:szCs w:val="21"/>
          <w:lang w:eastAsia="zh-CN"/>
        </w:rPr>
        <w:t>，属于</w:t>
      </w:r>
      <w:r>
        <w:rPr>
          <w:rFonts w:hint="eastAsia" w:ascii="宋体" w:hAnsi="宋体" w:eastAsia="宋体" w:cs="宋体"/>
          <w:kern w:val="2"/>
          <w:sz w:val="21"/>
          <w:szCs w:val="21"/>
          <w:u w:val="single"/>
          <w:lang w:eastAsia="zh-CN"/>
        </w:rPr>
        <w:t xml:space="preserve">  </w:t>
      </w:r>
      <w:r>
        <w:rPr>
          <w:rFonts w:hint="eastAsia" w:ascii="宋体" w:hAnsi="宋体" w:eastAsia="宋体" w:cs="宋体"/>
          <w:b/>
          <w:bCs/>
          <w:kern w:val="2"/>
          <w:sz w:val="21"/>
          <w:szCs w:val="21"/>
          <w:u w:val="single"/>
          <w:lang w:eastAsia="zh-CN"/>
        </w:rPr>
        <w:t xml:space="preserve">监狱企业  </w:t>
      </w:r>
      <w:r>
        <w:rPr>
          <w:rFonts w:hint="eastAsia" w:ascii="宋体" w:hAnsi="宋体" w:eastAsia="宋体" w:cs="宋体"/>
          <w:kern w:val="2"/>
          <w:sz w:val="21"/>
          <w:szCs w:val="21"/>
          <w:lang w:eastAsia="zh-CN"/>
        </w:rPr>
        <w:t>。</w:t>
      </w:r>
    </w:p>
    <w:p>
      <w:pPr>
        <w:widowControl w:val="0"/>
        <w:spacing w:after="160" w:line="360" w:lineRule="auto"/>
        <w:ind w:firstLine="420" w:firstLineChars="200"/>
        <w:jc w:val="both"/>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p>
    <w:p>
      <w:pPr>
        <w:widowControl w:val="0"/>
        <w:spacing w:after="160"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本投标人对上述声明内容的真实性负责。如有虚假，将依法承担相应责任。</w:t>
      </w:r>
    </w:p>
    <w:p>
      <w:pPr>
        <w:widowControl w:val="0"/>
        <w:spacing w:after="160" w:line="360" w:lineRule="auto"/>
        <w:ind w:firstLine="420"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kern w:val="2"/>
          <w:sz w:val="21"/>
          <w:szCs w:val="21"/>
          <w:lang w:eastAsia="zh-CN"/>
        </w:rPr>
        <w:t>附：省级以上监狱管理局、戒毒管理局（含新疆生产建设兵团）出具的监狱企业证明文件。</w:t>
      </w:r>
      <w:bookmarkEnd w:id="59"/>
    </w:p>
    <w:p>
      <w:pPr>
        <w:keepNext/>
        <w:keepLines/>
        <w:widowControl w:val="0"/>
        <w:spacing w:before="260" w:after="260"/>
        <w:jc w:val="center"/>
        <w:outlineLvl w:val="2"/>
        <w:rPr>
          <w:rFonts w:ascii="黑体" w:hAnsi="宋体" w:eastAsia="黑体"/>
          <w:bCs/>
          <w:kern w:val="2"/>
          <w:lang w:eastAsia="zh-CN"/>
        </w:rPr>
      </w:pPr>
      <w:bookmarkStart w:id="63" w:name="_Hlk72259976"/>
      <w:r>
        <w:rPr>
          <w:rFonts w:hint="eastAsia" w:ascii="黑体" w:hAnsi="宋体" w:eastAsia="黑体"/>
          <w:bCs/>
          <w:kern w:val="2"/>
          <w:lang w:eastAsia="zh-CN"/>
        </w:rPr>
        <w:t>四、项目详细报价</w:t>
      </w:r>
    </w:p>
    <w:p>
      <w:pPr>
        <w:widowControl w:val="0"/>
        <w:tabs>
          <w:tab w:val="left" w:pos="720"/>
        </w:tabs>
        <w:spacing w:after="160" w:line="278" w:lineRule="auto"/>
        <w:ind w:firstLine="3132" w:firstLineChars="1300"/>
        <w:jc w:val="both"/>
        <w:rPr>
          <w:rFonts w:eastAsia="宋体"/>
          <w:b/>
          <w:kern w:val="2"/>
          <w:lang w:eastAsia="zh-CN"/>
        </w:rPr>
      </w:pPr>
      <w:r>
        <w:rPr>
          <w:rFonts w:hint="eastAsia" w:eastAsia="宋体"/>
          <w:b/>
          <w:kern w:val="2"/>
          <w:lang w:eastAsia="zh-CN"/>
        </w:rPr>
        <w:t>（一）分项报价表</w:t>
      </w:r>
    </w:p>
    <w:tbl>
      <w:tblPr>
        <w:tblStyle w:val="19"/>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79"/>
        <w:gridCol w:w="1402"/>
        <w:gridCol w:w="836"/>
        <w:gridCol w:w="972"/>
        <w:gridCol w:w="869"/>
        <w:gridCol w:w="481"/>
        <w:gridCol w:w="445"/>
        <w:gridCol w:w="595"/>
        <w:gridCol w:w="586"/>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序号</w:t>
            </w:r>
          </w:p>
        </w:tc>
        <w:tc>
          <w:tcPr>
            <w:tcW w:w="1079"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货物名称</w:t>
            </w:r>
          </w:p>
        </w:tc>
        <w:tc>
          <w:tcPr>
            <w:tcW w:w="1402"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kern w:val="2"/>
                <w:sz w:val="21"/>
                <w:szCs w:val="21"/>
                <w:lang w:eastAsia="zh-CN"/>
              </w:rPr>
              <w:t>品牌</w:t>
            </w:r>
          </w:p>
        </w:tc>
        <w:tc>
          <w:tcPr>
            <w:tcW w:w="836"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kern w:val="2"/>
                <w:sz w:val="21"/>
                <w:szCs w:val="21"/>
                <w:lang w:eastAsia="zh-CN"/>
              </w:rPr>
              <w:t>规格/型号</w:t>
            </w:r>
          </w:p>
        </w:tc>
        <w:tc>
          <w:tcPr>
            <w:tcW w:w="972"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b/>
                <w:color w:val="FF0000"/>
                <w:kern w:val="2"/>
                <w:sz w:val="21"/>
                <w:szCs w:val="21"/>
                <w:lang w:eastAsia="zh-CN"/>
              </w:rPr>
              <w:t>原产地</w:t>
            </w:r>
          </w:p>
        </w:tc>
        <w:tc>
          <w:tcPr>
            <w:tcW w:w="869"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kern w:val="2"/>
                <w:sz w:val="21"/>
                <w:szCs w:val="21"/>
                <w:lang w:eastAsia="zh-CN"/>
              </w:rPr>
              <w:t>制造商名称</w:t>
            </w:r>
          </w:p>
        </w:tc>
        <w:tc>
          <w:tcPr>
            <w:tcW w:w="481"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数量</w:t>
            </w:r>
          </w:p>
        </w:tc>
        <w:tc>
          <w:tcPr>
            <w:tcW w:w="445"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单位</w:t>
            </w:r>
          </w:p>
        </w:tc>
        <w:tc>
          <w:tcPr>
            <w:tcW w:w="595"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kern w:val="2"/>
                <w:sz w:val="21"/>
                <w:szCs w:val="21"/>
                <w:lang w:eastAsia="zh-CN"/>
              </w:rPr>
              <w:t>单价(元)</w:t>
            </w:r>
          </w:p>
        </w:tc>
        <w:tc>
          <w:tcPr>
            <w:tcW w:w="586"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kern w:val="2"/>
                <w:sz w:val="21"/>
                <w:szCs w:val="21"/>
                <w:lang w:eastAsia="zh-CN"/>
              </w:rPr>
              <w:t>合价(元)</w:t>
            </w:r>
          </w:p>
        </w:tc>
        <w:tc>
          <w:tcPr>
            <w:tcW w:w="922" w:type="dxa"/>
            <w:vAlign w:val="center"/>
          </w:tcPr>
          <w:p>
            <w:pPr>
              <w:widowControl w:val="0"/>
              <w:spacing w:after="160" w:line="278"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w:t>
            </w:r>
          </w:p>
        </w:tc>
        <w:tc>
          <w:tcPr>
            <w:tcW w:w="1079"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智能竞赛车</w:t>
            </w:r>
          </w:p>
        </w:tc>
        <w:tc>
          <w:tcPr>
            <w:tcW w:w="1402" w:type="dxa"/>
            <w:vAlign w:val="center"/>
          </w:tcPr>
          <w:p>
            <w:pPr>
              <w:widowControl w:val="0"/>
              <w:spacing w:after="160" w:line="278" w:lineRule="auto"/>
              <w:jc w:val="center"/>
              <w:rPr>
                <w:rFonts w:hint="eastAsia" w:ascii="宋体" w:hAnsi="宋体" w:eastAsia="宋体" w:cs="宋体"/>
                <w:bCs/>
                <w:kern w:val="2"/>
                <w:sz w:val="21"/>
                <w:szCs w:val="21"/>
                <w:lang w:eastAsia="zh-CN"/>
              </w:rPr>
            </w:pPr>
          </w:p>
        </w:tc>
        <w:tc>
          <w:tcPr>
            <w:tcW w:w="836" w:type="dxa"/>
            <w:vAlign w:val="center"/>
          </w:tcPr>
          <w:p>
            <w:pPr>
              <w:widowControl w:val="0"/>
              <w:spacing w:after="160" w:line="278" w:lineRule="auto"/>
              <w:jc w:val="center"/>
              <w:rPr>
                <w:rFonts w:hint="eastAsia" w:ascii="宋体" w:hAnsi="宋体" w:eastAsia="宋体" w:cs="宋体"/>
                <w:bCs/>
                <w:kern w:val="2"/>
                <w:sz w:val="21"/>
                <w:szCs w:val="21"/>
                <w:lang w:eastAsia="zh-CN"/>
              </w:rPr>
            </w:pPr>
          </w:p>
        </w:tc>
        <w:tc>
          <w:tcPr>
            <w:tcW w:w="972" w:type="dxa"/>
            <w:vAlign w:val="center"/>
          </w:tcPr>
          <w:p>
            <w:pPr>
              <w:widowControl w:val="0"/>
              <w:spacing w:after="160" w:line="278" w:lineRule="auto"/>
              <w:jc w:val="center"/>
              <w:rPr>
                <w:rFonts w:hint="eastAsia" w:ascii="宋体" w:hAnsi="宋体" w:eastAsia="宋体" w:cs="宋体"/>
                <w:bCs/>
                <w:kern w:val="2"/>
                <w:sz w:val="21"/>
                <w:szCs w:val="21"/>
                <w:lang w:eastAsia="zh-CN"/>
              </w:rPr>
            </w:pPr>
          </w:p>
        </w:tc>
        <w:tc>
          <w:tcPr>
            <w:tcW w:w="869" w:type="dxa"/>
            <w:vAlign w:val="center"/>
          </w:tcPr>
          <w:p>
            <w:pPr>
              <w:widowControl w:val="0"/>
              <w:spacing w:after="160" w:line="278" w:lineRule="auto"/>
              <w:jc w:val="center"/>
              <w:rPr>
                <w:rFonts w:hint="eastAsia" w:ascii="宋体" w:hAnsi="宋体" w:eastAsia="宋体" w:cs="宋体"/>
                <w:bCs/>
                <w:kern w:val="2"/>
                <w:sz w:val="21"/>
                <w:szCs w:val="21"/>
                <w:lang w:eastAsia="zh-CN"/>
              </w:rPr>
            </w:pPr>
          </w:p>
        </w:tc>
        <w:tc>
          <w:tcPr>
            <w:tcW w:w="481" w:type="dxa"/>
            <w:vAlign w:val="center"/>
          </w:tcPr>
          <w:p>
            <w:pPr>
              <w:widowControl w:val="0"/>
              <w:spacing w:after="160" w:line="278" w:lineRule="auto"/>
              <w:jc w:val="center"/>
              <w:rPr>
                <w:rFonts w:hint="eastAsia"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25</w:t>
            </w:r>
          </w:p>
        </w:tc>
        <w:tc>
          <w:tcPr>
            <w:tcW w:w="445" w:type="dxa"/>
            <w:vAlign w:val="center"/>
          </w:tcPr>
          <w:p>
            <w:pPr>
              <w:widowControl w:val="0"/>
              <w:spacing w:after="160" w:line="278" w:lineRule="auto"/>
              <w:jc w:val="center"/>
              <w:rPr>
                <w:rFonts w:hint="eastAsia"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台</w:t>
            </w:r>
          </w:p>
        </w:tc>
        <w:tc>
          <w:tcPr>
            <w:tcW w:w="595" w:type="dxa"/>
            <w:vAlign w:val="center"/>
          </w:tcPr>
          <w:p>
            <w:pPr>
              <w:widowControl w:val="0"/>
              <w:spacing w:after="160" w:line="278" w:lineRule="auto"/>
              <w:jc w:val="center"/>
              <w:rPr>
                <w:rFonts w:hint="eastAsia" w:ascii="宋体" w:hAnsi="宋体" w:eastAsia="宋体" w:cs="宋体"/>
                <w:bCs/>
                <w:kern w:val="2"/>
                <w:sz w:val="21"/>
                <w:szCs w:val="21"/>
                <w:lang w:eastAsia="zh-CN"/>
              </w:rPr>
            </w:pPr>
          </w:p>
        </w:tc>
        <w:tc>
          <w:tcPr>
            <w:tcW w:w="586" w:type="dxa"/>
            <w:vAlign w:val="center"/>
          </w:tcPr>
          <w:p>
            <w:pPr>
              <w:widowControl w:val="0"/>
              <w:spacing w:after="160" w:line="278" w:lineRule="auto"/>
              <w:jc w:val="center"/>
              <w:rPr>
                <w:rFonts w:hint="eastAsia" w:ascii="宋体" w:hAnsi="宋体" w:eastAsia="宋体" w:cs="宋体"/>
                <w:bCs/>
                <w:kern w:val="2"/>
                <w:sz w:val="21"/>
                <w:szCs w:val="21"/>
                <w:lang w:eastAsia="zh-CN"/>
              </w:rPr>
            </w:pPr>
          </w:p>
        </w:tc>
        <w:tc>
          <w:tcPr>
            <w:tcW w:w="922" w:type="dxa"/>
            <w:vMerge w:val="restart"/>
            <w:vAlign w:val="center"/>
          </w:tcPr>
          <w:p>
            <w:pPr>
              <w:widowControl w:val="0"/>
              <w:spacing w:after="160" w:line="278" w:lineRule="auto"/>
              <w:jc w:val="center"/>
              <w:rPr>
                <w:rFonts w:hint="eastAsia" w:ascii="宋体" w:hAnsi="宋体" w:eastAsia="宋体" w:cs="宋体"/>
                <w:b/>
                <w:bCs/>
                <w:kern w:val="2"/>
                <w:sz w:val="21"/>
                <w:szCs w:val="21"/>
                <w:lang w:val="en-US" w:eastAsia="zh-CN"/>
              </w:rPr>
            </w:pPr>
            <w:r>
              <w:rPr>
                <w:rFonts w:hint="eastAsia" w:ascii="宋体" w:hAnsi="宋体" w:eastAsia="宋体" w:cs="宋体"/>
                <w:bCs/>
                <w:kern w:val="2"/>
                <w:sz w:val="21"/>
                <w:szCs w:val="21"/>
                <w:lang w:val="en-US" w:eastAsia="zh-CN"/>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widowControl w:val="0"/>
              <w:spacing w:after="160" w:line="278" w:lineRule="auto"/>
              <w:jc w:val="center"/>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2</w:t>
            </w:r>
          </w:p>
        </w:tc>
        <w:tc>
          <w:tcPr>
            <w:tcW w:w="1079" w:type="dxa"/>
            <w:vAlign w:val="center"/>
          </w:tcPr>
          <w:p>
            <w:pPr>
              <w:widowControl w:val="0"/>
              <w:spacing w:after="160" w:line="278" w:lineRule="auto"/>
              <w:jc w:val="center"/>
              <w:rPr>
                <w:rFonts w:hint="eastAsia" w:ascii="宋体" w:hAnsi="宋体" w:eastAsia="宋体" w:cs="宋体"/>
                <w:bCs/>
                <w:kern w:val="2"/>
                <w:sz w:val="21"/>
                <w:szCs w:val="21"/>
                <w:lang w:eastAsia="zh-CN"/>
              </w:rPr>
            </w:pPr>
            <w:r>
              <w:rPr>
                <w:rFonts w:hint="eastAsia" w:ascii="宋体" w:hAnsi="宋体" w:eastAsia="宋体" w:cs="宋体"/>
                <w:color w:val="000000"/>
                <w:sz w:val="21"/>
                <w:szCs w:val="21"/>
                <w:lang w:val="en-US" w:eastAsia="zh-CN"/>
              </w:rPr>
              <w:t>智能竞赛车比赛系统软件</w:t>
            </w:r>
          </w:p>
        </w:tc>
        <w:tc>
          <w:tcPr>
            <w:tcW w:w="1402" w:type="dxa"/>
            <w:vAlign w:val="center"/>
          </w:tcPr>
          <w:p>
            <w:pPr>
              <w:widowControl w:val="0"/>
              <w:spacing w:after="160" w:line="278" w:lineRule="auto"/>
              <w:jc w:val="center"/>
              <w:rPr>
                <w:rFonts w:hint="eastAsia" w:ascii="宋体" w:hAnsi="宋体" w:eastAsia="宋体" w:cs="宋体"/>
                <w:bCs/>
                <w:kern w:val="2"/>
                <w:sz w:val="21"/>
                <w:szCs w:val="21"/>
                <w:lang w:eastAsia="zh-CN"/>
              </w:rPr>
            </w:pPr>
          </w:p>
        </w:tc>
        <w:tc>
          <w:tcPr>
            <w:tcW w:w="836" w:type="dxa"/>
            <w:vAlign w:val="center"/>
          </w:tcPr>
          <w:p>
            <w:pPr>
              <w:widowControl w:val="0"/>
              <w:spacing w:after="160" w:line="278" w:lineRule="auto"/>
              <w:jc w:val="center"/>
              <w:rPr>
                <w:rFonts w:hint="eastAsia" w:ascii="宋体" w:hAnsi="宋体" w:eastAsia="宋体" w:cs="宋体"/>
                <w:bCs/>
                <w:kern w:val="2"/>
                <w:sz w:val="21"/>
                <w:szCs w:val="21"/>
                <w:lang w:eastAsia="zh-CN"/>
              </w:rPr>
            </w:pPr>
          </w:p>
        </w:tc>
        <w:tc>
          <w:tcPr>
            <w:tcW w:w="972" w:type="dxa"/>
            <w:vAlign w:val="center"/>
          </w:tcPr>
          <w:p>
            <w:pPr>
              <w:widowControl w:val="0"/>
              <w:spacing w:after="160" w:line="278" w:lineRule="auto"/>
              <w:jc w:val="center"/>
              <w:rPr>
                <w:rFonts w:hint="eastAsia" w:ascii="宋体" w:hAnsi="宋体" w:eastAsia="宋体" w:cs="宋体"/>
                <w:bCs/>
                <w:kern w:val="2"/>
                <w:sz w:val="21"/>
                <w:szCs w:val="21"/>
                <w:lang w:eastAsia="zh-CN"/>
              </w:rPr>
            </w:pPr>
          </w:p>
        </w:tc>
        <w:tc>
          <w:tcPr>
            <w:tcW w:w="869" w:type="dxa"/>
            <w:vAlign w:val="center"/>
          </w:tcPr>
          <w:p>
            <w:pPr>
              <w:widowControl w:val="0"/>
              <w:spacing w:after="160" w:line="278" w:lineRule="auto"/>
              <w:jc w:val="center"/>
              <w:rPr>
                <w:rFonts w:hint="eastAsia" w:ascii="宋体" w:hAnsi="宋体" w:eastAsia="宋体" w:cs="宋体"/>
                <w:bCs/>
                <w:kern w:val="2"/>
                <w:sz w:val="21"/>
                <w:szCs w:val="21"/>
                <w:lang w:eastAsia="zh-CN"/>
              </w:rPr>
            </w:pPr>
          </w:p>
        </w:tc>
        <w:tc>
          <w:tcPr>
            <w:tcW w:w="481" w:type="dxa"/>
            <w:vAlign w:val="center"/>
          </w:tcPr>
          <w:p>
            <w:pPr>
              <w:widowControl w:val="0"/>
              <w:spacing w:after="160" w:line="278" w:lineRule="auto"/>
              <w:jc w:val="center"/>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25</w:t>
            </w:r>
          </w:p>
        </w:tc>
        <w:tc>
          <w:tcPr>
            <w:tcW w:w="445" w:type="dxa"/>
            <w:vAlign w:val="center"/>
          </w:tcPr>
          <w:p>
            <w:pPr>
              <w:widowControl w:val="0"/>
              <w:spacing w:after="160" w:line="278" w:lineRule="auto"/>
              <w:jc w:val="center"/>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套</w:t>
            </w:r>
          </w:p>
        </w:tc>
        <w:tc>
          <w:tcPr>
            <w:tcW w:w="595" w:type="dxa"/>
            <w:vAlign w:val="center"/>
          </w:tcPr>
          <w:p>
            <w:pPr>
              <w:widowControl w:val="0"/>
              <w:spacing w:after="160" w:line="278" w:lineRule="auto"/>
              <w:jc w:val="center"/>
              <w:rPr>
                <w:rFonts w:hint="eastAsia" w:ascii="宋体" w:hAnsi="宋体" w:eastAsia="宋体" w:cs="宋体"/>
                <w:bCs/>
                <w:kern w:val="2"/>
                <w:sz w:val="21"/>
                <w:szCs w:val="21"/>
                <w:lang w:eastAsia="zh-CN"/>
              </w:rPr>
            </w:pPr>
          </w:p>
        </w:tc>
        <w:tc>
          <w:tcPr>
            <w:tcW w:w="586" w:type="dxa"/>
            <w:vAlign w:val="center"/>
          </w:tcPr>
          <w:p>
            <w:pPr>
              <w:widowControl w:val="0"/>
              <w:spacing w:after="160" w:line="278" w:lineRule="auto"/>
              <w:jc w:val="center"/>
              <w:rPr>
                <w:rFonts w:hint="eastAsia" w:ascii="宋体" w:hAnsi="宋体" w:eastAsia="宋体" w:cs="宋体"/>
                <w:bCs/>
                <w:kern w:val="2"/>
                <w:sz w:val="21"/>
                <w:szCs w:val="21"/>
                <w:lang w:eastAsia="zh-CN"/>
              </w:rPr>
            </w:pPr>
          </w:p>
        </w:tc>
        <w:tc>
          <w:tcPr>
            <w:tcW w:w="922" w:type="dxa"/>
            <w:vMerge w:val="continue"/>
            <w:vAlign w:val="center"/>
          </w:tcPr>
          <w:p>
            <w:pPr>
              <w:widowControl w:val="0"/>
              <w:spacing w:after="160" w:line="278" w:lineRule="auto"/>
              <w:jc w:val="center"/>
              <w:rPr>
                <w:rFonts w:hint="eastAsia" w:ascii="宋体" w:hAnsi="宋体" w:eastAsia="宋体" w:cs="宋体"/>
                <w:bCs/>
                <w:kern w:val="2"/>
                <w:sz w:val="21"/>
                <w:szCs w:val="21"/>
                <w:lang w:val="en-US" w:eastAsia="zh-CN"/>
              </w:rPr>
            </w:pPr>
          </w:p>
        </w:tc>
      </w:tr>
    </w:tbl>
    <w:p>
      <w:pPr>
        <w:widowControl w:val="0"/>
        <w:spacing w:after="160" w:line="278" w:lineRule="auto"/>
        <w:ind w:firstLine="482" w:firstLineChars="200"/>
        <w:jc w:val="both"/>
        <w:rPr>
          <w:rFonts w:hint="default" w:ascii="宋体" w:hAnsi="宋体" w:eastAsia="宋体"/>
          <w:b/>
          <w:kern w:val="2"/>
          <w:lang w:val="en-US" w:eastAsia="zh-CN"/>
        </w:rPr>
      </w:pPr>
      <w:r>
        <w:rPr>
          <w:rFonts w:hint="eastAsia" w:ascii="宋体" w:hAnsi="宋体" w:eastAsia="宋体"/>
          <w:b/>
          <w:kern w:val="2"/>
          <w:lang w:eastAsia="zh-CN"/>
        </w:rPr>
        <w:t xml:space="preserve"> </w:t>
      </w:r>
      <w:r>
        <w:rPr>
          <w:rFonts w:hint="eastAsia" w:ascii="宋体" w:hAnsi="宋体" w:eastAsia="宋体"/>
          <w:b/>
          <w:kern w:val="2"/>
          <w:lang w:val="en-US" w:eastAsia="zh-CN"/>
        </w:rPr>
        <w:t xml:space="preserve">                    </w:t>
      </w:r>
    </w:p>
    <w:p>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b/>
          <w:bCs w:val="0"/>
          <w:sz w:val="24"/>
          <w:szCs w:val="24"/>
          <w:lang w:val="en-US"/>
        </w:rPr>
      </w:pPr>
      <w:bookmarkStart w:id="64" w:name="OLE_LINK29"/>
      <w:bookmarkStart w:id="65" w:name="OLE_LINK30"/>
      <w:r>
        <w:rPr>
          <w:rFonts w:hint="eastAsia" w:ascii="宋体" w:hAnsi="宋体" w:eastAsia="宋体" w:cs="宋体"/>
          <w:b/>
          <w:bCs w:val="0"/>
          <w:kern w:val="2"/>
          <w:sz w:val="24"/>
          <w:szCs w:val="24"/>
          <w:lang w:val="en-US" w:eastAsia="zh-CN" w:bidi="ar"/>
        </w:rPr>
        <w:t>注：1.本表可按同样格式扩展。</w:t>
      </w:r>
    </w:p>
    <w:p>
      <w:pPr>
        <w:keepNext w:val="0"/>
        <w:keepLines w:val="0"/>
        <w:widowControl w:val="0"/>
        <w:suppressLineNumbers w:val="0"/>
        <w:spacing w:before="0" w:beforeAutospacing="0" w:after="0" w:afterAutospacing="0"/>
        <w:ind w:left="0" w:right="0" w:firstLine="472" w:firstLineChars="196"/>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pPr>
        <w:keepNext w:val="0"/>
        <w:keepLines w:val="0"/>
        <w:widowControl w:val="0"/>
        <w:suppressLineNumbers w:val="0"/>
        <w:spacing w:before="0" w:beforeAutospacing="0" w:after="0" w:afterAutospacing="0"/>
        <w:ind w:left="0" w:right="0" w:firstLine="472" w:firstLineChars="196"/>
        <w:jc w:val="both"/>
        <w:rPr>
          <w:b/>
          <w:bCs w:val="0"/>
          <w:sz w:val="24"/>
          <w:szCs w:val="24"/>
          <w:lang w:val="en-US"/>
        </w:rPr>
      </w:pPr>
      <w:r>
        <w:rPr>
          <w:rFonts w:hint="eastAsia" w:ascii="宋体" w:hAnsi="宋体" w:eastAsia="宋体" w:cs="宋体"/>
          <w:b/>
          <w:bCs w:val="0"/>
          <w:kern w:val="2"/>
          <w:sz w:val="24"/>
          <w:szCs w:val="24"/>
          <w:lang w:val="en-US" w:eastAsia="zh-CN" w:bidi="ar"/>
        </w:rPr>
        <w:t>3.如所投货物属于定制类的非量产货物或无具体型号的货物，可以在“规格/型号”栏目仅填写规格信息而不填型号信息（型号信息用“定制”描述即可）；</w:t>
      </w:r>
      <w:bookmarkStart w:id="66" w:name="_Hlk73646428"/>
      <w:r>
        <w:rPr>
          <w:rFonts w:hint="eastAsia" w:ascii="宋体" w:hAnsi="宋体" w:eastAsia="宋体" w:cs="宋体"/>
          <w:b/>
          <w:bCs w:val="0"/>
          <w:kern w:val="2"/>
          <w:sz w:val="24"/>
          <w:szCs w:val="24"/>
          <w:lang w:val="en-US" w:eastAsia="zh-CN" w:bidi="ar"/>
        </w:rPr>
        <w:t>此类填写错误或缺漏（所投货物为定制类的非量产货物但供应商却错误填报了型号）的不利后果</w:t>
      </w:r>
      <w:r>
        <w:rPr>
          <w:rFonts w:hint="eastAsia" w:ascii="Times New Roman" w:hAnsi="Times New Roman" w:eastAsia="宋体" w:cs="宋体"/>
          <w:b/>
          <w:bCs w:val="0"/>
          <w:kern w:val="2"/>
          <w:sz w:val="24"/>
          <w:szCs w:val="24"/>
          <w:lang w:val="en-US" w:eastAsia="zh-CN" w:bidi="ar"/>
        </w:rPr>
        <w:t>由供应商承担。经评审委员会认定，在使用综合评分法的项目中一项此类填写错误或缺漏将按照一项普通招标技术要求（一般参数</w:t>
      </w:r>
      <w:r>
        <w:rPr>
          <w:rFonts w:hint="default" w:ascii="Times New Roman" w:hAnsi="Times New Roman" w:eastAsia="宋体" w:cs="Times New Roman"/>
          <w:b/>
          <w:bCs w:val="0"/>
          <w:kern w:val="2"/>
          <w:sz w:val="24"/>
          <w:szCs w:val="24"/>
          <w:lang w:val="en-US" w:eastAsia="zh-CN" w:bidi="ar"/>
        </w:rPr>
        <w:t>/</w:t>
      </w:r>
      <w:r>
        <w:rPr>
          <w:rFonts w:hint="eastAsia" w:ascii="Times New Roman" w:hAnsi="Times New Roman" w:eastAsia="宋体" w:cs="宋体"/>
          <w:b/>
          <w:bCs w:val="0"/>
          <w:kern w:val="2"/>
          <w:sz w:val="24"/>
          <w:szCs w:val="24"/>
          <w:lang w:val="en-US" w:eastAsia="zh-CN" w:bidi="ar"/>
        </w:rPr>
        <w:t>普通参数）负偏离扣分处理。</w:t>
      </w:r>
      <w:bookmarkEnd w:id="66"/>
    </w:p>
    <w:p>
      <w:pPr>
        <w:keepNext w:val="0"/>
        <w:keepLines w:val="0"/>
        <w:widowControl w:val="0"/>
        <w:suppressLineNumbers w:val="0"/>
        <w:spacing w:before="0" w:beforeAutospacing="0" w:after="0" w:afterAutospacing="0"/>
        <w:ind w:left="0" w:right="0" w:firstLine="472" w:firstLineChars="196"/>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3.“原产地”是指货物的实际生产加工地，非品牌所在地</w:t>
      </w:r>
    </w:p>
    <w:p>
      <w:pPr>
        <w:keepNext w:val="0"/>
        <w:keepLines w:val="0"/>
        <w:widowControl w:val="0"/>
        <w:suppressLineNumbers w:val="0"/>
        <w:spacing w:before="0" w:beforeAutospacing="0" w:after="0" w:afterAutospacing="0"/>
        <w:ind w:left="0" w:right="0" w:firstLine="472" w:firstLineChars="196"/>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4.所投货物均应填写制造商名称，“制造商”是指产品品牌厂商，产品代工制造的，应填写接受委托生产制造的制造商。</w:t>
      </w:r>
    </w:p>
    <w:p>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5.以上分项报价表的投标总价应当与开标一览表的投标总价一致。</w:t>
      </w:r>
    </w:p>
    <w:p>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6.单价、合价和投标总价为包干价，即三者均应包含货物的价款、包装、运输、装卸、安装、调试、技术指导、培训、咨询、服务、保险、税费、检测、验收合格交付使用之前以及技术和售后服务等其他各项有关费用。</w:t>
      </w:r>
    </w:p>
    <w:p>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7.</w:t>
      </w:r>
      <w:bookmarkStart w:id="67" w:name="OLE_LINK28"/>
      <w:r>
        <w:rPr>
          <w:rFonts w:hint="eastAsia" w:ascii="宋体" w:hAnsi="宋体" w:eastAsia="宋体" w:cs="宋体"/>
          <w:b/>
          <w:bCs w:val="0"/>
          <w:kern w:val="2"/>
          <w:sz w:val="24"/>
          <w:szCs w:val="24"/>
          <w:lang w:val="en-US" w:eastAsia="zh-CN" w:bidi="ar"/>
        </w:rPr>
        <w:t>所有价格应按“招标文件”中规定的货币单位填写；投标总价应为以上各分项价格之和；投标总价和项目报价表中单个采购预算条目报价均不得超过对应的财政预算限额，否则将导致投标无效。</w:t>
      </w:r>
      <w:bookmarkEnd w:id="64"/>
      <w:bookmarkEnd w:id="65"/>
      <w:bookmarkEnd w:id="67"/>
    </w:p>
    <w:p>
      <w:pPr>
        <w:widowControl w:val="0"/>
        <w:spacing w:after="160" w:line="278" w:lineRule="auto"/>
        <w:ind w:firstLine="482" w:firstLineChars="200"/>
        <w:jc w:val="both"/>
        <w:rPr>
          <w:rFonts w:ascii="宋体" w:hAnsi="宋体" w:eastAsia="宋体"/>
          <w:b/>
          <w:color w:val="FF0000"/>
          <w:kern w:val="2"/>
          <w:lang w:eastAsia="zh-CN"/>
        </w:rPr>
      </w:pPr>
    </w:p>
    <w:p>
      <w:pPr>
        <w:widowControl w:val="0"/>
        <w:spacing w:after="160" w:line="278" w:lineRule="auto"/>
        <w:ind w:firstLine="482" w:firstLineChars="200"/>
        <w:jc w:val="both"/>
        <w:rPr>
          <w:rFonts w:ascii="宋体" w:hAnsi="宋体" w:eastAsia="宋体"/>
          <w:b/>
          <w:color w:val="FF0000"/>
          <w:kern w:val="2"/>
          <w:lang w:eastAsia="zh-CN"/>
        </w:rPr>
      </w:pPr>
    </w:p>
    <w:p>
      <w:pPr>
        <w:widowControl w:val="0"/>
        <w:tabs>
          <w:tab w:val="left" w:pos="720"/>
        </w:tabs>
        <w:spacing w:after="160" w:line="278" w:lineRule="auto"/>
        <w:jc w:val="center"/>
        <w:rPr>
          <w:rFonts w:eastAsia="宋体"/>
          <w:b/>
          <w:kern w:val="2"/>
          <w:lang w:eastAsia="zh-CN"/>
        </w:rPr>
      </w:pPr>
      <w:r>
        <w:rPr>
          <w:rFonts w:hint="eastAsia" w:eastAsia="宋体"/>
          <w:b/>
          <w:kern w:val="2"/>
          <w:lang w:eastAsia="zh-CN"/>
        </w:rPr>
        <w:t>（二）核心产品品牌</w:t>
      </w:r>
    </w:p>
    <w:p>
      <w:pPr>
        <w:widowControl w:val="0"/>
        <w:spacing w:after="160" w:line="278" w:lineRule="auto"/>
        <w:ind w:firstLine="482" w:firstLineChars="200"/>
        <w:jc w:val="both"/>
        <w:rPr>
          <w:rFonts w:ascii="宋体" w:hAnsi="宋体" w:eastAsia="宋体"/>
          <w:b/>
          <w:color w:val="FF0000"/>
          <w:kern w:val="2"/>
          <w:lang w:eastAsia="zh-CN"/>
        </w:rPr>
      </w:pPr>
    </w:p>
    <w:p>
      <w:pPr>
        <w:widowControl w:val="0"/>
        <w:spacing w:after="160" w:line="278" w:lineRule="auto"/>
        <w:ind w:firstLine="482" w:firstLineChars="200"/>
        <w:jc w:val="both"/>
        <w:rPr>
          <w:rFonts w:ascii="宋体" w:hAnsi="宋体" w:eastAsia="宋体"/>
          <w:b/>
          <w:kern w:val="2"/>
          <w:lang w:eastAsia="zh-CN"/>
        </w:rPr>
      </w:pPr>
      <w:r>
        <w:rPr>
          <w:rFonts w:hint="eastAsia" w:eastAsia="宋体"/>
          <w:b/>
          <w:kern w:val="2"/>
          <w:lang w:eastAsia="zh-CN"/>
        </w:rPr>
        <w:t>我单位所投核心产品的品牌为：</w:t>
      </w:r>
      <w:r>
        <w:rPr>
          <w:rFonts w:hint="eastAsia" w:eastAsia="宋体"/>
          <w:b/>
          <w:kern w:val="2"/>
          <w:u w:val="single"/>
          <w:lang w:eastAsia="zh-CN"/>
        </w:rPr>
        <w:t xml:space="preserve">               </w:t>
      </w:r>
      <w:r>
        <w:rPr>
          <w:rFonts w:hint="eastAsia" w:eastAsia="宋体"/>
          <w:b/>
          <w:kern w:val="2"/>
          <w:lang w:eastAsia="zh-CN"/>
        </w:rPr>
        <w:t>。</w:t>
      </w:r>
    </w:p>
    <w:p>
      <w:pPr>
        <w:widowControl w:val="0"/>
        <w:spacing w:after="160" w:line="278" w:lineRule="auto"/>
        <w:ind w:firstLine="482" w:firstLineChars="200"/>
        <w:jc w:val="both"/>
        <w:rPr>
          <w:rFonts w:ascii="宋体" w:hAnsi="宋体" w:eastAsia="宋体"/>
          <w:b/>
          <w:color w:val="FF0000"/>
          <w:kern w:val="2"/>
          <w:lang w:eastAsia="zh-CN"/>
        </w:rPr>
      </w:pPr>
    </w:p>
    <w:p>
      <w:pPr>
        <w:widowControl w:val="0"/>
        <w:spacing w:after="160" w:line="278" w:lineRule="auto"/>
        <w:ind w:firstLine="480" w:firstLineChars="200"/>
        <w:jc w:val="both"/>
        <w:rPr>
          <w:rFonts w:ascii="宋体" w:hAnsi="宋体" w:eastAsia="宋体"/>
          <w:kern w:val="2"/>
          <w:lang w:eastAsia="zh-CN"/>
        </w:rPr>
      </w:pPr>
      <w:r>
        <w:rPr>
          <w:rFonts w:hint="eastAsia" w:ascii="宋体" w:hAnsi="宋体" w:eastAsia="宋体"/>
          <w:kern w:val="2"/>
          <w:lang w:eastAsia="zh-CN"/>
        </w:rPr>
        <w:t>备注：单一产品采购项目，核心产品即为该单一产品。</w:t>
      </w:r>
    </w:p>
    <w:p>
      <w:pPr>
        <w:widowControl w:val="0"/>
        <w:spacing w:after="160" w:line="278" w:lineRule="auto"/>
        <w:ind w:firstLine="482" w:firstLineChars="200"/>
        <w:jc w:val="both"/>
        <w:rPr>
          <w:rFonts w:ascii="宋体" w:hAnsi="宋体" w:eastAsia="宋体"/>
          <w:b/>
          <w:color w:val="FF0000"/>
          <w:kern w:val="2"/>
          <w:lang w:eastAsia="zh-CN"/>
        </w:rPr>
      </w:pPr>
    </w:p>
    <w:p>
      <w:pPr>
        <w:widowControl w:val="0"/>
        <w:spacing w:after="160" w:line="278" w:lineRule="auto"/>
        <w:ind w:firstLine="482" w:firstLineChars="200"/>
        <w:jc w:val="both"/>
        <w:rPr>
          <w:rFonts w:ascii="宋体" w:hAnsi="宋体" w:eastAsia="宋体"/>
          <w:b/>
          <w:color w:val="FF0000"/>
          <w:kern w:val="2"/>
          <w:lang w:eastAsia="zh-CN"/>
        </w:rPr>
      </w:pPr>
    </w:p>
    <w:p>
      <w:pPr>
        <w:widowControl w:val="0"/>
        <w:spacing w:after="160" w:line="278" w:lineRule="auto"/>
        <w:jc w:val="both"/>
        <w:rPr>
          <w:rFonts w:eastAsia="宋体"/>
          <w:b/>
          <w:kern w:val="2"/>
          <w:lang w:eastAsia="zh-CN"/>
        </w:rPr>
      </w:pPr>
    </w:p>
    <w:p>
      <w:pPr>
        <w:widowControl w:val="0"/>
        <w:tabs>
          <w:tab w:val="left" w:pos="720"/>
        </w:tabs>
        <w:spacing w:after="160" w:line="278" w:lineRule="auto"/>
        <w:ind w:firstLine="1928" w:firstLineChars="800"/>
        <w:jc w:val="both"/>
        <w:rPr>
          <w:rFonts w:eastAsia="宋体"/>
          <w:b/>
          <w:kern w:val="2"/>
          <w:lang w:eastAsia="zh-CN"/>
        </w:rPr>
      </w:pPr>
      <w:r>
        <w:rPr>
          <w:rFonts w:hint="eastAsia" w:eastAsia="宋体"/>
          <w:b/>
          <w:kern w:val="2"/>
          <w:lang w:eastAsia="zh-CN"/>
        </w:rPr>
        <w:t>（三）可选配件报价清单（不包括在总报价内）</w:t>
      </w:r>
    </w:p>
    <w:p>
      <w:pPr>
        <w:widowControl w:val="0"/>
        <w:spacing w:after="160" w:line="278" w:lineRule="auto"/>
        <w:ind w:firstLine="422" w:firstLineChars="200"/>
        <w:jc w:val="both"/>
        <w:rPr>
          <w:rFonts w:hAnsi="宋体" w:eastAsia="宋体"/>
          <w:b/>
          <w:bCs/>
          <w:kern w:val="2"/>
          <w:sz w:val="21"/>
          <w:szCs w:val="21"/>
          <w:lang w:eastAsia="zh-CN"/>
        </w:rPr>
      </w:pPr>
      <w:r>
        <w:rPr>
          <w:rFonts w:hint="eastAsia" w:hAnsi="宋体" w:eastAsia="宋体"/>
          <w:b/>
          <w:bCs/>
          <w:kern w:val="2"/>
          <w:sz w:val="21"/>
          <w:szCs w:val="21"/>
          <w:lang w:eastAsia="zh-CN"/>
        </w:rPr>
        <w:t>注：格式可以参照《（一）分项报价表》表格，并提供相应的品牌/规格/型号、原产地、制造商信息（没有品牌、型号的，用“定制”描述即可）、单价等详细信息</w:t>
      </w:r>
    </w:p>
    <w:p>
      <w:pPr>
        <w:widowControl w:val="0"/>
        <w:spacing w:after="160" w:line="278" w:lineRule="auto"/>
        <w:ind w:firstLine="482" w:firstLineChars="200"/>
        <w:jc w:val="both"/>
        <w:rPr>
          <w:rFonts w:hAnsi="宋体" w:eastAsia="宋体"/>
          <w:b/>
          <w:bCs/>
          <w:kern w:val="2"/>
          <w:lang w:eastAsia="zh-CN"/>
        </w:rPr>
      </w:pPr>
    </w:p>
    <w:p>
      <w:pPr>
        <w:widowControl w:val="0"/>
        <w:spacing w:after="160" w:line="278" w:lineRule="auto"/>
        <w:ind w:firstLine="482" w:firstLineChars="200"/>
        <w:jc w:val="both"/>
        <w:rPr>
          <w:rFonts w:hAnsi="宋体" w:eastAsia="宋体"/>
          <w:b/>
          <w:bCs/>
          <w:kern w:val="2"/>
          <w:lang w:eastAsia="zh-CN"/>
        </w:rPr>
      </w:pPr>
    </w:p>
    <w:p>
      <w:pPr>
        <w:widowControl w:val="0"/>
        <w:tabs>
          <w:tab w:val="left" w:pos="720"/>
        </w:tabs>
        <w:spacing w:after="160" w:line="278" w:lineRule="auto"/>
        <w:jc w:val="center"/>
        <w:rPr>
          <w:rFonts w:eastAsia="宋体"/>
          <w:b/>
          <w:kern w:val="2"/>
          <w:lang w:eastAsia="zh-CN"/>
        </w:rPr>
      </w:pPr>
      <w:r>
        <w:rPr>
          <w:rFonts w:hint="eastAsia" w:eastAsia="宋体"/>
          <w:b/>
          <w:kern w:val="2"/>
          <w:lang w:eastAsia="zh-CN"/>
        </w:rPr>
        <w:t>（四）</w:t>
      </w:r>
      <w:bookmarkStart w:id="68" w:name="_Hlk72073235"/>
      <w:r>
        <w:rPr>
          <w:rFonts w:hint="eastAsia" w:eastAsia="宋体"/>
          <w:b/>
          <w:kern w:val="2"/>
          <w:lang w:eastAsia="zh-CN"/>
        </w:rPr>
        <w:t>投标人认为需要涉及的其他内容报价清单</w:t>
      </w:r>
      <w:bookmarkEnd w:id="68"/>
    </w:p>
    <w:p>
      <w:pPr>
        <w:widowControl w:val="0"/>
        <w:spacing w:after="160" w:line="278" w:lineRule="auto"/>
        <w:jc w:val="both"/>
        <w:rPr>
          <w:rFonts w:eastAsia="宋体"/>
          <w:b/>
          <w:bCs/>
          <w:kern w:val="2"/>
          <w:sz w:val="21"/>
          <w:lang w:eastAsia="zh-CN"/>
        </w:rPr>
      </w:pPr>
    </w:p>
    <w:p>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bCs/>
          <w:kern w:val="2"/>
          <w:lang w:eastAsia="zh-CN"/>
        </w:rPr>
        <w:t>五、认证情况</w:t>
      </w:r>
    </w:p>
    <w:p>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bCs/>
          <w:kern w:val="2"/>
          <w:lang w:eastAsia="zh-CN"/>
        </w:rPr>
        <w:t>六、同类项目业绩情况</w:t>
      </w:r>
    </w:p>
    <w:p>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bCs/>
          <w:kern w:val="2"/>
          <w:lang w:eastAsia="zh-CN"/>
        </w:rPr>
        <w:t xml:space="preserve">          </w:t>
      </w:r>
      <w:bookmarkStart w:id="69" w:name="_Hlk72260501"/>
      <w:r>
        <w:rPr>
          <w:rFonts w:hint="eastAsia" w:ascii="黑体" w:hAnsi="宋体" w:eastAsia="黑体"/>
          <w:bCs/>
          <w:kern w:val="2"/>
          <w:lang w:eastAsia="zh-CN"/>
        </w:rPr>
        <w:t xml:space="preserve">  </w:t>
      </w:r>
      <w:bookmarkEnd w:id="69"/>
      <w:r>
        <w:rPr>
          <w:rFonts w:hint="eastAsia" w:ascii="黑体" w:hAnsi="宋体" w:eastAsia="黑体"/>
          <w:bCs/>
          <w:kern w:val="2"/>
          <w:lang w:eastAsia="zh-CN"/>
        </w:rPr>
        <w:t>七、投标人认为需要加以说明的其他内容（正文部分）</w:t>
      </w:r>
    </w:p>
    <w:p>
      <w:pPr>
        <w:widowControl w:val="0"/>
        <w:spacing w:after="160" w:line="278" w:lineRule="auto"/>
        <w:jc w:val="both"/>
        <w:rPr>
          <w:rFonts w:eastAsia="宋体"/>
          <w:kern w:val="2"/>
          <w:sz w:val="21"/>
          <w:lang w:eastAsia="zh-CN"/>
        </w:rPr>
      </w:pPr>
    </w:p>
    <w:bookmarkEnd w:id="63"/>
    <w:p>
      <w:pPr>
        <w:spacing w:after="160" w:line="278" w:lineRule="auto"/>
        <w:rPr>
          <w:rFonts w:ascii="宋体" w:hAnsi="宋体" w:eastAsia="宋体"/>
          <w:b/>
          <w:color w:val="FF0000"/>
          <w:kern w:val="2"/>
          <w:sz w:val="28"/>
          <w:szCs w:val="28"/>
          <w:lang w:eastAsia="zh-CN"/>
        </w:rPr>
      </w:pPr>
      <w:bookmarkStart w:id="70" w:name="_Hlk72260530"/>
      <w:r>
        <w:rPr>
          <w:rFonts w:hint="eastAsia" w:ascii="宋体" w:hAnsi="宋体" w:eastAsia="宋体"/>
          <w:b/>
          <w:color w:val="FF0000"/>
          <w:kern w:val="2"/>
          <w:sz w:val="28"/>
          <w:szCs w:val="28"/>
          <w:lang w:eastAsia="zh-CN"/>
        </w:rPr>
        <w:br w:type="page"/>
      </w:r>
    </w:p>
    <w:p>
      <w:pPr>
        <w:widowControl w:val="0"/>
        <w:spacing w:after="160" w:line="278" w:lineRule="auto"/>
        <w:jc w:val="both"/>
        <w:outlineLvl w:val="1"/>
        <w:rPr>
          <w:rFonts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t>投标文件附件</w:t>
      </w:r>
    </w:p>
    <w:p>
      <w:pPr>
        <w:keepNext/>
        <w:keepLines/>
        <w:widowControl w:val="0"/>
        <w:spacing w:before="0" w:after="0" w:line="240" w:lineRule="auto"/>
        <w:jc w:val="center"/>
        <w:outlineLvl w:val="2"/>
        <w:rPr>
          <w:rFonts w:ascii="黑体" w:hAnsi="黑体" w:eastAsia="黑体" w:cs="黑体"/>
          <w:b w:val="0"/>
          <w:bCs w:val="0"/>
          <w:kern w:val="2"/>
          <w:sz w:val="24"/>
          <w:szCs w:val="28"/>
          <w:lang w:val="en-US" w:eastAsia="zh-CN" w:bidi="ar-SA"/>
        </w:rPr>
      </w:pPr>
      <w:r>
        <w:rPr>
          <w:rFonts w:hint="eastAsia" w:ascii="黑体" w:hAnsi="黑体" w:eastAsia="黑体" w:cs="黑体"/>
          <w:b w:val="0"/>
          <w:bCs w:val="0"/>
          <w:kern w:val="2"/>
          <w:sz w:val="24"/>
          <w:szCs w:val="28"/>
          <w:lang w:val="en-US" w:eastAsia="zh-CN" w:bidi="ar-SA"/>
        </w:rPr>
        <w:t>一、供应商基本情况表</w:t>
      </w:r>
    </w:p>
    <w:p>
      <w:pPr>
        <w:rPr>
          <w:rFonts w:ascii="Times New Roman" w:hAnsi="Times New Roman" w:eastAsia="宋体" w:cs="Times New Roman"/>
        </w:rPr>
      </w:pPr>
    </w:p>
    <w:tbl>
      <w:tblPr>
        <w:tblStyle w:val="20"/>
        <w:tblpPr w:leftFromText="180" w:rightFromText="180" w:vertAnchor="text" w:horzAnchor="page" w:tblpX="1349" w:tblpY="482"/>
        <w:tblOverlap w:val="never"/>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316"/>
        <w:gridCol w:w="1237"/>
        <w:gridCol w:w="791"/>
        <w:gridCol w:w="912"/>
        <w:gridCol w:w="1729"/>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供应商统一社会信用代码</w:t>
            </w:r>
          </w:p>
        </w:tc>
        <w:tc>
          <w:tcPr>
            <w:tcW w:w="35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1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职务</w:t>
            </w:r>
          </w:p>
        </w:tc>
        <w:tc>
          <w:tcPr>
            <w:tcW w:w="12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劳动合同</w:t>
            </w:r>
          </w:p>
          <w:p>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关系单位</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缴纳社会</w:t>
            </w:r>
          </w:p>
          <w:p>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法定代表人/单位负责人/主要经营负责人</w:t>
            </w:r>
          </w:p>
        </w:tc>
        <w:tc>
          <w:tcPr>
            <w:tcW w:w="12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项目投标授权代表人</w:t>
            </w:r>
          </w:p>
        </w:tc>
        <w:tc>
          <w:tcPr>
            <w:tcW w:w="12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12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主要技术人员</w:t>
            </w:r>
          </w:p>
        </w:tc>
        <w:tc>
          <w:tcPr>
            <w:tcW w:w="12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firstLine="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投标文件编制人员</w:t>
            </w:r>
          </w:p>
        </w:tc>
        <w:tc>
          <w:tcPr>
            <w:tcW w:w="12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1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b/>
                <w:bCs/>
                <w:sz w:val="21"/>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1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sz w:val="21"/>
                <w:szCs w:val="21"/>
              </w:rPr>
            </w:pPr>
            <w:r>
              <w:rPr>
                <w:rFonts w:hint="eastAsia" w:ascii="宋体" w:hAnsi="宋体" w:eastAsia="宋体" w:cs="宋体"/>
                <w:b/>
                <w:bCs/>
                <w:sz w:val="21"/>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lang w:bidi="ar"/>
              </w:rPr>
            </w:pPr>
            <w:r>
              <w:rPr>
                <w:rFonts w:hint="eastAsia" w:ascii="宋体" w:hAnsi="宋体" w:eastAsia="宋体" w:cs="宋体"/>
                <w:sz w:val="21"/>
                <w:szCs w:val="21"/>
                <w:lang w:bidi="ar"/>
              </w:rPr>
              <w:t>序号</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关联关系类型</w:t>
            </w:r>
          </w:p>
        </w:tc>
        <w:tc>
          <w:tcPr>
            <w:tcW w:w="20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关联主体名称</w:t>
            </w:r>
          </w:p>
        </w:tc>
        <w:tc>
          <w:tcPr>
            <w:tcW w:w="44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控股股东</w:t>
            </w:r>
          </w:p>
        </w:tc>
        <w:tc>
          <w:tcPr>
            <w:tcW w:w="20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44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sz w:val="21"/>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管理关系</w:t>
            </w:r>
          </w:p>
        </w:tc>
        <w:tc>
          <w:tcPr>
            <w:tcW w:w="20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44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sz w:val="21"/>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1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b/>
                <w:bCs/>
                <w:sz w:val="21"/>
                <w:szCs w:val="21"/>
              </w:rPr>
              <w:t>说明：同一关联关系类型有多个主体的，应分行填写。</w:t>
            </w:r>
          </w:p>
        </w:tc>
      </w:tr>
    </w:tbl>
    <w:p>
      <w:pPr>
        <w:rPr>
          <w:rFonts w:ascii="宋体" w:hAnsi="宋体" w:eastAsia="宋体" w:cs="宋体"/>
          <w:sz w:val="24"/>
        </w:rPr>
      </w:pPr>
      <w:r>
        <w:rPr>
          <w:rFonts w:hint="eastAsia" w:ascii="宋体" w:hAnsi="宋体" w:eastAsia="宋体" w:cs="宋体"/>
          <w:sz w:val="24"/>
        </w:rPr>
        <w:t>填表单位：</w:t>
      </w:r>
      <w:r>
        <w:rPr>
          <w:rFonts w:hint="eastAsia" w:ascii="宋体" w:hAnsi="宋体" w:eastAsia="宋体" w:cs="宋体"/>
          <w:b/>
          <w:color w:val="FF0000"/>
          <w:sz w:val="24"/>
          <w:highlight w:val="yellow"/>
        </w:rPr>
        <w:t>（加盖单位公章）</w:t>
      </w:r>
      <w:r>
        <w:rPr>
          <w:rFonts w:hint="eastAsia" w:ascii="宋体" w:hAnsi="宋体" w:eastAsia="宋体" w:cs="宋体"/>
          <w:sz w:val="24"/>
        </w:rPr>
        <w:tab/>
      </w:r>
      <w:r>
        <w:rPr>
          <w:rFonts w:hint="eastAsia" w:ascii="宋体" w:hAnsi="宋体" w:eastAsia="宋体" w:cs="宋体"/>
          <w:sz w:val="24"/>
        </w:rPr>
        <w:t xml:space="preserve">             填表日期：    年   月   日</w:t>
      </w:r>
    </w:p>
    <w:p>
      <w:pPr>
        <w:keepNext/>
        <w:keepLines/>
        <w:widowControl w:val="0"/>
        <w:spacing w:before="260" w:after="260"/>
        <w:jc w:val="center"/>
        <w:outlineLvl w:val="2"/>
        <w:rPr>
          <w:rFonts w:hint="eastAsia" w:ascii="黑体" w:hAnsi="宋体" w:eastAsia="黑体"/>
          <w:bCs/>
          <w:kern w:val="2"/>
          <w:szCs w:val="32"/>
          <w:lang w:eastAsia="zh-CN"/>
        </w:rPr>
      </w:pPr>
    </w:p>
    <w:p>
      <w:pPr>
        <w:keepNext/>
        <w:keepLines/>
        <w:widowControl w:val="0"/>
        <w:spacing w:before="260" w:after="260"/>
        <w:jc w:val="center"/>
        <w:outlineLvl w:val="2"/>
        <w:rPr>
          <w:rFonts w:hint="eastAsia" w:ascii="黑体" w:hAnsi="宋体" w:eastAsia="黑体"/>
          <w:bCs/>
          <w:kern w:val="2"/>
          <w:szCs w:val="32"/>
          <w:lang w:eastAsia="zh-CN"/>
        </w:rPr>
      </w:pPr>
    </w:p>
    <w:p>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bCs/>
          <w:kern w:val="2"/>
          <w:szCs w:val="32"/>
          <w:lang w:val="en-US" w:eastAsia="zh-CN"/>
        </w:rPr>
        <w:t>二</w:t>
      </w:r>
      <w:r>
        <w:rPr>
          <w:rFonts w:hint="eastAsia" w:ascii="黑体" w:hAnsi="宋体" w:eastAsia="黑体"/>
          <w:bCs/>
          <w:kern w:val="2"/>
          <w:szCs w:val="32"/>
          <w:lang w:eastAsia="zh-CN"/>
        </w:rPr>
        <w:t>、</w:t>
      </w:r>
      <w:bookmarkStart w:id="71" w:name="_Hlk72092499"/>
      <w:r>
        <w:rPr>
          <w:rFonts w:hint="eastAsia" w:ascii="黑体" w:hAnsi="宋体" w:eastAsia="黑体"/>
          <w:bCs/>
          <w:kern w:val="2"/>
          <w:szCs w:val="32"/>
          <w:lang w:eastAsia="zh-CN"/>
        </w:rPr>
        <w:t>法定代表人（负责人）证明书</w:t>
      </w:r>
      <w:bookmarkEnd w:id="71"/>
    </w:p>
    <w:p>
      <w:pPr>
        <w:widowControl w:val="0"/>
        <w:spacing w:after="160" w:line="278" w:lineRule="auto"/>
        <w:jc w:val="both"/>
        <w:rPr>
          <w:rFonts w:eastAsia="宋体"/>
          <w:kern w:val="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姓名</w:t>
      </w:r>
      <w:r>
        <w:rPr>
          <w:rFonts w:hint="eastAsia" w:ascii="宋体" w:hAnsi="宋体" w:eastAsia="宋体" w:cs="宋体"/>
          <w:sz w:val="21"/>
          <w:szCs w:val="21"/>
          <w:u w:val="none"/>
          <w:lang w:eastAsia="zh-CN"/>
        </w:rPr>
        <w:t>）</w:t>
      </w:r>
      <w:r>
        <w:rPr>
          <w:rFonts w:hint="eastAsia" w:ascii="宋体" w:hAnsi="宋体" w:eastAsia="宋体" w:cs="宋体"/>
          <w:sz w:val="21"/>
          <w:szCs w:val="21"/>
        </w:rPr>
        <w:t>，现任我单位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职务，为法定代表人（负责人），</w:t>
      </w:r>
      <w:r>
        <w:rPr>
          <w:rFonts w:hint="eastAsia" w:ascii="宋体" w:hAnsi="宋体" w:eastAsia="宋体" w:cs="宋体"/>
          <w:sz w:val="21"/>
          <w:szCs w:val="21"/>
          <w:lang w:val="en-US" w:eastAsia="zh-CN"/>
        </w:rPr>
        <w:t>身份证件</w:t>
      </w:r>
      <w:r>
        <w:rPr>
          <w:rFonts w:hint="eastAsia" w:ascii="宋体" w:hAnsi="宋体" w:eastAsia="宋体" w:cs="宋体"/>
          <w:sz w:val="21"/>
          <w:szCs w:val="21"/>
        </w:rPr>
        <w:t>号</w:t>
      </w:r>
      <w:r>
        <w:rPr>
          <w:rFonts w:hint="eastAsia" w:ascii="宋体" w:hAnsi="宋体" w:eastAsia="宋体" w:cs="宋体"/>
          <w:sz w:val="21"/>
          <w:szCs w:val="21"/>
          <w:lang w:val="en-US" w:eastAsia="zh-CN"/>
        </w:rPr>
        <w:t>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rPr>
        <w:t>联系电话：</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特此证明。</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说明：1、法定代表人为投标人（企业事业单位、国家机关、社会团体）的主要行政负责人。</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eastAsia="zh-Hans"/>
        </w:rPr>
        <w:t>本证明书要供法定代表人（负责人）</w:t>
      </w:r>
      <w:r>
        <w:rPr>
          <w:rFonts w:hint="eastAsia" w:ascii="宋体" w:hAnsi="宋体" w:eastAsia="宋体" w:cs="宋体"/>
          <w:b/>
          <w:bCs/>
          <w:color w:val="FF0000"/>
          <w:sz w:val="21"/>
          <w:szCs w:val="21"/>
          <w:lang w:val="en-US" w:eastAsia="zh-CN"/>
        </w:rPr>
        <w:t>相关身份证明文件：身份证扫描件（正反两面）；港澳台居民可提供来往通行证扫描件；非中国国籍管辖范围人员，可提供公安部门认可的身份证明材料扫描件。</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eastAsia="zh-Hans"/>
        </w:rPr>
        <w:t>本项目投标授权代表为法定代表人（负责人）的，无需提供</w:t>
      </w:r>
      <w:r>
        <w:rPr>
          <w:rFonts w:hint="eastAsia" w:ascii="宋体" w:hAnsi="宋体" w:eastAsia="宋体" w:cs="宋体"/>
          <w:b/>
          <w:bCs/>
          <w:color w:val="FF0000"/>
          <w:sz w:val="21"/>
          <w:szCs w:val="21"/>
        </w:rPr>
        <w:t>《投标文件签署授权委托书》</w:t>
      </w:r>
      <w:r>
        <w:rPr>
          <w:rFonts w:hint="eastAsia" w:ascii="宋体" w:hAnsi="宋体" w:eastAsia="宋体" w:cs="宋体"/>
          <w:b/>
          <w:bCs/>
          <w:color w:val="FF0000"/>
          <w:sz w:val="21"/>
          <w:szCs w:val="21"/>
          <w:lang w:eastAsia="zh-Hans"/>
        </w:rPr>
        <w:t>。</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内容必须填写真实、清楚，涂改无效，不得转让、买卖。</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证件扫描件正面</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tc>
        <w:tc>
          <w:tcPr>
            <w:tcW w:w="4265"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证件扫描件反面</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p>
        </w:tc>
      </w:tr>
    </w:tbl>
    <w:p>
      <w:pPr>
        <w:pStyle w:val="17"/>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b/>
          <w:bCs/>
          <w:kern w:val="2"/>
          <w:sz w:val="21"/>
          <w:szCs w:val="21"/>
          <w:lang w:val="en-US" w:eastAsia="zh-CN" w:bidi="ar"/>
        </w:rPr>
        <w:t>温馨提示</w:t>
      </w:r>
      <w:r>
        <w:rPr>
          <w:rFonts w:hint="eastAsia" w:ascii="宋体" w:hAnsi="宋体" w:eastAsia="宋体" w:cs="宋体"/>
          <w:kern w:val="2"/>
          <w:sz w:val="21"/>
          <w:szCs w:val="21"/>
          <w:lang w:val="en-US"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spacing w:after="160" w:line="278" w:lineRule="auto"/>
        <w:jc w:val="both"/>
        <w:rPr>
          <w:rFonts w:eastAsia="宋体"/>
          <w:kern w:val="2"/>
          <w:lang w:eastAsia="zh-CN"/>
        </w:rPr>
      </w:pPr>
    </w:p>
    <w:p>
      <w:pPr>
        <w:keepNext/>
        <w:keepLines/>
        <w:widowControl w:val="0"/>
        <w:spacing w:before="120" w:after="120"/>
        <w:jc w:val="center"/>
        <w:outlineLvl w:val="2"/>
        <w:rPr>
          <w:rFonts w:ascii="黑体" w:hAnsi="宋体" w:eastAsia="黑体"/>
          <w:bCs/>
          <w:kern w:val="2"/>
          <w:szCs w:val="32"/>
          <w:lang w:eastAsia="zh-CN"/>
        </w:rPr>
      </w:pPr>
      <w:r>
        <w:rPr>
          <w:rFonts w:hint="eastAsia" w:ascii="黑体" w:hAnsi="宋体" w:eastAsia="黑体"/>
          <w:bCs/>
          <w:kern w:val="2"/>
          <w:szCs w:val="32"/>
          <w:lang w:val="en-US" w:eastAsia="zh-CN"/>
        </w:rPr>
        <w:t>三</w:t>
      </w:r>
      <w:r>
        <w:rPr>
          <w:rFonts w:hint="eastAsia" w:ascii="黑体" w:hAnsi="宋体" w:eastAsia="黑体"/>
          <w:bCs/>
          <w:kern w:val="2"/>
          <w:szCs w:val="32"/>
          <w:lang w:eastAsia="zh-CN"/>
        </w:rPr>
        <w:t>、投标文件签署授权委托书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本授权委托书声明：我</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（投标人名称）的法定代表人（负责人），现授权委托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（姓名）为我单位签署本项目已递交的投标文件的法定代表人（负责人）的授权委托代理人，代理人全权代表我所签署的本项目已递交的投标文件内容我均承认。</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代理人无转委托权，特此委托。</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u w:val="none"/>
          <w:lang w:eastAsia="zh-CN"/>
        </w:rPr>
      </w:pPr>
      <w:r>
        <w:rPr>
          <w:rFonts w:hint="eastAsia" w:ascii="宋体" w:hAnsi="宋体" w:eastAsia="宋体" w:cs="宋体"/>
          <w:sz w:val="21"/>
          <w:szCs w:val="21"/>
        </w:rPr>
        <w:t>代理人</w:t>
      </w:r>
      <w:r>
        <w:rPr>
          <w:rFonts w:hint="eastAsia" w:ascii="宋体" w:hAnsi="宋体" w:eastAsia="宋体" w:cs="宋体"/>
          <w:sz w:val="21"/>
          <w:szCs w:val="21"/>
          <w:lang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u w:val="none"/>
          <w:lang w:eastAsia="zh-CN"/>
        </w:rPr>
      </w:pPr>
      <w:r>
        <w:rPr>
          <w:rFonts w:hint="eastAsia" w:ascii="宋体" w:hAnsi="宋体" w:eastAsia="宋体" w:cs="宋体"/>
          <w:sz w:val="21"/>
          <w:szCs w:val="21"/>
        </w:rPr>
        <w:t>身份</w:t>
      </w:r>
      <w:r>
        <w:rPr>
          <w:rFonts w:hint="eastAsia" w:ascii="宋体" w:hAnsi="宋体" w:eastAsia="宋体" w:cs="宋体"/>
          <w:sz w:val="21"/>
          <w:szCs w:val="21"/>
          <w:lang w:val="en-US" w:eastAsia="zh-CN"/>
        </w:rPr>
        <w:t>证件号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手机：</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电子邮箱：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授权委托日期：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月 </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FF0000"/>
          <w:sz w:val="21"/>
          <w:szCs w:val="21"/>
        </w:rPr>
      </w:pPr>
      <w:r>
        <w:rPr>
          <w:rFonts w:hint="eastAsia" w:ascii="宋体" w:hAnsi="宋体" w:eastAsia="宋体" w:cs="宋体"/>
          <w:b/>
          <w:color w:val="FF0000"/>
          <w:sz w:val="21"/>
          <w:szCs w:val="21"/>
        </w:rPr>
        <w:t>附：请提供代理人身份证扫描件（正反两面）；港澳台居民可提供来往通行证扫描件；非中国国籍管辖范围人员，可提供公安部门认可的身份证明材料扫描件。</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证件扫描件正面</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tc>
        <w:tc>
          <w:tcPr>
            <w:tcW w:w="4265"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证件扫描件反面</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b/>
          <w:bCs/>
          <w:kern w:val="2"/>
          <w:sz w:val="21"/>
          <w:szCs w:val="21"/>
          <w:lang w:val="en-US" w:eastAsia="zh-CN" w:bidi="ar"/>
        </w:rPr>
        <w:t>温馨提示</w:t>
      </w:r>
      <w:r>
        <w:rPr>
          <w:rFonts w:hint="eastAsia" w:ascii="宋体" w:hAnsi="宋体" w:eastAsia="宋体" w:cs="宋体"/>
          <w:kern w:val="2"/>
          <w:sz w:val="21"/>
          <w:szCs w:val="21"/>
          <w:lang w:val="en-US"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rPr>
          <w:rFonts w:hint="eastAsia" w:ascii="宋体" w:hAnsi="宋体" w:eastAsia="宋体" w:cs="宋体"/>
          <w:b w:val="0"/>
          <w:kern w:val="0"/>
          <w:sz w:val="21"/>
          <w:szCs w:val="21"/>
        </w:rPr>
      </w:pPr>
      <w:r>
        <w:rPr>
          <w:rFonts w:hint="eastAsia" w:ascii="宋体" w:hAnsi="宋体" w:eastAsia="宋体" w:cs="宋体"/>
          <w:b w:val="0"/>
          <w:kern w:val="0"/>
          <w:sz w:val="21"/>
          <w:szCs w:val="21"/>
        </w:rPr>
        <w:br w:type="page"/>
      </w:r>
    </w:p>
    <w:p>
      <w:pPr>
        <w:keepNext/>
        <w:keepLines/>
        <w:widowControl w:val="0"/>
        <w:spacing w:before="260" w:after="260"/>
        <w:jc w:val="center"/>
        <w:outlineLvl w:val="2"/>
        <w:rPr>
          <w:rFonts w:ascii="黑体" w:hAnsi="宋体" w:eastAsia="黑体"/>
          <w:bCs/>
          <w:lang w:eastAsia="zh-CN"/>
        </w:rPr>
      </w:pPr>
      <w:r>
        <w:rPr>
          <w:rFonts w:hint="eastAsia" w:ascii="黑体" w:hAnsi="宋体" w:eastAsia="黑体"/>
          <w:bCs/>
          <w:lang w:val="en-US" w:eastAsia="zh-CN"/>
        </w:rPr>
        <w:t>四</w:t>
      </w:r>
      <w:r>
        <w:rPr>
          <w:rFonts w:hint="eastAsia" w:ascii="黑体" w:hAnsi="宋体" w:eastAsia="黑体"/>
          <w:bCs/>
          <w:lang w:eastAsia="zh-CN"/>
        </w:rPr>
        <w:t>、</w:t>
      </w:r>
      <w:bookmarkStart w:id="72" w:name="_Hlk72092634"/>
      <w:r>
        <w:rPr>
          <w:rFonts w:hint="eastAsia" w:ascii="黑体" w:hAnsi="宋体" w:eastAsia="黑体"/>
          <w:bCs/>
          <w:lang w:eastAsia="zh-CN"/>
        </w:rPr>
        <w:t>实质性条款响应情况表</w:t>
      </w:r>
      <w:bookmarkEnd w:id="72"/>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765"/>
        <w:gridCol w:w="1648"/>
        <w:gridCol w:w="191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widowControl w:val="0"/>
              <w:adjustRightInd w:val="0"/>
              <w:snapToGrid w:val="0"/>
              <w:spacing w:after="160" w:line="360" w:lineRule="auto"/>
              <w:jc w:val="center"/>
              <w:rPr>
                <w:rFonts w:ascii="宋体" w:hAnsi="宋体" w:eastAsia="宋体"/>
                <w:sz w:val="21"/>
                <w:szCs w:val="21"/>
                <w:lang w:eastAsia="zh-CN"/>
              </w:rPr>
            </w:pPr>
            <w:bookmarkStart w:id="73" w:name="_Hlk72092651"/>
            <w:r>
              <w:rPr>
                <w:rFonts w:hint="eastAsia" w:ascii="宋体" w:hAnsi="宋体" w:eastAsia="宋体"/>
                <w:sz w:val="21"/>
                <w:szCs w:val="21"/>
                <w:lang w:eastAsia="zh-CN"/>
              </w:rPr>
              <w:t>序号</w:t>
            </w:r>
          </w:p>
        </w:tc>
        <w:tc>
          <w:tcPr>
            <w:tcW w:w="2664" w:type="dxa"/>
            <w:vAlign w:val="center"/>
          </w:tcPr>
          <w:p>
            <w:pPr>
              <w:widowControl w:val="0"/>
              <w:adjustRightInd w:val="0"/>
              <w:snapToGrid w:val="0"/>
              <w:spacing w:after="160"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c>
          <w:tcPr>
            <w:tcW w:w="1588" w:type="dxa"/>
            <w:vAlign w:val="center"/>
          </w:tcPr>
          <w:p>
            <w:pPr>
              <w:widowControl w:val="0"/>
              <w:adjustRightInd w:val="0"/>
              <w:snapToGrid w:val="0"/>
              <w:spacing w:after="160" w:line="360" w:lineRule="auto"/>
              <w:jc w:val="center"/>
              <w:rPr>
                <w:rFonts w:ascii="宋体" w:hAnsi="宋体" w:eastAsia="宋体"/>
                <w:sz w:val="21"/>
                <w:szCs w:val="21"/>
                <w:lang w:eastAsia="zh-CN"/>
              </w:rPr>
            </w:pPr>
            <w:r>
              <w:rPr>
                <w:rFonts w:hint="eastAsia" w:eastAsia="宋体"/>
                <w:kern w:val="2"/>
                <w:sz w:val="21"/>
                <w:lang w:eastAsia="zh-CN"/>
              </w:rPr>
              <w:t>投标响应</w:t>
            </w:r>
          </w:p>
        </w:tc>
        <w:tc>
          <w:tcPr>
            <w:tcW w:w="1842" w:type="dxa"/>
            <w:vAlign w:val="center"/>
          </w:tcPr>
          <w:p>
            <w:pPr>
              <w:widowControl w:val="0"/>
              <w:adjustRightInd w:val="0"/>
              <w:snapToGrid w:val="0"/>
              <w:spacing w:after="160" w:line="360" w:lineRule="auto"/>
              <w:jc w:val="center"/>
              <w:rPr>
                <w:rFonts w:ascii="宋体" w:hAnsi="宋体" w:eastAsia="宋体"/>
                <w:sz w:val="21"/>
                <w:szCs w:val="21"/>
                <w:lang w:eastAsia="zh-CN"/>
              </w:rPr>
            </w:pPr>
            <w:r>
              <w:rPr>
                <w:rFonts w:hint="eastAsia" w:eastAsia="宋体"/>
                <w:kern w:val="2"/>
                <w:sz w:val="21"/>
                <w:lang w:eastAsia="zh-CN"/>
              </w:rPr>
              <w:t>偏离情况</w:t>
            </w:r>
          </w:p>
        </w:tc>
        <w:tc>
          <w:tcPr>
            <w:tcW w:w="1418" w:type="dxa"/>
            <w:vAlign w:val="center"/>
          </w:tcPr>
          <w:p>
            <w:pPr>
              <w:widowControl w:val="0"/>
              <w:adjustRightInd w:val="0"/>
              <w:snapToGrid w:val="0"/>
              <w:spacing w:after="160" w:line="360" w:lineRule="auto"/>
              <w:jc w:val="center"/>
              <w:rPr>
                <w:rFonts w:ascii="宋体" w:hAnsi="宋体" w:eastAsia="宋体"/>
                <w:sz w:val="21"/>
                <w:szCs w:val="21"/>
                <w:lang w:eastAsia="zh-CN"/>
              </w:rPr>
            </w:pPr>
            <w:r>
              <w:rPr>
                <w:rFonts w:hint="eastAsia" w:eastAsia="宋体"/>
                <w:kern w:val="2"/>
                <w:sz w:val="21"/>
                <w:lang w:eastAsia="zh-CN"/>
              </w:rPr>
              <w:t>说明</w:t>
            </w:r>
          </w:p>
        </w:tc>
      </w:tr>
      <w:bookmark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after="160" w:line="360" w:lineRule="auto"/>
              <w:jc w:val="both"/>
              <w:rPr>
                <w:rFonts w:ascii="宋体" w:hAnsi="宋体" w:eastAsia="宋体"/>
                <w:sz w:val="21"/>
                <w:szCs w:val="21"/>
                <w:lang w:eastAsia="zh-CN"/>
              </w:rPr>
            </w:pPr>
            <w:r>
              <w:rPr>
                <w:rFonts w:hint="eastAsia" w:ascii="宋体" w:hAnsi="宋体" w:eastAsia="宋体"/>
                <w:sz w:val="21"/>
                <w:szCs w:val="21"/>
                <w:lang w:eastAsia="zh-CN"/>
              </w:rPr>
              <w:t>1</w:t>
            </w:r>
          </w:p>
        </w:tc>
        <w:tc>
          <w:tcPr>
            <w:tcW w:w="2664" w:type="dxa"/>
            <w:vAlign w:val="center"/>
          </w:tcPr>
          <w:p>
            <w:pPr>
              <w:widowControl w:val="0"/>
              <w:adjustRightInd w:val="0"/>
              <w:snapToGrid w:val="0"/>
              <w:spacing w:after="160" w:line="360" w:lineRule="auto"/>
              <w:jc w:val="center"/>
              <w:rPr>
                <w:rFonts w:hAnsi="宋体" w:eastAsia="宋体"/>
                <w:sz w:val="21"/>
                <w:szCs w:val="21"/>
                <w:lang w:eastAsia="zh-CN"/>
              </w:rPr>
            </w:pPr>
            <w:r>
              <w:rPr>
                <w:rFonts w:hint="eastAsia" w:hAnsi="宋体" w:eastAsia="宋体"/>
                <w:sz w:val="21"/>
                <w:szCs w:val="21"/>
                <w:lang w:eastAsia="zh-CN"/>
              </w:rPr>
              <w:t>（填写相关内容）</w:t>
            </w:r>
          </w:p>
        </w:tc>
        <w:tc>
          <w:tcPr>
            <w:tcW w:w="1588" w:type="dxa"/>
          </w:tcPr>
          <w:p>
            <w:pPr>
              <w:widowControl w:val="0"/>
              <w:adjustRightInd w:val="0"/>
              <w:snapToGrid w:val="0"/>
              <w:spacing w:after="160" w:line="360" w:lineRule="auto"/>
              <w:jc w:val="both"/>
              <w:rPr>
                <w:rFonts w:ascii="宋体" w:hAnsi="宋体" w:eastAsia="宋体"/>
                <w:sz w:val="21"/>
                <w:szCs w:val="21"/>
                <w:lang w:eastAsia="zh-CN"/>
              </w:rPr>
            </w:pPr>
          </w:p>
        </w:tc>
        <w:tc>
          <w:tcPr>
            <w:tcW w:w="1842" w:type="dxa"/>
          </w:tcPr>
          <w:p>
            <w:pPr>
              <w:widowControl w:val="0"/>
              <w:adjustRightInd w:val="0"/>
              <w:snapToGrid w:val="0"/>
              <w:spacing w:after="160" w:line="360" w:lineRule="auto"/>
              <w:jc w:val="both"/>
              <w:rPr>
                <w:rFonts w:ascii="宋体" w:hAnsi="宋体" w:eastAsia="宋体"/>
                <w:sz w:val="21"/>
                <w:szCs w:val="21"/>
                <w:lang w:eastAsia="zh-CN"/>
              </w:rPr>
            </w:pPr>
          </w:p>
        </w:tc>
        <w:tc>
          <w:tcPr>
            <w:tcW w:w="1418" w:type="dxa"/>
          </w:tcPr>
          <w:p>
            <w:pPr>
              <w:widowControl w:val="0"/>
              <w:adjustRightInd w:val="0"/>
              <w:snapToGrid w:val="0"/>
              <w:spacing w:after="160" w:line="360" w:lineRule="auto"/>
              <w:jc w:val="both"/>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after="160" w:line="360" w:lineRule="auto"/>
              <w:jc w:val="both"/>
              <w:rPr>
                <w:rFonts w:ascii="宋体" w:hAnsi="宋体" w:eastAsia="宋体"/>
                <w:sz w:val="21"/>
                <w:szCs w:val="21"/>
                <w:lang w:eastAsia="zh-CN"/>
              </w:rPr>
            </w:pPr>
            <w:r>
              <w:rPr>
                <w:rFonts w:hint="eastAsia" w:ascii="宋体" w:hAnsi="宋体" w:eastAsia="宋体"/>
                <w:sz w:val="21"/>
                <w:szCs w:val="21"/>
                <w:lang w:eastAsia="zh-CN"/>
              </w:rPr>
              <w:t>2</w:t>
            </w:r>
          </w:p>
        </w:tc>
        <w:tc>
          <w:tcPr>
            <w:tcW w:w="2664" w:type="dxa"/>
            <w:vAlign w:val="center"/>
          </w:tcPr>
          <w:p>
            <w:pPr>
              <w:widowControl w:val="0"/>
              <w:adjustRightInd w:val="0"/>
              <w:snapToGrid w:val="0"/>
              <w:spacing w:after="160" w:line="360" w:lineRule="auto"/>
              <w:jc w:val="center"/>
              <w:rPr>
                <w:rFonts w:hAnsi="宋体" w:eastAsia="宋体"/>
                <w:sz w:val="21"/>
                <w:szCs w:val="21"/>
                <w:lang w:eastAsia="zh-CN"/>
              </w:rPr>
            </w:pPr>
            <w:r>
              <w:rPr>
                <w:rFonts w:hint="eastAsia" w:hAnsi="宋体" w:eastAsia="宋体"/>
                <w:sz w:val="21"/>
                <w:szCs w:val="21"/>
                <w:lang w:eastAsia="zh-CN"/>
              </w:rPr>
              <w:t>（填写相关内容）</w:t>
            </w:r>
          </w:p>
        </w:tc>
        <w:tc>
          <w:tcPr>
            <w:tcW w:w="1588" w:type="dxa"/>
          </w:tcPr>
          <w:p>
            <w:pPr>
              <w:widowControl w:val="0"/>
              <w:adjustRightInd w:val="0"/>
              <w:snapToGrid w:val="0"/>
              <w:spacing w:after="160" w:line="360" w:lineRule="auto"/>
              <w:jc w:val="both"/>
              <w:rPr>
                <w:rFonts w:ascii="宋体" w:hAnsi="宋体" w:eastAsia="宋体"/>
                <w:sz w:val="21"/>
                <w:szCs w:val="21"/>
                <w:lang w:eastAsia="zh-CN"/>
              </w:rPr>
            </w:pPr>
          </w:p>
        </w:tc>
        <w:tc>
          <w:tcPr>
            <w:tcW w:w="1842" w:type="dxa"/>
          </w:tcPr>
          <w:p>
            <w:pPr>
              <w:widowControl w:val="0"/>
              <w:adjustRightInd w:val="0"/>
              <w:snapToGrid w:val="0"/>
              <w:spacing w:after="160" w:line="360" w:lineRule="auto"/>
              <w:jc w:val="both"/>
              <w:rPr>
                <w:rFonts w:ascii="宋体" w:hAnsi="宋体" w:eastAsia="宋体"/>
                <w:sz w:val="21"/>
                <w:szCs w:val="21"/>
                <w:lang w:eastAsia="zh-CN"/>
              </w:rPr>
            </w:pPr>
          </w:p>
        </w:tc>
        <w:tc>
          <w:tcPr>
            <w:tcW w:w="1418" w:type="dxa"/>
          </w:tcPr>
          <w:p>
            <w:pPr>
              <w:widowControl w:val="0"/>
              <w:adjustRightInd w:val="0"/>
              <w:snapToGrid w:val="0"/>
              <w:spacing w:after="160" w:line="360" w:lineRule="auto"/>
              <w:jc w:val="both"/>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after="160" w:line="360" w:lineRule="auto"/>
              <w:jc w:val="both"/>
              <w:rPr>
                <w:rFonts w:ascii="宋体" w:hAnsi="宋体" w:eastAsia="宋体"/>
                <w:sz w:val="21"/>
                <w:szCs w:val="21"/>
                <w:lang w:eastAsia="zh-CN"/>
              </w:rPr>
            </w:pPr>
            <w:r>
              <w:rPr>
                <w:rFonts w:hint="eastAsia" w:ascii="宋体" w:hAnsi="宋体" w:eastAsia="宋体"/>
                <w:sz w:val="21"/>
                <w:szCs w:val="21"/>
                <w:lang w:eastAsia="zh-CN"/>
              </w:rPr>
              <w:t>3</w:t>
            </w:r>
          </w:p>
        </w:tc>
        <w:tc>
          <w:tcPr>
            <w:tcW w:w="2664" w:type="dxa"/>
            <w:vAlign w:val="center"/>
          </w:tcPr>
          <w:p>
            <w:pPr>
              <w:widowControl w:val="0"/>
              <w:adjustRightInd w:val="0"/>
              <w:snapToGrid w:val="0"/>
              <w:spacing w:after="160" w:line="360" w:lineRule="auto"/>
              <w:jc w:val="center"/>
              <w:rPr>
                <w:rFonts w:ascii="宋体" w:hAnsi="宋体" w:eastAsia="宋体"/>
                <w:sz w:val="21"/>
                <w:szCs w:val="21"/>
                <w:lang w:eastAsia="zh-CN"/>
              </w:rPr>
            </w:pPr>
            <w:r>
              <w:rPr>
                <w:rFonts w:hint="eastAsia" w:ascii="宋体" w:hAnsi="宋体" w:eastAsia="宋体"/>
                <w:sz w:val="21"/>
                <w:szCs w:val="21"/>
                <w:lang w:eastAsia="zh-CN"/>
              </w:rPr>
              <w:t>…………</w:t>
            </w:r>
          </w:p>
        </w:tc>
        <w:tc>
          <w:tcPr>
            <w:tcW w:w="1588" w:type="dxa"/>
          </w:tcPr>
          <w:p>
            <w:pPr>
              <w:widowControl w:val="0"/>
              <w:adjustRightInd w:val="0"/>
              <w:snapToGrid w:val="0"/>
              <w:spacing w:after="160" w:line="360" w:lineRule="auto"/>
              <w:jc w:val="both"/>
              <w:rPr>
                <w:rFonts w:ascii="宋体" w:hAnsi="宋体" w:eastAsia="宋体"/>
                <w:sz w:val="21"/>
                <w:szCs w:val="21"/>
                <w:lang w:eastAsia="zh-CN"/>
              </w:rPr>
            </w:pPr>
          </w:p>
        </w:tc>
        <w:tc>
          <w:tcPr>
            <w:tcW w:w="1842" w:type="dxa"/>
          </w:tcPr>
          <w:p>
            <w:pPr>
              <w:widowControl w:val="0"/>
              <w:adjustRightInd w:val="0"/>
              <w:snapToGrid w:val="0"/>
              <w:spacing w:after="160" w:line="360" w:lineRule="auto"/>
              <w:jc w:val="both"/>
              <w:rPr>
                <w:rFonts w:ascii="宋体" w:hAnsi="宋体" w:eastAsia="宋体"/>
                <w:sz w:val="21"/>
                <w:szCs w:val="21"/>
                <w:lang w:eastAsia="zh-CN"/>
              </w:rPr>
            </w:pPr>
          </w:p>
        </w:tc>
        <w:tc>
          <w:tcPr>
            <w:tcW w:w="1418" w:type="dxa"/>
          </w:tcPr>
          <w:p>
            <w:pPr>
              <w:widowControl w:val="0"/>
              <w:adjustRightInd w:val="0"/>
              <w:snapToGrid w:val="0"/>
              <w:spacing w:after="160" w:line="360" w:lineRule="auto"/>
              <w:jc w:val="both"/>
              <w:rPr>
                <w:rFonts w:ascii="宋体" w:hAnsi="宋体" w:eastAsia="宋体"/>
                <w:sz w:val="21"/>
                <w:szCs w:val="21"/>
                <w:lang w:eastAsia="zh-CN"/>
              </w:rPr>
            </w:pPr>
          </w:p>
        </w:tc>
      </w:tr>
    </w:tbl>
    <w:p>
      <w:pPr>
        <w:widowControl w:val="0"/>
        <w:spacing w:after="160" w:line="278" w:lineRule="auto"/>
        <w:ind w:firstLine="482" w:firstLineChars="200"/>
        <w:jc w:val="both"/>
        <w:rPr>
          <w:rFonts w:eastAsia="宋体"/>
          <w:b/>
          <w:kern w:val="2"/>
          <w:szCs w:val="22"/>
          <w:lang w:eastAsia="zh-CN"/>
        </w:rPr>
      </w:pPr>
    </w:p>
    <w:bookmarkEnd w:id="70"/>
    <w:p>
      <w:pPr>
        <w:ind w:firstLine="482" w:firstLineChars="200"/>
        <w:rPr>
          <w:rFonts w:hint="eastAsia" w:ascii="宋体" w:hAnsi="宋体" w:eastAsia="宋体" w:cs="宋体"/>
          <w:b/>
          <w:sz w:val="24"/>
          <w:szCs w:val="22"/>
        </w:rPr>
      </w:pPr>
      <w:r>
        <w:rPr>
          <w:rFonts w:hint="eastAsia" w:ascii="宋体" w:hAnsi="宋体" w:eastAsia="宋体" w:cs="宋体"/>
          <w:b/>
          <w:sz w:val="24"/>
          <w:szCs w:val="22"/>
        </w:rPr>
        <w:t>注：1.上表所列各项均为不可负偏离条款。</w:t>
      </w:r>
    </w:p>
    <w:p>
      <w:pPr>
        <w:ind w:firstLine="482" w:firstLineChars="200"/>
        <w:rPr>
          <w:rFonts w:hint="eastAsia" w:ascii="宋体" w:hAnsi="宋体" w:eastAsia="宋体" w:cs="宋体"/>
          <w:b/>
          <w:sz w:val="24"/>
          <w:szCs w:val="22"/>
        </w:rPr>
      </w:pPr>
      <w:r>
        <w:rPr>
          <w:rFonts w:hint="eastAsia" w:ascii="宋体" w:hAnsi="宋体" w:eastAsia="宋体" w:cs="宋体"/>
          <w:b/>
          <w:sz w:val="24"/>
          <w:szCs w:val="22"/>
        </w:rPr>
        <w:t>2.“投标响应”一栏应当详细填写投标人自身响应情况，而不能不合理照搬照抄招实质性条款具体内容。</w:t>
      </w:r>
    </w:p>
    <w:p>
      <w:pPr>
        <w:ind w:firstLine="482" w:firstLineChars="200"/>
        <w:rPr>
          <w:rFonts w:hint="eastAsia" w:ascii="宋体" w:hAnsi="宋体" w:eastAsia="宋体" w:cs="宋体"/>
          <w:b/>
          <w:sz w:val="24"/>
          <w:szCs w:val="22"/>
        </w:rPr>
      </w:pPr>
      <w:r>
        <w:rPr>
          <w:rFonts w:hint="eastAsia" w:ascii="宋体" w:hAnsi="宋体" w:eastAsia="宋体" w:cs="宋体"/>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2" w:firstLineChars="200"/>
        <w:rPr>
          <w:rFonts w:hint="eastAsia" w:ascii="宋体" w:hAnsi="宋体" w:eastAsia="宋体" w:cs="宋体"/>
          <w:b/>
          <w:sz w:val="24"/>
          <w:szCs w:val="22"/>
        </w:rPr>
      </w:pPr>
      <w:r>
        <w:rPr>
          <w:rFonts w:hint="eastAsia" w:ascii="宋体" w:hAnsi="宋体" w:eastAsia="宋体" w:cs="宋体"/>
          <w:b/>
          <w:sz w:val="24"/>
          <w:szCs w:val="22"/>
        </w:rPr>
        <w:t>4.评审委员会有权对投标响应情况作出判断（作出评审结论）。</w:t>
      </w:r>
    </w:p>
    <w:p>
      <w:pPr>
        <w:ind w:firstLine="482" w:firstLineChars="200"/>
        <w:rPr>
          <w:rFonts w:hint="eastAsia" w:ascii="宋体" w:hAnsi="宋体" w:eastAsia="宋体" w:cs="宋体"/>
          <w:b/>
          <w:sz w:val="24"/>
          <w:szCs w:val="22"/>
        </w:rPr>
      </w:pPr>
      <w:r>
        <w:rPr>
          <w:rFonts w:hint="eastAsia" w:ascii="宋体" w:hAnsi="宋体" w:eastAsia="宋体" w:cs="宋体"/>
          <w:b/>
          <w:sz w:val="24"/>
          <w:szCs w:val="22"/>
        </w:rPr>
        <w:t>5.实质性响应条款“投标响应情况”与投标文件其它内容冲突的，以实质性响应条款“投标响应情况”为准。</w:t>
      </w:r>
    </w:p>
    <w:p>
      <w:pPr>
        <w:ind w:firstLine="482" w:firstLineChars="200"/>
        <w:rPr>
          <w:rFonts w:hint="eastAsia" w:ascii="宋体" w:hAnsi="宋体" w:eastAsia="宋体" w:cs="宋体"/>
          <w:b/>
          <w:sz w:val="24"/>
        </w:rPr>
      </w:pPr>
      <w:r>
        <w:rPr>
          <w:rFonts w:hint="eastAsia" w:ascii="宋体" w:hAnsi="宋体" w:eastAsia="宋体" w:cs="宋体"/>
          <w:b/>
          <w:sz w:val="24"/>
          <w:szCs w:val="22"/>
        </w:rPr>
        <w:t>6.要求提供证明资料，在“说明”一栏中列明证明资料的位置,以便评审；未要求提供证明材料的，投标人可以不提供</w:t>
      </w:r>
      <w:r>
        <w:rPr>
          <w:rFonts w:hint="eastAsia" w:ascii="宋体" w:hAnsi="宋体" w:eastAsia="宋体" w:cs="宋体"/>
          <w:b/>
          <w:sz w:val="24"/>
        </w:rPr>
        <w:t>。</w:t>
      </w:r>
    </w:p>
    <w:p>
      <w:pPr>
        <w:widowControl w:val="0"/>
        <w:spacing w:after="160" w:line="278" w:lineRule="auto"/>
        <w:jc w:val="both"/>
        <w:rPr>
          <w:rFonts w:eastAsia="宋体"/>
          <w:kern w:val="2"/>
          <w:sz w:val="21"/>
          <w:lang w:eastAsia="zh-CN"/>
        </w:rPr>
      </w:pPr>
    </w:p>
    <w:p>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kern w:val="2"/>
          <w:szCs w:val="20"/>
          <w:lang w:val="en-US" w:eastAsia="zh-CN"/>
        </w:rPr>
        <w:t>五</w:t>
      </w:r>
      <w:r>
        <w:rPr>
          <w:rFonts w:hint="eastAsia" w:ascii="黑体" w:hAnsi="宋体" w:eastAsia="黑体"/>
          <w:kern w:val="2"/>
          <w:szCs w:val="20"/>
          <w:lang w:eastAsia="zh-CN"/>
        </w:rPr>
        <w:t>、</w:t>
      </w:r>
      <w:r>
        <w:rPr>
          <w:rFonts w:hint="eastAsia" w:ascii="黑体" w:hAnsi="宋体" w:eastAsia="黑体"/>
          <w:bCs/>
          <w:kern w:val="2"/>
          <w:lang w:eastAsia="zh-CN"/>
        </w:rPr>
        <w:t>技术要求偏离表</w:t>
      </w:r>
    </w:p>
    <w:tbl>
      <w:tblPr>
        <w:tblStyle w:val="19"/>
        <w:tblW w:w="5000"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756"/>
        <w:gridCol w:w="5286"/>
        <w:gridCol w:w="949"/>
        <w:gridCol w:w="695"/>
        <w:gridCol w:w="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pPr>
              <w:widowControl w:val="0"/>
              <w:spacing w:after="160" w:line="278" w:lineRule="auto"/>
              <w:jc w:val="center"/>
              <w:rPr>
                <w:rFonts w:eastAsia="宋体"/>
                <w:color w:val="000000"/>
                <w:kern w:val="2"/>
                <w:sz w:val="21"/>
                <w:szCs w:val="21"/>
                <w:lang w:eastAsia="zh-CN"/>
              </w:rPr>
            </w:pPr>
            <w:r>
              <w:rPr>
                <w:rFonts w:hint="eastAsia" w:eastAsia="宋体"/>
                <w:kern w:val="2"/>
                <w:lang w:eastAsia="zh-CN"/>
              </w:rPr>
              <w:t>序号</w:t>
            </w:r>
          </w:p>
        </w:tc>
        <w:tc>
          <w:tcPr>
            <w:tcW w:w="772" w:type="dxa"/>
            <w:vAlign w:val="center"/>
          </w:tcPr>
          <w:p>
            <w:pPr>
              <w:widowControl w:val="0"/>
              <w:spacing w:after="160" w:line="278" w:lineRule="auto"/>
              <w:jc w:val="center"/>
              <w:rPr>
                <w:rFonts w:eastAsia="宋体"/>
                <w:color w:val="000000"/>
                <w:kern w:val="2"/>
                <w:sz w:val="21"/>
                <w:szCs w:val="21"/>
                <w:lang w:eastAsia="zh-CN"/>
              </w:rPr>
            </w:pPr>
            <w:r>
              <w:rPr>
                <w:rFonts w:hint="eastAsia" w:eastAsia="宋体"/>
                <w:kern w:val="2"/>
                <w:lang w:eastAsia="zh-CN"/>
              </w:rPr>
              <w:t>货物名称</w:t>
            </w:r>
          </w:p>
        </w:tc>
        <w:tc>
          <w:tcPr>
            <w:tcW w:w="5446" w:type="dxa"/>
            <w:vAlign w:val="center"/>
          </w:tcPr>
          <w:p>
            <w:pPr>
              <w:widowControl w:val="0"/>
              <w:spacing w:after="160" w:line="278" w:lineRule="auto"/>
              <w:jc w:val="center"/>
              <w:rPr>
                <w:rFonts w:eastAsia="宋体"/>
                <w:color w:val="000000"/>
                <w:kern w:val="2"/>
                <w:sz w:val="21"/>
                <w:szCs w:val="21"/>
                <w:lang w:eastAsia="zh-CN"/>
              </w:rPr>
            </w:pPr>
            <w:r>
              <w:rPr>
                <w:rFonts w:hint="eastAsia" w:eastAsia="宋体"/>
                <w:kern w:val="2"/>
                <w:lang w:eastAsia="zh-CN"/>
              </w:rPr>
              <w:t>招标技术要求</w:t>
            </w:r>
          </w:p>
        </w:tc>
        <w:tc>
          <w:tcPr>
            <w:tcW w:w="972" w:type="dxa"/>
            <w:vAlign w:val="center"/>
          </w:tcPr>
          <w:p>
            <w:pPr>
              <w:widowControl w:val="0"/>
              <w:spacing w:after="160" w:line="278" w:lineRule="auto"/>
              <w:jc w:val="center"/>
              <w:rPr>
                <w:rFonts w:eastAsia="宋体"/>
                <w:color w:val="000000"/>
                <w:kern w:val="2"/>
                <w:sz w:val="21"/>
                <w:szCs w:val="21"/>
                <w:lang w:eastAsia="zh-CN"/>
              </w:rPr>
            </w:pPr>
            <w:r>
              <w:rPr>
                <w:rFonts w:hint="eastAsia" w:eastAsia="宋体"/>
                <w:kern w:val="2"/>
                <w:lang w:eastAsia="zh-CN"/>
              </w:rPr>
              <w:t>投标技术响应</w:t>
            </w:r>
          </w:p>
        </w:tc>
        <w:tc>
          <w:tcPr>
            <w:tcW w:w="710" w:type="dxa"/>
            <w:vAlign w:val="center"/>
          </w:tcPr>
          <w:p>
            <w:pPr>
              <w:widowControl w:val="0"/>
              <w:spacing w:after="160" w:line="278" w:lineRule="auto"/>
              <w:jc w:val="center"/>
              <w:rPr>
                <w:rFonts w:eastAsia="宋体"/>
                <w:color w:val="000000"/>
                <w:kern w:val="2"/>
                <w:sz w:val="21"/>
                <w:szCs w:val="21"/>
                <w:lang w:eastAsia="zh-CN"/>
              </w:rPr>
            </w:pPr>
            <w:r>
              <w:rPr>
                <w:rFonts w:hint="eastAsia" w:eastAsia="宋体"/>
                <w:kern w:val="2"/>
                <w:lang w:eastAsia="zh-CN"/>
              </w:rPr>
              <w:t>偏离情况</w:t>
            </w:r>
          </w:p>
        </w:tc>
        <w:tc>
          <w:tcPr>
            <w:tcW w:w="390" w:type="dxa"/>
            <w:vAlign w:val="center"/>
          </w:tcPr>
          <w:p>
            <w:pPr>
              <w:widowControl w:val="0"/>
              <w:spacing w:after="160" w:line="278" w:lineRule="auto"/>
              <w:jc w:val="center"/>
              <w:rPr>
                <w:rFonts w:eastAsia="宋体"/>
                <w:color w:val="000000"/>
                <w:kern w:val="2"/>
                <w:sz w:val="21"/>
                <w:szCs w:val="21"/>
                <w:lang w:eastAsia="zh-CN"/>
              </w:rPr>
            </w:pPr>
            <w:r>
              <w:rPr>
                <w:rFonts w:hint="eastAsia" w:eastAsia="宋体"/>
                <w:kern w:val="2"/>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pPr>
              <w:widowControl w:val="0"/>
              <w:spacing w:after="160" w:line="278" w:lineRule="auto"/>
              <w:jc w:val="center"/>
              <w:rPr>
                <w:rFonts w:eastAsia="宋体"/>
                <w:color w:val="000000"/>
                <w:kern w:val="2"/>
                <w:sz w:val="21"/>
                <w:szCs w:val="21"/>
                <w:lang w:eastAsia="zh-CN"/>
              </w:rPr>
            </w:pPr>
            <w:r>
              <w:rPr>
                <w:rFonts w:eastAsia="宋体"/>
                <w:color w:val="000000"/>
                <w:kern w:val="2"/>
                <w:sz w:val="21"/>
                <w:szCs w:val="21"/>
                <w:lang w:eastAsia="zh-CN"/>
              </w:rPr>
              <w:t>1</w:t>
            </w:r>
          </w:p>
        </w:tc>
        <w:tc>
          <w:tcPr>
            <w:tcW w:w="772" w:type="dxa"/>
            <w:vMerge w:val="restart"/>
            <w:vAlign w:val="center"/>
          </w:tcPr>
          <w:p>
            <w:pPr>
              <w:widowControl w:val="0"/>
              <w:spacing w:after="160" w:line="278" w:lineRule="auto"/>
              <w:jc w:val="center"/>
              <w:rPr>
                <w:rFonts w:eastAsia="宋体"/>
                <w:color w:val="000000"/>
                <w:kern w:val="2"/>
                <w:sz w:val="21"/>
                <w:szCs w:val="21"/>
                <w:lang w:eastAsia="zh-CN"/>
              </w:rPr>
            </w:pPr>
            <w:r>
              <w:rPr>
                <w:rFonts w:hint="eastAsia" w:eastAsia="宋体"/>
                <w:color w:val="000000"/>
                <w:kern w:val="2"/>
                <w:sz w:val="21"/>
                <w:szCs w:val="21"/>
                <w:lang w:eastAsia="zh-CN"/>
              </w:rPr>
              <w:t>*</w:t>
            </w:r>
            <w:r>
              <w:rPr>
                <w:rFonts w:eastAsia="宋体"/>
                <w:color w:val="000000"/>
                <w:kern w:val="2"/>
                <w:sz w:val="21"/>
                <w:szCs w:val="21"/>
                <w:lang w:eastAsia="zh-CN"/>
              </w:rPr>
              <w:t>**</w:t>
            </w:r>
            <w:r>
              <w:rPr>
                <w:rFonts w:hint="eastAsia" w:eastAsia="宋体"/>
                <w:color w:val="000000"/>
                <w:kern w:val="2"/>
                <w:sz w:val="21"/>
                <w:szCs w:val="21"/>
                <w:lang w:eastAsia="zh-CN"/>
              </w:rPr>
              <w:t>设备</w:t>
            </w:r>
          </w:p>
        </w:tc>
        <w:tc>
          <w:tcPr>
            <w:tcW w:w="5446" w:type="dxa"/>
          </w:tcPr>
          <w:p>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pPr>
              <w:widowControl w:val="0"/>
              <w:spacing w:after="160" w:line="278" w:lineRule="auto"/>
              <w:jc w:val="both"/>
              <w:rPr>
                <w:rFonts w:eastAsia="宋体"/>
                <w:color w:val="000000"/>
                <w:kern w:val="2"/>
                <w:sz w:val="21"/>
                <w:szCs w:val="21"/>
                <w:lang w:eastAsia="zh-CN"/>
              </w:rPr>
            </w:pPr>
          </w:p>
        </w:tc>
        <w:tc>
          <w:tcPr>
            <w:tcW w:w="710" w:type="dxa"/>
          </w:tcPr>
          <w:p>
            <w:pPr>
              <w:widowControl w:val="0"/>
              <w:spacing w:after="160" w:line="278" w:lineRule="auto"/>
              <w:jc w:val="both"/>
              <w:rPr>
                <w:rFonts w:eastAsia="宋体"/>
                <w:color w:val="000000"/>
                <w:kern w:val="2"/>
                <w:sz w:val="21"/>
                <w:szCs w:val="21"/>
                <w:lang w:eastAsia="zh-CN"/>
              </w:rPr>
            </w:pPr>
          </w:p>
        </w:tc>
        <w:tc>
          <w:tcPr>
            <w:tcW w:w="390" w:type="dxa"/>
          </w:tcPr>
          <w:p>
            <w:pPr>
              <w:widowControl w:val="0"/>
              <w:spacing w:after="160" w:line="278" w:lineRule="auto"/>
              <w:jc w:val="both"/>
              <w:rPr>
                <w:rFonts w:eastAsia="宋体"/>
                <w:color w:val="00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pPr>
              <w:widowControl w:val="0"/>
              <w:spacing w:after="160" w:line="278" w:lineRule="auto"/>
              <w:jc w:val="center"/>
              <w:rPr>
                <w:rFonts w:eastAsia="宋体"/>
                <w:color w:val="000000"/>
                <w:kern w:val="2"/>
                <w:sz w:val="21"/>
                <w:szCs w:val="21"/>
                <w:lang w:eastAsia="zh-CN"/>
              </w:rPr>
            </w:pPr>
          </w:p>
        </w:tc>
        <w:tc>
          <w:tcPr>
            <w:tcW w:w="5446" w:type="dxa"/>
          </w:tcPr>
          <w:p>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pPr>
              <w:widowControl w:val="0"/>
              <w:spacing w:after="160" w:line="278" w:lineRule="auto"/>
              <w:jc w:val="both"/>
              <w:rPr>
                <w:rFonts w:eastAsia="宋体"/>
                <w:color w:val="000000"/>
                <w:kern w:val="2"/>
                <w:sz w:val="21"/>
                <w:szCs w:val="21"/>
                <w:lang w:eastAsia="zh-CN"/>
              </w:rPr>
            </w:pPr>
          </w:p>
        </w:tc>
        <w:tc>
          <w:tcPr>
            <w:tcW w:w="710" w:type="dxa"/>
          </w:tcPr>
          <w:p>
            <w:pPr>
              <w:widowControl w:val="0"/>
              <w:spacing w:after="160" w:line="278" w:lineRule="auto"/>
              <w:jc w:val="both"/>
              <w:rPr>
                <w:rFonts w:eastAsia="宋体"/>
                <w:color w:val="000000"/>
                <w:kern w:val="2"/>
                <w:sz w:val="21"/>
                <w:szCs w:val="21"/>
                <w:lang w:eastAsia="zh-CN"/>
              </w:rPr>
            </w:pPr>
          </w:p>
        </w:tc>
        <w:tc>
          <w:tcPr>
            <w:tcW w:w="390" w:type="dxa"/>
          </w:tcPr>
          <w:p>
            <w:pPr>
              <w:widowControl w:val="0"/>
              <w:spacing w:after="160" w:line="278" w:lineRule="auto"/>
              <w:jc w:val="both"/>
              <w:rPr>
                <w:rFonts w:eastAsia="宋体"/>
                <w:color w:val="00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pPr>
              <w:widowControl w:val="0"/>
              <w:spacing w:after="160" w:line="278" w:lineRule="auto"/>
              <w:jc w:val="center"/>
              <w:rPr>
                <w:rFonts w:eastAsia="宋体"/>
                <w:color w:val="000000"/>
                <w:kern w:val="2"/>
                <w:sz w:val="21"/>
                <w:szCs w:val="21"/>
                <w:lang w:eastAsia="zh-CN"/>
              </w:rPr>
            </w:pPr>
          </w:p>
        </w:tc>
        <w:tc>
          <w:tcPr>
            <w:tcW w:w="5446" w:type="dxa"/>
          </w:tcPr>
          <w:p>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pPr>
              <w:widowControl w:val="0"/>
              <w:spacing w:after="160" w:line="278" w:lineRule="auto"/>
              <w:jc w:val="both"/>
              <w:rPr>
                <w:rFonts w:eastAsia="宋体"/>
                <w:color w:val="000000"/>
                <w:kern w:val="2"/>
                <w:sz w:val="21"/>
                <w:szCs w:val="21"/>
                <w:lang w:eastAsia="zh-CN"/>
              </w:rPr>
            </w:pPr>
          </w:p>
        </w:tc>
        <w:tc>
          <w:tcPr>
            <w:tcW w:w="710" w:type="dxa"/>
          </w:tcPr>
          <w:p>
            <w:pPr>
              <w:widowControl w:val="0"/>
              <w:spacing w:after="160" w:line="278" w:lineRule="auto"/>
              <w:jc w:val="both"/>
              <w:rPr>
                <w:rFonts w:eastAsia="宋体"/>
                <w:color w:val="000000"/>
                <w:kern w:val="2"/>
                <w:sz w:val="21"/>
                <w:szCs w:val="21"/>
                <w:lang w:eastAsia="zh-CN"/>
              </w:rPr>
            </w:pPr>
          </w:p>
        </w:tc>
        <w:tc>
          <w:tcPr>
            <w:tcW w:w="390" w:type="dxa"/>
          </w:tcPr>
          <w:p>
            <w:pPr>
              <w:widowControl w:val="0"/>
              <w:spacing w:after="160" w:line="278" w:lineRule="auto"/>
              <w:jc w:val="both"/>
              <w:rPr>
                <w:rFonts w:eastAsia="宋体"/>
                <w:color w:val="00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pPr>
              <w:widowControl w:val="0"/>
              <w:spacing w:after="160" w:line="278" w:lineRule="auto"/>
              <w:jc w:val="center"/>
              <w:rPr>
                <w:rFonts w:eastAsia="宋体"/>
                <w:color w:val="000000"/>
                <w:kern w:val="2"/>
                <w:sz w:val="21"/>
                <w:szCs w:val="21"/>
                <w:lang w:eastAsia="zh-CN"/>
              </w:rPr>
            </w:pPr>
          </w:p>
        </w:tc>
        <w:tc>
          <w:tcPr>
            <w:tcW w:w="5446" w:type="dxa"/>
          </w:tcPr>
          <w:p>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pPr>
              <w:widowControl w:val="0"/>
              <w:spacing w:after="160" w:line="278" w:lineRule="auto"/>
              <w:jc w:val="both"/>
              <w:rPr>
                <w:rFonts w:eastAsia="宋体"/>
                <w:color w:val="000000"/>
                <w:kern w:val="2"/>
                <w:sz w:val="21"/>
                <w:szCs w:val="21"/>
                <w:lang w:eastAsia="zh-CN"/>
              </w:rPr>
            </w:pPr>
          </w:p>
        </w:tc>
        <w:tc>
          <w:tcPr>
            <w:tcW w:w="710" w:type="dxa"/>
          </w:tcPr>
          <w:p>
            <w:pPr>
              <w:widowControl w:val="0"/>
              <w:spacing w:after="160" w:line="278" w:lineRule="auto"/>
              <w:jc w:val="both"/>
              <w:rPr>
                <w:rFonts w:eastAsia="宋体"/>
                <w:color w:val="000000"/>
                <w:kern w:val="2"/>
                <w:sz w:val="21"/>
                <w:szCs w:val="21"/>
                <w:lang w:eastAsia="zh-CN"/>
              </w:rPr>
            </w:pPr>
          </w:p>
        </w:tc>
        <w:tc>
          <w:tcPr>
            <w:tcW w:w="390" w:type="dxa"/>
          </w:tcPr>
          <w:p>
            <w:pPr>
              <w:widowControl w:val="0"/>
              <w:spacing w:after="160" w:line="278" w:lineRule="auto"/>
              <w:jc w:val="both"/>
              <w:rPr>
                <w:rFonts w:eastAsia="宋体"/>
                <w:color w:val="00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pPr>
              <w:widowControl w:val="0"/>
              <w:spacing w:after="160" w:line="278" w:lineRule="auto"/>
              <w:jc w:val="center"/>
              <w:rPr>
                <w:rFonts w:eastAsia="宋体"/>
                <w:color w:val="000000"/>
                <w:kern w:val="2"/>
                <w:sz w:val="21"/>
                <w:szCs w:val="21"/>
                <w:lang w:eastAsia="zh-CN"/>
              </w:rPr>
            </w:pPr>
          </w:p>
        </w:tc>
        <w:tc>
          <w:tcPr>
            <w:tcW w:w="5446" w:type="dxa"/>
          </w:tcPr>
          <w:p>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pPr>
              <w:widowControl w:val="0"/>
              <w:spacing w:after="160" w:line="278" w:lineRule="auto"/>
              <w:jc w:val="both"/>
              <w:rPr>
                <w:rFonts w:eastAsia="宋体"/>
                <w:color w:val="000000"/>
                <w:kern w:val="2"/>
                <w:sz w:val="21"/>
                <w:szCs w:val="21"/>
                <w:lang w:eastAsia="zh-CN"/>
              </w:rPr>
            </w:pPr>
          </w:p>
        </w:tc>
        <w:tc>
          <w:tcPr>
            <w:tcW w:w="710" w:type="dxa"/>
          </w:tcPr>
          <w:p>
            <w:pPr>
              <w:widowControl w:val="0"/>
              <w:spacing w:after="160" w:line="278" w:lineRule="auto"/>
              <w:jc w:val="both"/>
              <w:rPr>
                <w:rFonts w:eastAsia="宋体"/>
                <w:color w:val="000000"/>
                <w:kern w:val="2"/>
                <w:sz w:val="21"/>
                <w:szCs w:val="21"/>
                <w:lang w:eastAsia="zh-CN"/>
              </w:rPr>
            </w:pPr>
          </w:p>
        </w:tc>
        <w:tc>
          <w:tcPr>
            <w:tcW w:w="390" w:type="dxa"/>
          </w:tcPr>
          <w:p>
            <w:pPr>
              <w:widowControl w:val="0"/>
              <w:spacing w:after="160" w:line="278" w:lineRule="auto"/>
              <w:jc w:val="both"/>
              <w:rPr>
                <w:rFonts w:eastAsia="宋体"/>
                <w:color w:val="00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pPr>
              <w:widowControl w:val="0"/>
              <w:spacing w:after="160" w:line="278" w:lineRule="auto"/>
              <w:jc w:val="center"/>
              <w:rPr>
                <w:rFonts w:eastAsia="宋体"/>
                <w:color w:val="000000"/>
                <w:kern w:val="2"/>
                <w:sz w:val="21"/>
                <w:szCs w:val="21"/>
                <w:lang w:eastAsia="zh-CN"/>
              </w:rPr>
            </w:pPr>
          </w:p>
        </w:tc>
        <w:tc>
          <w:tcPr>
            <w:tcW w:w="5446" w:type="dxa"/>
          </w:tcPr>
          <w:p>
            <w:pPr>
              <w:widowControl w:val="0"/>
              <w:spacing w:after="160" w:line="278" w:lineRule="auto"/>
              <w:jc w:val="center"/>
              <w:rPr>
                <w:rFonts w:eastAsia="宋体"/>
                <w:color w:val="000000"/>
                <w:kern w:val="2"/>
                <w:sz w:val="21"/>
                <w:szCs w:val="21"/>
                <w:lang w:eastAsia="zh-CN"/>
              </w:rPr>
            </w:pPr>
            <w:r>
              <w:rPr>
                <w:rFonts w:hint="eastAsia" w:ascii="宋体" w:hAnsi="宋体" w:eastAsia="宋体"/>
                <w:color w:val="000000"/>
                <w:kern w:val="2"/>
                <w:sz w:val="21"/>
                <w:szCs w:val="21"/>
                <w:lang w:eastAsia="zh-CN"/>
              </w:rPr>
              <w:t>……</w:t>
            </w:r>
          </w:p>
        </w:tc>
        <w:tc>
          <w:tcPr>
            <w:tcW w:w="972" w:type="dxa"/>
          </w:tcPr>
          <w:p>
            <w:pPr>
              <w:widowControl w:val="0"/>
              <w:spacing w:after="160" w:line="278" w:lineRule="auto"/>
              <w:jc w:val="both"/>
              <w:rPr>
                <w:rFonts w:eastAsia="宋体"/>
                <w:color w:val="000000"/>
                <w:kern w:val="2"/>
                <w:sz w:val="21"/>
                <w:szCs w:val="21"/>
                <w:lang w:eastAsia="zh-CN"/>
              </w:rPr>
            </w:pPr>
          </w:p>
        </w:tc>
        <w:tc>
          <w:tcPr>
            <w:tcW w:w="710" w:type="dxa"/>
          </w:tcPr>
          <w:p>
            <w:pPr>
              <w:widowControl w:val="0"/>
              <w:spacing w:after="160" w:line="278" w:lineRule="auto"/>
              <w:jc w:val="both"/>
              <w:rPr>
                <w:rFonts w:eastAsia="宋体"/>
                <w:color w:val="000000"/>
                <w:kern w:val="2"/>
                <w:sz w:val="21"/>
                <w:szCs w:val="21"/>
                <w:lang w:eastAsia="zh-CN"/>
              </w:rPr>
            </w:pPr>
          </w:p>
        </w:tc>
        <w:tc>
          <w:tcPr>
            <w:tcW w:w="390" w:type="dxa"/>
          </w:tcPr>
          <w:p>
            <w:pPr>
              <w:widowControl w:val="0"/>
              <w:spacing w:after="160" w:line="278" w:lineRule="auto"/>
              <w:jc w:val="both"/>
              <w:rPr>
                <w:rFonts w:eastAsia="宋体"/>
                <w:color w:val="00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pPr>
              <w:widowControl w:val="0"/>
              <w:spacing w:after="160" w:line="278" w:lineRule="auto"/>
              <w:jc w:val="center"/>
              <w:rPr>
                <w:rFonts w:eastAsia="宋体"/>
                <w:color w:val="000000"/>
                <w:kern w:val="2"/>
                <w:sz w:val="21"/>
                <w:szCs w:val="21"/>
                <w:lang w:eastAsia="zh-CN"/>
              </w:rPr>
            </w:pPr>
          </w:p>
        </w:tc>
        <w:tc>
          <w:tcPr>
            <w:tcW w:w="5446" w:type="dxa"/>
          </w:tcPr>
          <w:p>
            <w:pPr>
              <w:widowControl w:val="0"/>
              <w:spacing w:after="160" w:line="278" w:lineRule="auto"/>
              <w:jc w:val="center"/>
              <w:rPr>
                <w:rFonts w:eastAsia="宋体"/>
                <w:b/>
                <w:bCs/>
                <w:color w:val="000000"/>
                <w:kern w:val="2"/>
                <w:sz w:val="21"/>
                <w:szCs w:val="21"/>
                <w:lang w:eastAsia="zh-CN"/>
              </w:rPr>
            </w:pPr>
            <w:r>
              <w:rPr>
                <w:rFonts w:hint="eastAsia" w:ascii="宋体" w:hAnsi="宋体" w:eastAsia="宋体"/>
                <w:color w:val="000000"/>
                <w:kern w:val="2"/>
                <w:sz w:val="21"/>
                <w:szCs w:val="21"/>
                <w:lang w:eastAsia="zh-CN"/>
              </w:rPr>
              <w:t>……</w:t>
            </w:r>
          </w:p>
        </w:tc>
        <w:tc>
          <w:tcPr>
            <w:tcW w:w="972" w:type="dxa"/>
          </w:tcPr>
          <w:p>
            <w:pPr>
              <w:widowControl w:val="0"/>
              <w:spacing w:after="160" w:line="278" w:lineRule="auto"/>
              <w:jc w:val="both"/>
              <w:rPr>
                <w:rFonts w:eastAsia="宋体"/>
                <w:b/>
                <w:bCs/>
                <w:color w:val="FF0000"/>
                <w:kern w:val="2"/>
                <w:sz w:val="21"/>
                <w:szCs w:val="21"/>
                <w:lang w:eastAsia="zh-CN"/>
              </w:rPr>
            </w:pPr>
          </w:p>
        </w:tc>
        <w:tc>
          <w:tcPr>
            <w:tcW w:w="710" w:type="dxa"/>
          </w:tcPr>
          <w:p>
            <w:pPr>
              <w:widowControl w:val="0"/>
              <w:spacing w:after="160" w:line="278" w:lineRule="auto"/>
              <w:jc w:val="both"/>
              <w:rPr>
                <w:rFonts w:eastAsia="宋体"/>
                <w:b/>
                <w:bCs/>
                <w:color w:val="FF0000"/>
                <w:kern w:val="2"/>
                <w:sz w:val="21"/>
                <w:szCs w:val="21"/>
                <w:lang w:eastAsia="zh-CN"/>
              </w:rPr>
            </w:pPr>
          </w:p>
        </w:tc>
        <w:tc>
          <w:tcPr>
            <w:tcW w:w="390" w:type="dxa"/>
          </w:tcPr>
          <w:p>
            <w:pPr>
              <w:widowControl w:val="0"/>
              <w:spacing w:after="160" w:line="278" w:lineRule="auto"/>
              <w:jc w:val="both"/>
              <w:rPr>
                <w:rFonts w:eastAsia="宋体"/>
                <w:b/>
                <w:bCs/>
                <w:color w:val="FF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pPr>
              <w:widowControl w:val="0"/>
              <w:spacing w:after="160" w:line="278" w:lineRule="auto"/>
              <w:jc w:val="center"/>
              <w:rPr>
                <w:rFonts w:eastAsia="宋体"/>
                <w:color w:val="000000"/>
                <w:kern w:val="2"/>
                <w:sz w:val="21"/>
                <w:szCs w:val="21"/>
                <w:lang w:eastAsia="zh-CN"/>
              </w:rPr>
            </w:pPr>
          </w:p>
        </w:tc>
        <w:tc>
          <w:tcPr>
            <w:tcW w:w="5446" w:type="dxa"/>
          </w:tcPr>
          <w:p>
            <w:pPr>
              <w:widowControl w:val="0"/>
              <w:spacing w:after="160" w:line="278" w:lineRule="auto"/>
              <w:jc w:val="center"/>
              <w:rPr>
                <w:rFonts w:eastAsia="宋体"/>
                <w:color w:val="000000"/>
                <w:kern w:val="2"/>
                <w:sz w:val="21"/>
                <w:szCs w:val="21"/>
                <w:lang w:eastAsia="zh-CN"/>
              </w:rPr>
            </w:pPr>
            <w:r>
              <w:rPr>
                <w:rFonts w:hint="eastAsia" w:ascii="宋体" w:hAnsi="宋体" w:eastAsia="宋体"/>
                <w:color w:val="000000"/>
                <w:kern w:val="2"/>
                <w:sz w:val="21"/>
                <w:szCs w:val="21"/>
                <w:lang w:eastAsia="zh-CN"/>
              </w:rPr>
              <w:t>……</w:t>
            </w:r>
          </w:p>
        </w:tc>
        <w:tc>
          <w:tcPr>
            <w:tcW w:w="972" w:type="dxa"/>
          </w:tcPr>
          <w:p>
            <w:pPr>
              <w:widowControl w:val="0"/>
              <w:spacing w:after="160" w:line="278" w:lineRule="auto"/>
              <w:jc w:val="both"/>
              <w:rPr>
                <w:rFonts w:eastAsia="宋体"/>
                <w:color w:val="000000"/>
                <w:kern w:val="2"/>
                <w:sz w:val="21"/>
                <w:szCs w:val="21"/>
                <w:lang w:eastAsia="zh-CN"/>
              </w:rPr>
            </w:pPr>
          </w:p>
        </w:tc>
        <w:tc>
          <w:tcPr>
            <w:tcW w:w="710" w:type="dxa"/>
          </w:tcPr>
          <w:p>
            <w:pPr>
              <w:widowControl w:val="0"/>
              <w:spacing w:after="160" w:line="278" w:lineRule="auto"/>
              <w:jc w:val="both"/>
              <w:rPr>
                <w:rFonts w:eastAsia="宋体"/>
                <w:color w:val="000000"/>
                <w:kern w:val="2"/>
                <w:sz w:val="21"/>
                <w:szCs w:val="21"/>
                <w:lang w:eastAsia="zh-CN"/>
              </w:rPr>
            </w:pPr>
          </w:p>
        </w:tc>
        <w:tc>
          <w:tcPr>
            <w:tcW w:w="390" w:type="dxa"/>
          </w:tcPr>
          <w:p>
            <w:pPr>
              <w:widowControl w:val="0"/>
              <w:spacing w:after="160" w:line="278" w:lineRule="auto"/>
              <w:jc w:val="both"/>
              <w:rPr>
                <w:rFonts w:eastAsia="宋体"/>
                <w:color w:val="00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pPr>
              <w:widowControl w:val="0"/>
              <w:spacing w:after="160" w:line="278" w:lineRule="auto"/>
              <w:jc w:val="center"/>
              <w:rPr>
                <w:rFonts w:eastAsia="宋体"/>
                <w:color w:val="000000"/>
                <w:kern w:val="2"/>
                <w:sz w:val="21"/>
                <w:szCs w:val="21"/>
                <w:lang w:eastAsia="zh-CN"/>
              </w:rPr>
            </w:pPr>
            <w:r>
              <w:rPr>
                <w:rFonts w:hint="eastAsia" w:eastAsia="宋体"/>
                <w:color w:val="000000"/>
                <w:kern w:val="2"/>
                <w:sz w:val="21"/>
                <w:szCs w:val="21"/>
                <w:lang w:eastAsia="zh-CN"/>
              </w:rPr>
              <w:t>2</w:t>
            </w:r>
          </w:p>
        </w:tc>
        <w:tc>
          <w:tcPr>
            <w:tcW w:w="772" w:type="dxa"/>
            <w:vMerge w:val="restart"/>
            <w:vAlign w:val="center"/>
          </w:tcPr>
          <w:p>
            <w:pPr>
              <w:widowControl w:val="0"/>
              <w:spacing w:after="160" w:line="278" w:lineRule="auto"/>
              <w:jc w:val="center"/>
              <w:rPr>
                <w:rFonts w:eastAsia="宋体"/>
                <w:color w:val="000000"/>
                <w:kern w:val="2"/>
                <w:sz w:val="21"/>
                <w:szCs w:val="21"/>
                <w:lang w:eastAsia="zh-CN"/>
              </w:rPr>
            </w:pPr>
            <w:r>
              <w:rPr>
                <w:rFonts w:hint="eastAsia" w:eastAsia="宋体"/>
                <w:color w:val="000000"/>
                <w:kern w:val="2"/>
                <w:sz w:val="21"/>
                <w:szCs w:val="21"/>
                <w:lang w:eastAsia="zh-CN"/>
              </w:rPr>
              <w:t>*</w:t>
            </w:r>
            <w:r>
              <w:rPr>
                <w:rFonts w:eastAsia="宋体"/>
                <w:color w:val="000000"/>
                <w:kern w:val="2"/>
                <w:sz w:val="21"/>
                <w:szCs w:val="21"/>
                <w:lang w:eastAsia="zh-CN"/>
              </w:rPr>
              <w:t>*</w:t>
            </w:r>
            <w:r>
              <w:rPr>
                <w:rFonts w:hint="eastAsia" w:eastAsia="宋体"/>
                <w:color w:val="000000"/>
                <w:kern w:val="2"/>
                <w:sz w:val="21"/>
                <w:szCs w:val="21"/>
                <w:lang w:eastAsia="zh-CN"/>
              </w:rPr>
              <w:t>设备</w:t>
            </w:r>
          </w:p>
        </w:tc>
        <w:tc>
          <w:tcPr>
            <w:tcW w:w="5446" w:type="dxa"/>
          </w:tcPr>
          <w:p>
            <w:pPr>
              <w:widowControl w:val="0"/>
              <w:spacing w:after="160" w:line="278" w:lineRule="auto"/>
              <w:jc w:val="center"/>
              <w:rPr>
                <w:rFonts w:eastAsia="宋体"/>
                <w:b/>
                <w:bCs/>
                <w:color w:val="000000"/>
                <w:kern w:val="2"/>
                <w:sz w:val="21"/>
                <w:szCs w:val="21"/>
                <w:lang w:eastAsia="zh-CN"/>
              </w:rPr>
            </w:pPr>
            <w:r>
              <w:rPr>
                <w:rFonts w:hint="eastAsia" w:eastAsia="宋体"/>
                <w:kern w:val="2"/>
                <w:sz w:val="21"/>
                <w:lang w:eastAsia="zh-CN"/>
              </w:rPr>
              <w:t>（填写相关内容）</w:t>
            </w:r>
          </w:p>
        </w:tc>
        <w:tc>
          <w:tcPr>
            <w:tcW w:w="972" w:type="dxa"/>
          </w:tcPr>
          <w:p>
            <w:pPr>
              <w:widowControl w:val="0"/>
              <w:spacing w:after="160" w:line="278" w:lineRule="auto"/>
              <w:jc w:val="both"/>
              <w:rPr>
                <w:rFonts w:eastAsia="宋体"/>
                <w:b/>
                <w:bCs/>
                <w:color w:val="FF0000"/>
                <w:kern w:val="2"/>
                <w:sz w:val="21"/>
                <w:szCs w:val="21"/>
                <w:lang w:eastAsia="zh-CN"/>
              </w:rPr>
            </w:pPr>
          </w:p>
        </w:tc>
        <w:tc>
          <w:tcPr>
            <w:tcW w:w="710" w:type="dxa"/>
          </w:tcPr>
          <w:p>
            <w:pPr>
              <w:widowControl w:val="0"/>
              <w:spacing w:after="160" w:line="278" w:lineRule="auto"/>
              <w:jc w:val="both"/>
              <w:rPr>
                <w:rFonts w:eastAsia="宋体"/>
                <w:b/>
                <w:bCs/>
                <w:color w:val="FF0000"/>
                <w:kern w:val="2"/>
                <w:sz w:val="21"/>
                <w:szCs w:val="21"/>
                <w:lang w:eastAsia="zh-CN"/>
              </w:rPr>
            </w:pPr>
          </w:p>
        </w:tc>
        <w:tc>
          <w:tcPr>
            <w:tcW w:w="390" w:type="dxa"/>
          </w:tcPr>
          <w:p>
            <w:pPr>
              <w:widowControl w:val="0"/>
              <w:spacing w:after="160" w:line="278" w:lineRule="auto"/>
              <w:jc w:val="both"/>
              <w:rPr>
                <w:rFonts w:eastAsia="宋体"/>
                <w:b/>
                <w:bCs/>
                <w:color w:val="FF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pPr>
              <w:widowControl w:val="0"/>
              <w:spacing w:after="160" w:line="278" w:lineRule="auto"/>
              <w:jc w:val="center"/>
              <w:rPr>
                <w:rFonts w:eastAsia="宋体"/>
                <w:color w:val="000000"/>
                <w:kern w:val="2"/>
                <w:sz w:val="21"/>
                <w:szCs w:val="21"/>
                <w:lang w:eastAsia="zh-CN"/>
              </w:rPr>
            </w:pPr>
          </w:p>
        </w:tc>
        <w:tc>
          <w:tcPr>
            <w:tcW w:w="772" w:type="dxa"/>
            <w:vMerge w:val="continue"/>
          </w:tcPr>
          <w:p>
            <w:pPr>
              <w:widowControl w:val="0"/>
              <w:spacing w:after="160" w:line="278" w:lineRule="auto"/>
              <w:jc w:val="both"/>
              <w:rPr>
                <w:rFonts w:eastAsia="宋体"/>
                <w:color w:val="000000"/>
                <w:kern w:val="2"/>
                <w:sz w:val="21"/>
                <w:szCs w:val="21"/>
                <w:lang w:eastAsia="zh-CN"/>
              </w:rPr>
            </w:pPr>
          </w:p>
        </w:tc>
        <w:tc>
          <w:tcPr>
            <w:tcW w:w="5446" w:type="dxa"/>
          </w:tcPr>
          <w:p>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pPr>
              <w:widowControl w:val="0"/>
              <w:spacing w:after="160" w:line="278" w:lineRule="auto"/>
              <w:jc w:val="both"/>
              <w:rPr>
                <w:rFonts w:eastAsia="宋体"/>
                <w:color w:val="000000"/>
                <w:kern w:val="2"/>
                <w:sz w:val="21"/>
                <w:szCs w:val="21"/>
                <w:lang w:eastAsia="zh-CN"/>
              </w:rPr>
            </w:pPr>
          </w:p>
        </w:tc>
        <w:tc>
          <w:tcPr>
            <w:tcW w:w="710" w:type="dxa"/>
          </w:tcPr>
          <w:p>
            <w:pPr>
              <w:widowControl w:val="0"/>
              <w:spacing w:after="160" w:line="278" w:lineRule="auto"/>
              <w:jc w:val="both"/>
              <w:rPr>
                <w:rFonts w:eastAsia="宋体"/>
                <w:color w:val="000000"/>
                <w:kern w:val="2"/>
                <w:sz w:val="21"/>
                <w:szCs w:val="21"/>
                <w:lang w:eastAsia="zh-CN"/>
              </w:rPr>
            </w:pPr>
          </w:p>
        </w:tc>
        <w:tc>
          <w:tcPr>
            <w:tcW w:w="390" w:type="dxa"/>
          </w:tcPr>
          <w:p>
            <w:pPr>
              <w:widowControl w:val="0"/>
              <w:spacing w:after="160" w:line="278" w:lineRule="auto"/>
              <w:jc w:val="both"/>
              <w:rPr>
                <w:rFonts w:eastAsia="宋体"/>
                <w:color w:val="00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pPr>
              <w:widowControl w:val="0"/>
              <w:spacing w:after="160" w:line="278" w:lineRule="auto"/>
              <w:jc w:val="center"/>
              <w:rPr>
                <w:rFonts w:eastAsia="宋体"/>
                <w:color w:val="000000"/>
                <w:kern w:val="2"/>
                <w:sz w:val="21"/>
                <w:szCs w:val="21"/>
                <w:lang w:eastAsia="zh-CN"/>
              </w:rPr>
            </w:pPr>
          </w:p>
        </w:tc>
        <w:tc>
          <w:tcPr>
            <w:tcW w:w="772" w:type="dxa"/>
            <w:vMerge w:val="continue"/>
          </w:tcPr>
          <w:p>
            <w:pPr>
              <w:widowControl w:val="0"/>
              <w:spacing w:after="160" w:line="278" w:lineRule="auto"/>
              <w:jc w:val="both"/>
              <w:rPr>
                <w:rFonts w:eastAsia="宋体"/>
                <w:color w:val="000000"/>
                <w:kern w:val="2"/>
                <w:sz w:val="21"/>
                <w:szCs w:val="21"/>
                <w:lang w:eastAsia="zh-CN"/>
              </w:rPr>
            </w:pPr>
          </w:p>
        </w:tc>
        <w:tc>
          <w:tcPr>
            <w:tcW w:w="5446" w:type="dxa"/>
          </w:tcPr>
          <w:p>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pPr>
              <w:widowControl w:val="0"/>
              <w:spacing w:after="160" w:line="278" w:lineRule="auto"/>
              <w:jc w:val="both"/>
              <w:rPr>
                <w:rFonts w:eastAsia="宋体"/>
                <w:color w:val="000000"/>
                <w:kern w:val="2"/>
                <w:sz w:val="21"/>
                <w:szCs w:val="21"/>
                <w:lang w:eastAsia="zh-CN"/>
              </w:rPr>
            </w:pPr>
          </w:p>
        </w:tc>
        <w:tc>
          <w:tcPr>
            <w:tcW w:w="710" w:type="dxa"/>
          </w:tcPr>
          <w:p>
            <w:pPr>
              <w:widowControl w:val="0"/>
              <w:spacing w:after="160" w:line="278" w:lineRule="auto"/>
              <w:jc w:val="both"/>
              <w:rPr>
                <w:rFonts w:eastAsia="宋体"/>
                <w:color w:val="000000"/>
                <w:kern w:val="2"/>
                <w:sz w:val="21"/>
                <w:szCs w:val="21"/>
                <w:lang w:eastAsia="zh-CN"/>
              </w:rPr>
            </w:pPr>
          </w:p>
        </w:tc>
        <w:tc>
          <w:tcPr>
            <w:tcW w:w="390" w:type="dxa"/>
          </w:tcPr>
          <w:p>
            <w:pPr>
              <w:widowControl w:val="0"/>
              <w:spacing w:after="160" w:line="278" w:lineRule="auto"/>
              <w:jc w:val="both"/>
              <w:rPr>
                <w:rFonts w:eastAsia="宋体"/>
                <w:color w:val="00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widowControl w:val="0"/>
              <w:spacing w:after="160" w:line="278" w:lineRule="auto"/>
              <w:jc w:val="center"/>
              <w:rPr>
                <w:rFonts w:eastAsia="宋体"/>
                <w:color w:val="000000"/>
                <w:kern w:val="2"/>
                <w:sz w:val="21"/>
                <w:szCs w:val="21"/>
                <w:lang w:eastAsia="zh-CN"/>
              </w:rPr>
            </w:pPr>
          </w:p>
        </w:tc>
        <w:tc>
          <w:tcPr>
            <w:tcW w:w="772" w:type="dxa"/>
            <w:vMerge w:val="continue"/>
          </w:tcPr>
          <w:p>
            <w:pPr>
              <w:widowControl w:val="0"/>
              <w:spacing w:after="160" w:line="278" w:lineRule="auto"/>
              <w:jc w:val="both"/>
              <w:rPr>
                <w:rFonts w:eastAsia="宋体"/>
                <w:color w:val="000000"/>
                <w:kern w:val="2"/>
                <w:sz w:val="21"/>
                <w:szCs w:val="21"/>
                <w:lang w:eastAsia="zh-CN"/>
              </w:rPr>
            </w:pPr>
          </w:p>
        </w:tc>
        <w:tc>
          <w:tcPr>
            <w:tcW w:w="5446" w:type="dxa"/>
          </w:tcPr>
          <w:p>
            <w:pPr>
              <w:widowControl w:val="0"/>
              <w:spacing w:after="160" w:line="278" w:lineRule="auto"/>
              <w:jc w:val="center"/>
              <w:rPr>
                <w:rFonts w:eastAsia="宋体"/>
                <w:color w:val="000000"/>
                <w:kern w:val="2"/>
                <w:sz w:val="21"/>
                <w:szCs w:val="21"/>
                <w:lang w:eastAsia="zh-CN"/>
              </w:rPr>
            </w:pPr>
            <w:r>
              <w:rPr>
                <w:rFonts w:hint="eastAsia" w:ascii="宋体" w:hAnsi="宋体" w:eastAsia="宋体"/>
                <w:color w:val="000000"/>
                <w:kern w:val="2"/>
                <w:sz w:val="21"/>
                <w:szCs w:val="21"/>
                <w:lang w:eastAsia="zh-CN"/>
              </w:rPr>
              <w:t>……</w:t>
            </w:r>
          </w:p>
        </w:tc>
        <w:tc>
          <w:tcPr>
            <w:tcW w:w="972" w:type="dxa"/>
          </w:tcPr>
          <w:p>
            <w:pPr>
              <w:widowControl w:val="0"/>
              <w:spacing w:after="160" w:line="278" w:lineRule="auto"/>
              <w:jc w:val="both"/>
              <w:rPr>
                <w:rFonts w:eastAsia="宋体"/>
                <w:color w:val="000000"/>
                <w:kern w:val="2"/>
                <w:sz w:val="21"/>
                <w:szCs w:val="21"/>
                <w:lang w:eastAsia="zh-CN"/>
              </w:rPr>
            </w:pPr>
          </w:p>
        </w:tc>
        <w:tc>
          <w:tcPr>
            <w:tcW w:w="710" w:type="dxa"/>
          </w:tcPr>
          <w:p>
            <w:pPr>
              <w:widowControl w:val="0"/>
              <w:spacing w:after="160" w:line="278" w:lineRule="auto"/>
              <w:jc w:val="both"/>
              <w:rPr>
                <w:rFonts w:eastAsia="宋体"/>
                <w:color w:val="000000"/>
                <w:kern w:val="2"/>
                <w:sz w:val="21"/>
                <w:szCs w:val="21"/>
                <w:lang w:eastAsia="zh-CN"/>
              </w:rPr>
            </w:pPr>
          </w:p>
        </w:tc>
        <w:tc>
          <w:tcPr>
            <w:tcW w:w="390" w:type="dxa"/>
          </w:tcPr>
          <w:p>
            <w:pPr>
              <w:widowControl w:val="0"/>
              <w:spacing w:after="160" w:line="278" w:lineRule="auto"/>
              <w:jc w:val="both"/>
              <w:rPr>
                <w:rFonts w:eastAsia="宋体"/>
                <w:color w:val="000000"/>
                <w:kern w:val="2"/>
                <w:sz w:val="21"/>
                <w:szCs w:val="21"/>
                <w:lang w:eastAsia="zh-CN"/>
              </w:rPr>
            </w:pPr>
          </w:p>
        </w:tc>
      </w:tr>
    </w:tbl>
    <w:p>
      <w:pPr>
        <w:widowControl w:val="0"/>
        <w:spacing w:after="160" w:line="278" w:lineRule="auto"/>
        <w:jc w:val="both"/>
        <w:rPr>
          <w:rFonts w:eastAsia="宋体"/>
          <w:kern w:val="2"/>
          <w:lang w:eastAsia="zh-CN"/>
        </w:rPr>
      </w:pPr>
    </w:p>
    <w:p>
      <w:pPr>
        <w:keepNext w:val="0"/>
        <w:keepLines w:val="0"/>
        <w:pageBreakBefore w:val="0"/>
        <w:kinsoku/>
        <w:wordWrap/>
        <w:overflowPunct/>
        <w:topLinePunct w:val="0"/>
        <w:autoSpaceDE/>
        <w:autoSpaceDN/>
        <w:bidi w:val="0"/>
        <w:adjustRightInd/>
        <w:snapToGrid/>
        <w:spacing w:beforeAutospacing="0" w:afterAutospacing="0"/>
        <w:textAlignment w:val="auto"/>
        <w:rPr>
          <w:b/>
          <w:sz w:val="21"/>
          <w:szCs w:val="21"/>
        </w:rPr>
      </w:pPr>
      <w:bookmarkStart w:id="74" w:name="_Hlk72095977"/>
      <w:r>
        <w:rPr>
          <w:rFonts w:hint="eastAsia"/>
          <w:sz w:val="21"/>
          <w:szCs w:val="21"/>
        </w:rPr>
        <w:t>证明资料【如有的话，提供的证明资料应统一编号（排序），格式自定】</w:t>
      </w:r>
      <w:bookmarkEnd w:id="74"/>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b w:val="0"/>
          <w:bCs/>
          <w:sz w:val="21"/>
          <w:szCs w:val="21"/>
        </w:rPr>
      </w:pPr>
      <w:r>
        <w:rPr>
          <w:rFonts w:hint="eastAsia"/>
          <w:b w:val="0"/>
          <w:bCs/>
          <w:sz w:val="21"/>
          <w:szCs w:val="21"/>
        </w:rPr>
        <w:t>1、技术要求偏离表的序号、货物名称、招标技术要求等栏目</w:t>
      </w:r>
      <w:bookmarkStart w:id="75" w:name="_Hlk72094407"/>
      <w:r>
        <w:rPr>
          <w:rFonts w:hint="eastAsia"/>
          <w:b w:val="0"/>
          <w:bCs/>
          <w:sz w:val="21"/>
          <w:szCs w:val="21"/>
        </w:rPr>
        <w:t>对应“用户需求书”中的“技术要求”章节</w:t>
      </w:r>
      <w:bookmarkEnd w:id="75"/>
      <w:r>
        <w:rPr>
          <w:rFonts w:hint="eastAsia"/>
          <w:b w:val="0"/>
          <w:bCs/>
          <w:sz w:val="21"/>
          <w:szCs w:val="21"/>
        </w:rPr>
        <w:t>相关内容。</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lang w:val="en-US" w:eastAsia="zh-CN"/>
        </w:rPr>
      </w:pPr>
      <w:r>
        <w:rPr>
          <w:rFonts w:hint="eastAsia"/>
          <w:b w:val="0"/>
          <w:bCs/>
          <w:sz w:val="21"/>
          <w:szCs w:val="21"/>
        </w:rPr>
        <w:t>2、“投标技术响应”一栏必须一一对照“招标技术要求”，详细填写投标人自身投标货物的具体参数，而不能不合理照搬照抄招标文件的技术要求，以体现具体响应情况。</w:t>
      </w:r>
      <w:r>
        <w:rPr>
          <w:rFonts w:hint="eastAsia"/>
          <w:b w:val="0"/>
          <w:bCs/>
          <w:color w:val="FF0000"/>
          <w:sz w:val="21"/>
          <w:szCs w:val="21"/>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6" w:name="_Hlk72158270"/>
      <w:r>
        <w:rPr>
          <w:rFonts w:hint="eastAsia"/>
          <w:b w:val="0"/>
          <w:bCs/>
          <w:sz w:val="21"/>
          <w:szCs w:val="21"/>
        </w:rPr>
        <w:t>“偏离情况”</w:t>
      </w:r>
      <w:bookmarkEnd w:id="76"/>
      <w:r>
        <w:rPr>
          <w:rFonts w:hint="eastAsia"/>
          <w:b w:val="0"/>
          <w:bCs/>
          <w:sz w:val="21"/>
          <w:szCs w:val="21"/>
        </w:rPr>
        <w:t>一栏填写如实填写“正偏离”、“负偏离”或“无偏离”，其中：</w:t>
      </w:r>
      <w:bookmarkStart w:id="77" w:name="_Hlk72093866"/>
      <w:r>
        <w:rPr>
          <w:rFonts w:hint="eastAsia"/>
          <w:b w:val="0"/>
          <w:bCs/>
          <w:sz w:val="21"/>
          <w:szCs w:val="21"/>
        </w:rPr>
        <w:t>“正偏离”表示“投标响应优于招标技术要求”，“负偏离”表示“投标响应不满足招标技术要求”，“无偏离”表示“投标响应与招标技术要求一致”</w:t>
      </w:r>
      <w:bookmarkEnd w:id="77"/>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8" w:name="_Hlk72096106"/>
      <w:r>
        <w:rPr>
          <w:rFonts w:hint="eastAsia"/>
          <w:b w:val="0"/>
          <w:bCs/>
          <w:sz w:val="21"/>
          <w:szCs w:val="21"/>
        </w:rPr>
        <w:t>证明资料条款响应要求</w:t>
      </w:r>
      <w:bookmarkEnd w:id="78"/>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9"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80" w:name="_Hlk73558164"/>
      <w:r>
        <w:rPr>
          <w:rFonts w:hint="eastAsia"/>
          <w:b w:val="0"/>
          <w:bCs/>
          <w:sz w:val="21"/>
          <w:szCs w:val="21"/>
        </w:rPr>
        <w:t>且投标人在“偏离情况”一栏响应为“正偏离”或“无偏离”的，经评审委员会认定，将判定为负偏离。</w:t>
      </w:r>
      <w:bookmarkEnd w:id="79"/>
      <w:bookmarkEnd w:id="80"/>
    </w:p>
    <w:p>
      <w:pPr>
        <w:ind w:firstLine="420" w:firstLineChars="200"/>
        <w:rPr>
          <w:b w:val="0"/>
          <w:bCs/>
          <w:sz w:val="21"/>
          <w:szCs w:val="21"/>
        </w:rPr>
      </w:pPr>
      <w:r>
        <w:rPr>
          <w:rFonts w:hint="eastAsia"/>
          <w:b w:val="0"/>
          <w:bCs/>
          <w:sz w:val="21"/>
          <w:szCs w:val="21"/>
        </w:rPr>
        <w:t>6、</w:t>
      </w:r>
      <w:bookmarkStart w:id="81" w:name="_Hlk72096137"/>
      <w:r>
        <w:rPr>
          <w:rFonts w:hint="eastAsia"/>
          <w:b w:val="0"/>
          <w:bCs/>
          <w:sz w:val="21"/>
          <w:szCs w:val="21"/>
        </w:rPr>
        <w:t>表后“证明资料”部分内容的编制</w:t>
      </w:r>
      <w:bookmarkEnd w:id="81"/>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82" w:name="_Hlk73558180"/>
      <w:r>
        <w:rPr>
          <w:rFonts w:hint="eastAsia"/>
          <w:b w:val="0"/>
          <w:bCs/>
          <w:sz w:val="21"/>
          <w:szCs w:val="21"/>
        </w:rPr>
        <w:t>未按照招标文件要求在表后放置证明材料的供应商将承担不利后果，经评审委员会认定，相关技术要求将判定为负偏离。</w:t>
      </w:r>
      <w:bookmarkEnd w:id="82"/>
    </w:p>
    <w:p>
      <w:pPr>
        <w:ind w:firstLine="420" w:firstLineChars="200"/>
        <w:rPr>
          <w:b w:val="0"/>
          <w:bCs/>
          <w:sz w:val="21"/>
          <w:szCs w:val="21"/>
        </w:rPr>
      </w:pPr>
      <w:r>
        <w:rPr>
          <w:rFonts w:hint="eastAsia"/>
          <w:b w:val="0"/>
          <w:bCs/>
          <w:sz w:val="21"/>
          <w:szCs w:val="21"/>
        </w:rPr>
        <w:t>7、</w:t>
      </w:r>
      <w:bookmarkStart w:id="83" w:name="_Hlk72096176"/>
      <w:r>
        <w:rPr>
          <w:rFonts w:hint="eastAsia"/>
          <w:b w:val="0"/>
          <w:bCs/>
          <w:sz w:val="21"/>
          <w:szCs w:val="21"/>
        </w:rPr>
        <w:t>证明资料的形式及其它具体要求</w:t>
      </w:r>
      <w:bookmarkEnd w:id="83"/>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4"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4"/>
    </w:p>
    <w:p>
      <w:pPr>
        <w:widowControl w:val="0"/>
        <w:spacing w:after="160" w:line="278" w:lineRule="auto"/>
        <w:ind w:firstLine="482" w:firstLineChars="200"/>
        <w:jc w:val="both"/>
        <w:rPr>
          <w:rFonts w:eastAsia="宋体"/>
          <w:b/>
          <w:kern w:val="2"/>
          <w:lang w:eastAsia="zh-CN"/>
        </w:rPr>
      </w:pPr>
    </w:p>
    <w:p>
      <w:pPr>
        <w:widowControl w:val="0"/>
        <w:spacing w:after="160" w:line="278" w:lineRule="auto"/>
        <w:jc w:val="both"/>
        <w:rPr>
          <w:rFonts w:eastAsia="宋体"/>
          <w:kern w:val="2"/>
          <w:lang w:eastAsia="zh-CN"/>
        </w:rPr>
      </w:pPr>
    </w:p>
    <w:p>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kern w:val="2"/>
          <w:szCs w:val="20"/>
          <w:lang w:val="en-US" w:eastAsia="zh-CN"/>
        </w:rPr>
        <w:t>六</w:t>
      </w:r>
      <w:r>
        <w:rPr>
          <w:rFonts w:hint="eastAsia" w:ascii="黑体" w:hAnsi="宋体" w:eastAsia="黑体"/>
          <w:kern w:val="2"/>
          <w:szCs w:val="20"/>
          <w:lang w:eastAsia="zh-CN"/>
        </w:rPr>
        <w:t>、技术保障措施</w:t>
      </w:r>
    </w:p>
    <w:p>
      <w:pPr>
        <w:keepNext/>
        <w:keepLines/>
        <w:widowControl w:val="0"/>
        <w:spacing w:before="260" w:after="260"/>
        <w:jc w:val="center"/>
        <w:outlineLvl w:val="2"/>
        <w:rPr>
          <w:rFonts w:ascii="黑体" w:hAnsi="宋体" w:eastAsia="黑体"/>
          <w:kern w:val="2"/>
          <w:szCs w:val="20"/>
          <w:lang w:eastAsia="zh-CN"/>
        </w:rPr>
      </w:pPr>
      <w:r>
        <w:rPr>
          <w:rFonts w:hint="eastAsia" w:ascii="黑体" w:hAnsi="宋体" w:eastAsia="黑体"/>
          <w:kern w:val="2"/>
          <w:szCs w:val="20"/>
          <w:lang w:val="en-US" w:eastAsia="zh-CN"/>
        </w:rPr>
        <w:t>七</w:t>
      </w:r>
      <w:r>
        <w:rPr>
          <w:rFonts w:hint="eastAsia" w:ascii="黑体" w:hAnsi="宋体" w:eastAsia="黑体"/>
          <w:kern w:val="2"/>
          <w:szCs w:val="20"/>
          <w:lang w:eastAsia="zh-CN"/>
        </w:rPr>
        <w:t>、售后服务方案</w:t>
      </w:r>
    </w:p>
    <w:p>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kern w:val="2"/>
          <w:szCs w:val="20"/>
          <w:lang w:val="en-US" w:eastAsia="zh-CN"/>
        </w:rPr>
        <w:t>八</w:t>
      </w:r>
      <w:r>
        <w:rPr>
          <w:rFonts w:hint="eastAsia" w:ascii="黑体" w:hAnsi="宋体" w:eastAsia="黑体"/>
          <w:kern w:val="2"/>
          <w:szCs w:val="20"/>
          <w:lang w:eastAsia="zh-CN"/>
        </w:rPr>
        <w:t>、商务要求偏离表</w:t>
      </w:r>
    </w:p>
    <w:tbl>
      <w:tblPr>
        <w:tblStyle w:val="19"/>
        <w:tblW w:w="5000" w:type="pct"/>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322"/>
        <w:gridCol w:w="4575"/>
        <w:gridCol w:w="919"/>
        <w:gridCol w:w="612"/>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pPr>
              <w:widowControl w:val="0"/>
              <w:spacing w:after="160" w:line="278" w:lineRule="auto"/>
              <w:jc w:val="center"/>
              <w:rPr>
                <w:rFonts w:eastAsia="宋体"/>
                <w:b/>
                <w:kern w:val="2"/>
                <w:sz w:val="21"/>
                <w:lang w:eastAsia="zh-CN"/>
              </w:rPr>
            </w:pPr>
            <w:r>
              <w:rPr>
                <w:rFonts w:hint="eastAsia" w:eastAsia="宋体"/>
                <w:kern w:val="2"/>
                <w:lang w:eastAsia="zh-CN"/>
              </w:rPr>
              <w:t>序号</w:t>
            </w:r>
          </w:p>
        </w:tc>
        <w:tc>
          <w:tcPr>
            <w:tcW w:w="1408" w:type="dxa"/>
            <w:vAlign w:val="center"/>
          </w:tcPr>
          <w:p>
            <w:pPr>
              <w:widowControl w:val="0"/>
              <w:spacing w:after="160" w:line="278" w:lineRule="auto"/>
              <w:jc w:val="center"/>
              <w:rPr>
                <w:rFonts w:eastAsia="宋体"/>
                <w:b/>
                <w:kern w:val="2"/>
                <w:sz w:val="21"/>
                <w:lang w:eastAsia="zh-CN"/>
              </w:rPr>
            </w:pPr>
            <w:r>
              <w:rPr>
                <w:rFonts w:hint="eastAsia" w:eastAsia="宋体"/>
                <w:b/>
                <w:kern w:val="2"/>
                <w:sz w:val="21"/>
                <w:lang w:eastAsia="zh-CN"/>
              </w:rPr>
              <w:t>商务需求项</w:t>
            </w:r>
          </w:p>
        </w:tc>
        <w:tc>
          <w:tcPr>
            <w:tcW w:w="4918" w:type="dxa"/>
            <w:vAlign w:val="center"/>
          </w:tcPr>
          <w:p>
            <w:pPr>
              <w:widowControl w:val="0"/>
              <w:spacing w:after="160" w:line="278" w:lineRule="auto"/>
              <w:jc w:val="center"/>
              <w:rPr>
                <w:rFonts w:eastAsia="宋体"/>
                <w:b/>
                <w:kern w:val="2"/>
                <w:sz w:val="21"/>
                <w:lang w:eastAsia="zh-CN"/>
              </w:rPr>
            </w:pPr>
            <w:r>
              <w:rPr>
                <w:rFonts w:hint="eastAsia" w:eastAsia="宋体"/>
                <w:kern w:val="2"/>
                <w:lang w:eastAsia="zh-CN"/>
              </w:rPr>
              <w:t>招标商务要求</w:t>
            </w:r>
          </w:p>
        </w:tc>
        <w:tc>
          <w:tcPr>
            <w:tcW w:w="973" w:type="dxa"/>
            <w:vAlign w:val="center"/>
          </w:tcPr>
          <w:p>
            <w:pPr>
              <w:widowControl w:val="0"/>
              <w:spacing w:after="160" w:line="278" w:lineRule="auto"/>
              <w:jc w:val="center"/>
              <w:rPr>
                <w:rFonts w:eastAsia="宋体"/>
                <w:b/>
                <w:kern w:val="2"/>
                <w:sz w:val="21"/>
                <w:lang w:eastAsia="zh-CN"/>
              </w:rPr>
            </w:pPr>
            <w:r>
              <w:rPr>
                <w:rFonts w:hint="eastAsia" w:eastAsia="宋体"/>
                <w:kern w:val="2"/>
                <w:lang w:eastAsia="zh-CN"/>
              </w:rPr>
              <w:t>投标商务响应</w:t>
            </w:r>
          </w:p>
        </w:tc>
        <w:tc>
          <w:tcPr>
            <w:tcW w:w="642" w:type="dxa"/>
            <w:vAlign w:val="center"/>
          </w:tcPr>
          <w:p>
            <w:pPr>
              <w:widowControl w:val="0"/>
              <w:spacing w:after="160" w:line="278" w:lineRule="auto"/>
              <w:jc w:val="center"/>
              <w:rPr>
                <w:rFonts w:eastAsia="宋体"/>
                <w:b/>
                <w:kern w:val="2"/>
                <w:sz w:val="21"/>
                <w:lang w:eastAsia="zh-CN"/>
              </w:rPr>
            </w:pPr>
            <w:r>
              <w:rPr>
                <w:rFonts w:hint="eastAsia" w:eastAsia="宋体"/>
                <w:kern w:val="2"/>
                <w:sz w:val="21"/>
                <w:lang w:eastAsia="zh-CN"/>
              </w:rPr>
              <w:t>偏离情况</w:t>
            </w:r>
          </w:p>
        </w:tc>
        <w:tc>
          <w:tcPr>
            <w:tcW w:w="540" w:type="dxa"/>
            <w:vAlign w:val="center"/>
          </w:tcPr>
          <w:p>
            <w:pPr>
              <w:widowControl w:val="0"/>
              <w:spacing w:after="160" w:line="278" w:lineRule="auto"/>
              <w:jc w:val="center"/>
              <w:rPr>
                <w:rFonts w:eastAsia="宋体"/>
                <w:b/>
                <w:kern w:val="2"/>
                <w:sz w:val="21"/>
                <w:lang w:eastAsia="zh-CN"/>
              </w:rPr>
            </w:pPr>
            <w:r>
              <w:rPr>
                <w:rFonts w:hint="eastAsia" w:eastAsia="宋体"/>
                <w:kern w:val="2"/>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pPr>
              <w:widowControl w:val="0"/>
              <w:spacing w:after="160" w:line="278" w:lineRule="auto"/>
              <w:jc w:val="both"/>
              <w:rPr>
                <w:rFonts w:eastAsia="宋体"/>
                <w:b/>
                <w:kern w:val="2"/>
                <w:sz w:val="21"/>
                <w:lang w:eastAsia="zh-CN"/>
              </w:rPr>
            </w:pPr>
            <w:r>
              <w:rPr>
                <w:rFonts w:hint="eastAsia" w:eastAsia="宋体"/>
                <w:b/>
                <w:kern w:val="2"/>
                <w:sz w:val="21"/>
                <w:lang w:eastAsia="zh-CN"/>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widowControl w:val="0"/>
              <w:spacing w:after="160" w:line="278" w:lineRule="auto"/>
              <w:jc w:val="center"/>
              <w:rPr>
                <w:rFonts w:eastAsia="宋体"/>
                <w:bCs/>
                <w:kern w:val="2"/>
                <w:sz w:val="21"/>
                <w:lang w:eastAsia="zh-CN"/>
              </w:rPr>
            </w:pPr>
            <w:r>
              <w:rPr>
                <w:rFonts w:hint="eastAsia" w:eastAsia="宋体"/>
                <w:bCs/>
                <w:kern w:val="2"/>
                <w:sz w:val="21"/>
                <w:lang w:eastAsia="zh-CN"/>
              </w:rPr>
              <w:t>1</w:t>
            </w:r>
          </w:p>
        </w:tc>
        <w:tc>
          <w:tcPr>
            <w:tcW w:w="1408" w:type="dxa"/>
          </w:tcPr>
          <w:p>
            <w:pPr>
              <w:widowControl w:val="0"/>
              <w:spacing w:after="160" w:line="278" w:lineRule="auto"/>
              <w:jc w:val="center"/>
              <w:rPr>
                <w:rFonts w:eastAsia="宋体"/>
                <w:kern w:val="2"/>
                <w:sz w:val="21"/>
                <w:lang w:eastAsia="zh-CN"/>
              </w:rPr>
            </w:pPr>
            <w:r>
              <w:rPr>
                <w:rFonts w:hint="eastAsia" w:eastAsia="宋体"/>
                <w:kern w:val="2"/>
                <w:sz w:val="21"/>
                <w:lang w:eastAsia="zh-CN"/>
              </w:rPr>
              <w:t>*</w:t>
            </w:r>
            <w:r>
              <w:rPr>
                <w:rFonts w:eastAsia="宋体"/>
                <w:kern w:val="2"/>
                <w:sz w:val="21"/>
                <w:lang w:eastAsia="zh-CN"/>
              </w:rPr>
              <w:t>***</w:t>
            </w:r>
          </w:p>
        </w:tc>
        <w:tc>
          <w:tcPr>
            <w:tcW w:w="4918" w:type="dxa"/>
          </w:tcPr>
          <w:p>
            <w:pPr>
              <w:widowControl w:val="0"/>
              <w:spacing w:after="160" w:line="278" w:lineRule="auto"/>
              <w:jc w:val="center"/>
              <w:rPr>
                <w:rFonts w:eastAsia="宋体"/>
                <w:b/>
                <w:kern w:val="2"/>
                <w:sz w:val="21"/>
                <w:lang w:eastAsia="zh-CN"/>
              </w:rPr>
            </w:pPr>
            <w:r>
              <w:rPr>
                <w:rFonts w:hint="eastAsia" w:eastAsia="宋体"/>
                <w:bCs/>
                <w:kern w:val="2"/>
                <w:sz w:val="21"/>
                <w:szCs w:val="21"/>
                <w:lang w:eastAsia="zh-CN"/>
              </w:rPr>
              <w:t>（填写相关内容）</w:t>
            </w:r>
          </w:p>
        </w:tc>
        <w:tc>
          <w:tcPr>
            <w:tcW w:w="973" w:type="dxa"/>
          </w:tcPr>
          <w:p>
            <w:pPr>
              <w:widowControl w:val="0"/>
              <w:spacing w:after="160" w:line="278" w:lineRule="auto"/>
              <w:jc w:val="both"/>
              <w:rPr>
                <w:rFonts w:eastAsia="宋体"/>
                <w:bCs/>
                <w:kern w:val="2"/>
                <w:sz w:val="21"/>
                <w:szCs w:val="21"/>
                <w:lang w:eastAsia="zh-CN"/>
              </w:rPr>
            </w:pPr>
          </w:p>
        </w:tc>
        <w:tc>
          <w:tcPr>
            <w:tcW w:w="642" w:type="dxa"/>
          </w:tcPr>
          <w:p>
            <w:pPr>
              <w:widowControl w:val="0"/>
              <w:spacing w:after="160" w:line="278" w:lineRule="auto"/>
              <w:jc w:val="both"/>
              <w:rPr>
                <w:rFonts w:eastAsia="宋体"/>
                <w:bCs/>
                <w:kern w:val="2"/>
                <w:sz w:val="21"/>
                <w:szCs w:val="21"/>
                <w:lang w:eastAsia="zh-CN"/>
              </w:rPr>
            </w:pPr>
          </w:p>
        </w:tc>
        <w:tc>
          <w:tcPr>
            <w:tcW w:w="540" w:type="dxa"/>
          </w:tcPr>
          <w:p>
            <w:pPr>
              <w:widowControl w:val="0"/>
              <w:spacing w:after="160" w:line="278" w:lineRule="auto"/>
              <w:jc w:val="both"/>
              <w:rPr>
                <w:rFonts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widowControl w:val="0"/>
              <w:spacing w:after="160" w:line="278" w:lineRule="auto"/>
              <w:jc w:val="center"/>
              <w:rPr>
                <w:rFonts w:eastAsia="宋体"/>
                <w:bCs/>
                <w:kern w:val="2"/>
                <w:sz w:val="21"/>
                <w:lang w:eastAsia="zh-CN"/>
              </w:rPr>
            </w:pPr>
            <w:r>
              <w:rPr>
                <w:rFonts w:eastAsia="宋体"/>
                <w:bCs/>
                <w:kern w:val="2"/>
                <w:sz w:val="21"/>
                <w:lang w:eastAsia="zh-CN"/>
              </w:rPr>
              <w:t>2</w:t>
            </w:r>
          </w:p>
        </w:tc>
        <w:tc>
          <w:tcPr>
            <w:tcW w:w="1408" w:type="dxa"/>
          </w:tcPr>
          <w:p>
            <w:pPr>
              <w:widowControl w:val="0"/>
              <w:spacing w:after="160" w:line="278" w:lineRule="auto"/>
              <w:jc w:val="center"/>
              <w:rPr>
                <w:rFonts w:eastAsia="宋体"/>
                <w:kern w:val="2"/>
                <w:sz w:val="21"/>
                <w:lang w:eastAsia="zh-CN"/>
              </w:rPr>
            </w:pPr>
            <w:r>
              <w:rPr>
                <w:rFonts w:hint="eastAsia" w:eastAsia="宋体"/>
                <w:kern w:val="2"/>
                <w:sz w:val="21"/>
                <w:lang w:eastAsia="zh-CN"/>
              </w:rPr>
              <w:t>****</w:t>
            </w:r>
          </w:p>
        </w:tc>
        <w:tc>
          <w:tcPr>
            <w:tcW w:w="4918" w:type="dxa"/>
          </w:tcPr>
          <w:p>
            <w:pPr>
              <w:widowControl w:val="0"/>
              <w:spacing w:after="160" w:line="278" w:lineRule="auto"/>
              <w:jc w:val="center"/>
              <w:rPr>
                <w:rFonts w:eastAsia="宋体"/>
                <w:bCs/>
                <w:kern w:val="2"/>
                <w:sz w:val="21"/>
                <w:szCs w:val="21"/>
                <w:lang w:eastAsia="zh-CN"/>
              </w:rPr>
            </w:pPr>
            <w:r>
              <w:rPr>
                <w:rFonts w:hint="eastAsia" w:eastAsia="宋体"/>
                <w:kern w:val="2"/>
                <w:sz w:val="21"/>
                <w:lang w:eastAsia="zh-CN"/>
              </w:rPr>
              <w:t>（填写相关内容）</w:t>
            </w:r>
          </w:p>
        </w:tc>
        <w:tc>
          <w:tcPr>
            <w:tcW w:w="973" w:type="dxa"/>
          </w:tcPr>
          <w:p>
            <w:pPr>
              <w:widowControl w:val="0"/>
              <w:spacing w:after="160" w:line="278" w:lineRule="auto"/>
              <w:jc w:val="both"/>
              <w:rPr>
                <w:rFonts w:eastAsia="宋体"/>
                <w:bCs/>
                <w:kern w:val="2"/>
                <w:sz w:val="21"/>
                <w:szCs w:val="21"/>
                <w:lang w:eastAsia="zh-CN"/>
              </w:rPr>
            </w:pPr>
          </w:p>
        </w:tc>
        <w:tc>
          <w:tcPr>
            <w:tcW w:w="642" w:type="dxa"/>
          </w:tcPr>
          <w:p>
            <w:pPr>
              <w:widowControl w:val="0"/>
              <w:spacing w:after="160" w:line="278" w:lineRule="auto"/>
              <w:jc w:val="both"/>
              <w:rPr>
                <w:rFonts w:eastAsia="宋体"/>
                <w:bCs/>
                <w:kern w:val="2"/>
                <w:sz w:val="21"/>
                <w:szCs w:val="21"/>
                <w:lang w:eastAsia="zh-CN"/>
              </w:rPr>
            </w:pPr>
          </w:p>
        </w:tc>
        <w:tc>
          <w:tcPr>
            <w:tcW w:w="540" w:type="dxa"/>
          </w:tcPr>
          <w:p>
            <w:pPr>
              <w:widowControl w:val="0"/>
              <w:spacing w:after="160" w:line="278" w:lineRule="auto"/>
              <w:jc w:val="both"/>
              <w:rPr>
                <w:rFonts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pPr>
              <w:widowControl w:val="0"/>
              <w:spacing w:after="160" w:line="278" w:lineRule="auto"/>
              <w:jc w:val="both"/>
              <w:rPr>
                <w:rFonts w:eastAsia="宋体"/>
                <w:bCs/>
                <w:kern w:val="2"/>
                <w:sz w:val="21"/>
                <w:szCs w:val="21"/>
                <w:lang w:eastAsia="zh-CN"/>
              </w:rPr>
            </w:pPr>
            <w:r>
              <w:rPr>
                <w:rFonts w:hint="eastAsia" w:eastAsia="宋体"/>
                <w:b/>
                <w:kern w:val="2"/>
                <w:sz w:val="21"/>
                <w:lang w:eastAsia="zh-CN"/>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widowControl w:val="0"/>
              <w:spacing w:after="160" w:line="278" w:lineRule="auto"/>
              <w:jc w:val="center"/>
              <w:rPr>
                <w:rFonts w:eastAsia="宋体"/>
                <w:bCs/>
                <w:kern w:val="2"/>
                <w:sz w:val="21"/>
                <w:lang w:eastAsia="zh-CN"/>
              </w:rPr>
            </w:pPr>
            <w:r>
              <w:rPr>
                <w:rFonts w:hint="eastAsia" w:eastAsia="宋体"/>
                <w:kern w:val="2"/>
                <w:sz w:val="21"/>
                <w:lang w:eastAsia="zh-CN"/>
              </w:rPr>
              <w:t>1</w:t>
            </w:r>
          </w:p>
        </w:tc>
        <w:tc>
          <w:tcPr>
            <w:tcW w:w="1408" w:type="dxa"/>
          </w:tcPr>
          <w:p>
            <w:pPr>
              <w:widowControl w:val="0"/>
              <w:spacing w:after="160" w:line="278" w:lineRule="auto"/>
              <w:jc w:val="center"/>
              <w:rPr>
                <w:rFonts w:eastAsia="宋体"/>
                <w:kern w:val="2"/>
                <w:sz w:val="21"/>
                <w:lang w:eastAsia="zh-CN"/>
              </w:rPr>
            </w:pPr>
            <w:r>
              <w:rPr>
                <w:rFonts w:hint="eastAsia" w:eastAsia="宋体"/>
                <w:kern w:val="2"/>
                <w:sz w:val="21"/>
                <w:lang w:eastAsia="zh-CN"/>
              </w:rPr>
              <w:t>****</w:t>
            </w:r>
          </w:p>
        </w:tc>
        <w:tc>
          <w:tcPr>
            <w:tcW w:w="4918" w:type="dxa"/>
          </w:tcPr>
          <w:p>
            <w:pPr>
              <w:widowControl w:val="0"/>
              <w:spacing w:after="160" w:line="278" w:lineRule="auto"/>
              <w:jc w:val="center"/>
              <w:rPr>
                <w:rFonts w:eastAsia="宋体"/>
                <w:kern w:val="2"/>
                <w:sz w:val="21"/>
                <w:lang w:eastAsia="zh-CN"/>
              </w:rPr>
            </w:pPr>
            <w:r>
              <w:rPr>
                <w:rFonts w:hint="eastAsia" w:eastAsia="宋体"/>
                <w:kern w:val="2"/>
                <w:sz w:val="21"/>
                <w:lang w:eastAsia="zh-CN"/>
              </w:rPr>
              <w:t>（填写相关内容）</w:t>
            </w:r>
          </w:p>
        </w:tc>
        <w:tc>
          <w:tcPr>
            <w:tcW w:w="973" w:type="dxa"/>
          </w:tcPr>
          <w:p>
            <w:pPr>
              <w:widowControl w:val="0"/>
              <w:spacing w:after="160" w:line="278" w:lineRule="auto"/>
              <w:jc w:val="both"/>
              <w:rPr>
                <w:rFonts w:eastAsia="宋体"/>
                <w:bCs/>
                <w:kern w:val="2"/>
                <w:sz w:val="21"/>
                <w:szCs w:val="21"/>
                <w:lang w:eastAsia="zh-CN"/>
              </w:rPr>
            </w:pPr>
          </w:p>
        </w:tc>
        <w:tc>
          <w:tcPr>
            <w:tcW w:w="642" w:type="dxa"/>
          </w:tcPr>
          <w:p>
            <w:pPr>
              <w:widowControl w:val="0"/>
              <w:spacing w:after="160" w:line="278" w:lineRule="auto"/>
              <w:jc w:val="both"/>
              <w:rPr>
                <w:rFonts w:eastAsia="宋体"/>
                <w:bCs/>
                <w:kern w:val="2"/>
                <w:sz w:val="21"/>
                <w:szCs w:val="21"/>
                <w:lang w:eastAsia="zh-CN"/>
              </w:rPr>
            </w:pPr>
          </w:p>
        </w:tc>
        <w:tc>
          <w:tcPr>
            <w:tcW w:w="540" w:type="dxa"/>
          </w:tcPr>
          <w:p>
            <w:pPr>
              <w:widowControl w:val="0"/>
              <w:spacing w:after="160" w:line="278" w:lineRule="auto"/>
              <w:jc w:val="both"/>
              <w:rPr>
                <w:rFonts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pPr>
              <w:widowControl w:val="0"/>
              <w:spacing w:after="160" w:line="278" w:lineRule="auto"/>
              <w:jc w:val="both"/>
              <w:rPr>
                <w:rFonts w:eastAsia="宋体"/>
                <w:bCs/>
                <w:kern w:val="2"/>
                <w:sz w:val="21"/>
                <w:szCs w:val="21"/>
                <w:lang w:eastAsia="zh-CN"/>
              </w:rPr>
            </w:pPr>
            <w:r>
              <w:rPr>
                <w:rFonts w:hint="eastAsia" w:eastAsia="宋体"/>
                <w:b/>
                <w:kern w:val="2"/>
                <w:sz w:val="21"/>
                <w:lang w:eastAsia="zh-CN"/>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widowControl w:val="0"/>
              <w:spacing w:after="160" w:line="278" w:lineRule="auto"/>
              <w:jc w:val="center"/>
              <w:rPr>
                <w:rFonts w:eastAsia="宋体"/>
                <w:kern w:val="2"/>
                <w:sz w:val="21"/>
                <w:lang w:eastAsia="zh-CN"/>
              </w:rPr>
            </w:pPr>
            <w:r>
              <w:rPr>
                <w:rFonts w:hint="eastAsia" w:eastAsia="宋体"/>
                <w:kern w:val="2"/>
                <w:sz w:val="21"/>
                <w:lang w:eastAsia="zh-CN"/>
              </w:rPr>
              <w:t>1</w:t>
            </w:r>
          </w:p>
        </w:tc>
        <w:tc>
          <w:tcPr>
            <w:tcW w:w="1408" w:type="dxa"/>
          </w:tcPr>
          <w:p>
            <w:pPr>
              <w:widowControl w:val="0"/>
              <w:spacing w:after="160" w:line="278" w:lineRule="auto"/>
              <w:jc w:val="center"/>
              <w:rPr>
                <w:rFonts w:eastAsia="宋体"/>
                <w:kern w:val="2"/>
                <w:sz w:val="21"/>
                <w:lang w:eastAsia="zh-CN"/>
              </w:rPr>
            </w:pPr>
            <w:r>
              <w:rPr>
                <w:rFonts w:hint="eastAsia" w:eastAsia="宋体"/>
                <w:kern w:val="2"/>
                <w:sz w:val="21"/>
                <w:lang w:eastAsia="zh-CN"/>
              </w:rPr>
              <w:t>****</w:t>
            </w:r>
          </w:p>
        </w:tc>
        <w:tc>
          <w:tcPr>
            <w:tcW w:w="4918" w:type="dxa"/>
          </w:tcPr>
          <w:p>
            <w:pPr>
              <w:widowControl w:val="0"/>
              <w:spacing w:after="160" w:line="278" w:lineRule="auto"/>
              <w:jc w:val="center"/>
              <w:rPr>
                <w:rFonts w:eastAsia="宋体"/>
                <w:kern w:val="2"/>
                <w:sz w:val="21"/>
                <w:lang w:eastAsia="zh-CN"/>
              </w:rPr>
            </w:pPr>
            <w:r>
              <w:rPr>
                <w:rFonts w:hint="eastAsia" w:eastAsia="宋体"/>
                <w:kern w:val="2"/>
                <w:sz w:val="21"/>
                <w:lang w:eastAsia="zh-CN"/>
              </w:rPr>
              <w:t>（填写相关内容）</w:t>
            </w:r>
          </w:p>
        </w:tc>
        <w:tc>
          <w:tcPr>
            <w:tcW w:w="973" w:type="dxa"/>
          </w:tcPr>
          <w:p>
            <w:pPr>
              <w:widowControl w:val="0"/>
              <w:spacing w:after="160" w:line="278" w:lineRule="auto"/>
              <w:jc w:val="both"/>
              <w:rPr>
                <w:rFonts w:eastAsia="宋体"/>
                <w:bCs/>
                <w:kern w:val="2"/>
                <w:sz w:val="21"/>
                <w:szCs w:val="21"/>
                <w:lang w:eastAsia="zh-CN"/>
              </w:rPr>
            </w:pPr>
          </w:p>
        </w:tc>
        <w:tc>
          <w:tcPr>
            <w:tcW w:w="642" w:type="dxa"/>
          </w:tcPr>
          <w:p>
            <w:pPr>
              <w:widowControl w:val="0"/>
              <w:spacing w:after="160" w:line="278" w:lineRule="auto"/>
              <w:jc w:val="both"/>
              <w:rPr>
                <w:rFonts w:eastAsia="宋体"/>
                <w:bCs/>
                <w:kern w:val="2"/>
                <w:sz w:val="21"/>
                <w:szCs w:val="21"/>
                <w:lang w:eastAsia="zh-CN"/>
              </w:rPr>
            </w:pPr>
          </w:p>
        </w:tc>
        <w:tc>
          <w:tcPr>
            <w:tcW w:w="540" w:type="dxa"/>
          </w:tcPr>
          <w:p>
            <w:pPr>
              <w:widowControl w:val="0"/>
              <w:spacing w:after="160" w:line="278" w:lineRule="auto"/>
              <w:jc w:val="both"/>
              <w:rPr>
                <w:rFonts w:eastAsia="宋体"/>
                <w:bCs/>
                <w:kern w:val="2"/>
                <w:sz w:val="21"/>
                <w:szCs w:val="21"/>
                <w:lang w:eastAsia="zh-CN"/>
              </w:rPr>
            </w:pPr>
          </w:p>
        </w:tc>
      </w:tr>
    </w:tbl>
    <w:p>
      <w:pPr>
        <w:ind w:firstLine="420" w:firstLineChars="200"/>
        <w:rPr>
          <w:b w:val="0"/>
          <w:bCs/>
          <w:sz w:val="21"/>
          <w:szCs w:val="21"/>
        </w:rPr>
      </w:pPr>
      <w:r>
        <w:rPr>
          <w:rFonts w:hint="eastAsia"/>
          <w:b w:val="0"/>
          <w:bCs/>
          <w:sz w:val="21"/>
          <w:szCs w:val="21"/>
        </w:rPr>
        <w:t>《商务要求偏离表》编制指引：</w:t>
      </w:r>
    </w:p>
    <w:p>
      <w:pPr>
        <w:ind w:firstLine="420" w:firstLineChars="200"/>
        <w:rPr>
          <w:b w:val="0"/>
          <w:bCs/>
          <w:sz w:val="21"/>
          <w:szCs w:val="21"/>
        </w:rPr>
      </w:pPr>
      <w:r>
        <w:rPr>
          <w:rFonts w:hint="eastAsia"/>
          <w:b w:val="0"/>
          <w:bCs/>
          <w:sz w:val="21"/>
          <w:szCs w:val="21"/>
        </w:rPr>
        <w:t>1、商务要求偏离表的序号、商务需求项、招标商务要求等栏目对应“用户需求书”中的“商务要求”章节相关内容。</w:t>
      </w:r>
    </w:p>
    <w:p>
      <w:pPr>
        <w:ind w:firstLine="420" w:firstLineChars="200"/>
        <w:rPr>
          <w:b w:val="0"/>
          <w:bCs/>
          <w:sz w:val="21"/>
          <w:szCs w:val="21"/>
        </w:rPr>
      </w:pPr>
      <w:r>
        <w:rPr>
          <w:b w:val="0"/>
          <w:bCs/>
          <w:sz w:val="21"/>
          <w:szCs w:val="21"/>
        </w:rPr>
        <w:t>2</w:t>
      </w:r>
      <w:r>
        <w:rPr>
          <w:rFonts w:hint="eastAsia"/>
          <w:b w:val="0"/>
          <w:bCs/>
          <w:sz w:val="21"/>
          <w:szCs w:val="21"/>
        </w:rPr>
        <w:t>、“投标商务响应”一栏必须一一对照“招标商务要求”，详细填写自身响应情况，而不能不合理照搬照抄招标文件的商务要求，以体现具体响应情况。</w:t>
      </w:r>
    </w:p>
    <w:p>
      <w:pPr>
        <w:ind w:firstLine="420" w:firstLineChars="200"/>
        <w:rPr>
          <w:b w:val="0"/>
          <w:bCs/>
          <w:color w:val="FF0000"/>
          <w:sz w:val="21"/>
          <w:szCs w:val="21"/>
        </w:rPr>
      </w:pPr>
      <w:r>
        <w:rPr>
          <w:b w:val="0"/>
          <w:bCs/>
          <w:sz w:val="21"/>
          <w:szCs w:val="21"/>
        </w:rPr>
        <w:t>3</w:t>
      </w:r>
      <w:r>
        <w:rPr>
          <w:rFonts w:hint="eastAsia"/>
          <w:b w:val="0"/>
          <w:bCs/>
          <w:sz w:val="21"/>
          <w:szCs w:val="21"/>
        </w:rPr>
        <w:t>、“偏离情况”一栏填写如实填写“正偏离”、“负偏离”或“无偏离”，其中：“正偏离”表示“投标响应优于招标商务要求”，“负偏离”表示“投标响应不满足招标商务要求”，“无偏离”表示“投标响应与招标商务要求一致”。</w:t>
      </w:r>
    </w:p>
    <w:p>
      <w:pPr>
        <w:rPr>
          <w:rFonts w:hint="eastAsia"/>
          <w:b w:val="0"/>
          <w:bCs/>
          <w:sz w:val="21"/>
          <w:szCs w:val="21"/>
          <w:lang w:eastAsia="zh-CN"/>
        </w:rPr>
      </w:pPr>
      <w:r>
        <w:rPr>
          <w:rFonts w:hint="eastAsia"/>
          <w:b w:val="0"/>
          <w:bCs/>
          <w:sz w:val="21"/>
          <w:szCs w:val="21"/>
        </w:rPr>
        <w:t>“投标商务响应”对比“招标商务要求”存在响应不全（包括未响应整项招标商务要求或者未响应一项招标商务要求的部分内容），均视为“负偏离”</w:t>
      </w:r>
      <w:r>
        <w:rPr>
          <w:rFonts w:hint="eastAsia"/>
          <w:b w:val="0"/>
          <w:bCs/>
          <w:sz w:val="21"/>
          <w:szCs w:val="21"/>
          <w:lang w:eastAsia="zh-CN"/>
        </w:rPr>
        <w:t>。</w:t>
      </w:r>
    </w:p>
    <w:p>
      <w:pPr>
        <w:ind w:firstLine="420" w:firstLineChars="200"/>
        <w:rPr>
          <w:b w:val="0"/>
          <w:bCs/>
          <w:sz w:val="21"/>
          <w:szCs w:val="21"/>
        </w:rPr>
      </w:pPr>
      <w:r>
        <w:rPr>
          <w:rFonts w:hint="eastAsia"/>
          <w:b w:val="0"/>
          <w:bCs/>
          <w:sz w:val="21"/>
          <w:szCs w:val="21"/>
        </w:rPr>
        <w:t>4、带★号条款为不可偏离条款，如未响应或出现负偏离的，将作投标无效处理。</w:t>
      </w:r>
    </w:p>
    <w:p>
      <w:pPr>
        <w:widowControl w:val="0"/>
        <w:spacing w:after="160" w:line="278" w:lineRule="auto"/>
        <w:jc w:val="both"/>
        <w:rPr>
          <w:rFonts w:eastAsia="宋体"/>
          <w:kern w:val="2"/>
          <w:lang w:eastAsia="zh-CN"/>
        </w:rPr>
      </w:pPr>
    </w:p>
    <w:p>
      <w:pPr>
        <w:keepNext/>
        <w:keepLines/>
        <w:widowControl w:val="0"/>
        <w:spacing w:before="260" w:after="260"/>
        <w:jc w:val="center"/>
        <w:outlineLvl w:val="2"/>
        <w:rPr>
          <w:rFonts w:ascii="黑体" w:hAnsi="宋体" w:eastAsia="黑体"/>
          <w:kern w:val="2"/>
          <w:szCs w:val="20"/>
          <w:lang w:eastAsia="zh-CN"/>
        </w:rPr>
      </w:pPr>
      <w:bookmarkStart w:id="85" w:name="_Hlk72260576"/>
      <w:r>
        <w:rPr>
          <w:rFonts w:hint="eastAsia" w:ascii="黑体" w:hAnsi="宋体" w:eastAsia="黑体"/>
          <w:kern w:val="2"/>
          <w:szCs w:val="20"/>
          <w:lang w:val="en-US" w:eastAsia="zh-CN"/>
        </w:rPr>
        <w:t>九</w:t>
      </w:r>
      <w:r>
        <w:rPr>
          <w:rFonts w:hint="eastAsia" w:ascii="黑体" w:hAnsi="宋体" w:eastAsia="黑体"/>
          <w:kern w:val="2"/>
          <w:szCs w:val="20"/>
          <w:lang w:eastAsia="zh-CN"/>
        </w:rPr>
        <w:t>、</w:t>
      </w:r>
      <w:bookmarkStart w:id="86" w:name="_Hlk72062872"/>
      <w:r>
        <w:rPr>
          <w:rFonts w:hint="eastAsia" w:ascii="黑体" w:hAnsi="宋体" w:eastAsia="黑体"/>
          <w:kern w:val="2"/>
          <w:szCs w:val="20"/>
          <w:lang w:eastAsia="zh-CN"/>
        </w:rPr>
        <w:t>投标人认为需要加以说明的其他内容</w:t>
      </w:r>
      <w:bookmarkEnd w:id="86"/>
    </w:p>
    <w:bookmarkEnd w:id="85"/>
    <w:p>
      <w:pPr>
        <w:spacing w:after="160" w:line="278" w:lineRule="auto"/>
        <w:jc w:val="center"/>
        <w:rPr>
          <w:rFonts w:ascii="黑体" w:hAnsi="宋体" w:eastAsia="黑体"/>
          <w:szCs w:val="20"/>
          <w:lang w:eastAsia="zh-CN"/>
        </w:rPr>
      </w:pPr>
      <w:r>
        <w:rPr>
          <w:rFonts w:hint="eastAsia" w:ascii="黑体" w:hAnsi="宋体" w:eastAsia="黑体"/>
          <w:szCs w:val="20"/>
          <w:lang w:eastAsia="zh-CN"/>
        </w:rPr>
        <w:t>（一）</w:t>
      </w:r>
      <w:r>
        <w:rPr>
          <w:rFonts w:hint="eastAsia" w:ascii="黑体" w:hAnsi="宋体" w:eastAsia="黑体"/>
          <w:szCs w:val="20"/>
          <w:highlight w:val="yellow"/>
          <w:lang w:eastAsia="zh-CN"/>
        </w:rPr>
        <w:t>政府采购违法行为风险知悉确认书</w:t>
      </w:r>
    </w:p>
    <w:p>
      <w:pPr>
        <w:spacing w:after="160" w:line="278" w:lineRule="auto"/>
        <w:jc w:val="center"/>
        <w:rPr>
          <w:rFonts w:ascii="黑体" w:hAnsi="宋体" w:eastAsia="黑体"/>
          <w:szCs w:val="20"/>
          <w:lang w:eastAsia="zh-CN"/>
        </w:rPr>
      </w:pPr>
    </w:p>
    <w:p>
      <w:pPr>
        <w:spacing w:afterLines="50" w:line="3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7811" w:type="dxa"/>
          </w:tcPr>
          <w:p>
            <w:pPr>
              <w:widowControl w:val="0"/>
              <w:spacing w:line="400" w:lineRule="exact"/>
              <w:jc w:val="center"/>
              <w:rPr>
                <w:rFonts w:hint="eastAsia" w:ascii="宋体" w:hAnsi="宋体" w:eastAsia="宋体" w:cs="宋体"/>
                <w:sz w:val="21"/>
                <w:szCs w:val="21"/>
              </w:rPr>
            </w:pPr>
            <w:r>
              <w:rPr>
                <w:rFonts w:hint="eastAsia" w:ascii="宋体" w:hAnsi="宋体" w:eastAsia="宋体" w:cs="宋体"/>
                <w:b/>
                <w:bCs/>
                <w:sz w:val="21"/>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811" w:type="dxa"/>
            <w:vAlign w:val="center"/>
          </w:tcPr>
          <w:p>
            <w:pPr>
              <w:widowControl w:val="0"/>
              <w:spacing w:line="400" w:lineRule="exact"/>
              <w:jc w:val="left"/>
              <w:rPr>
                <w:rFonts w:hint="eastAsia" w:ascii="宋体" w:hAnsi="宋体" w:eastAsia="宋体" w:cs="宋体"/>
                <w:sz w:val="21"/>
                <w:szCs w:val="21"/>
              </w:rPr>
            </w:pPr>
            <w:r>
              <w:rPr>
                <w:rFonts w:hint="eastAsia" w:ascii="宋体" w:hAnsi="宋体" w:eastAsia="宋体" w:cs="宋体"/>
                <w:sz w:val="21"/>
                <w:szCs w:val="21"/>
              </w:rPr>
              <w:t>与其他投标供应商的法定代表人、主要经营负责人、投标授权代表人、项目负责人、主要技术人员为</w:t>
            </w:r>
            <w:r>
              <w:rPr>
                <w:rFonts w:hint="eastAsia" w:ascii="宋体" w:hAnsi="宋体" w:eastAsia="宋体" w:cs="宋体"/>
                <w:b/>
                <w:bCs/>
                <w:sz w:val="21"/>
                <w:szCs w:val="21"/>
              </w:rPr>
              <w:t>同一人、属同一单位或者在同一单位缴纳社会保险</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811" w:type="dxa"/>
            <w:vAlign w:val="center"/>
          </w:tcPr>
          <w:p>
            <w:pPr>
              <w:widowControl w:val="0"/>
              <w:spacing w:line="400" w:lineRule="exact"/>
              <w:jc w:val="left"/>
              <w:rPr>
                <w:rFonts w:hint="eastAsia" w:ascii="宋体" w:hAnsi="宋体" w:eastAsia="宋体" w:cs="宋体"/>
                <w:sz w:val="21"/>
                <w:szCs w:val="21"/>
              </w:rPr>
            </w:pPr>
            <w:r>
              <w:rPr>
                <w:rFonts w:hint="eastAsia" w:ascii="宋体" w:hAnsi="宋体" w:eastAsia="宋体" w:cs="宋体"/>
                <w:sz w:val="21"/>
                <w:szCs w:val="21"/>
              </w:rPr>
              <w:t>参与本项目政府采购活动时，与其他投标供应商存在单位负责人为</w:t>
            </w:r>
            <w:r>
              <w:rPr>
                <w:rFonts w:hint="eastAsia" w:ascii="宋体" w:hAnsi="宋体" w:eastAsia="宋体" w:cs="宋体"/>
                <w:b/>
                <w:bCs/>
                <w:sz w:val="21"/>
                <w:szCs w:val="21"/>
              </w:rPr>
              <w:t>同一人或直接控股、管理关系</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11" w:type="dxa"/>
            <w:vAlign w:val="center"/>
          </w:tcPr>
          <w:p>
            <w:pPr>
              <w:widowControl w:val="0"/>
              <w:spacing w:line="400" w:lineRule="exact"/>
              <w:jc w:val="left"/>
              <w:rPr>
                <w:rFonts w:hint="eastAsia" w:ascii="宋体" w:hAnsi="宋体" w:eastAsia="宋体" w:cs="宋体"/>
                <w:sz w:val="21"/>
                <w:szCs w:val="21"/>
              </w:rPr>
            </w:pPr>
            <w:r>
              <w:rPr>
                <w:rFonts w:hint="eastAsia" w:ascii="宋体" w:hAnsi="宋体" w:eastAsia="宋体" w:cs="宋体"/>
                <w:sz w:val="21"/>
                <w:szCs w:val="21"/>
              </w:rPr>
              <w:t>与其他投标供应商的投标文件或部分投标文件</w:t>
            </w:r>
            <w:r>
              <w:rPr>
                <w:rFonts w:hint="eastAsia" w:ascii="宋体" w:hAnsi="宋体" w:eastAsia="宋体" w:cs="宋体"/>
                <w:b/>
                <w:bCs/>
                <w:sz w:val="21"/>
                <w:szCs w:val="21"/>
              </w:rPr>
              <w:t>相互混装或存在非正常一致</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7811" w:type="dxa"/>
            <w:vAlign w:val="center"/>
          </w:tcPr>
          <w:p>
            <w:pPr>
              <w:widowControl w:val="0"/>
              <w:spacing w:line="400" w:lineRule="exact"/>
              <w:jc w:val="left"/>
              <w:rPr>
                <w:rFonts w:hint="eastAsia" w:ascii="宋体" w:hAnsi="宋体" w:eastAsia="宋体" w:cs="宋体"/>
                <w:sz w:val="21"/>
                <w:szCs w:val="21"/>
              </w:rPr>
            </w:pPr>
            <w:r>
              <w:rPr>
                <w:rFonts w:hint="eastAsia" w:ascii="宋体" w:hAnsi="宋体" w:eastAsia="宋体" w:cs="宋体"/>
                <w:sz w:val="21"/>
                <w:szCs w:val="21"/>
              </w:rPr>
              <w:t>与其他投标供应商的投标文件由</w:t>
            </w:r>
            <w:r>
              <w:rPr>
                <w:rFonts w:hint="eastAsia" w:ascii="宋体" w:hAnsi="宋体" w:eastAsia="宋体" w:cs="宋体"/>
                <w:b/>
                <w:bCs/>
                <w:sz w:val="21"/>
                <w:szCs w:val="21"/>
              </w:rPr>
              <w:t>同一单位或者同一人编制</w:t>
            </w:r>
            <w:r>
              <w:rPr>
                <w:rFonts w:hint="eastAsia" w:ascii="宋体" w:hAnsi="宋体" w:eastAsia="宋体" w:cs="宋体"/>
                <w:sz w:val="21"/>
                <w:szCs w:val="21"/>
              </w:rPr>
              <w:t>，或者使用</w:t>
            </w:r>
            <w:r>
              <w:rPr>
                <w:rFonts w:hint="eastAsia" w:ascii="宋体" w:hAnsi="宋体" w:eastAsia="宋体" w:cs="宋体"/>
                <w:b/>
                <w:bCs/>
                <w:sz w:val="21"/>
                <w:szCs w:val="21"/>
              </w:rPr>
              <w:t>同一设备编制</w:t>
            </w:r>
            <w:r>
              <w:rPr>
                <w:rFonts w:hint="eastAsia" w:ascii="宋体" w:hAnsi="宋体" w:eastAsia="宋体" w:cs="宋体"/>
                <w:sz w:val="21"/>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7811" w:type="dxa"/>
            <w:vAlign w:val="center"/>
          </w:tcPr>
          <w:p>
            <w:pPr>
              <w:widowControl w:val="0"/>
              <w:spacing w:line="400" w:lineRule="exact"/>
              <w:jc w:val="left"/>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b/>
                <w:bCs/>
                <w:sz w:val="21"/>
                <w:szCs w:val="21"/>
              </w:rPr>
              <w:t>未经出具机构核实</w:t>
            </w:r>
            <w:r>
              <w:rPr>
                <w:rFonts w:hint="eastAsia" w:ascii="宋体" w:hAnsi="宋体" w:eastAsia="宋体" w:cs="宋体"/>
                <w:sz w:val="21"/>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7811" w:type="dxa"/>
            <w:vAlign w:val="center"/>
          </w:tcPr>
          <w:p>
            <w:pPr>
              <w:widowControl w:val="0"/>
              <w:spacing w:line="400" w:lineRule="exact"/>
              <w:jc w:val="left"/>
              <w:rPr>
                <w:rFonts w:hint="eastAsia" w:ascii="宋体" w:hAnsi="宋体" w:eastAsia="宋体" w:cs="宋体"/>
                <w:sz w:val="21"/>
                <w:szCs w:val="21"/>
              </w:rPr>
            </w:pPr>
            <w:r>
              <w:rPr>
                <w:rFonts w:hint="eastAsia" w:ascii="宋体" w:hAnsi="宋体" w:eastAsia="宋体" w:cs="宋体"/>
                <w:sz w:val="21"/>
                <w:szCs w:val="21"/>
              </w:rPr>
              <w:t>擅自将投标密钥或电子营业执照出借他人使用或未妥善保管。</w:t>
            </w:r>
          </w:p>
        </w:tc>
      </w:tr>
    </w:tbl>
    <w:p>
      <w:pPr>
        <w:spacing w:beforeLines="50" w:line="38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一、我单位已充分知悉“隐瞒真实情况，提供虚假资料”的法定情形，包括但不限于：</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（一）通过转让或者租借等方式从其他单位获取资格或者资质证书投标的。</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（二）由其他单位或者其他单位负责人在投标供应商编制的投标文件上加盖印章或者签字的。</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（三）项目负责人或者主要技术人员不是本单位人员的。</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（四）投标保证金不是从投标供应商基本账户转出的。</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（五）其他隐瞒真实情况、提供虚假资料的行为。</w:t>
      </w:r>
    </w:p>
    <w:p>
      <w:pPr>
        <w:spacing w:line="38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二、我单位已充分知悉“与其他采购参加人串通投标”的法定情形，包括但不限于：</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（一）投标供应商之间相互约定给予未中标的供应商利益补偿。</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（三）不同投标供应商的投标文件由同一单位或者同一人编制，或者由同一人分阶段参与编制的。</w:t>
      </w:r>
    </w:p>
    <w:p>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（四）不同投标供应商的投标文件或部分投标文件相互混装。</w:t>
      </w:r>
    </w:p>
    <w:p>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（五）不同投标供应商的投标文件内容存在非正常一致。</w:t>
      </w:r>
    </w:p>
    <w:p>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（六）由同一单位工作人员为两家以上（含两家）供应商进行同一项投标活动的。</w:t>
      </w:r>
    </w:p>
    <w:p>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（七）不同投标人的投标报价呈规律性差异。</w:t>
      </w:r>
    </w:p>
    <w:p>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（八）不同投标人的投标保证金从同一单位或者个人的账户转出。</w:t>
      </w:r>
    </w:p>
    <w:p>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（九）主管部门依照法律、法规认定的其他情形。</w:t>
      </w:r>
    </w:p>
    <w:p>
      <w:pPr>
        <w:spacing w:line="3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三、我单位已充分知悉下列情形存在法律风险，在投标前已对相关风险事项进行排查。</w:t>
      </w:r>
    </w:p>
    <w:p>
      <w:pPr>
        <w:spacing w:line="34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（一）对于从其他主体获取的投标资料，我单位应审慎核查，确保其真实性。</w:t>
      </w:r>
      <w:r>
        <w:rPr>
          <w:rFonts w:hint="eastAsia" w:ascii="宋体" w:hAnsi="宋体" w:eastAsia="宋体" w:cs="宋体"/>
          <w:b/>
          <w:sz w:val="21"/>
          <w:szCs w:val="21"/>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sz w:val="21"/>
          <w:szCs w:val="21"/>
        </w:rPr>
        <w:t>擅自将投标密钥或电子营业执照出借他人使用所造成的法律后果，由我单位自行承担</w:t>
      </w:r>
      <w:r>
        <w:rPr>
          <w:rFonts w:hint="eastAsia" w:ascii="宋体" w:hAnsi="宋体" w:eastAsia="宋体" w:cs="宋体"/>
          <w:sz w:val="21"/>
          <w:szCs w:val="21"/>
        </w:rPr>
        <w:t>。</w:t>
      </w:r>
    </w:p>
    <w:p>
      <w:pPr>
        <w:spacing w:line="3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四、我单位已充分知悉政府采购违法、违规行为的法律后果。</w:t>
      </w:r>
    </w:p>
    <w:p>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highlight w:val="yellow"/>
        </w:rPr>
        <w:t>以下文字请投标供应商抄写并确认：“我单位已仔细阅读《政府采购违法行为风险知悉确认书》，充分知悉违法行为的法律后果，并承诺将严谨、诚信、依法依规参与政府采购活动”。</w:t>
      </w:r>
    </w:p>
    <w:tbl>
      <w:tblPr>
        <w:tblStyle w:val="3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widowControl w:val="0"/>
              <w:autoSpaceDE w:val="0"/>
              <w:autoSpaceDN w:val="0"/>
              <w:spacing w:line="340" w:lineRule="exact"/>
              <w:ind w:firstLine="1866"/>
              <w:jc w:val="both"/>
              <w:rPr>
                <w:rFonts w:hint="eastAsia" w:ascii="宋体" w:hAnsi="宋体" w:eastAsia="宋体" w:cs="宋体"/>
                <w:spacing w:val="-4"/>
                <w:kern w:val="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widowControl w:val="0"/>
              <w:autoSpaceDE w:val="0"/>
              <w:autoSpaceDN w:val="0"/>
              <w:spacing w:line="340" w:lineRule="exact"/>
              <w:ind w:firstLine="1866"/>
              <w:jc w:val="both"/>
              <w:rPr>
                <w:rFonts w:hint="eastAsia" w:ascii="宋体" w:hAnsi="宋体" w:eastAsia="宋体" w:cs="宋体"/>
                <w:spacing w:val="-4"/>
                <w:kern w:val="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widowControl w:val="0"/>
              <w:autoSpaceDE w:val="0"/>
              <w:autoSpaceDN w:val="0"/>
              <w:spacing w:line="340" w:lineRule="exact"/>
              <w:ind w:firstLine="1866"/>
              <w:jc w:val="both"/>
              <w:rPr>
                <w:rFonts w:hint="eastAsia" w:ascii="宋体" w:hAnsi="宋体" w:eastAsia="宋体" w:cs="宋体"/>
                <w:spacing w:val="-4"/>
                <w:kern w:val="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widowControl w:val="0"/>
              <w:autoSpaceDE w:val="0"/>
              <w:autoSpaceDN w:val="0"/>
              <w:spacing w:line="340" w:lineRule="exact"/>
              <w:ind w:firstLine="1866"/>
              <w:jc w:val="both"/>
              <w:rPr>
                <w:rFonts w:hint="eastAsia" w:ascii="宋体" w:hAnsi="宋体" w:eastAsia="宋体" w:cs="宋体"/>
                <w:spacing w:val="-4"/>
                <w:kern w:val="0"/>
                <w:sz w:val="21"/>
                <w:szCs w:val="21"/>
              </w:rPr>
            </w:pPr>
          </w:p>
        </w:tc>
      </w:tr>
    </w:tbl>
    <w:p>
      <w:pPr>
        <w:widowControl/>
        <w:wordWrap w:val="0"/>
        <w:autoSpaceDE w:val="0"/>
        <w:autoSpaceDN w:val="0"/>
        <w:spacing w:line="340" w:lineRule="exact"/>
        <w:ind w:right="808" w:firstLine="404" w:firstLineChars="200"/>
        <w:jc w:val="right"/>
        <w:rPr>
          <w:rFonts w:hint="eastAsia" w:ascii="宋体" w:hAnsi="宋体" w:eastAsia="宋体" w:cs="宋体"/>
          <w:spacing w:val="-4"/>
          <w:kern w:val="0"/>
          <w:sz w:val="21"/>
          <w:szCs w:val="21"/>
        </w:rPr>
      </w:pPr>
    </w:p>
    <w:p>
      <w:pPr>
        <w:widowControl/>
        <w:wordWrap w:val="0"/>
        <w:autoSpaceDE w:val="0"/>
        <w:autoSpaceDN w:val="0"/>
        <w:spacing w:line="340" w:lineRule="exact"/>
        <w:ind w:right="808" w:firstLine="404" w:firstLineChars="200"/>
        <w:jc w:val="right"/>
        <w:rPr>
          <w:rFonts w:hint="eastAsia" w:ascii="宋体" w:hAnsi="宋体" w:eastAsia="宋体" w:cs="宋体"/>
          <w:spacing w:val="-4"/>
          <w:kern w:val="0"/>
          <w:sz w:val="21"/>
          <w:szCs w:val="21"/>
          <w:u w:val="single"/>
        </w:rPr>
      </w:pPr>
      <w:r>
        <w:rPr>
          <w:rFonts w:hint="eastAsia" w:ascii="宋体" w:hAnsi="宋体" w:eastAsia="宋体" w:cs="宋体"/>
          <w:spacing w:val="-4"/>
          <w:kern w:val="0"/>
          <w:sz w:val="21"/>
          <w:szCs w:val="21"/>
        </w:rPr>
        <w:t>单位负责人签名：</w:t>
      </w:r>
    </w:p>
    <w:p>
      <w:pPr>
        <w:widowControl/>
        <w:wordWrap w:val="0"/>
        <w:autoSpaceDE w:val="0"/>
        <w:autoSpaceDN w:val="0"/>
        <w:spacing w:line="340" w:lineRule="exact"/>
        <w:ind w:right="808" w:firstLine="404" w:firstLineChars="200"/>
        <w:jc w:val="center"/>
        <w:rPr>
          <w:rFonts w:hint="eastAsia" w:ascii="宋体" w:hAnsi="宋体" w:eastAsia="宋体" w:cs="宋体"/>
          <w:spacing w:val="-4"/>
          <w:kern w:val="0"/>
          <w:sz w:val="21"/>
          <w:szCs w:val="21"/>
          <w:u w:val="single"/>
        </w:rPr>
      </w:pPr>
      <w:r>
        <w:rPr>
          <w:rFonts w:hint="eastAsia" w:ascii="宋体" w:hAnsi="宋体" w:eastAsia="宋体" w:cs="宋体"/>
          <w:spacing w:val="-4"/>
          <w:kern w:val="0"/>
          <w:sz w:val="21"/>
          <w:szCs w:val="21"/>
        </w:rPr>
        <w:t xml:space="preserve">                                 </w:t>
      </w:r>
      <w:r>
        <w:rPr>
          <w:rFonts w:hint="eastAsia" w:ascii="宋体" w:hAnsi="宋体" w:eastAsia="宋体" w:cs="宋体"/>
          <w:spacing w:val="-4"/>
          <w:kern w:val="0"/>
          <w:sz w:val="21"/>
          <w:szCs w:val="21"/>
          <w:lang w:val="en-US" w:eastAsia="zh-CN"/>
        </w:rPr>
        <w:t xml:space="preserve">               </w:t>
      </w:r>
      <w:r>
        <w:rPr>
          <w:rFonts w:hint="eastAsia" w:ascii="宋体" w:hAnsi="宋体" w:eastAsia="宋体" w:cs="宋体"/>
          <w:spacing w:val="-4"/>
          <w:kern w:val="0"/>
          <w:sz w:val="21"/>
          <w:szCs w:val="21"/>
        </w:rPr>
        <w:t>（加盖公章）</w:t>
      </w:r>
    </w:p>
    <w:p>
      <w:pPr>
        <w:widowControl/>
        <w:wordWrap w:val="0"/>
        <w:autoSpaceDE w:val="0"/>
        <w:autoSpaceDN w:val="0"/>
        <w:spacing w:line="340" w:lineRule="exact"/>
        <w:ind w:right="808" w:firstLine="404" w:firstLineChars="200"/>
        <w:jc w:val="right"/>
        <w:rPr>
          <w:rFonts w:hint="eastAsia" w:ascii="宋体" w:hAnsi="宋体" w:eastAsia="宋体" w:cs="宋体"/>
          <w:spacing w:val="-4"/>
          <w:kern w:val="0"/>
          <w:sz w:val="21"/>
          <w:szCs w:val="21"/>
          <w:u w:val="single"/>
        </w:rPr>
      </w:pPr>
      <w:r>
        <w:rPr>
          <w:rFonts w:hint="eastAsia" w:ascii="宋体" w:hAnsi="宋体" w:eastAsia="宋体" w:cs="宋体"/>
          <w:spacing w:val="-4"/>
          <w:kern w:val="0"/>
          <w:sz w:val="21"/>
          <w:szCs w:val="21"/>
        </w:rPr>
        <w:t xml:space="preserve">     日期：</w:t>
      </w:r>
    </w:p>
    <w:p>
      <w:pPr>
        <w:widowControl/>
        <w:autoSpaceDE w:val="0"/>
        <w:autoSpaceDN w:val="0"/>
        <w:spacing w:line="340" w:lineRule="exact"/>
        <w:ind w:firstLine="406" w:firstLineChars="200"/>
        <w:jc w:val="left"/>
        <w:rPr>
          <w:rFonts w:hint="eastAsia" w:ascii="宋体" w:hAnsi="宋体" w:eastAsia="宋体" w:cs="宋体"/>
          <w:b/>
          <w:bCs/>
          <w:spacing w:val="-4"/>
          <w:kern w:val="0"/>
          <w:sz w:val="21"/>
          <w:szCs w:val="21"/>
        </w:rPr>
      </w:pPr>
    </w:p>
    <w:p>
      <w:pPr>
        <w:widowControl/>
        <w:autoSpaceDE w:val="0"/>
        <w:autoSpaceDN w:val="0"/>
        <w:spacing w:line="340" w:lineRule="exact"/>
        <w:ind w:firstLine="406" w:firstLineChars="200"/>
        <w:jc w:val="left"/>
        <w:rPr>
          <w:rFonts w:hint="eastAsia" w:ascii="宋体" w:hAnsi="宋体" w:eastAsia="宋体" w:cs="宋体"/>
          <w:b/>
          <w:bCs/>
          <w:spacing w:val="-4"/>
          <w:kern w:val="0"/>
          <w:sz w:val="21"/>
          <w:szCs w:val="21"/>
        </w:rPr>
      </w:pPr>
      <w:r>
        <w:rPr>
          <w:rFonts w:hint="eastAsia" w:ascii="宋体" w:hAnsi="宋体" w:eastAsia="宋体" w:cs="宋体"/>
          <w:b/>
          <w:bCs/>
          <w:spacing w:val="-4"/>
          <w:kern w:val="0"/>
          <w:sz w:val="21"/>
          <w:szCs w:val="21"/>
        </w:rPr>
        <w:t>注：1.《政府采购违法行为风险知悉确认书》需由投标供应商负责人签字并加盖单位公章后，扫描上传至投标文件一并提交。</w:t>
      </w:r>
    </w:p>
    <w:p>
      <w:pPr>
        <w:pStyle w:val="2"/>
        <w:ind w:firstLine="414"/>
        <w:rPr>
          <w:rFonts w:hint="eastAsia" w:ascii="宋体" w:hAnsi="宋体" w:eastAsia="宋体" w:cs="宋体"/>
          <w:sz w:val="21"/>
          <w:szCs w:val="21"/>
        </w:rPr>
      </w:pPr>
      <w:r>
        <w:rPr>
          <w:rFonts w:hint="eastAsia" w:ascii="宋体" w:hAnsi="宋体" w:eastAsia="宋体" w:cs="宋体"/>
          <w:b/>
          <w:bCs/>
          <w:spacing w:val="-4"/>
          <w:kern w:val="0"/>
          <w:sz w:val="21"/>
          <w:szCs w:val="21"/>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val="0"/>
        <w:spacing w:after="160" w:line="278" w:lineRule="auto"/>
        <w:ind w:firstLine="630" w:firstLineChars="300"/>
        <w:jc w:val="both"/>
        <w:rPr>
          <w:rFonts w:hint="eastAsia" w:ascii="宋体" w:hAnsi="宋体" w:eastAsia="宋体" w:cs="宋体"/>
          <w:kern w:val="2"/>
          <w:sz w:val="21"/>
          <w:szCs w:val="21"/>
          <w:lang w:eastAsia="zh-CN"/>
        </w:rPr>
      </w:pPr>
    </w:p>
    <w:p>
      <w:pPr>
        <w:spacing w:after="160" w:line="360" w:lineRule="auto"/>
        <w:rPr>
          <w:rFonts w:eastAsia="宋体"/>
          <w:b/>
          <w:bCs/>
          <w:lang w:eastAsia="zh-CN"/>
        </w:rPr>
      </w:pPr>
    </w:p>
    <w:p>
      <w:pPr>
        <w:widowControl w:val="0"/>
        <w:jc w:val="center"/>
        <w:rPr>
          <w:rFonts w:hint="eastAsia" w:ascii="黑体" w:eastAsia="黑体"/>
          <w:kern w:val="2"/>
          <w:sz w:val="24"/>
          <w:szCs w:val="20"/>
          <w:lang w:eastAsia="zh-CN"/>
        </w:rPr>
      </w:pPr>
      <w:r>
        <w:rPr>
          <w:rFonts w:hint="eastAsia" w:ascii="黑体" w:eastAsia="黑体"/>
          <w:kern w:val="2"/>
          <w:sz w:val="24"/>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lang w:eastAsia="zh-CN"/>
        </w:rPr>
        <w:t>、</w:t>
      </w:r>
      <w:r>
        <w:rPr>
          <w:rFonts w:hint="eastAsia" w:ascii="宋体" w:hAnsi="宋体" w:eastAsia="宋体" w:cs="宋体"/>
          <w:b/>
          <w:bCs/>
          <w:sz w:val="21"/>
          <w:szCs w:val="21"/>
        </w:rPr>
        <w:t>关于政府采购订单融资政策</w:t>
      </w:r>
    </w:p>
    <w:p>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供应商账户信息</w:t>
      </w:r>
    </w:p>
    <w:p>
      <w:pPr>
        <w:ind w:left="480" w:leftChars="200" w:firstLine="210" w:firstLineChars="100"/>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单位全称</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pPr>
        <w:ind w:left="480" w:leftChars="200" w:firstLine="210" w:firstLineChars="100"/>
        <w:rPr>
          <w:rFonts w:hint="eastAsia" w:ascii="宋体" w:hAnsi="宋体" w:eastAsia="宋体" w:cs="宋体"/>
          <w:sz w:val="21"/>
          <w:szCs w:val="21"/>
          <w:u w:val="none"/>
          <w:lang w:eastAsia="zh-CN"/>
        </w:rPr>
      </w:pPr>
      <w:r>
        <w:rPr>
          <w:rFonts w:hint="eastAsia" w:ascii="宋体" w:hAnsi="宋体" w:eastAsia="宋体" w:cs="宋体"/>
          <w:sz w:val="21"/>
          <w:szCs w:val="21"/>
          <w:lang w:val="en-US" w:eastAsia="zh-CN"/>
        </w:rPr>
        <w:t>投标人</w:t>
      </w:r>
      <w:r>
        <w:rPr>
          <w:rFonts w:hint="eastAsia" w:ascii="宋体" w:hAnsi="宋体" w:eastAsia="宋体" w:cs="宋体"/>
          <w:sz w:val="21"/>
          <w:szCs w:val="21"/>
        </w:rPr>
        <w:t>单位地址：</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none"/>
          <w:lang w:eastAsia="zh-CN"/>
        </w:rPr>
        <w:t>；</w:t>
      </w:r>
    </w:p>
    <w:p>
      <w:pPr>
        <w:ind w:left="480" w:leftChars="200" w:firstLine="210" w:firstLineChars="100"/>
        <w:rPr>
          <w:rFonts w:hint="eastAsia" w:ascii="宋体" w:hAnsi="宋体" w:eastAsia="宋体" w:cs="宋体"/>
          <w:sz w:val="21"/>
          <w:szCs w:val="21"/>
          <w:u w:val="none"/>
          <w:lang w:eastAsia="zh-CN"/>
        </w:rPr>
      </w:pPr>
      <w:r>
        <w:rPr>
          <w:rFonts w:hint="eastAsia" w:ascii="宋体" w:hAnsi="宋体" w:eastAsia="宋体" w:cs="宋体"/>
          <w:sz w:val="21"/>
          <w:szCs w:val="21"/>
        </w:rPr>
        <w:t>法定代表人（负责人）或其</w:t>
      </w:r>
      <w:r>
        <w:rPr>
          <w:rFonts w:hint="eastAsia" w:ascii="宋体" w:hAnsi="宋体" w:eastAsia="宋体" w:cs="宋体"/>
          <w:sz w:val="21"/>
          <w:szCs w:val="21"/>
          <w:lang w:val="en-US" w:eastAsia="zh-CN"/>
        </w:rPr>
        <w:t>授权</w:t>
      </w:r>
      <w:r>
        <w:rPr>
          <w:rFonts w:hint="eastAsia" w:ascii="宋体" w:hAnsi="宋体" w:eastAsia="宋体" w:cs="宋体"/>
          <w:sz w:val="21"/>
          <w:szCs w:val="21"/>
        </w:rPr>
        <w:t>委托代理人：</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none"/>
          <w:lang w:eastAsia="zh-CN"/>
        </w:rPr>
        <w:t>；</w:t>
      </w:r>
    </w:p>
    <w:p>
      <w:pPr>
        <w:ind w:left="480" w:leftChars="200" w:firstLine="210" w:firstLineChars="100"/>
        <w:rPr>
          <w:rFonts w:hint="eastAsia" w:ascii="宋体" w:hAnsi="宋体" w:eastAsia="宋体" w:cs="宋体"/>
          <w:sz w:val="21"/>
          <w:szCs w:val="21"/>
          <w:u w:val="thick"/>
        </w:rPr>
      </w:pPr>
      <w:r>
        <w:rPr>
          <w:rFonts w:hint="eastAsia" w:ascii="宋体" w:hAnsi="宋体" w:eastAsia="宋体" w:cs="宋体"/>
          <w:sz w:val="21"/>
          <w:szCs w:val="21"/>
          <w:lang w:val="en-US" w:eastAsia="zh-CN"/>
        </w:rPr>
        <w:t>联系</w:t>
      </w:r>
      <w:r>
        <w:rPr>
          <w:rFonts w:hint="eastAsia" w:ascii="宋体" w:hAnsi="宋体" w:eastAsia="宋体" w:cs="宋体"/>
          <w:sz w:val="21"/>
          <w:szCs w:val="21"/>
        </w:rPr>
        <w:t>电话</w:t>
      </w:r>
      <w:r>
        <w:rPr>
          <w:rFonts w:hint="eastAsia" w:ascii="宋体" w:hAnsi="宋体" w:eastAsia="宋体" w:cs="宋体"/>
          <w:sz w:val="21"/>
          <w:szCs w:val="21"/>
          <w:u w:val="none"/>
        </w:rPr>
        <w:t>：</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thick"/>
        </w:rPr>
        <w:t xml:space="preserve">  </w:t>
      </w:r>
    </w:p>
    <w:p>
      <w:pPr>
        <w:ind w:left="480" w:leftChars="200" w:firstLine="210" w:firstLineChars="100"/>
        <w:rPr>
          <w:rFonts w:hint="eastAsia" w:ascii="宋体" w:hAnsi="宋体" w:eastAsia="宋体" w:cs="宋体"/>
          <w:sz w:val="21"/>
          <w:szCs w:val="21"/>
          <w:u w:val="none"/>
          <w:lang w:eastAsia="zh-CN"/>
        </w:rPr>
      </w:pPr>
      <w:r>
        <w:rPr>
          <w:rFonts w:hint="eastAsia" w:ascii="宋体" w:hAnsi="宋体" w:eastAsia="宋体" w:cs="宋体"/>
          <w:sz w:val="21"/>
          <w:szCs w:val="21"/>
          <w:lang w:val="en-US" w:eastAsia="zh-CN"/>
        </w:rPr>
        <w:t>开户银行名称：</w:t>
      </w:r>
      <w:r>
        <w:rPr>
          <w:rFonts w:hint="eastAsia" w:ascii="宋体" w:hAnsi="宋体" w:eastAsia="宋体" w:cs="宋体"/>
          <w:sz w:val="21"/>
          <w:szCs w:val="21"/>
          <w:u w:val="thick"/>
        </w:rPr>
        <w:t xml:space="preserve">                       </w:t>
      </w:r>
      <w:r>
        <w:rPr>
          <w:rFonts w:hint="eastAsia" w:ascii="宋体" w:hAnsi="宋体" w:eastAsia="宋体" w:cs="宋体"/>
          <w:sz w:val="21"/>
          <w:szCs w:val="21"/>
          <w:u w:val="none"/>
          <w:lang w:eastAsia="zh-CN"/>
        </w:rPr>
        <w:t>；</w:t>
      </w:r>
    </w:p>
    <w:p>
      <w:pPr>
        <w:ind w:left="480" w:leftChars="200" w:firstLine="210" w:firstLineChars="100"/>
        <w:rPr>
          <w:rFonts w:hint="eastAsia" w:ascii="宋体" w:hAnsi="宋体" w:eastAsia="宋体" w:cs="宋体"/>
          <w:sz w:val="21"/>
          <w:szCs w:val="21"/>
          <w:u w:val="thick"/>
          <w:lang w:eastAsia="zh-CN"/>
        </w:rPr>
      </w:pPr>
      <w:r>
        <w:rPr>
          <w:rFonts w:hint="eastAsia" w:ascii="宋体" w:hAnsi="宋体" w:eastAsia="宋体" w:cs="宋体"/>
          <w:sz w:val="21"/>
          <w:szCs w:val="21"/>
          <w:u w:val="none"/>
          <w:lang w:val="en-US" w:eastAsia="zh-CN"/>
        </w:rPr>
        <w:t>开户银行账号：</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none"/>
          <w:lang w:eastAsia="zh-CN"/>
        </w:rPr>
        <w:t>；</w:t>
      </w:r>
    </w:p>
    <w:p>
      <w:pPr>
        <w:ind w:left="480" w:leftChars="200" w:firstLine="210" w:firstLineChars="100"/>
        <w:rPr>
          <w:rFonts w:hint="eastAsia" w:ascii="宋体" w:hAnsi="宋体" w:eastAsia="宋体" w:cs="宋体"/>
          <w:sz w:val="21"/>
          <w:szCs w:val="21"/>
          <w:u w:val="none"/>
          <w:lang w:eastAsia="zh-CN"/>
        </w:rPr>
      </w:pPr>
      <w:r>
        <w:rPr>
          <w:rFonts w:hint="eastAsia" w:ascii="宋体" w:hAnsi="宋体" w:eastAsia="宋体" w:cs="宋体"/>
          <w:sz w:val="21"/>
          <w:szCs w:val="21"/>
          <w:u w:val="none"/>
          <w:lang w:val="en-US" w:eastAsia="zh-CN"/>
        </w:rPr>
        <w:t>开户银行地址：</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none"/>
          <w:lang w:eastAsia="zh-CN"/>
        </w:rPr>
        <w:t>。</w:t>
      </w:r>
    </w:p>
    <w:p>
      <w:pPr>
        <w:ind w:left="480" w:leftChars="200" w:firstLine="203" w:firstLineChars="100"/>
        <w:rPr>
          <w:rFonts w:hint="eastAsia" w:ascii="宋体" w:hAnsi="宋体" w:eastAsia="宋体" w:cs="宋体"/>
          <w:sz w:val="21"/>
          <w:szCs w:val="21"/>
        </w:rPr>
      </w:pPr>
      <w:r>
        <w:rPr>
          <w:rFonts w:hint="eastAsia" w:ascii="宋体" w:hAnsi="宋体" w:eastAsia="宋体" w:cs="宋体"/>
          <w:b/>
          <w:bCs/>
          <w:color w:val="FF0000"/>
          <w:spacing w:val="-4"/>
          <w:kern w:val="0"/>
          <w:sz w:val="21"/>
          <w:szCs w:val="21"/>
        </w:rPr>
        <w:t>注：本项填写内容作为订单融资开展的参考信息，不作为供应商资格性审查及符合性审查条件。</w:t>
      </w:r>
    </w:p>
    <w:p>
      <w:pPr>
        <w:ind w:firstLine="720" w:firstLineChars="300"/>
        <w:rPr>
          <w:rFonts w:hint="eastAsia" w:ascii="宋体" w:hAnsi="宋体"/>
        </w:rPr>
      </w:pPr>
    </w:p>
    <w:p>
      <w:pPr>
        <w:ind w:firstLine="630" w:firstLineChars="300"/>
        <w:rPr>
          <w:rFonts w:hint="eastAsia" w:ascii="宋体" w:hAnsi="宋体" w:eastAsia="宋体" w:cs="宋体"/>
          <w:sz w:val="21"/>
          <w:szCs w:val="21"/>
        </w:rPr>
      </w:pPr>
      <w:r>
        <w:rPr>
          <w:rFonts w:hint="eastAsia" w:ascii="宋体" w:hAnsi="宋体" w:eastAsia="宋体" w:cs="宋体"/>
          <w:sz w:val="21"/>
          <w:szCs w:val="21"/>
        </w:rPr>
        <w:t>………………（根据项目具体情况增加与综合实力评审相关的节点）</w:t>
      </w:r>
    </w:p>
    <w:p>
      <w:pPr>
        <w:widowControl/>
        <w:tabs>
          <w:tab w:val="left" w:pos="8200"/>
        </w:tabs>
        <w:autoSpaceDE w:val="0"/>
        <w:autoSpaceDN w:val="0"/>
        <w:spacing w:line="400" w:lineRule="exact"/>
        <w:ind w:right="1414" w:firstLine="466" w:firstLineChars="200"/>
        <w:rPr>
          <w:rFonts w:ascii="宋体" w:hAnsi="宋体" w:eastAsiaTheme="minorEastAsia"/>
          <w:b/>
          <w:bCs/>
          <w:color w:val="FF0000"/>
          <w:spacing w:val="-4"/>
          <w:kern w:val="0"/>
          <w:szCs w:val="21"/>
        </w:rPr>
      </w:pPr>
    </w:p>
    <w:p>
      <w:pPr>
        <w:spacing w:after="160" w:line="278" w:lineRule="auto"/>
        <w:jc w:val="center"/>
        <w:rPr>
          <w:rFonts w:ascii="黑体" w:hAnsi="宋体" w:eastAsia="黑体"/>
          <w:szCs w:val="20"/>
          <w:lang w:eastAsia="zh-CN"/>
        </w:rPr>
      </w:pPr>
      <w:r>
        <w:rPr>
          <w:rFonts w:hint="eastAsia" w:ascii="黑体" w:hAnsi="宋体" w:eastAsia="黑体"/>
          <w:szCs w:val="20"/>
          <w:lang w:eastAsia="zh-CN"/>
        </w:rPr>
        <w:t>（</w:t>
      </w:r>
      <w:r>
        <w:rPr>
          <w:rFonts w:hint="eastAsia" w:ascii="黑体" w:hAnsi="宋体" w:eastAsia="黑体"/>
          <w:szCs w:val="20"/>
          <w:lang w:val="en-US" w:eastAsia="zh-CN"/>
        </w:rPr>
        <w:t>三</w:t>
      </w:r>
      <w:r>
        <w:rPr>
          <w:rFonts w:hint="eastAsia" w:ascii="黑体" w:hAnsi="宋体" w:eastAsia="黑体"/>
          <w:szCs w:val="20"/>
          <w:lang w:eastAsia="zh-CN"/>
        </w:rPr>
        <w:t>）投标人认为需要加以说明的其他内容（格式自定）</w:t>
      </w:r>
    </w:p>
    <w:p>
      <w:pPr>
        <w:widowControl w:val="0"/>
        <w:spacing w:after="160" w:line="278" w:lineRule="auto"/>
        <w:jc w:val="center"/>
        <w:rPr>
          <w:rFonts w:eastAsia="宋体"/>
          <w:b/>
          <w:kern w:val="2"/>
          <w:sz w:val="32"/>
          <w:szCs w:val="32"/>
          <w:lang w:eastAsia="zh-CN"/>
        </w:rPr>
      </w:pPr>
    </w:p>
    <w:p>
      <w:pPr>
        <w:widowControl w:val="0"/>
        <w:spacing w:after="160" w:line="278" w:lineRule="auto"/>
        <w:ind w:firstLine="424" w:firstLineChars="202"/>
        <w:jc w:val="both"/>
        <w:rPr>
          <w:rFonts w:ascii="宋体" w:hAnsi="宋体" w:eastAsia="宋体"/>
          <w:kern w:val="2"/>
          <w:sz w:val="21"/>
          <w:szCs w:val="21"/>
          <w:lang w:eastAsia="zh-CN"/>
        </w:rPr>
      </w:pPr>
    </w:p>
    <w:p>
      <w:pPr>
        <w:widowControl w:val="0"/>
        <w:spacing w:after="160" w:line="278" w:lineRule="auto"/>
        <w:jc w:val="center"/>
        <w:rPr>
          <w:rFonts w:ascii="黑体" w:hAnsi="宋体" w:eastAsia="黑体"/>
          <w:bCs/>
          <w:lang w:eastAsia="zh-CN"/>
        </w:rPr>
      </w:pPr>
    </w:p>
    <w:p>
      <w:pPr>
        <w:widowControl w:val="0"/>
        <w:spacing w:after="160" w:line="278" w:lineRule="auto"/>
        <w:jc w:val="center"/>
        <w:rPr>
          <w:rFonts w:ascii="黑体" w:hAnsi="宋体" w:eastAsia="黑体"/>
          <w:bCs/>
          <w:lang w:eastAsia="zh-CN"/>
        </w:rPr>
      </w:pPr>
    </w:p>
    <w:p>
      <w:pPr>
        <w:widowControl w:val="0"/>
        <w:spacing w:after="160" w:line="278" w:lineRule="auto"/>
        <w:jc w:val="center"/>
        <w:rPr>
          <w:rFonts w:ascii="黑体" w:hAnsi="宋体" w:eastAsia="黑体"/>
          <w:bCs/>
          <w:lang w:eastAsia="zh-CN"/>
        </w:rPr>
      </w:pPr>
    </w:p>
    <w:p>
      <w:pPr>
        <w:widowControl w:val="0"/>
        <w:spacing w:after="160" w:line="278" w:lineRule="auto"/>
        <w:jc w:val="center"/>
        <w:rPr>
          <w:rFonts w:ascii="黑体" w:hAnsi="宋体" w:eastAsia="黑体"/>
          <w:bCs/>
          <w:lang w:eastAsia="zh-CN"/>
        </w:rPr>
      </w:pPr>
    </w:p>
    <w:p>
      <w:pPr>
        <w:widowControl w:val="0"/>
        <w:spacing w:after="160" w:line="278" w:lineRule="auto"/>
        <w:jc w:val="both"/>
        <w:rPr>
          <w:rFonts w:ascii="黑体" w:hAnsi="宋体" w:eastAsia="黑体"/>
          <w:bCs/>
          <w:lang w:eastAsia="zh-CN"/>
        </w:rPr>
        <w:sectPr>
          <w:pgSz w:w="11907" w:h="16840"/>
          <w:pgMar w:top="1440" w:right="1797" w:bottom="1440" w:left="1797" w:header="851" w:footer="992" w:gutter="0"/>
          <w:cols w:space="425" w:num="1"/>
          <w:titlePg/>
          <w:docGrid w:linePitch="462" w:charSpace="0"/>
        </w:sectPr>
      </w:pPr>
    </w:p>
    <w:p>
      <w:pPr>
        <w:pStyle w:val="6"/>
        <w:rPr>
          <w:b/>
          <w:bCs/>
          <w:sz w:val="28"/>
          <w:szCs w:val="28"/>
        </w:rPr>
      </w:pPr>
      <w:r>
        <w:rPr>
          <w:rFonts w:hint="eastAsia"/>
          <w:b/>
          <w:bCs/>
          <w:sz w:val="28"/>
          <w:szCs w:val="28"/>
        </w:rPr>
        <w:t>第五章  合同条款及格式</w:t>
      </w:r>
    </w:p>
    <w:p>
      <w:pPr>
        <w:jc w:val="center"/>
        <w:outlineLvl w:val="0"/>
      </w:pPr>
      <w:r>
        <w:rPr>
          <w:rFonts w:hint="eastAsia"/>
          <w:b/>
          <w:sz w:val="24"/>
        </w:rPr>
        <w:t>（仅供参考，具体以项目需求及实际签订为准）</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cs="宋体"/>
          <w:b/>
          <w:bCs/>
          <w:spacing w:val="-20"/>
          <w:kern w:val="44"/>
          <w:sz w:val="48"/>
          <w:szCs w:val="48"/>
          <w:lang w:val="en-US" w:eastAsia="zh-CN" w:bidi="ar-SA"/>
        </w:rPr>
        <w:t>自行</w:t>
      </w:r>
      <w:r>
        <w:rPr>
          <w:rFonts w:hint="eastAsia" w:ascii="宋体" w:hAnsi="宋体" w:eastAsia="宋体" w:cs="宋体"/>
          <w:b/>
          <w:bCs/>
          <w:spacing w:val="-20"/>
          <w:kern w:val="44"/>
          <w:sz w:val="48"/>
          <w:szCs w:val="48"/>
          <w:lang w:val="en-US" w:eastAsia="zh-CN" w:bidi="ar-SA"/>
        </w:rPr>
        <w:t>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8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8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8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8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8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6" w:type="default"/>
          <w:footerReference r:id="rId7" w:type="default"/>
          <w:pgSz w:w="11906" w:h="16838"/>
          <w:pgMar w:top="1440" w:right="1701" w:bottom="1440" w:left="1701" w:header="851" w:footer="992" w:gutter="0"/>
          <w:pgBorders>
            <w:top w:val="none" w:sz="0" w:space="0"/>
            <w:left w:val="none" w:sz="0" w:space="0"/>
            <w:bottom w:val="none" w:sz="0" w:space="0"/>
            <w:right w:val="none" w:sz="0" w:space="0"/>
          </w:pgBorders>
          <w:cols w:space="425" w:num="1"/>
          <w:docGrid w:type="lines" w:linePitch="312" w:charSpace="0"/>
        </w:sectPr>
      </w:pPr>
    </w:p>
    <w:p>
      <w:pPr>
        <w:bidi w:val="0"/>
        <w:rPr>
          <w:rFonts w:hint="eastAsia"/>
          <w:lang w:val="en-US" w:eastAsia="zh-CN"/>
        </w:rPr>
      </w:pPr>
      <w:bookmarkStart w:id="87"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采购合同协议书</w:t>
      </w:r>
      <w:bookmarkEnd w:id="87"/>
    </w:p>
    <w:p>
      <w:pPr>
        <w:bidi w:val="0"/>
        <w:rPr>
          <w:rFonts w:hint="eastAsia"/>
          <w:lang w:val="en-US" w:eastAsia="zh-CN"/>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6"/>
        </w:numPr>
        <w:adjustRightInd w:val="0"/>
        <w:snapToGrid w:val="0"/>
        <w:spacing w:before="0" w:beforeLines="0" w:line="400" w:lineRule="exact"/>
        <w:ind w:firstLine="482" w:firstLineChars="200"/>
        <w:rPr>
          <w:rFonts w:ascii="宋体" w:hAnsi="宋体" w:eastAsia="宋体"/>
          <w:b/>
          <w:szCs w:val="21"/>
        </w:rPr>
      </w:pPr>
      <w:r>
        <w:rPr>
          <w:rFonts w:hint="eastAsia" w:ascii="宋体" w:hAnsi="宋体" w:eastAsia="宋体"/>
          <w:b/>
          <w:szCs w:val="21"/>
        </w:rPr>
        <w:t>项目信息</w:t>
      </w:r>
    </w:p>
    <w:p>
      <w:pPr>
        <w:widowControl w:val="0"/>
        <w:numPr>
          <w:ilvl w:val="0"/>
          <w:numId w:val="7"/>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8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8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8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1080"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1080"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8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8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4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8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96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96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96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96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96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96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96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96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96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96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6"/>
        </w:numPr>
        <w:adjustRightInd w:val="0"/>
        <w:snapToGrid w:val="0"/>
        <w:spacing w:before="0" w:beforeLines="0" w:line="400" w:lineRule="exact"/>
        <w:ind w:firstLine="48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8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8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72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72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72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72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6"/>
        </w:numPr>
        <w:adjustRightInd w:val="0"/>
        <w:snapToGrid w:val="0"/>
        <w:spacing w:before="0" w:beforeLines="0" w:line="400" w:lineRule="exact"/>
        <w:ind w:firstLine="48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8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8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8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8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8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8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6"/>
        </w:numPr>
        <w:adjustRightInd w:val="0"/>
        <w:snapToGrid w:val="0"/>
        <w:spacing w:before="0" w:beforeLines="0" w:line="400" w:lineRule="exact"/>
        <w:ind w:firstLine="482" w:firstLineChars="200"/>
        <w:rPr>
          <w:rFonts w:ascii="宋体" w:hAnsi="宋体" w:eastAsia="宋体"/>
          <w:b/>
          <w:szCs w:val="21"/>
        </w:rPr>
      </w:pPr>
      <w:r>
        <w:rPr>
          <w:rFonts w:hint="eastAsia" w:ascii="宋体" w:hAnsi="宋体" w:eastAsia="宋体"/>
          <w:b/>
          <w:szCs w:val="21"/>
        </w:rPr>
        <w:t>合同验收</w:t>
      </w:r>
    </w:p>
    <w:p>
      <w:pPr>
        <w:numPr>
          <w:ilvl w:val="0"/>
          <w:numId w:val="8"/>
        </w:numPr>
        <w:adjustRightInd w:val="0"/>
        <w:snapToGrid w:val="0"/>
        <w:spacing w:before="0" w:beforeLines="0" w:line="400" w:lineRule="exact"/>
        <w:ind w:firstLine="48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96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96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96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96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96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96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96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8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8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8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8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8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8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6"/>
        </w:numPr>
        <w:adjustRightInd w:val="0"/>
        <w:snapToGrid w:val="0"/>
        <w:spacing w:before="0" w:beforeLines="0" w:line="400" w:lineRule="exact"/>
        <w:ind w:firstLine="48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8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8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8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）采购合同专用条款</w:t>
      </w:r>
    </w:p>
    <w:p>
      <w:pPr>
        <w:adjustRightInd w:val="0"/>
        <w:snapToGrid w:val="0"/>
        <w:spacing w:before="0" w:beforeLines="0" w:line="400" w:lineRule="exact"/>
        <w:ind w:firstLine="48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）采购合同通用条款</w:t>
      </w:r>
    </w:p>
    <w:p>
      <w:pPr>
        <w:adjustRightInd w:val="0"/>
        <w:snapToGrid w:val="0"/>
        <w:spacing w:before="0" w:beforeLines="0" w:line="400" w:lineRule="exact"/>
        <w:ind w:firstLine="48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8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8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8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6"/>
        </w:numPr>
        <w:adjustRightInd w:val="0"/>
        <w:snapToGrid w:val="0"/>
        <w:spacing w:before="0" w:beforeLines="0" w:line="400" w:lineRule="exact"/>
        <w:ind w:firstLine="48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8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6"/>
        </w:numPr>
        <w:adjustRightInd w:val="0"/>
        <w:snapToGrid w:val="0"/>
        <w:spacing w:before="0" w:beforeLines="0" w:line="400" w:lineRule="exact"/>
        <w:ind w:firstLine="48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8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8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8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8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19"/>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rPr>
            </w:pPr>
            <w:r>
              <w:rPr>
                <w:rFonts w:hint="default"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rPr>
            </w:pPr>
            <w:r>
              <w:rPr>
                <w:rFonts w:hint="default"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法定代表人</w:t>
            </w:r>
          </w:p>
          <w:p>
            <w:pPr>
              <w:keepNext w:val="0"/>
              <w:keepLines w:val="0"/>
              <w:suppressLineNumbers w:val="0"/>
              <w:adjustRightInd w:val="0"/>
              <w:snapToGrid w:val="0"/>
              <w:spacing w:before="0" w:beforeAutospacing="0" w:after="0" w:afterAutospacing="0" w:line="300" w:lineRule="exact"/>
              <w:ind w:left="0" w:right="0" w:firstLine="115" w:firstLineChars="48"/>
              <w:jc w:val="center"/>
              <w:rPr>
                <w:rFonts w:hint="default" w:eastAsia="宋体"/>
                <w:szCs w:val="21"/>
              </w:rPr>
            </w:pPr>
            <w:r>
              <w:rPr>
                <w:rFonts w:hint="eastAsia" w:eastAsia="宋体"/>
                <w:szCs w:val="21"/>
              </w:rPr>
              <w:t>或其</w:t>
            </w:r>
            <w:r>
              <w:rPr>
                <w:rFonts w:hint="default"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法定代表人</w:t>
            </w:r>
          </w:p>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或其</w:t>
            </w:r>
            <w:r>
              <w:rPr>
                <w:rFonts w:hint="default"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 系 人</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联系电话</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邮政编码</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开户名称</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开户银行</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银行账号</w:t>
            </w:r>
          </w:p>
        </w:tc>
        <w:tc>
          <w:tcPr>
            <w:tcW w:w="2116" w:type="dxa"/>
            <w:tcBorders>
              <w:top w:val="single" w:color="auto" w:sz="2" w:space="0"/>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keepNext w:val="0"/>
              <w:keepLines w:val="0"/>
              <w:widowControl w:val="0"/>
              <w:suppressLineNumbers w:val="0"/>
              <w:adjustRightInd w:val="0"/>
              <w:snapToGrid w:val="0"/>
              <w:spacing w:before="156" w:beforeLines="50" w:beforeAutospacing="0" w:after="0" w:afterAutospacing="0" w:line="360" w:lineRule="auto"/>
              <w:ind w:left="0" w:leftChars="0" w:right="0"/>
              <w:jc w:val="left"/>
              <w:rPr>
                <w:rFonts w:hint="default"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8" w:name="_Toc27624"/>
      <w:r>
        <w:rPr>
          <w:rFonts w:hint="eastAsia" w:ascii="黑体" w:hAnsi="黑体" w:eastAsia="黑体" w:cs="Times New Roman"/>
          <w:b w:val="0"/>
          <w:bCs w:val="0"/>
          <w:kern w:val="2"/>
          <w:sz w:val="28"/>
          <w:szCs w:val="28"/>
          <w:lang w:val="en-US" w:eastAsia="zh-CN" w:bidi="ar-SA"/>
        </w:rPr>
        <w:t>第二节 采购合同通用条款</w:t>
      </w:r>
      <w:bookmarkEnd w:id="88"/>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采购合同专用条款</w:t>
      </w:r>
      <w:r>
        <w:rPr>
          <w:rFonts w:hint="eastAsia" w:ascii="宋体" w:hAnsi="宋体" w:eastAsia="宋体"/>
          <w:szCs w:val="21"/>
          <w:lang w:eastAsia="zh-CN"/>
        </w:rPr>
        <w:t>，</w:t>
      </w:r>
      <w:r>
        <w:rPr>
          <w:rFonts w:hint="eastAsia" w:ascii="宋体" w:hAnsi="宋体" w:eastAsia="宋体"/>
          <w:szCs w:val="21"/>
        </w:rPr>
        <w:t>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8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8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b/>
          <w:bCs/>
          <w:color w:val="000000"/>
          <w:szCs w:val="21"/>
          <w:highlight w:val="none"/>
          <w:lang w:eastAsia="zh-CN"/>
        </w:rPr>
        <w:t>采购</w:t>
      </w:r>
      <w:r>
        <w:rPr>
          <w:rFonts w:hint="eastAsia" w:ascii="宋体" w:hAnsi="宋体" w:eastAsia="宋体"/>
          <w:b/>
          <w:bCs/>
          <w:color w:val="000000"/>
          <w:szCs w:val="21"/>
          <w:highlight w:val="none"/>
        </w:rPr>
        <w:t>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b/>
          <w:bCs/>
          <w:color w:val="000000"/>
          <w:szCs w:val="21"/>
          <w:highlight w:val="none"/>
          <w:lang w:eastAsia="zh-CN"/>
        </w:rPr>
        <w:t>采购</w:t>
      </w:r>
      <w:r>
        <w:rPr>
          <w:rFonts w:hint="eastAsia" w:ascii="宋体" w:hAnsi="宋体" w:eastAsia="宋体"/>
          <w:b/>
          <w:bCs/>
          <w:color w:val="000000"/>
          <w:szCs w:val="21"/>
          <w:highlight w:val="none"/>
        </w:rPr>
        <w:t>合同专用条款</w:t>
      </w:r>
      <w:r>
        <w:rPr>
          <w:rFonts w:hint="eastAsia" w:ascii="宋体" w:hAnsi="宋体" w:eastAsia="宋体"/>
          <w:color w:val="000000"/>
          <w:szCs w:val="21"/>
          <w:highlight w:val="none"/>
        </w:rPr>
        <w:t>】。</w:t>
      </w:r>
    </w:p>
    <w:p>
      <w:pPr>
        <w:numPr>
          <w:ilvl w:val="0"/>
          <w:numId w:val="9"/>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8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8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8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w:t>
      </w:r>
      <w:r>
        <w:rPr>
          <w:rFonts w:hint="eastAsia" w:ascii="宋体" w:hAnsi="宋体" w:cs="宋体"/>
          <w:b/>
          <w:bCs/>
          <w:szCs w:val="21"/>
          <w:highlight w:val="none"/>
          <w:lang w:eastAsia="zh-CN"/>
        </w:rPr>
        <w:t>采购</w:t>
      </w:r>
      <w:r>
        <w:rPr>
          <w:rFonts w:hint="eastAsia" w:ascii="宋体" w:hAnsi="宋体" w:eastAsia="宋体" w:cs="宋体"/>
          <w:b/>
          <w:bCs/>
          <w:szCs w:val="21"/>
          <w:highlight w:val="none"/>
        </w:rPr>
        <w:t>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8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w:t>
      </w:r>
      <w:r>
        <w:rPr>
          <w:rFonts w:hint="eastAsia" w:ascii="宋体" w:hAnsi="宋体" w:cs="宋体"/>
          <w:b/>
          <w:bCs/>
          <w:szCs w:val="21"/>
          <w:highlight w:val="none"/>
          <w:lang w:eastAsia="zh-CN"/>
        </w:rPr>
        <w:t>采购</w:t>
      </w:r>
      <w:r>
        <w:rPr>
          <w:rFonts w:hint="eastAsia" w:ascii="宋体" w:hAnsi="宋体" w:eastAsia="宋体" w:cs="宋体"/>
          <w:b/>
          <w:bCs/>
          <w:szCs w:val="21"/>
          <w:highlight w:val="none"/>
        </w:rPr>
        <w:t>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w:t>
      </w:r>
      <w:r>
        <w:rPr>
          <w:rFonts w:hint="eastAsia" w:ascii="宋体" w:hAnsi="宋体" w:cs="宋体"/>
          <w:b/>
          <w:bCs/>
          <w:kern w:val="2"/>
          <w:sz w:val="21"/>
          <w:szCs w:val="21"/>
          <w:highlight w:val="none"/>
          <w:lang w:val="en-US" w:eastAsia="zh-CN" w:bidi="ar-SA"/>
        </w:rPr>
        <w:t>采购</w:t>
      </w:r>
      <w:r>
        <w:rPr>
          <w:rFonts w:hint="eastAsia" w:ascii="宋体" w:hAnsi="宋体" w:eastAsia="宋体" w:cs="宋体"/>
          <w:b/>
          <w:bCs/>
          <w:kern w:val="2"/>
          <w:sz w:val="21"/>
          <w:szCs w:val="21"/>
          <w:highlight w:val="none"/>
          <w:lang w:val="en-US" w:eastAsia="zh-CN" w:bidi="ar-SA"/>
        </w:rPr>
        <w:t>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0"/>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w:t>
      </w:r>
      <w:r>
        <w:rPr>
          <w:rFonts w:hint="eastAsia" w:ascii="宋体" w:hAnsi="宋体" w:cs="宋体"/>
          <w:b/>
          <w:bCs/>
          <w:szCs w:val="21"/>
          <w:highlight w:val="none"/>
          <w:lang w:eastAsia="zh-CN"/>
        </w:rPr>
        <w:t>采购</w:t>
      </w:r>
      <w:r>
        <w:rPr>
          <w:rFonts w:hint="eastAsia" w:ascii="宋体" w:hAnsi="宋体" w:eastAsia="宋体" w:cs="宋体"/>
          <w:b/>
          <w:bCs/>
          <w:szCs w:val="21"/>
          <w:highlight w:val="none"/>
        </w:rPr>
        <w:t>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8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w:t>
      </w:r>
      <w:r>
        <w:rPr>
          <w:rFonts w:hint="eastAsia" w:ascii="宋体" w:hAnsi="宋体"/>
          <w:b/>
          <w:color w:val="000000"/>
          <w:szCs w:val="21"/>
          <w:highlight w:val="none"/>
          <w:lang w:eastAsia="zh-CN"/>
        </w:rPr>
        <w:t>采购</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w:t>
      </w:r>
      <w:r>
        <w:rPr>
          <w:rFonts w:hint="eastAsia" w:ascii="宋体" w:hAnsi="宋体"/>
          <w:b/>
          <w:color w:val="000000"/>
          <w:szCs w:val="21"/>
          <w:highlight w:val="none"/>
          <w:lang w:eastAsia="zh-CN"/>
        </w:rPr>
        <w:t>采购</w:t>
      </w:r>
      <w:r>
        <w:rPr>
          <w:rFonts w:hint="eastAsia" w:ascii="宋体" w:hAnsi="宋体" w:eastAsia="宋体"/>
          <w:b/>
          <w:color w:val="000000"/>
          <w:szCs w:val="21"/>
          <w:highlight w:val="none"/>
        </w:rPr>
        <w:t>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w:t>
      </w:r>
      <w:r>
        <w:rPr>
          <w:rFonts w:hint="eastAsia" w:ascii="宋体" w:hAnsi="宋体"/>
          <w:b/>
          <w:color w:val="000000"/>
          <w:szCs w:val="21"/>
          <w:highlight w:val="none"/>
          <w:lang w:eastAsia="zh-CN"/>
        </w:rPr>
        <w:t>采购</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w:t>
      </w:r>
      <w:r>
        <w:rPr>
          <w:rFonts w:hint="eastAsia" w:ascii="宋体" w:hAnsi="宋体"/>
          <w:b/>
          <w:color w:val="000000"/>
          <w:szCs w:val="21"/>
          <w:highlight w:val="none"/>
          <w:lang w:eastAsia="zh-CN"/>
        </w:rPr>
        <w:t>采购</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8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8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8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8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9"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9"/>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8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w:t>
      </w:r>
      <w:r>
        <w:rPr>
          <w:rFonts w:hint="eastAsia" w:ascii="宋体" w:hAnsi="宋体" w:cs="宋体"/>
          <w:b/>
          <w:bCs/>
          <w:szCs w:val="15"/>
          <w:lang w:eastAsia="zh-CN"/>
        </w:rPr>
        <w:t>采购</w:t>
      </w:r>
      <w:r>
        <w:rPr>
          <w:rFonts w:hint="eastAsia" w:ascii="宋体" w:hAnsi="宋体" w:eastAsia="宋体" w:cs="宋体"/>
          <w:b/>
          <w:bCs/>
          <w:szCs w:val="15"/>
        </w:rPr>
        <w:t>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autoSpaceDE w:val="0"/>
        <w:autoSpaceDN w:val="0"/>
        <w:adjustRightInd w:val="0"/>
        <w:snapToGrid w:val="0"/>
        <w:spacing w:before="0" w:line="400" w:lineRule="exact"/>
        <w:ind w:firstLine="480" w:firstLineChars="200"/>
        <w:jc w:val="left"/>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olor w:val="auto"/>
          <w:szCs w:val="21"/>
          <w:highlight w:val="none"/>
          <w:lang w:val="en-US" w:eastAsia="zh-CN"/>
        </w:rPr>
        <w:t>12.2 对于满足合同约定支付条件的，甲方原则上应当自收到发票后10个工作日内将资金</w:t>
      </w:r>
      <w:r>
        <w:rPr>
          <w:rFonts w:hint="eastAsia" w:ascii="宋体" w:hAnsi="宋体" w:eastAsia="宋体" w:cs="宋体"/>
          <w:szCs w:val="15"/>
          <w:lang w:val="en-US" w:eastAsia="zh-CN"/>
        </w:rPr>
        <w:t>支付</w:t>
      </w:r>
      <w:r>
        <w:rPr>
          <w:rFonts w:hint="eastAsia" w:ascii="宋体" w:hAnsi="宋体" w:eastAsia="宋体"/>
          <w:color w:val="auto"/>
          <w:szCs w:val="21"/>
          <w:highlight w:val="none"/>
          <w:lang w:val="en-US" w:eastAsia="zh-CN"/>
        </w:rPr>
        <w:t>到合同约定的乙方账户，不得以机构变动、人员更替、政策调整等为由迟延付款，不得将采购文件和合同中未规定的义务作为向乙</w:t>
      </w:r>
      <w:r>
        <w:rPr>
          <w:rFonts w:hint="eastAsia" w:ascii="宋体" w:hAnsi="宋体" w:eastAsia="宋体" w:cs="Times New Roman"/>
          <w:b w:val="0"/>
          <w:bCs w:val="0"/>
          <w:color w:val="auto"/>
          <w:kern w:val="2"/>
          <w:sz w:val="21"/>
          <w:szCs w:val="21"/>
          <w:highlight w:val="none"/>
          <w:lang w:val="en-US" w:eastAsia="zh-CN" w:bidi="ar-SA"/>
        </w:rPr>
        <w:t>方付款的条件。具体合同价款支付时间在【</w:t>
      </w:r>
      <w:r>
        <w:rPr>
          <w:rFonts w:hint="eastAsia" w:ascii="宋体" w:hAnsi="宋体" w:cs="Times New Roman"/>
          <w:b/>
          <w:bCs/>
          <w:color w:val="auto"/>
          <w:kern w:val="2"/>
          <w:sz w:val="21"/>
          <w:szCs w:val="21"/>
          <w:highlight w:val="none"/>
          <w:lang w:val="en-US" w:eastAsia="zh-CN" w:bidi="ar-SA"/>
        </w:rPr>
        <w:t>采购</w:t>
      </w:r>
      <w:r>
        <w:rPr>
          <w:rFonts w:hint="eastAsia" w:ascii="宋体" w:hAnsi="宋体" w:eastAsia="宋体" w:cs="Times New Roman"/>
          <w:b/>
          <w:bCs/>
          <w:color w:val="auto"/>
          <w:kern w:val="2"/>
          <w:sz w:val="21"/>
          <w:szCs w:val="21"/>
          <w:highlight w:val="none"/>
          <w:lang w:val="en-US" w:eastAsia="zh-CN" w:bidi="ar-SA"/>
        </w:rPr>
        <w:t>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8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8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w:t>
      </w:r>
      <w:r>
        <w:rPr>
          <w:rFonts w:hint="eastAsia" w:ascii="宋体" w:hAnsi="宋体" w:cs="宋体"/>
          <w:b/>
          <w:bCs/>
          <w:szCs w:val="15"/>
          <w:highlight w:val="none"/>
          <w:lang w:eastAsia="zh-CN"/>
        </w:rPr>
        <w:t>采购</w:t>
      </w:r>
      <w:r>
        <w:rPr>
          <w:rFonts w:hint="eastAsia" w:ascii="宋体" w:hAnsi="宋体" w:eastAsia="宋体" w:cs="宋体"/>
          <w:b/>
          <w:bCs/>
          <w:szCs w:val="15"/>
          <w:highlight w:val="none"/>
        </w:rPr>
        <w:t>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w:t>
      </w:r>
      <w:r>
        <w:rPr>
          <w:rFonts w:hint="eastAsia" w:ascii="宋体" w:hAnsi="宋体" w:cs="宋体"/>
          <w:b/>
          <w:bCs/>
          <w:szCs w:val="15"/>
          <w:highlight w:val="none"/>
          <w:lang w:eastAsia="zh-CN"/>
        </w:rPr>
        <w:t>采购</w:t>
      </w:r>
      <w:r>
        <w:rPr>
          <w:rFonts w:hint="eastAsia" w:ascii="宋体" w:hAnsi="宋体" w:eastAsia="宋体" w:cs="宋体"/>
          <w:b/>
          <w:bCs/>
          <w:szCs w:val="15"/>
          <w:highlight w:val="none"/>
        </w:rPr>
        <w:t>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w:t>
      </w:r>
      <w:r>
        <w:rPr>
          <w:rFonts w:hint="eastAsia" w:ascii="宋体" w:hAnsi="宋体" w:cs="宋体"/>
          <w:b/>
          <w:bCs/>
          <w:sz w:val="21"/>
          <w:szCs w:val="21"/>
          <w:lang w:val="en-US" w:eastAsia="zh-CN" w:bidi="ar-SA"/>
        </w:rPr>
        <w:t>采购</w:t>
      </w:r>
      <w:r>
        <w:rPr>
          <w:rFonts w:hint="eastAsia" w:ascii="宋体" w:hAnsi="宋体" w:eastAsia="宋体" w:cs="宋体"/>
          <w:b/>
          <w:bCs/>
          <w:sz w:val="21"/>
          <w:szCs w:val="21"/>
          <w:lang w:val="en-US" w:eastAsia="zh-CN" w:bidi="ar-SA"/>
        </w:rPr>
        <w:t>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8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8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w:t>
      </w:r>
      <w:r>
        <w:rPr>
          <w:rFonts w:hint="eastAsia" w:ascii="宋体" w:hAnsi="宋体"/>
          <w:b/>
          <w:bCs/>
          <w:color w:val="auto"/>
          <w:szCs w:val="21"/>
          <w:highlight w:val="none"/>
          <w:lang w:eastAsia="zh-CN"/>
        </w:rPr>
        <w:t>采购</w:t>
      </w:r>
      <w:r>
        <w:rPr>
          <w:rFonts w:hint="eastAsia" w:ascii="宋体" w:hAnsi="宋体" w:eastAsia="宋体"/>
          <w:b/>
          <w:bCs/>
          <w:color w:val="auto"/>
          <w:szCs w:val="21"/>
          <w:highlight w:val="none"/>
        </w:rPr>
        <w:t>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w:t>
      </w:r>
      <w:r>
        <w:rPr>
          <w:rFonts w:hint="eastAsia" w:ascii="宋体" w:hAnsi="宋体"/>
          <w:b/>
          <w:bCs/>
          <w:color w:val="auto"/>
          <w:szCs w:val="21"/>
          <w:highlight w:val="none"/>
          <w:lang w:eastAsia="zh-CN"/>
        </w:rPr>
        <w:t>采购</w:t>
      </w:r>
      <w:r>
        <w:rPr>
          <w:rFonts w:hint="eastAsia" w:ascii="宋体" w:hAnsi="宋体" w:eastAsia="宋体"/>
          <w:b/>
          <w:bCs/>
          <w:color w:val="auto"/>
          <w:szCs w:val="21"/>
          <w:highlight w:val="none"/>
        </w:rPr>
        <w:t>合同专用条款】</w:t>
      </w:r>
      <w:r>
        <w:rPr>
          <w:rFonts w:hint="eastAsia" w:ascii="宋体" w:hAnsi="宋体" w:eastAsia="宋体"/>
          <w:color w:val="auto"/>
          <w:szCs w:val="21"/>
          <w:highlight w:val="none"/>
        </w:rPr>
        <w:t>规定执行。</w:t>
      </w:r>
    </w:p>
    <w:p>
      <w:pPr>
        <w:numPr>
          <w:ilvl w:val="0"/>
          <w:numId w:val="11"/>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color w:val="auto"/>
          <w:szCs w:val="21"/>
          <w:highlight w:val="none"/>
          <w:lang w:eastAsia="zh-CN"/>
        </w:rPr>
        <w:t>采购</w:t>
      </w:r>
      <w:r>
        <w:rPr>
          <w:rFonts w:hint="eastAsia" w:ascii="宋体" w:hAnsi="宋体" w:eastAsia="宋体"/>
          <w:color w:val="auto"/>
          <w:szCs w:val="21"/>
          <w:highlight w:val="none"/>
          <w:lang w:eastAsia="zh-CN"/>
        </w:rPr>
        <w:t>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8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8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cs="宋体"/>
          <w:sz w:val="21"/>
          <w:szCs w:val="21"/>
          <w:lang w:val="en-US" w:eastAsia="zh-CN" w:bidi="ar-SA"/>
        </w:rPr>
        <w:t>采购</w:t>
      </w:r>
      <w:r>
        <w:rPr>
          <w:rFonts w:hint="eastAsia" w:ascii="宋体" w:hAnsi="宋体" w:eastAsia="宋体" w:cs="宋体"/>
          <w:sz w:val="21"/>
          <w:szCs w:val="21"/>
          <w:lang w:val="en-US" w:eastAsia="zh-CN" w:bidi="ar-SA"/>
        </w:rPr>
        <w:t>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w:t>
      </w:r>
      <w:r>
        <w:rPr>
          <w:rFonts w:hint="eastAsia" w:ascii="宋体" w:hAnsi="宋体"/>
          <w:color w:val="auto"/>
          <w:szCs w:val="21"/>
          <w:highlight w:val="none"/>
          <w:lang w:eastAsia="zh-CN"/>
        </w:rPr>
        <w:t>采购</w:t>
      </w:r>
      <w:r>
        <w:rPr>
          <w:rFonts w:hint="eastAsia" w:ascii="宋体" w:hAnsi="宋体" w:eastAsia="宋体"/>
          <w:color w:val="auto"/>
          <w:szCs w:val="21"/>
          <w:highlight w:val="none"/>
        </w:rPr>
        <w:t>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w:t>
      </w:r>
      <w:r>
        <w:rPr>
          <w:rFonts w:hint="eastAsia" w:ascii="宋体" w:hAnsi="宋体" w:cs="宋体"/>
          <w:b/>
          <w:bCs/>
          <w:color w:val="auto"/>
          <w:sz w:val="21"/>
          <w:szCs w:val="21"/>
          <w:highlight w:val="none"/>
          <w:lang w:val="en-US" w:eastAsia="zh-CN" w:bidi="ar-SA"/>
        </w:rPr>
        <w:t>采购</w:t>
      </w:r>
      <w:r>
        <w:rPr>
          <w:rFonts w:hint="eastAsia" w:ascii="宋体" w:hAnsi="宋体" w:eastAsia="宋体" w:cs="宋体"/>
          <w:b/>
          <w:bCs/>
          <w:color w:val="auto"/>
          <w:sz w:val="21"/>
          <w:szCs w:val="21"/>
          <w:highlight w:val="none"/>
          <w:lang w:val="en-US" w:eastAsia="zh-CN" w:bidi="ar-SA"/>
        </w:rPr>
        <w:t>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w:t>
      </w:r>
      <w:r>
        <w:rPr>
          <w:rFonts w:hint="eastAsia" w:ascii="宋体" w:hAnsi="宋体" w:cs="宋体"/>
          <w:b/>
          <w:bCs/>
          <w:color w:val="auto"/>
          <w:sz w:val="21"/>
          <w:szCs w:val="21"/>
          <w:highlight w:val="none"/>
          <w:lang w:val="en-US" w:eastAsia="zh-CN" w:bidi="ar-SA"/>
        </w:rPr>
        <w:t>采购</w:t>
      </w:r>
      <w:r>
        <w:rPr>
          <w:rFonts w:hint="eastAsia" w:ascii="宋体" w:hAnsi="宋体" w:eastAsia="宋体" w:cs="宋体"/>
          <w:b/>
          <w:bCs/>
          <w:color w:val="auto"/>
          <w:sz w:val="21"/>
          <w:szCs w:val="21"/>
          <w:highlight w:val="none"/>
          <w:lang w:val="en-US" w:eastAsia="zh-CN" w:bidi="ar-SA"/>
        </w:rPr>
        <w:t>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b/>
          <w:color w:val="auto"/>
          <w:sz w:val="24"/>
          <w:highlight w:val="none"/>
          <w:lang w:eastAsia="zh-CN"/>
        </w:rPr>
        <w:t>采购</w:t>
      </w:r>
      <w:r>
        <w:rPr>
          <w:rFonts w:hint="eastAsia" w:ascii="宋体" w:hAnsi="宋体" w:eastAsia="宋体"/>
          <w:b/>
          <w:color w:val="auto"/>
          <w:sz w:val="24"/>
          <w:highlight w:val="none"/>
        </w:rPr>
        <w:t>政策</w:t>
      </w:r>
    </w:p>
    <w:p>
      <w:pPr>
        <w:autoSpaceDE w:val="0"/>
        <w:autoSpaceDN w:val="0"/>
        <w:adjustRightInd w:val="0"/>
        <w:snapToGrid w:val="0"/>
        <w:spacing w:before="0" w:line="400" w:lineRule="exact"/>
        <w:ind w:firstLine="48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8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w:t>
      </w:r>
      <w:r>
        <w:rPr>
          <w:rFonts w:hint="eastAsia" w:ascii="宋体" w:hAnsi="宋体" w:cs="宋体"/>
          <w:sz w:val="21"/>
          <w:szCs w:val="21"/>
          <w:lang w:val="en-US" w:eastAsia="zh-CN" w:bidi="ar-SA"/>
        </w:rPr>
        <w:t>采购</w:t>
      </w:r>
      <w:r>
        <w:rPr>
          <w:rFonts w:hint="eastAsia" w:ascii="宋体" w:hAnsi="宋体" w:eastAsia="宋体" w:cs="宋体"/>
          <w:sz w:val="21"/>
          <w:szCs w:val="21"/>
          <w:lang w:val="en-US" w:eastAsia="zh-CN" w:bidi="ar-SA"/>
        </w:rPr>
        <w:t>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8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2"/>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8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90"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采购合同专用条款</w:t>
      </w:r>
      <w:bookmarkEnd w:id="90"/>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lang w:eastAsia="zh-CN"/>
              </w:rPr>
              <w:t>联合体具体要求</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lang w:eastAsia="zh-CN"/>
              </w:rPr>
            </w:pPr>
            <w:r>
              <w:rPr>
                <w:rFonts w:hint="eastAsia" w:ascii="宋体" w:hAnsi="宋体" w:eastAsia="宋体"/>
                <w:szCs w:val="21"/>
                <w:lang w:eastAsia="zh-CN"/>
              </w:rPr>
              <w:t>第二节</w:t>
            </w:r>
          </w:p>
          <w:p>
            <w:pPr>
              <w:keepNext w:val="0"/>
              <w:keepLines w:val="0"/>
              <w:suppressLineNumbers w:val="0"/>
              <w:snapToGrid w:val="0"/>
              <w:spacing w:before="0" w:beforeAutospacing="0" w:after="0" w:afterAutospacing="0"/>
              <w:ind w:left="0" w:right="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lang w:eastAsia="zh-CN"/>
              </w:rPr>
            </w:pPr>
            <w:r>
              <w:rPr>
                <w:rFonts w:hint="eastAsia" w:ascii="宋体" w:hAnsi="宋体" w:eastAsia="宋体"/>
                <w:szCs w:val="21"/>
                <w:lang w:eastAsia="zh-CN"/>
              </w:rPr>
              <w:t>第二节</w:t>
            </w:r>
          </w:p>
          <w:p>
            <w:pPr>
              <w:keepNext w:val="0"/>
              <w:keepLines w:val="0"/>
              <w:suppressLineNumbers w:val="0"/>
              <w:snapToGrid w:val="0"/>
              <w:spacing w:before="0" w:beforeAutospacing="0" w:after="0" w:afterAutospacing="0"/>
              <w:ind w:left="0" w:right="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keepNext w:val="0"/>
              <w:keepLines w:val="0"/>
              <w:suppressLineNumbers w:val="0"/>
              <w:spacing w:before="0" w:beforeAutospacing="0" w:after="0" w:afterAutospacing="0"/>
              <w:ind w:left="0" w:right="0"/>
              <w:rPr>
                <w:rFonts w:hint="default"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keepNext w:val="0"/>
              <w:keepLines w:val="0"/>
              <w:suppressLineNumbers w:val="0"/>
              <w:spacing w:before="0" w:beforeAutospacing="0" w:after="0" w:afterAutospacing="0"/>
              <w:ind w:left="0" w:right="0"/>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keepNext w:val="0"/>
              <w:keepLines w:val="0"/>
              <w:suppressLineNumbers w:val="0"/>
              <w:spacing w:before="0" w:beforeAutospacing="0" w:after="0" w:afterAutospacing="0"/>
              <w:ind w:left="0" w:right="0"/>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keepNext w:val="0"/>
              <w:keepLines w:val="0"/>
              <w:suppressLineNumbers w:val="0"/>
              <w:spacing w:before="0" w:beforeAutospacing="0" w:after="0" w:afterAutospacing="0"/>
              <w:ind w:left="0" w:right="0"/>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质量保证期</w:t>
            </w:r>
          </w:p>
        </w:tc>
        <w:tc>
          <w:tcPr>
            <w:tcW w:w="5170" w:type="dxa"/>
            <w:vAlign w:val="center"/>
          </w:tcPr>
          <w:p>
            <w:pPr>
              <w:keepNext w:val="0"/>
              <w:keepLines w:val="0"/>
              <w:suppressLineNumbers w:val="0"/>
              <w:autoSpaceDE w:val="0"/>
              <w:autoSpaceDN w:val="0"/>
              <w:adjustRightInd w:val="0"/>
              <w:snapToGrid w:val="0"/>
              <w:spacing w:before="0" w:beforeAutospacing="0" w:after="0" w:afterAutospacing="0"/>
              <w:ind w:left="0" w:right="0" w:firstLine="480" w:firstLineChars="200"/>
              <w:jc w:val="left"/>
              <w:rPr>
                <w:rFonts w:hint="default"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货物质量缺陷</w:t>
            </w:r>
          </w:p>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响应时间</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keepNext w:val="0"/>
              <w:keepLines w:val="0"/>
              <w:suppressLineNumbers w:val="0"/>
              <w:autoSpaceDE w:val="0"/>
              <w:autoSpaceDN w:val="0"/>
              <w:adjustRightInd w:val="0"/>
              <w:spacing w:before="0" w:beforeAutospacing="0" w:after="0" w:afterAutospacing="0" w:line="400" w:lineRule="exact"/>
              <w:ind w:left="0" w:right="0"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keepNext w:val="0"/>
              <w:keepLines w:val="0"/>
              <w:suppressLineNumbers w:val="0"/>
              <w:adjustRightInd w:val="0"/>
              <w:snapToGrid w:val="0"/>
              <w:spacing w:before="0" w:beforeAutospacing="0" w:after="0" w:afterAutospacing="0"/>
              <w:ind w:left="0" w:right="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乙方提供的其他服务</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迟延交货赔偿费</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p>
        </w:tc>
      </w:tr>
    </w:tbl>
    <w:p>
      <w:pPr>
        <w:widowControl/>
        <w:jc w:val="left"/>
        <w:rPr>
          <w:rFonts w:ascii="宋体" w:hAnsi="宋体"/>
          <w:szCs w:val="21"/>
        </w:rPr>
      </w:pPr>
      <w:r>
        <w:rPr>
          <w:rFonts w:ascii="宋体" w:hAnsi="宋体"/>
          <w:szCs w:val="21"/>
        </w:rPr>
        <w:br w:type="page"/>
      </w:r>
    </w:p>
    <w:p>
      <w:pPr>
        <w:pStyle w:val="6"/>
        <w:spacing w:before="120" w:beforeLines="50" w:after="120" w:afterLines="50"/>
        <w:ind w:left="562"/>
        <w:rPr>
          <w:sz w:val="28"/>
          <w:szCs w:val="28"/>
        </w:rPr>
      </w:pPr>
      <w:r>
        <w:rPr>
          <w:rFonts w:hint="eastAsia"/>
          <w:sz w:val="28"/>
          <w:szCs w:val="28"/>
        </w:rPr>
        <w:t>第二册  通用条款（公开招标）</w:t>
      </w:r>
    </w:p>
    <w:p>
      <w:pPr>
        <w:pStyle w:val="52"/>
        <w:keepNext/>
        <w:keepLines/>
        <w:numPr>
          <w:ilvl w:val="0"/>
          <w:numId w:val="13"/>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91" w:name="_Hlk72399513"/>
      <w:bookmarkStart w:id="92" w:name="_Hlk72439706"/>
      <w:r>
        <w:rPr>
          <w:rFonts w:hint="eastAsia" w:ascii="Cambria" w:hAnsi="Cambria" w:cs="宋体"/>
          <w:b/>
          <w:bCs/>
          <w:sz w:val="28"/>
          <w:szCs w:val="28"/>
        </w:rPr>
        <w:t>总则</w:t>
      </w:r>
    </w:p>
    <w:bookmarkEnd w:id="91"/>
    <w:p>
      <w:pPr>
        <w:ind w:firstLine="480" w:firstLineChars="200"/>
        <w:rPr>
          <w:rFonts w:ascii="黑体" w:hAnsi="宋体" w:eastAsia="黑体"/>
          <w:szCs w:val="21"/>
        </w:rPr>
      </w:pPr>
      <w:r>
        <w:rPr>
          <w:rFonts w:hint="eastAsia" w:ascii="黑体" w:hAnsi="宋体" w:eastAsia="黑体"/>
          <w:szCs w:val="21"/>
        </w:rPr>
        <w:t>1. 通用条款说明</w:t>
      </w:r>
    </w:p>
    <w:p>
      <w:pPr>
        <w:ind w:firstLine="480" w:firstLineChars="200"/>
        <w:rPr>
          <w:rFonts w:ascii="宋体" w:hAnsi="宋体"/>
          <w:szCs w:val="21"/>
        </w:rPr>
      </w:pPr>
      <w:r>
        <w:rPr>
          <w:rFonts w:hint="eastAsia" w:ascii="宋体" w:hAnsi="宋体"/>
          <w:szCs w:val="21"/>
        </w:rPr>
        <w:t>1.1</w:t>
      </w:r>
      <w:r>
        <w:rPr>
          <w:rFonts w:hint="eastAsia" w:ascii="宋体" w:hAnsi="宋体"/>
          <w:szCs w:val="21"/>
          <w:highlight w:val="yellow"/>
        </w:rPr>
        <w:t>采购代理机构</w:t>
      </w:r>
      <w:r>
        <w:rPr>
          <w:rFonts w:hint="eastAsia" w:ascii="宋体" w:hAnsi="宋体"/>
          <w:szCs w:val="21"/>
        </w:rPr>
        <w:t>发出招标文件通用条款版本，列出深圳市自行采购项目进行招标采购所适用的通用条款内容。</w:t>
      </w:r>
      <w:bookmarkStart w:id="93" w:name="_Hlk72399729"/>
      <w:r>
        <w:rPr>
          <w:rFonts w:hint="eastAsia" w:ascii="宋体" w:hAnsi="宋体"/>
          <w:szCs w:val="21"/>
        </w:rPr>
        <w:t>如有需要，</w:t>
      </w:r>
      <w:r>
        <w:rPr>
          <w:rFonts w:hint="eastAsia" w:ascii="宋体" w:hAnsi="宋体"/>
          <w:szCs w:val="21"/>
          <w:highlight w:val="yellow"/>
        </w:rPr>
        <w:t>采购代理机构</w:t>
      </w:r>
      <w:r>
        <w:rPr>
          <w:rFonts w:hint="eastAsia" w:ascii="宋体" w:hAnsi="宋体"/>
          <w:szCs w:val="21"/>
        </w:rPr>
        <w:t>可以对通用条款的内容进行补充。</w:t>
      </w:r>
      <w:bookmarkEnd w:id="93"/>
    </w:p>
    <w:p>
      <w:pPr>
        <w:ind w:firstLine="480" w:firstLineChars="200"/>
        <w:rPr>
          <w:rFonts w:ascii="宋体" w:hAnsi="宋体"/>
          <w:szCs w:val="21"/>
        </w:rPr>
      </w:pPr>
      <w:r>
        <w:rPr>
          <w:rFonts w:hint="eastAsia" w:ascii="宋体" w:hAnsi="宋体"/>
          <w:szCs w:val="21"/>
        </w:rPr>
        <w:t>1.2招标文件分为第一册“专用条款”和第二册“通用条款”。</w:t>
      </w:r>
    </w:p>
    <w:p>
      <w:pPr>
        <w:ind w:firstLine="48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80" w:firstLineChars="200"/>
        <w:rPr>
          <w:rFonts w:ascii="宋体" w:hAnsi="宋体"/>
          <w:szCs w:val="21"/>
        </w:rPr>
      </w:pPr>
      <w:r>
        <w:rPr>
          <w:rFonts w:hint="eastAsia" w:ascii="宋体" w:hAnsi="宋体"/>
          <w:szCs w:val="21"/>
        </w:rPr>
        <w:t>1.4“通用条款”是适用于自行采购公开招标项目的基础性条款，具有普遍性和通用性。</w:t>
      </w:r>
    </w:p>
    <w:p>
      <w:pPr>
        <w:ind w:firstLine="480" w:firstLineChars="200"/>
        <w:rPr>
          <w:rFonts w:ascii="宋体" w:hAnsi="宋体"/>
          <w:szCs w:val="21"/>
        </w:rPr>
      </w:pPr>
      <w:r>
        <w:rPr>
          <w:rFonts w:hint="eastAsia" w:ascii="宋体" w:hAnsi="宋体"/>
          <w:szCs w:val="21"/>
        </w:rPr>
        <w:t>1.5 “专用条款”和“通用条款”表述不一致或有冲突时，以“专用条款”为准。</w:t>
      </w:r>
    </w:p>
    <w:p>
      <w:pPr>
        <w:ind w:firstLine="480" w:firstLineChars="200"/>
        <w:rPr>
          <w:rFonts w:ascii="黑体" w:hAnsi="宋体" w:eastAsia="黑体"/>
          <w:szCs w:val="21"/>
        </w:rPr>
      </w:pPr>
      <w:r>
        <w:rPr>
          <w:rFonts w:hint="eastAsia" w:ascii="黑体" w:hAnsi="宋体" w:eastAsia="黑体"/>
          <w:szCs w:val="21"/>
        </w:rPr>
        <w:t>2．招标说明</w:t>
      </w:r>
    </w:p>
    <w:p>
      <w:pPr>
        <w:ind w:firstLine="480"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pPr>
        <w:ind w:firstLine="480" w:firstLineChars="200"/>
        <w:rPr>
          <w:rFonts w:ascii="黑体" w:hAnsi="宋体" w:eastAsia="黑体"/>
          <w:szCs w:val="21"/>
        </w:rPr>
      </w:pPr>
      <w:r>
        <w:rPr>
          <w:rFonts w:hint="eastAsia" w:ascii="黑体" w:hAnsi="宋体" w:eastAsia="黑体"/>
          <w:szCs w:val="21"/>
        </w:rPr>
        <w:t>3．定义</w:t>
      </w:r>
    </w:p>
    <w:p>
      <w:pPr>
        <w:ind w:firstLine="480" w:firstLineChars="200"/>
        <w:rPr>
          <w:rFonts w:ascii="宋体" w:hAnsi="宋体"/>
          <w:szCs w:val="21"/>
        </w:rPr>
      </w:pPr>
      <w:r>
        <w:rPr>
          <w:rFonts w:hint="eastAsia" w:ascii="宋体" w:hAnsi="宋体"/>
          <w:szCs w:val="21"/>
        </w:rPr>
        <w:t>招标文件中下列术语应解释为：</w:t>
      </w:r>
    </w:p>
    <w:p>
      <w:pPr>
        <w:ind w:firstLine="480" w:firstLineChars="200"/>
        <w:rPr>
          <w:rFonts w:ascii="宋体" w:hAnsi="宋体"/>
          <w:szCs w:val="21"/>
        </w:rPr>
      </w:pPr>
      <w:r>
        <w:rPr>
          <w:rFonts w:hint="eastAsia" w:ascii="宋体" w:hAnsi="宋体"/>
          <w:szCs w:val="21"/>
        </w:rPr>
        <w:t>3.1“采购人”：指利用财政性资金依法进行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pPr>
        <w:ind w:firstLine="480" w:firstLineChars="200"/>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w:t>
      </w:r>
      <w:r>
        <w:rPr>
          <w:rFonts w:hint="eastAsia" w:ascii="宋体" w:hAnsi="宋体"/>
          <w:szCs w:val="21"/>
          <w:highlight w:val="yellow"/>
        </w:rPr>
        <w:t>采购代理机构</w:t>
      </w:r>
      <w:r>
        <w:rPr>
          <w:rFonts w:hint="eastAsia" w:ascii="宋体" w:hAnsi="宋体"/>
          <w:szCs w:val="21"/>
        </w:rPr>
        <w:t>”指</w:t>
      </w:r>
      <w:r>
        <w:rPr>
          <w:rFonts w:hint="eastAsia" w:ascii="宋体" w:hAnsi="宋体"/>
          <w:b/>
          <w:bCs/>
          <w:szCs w:val="21"/>
        </w:rPr>
        <w:t>深圳公共资源交易中心</w:t>
      </w:r>
      <w:r>
        <w:rPr>
          <w:rFonts w:hint="eastAsia" w:ascii="宋体" w:hAnsi="宋体"/>
          <w:b/>
          <w:bCs/>
          <w:szCs w:val="21"/>
          <w:highlight w:val="yellow"/>
          <w:lang w:eastAsia="zh-CN"/>
        </w:rPr>
        <w:t>（</w:t>
      </w:r>
      <w:r>
        <w:rPr>
          <w:rFonts w:hint="eastAsia" w:asciiTheme="minorEastAsia" w:hAnsiTheme="minorEastAsia" w:eastAsiaTheme="minorEastAsia"/>
          <w:b/>
          <w:bCs/>
          <w:highlight w:val="yellow"/>
        </w:rPr>
        <w:t>深圳交易集团有限公司政府采购业务分公司）</w:t>
      </w:r>
      <w:r>
        <w:rPr>
          <w:rFonts w:hint="eastAsia" w:ascii="宋体" w:hAnsi="宋体"/>
          <w:szCs w:val="21"/>
        </w:rPr>
        <w:t>；</w:t>
      </w:r>
    </w:p>
    <w:p>
      <w:pPr>
        <w:ind w:firstLine="48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8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80" w:firstLineChars="200"/>
        <w:rPr>
          <w:rFonts w:ascii="宋体" w:hAnsi="宋体"/>
          <w:szCs w:val="21"/>
        </w:rPr>
      </w:pPr>
      <w:r>
        <w:rPr>
          <w:rFonts w:hint="eastAsia" w:ascii="宋体" w:hAnsi="宋体"/>
          <w:szCs w:val="21"/>
        </w:rPr>
        <w:t>3.5“日期”指公历日；</w:t>
      </w:r>
    </w:p>
    <w:p>
      <w:pPr>
        <w:ind w:firstLine="480" w:firstLineChars="200"/>
        <w:rPr>
          <w:rFonts w:ascii="宋体" w:hAnsi="宋体"/>
          <w:szCs w:val="21"/>
        </w:rPr>
      </w:pPr>
      <w:r>
        <w:rPr>
          <w:rFonts w:hint="eastAsia" w:ascii="宋体" w:hAnsi="宋体"/>
          <w:szCs w:val="21"/>
        </w:rPr>
        <w:t>3.6“合同”指由本次招标所产生的合同或合约文件；</w:t>
      </w:r>
    </w:p>
    <w:p>
      <w:pPr>
        <w:ind w:firstLine="480" w:firstLineChars="200"/>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ind w:firstLine="48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pPr>
        <w:ind w:firstLine="480" w:firstLineChars="200"/>
        <w:rPr>
          <w:rFonts w:ascii="宋体" w:hAnsi="宋体"/>
          <w:szCs w:val="21"/>
        </w:rPr>
      </w:pPr>
      <w:r>
        <w:rPr>
          <w:rFonts w:hint="eastAsia" w:ascii="宋体" w:hAnsi="宋体"/>
          <w:szCs w:val="21"/>
        </w:rPr>
        <w:t>3.9招标文件中的标题或题名仅起引导作用，而不应视为对招标文件内容的理解和解释。</w:t>
      </w:r>
    </w:p>
    <w:p>
      <w:pPr>
        <w:ind w:firstLine="480" w:firstLineChars="200"/>
        <w:rPr>
          <w:rFonts w:ascii="黑体" w:hAnsi="宋体" w:eastAsia="黑体"/>
          <w:szCs w:val="21"/>
        </w:rPr>
      </w:pPr>
      <w:r>
        <w:rPr>
          <w:rFonts w:hint="eastAsia" w:ascii="黑体" w:hAnsi="宋体" w:eastAsia="黑体"/>
          <w:szCs w:val="21"/>
        </w:rPr>
        <w:t xml:space="preserve">4. </w:t>
      </w:r>
      <w:bookmarkStart w:id="94" w:name="_Hlk72398643"/>
      <w:r>
        <w:rPr>
          <w:rFonts w:hint="eastAsia" w:ascii="黑体" w:hAnsi="宋体" w:eastAsia="黑体"/>
          <w:szCs w:val="21"/>
        </w:rPr>
        <w:t>自行采购供应商责任</w:t>
      </w:r>
    </w:p>
    <w:p>
      <w:pPr>
        <w:ind w:firstLine="480" w:firstLineChars="200"/>
        <w:rPr>
          <w:rFonts w:ascii="宋体" w:hAnsi="宋体"/>
          <w:szCs w:val="21"/>
        </w:rPr>
      </w:pPr>
      <w:r>
        <w:rPr>
          <w:rFonts w:hint="eastAsia" w:ascii="宋体" w:hAnsi="宋体"/>
          <w:szCs w:val="21"/>
        </w:rPr>
        <w:t>4.1欢迎诚信、有实力和有社会责任心的供应商参与自行采购事业。</w:t>
      </w:r>
    </w:p>
    <w:p>
      <w:pPr>
        <w:ind w:firstLine="48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80" w:firstLineChars="200"/>
        <w:rPr>
          <w:rFonts w:ascii="黑体" w:hAnsi="宋体" w:eastAsia="黑体"/>
          <w:szCs w:val="21"/>
        </w:rPr>
      </w:pPr>
      <w:r>
        <w:rPr>
          <w:rFonts w:hint="eastAsia" w:ascii="黑体" w:hAnsi="宋体" w:eastAsia="黑体"/>
          <w:szCs w:val="21"/>
        </w:rPr>
        <w:t>5．投标人参加自行采购的条件</w:t>
      </w:r>
    </w:p>
    <w:p>
      <w:pPr>
        <w:ind w:firstLine="48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80" w:firstLineChars="200"/>
        <w:rPr>
          <w:rFonts w:ascii="宋体" w:hAnsi="宋体"/>
          <w:szCs w:val="21"/>
        </w:rPr>
      </w:pPr>
      <w:r>
        <w:rPr>
          <w:rFonts w:hint="eastAsia" w:ascii="宋体" w:hAnsi="宋体"/>
          <w:szCs w:val="21"/>
        </w:rPr>
        <w:t>5.2投标人资格要求</w:t>
      </w:r>
    </w:p>
    <w:p>
      <w:pPr>
        <w:ind w:firstLine="48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pPr>
        <w:ind w:firstLine="480" w:firstLineChars="200"/>
        <w:rPr>
          <w:rFonts w:ascii="宋体" w:hAnsi="宋体"/>
          <w:szCs w:val="21"/>
        </w:rPr>
      </w:pPr>
      <w:r>
        <w:rPr>
          <w:rFonts w:hint="eastAsia" w:ascii="宋体" w:hAnsi="宋体"/>
          <w:szCs w:val="21"/>
        </w:rPr>
        <w:t>5.3联合体投标</w:t>
      </w:r>
    </w:p>
    <w:p>
      <w:pPr>
        <w:ind w:firstLine="480" w:firstLineChars="200"/>
        <w:rPr>
          <w:rFonts w:ascii="宋体" w:hAnsi="宋体"/>
          <w:szCs w:val="21"/>
        </w:rPr>
      </w:pPr>
      <w:r>
        <w:rPr>
          <w:rFonts w:hint="eastAsia" w:ascii="宋体" w:hAnsi="宋体"/>
          <w:szCs w:val="21"/>
        </w:rPr>
        <w:t>5.3.1以下有关联合体投标的条款仅适用于允许投标人组成联合体投标的项目。</w:t>
      </w:r>
    </w:p>
    <w:p>
      <w:pPr>
        <w:ind w:firstLine="48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80" w:firstLineChars="200"/>
        <w:rPr>
          <w:rFonts w:ascii="宋体" w:hAnsi="宋体"/>
          <w:szCs w:val="21"/>
        </w:rPr>
      </w:pPr>
      <w:r>
        <w:rPr>
          <w:rFonts w:hint="eastAsia" w:ascii="宋体" w:hAnsi="宋体"/>
          <w:szCs w:val="21"/>
        </w:rPr>
        <w:t xml:space="preserve">（1）投标联合体各方参加采购活动应当具备下列条件： </w:t>
      </w:r>
    </w:p>
    <w:p>
      <w:pPr>
        <w:ind w:firstLine="480" w:firstLineChars="200"/>
        <w:rPr>
          <w:rFonts w:ascii="宋体" w:hAnsi="宋体"/>
          <w:szCs w:val="21"/>
        </w:rPr>
      </w:pPr>
      <w:r>
        <w:rPr>
          <w:rFonts w:hint="eastAsia" w:ascii="宋体" w:hAnsi="宋体"/>
          <w:szCs w:val="21"/>
        </w:rPr>
        <w:t xml:space="preserve">1、具有独立承担民事责任的能力； </w:t>
      </w:r>
    </w:p>
    <w:p>
      <w:pPr>
        <w:ind w:firstLine="480" w:firstLineChars="200"/>
        <w:rPr>
          <w:rFonts w:ascii="宋体" w:hAnsi="宋体"/>
          <w:szCs w:val="21"/>
        </w:rPr>
      </w:pPr>
      <w:r>
        <w:rPr>
          <w:rFonts w:hint="eastAsia" w:ascii="宋体" w:hAnsi="宋体"/>
          <w:szCs w:val="21"/>
        </w:rPr>
        <w:t xml:space="preserve">2、有良好的商业信誉和健全的财务会计制度； </w:t>
      </w:r>
    </w:p>
    <w:p>
      <w:pPr>
        <w:ind w:firstLine="480" w:firstLineChars="200"/>
        <w:rPr>
          <w:rFonts w:ascii="宋体" w:hAnsi="宋体"/>
          <w:szCs w:val="21"/>
        </w:rPr>
      </w:pPr>
      <w:r>
        <w:rPr>
          <w:rFonts w:hint="eastAsia" w:ascii="宋体" w:hAnsi="宋体"/>
          <w:szCs w:val="21"/>
        </w:rPr>
        <w:t xml:space="preserve">3、具有履行合同所必需的设备和专业技术能力； </w:t>
      </w:r>
    </w:p>
    <w:p>
      <w:pPr>
        <w:ind w:firstLine="480" w:firstLineChars="200"/>
        <w:rPr>
          <w:rFonts w:ascii="宋体" w:hAnsi="宋体"/>
          <w:szCs w:val="21"/>
        </w:rPr>
      </w:pPr>
      <w:r>
        <w:rPr>
          <w:rFonts w:hint="eastAsia" w:ascii="宋体" w:hAnsi="宋体"/>
          <w:szCs w:val="21"/>
        </w:rPr>
        <w:t xml:space="preserve">4、有依法缴纳税收和社会保障资金的良好记录； </w:t>
      </w:r>
    </w:p>
    <w:p>
      <w:pPr>
        <w:ind w:firstLine="480" w:firstLineChars="200"/>
        <w:rPr>
          <w:rFonts w:ascii="宋体" w:hAnsi="宋体"/>
          <w:szCs w:val="21"/>
        </w:rPr>
      </w:pPr>
      <w:r>
        <w:rPr>
          <w:rFonts w:hint="eastAsia" w:ascii="宋体" w:hAnsi="宋体"/>
          <w:szCs w:val="21"/>
        </w:rPr>
        <w:t xml:space="preserve">5、参加采购活动前三年内，在经营活动中没有重大违法记录； </w:t>
      </w:r>
    </w:p>
    <w:p>
      <w:pPr>
        <w:ind w:firstLine="480" w:firstLineChars="200"/>
        <w:rPr>
          <w:rFonts w:ascii="宋体" w:hAnsi="宋体"/>
          <w:szCs w:val="21"/>
        </w:rPr>
      </w:pPr>
      <w:r>
        <w:rPr>
          <w:rFonts w:hint="eastAsia" w:ascii="宋体" w:hAnsi="宋体"/>
          <w:szCs w:val="21"/>
        </w:rPr>
        <w:t xml:space="preserve">6、法律、行政法规规定的其他条件。 </w:t>
      </w:r>
    </w:p>
    <w:p>
      <w:pPr>
        <w:ind w:firstLine="48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pPr>
        <w:ind w:firstLine="48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8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pPr>
        <w:ind w:firstLine="480" w:firstLineChars="200"/>
        <w:rPr>
          <w:rFonts w:ascii="宋体" w:hAnsi="宋体"/>
          <w:szCs w:val="21"/>
        </w:rPr>
      </w:pPr>
      <w:r>
        <w:rPr>
          <w:rFonts w:hint="eastAsia" w:ascii="宋体" w:hAnsi="宋体"/>
          <w:szCs w:val="21"/>
        </w:rPr>
        <w:t>（5）投标人的投标文件及中标后签署的合同协议对联合体各方均具法律约束力；</w:t>
      </w:r>
    </w:p>
    <w:p>
      <w:pPr>
        <w:ind w:firstLine="48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yellow"/>
        </w:rPr>
        <w:t>采购代理机构</w:t>
      </w:r>
      <w:r>
        <w:rPr>
          <w:rFonts w:hint="eastAsia" w:ascii="宋体" w:hAnsi="宋体"/>
          <w:szCs w:val="21"/>
        </w:rPr>
        <w:t>；</w:t>
      </w:r>
    </w:p>
    <w:p>
      <w:pPr>
        <w:ind w:firstLine="48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pPr>
        <w:ind w:firstLine="48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80" w:firstLineChars="200"/>
        <w:rPr>
          <w:rFonts w:ascii="宋体" w:hAnsi="宋体"/>
          <w:szCs w:val="21"/>
        </w:rPr>
      </w:pPr>
      <w:r>
        <w:rPr>
          <w:rFonts w:hint="eastAsia" w:ascii="宋体" w:hAnsi="宋体"/>
          <w:szCs w:val="21"/>
        </w:rPr>
        <w:t>（9）本通用条款中“投标人”一词亦指联合体各方，专用条款另有规定或说明的除外。</w:t>
      </w:r>
    </w:p>
    <w:p>
      <w:pPr>
        <w:ind w:firstLine="480" w:firstLineChars="200"/>
        <w:rPr>
          <w:rFonts w:ascii="黑体" w:hAnsi="宋体" w:eastAsia="黑体"/>
          <w:szCs w:val="21"/>
        </w:rPr>
      </w:pPr>
      <w:r>
        <w:rPr>
          <w:rFonts w:hint="eastAsia" w:ascii="黑体" w:hAnsi="宋体" w:eastAsia="黑体"/>
          <w:szCs w:val="21"/>
        </w:rPr>
        <w:t>6．政策导向</w:t>
      </w:r>
    </w:p>
    <w:p>
      <w:pPr>
        <w:ind w:firstLine="48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pPr>
        <w:ind w:firstLine="480" w:firstLineChars="200"/>
        <w:rPr>
          <w:szCs w:val="21"/>
          <w:shd w:val="clear" w:color="auto" w:fill="FFFFFF"/>
        </w:rPr>
      </w:pPr>
      <w:r>
        <w:rPr>
          <w:rFonts w:hint="eastAsia" w:ascii="宋体" w:hAnsi="宋体"/>
          <w:szCs w:val="21"/>
        </w:rPr>
        <w:t>6.2  本项目落实深圳市政府采购供应商诚信管理政策要求。</w:t>
      </w:r>
    </w:p>
    <w:p>
      <w:pPr>
        <w:ind w:firstLine="48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pPr>
        <w:ind w:firstLine="48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pPr>
        <w:ind w:firstLine="48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pPr>
        <w:ind w:firstLine="48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80" w:firstLineChars="200"/>
        <w:rPr>
          <w:rFonts w:ascii="宋体" w:hAnsi="宋体"/>
          <w:szCs w:val="21"/>
        </w:rPr>
      </w:pPr>
      <w:r>
        <w:rPr>
          <w:rFonts w:hint="eastAsia" w:ascii="宋体" w:hAnsi="宋体"/>
          <w:szCs w:val="21"/>
        </w:rPr>
        <w:t>7.4  投标人</w:t>
      </w:r>
      <w:bookmarkStart w:id="95"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5"/>
    </w:p>
    <w:p>
      <w:pPr>
        <w:ind w:firstLine="48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8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8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80" w:firstLineChars="200"/>
        <w:rPr>
          <w:rFonts w:ascii="黑体" w:hAnsi="宋体" w:eastAsia="黑体"/>
          <w:szCs w:val="21"/>
        </w:rPr>
      </w:pPr>
      <w:r>
        <w:rPr>
          <w:rFonts w:hint="eastAsia" w:ascii="黑体" w:hAnsi="宋体" w:eastAsia="黑体"/>
          <w:szCs w:val="21"/>
        </w:rPr>
        <w:t>8．投标费用</w:t>
      </w:r>
    </w:p>
    <w:p>
      <w:pPr>
        <w:ind w:firstLine="48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pPr>
        <w:ind w:firstLine="480" w:firstLineChars="200"/>
        <w:rPr>
          <w:rFonts w:ascii="黑体" w:hAnsi="宋体" w:eastAsia="黑体"/>
          <w:szCs w:val="21"/>
        </w:rPr>
      </w:pPr>
      <w:r>
        <w:rPr>
          <w:rFonts w:hint="eastAsia" w:ascii="黑体" w:hAnsi="宋体" w:eastAsia="黑体"/>
          <w:szCs w:val="21"/>
        </w:rPr>
        <w:t>9．踏勘现场</w:t>
      </w:r>
    </w:p>
    <w:p>
      <w:pPr>
        <w:ind w:firstLine="480" w:firstLineChars="200"/>
        <w:rPr>
          <w:rFonts w:ascii="宋体" w:hAnsi="宋体"/>
          <w:szCs w:val="21"/>
        </w:rPr>
      </w:pPr>
      <w:r>
        <w:rPr>
          <w:rFonts w:hint="eastAsia" w:ascii="宋体" w:hAnsi="宋体"/>
          <w:szCs w:val="21"/>
        </w:rPr>
        <w:t>9.1如有需要（详见专用条款），采购人或</w:t>
      </w:r>
      <w:r>
        <w:rPr>
          <w:rFonts w:hint="eastAsia" w:ascii="宋体" w:hAnsi="宋体"/>
          <w:szCs w:val="21"/>
          <w:highlight w:val="yellow"/>
          <w:lang w:val="en-US" w:eastAsia="zh-CN"/>
        </w:rPr>
        <w:t>采购代理机构</w:t>
      </w:r>
      <w:r>
        <w:rPr>
          <w:rFonts w:hint="eastAsia" w:ascii="宋体" w:hAnsi="宋体"/>
          <w:szCs w:val="21"/>
        </w:rPr>
        <w:t>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8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pPr>
        <w:ind w:firstLine="480" w:firstLineChars="200"/>
        <w:rPr>
          <w:rFonts w:ascii="宋体" w:hAnsi="宋体"/>
          <w:szCs w:val="21"/>
        </w:rPr>
      </w:pPr>
      <w:r>
        <w:rPr>
          <w:rFonts w:hint="eastAsia" w:ascii="宋体" w:hAnsi="宋体"/>
          <w:szCs w:val="21"/>
        </w:rPr>
        <w:t>9.3采购人应当通过</w:t>
      </w:r>
      <w:r>
        <w:rPr>
          <w:rFonts w:hint="eastAsia" w:ascii="宋体" w:hAnsi="宋体"/>
          <w:szCs w:val="21"/>
          <w:highlight w:val="yellow"/>
          <w:lang w:val="en-US" w:eastAsia="zh-CN"/>
        </w:rPr>
        <w:t>采购代理机构</w:t>
      </w:r>
      <w:r>
        <w:rPr>
          <w:rFonts w:hint="eastAsia" w:ascii="宋体" w:hAnsi="宋体"/>
          <w:szCs w:val="21"/>
        </w:rPr>
        <w:t>向投标人提供有关现场的书面资料和数据。</w:t>
      </w:r>
    </w:p>
    <w:p>
      <w:pPr>
        <w:ind w:firstLine="480" w:firstLineChars="200"/>
        <w:rPr>
          <w:rFonts w:ascii="宋体" w:hAnsi="宋体"/>
          <w:szCs w:val="21"/>
        </w:rPr>
      </w:pPr>
      <w:r>
        <w:rPr>
          <w:rFonts w:hint="eastAsia" w:ascii="宋体" w:hAnsi="宋体"/>
          <w:szCs w:val="21"/>
        </w:rPr>
        <w:t>9.4任何人或任何组织在踏勘现场时向投标人提供的任何书面资料或口头承诺，未经</w:t>
      </w:r>
      <w:r>
        <w:rPr>
          <w:rFonts w:hint="eastAsia" w:ascii="宋体" w:hAnsi="宋体"/>
          <w:szCs w:val="21"/>
          <w:highlight w:val="yellow"/>
          <w:lang w:val="en-US" w:eastAsia="zh-CN"/>
        </w:rPr>
        <w:t>采购代理机构</w:t>
      </w:r>
      <w:r>
        <w:rPr>
          <w:rFonts w:hint="eastAsia" w:ascii="宋体" w:hAnsi="宋体"/>
          <w:szCs w:val="21"/>
        </w:rPr>
        <w:t>在网上发布或书面通知，均作无效处理。</w:t>
      </w:r>
    </w:p>
    <w:p>
      <w:pPr>
        <w:ind w:firstLine="480" w:firstLineChars="200"/>
        <w:rPr>
          <w:rFonts w:ascii="宋体" w:hAnsi="宋体"/>
          <w:szCs w:val="21"/>
        </w:rPr>
      </w:pPr>
      <w:r>
        <w:rPr>
          <w:rFonts w:hint="eastAsia" w:ascii="宋体" w:hAnsi="宋体"/>
          <w:szCs w:val="21"/>
        </w:rPr>
        <w:t>9.5未参与踏勘现场不作为否定投标人资格的理由。</w:t>
      </w:r>
    </w:p>
    <w:p>
      <w:pPr>
        <w:ind w:firstLine="480" w:firstLineChars="200"/>
        <w:rPr>
          <w:rFonts w:ascii="宋体" w:hAnsi="宋体"/>
          <w:szCs w:val="21"/>
        </w:rPr>
      </w:pPr>
      <w:r>
        <w:rPr>
          <w:rFonts w:hint="eastAsia" w:ascii="黑体" w:hAnsi="宋体" w:eastAsia="黑体"/>
          <w:szCs w:val="21"/>
        </w:rPr>
        <w:t>10．标前会议</w:t>
      </w:r>
    </w:p>
    <w:p>
      <w:pPr>
        <w:ind w:firstLine="480" w:firstLineChars="200"/>
        <w:rPr>
          <w:rFonts w:ascii="宋体" w:hAnsi="宋体"/>
          <w:szCs w:val="21"/>
        </w:rPr>
      </w:pPr>
      <w:r>
        <w:rPr>
          <w:rFonts w:hint="eastAsia" w:ascii="宋体" w:hAnsi="宋体"/>
          <w:szCs w:val="21"/>
        </w:rPr>
        <w:t>10.1如采购人或</w:t>
      </w:r>
      <w:r>
        <w:rPr>
          <w:rFonts w:hint="eastAsia" w:ascii="宋体" w:hAnsi="宋体"/>
          <w:szCs w:val="21"/>
          <w:highlight w:val="yellow"/>
          <w:lang w:val="en-US" w:eastAsia="zh-CN"/>
        </w:rPr>
        <w:t>采购代理机构</w:t>
      </w:r>
      <w:r>
        <w:rPr>
          <w:rFonts w:hint="eastAsia" w:ascii="宋体" w:hAnsi="宋体"/>
          <w:szCs w:val="21"/>
        </w:rPr>
        <w:t>认为有必要组织标前会议，投标人应按照招标文件规定的时间或</w:t>
      </w:r>
      <w:r>
        <w:rPr>
          <w:rFonts w:hint="eastAsia" w:ascii="宋体" w:hAnsi="宋体"/>
          <w:szCs w:val="21"/>
          <w:highlight w:val="yellow"/>
          <w:lang w:val="en-US" w:eastAsia="zh-CN"/>
        </w:rPr>
        <w:t>采购代理机构</w:t>
      </w:r>
      <w:r>
        <w:rPr>
          <w:rFonts w:hint="eastAsia" w:ascii="宋体" w:hAnsi="宋体"/>
          <w:szCs w:val="21"/>
        </w:rPr>
        <w:t>另行书面通知（包括</w:t>
      </w:r>
      <w:r>
        <w:rPr>
          <w:rFonts w:hint="eastAsia" w:ascii="宋体" w:hAnsi="宋体"/>
          <w:szCs w:val="21"/>
          <w:highlight w:val="yellow"/>
          <w:lang w:val="en-US" w:eastAsia="zh-CN"/>
        </w:rPr>
        <w:t>采购代理机构</w:t>
      </w:r>
      <w:r>
        <w:rPr>
          <w:rFonts w:hint="eastAsia" w:ascii="宋体" w:hAnsi="宋体"/>
          <w:szCs w:val="21"/>
        </w:rPr>
        <w:t>网站发布方式，如更正公告等）的时间和地点，参与标前会议。</w:t>
      </w:r>
    </w:p>
    <w:p>
      <w:pPr>
        <w:ind w:firstLine="480" w:firstLineChars="200"/>
        <w:rPr>
          <w:rFonts w:ascii="宋体" w:hAnsi="宋体"/>
          <w:szCs w:val="21"/>
        </w:rPr>
      </w:pPr>
      <w:r>
        <w:rPr>
          <w:rFonts w:hint="eastAsia" w:ascii="宋体" w:hAnsi="宋体"/>
          <w:szCs w:val="21"/>
        </w:rPr>
        <w:t>10.2任何人或任何组织在标前会议时向投标人提供的任何书面资料或口头承诺，未经</w:t>
      </w:r>
      <w:r>
        <w:rPr>
          <w:rFonts w:hint="eastAsia" w:ascii="宋体" w:hAnsi="宋体"/>
          <w:szCs w:val="21"/>
          <w:highlight w:val="yellow"/>
          <w:lang w:val="en-US" w:eastAsia="zh-CN"/>
        </w:rPr>
        <w:t>采购代理机构</w:t>
      </w:r>
      <w:r>
        <w:rPr>
          <w:rFonts w:hint="eastAsia" w:ascii="宋体" w:hAnsi="宋体"/>
          <w:szCs w:val="21"/>
        </w:rPr>
        <w:t>在网上发布或书面通知，均作无效处理。</w:t>
      </w:r>
    </w:p>
    <w:p>
      <w:pPr>
        <w:ind w:firstLine="480" w:firstLineChars="200"/>
        <w:rPr>
          <w:rFonts w:ascii="宋体" w:hAnsi="宋体"/>
          <w:szCs w:val="21"/>
        </w:rPr>
      </w:pPr>
      <w:r>
        <w:rPr>
          <w:rFonts w:hint="eastAsia" w:ascii="宋体" w:hAnsi="宋体"/>
          <w:szCs w:val="21"/>
        </w:rPr>
        <w:t>10.3未参与标前会议不作为否定投标人资格的理由。</w:t>
      </w:r>
    </w:p>
    <w:bookmarkEnd w:id="94"/>
    <w:p>
      <w:pPr>
        <w:ind w:firstLine="470" w:firstLineChars="196"/>
        <w:rPr>
          <w:rFonts w:ascii="宋体" w:hAnsi="宋体"/>
        </w:rPr>
      </w:pPr>
    </w:p>
    <w:p>
      <w:pPr>
        <w:pStyle w:val="52"/>
        <w:keepNext/>
        <w:keepLines/>
        <w:numPr>
          <w:ilvl w:val="0"/>
          <w:numId w:val="13"/>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招标文件</w:t>
      </w:r>
    </w:p>
    <w:p>
      <w:pPr>
        <w:ind w:firstLine="480" w:firstLineChars="200"/>
        <w:rPr>
          <w:rFonts w:ascii="黑体" w:hAnsi="宋体" w:eastAsia="黑体"/>
          <w:szCs w:val="21"/>
        </w:rPr>
      </w:pPr>
      <w:r>
        <w:rPr>
          <w:rFonts w:hint="eastAsia" w:ascii="黑体" w:hAnsi="宋体" w:eastAsia="黑体"/>
          <w:szCs w:val="21"/>
        </w:rPr>
        <w:t>11．</w:t>
      </w:r>
      <w:bookmarkStart w:id="96" w:name="_Hlk72399819"/>
      <w:r>
        <w:rPr>
          <w:rFonts w:hint="eastAsia" w:ascii="黑体" w:hAnsi="宋体" w:eastAsia="黑体"/>
          <w:szCs w:val="21"/>
        </w:rPr>
        <w:t>招标文件的编制与组成</w:t>
      </w:r>
    </w:p>
    <w:p>
      <w:pPr>
        <w:snapToGrid w:val="0"/>
        <w:ind w:firstLine="480" w:firstLineChars="200"/>
        <w:rPr>
          <w:rFonts w:ascii="宋体" w:hAnsi="宋体"/>
          <w:szCs w:val="21"/>
        </w:rPr>
      </w:pPr>
      <w:r>
        <w:rPr>
          <w:rFonts w:hint="eastAsia" w:ascii="宋体" w:hAnsi="宋体"/>
          <w:szCs w:val="21"/>
        </w:rPr>
        <w:t>11.1招标文件除以下内容外，</w:t>
      </w:r>
      <w:r>
        <w:rPr>
          <w:rFonts w:hint="eastAsia" w:ascii="宋体" w:hAnsi="宋体"/>
          <w:szCs w:val="21"/>
          <w:highlight w:val="yellow"/>
          <w:lang w:val="en-US" w:eastAsia="zh-CN"/>
        </w:rPr>
        <w:t>采购代理机构</w:t>
      </w:r>
      <w:r>
        <w:rPr>
          <w:rFonts w:hint="eastAsia" w:ascii="宋体" w:hAnsi="宋体"/>
          <w:szCs w:val="21"/>
        </w:rPr>
        <w:t>在招标期间发出的澄清或修改等相关公告或通知内容，均是招标文件的组成部分，对投标人起约束作用；</w:t>
      </w:r>
    </w:p>
    <w:p>
      <w:pPr>
        <w:ind w:firstLine="480" w:firstLineChars="200"/>
        <w:rPr>
          <w:rFonts w:ascii="宋体" w:hAnsi="宋体"/>
          <w:szCs w:val="21"/>
        </w:rPr>
      </w:pPr>
      <w:r>
        <w:rPr>
          <w:rFonts w:hint="eastAsia" w:ascii="宋体" w:hAnsi="宋体"/>
          <w:szCs w:val="21"/>
        </w:rPr>
        <w:t>招标文件包括下列内容：</w:t>
      </w:r>
    </w:p>
    <w:p>
      <w:pPr>
        <w:ind w:firstLine="480" w:firstLineChars="200"/>
        <w:rPr>
          <w:rFonts w:ascii="宋体" w:hAnsi="宋体"/>
          <w:b/>
          <w:szCs w:val="21"/>
        </w:rPr>
      </w:pPr>
      <w:r>
        <w:rPr>
          <w:rFonts w:hint="eastAsia" w:ascii="宋体" w:hAnsi="宋体"/>
          <w:b/>
          <w:szCs w:val="21"/>
        </w:rPr>
        <w:t>第一册  专用条款</w:t>
      </w:r>
    </w:p>
    <w:p>
      <w:pPr>
        <w:ind w:firstLine="480" w:firstLineChars="200"/>
        <w:rPr>
          <w:rFonts w:ascii="宋体" w:hAnsi="宋体"/>
          <w:b/>
          <w:szCs w:val="21"/>
        </w:rPr>
      </w:pPr>
      <w:r>
        <w:rPr>
          <w:rFonts w:hint="eastAsia" w:ascii="宋体" w:hAnsi="宋体"/>
          <w:b/>
          <w:szCs w:val="21"/>
        </w:rPr>
        <w:t>关键信息</w:t>
      </w:r>
    </w:p>
    <w:p>
      <w:pPr>
        <w:ind w:firstLine="480" w:firstLineChars="200"/>
        <w:rPr>
          <w:rFonts w:ascii="宋体" w:hAnsi="宋体"/>
          <w:szCs w:val="21"/>
        </w:rPr>
      </w:pPr>
      <w:r>
        <w:rPr>
          <w:rFonts w:hint="eastAsia" w:ascii="宋体" w:hAnsi="宋体"/>
          <w:szCs w:val="21"/>
        </w:rPr>
        <w:t>第一章  招标公告</w:t>
      </w:r>
    </w:p>
    <w:p>
      <w:pPr>
        <w:ind w:firstLine="480" w:firstLineChars="200"/>
        <w:rPr>
          <w:rFonts w:ascii="宋体" w:hAnsi="宋体"/>
          <w:szCs w:val="21"/>
        </w:rPr>
      </w:pPr>
      <w:r>
        <w:rPr>
          <w:rFonts w:hint="eastAsia" w:ascii="宋体" w:hAnsi="宋体"/>
          <w:szCs w:val="21"/>
        </w:rPr>
        <w:t>第二章  对通用条款的补充内容及其他关键信息</w:t>
      </w:r>
    </w:p>
    <w:p>
      <w:pPr>
        <w:ind w:firstLine="480" w:firstLineChars="200"/>
        <w:rPr>
          <w:rFonts w:ascii="宋体" w:hAnsi="宋体"/>
          <w:szCs w:val="21"/>
        </w:rPr>
      </w:pPr>
      <w:r>
        <w:rPr>
          <w:rFonts w:hint="eastAsia" w:ascii="宋体" w:hAnsi="宋体"/>
          <w:szCs w:val="21"/>
        </w:rPr>
        <w:t>第三章  用户需求书</w:t>
      </w:r>
    </w:p>
    <w:p>
      <w:pPr>
        <w:ind w:firstLine="48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pPr>
        <w:ind w:firstLine="480" w:firstLineChars="200"/>
        <w:rPr>
          <w:rFonts w:ascii="宋体" w:hAnsi="宋体"/>
          <w:szCs w:val="21"/>
        </w:rPr>
      </w:pPr>
      <w:r>
        <w:rPr>
          <w:rFonts w:hint="eastAsia" w:ascii="宋体" w:hAnsi="宋体"/>
          <w:szCs w:val="21"/>
        </w:rPr>
        <w:t>第五章  合同条款及格式</w:t>
      </w:r>
    </w:p>
    <w:p>
      <w:pPr>
        <w:ind w:firstLine="480" w:firstLineChars="200"/>
        <w:rPr>
          <w:rFonts w:ascii="宋体" w:hAnsi="宋体"/>
          <w:b/>
          <w:szCs w:val="21"/>
        </w:rPr>
      </w:pPr>
      <w:r>
        <w:rPr>
          <w:rFonts w:hint="eastAsia" w:ascii="宋体" w:hAnsi="宋体"/>
          <w:b/>
          <w:szCs w:val="21"/>
        </w:rPr>
        <w:t>第二册  通用条款</w:t>
      </w:r>
    </w:p>
    <w:p>
      <w:pPr>
        <w:ind w:firstLine="480" w:firstLineChars="200"/>
        <w:rPr>
          <w:rFonts w:ascii="宋体" w:hAnsi="宋体"/>
          <w:szCs w:val="21"/>
        </w:rPr>
      </w:pPr>
      <w:r>
        <w:rPr>
          <w:rFonts w:hint="eastAsia" w:ascii="宋体" w:hAnsi="宋体"/>
          <w:szCs w:val="21"/>
        </w:rPr>
        <w:t>第一章  总则</w:t>
      </w:r>
    </w:p>
    <w:p>
      <w:pPr>
        <w:ind w:firstLine="480" w:firstLineChars="200"/>
        <w:rPr>
          <w:rFonts w:ascii="宋体" w:hAnsi="宋体"/>
          <w:szCs w:val="21"/>
        </w:rPr>
      </w:pPr>
      <w:r>
        <w:rPr>
          <w:rFonts w:hint="eastAsia" w:ascii="宋体" w:hAnsi="宋体"/>
          <w:szCs w:val="21"/>
        </w:rPr>
        <w:t>第二章  招标文件</w:t>
      </w:r>
    </w:p>
    <w:p>
      <w:pPr>
        <w:ind w:firstLine="480" w:firstLineChars="200"/>
        <w:rPr>
          <w:rFonts w:ascii="宋体" w:hAnsi="宋体"/>
          <w:szCs w:val="21"/>
        </w:rPr>
      </w:pPr>
      <w:r>
        <w:rPr>
          <w:rFonts w:hint="eastAsia" w:ascii="宋体" w:hAnsi="宋体"/>
          <w:szCs w:val="21"/>
        </w:rPr>
        <w:t>第三章  投标文件的编制</w:t>
      </w:r>
    </w:p>
    <w:p>
      <w:pPr>
        <w:ind w:firstLine="480" w:firstLineChars="200"/>
        <w:rPr>
          <w:rFonts w:ascii="宋体" w:hAnsi="宋体"/>
          <w:szCs w:val="21"/>
        </w:rPr>
      </w:pPr>
      <w:r>
        <w:rPr>
          <w:rFonts w:hint="eastAsia" w:ascii="宋体" w:hAnsi="宋体"/>
          <w:szCs w:val="21"/>
        </w:rPr>
        <w:t>第四章  投标文件的递交</w:t>
      </w:r>
    </w:p>
    <w:p>
      <w:pPr>
        <w:ind w:firstLine="480" w:firstLineChars="200"/>
        <w:rPr>
          <w:rFonts w:ascii="宋体" w:hAnsi="宋体"/>
          <w:szCs w:val="21"/>
        </w:rPr>
      </w:pPr>
      <w:r>
        <w:rPr>
          <w:rFonts w:hint="eastAsia" w:ascii="宋体" w:hAnsi="宋体"/>
          <w:szCs w:val="21"/>
        </w:rPr>
        <w:t>第五章  开标</w:t>
      </w:r>
    </w:p>
    <w:p>
      <w:pPr>
        <w:ind w:firstLine="480" w:firstLineChars="200"/>
        <w:rPr>
          <w:rFonts w:ascii="宋体" w:hAnsi="宋体"/>
          <w:szCs w:val="21"/>
        </w:rPr>
      </w:pPr>
      <w:r>
        <w:rPr>
          <w:rFonts w:hint="eastAsia" w:ascii="宋体" w:hAnsi="宋体"/>
          <w:szCs w:val="21"/>
        </w:rPr>
        <w:t>第六章  评审要求</w:t>
      </w:r>
    </w:p>
    <w:p>
      <w:pPr>
        <w:ind w:firstLine="480" w:firstLineChars="200"/>
        <w:rPr>
          <w:rFonts w:ascii="宋体" w:hAnsi="宋体"/>
          <w:szCs w:val="21"/>
        </w:rPr>
      </w:pPr>
      <w:r>
        <w:rPr>
          <w:rFonts w:hint="eastAsia" w:ascii="宋体" w:hAnsi="宋体"/>
          <w:szCs w:val="21"/>
        </w:rPr>
        <w:t>第七章  评审程序及评审方法</w:t>
      </w:r>
    </w:p>
    <w:p>
      <w:pPr>
        <w:ind w:firstLine="480" w:firstLineChars="200"/>
        <w:rPr>
          <w:rFonts w:ascii="宋体" w:hAnsi="宋体"/>
          <w:szCs w:val="21"/>
        </w:rPr>
      </w:pPr>
      <w:r>
        <w:rPr>
          <w:rFonts w:hint="eastAsia" w:ascii="宋体" w:hAnsi="宋体"/>
          <w:szCs w:val="21"/>
        </w:rPr>
        <w:t>第八章  定标及公示</w:t>
      </w:r>
    </w:p>
    <w:p>
      <w:pPr>
        <w:ind w:firstLine="480" w:firstLineChars="200"/>
        <w:rPr>
          <w:rFonts w:ascii="宋体" w:hAnsi="宋体"/>
          <w:szCs w:val="21"/>
        </w:rPr>
      </w:pPr>
      <w:r>
        <w:rPr>
          <w:rFonts w:hint="eastAsia" w:ascii="宋体" w:hAnsi="宋体"/>
          <w:szCs w:val="21"/>
        </w:rPr>
        <w:t>第九章  公开招标失败的后续处理</w:t>
      </w:r>
    </w:p>
    <w:p>
      <w:pPr>
        <w:ind w:firstLine="480" w:firstLineChars="200"/>
        <w:rPr>
          <w:rFonts w:ascii="宋体" w:hAnsi="宋体"/>
          <w:szCs w:val="21"/>
        </w:rPr>
      </w:pPr>
      <w:r>
        <w:rPr>
          <w:rFonts w:hint="eastAsia" w:ascii="宋体" w:hAnsi="宋体"/>
          <w:szCs w:val="21"/>
        </w:rPr>
        <w:t>第十章  合同的授予与备案</w:t>
      </w:r>
    </w:p>
    <w:p>
      <w:pPr>
        <w:ind w:firstLine="480" w:firstLineChars="200"/>
        <w:rPr>
          <w:rFonts w:ascii="宋体" w:hAnsi="宋体"/>
          <w:szCs w:val="21"/>
        </w:rPr>
      </w:pPr>
      <w:r>
        <w:rPr>
          <w:rFonts w:hint="eastAsia" w:ascii="宋体" w:hAnsi="宋体"/>
          <w:szCs w:val="21"/>
        </w:rPr>
        <w:t>第十一章  质疑处理</w:t>
      </w:r>
    </w:p>
    <w:p>
      <w:pPr>
        <w:ind w:firstLine="480" w:firstLineChars="200"/>
        <w:rPr>
          <w:rFonts w:ascii="宋体" w:hAnsi="宋体"/>
          <w:szCs w:val="21"/>
        </w:rPr>
      </w:pPr>
      <w:r>
        <w:rPr>
          <w:rFonts w:hint="eastAsia" w:ascii="宋体" w:hAnsi="宋体"/>
          <w:szCs w:val="21"/>
        </w:rPr>
        <w:t>11.2 投标人下载招标文件后，应仔细检查招标文件的所有内容，如有疑问应在答疑截止时间之前向</w:t>
      </w:r>
      <w:r>
        <w:rPr>
          <w:rFonts w:hint="eastAsia" w:ascii="宋体" w:hAnsi="宋体"/>
          <w:szCs w:val="21"/>
          <w:highlight w:val="yellow"/>
          <w:lang w:val="en-US" w:eastAsia="zh-CN"/>
        </w:rPr>
        <w:t>采购代理机构</w:t>
      </w:r>
      <w:r>
        <w:rPr>
          <w:rFonts w:hint="eastAsia" w:ascii="宋体" w:hAnsi="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80" w:firstLineChars="200"/>
        <w:rPr>
          <w:rFonts w:ascii="宋体" w:hAnsi="宋体"/>
          <w:szCs w:val="21"/>
        </w:rPr>
      </w:pPr>
      <w:r>
        <w:rPr>
          <w:rFonts w:hint="eastAsia" w:ascii="宋体" w:hAnsi="宋体"/>
          <w:szCs w:val="21"/>
        </w:rPr>
        <w:t>11.3任何人或任何组织向投标人提交的任何书面或口头资料，未经</w:t>
      </w:r>
      <w:r>
        <w:rPr>
          <w:rFonts w:hint="eastAsia" w:ascii="宋体" w:hAnsi="宋体"/>
          <w:szCs w:val="21"/>
          <w:highlight w:val="yellow"/>
          <w:lang w:val="en-US" w:eastAsia="zh-CN"/>
        </w:rPr>
        <w:t>采购代理机构</w:t>
      </w:r>
      <w:r>
        <w:rPr>
          <w:rFonts w:hint="eastAsia" w:ascii="宋体" w:hAnsi="宋体"/>
          <w:szCs w:val="21"/>
        </w:rPr>
        <w:t>在网上发布或书面通知，均作无效处理，不得作为招标文件的组成部分。</w:t>
      </w:r>
      <w:r>
        <w:rPr>
          <w:rFonts w:hint="eastAsia" w:ascii="宋体" w:hAnsi="宋体"/>
          <w:szCs w:val="21"/>
          <w:highlight w:val="yellow"/>
          <w:lang w:val="en-US" w:eastAsia="zh-CN"/>
        </w:rPr>
        <w:t>采购代理机构</w:t>
      </w:r>
      <w:r>
        <w:rPr>
          <w:rFonts w:hint="eastAsia" w:ascii="宋体" w:hAnsi="宋体"/>
          <w:szCs w:val="21"/>
        </w:rPr>
        <w:t>对投标人由此而做出的推论、理解和结论概不负责。</w:t>
      </w:r>
    </w:p>
    <w:p>
      <w:pPr>
        <w:ind w:firstLine="480" w:firstLineChars="200"/>
        <w:rPr>
          <w:rFonts w:ascii="黑体" w:hAnsi="宋体" w:eastAsia="黑体"/>
          <w:szCs w:val="21"/>
        </w:rPr>
      </w:pPr>
      <w:r>
        <w:rPr>
          <w:rFonts w:hint="eastAsia" w:ascii="黑体" w:hAnsi="宋体" w:eastAsia="黑体"/>
          <w:szCs w:val="21"/>
        </w:rPr>
        <w:t>12．招标文件的澄清</w:t>
      </w:r>
    </w:p>
    <w:p>
      <w:pPr>
        <w:ind w:firstLine="48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pPr>
        <w:ind w:firstLine="480" w:firstLineChars="200"/>
        <w:rPr>
          <w:rFonts w:ascii="宋体" w:hAnsi="宋体"/>
          <w:color w:val="FF0000"/>
          <w:szCs w:val="21"/>
        </w:rPr>
      </w:pPr>
      <w:r>
        <w:rPr>
          <w:rFonts w:hint="eastAsia" w:ascii="宋体" w:hAnsi="宋体"/>
          <w:color w:val="FF0000"/>
          <w:szCs w:val="21"/>
        </w:rPr>
        <w:t>12.2投标人如对招标文件内容有疑问，应当在招标公告规定的澄清（提问）截止时间前将疑问内容加盖公章书面提交至</w:t>
      </w:r>
      <w:r>
        <w:rPr>
          <w:rFonts w:hint="eastAsia" w:ascii="宋体" w:hAnsi="宋体"/>
          <w:color w:val="FF0000"/>
          <w:szCs w:val="21"/>
          <w:highlight w:val="yellow"/>
          <w:lang w:val="en-US" w:eastAsia="zh-CN"/>
        </w:rPr>
        <w:t>采购代理机构</w:t>
      </w:r>
      <w:r>
        <w:rPr>
          <w:rFonts w:hint="eastAsia" w:ascii="宋体" w:hAnsi="宋体"/>
          <w:color w:val="FF0000"/>
          <w:szCs w:val="21"/>
        </w:rPr>
        <w:t>。</w:t>
      </w:r>
    </w:p>
    <w:p>
      <w:pPr>
        <w:ind w:firstLine="480" w:firstLineChars="200"/>
        <w:rPr>
          <w:rFonts w:ascii="宋体" w:hAnsi="宋体"/>
          <w:szCs w:val="21"/>
        </w:rPr>
      </w:pPr>
      <w:r>
        <w:rPr>
          <w:rFonts w:hint="eastAsia" w:ascii="宋体" w:hAnsi="宋体"/>
          <w:szCs w:val="21"/>
        </w:rPr>
        <w:t>12.3不论是</w:t>
      </w:r>
      <w:r>
        <w:rPr>
          <w:rFonts w:hint="eastAsia" w:ascii="宋体" w:hAnsi="宋体"/>
          <w:szCs w:val="21"/>
          <w:highlight w:val="yellow"/>
          <w:lang w:val="en-US" w:eastAsia="zh-CN"/>
        </w:rPr>
        <w:t>采购代理机构</w:t>
      </w:r>
      <w:r>
        <w:rPr>
          <w:rFonts w:hint="eastAsia" w:ascii="宋体" w:hAnsi="宋体"/>
          <w:szCs w:val="21"/>
        </w:rPr>
        <w:t>根据需要主动对招标文件进行必要的澄清或是根据投标人的要求对招标文件做出澄清，</w:t>
      </w:r>
      <w:r>
        <w:rPr>
          <w:rFonts w:hint="eastAsia" w:ascii="宋体" w:hAnsi="宋体"/>
          <w:szCs w:val="21"/>
          <w:highlight w:val="yellow"/>
          <w:lang w:val="en-US" w:eastAsia="zh-CN"/>
        </w:rPr>
        <w:t>采购代理机构</w:t>
      </w:r>
      <w:r>
        <w:rPr>
          <w:rFonts w:hint="eastAsia" w:ascii="宋体" w:hAnsi="宋体"/>
          <w:szCs w:val="21"/>
        </w:rPr>
        <w:t>都将在投标截止日期前以书面形式（包括</w:t>
      </w:r>
      <w:r>
        <w:rPr>
          <w:rFonts w:hint="eastAsia" w:ascii="宋体" w:hAnsi="宋体"/>
          <w:szCs w:val="21"/>
          <w:highlight w:val="yellow"/>
          <w:lang w:val="en-US" w:eastAsia="zh-CN"/>
        </w:rPr>
        <w:t>采购代理机构</w:t>
      </w:r>
      <w:r>
        <w:rPr>
          <w:rFonts w:hint="eastAsia" w:ascii="宋体" w:hAnsi="宋体"/>
          <w:szCs w:val="21"/>
        </w:rPr>
        <w:t>网站发布方式）答复或发送给所有投标人。答复内容是招标文件的组成部分，对投标人起约束作用，其有效性按照本通用条款第13.3、13.4款规定执行。</w:t>
      </w:r>
    </w:p>
    <w:p>
      <w:pPr>
        <w:ind w:firstLine="480" w:firstLineChars="200"/>
        <w:rPr>
          <w:rFonts w:ascii="黑体" w:hAnsi="宋体" w:eastAsia="黑体"/>
          <w:szCs w:val="21"/>
        </w:rPr>
      </w:pPr>
      <w:r>
        <w:rPr>
          <w:rFonts w:hint="eastAsia" w:ascii="黑体" w:hAnsi="宋体" w:eastAsia="黑体"/>
          <w:szCs w:val="21"/>
        </w:rPr>
        <w:t>13．招标文件的修改</w:t>
      </w:r>
    </w:p>
    <w:p>
      <w:pPr>
        <w:ind w:firstLine="480" w:firstLineChars="200"/>
        <w:rPr>
          <w:rFonts w:ascii="宋体" w:hAnsi="宋体"/>
          <w:szCs w:val="21"/>
        </w:rPr>
      </w:pPr>
      <w:r>
        <w:rPr>
          <w:rFonts w:hint="eastAsia" w:ascii="宋体" w:hAnsi="宋体"/>
          <w:szCs w:val="21"/>
        </w:rPr>
        <w:t>13.1招标文件发出后，在投标截止日期前任何时候，确需要变更招标文件内容的，</w:t>
      </w:r>
      <w:r>
        <w:rPr>
          <w:rFonts w:hint="eastAsia" w:ascii="宋体" w:hAnsi="宋体"/>
          <w:szCs w:val="21"/>
          <w:highlight w:val="yellow"/>
          <w:lang w:val="en-US" w:eastAsia="zh-CN"/>
        </w:rPr>
        <w:t>采购代理机构</w:t>
      </w:r>
      <w:r>
        <w:rPr>
          <w:rFonts w:hint="eastAsia" w:ascii="宋体" w:hAnsi="宋体"/>
          <w:szCs w:val="21"/>
        </w:rPr>
        <w:t>可主动或在解答投标人提出的澄清问题时对招标文件进行修改。</w:t>
      </w:r>
    </w:p>
    <w:p>
      <w:pPr>
        <w:ind w:firstLine="480" w:firstLineChars="200"/>
        <w:rPr>
          <w:rFonts w:ascii="宋体" w:hAnsi="宋体"/>
          <w:szCs w:val="21"/>
        </w:rPr>
      </w:pPr>
      <w:r>
        <w:rPr>
          <w:rFonts w:hint="eastAsia" w:ascii="宋体" w:hAnsi="宋体"/>
          <w:szCs w:val="21"/>
        </w:rPr>
        <w:t>13.2招标文件的修改以书面形式（包括</w:t>
      </w:r>
      <w:r>
        <w:rPr>
          <w:rFonts w:hint="eastAsia" w:ascii="宋体" w:hAnsi="宋体"/>
          <w:szCs w:val="21"/>
          <w:highlight w:val="yellow"/>
          <w:lang w:val="en-US" w:eastAsia="zh-CN"/>
        </w:rPr>
        <w:t>采购代理机构</w:t>
      </w:r>
      <w:r>
        <w:rPr>
          <w:rFonts w:hint="eastAsia" w:ascii="宋体" w:hAnsi="宋体"/>
          <w:szCs w:val="21"/>
        </w:rPr>
        <w:t>网站发布方式，如更正公告等）发送给所有投标人，招标文件的修改内容作为招标文件的组成部分，并具有约束力。</w:t>
      </w:r>
    </w:p>
    <w:p>
      <w:pPr>
        <w:ind w:firstLine="480" w:firstLineChars="200"/>
        <w:rPr>
          <w:rFonts w:ascii="宋体" w:hAnsi="宋体"/>
          <w:szCs w:val="21"/>
        </w:rPr>
      </w:pPr>
      <w:r>
        <w:rPr>
          <w:rFonts w:hint="eastAsia" w:ascii="宋体" w:hAnsi="宋体"/>
          <w:szCs w:val="21"/>
        </w:rPr>
        <w:t>13.3招标文件、招标文件澄清答复内容、招标文件修改补充内容均以书面形式（包括</w:t>
      </w:r>
      <w:r>
        <w:rPr>
          <w:rFonts w:hint="eastAsia" w:ascii="宋体" w:hAnsi="宋体"/>
          <w:szCs w:val="21"/>
          <w:highlight w:val="yellow"/>
          <w:lang w:val="en-US" w:eastAsia="zh-CN"/>
        </w:rPr>
        <w:t>采购代理机构</w:t>
      </w:r>
      <w:r>
        <w:rPr>
          <w:rFonts w:hint="eastAsia" w:ascii="宋体" w:hAnsi="宋体"/>
          <w:szCs w:val="21"/>
        </w:rPr>
        <w:t>网站公开发布方式，如更正公告等）明确的内容为准。当招标文件、修改补充通知、招标文件澄清答复内容相互矛盾时，以最后发出的内容为准。</w:t>
      </w:r>
    </w:p>
    <w:p>
      <w:pPr>
        <w:ind w:firstLine="480" w:firstLineChars="200"/>
        <w:rPr>
          <w:rFonts w:ascii="宋体" w:hAnsi="宋体"/>
          <w:szCs w:val="21"/>
        </w:rPr>
      </w:pPr>
      <w:r>
        <w:rPr>
          <w:rFonts w:hint="eastAsia" w:ascii="宋体" w:hAnsi="宋体"/>
          <w:szCs w:val="21"/>
        </w:rPr>
        <w:t>13.4</w:t>
      </w:r>
      <w:r>
        <w:rPr>
          <w:rFonts w:hint="eastAsia" w:ascii="宋体" w:hAnsi="宋体"/>
          <w:szCs w:val="21"/>
          <w:highlight w:val="yellow"/>
          <w:lang w:val="en-US" w:eastAsia="zh-CN"/>
        </w:rPr>
        <w:t>采购代理机构</w:t>
      </w:r>
      <w:r>
        <w:rPr>
          <w:rFonts w:hint="eastAsia" w:ascii="宋体" w:hAnsi="宋体"/>
          <w:szCs w:val="21"/>
        </w:rPr>
        <w:t>保证招标文件澄清答复内容和招标文件修改补充内容在投标截止时间前以书面形式（包括</w:t>
      </w:r>
      <w:r>
        <w:rPr>
          <w:rFonts w:hint="eastAsia" w:ascii="宋体" w:hAnsi="宋体"/>
          <w:szCs w:val="21"/>
          <w:highlight w:val="yellow"/>
          <w:lang w:val="en-US" w:eastAsia="zh-CN"/>
        </w:rPr>
        <w:t>采购代理机构</w:t>
      </w:r>
      <w:r>
        <w:rPr>
          <w:rFonts w:hint="eastAsia" w:ascii="宋体" w:hAnsi="宋体"/>
          <w:szCs w:val="21"/>
        </w:rPr>
        <w:t>网站发布方式，如更正公告等）发送给所有投标人。为使投标人在编制投标文件时有充分时间对招标文件的修改部分进行研究，</w:t>
      </w:r>
      <w:r>
        <w:rPr>
          <w:rFonts w:hint="eastAsia" w:ascii="宋体" w:hAnsi="宋体"/>
          <w:szCs w:val="21"/>
          <w:highlight w:val="yellow"/>
          <w:lang w:val="en-US" w:eastAsia="zh-CN"/>
        </w:rPr>
        <w:t>采购代理机构</w:t>
      </w:r>
      <w:r>
        <w:rPr>
          <w:rFonts w:hint="eastAsia" w:ascii="宋体" w:hAnsi="宋体"/>
          <w:szCs w:val="21"/>
        </w:rPr>
        <w:t>可以酌情延长递交投标文件的截止日期。</w:t>
      </w:r>
      <w:bookmarkEnd w:id="96"/>
    </w:p>
    <w:p>
      <w:pPr>
        <w:rPr>
          <w:rFonts w:ascii="宋体" w:hAnsi="宋体"/>
          <w:szCs w:val="21"/>
        </w:rPr>
      </w:pPr>
    </w:p>
    <w:p>
      <w:pPr>
        <w:pStyle w:val="52"/>
        <w:keepNext/>
        <w:keepLines/>
        <w:numPr>
          <w:ilvl w:val="0"/>
          <w:numId w:val="13"/>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pPr>
        <w:ind w:firstLine="480" w:firstLineChars="200"/>
        <w:rPr>
          <w:rFonts w:ascii="黑体" w:hAnsi="宋体" w:eastAsia="黑体"/>
          <w:szCs w:val="21"/>
        </w:rPr>
      </w:pPr>
      <w:r>
        <w:rPr>
          <w:rFonts w:hint="eastAsia" w:ascii="黑体" w:hAnsi="宋体" w:eastAsia="黑体"/>
          <w:szCs w:val="21"/>
        </w:rPr>
        <w:t>14．</w:t>
      </w:r>
      <w:bookmarkStart w:id="97" w:name="_Hlk72400236"/>
      <w:r>
        <w:rPr>
          <w:rFonts w:hint="eastAsia" w:ascii="黑体" w:hAnsi="宋体" w:eastAsia="黑体"/>
          <w:szCs w:val="21"/>
        </w:rPr>
        <w:t>投标文件的语言及度量单位</w:t>
      </w:r>
    </w:p>
    <w:p>
      <w:pPr>
        <w:ind w:firstLine="480" w:firstLineChars="200"/>
        <w:rPr>
          <w:rFonts w:ascii="宋体" w:hAnsi="宋体"/>
          <w:szCs w:val="21"/>
        </w:rPr>
      </w:pPr>
      <w:r>
        <w:rPr>
          <w:rFonts w:hint="eastAsia" w:ascii="宋体" w:hAnsi="宋体"/>
          <w:szCs w:val="21"/>
        </w:rPr>
        <w:t>14.1 投标人与</w:t>
      </w:r>
      <w:r>
        <w:rPr>
          <w:rFonts w:hint="eastAsia" w:ascii="宋体" w:hAnsi="宋体"/>
          <w:szCs w:val="21"/>
          <w:highlight w:val="yellow"/>
          <w:lang w:val="en-US" w:eastAsia="zh-CN"/>
        </w:rPr>
        <w:t>采购代理机构</w:t>
      </w:r>
      <w:r>
        <w:rPr>
          <w:rFonts w:hint="eastAsia" w:ascii="宋体" w:hAnsi="宋体"/>
          <w:szCs w:val="21"/>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8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97"/>
    <w:p>
      <w:pPr>
        <w:ind w:firstLine="480" w:firstLineChars="200"/>
        <w:rPr>
          <w:rFonts w:ascii="黑体" w:hAnsi="宋体" w:eastAsia="黑体"/>
          <w:szCs w:val="21"/>
        </w:rPr>
      </w:pPr>
      <w:r>
        <w:rPr>
          <w:rFonts w:hint="eastAsia" w:ascii="黑体" w:hAnsi="宋体" w:eastAsia="黑体"/>
          <w:szCs w:val="21"/>
        </w:rPr>
        <w:t>15．</w:t>
      </w:r>
      <w:bookmarkStart w:id="98" w:name="_Hlk72401567"/>
      <w:r>
        <w:rPr>
          <w:rFonts w:hint="eastAsia" w:ascii="黑体" w:hAnsi="宋体" w:eastAsia="黑体"/>
          <w:szCs w:val="21"/>
        </w:rPr>
        <w:t>投标文件的组成</w:t>
      </w:r>
    </w:p>
    <w:p>
      <w:pPr>
        <w:ind w:firstLine="480" w:firstLineChars="200"/>
        <w:rPr>
          <w:rFonts w:ascii="宋体" w:hAnsi="宋体"/>
          <w:szCs w:val="21"/>
        </w:rPr>
      </w:pPr>
      <w:r>
        <w:rPr>
          <w:rFonts w:hint="eastAsia" w:ascii="宋体" w:hAnsi="宋体"/>
          <w:szCs w:val="21"/>
        </w:rPr>
        <w:t>具体内容在招标文件专用条款中进行规定。</w:t>
      </w:r>
    </w:p>
    <w:p>
      <w:pPr>
        <w:ind w:firstLine="480" w:firstLineChars="200"/>
        <w:rPr>
          <w:rFonts w:ascii="黑体" w:hAnsi="宋体" w:eastAsia="黑体"/>
          <w:szCs w:val="21"/>
        </w:rPr>
      </w:pPr>
      <w:r>
        <w:rPr>
          <w:rFonts w:hint="eastAsia" w:ascii="黑体" w:hAnsi="宋体" w:eastAsia="黑体"/>
          <w:szCs w:val="21"/>
        </w:rPr>
        <w:t>16．投标文件格式</w:t>
      </w:r>
    </w:p>
    <w:p>
      <w:pPr>
        <w:ind w:firstLine="48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ind w:firstLine="480" w:firstLineChars="200"/>
        <w:rPr>
          <w:rFonts w:ascii="黑体" w:hAnsi="宋体" w:eastAsia="黑体"/>
          <w:szCs w:val="21"/>
        </w:rPr>
      </w:pPr>
      <w:r>
        <w:rPr>
          <w:rFonts w:hint="eastAsia" w:ascii="黑体" w:hAnsi="宋体" w:eastAsia="黑体"/>
          <w:szCs w:val="21"/>
        </w:rPr>
        <w:t>17．投标货币</w:t>
      </w:r>
    </w:p>
    <w:p>
      <w:pPr>
        <w:ind w:firstLine="480" w:firstLineChars="200"/>
        <w:rPr>
          <w:rFonts w:ascii="宋体" w:hAnsi="宋体"/>
          <w:szCs w:val="21"/>
        </w:rPr>
      </w:pPr>
      <w:r>
        <w:rPr>
          <w:rFonts w:hint="eastAsia" w:ascii="宋体" w:hAnsi="宋体"/>
          <w:szCs w:val="21"/>
        </w:rPr>
        <w:t>本项目的投标报价应以人民币计。</w:t>
      </w:r>
    </w:p>
    <w:bookmarkEnd w:id="98"/>
    <w:p>
      <w:pPr>
        <w:ind w:firstLine="480" w:firstLineChars="200"/>
        <w:rPr>
          <w:rFonts w:ascii="黑体" w:hAnsi="宋体" w:eastAsia="黑体"/>
          <w:szCs w:val="21"/>
        </w:rPr>
      </w:pPr>
      <w:r>
        <w:rPr>
          <w:rFonts w:hint="eastAsia" w:ascii="黑体" w:hAnsi="宋体" w:eastAsia="黑体"/>
          <w:szCs w:val="21"/>
        </w:rPr>
        <w:t>18．</w:t>
      </w:r>
      <w:bookmarkStart w:id="99" w:name="_Hlk72401735"/>
      <w:r>
        <w:rPr>
          <w:rFonts w:hint="eastAsia" w:ascii="黑体" w:hAnsi="宋体" w:eastAsia="黑体"/>
          <w:szCs w:val="21"/>
        </w:rPr>
        <w:t>证明投标文件投标技术方案的合格性和符合招标文件规定的文件要求</w:t>
      </w:r>
    </w:p>
    <w:p>
      <w:pPr>
        <w:ind w:firstLine="48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pPr>
        <w:ind w:firstLine="48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80" w:firstLineChars="200"/>
        <w:rPr>
          <w:rFonts w:ascii="宋体" w:hAnsi="宋体"/>
          <w:szCs w:val="21"/>
        </w:rPr>
      </w:pPr>
      <w:r>
        <w:rPr>
          <w:rFonts w:hint="eastAsia" w:ascii="宋体" w:hAnsi="宋体"/>
          <w:szCs w:val="21"/>
        </w:rPr>
        <w:t>18.2.1主要技术指标和性能的详细说明。</w:t>
      </w:r>
    </w:p>
    <w:p>
      <w:pPr>
        <w:ind w:firstLine="48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pPr>
        <w:ind w:firstLine="48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8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8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8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8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pPr>
        <w:ind w:firstLine="48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99"/>
    <w:p>
      <w:pPr>
        <w:ind w:firstLine="480" w:firstLineChars="200"/>
        <w:rPr>
          <w:rFonts w:ascii="黑体" w:hAnsi="宋体" w:eastAsia="黑体"/>
          <w:szCs w:val="21"/>
        </w:rPr>
      </w:pPr>
      <w:r>
        <w:rPr>
          <w:rFonts w:hint="eastAsia" w:ascii="黑体" w:hAnsi="宋体" w:eastAsia="黑体"/>
          <w:szCs w:val="21"/>
        </w:rPr>
        <w:t>19．</w:t>
      </w:r>
      <w:bookmarkStart w:id="100" w:name="_Hlk72402034"/>
      <w:r>
        <w:rPr>
          <w:rFonts w:hint="eastAsia" w:ascii="黑体" w:hAnsi="宋体" w:eastAsia="黑体"/>
          <w:szCs w:val="21"/>
        </w:rPr>
        <w:t>投标文件其他证明文件的要求</w:t>
      </w:r>
    </w:p>
    <w:p>
      <w:pPr>
        <w:ind w:firstLine="48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101" w:name="_Hlk71407299"/>
    </w:p>
    <w:bookmarkEnd w:id="101"/>
    <w:p>
      <w:pPr>
        <w:ind w:firstLine="48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80" w:firstLineChars="200"/>
        <w:rPr>
          <w:rFonts w:ascii="黑体" w:hAnsi="宋体" w:eastAsia="黑体"/>
          <w:szCs w:val="21"/>
        </w:rPr>
      </w:pPr>
      <w:r>
        <w:rPr>
          <w:rFonts w:hint="eastAsia" w:ascii="黑体" w:hAnsi="宋体" w:eastAsia="黑体"/>
          <w:szCs w:val="21"/>
        </w:rPr>
        <w:t>20．投标有效期</w:t>
      </w:r>
    </w:p>
    <w:bookmarkEnd w:id="100"/>
    <w:p>
      <w:pPr>
        <w:ind w:firstLine="480" w:firstLineChars="200"/>
        <w:rPr>
          <w:rFonts w:ascii="宋体" w:hAnsi="宋体"/>
          <w:szCs w:val="21"/>
        </w:rPr>
      </w:pPr>
      <w:bookmarkStart w:id="102"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80" w:firstLineChars="200"/>
        <w:rPr>
          <w:rFonts w:ascii="宋体" w:hAnsi="宋体"/>
          <w:szCs w:val="21"/>
        </w:rPr>
      </w:pPr>
      <w:r>
        <w:rPr>
          <w:rFonts w:hint="eastAsia" w:ascii="宋体" w:hAnsi="宋体"/>
          <w:szCs w:val="21"/>
        </w:rPr>
        <w:t>20.2 在特殊情况下，</w:t>
      </w:r>
      <w:r>
        <w:rPr>
          <w:rFonts w:hint="eastAsia" w:ascii="宋体" w:hAnsi="宋体"/>
          <w:szCs w:val="21"/>
          <w:highlight w:val="yellow"/>
          <w:lang w:val="en-US" w:eastAsia="zh-CN"/>
        </w:rPr>
        <w:t>采购代理机构</w:t>
      </w:r>
      <w:r>
        <w:rPr>
          <w:rFonts w:hint="eastAsia" w:ascii="宋体" w:hAnsi="宋体"/>
          <w:szCs w:val="21"/>
        </w:rPr>
        <w:t>在原定的投标有效期满之前，</w:t>
      </w:r>
      <w:r>
        <w:rPr>
          <w:rFonts w:hint="eastAsia" w:ascii="宋体" w:hAnsi="宋体"/>
          <w:szCs w:val="21"/>
          <w:highlight w:val="yellow"/>
          <w:lang w:val="en-US" w:eastAsia="zh-CN"/>
        </w:rPr>
        <w:t>采购代理机构</w:t>
      </w:r>
      <w:r>
        <w:rPr>
          <w:rFonts w:hint="eastAsia" w:ascii="宋体" w:hAnsi="宋体"/>
          <w:szCs w:val="21"/>
        </w:rPr>
        <w:t>可以根据需要以书面形式（包括</w:t>
      </w:r>
      <w:r>
        <w:rPr>
          <w:rFonts w:hint="eastAsia" w:ascii="宋体" w:hAnsi="宋体"/>
          <w:szCs w:val="21"/>
          <w:highlight w:val="yellow"/>
          <w:lang w:val="en-US" w:eastAsia="zh-CN"/>
        </w:rPr>
        <w:t>采购代理机构</w:t>
      </w:r>
      <w:r>
        <w:rPr>
          <w:rFonts w:hint="eastAsia" w:ascii="宋体" w:hAnsi="宋体"/>
          <w:szCs w:val="21"/>
        </w:rPr>
        <w:t>网站公开发布方式）向投标人提出延长投标有效期的要求，对此要求投标人须以书面形式予以答复，投标人可以拒绝</w:t>
      </w:r>
      <w:r>
        <w:rPr>
          <w:rFonts w:hint="eastAsia" w:ascii="宋体" w:hAnsi="宋体"/>
          <w:szCs w:val="21"/>
          <w:highlight w:val="yellow"/>
          <w:lang w:val="en-US" w:eastAsia="zh-CN"/>
        </w:rPr>
        <w:t>采购代理机构</w:t>
      </w:r>
      <w:r>
        <w:rPr>
          <w:rFonts w:hint="eastAsia" w:ascii="宋体" w:hAnsi="宋体"/>
          <w:szCs w:val="21"/>
        </w:rPr>
        <w:t>此项要求，其投标在原投标有效期满后不再有效。同意延长投标有效期的投标人不能要求也不允许修改其投标文件。</w:t>
      </w:r>
    </w:p>
    <w:p>
      <w:pPr>
        <w:ind w:firstLine="48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102"/>
    <w:p>
      <w:pPr>
        <w:ind w:firstLine="480" w:firstLineChars="200"/>
        <w:rPr>
          <w:rFonts w:ascii="黑体" w:hAnsi="宋体" w:eastAsia="黑体"/>
          <w:szCs w:val="21"/>
        </w:rPr>
      </w:pPr>
      <w:r>
        <w:rPr>
          <w:rFonts w:hint="eastAsia" w:ascii="黑体" w:hAnsi="宋体" w:eastAsia="黑体"/>
          <w:szCs w:val="21"/>
        </w:rPr>
        <w:t>21．</w:t>
      </w:r>
      <w:bookmarkStart w:id="103" w:name="_Hlk72402325"/>
      <w:r>
        <w:rPr>
          <w:rFonts w:hint="eastAsia" w:ascii="黑体" w:hAnsi="宋体" w:eastAsia="黑体"/>
          <w:szCs w:val="21"/>
        </w:rPr>
        <w:t xml:space="preserve">关于投标保证金 </w:t>
      </w:r>
    </w:p>
    <w:p>
      <w:pPr>
        <w:ind w:firstLine="48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pPr>
        <w:ind w:firstLine="480" w:firstLineChars="200"/>
        <w:rPr>
          <w:rFonts w:ascii="黑体" w:hAnsi="宋体" w:eastAsia="黑体"/>
          <w:szCs w:val="21"/>
        </w:rPr>
      </w:pPr>
      <w:r>
        <w:rPr>
          <w:rFonts w:hint="eastAsia" w:ascii="黑体" w:hAnsi="宋体" w:eastAsia="黑体"/>
          <w:szCs w:val="21"/>
        </w:rPr>
        <w:t>22．投标人的替代方案</w:t>
      </w:r>
    </w:p>
    <w:p>
      <w:pPr>
        <w:ind w:firstLine="48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8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3"/>
    <w:p>
      <w:pPr>
        <w:ind w:firstLine="480" w:firstLineChars="200"/>
        <w:rPr>
          <w:rFonts w:ascii="黑体" w:hAnsi="宋体" w:eastAsia="黑体"/>
          <w:szCs w:val="21"/>
        </w:rPr>
      </w:pPr>
      <w:r>
        <w:rPr>
          <w:rFonts w:hint="eastAsia" w:ascii="黑体" w:hAnsi="宋体" w:eastAsia="黑体"/>
          <w:szCs w:val="21"/>
        </w:rPr>
        <w:t>23．</w:t>
      </w:r>
      <w:bookmarkStart w:id="104" w:name="_Hlk72402860"/>
      <w:r>
        <w:rPr>
          <w:rFonts w:hint="eastAsia" w:ascii="黑体" w:hAnsi="宋体" w:eastAsia="黑体"/>
          <w:szCs w:val="21"/>
        </w:rPr>
        <w:t>投标文件的制作要求</w:t>
      </w:r>
    </w:p>
    <w:p>
      <w:pPr>
        <w:ind w:firstLine="480" w:firstLineChars="200"/>
        <w:rPr>
          <w:rFonts w:ascii="宋体" w:hAnsi="宋体"/>
          <w:szCs w:val="21"/>
        </w:rPr>
      </w:pPr>
      <w:r>
        <w:rPr>
          <w:rFonts w:hint="eastAsia" w:ascii="宋体" w:hAnsi="宋体"/>
          <w:szCs w:val="21"/>
        </w:rPr>
        <w:t>23.1投标人应准备所投项目的电子投标文件一份。</w:t>
      </w:r>
    </w:p>
    <w:p>
      <w:pPr>
        <w:ind w:firstLine="480" w:firstLineChars="200"/>
        <w:rPr>
          <w:rFonts w:ascii="宋体" w:hAnsi="宋体"/>
          <w:szCs w:val="21"/>
        </w:rPr>
      </w:pPr>
      <w:r>
        <w:rPr>
          <w:rFonts w:hint="eastAsia" w:ascii="宋体" w:hAnsi="宋体"/>
          <w:szCs w:val="21"/>
        </w:rPr>
        <w:t>23.2投标人在使用《投标书编制软件》编制投标书时须注意：</w:t>
      </w:r>
    </w:p>
    <w:p>
      <w:pPr>
        <w:ind w:firstLine="48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pPr>
        <w:ind w:firstLine="48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pPr>
        <w:ind w:firstLine="480" w:firstLineChars="200"/>
        <w:rPr>
          <w:rFonts w:ascii="宋体" w:hAnsi="宋体"/>
          <w:szCs w:val="21"/>
        </w:rPr>
      </w:pPr>
      <w:r>
        <w:rPr>
          <w:rFonts w:hint="eastAsia" w:ascii="宋体" w:hAnsi="宋体"/>
          <w:szCs w:val="21"/>
        </w:rPr>
        <w:t>23.2.3要求用《投标书编制软件》编制投标书的包，不能用其它方式编制投标书。编制投标文件时，电脑须连通互联网。</w:t>
      </w:r>
    </w:p>
    <w:p>
      <w:pPr>
        <w:ind w:firstLine="480" w:firstLineChars="200"/>
        <w:rPr>
          <w:rFonts w:ascii="宋体" w:hAnsi="宋体"/>
          <w:szCs w:val="21"/>
        </w:rPr>
      </w:pPr>
      <w:r>
        <w:rPr>
          <w:rFonts w:hint="eastAsia" w:ascii="宋体" w:hAnsi="宋体"/>
          <w:szCs w:val="21"/>
        </w:rPr>
        <w:t>23.2.4投标文件不能带病毒。</w:t>
      </w:r>
      <w:r>
        <w:rPr>
          <w:rFonts w:hint="eastAsia" w:ascii="宋体" w:hAnsi="宋体"/>
          <w:szCs w:val="21"/>
          <w:highlight w:val="yellow"/>
          <w:lang w:val="en-US" w:eastAsia="zh-CN"/>
        </w:rPr>
        <w:t>采购代理机构</w:t>
      </w:r>
      <w:r>
        <w:rPr>
          <w:rFonts w:hint="eastAsia" w:ascii="宋体" w:hAnsi="宋体"/>
          <w:szCs w:val="21"/>
        </w:rPr>
        <w:t>将用专业杀毒软件对投标文件进行病毒检测，如果这两种软件均报告发现病毒，则</w:t>
      </w:r>
      <w:r>
        <w:rPr>
          <w:rFonts w:hint="eastAsia" w:ascii="宋体" w:hAnsi="宋体"/>
          <w:szCs w:val="21"/>
          <w:highlight w:val="yellow"/>
          <w:lang w:val="en-US" w:eastAsia="zh-CN"/>
        </w:rPr>
        <w:t>采购代理机构</w:t>
      </w:r>
      <w:r>
        <w:rPr>
          <w:rFonts w:hint="eastAsia" w:ascii="宋体" w:hAnsi="宋体"/>
          <w:szCs w:val="21"/>
        </w:rPr>
        <w:t>认为该投标文件带病毒。</w:t>
      </w:r>
    </w:p>
    <w:p>
      <w:pPr>
        <w:ind w:firstLine="480" w:firstLineChars="200"/>
        <w:rPr>
          <w:rFonts w:ascii="宋体" w:hAnsi="宋体"/>
          <w:szCs w:val="21"/>
        </w:rPr>
      </w:pPr>
      <w:r>
        <w:rPr>
          <w:rFonts w:hint="eastAsia" w:ascii="宋体" w:hAnsi="宋体"/>
          <w:szCs w:val="21"/>
        </w:rPr>
        <w:t>23.2.6投标人在编辑投标文件时，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pPr>
        <w:ind w:firstLine="480" w:firstLineChars="200"/>
        <w:rPr>
          <w:rFonts w:ascii="宋体" w:hAnsi="宋体"/>
          <w:szCs w:val="21"/>
        </w:rPr>
      </w:pPr>
      <w:r>
        <w:rPr>
          <w:rFonts w:hint="eastAsia" w:ascii="宋体" w:hAnsi="宋体"/>
          <w:szCs w:val="21"/>
        </w:rPr>
        <w:t>23.2.</w:t>
      </w:r>
      <w:r>
        <w:rPr>
          <w:rFonts w:hint="eastAsia" w:ascii="宋体" w:hAnsi="宋体"/>
          <w:szCs w:val="21"/>
          <w:lang w:val="en-US" w:eastAsia="zh-CN"/>
        </w:rPr>
        <w:t>7</w:t>
      </w:r>
      <w:r>
        <w:rPr>
          <w:rFonts w:hint="eastAsia" w:ascii="宋体" w:hAnsi="宋体"/>
          <w:szCs w:val="21"/>
          <w:highlight w:val="yellow"/>
          <w:lang w:val="en-US" w:eastAsia="zh-CN"/>
        </w:rPr>
        <w:t>采购代理机构</w:t>
      </w:r>
      <w:r>
        <w:rPr>
          <w:rFonts w:hint="eastAsia" w:ascii="宋体" w:hAnsi="宋体"/>
          <w:szCs w:val="21"/>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yellow"/>
          <w:lang w:val="en-US" w:eastAsia="zh-CN"/>
        </w:rPr>
        <w:t>采购代理机构</w:t>
      </w:r>
      <w:r>
        <w:rPr>
          <w:rFonts w:hint="eastAsia" w:ascii="宋体" w:hAnsi="宋体"/>
          <w:szCs w:val="21"/>
        </w:rPr>
        <w:t>概不负责。建议于开标前一个工作日完成投标文件的制作与上传，如上传确有困难，请及时咨询。</w:t>
      </w:r>
    </w:p>
    <w:p>
      <w:pPr>
        <w:ind w:firstLine="480" w:firstLineChars="200"/>
        <w:rPr>
          <w:rFonts w:ascii="宋体" w:hAnsi="宋体"/>
          <w:szCs w:val="21"/>
        </w:rPr>
      </w:pPr>
      <w:r>
        <w:rPr>
          <w:rFonts w:hint="eastAsia" w:ascii="宋体" w:hAnsi="宋体"/>
          <w:szCs w:val="21"/>
        </w:rPr>
        <w:t>23.2.</w:t>
      </w:r>
      <w:r>
        <w:rPr>
          <w:rFonts w:hint="eastAsia" w:ascii="宋体" w:hAnsi="宋体"/>
          <w:szCs w:val="21"/>
          <w:lang w:val="en-US" w:eastAsia="zh-CN"/>
        </w:rPr>
        <w:t>8</w:t>
      </w:r>
      <w:r>
        <w:rPr>
          <w:rFonts w:hint="eastAsia" w:ascii="宋体" w:hAnsi="宋体"/>
          <w:szCs w:val="21"/>
        </w:rPr>
        <w:t>如果开标时出现网络故障、技术故障，影响了采购活动，</w:t>
      </w:r>
      <w:r>
        <w:rPr>
          <w:rFonts w:hint="eastAsia" w:ascii="宋体" w:hAnsi="宋体"/>
          <w:szCs w:val="21"/>
          <w:highlight w:val="yellow"/>
          <w:lang w:val="en-US" w:eastAsia="zh-CN"/>
        </w:rPr>
        <w:t>采购代理机构</w:t>
      </w:r>
      <w:r>
        <w:rPr>
          <w:rFonts w:hint="eastAsia" w:ascii="宋体" w:hAnsi="宋体"/>
          <w:szCs w:val="21"/>
        </w:rPr>
        <w:t>有权采取措施如延期、接受无法从网上上传的投标书等，以保障采购活动的公开、公平和公正。</w:t>
      </w:r>
    </w:p>
    <w:p>
      <w:pPr>
        <w:ind w:firstLine="480" w:firstLineChars="200"/>
        <w:rPr>
          <w:rFonts w:ascii="宋体" w:hAnsi="宋体"/>
          <w:szCs w:val="21"/>
        </w:rPr>
      </w:pPr>
      <w:r>
        <w:rPr>
          <w:rFonts w:hint="eastAsia" w:ascii="宋体" w:hAnsi="宋体"/>
          <w:szCs w:val="21"/>
        </w:rPr>
        <w:t>23.3电报、电话、传真形式的投标概不接受。</w:t>
      </w:r>
    </w:p>
    <w:p>
      <w:pPr>
        <w:ind w:firstLine="480"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pPr>
        <w:ind w:firstLine="480"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104"/>
    </w:p>
    <w:p>
      <w:pPr>
        <w:ind w:firstLine="470" w:firstLineChars="196"/>
        <w:rPr>
          <w:rFonts w:ascii="宋体" w:hAnsi="宋体"/>
          <w:szCs w:val="21"/>
        </w:rPr>
      </w:pPr>
    </w:p>
    <w:p>
      <w:pPr>
        <w:pStyle w:val="52"/>
        <w:keepNext/>
        <w:keepLines/>
        <w:numPr>
          <w:ilvl w:val="0"/>
          <w:numId w:val="13"/>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pPr>
        <w:ind w:firstLine="480" w:firstLineChars="200"/>
        <w:rPr>
          <w:rFonts w:ascii="黑体" w:hAnsi="宋体" w:eastAsia="黑体"/>
          <w:szCs w:val="21"/>
        </w:rPr>
      </w:pPr>
      <w:bookmarkStart w:id="105" w:name="_Hlk72405459"/>
      <w:r>
        <w:rPr>
          <w:rFonts w:hint="eastAsia" w:ascii="黑体" w:hAnsi="宋体" w:eastAsia="黑体"/>
          <w:szCs w:val="21"/>
        </w:rPr>
        <w:t>24．投标文件的保密</w:t>
      </w:r>
    </w:p>
    <w:p>
      <w:pPr>
        <w:ind w:firstLine="480" w:firstLineChars="200"/>
        <w:rPr>
          <w:rFonts w:ascii="宋体" w:hAnsi="宋体"/>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80" w:firstLineChars="200"/>
        <w:rPr>
          <w:rFonts w:ascii="宋体" w:hAnsi="宋体"/>
          <w:b/>
          <w:szCs w:val="21"/>
        </w:rPr>
      </w:pPr>
      <w:r>
        <w:rPr>
          <w:rFonts w:hint="eastAsia" w:ascii="宋体" w:hAnsi="宋体"/>
          <w:b/>
          <w:szCs w:val="21"/>
        </w:rPr>
        <w:t>24.2若采购项目出现延期情况：</w:t>
      </w:r>
    </w:p>
    <w:p>
      <w:pPr>
        <w:ind w:firstLine="480" w:firstLineChars="200"/>
        <w:rPr>
          <w:rFonts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pPr>
        <w:ind w:firstLine="480" w:firstLineChars="200"/>
        <w:rPr>
          <w:rFonts w:ascii="黑体" w:hAnsi="宋体" w:eastAsia="黑体"/>
          <w:szCs w:val="21"/>
        </w:rPr>
      </w:pPr>
      <w:r>
        <w:rPr>
          <w:rFonts w:hint="eastAsia" w:ascii="黑体" w:hAnsi="宋体" w:eastAsia="黑体"/>
          <w:szCs w:val="21"/>
        </w:rPr>
        <w:t>25．上传投标文件及投标截止日期</w:t>
      </w:r>
    </w:p>
    <w:p>
      <w:pPr>
        <w:ind w:firstLine="48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pPr>
        <w:ind w:firstLine="480" w:firstLineChars="200"/>
        <w:rPr>
          <w:rFonts w:ascii="宋体" w:hAnsi="宋体"/>
          <w:szCs w:val="21"/>
        </w:rPr>
      </w:pPr>
      <w:r>
        <w:rPr>
          <w:rFonts w:hint="eastAsia" w:ascii="宋体" w:hAnsi="宋体"/>
          <w:szCs w:val="21"/>
        </w:rPr>
        <w:t>25.2</w:t>
      </w:r>
      <w:r>
        <w:rPr>
          <w:rFonts w:hint="eastAsia" w:ascii="宋体" w:hAnsi="宋体"/>
          <w:szCs w:val="21"/>
          <w:highlight w:val="yellow"/>
          <w:lang w:val="en-US" w:eastAsia="zh-CN"/>
        </w:rPr>
        <w:t>采购代理机构</w:t>
      </w:r>
      <w:r>
        <w:rPr>
          <w:rFonts w:hint="eastAsia" w:ascii="宋体" w:hAnsi="宋体"/>
          <w:szCs w:val="21"/>
        </w:rPr>
        <w:t>可以按本通用条款第13条规定，通过修改招标文件自行决定酌情延长投标截止期。在此情况下，</w:t>
      </w:r>
      <w:r>
        <w:rPr>
          <w:rFonts w:hint="eastAsia" w:ascii="宋体" w:hAnsi="宋体"/>
          <w:szCs w:val="21"/>
          <w:highlight w:val="yellow"/>
          <w:lang w:val="en-US" w:eastAsia="zh-CN"/>
        </w:rPr>
        <w:t>采购代理机构</w:t>
      </w:r>
      <w:r>
        <w:rPr>
          <w:rFonts w:hint="eastAsia" w:ascii="宋体" w:hAnsi="宋体"/>
          <w:szCs w:val="21"/>
        </w:rPr>
        <w:t>、采购人和投标人受投标截止期制约的所有权利和义务均应延长至新的截止期。</w:t>
      </w:r>
    </w:p>
    <w:p>
      <w:pPr>
        <w:ind w:firstLine="480" w:firstLineChars="200"/>
        <w:rPr>
          <w:rFonts w:ascii="宋体" w:hAnsi="宋体"/>
          <w:szCs w:val="21"/>
        </w:rPr>
      </w:pPr>
      <w:r>
        <w:rPr>
          <w:rFonts w:hint="eastAsia" w:ascii="宋体" w:hAnsi="宋体"/>
          <w:szCs w:val="21"/>
        </w:rPr>
        <w:t>25.3投标截止时间以后不得上传投标文件。</w:t>
      </w:r>
    </w:p>
    <w:bookmarkEnd w:id="105"/>
    <w:p>
      <w:pPr>
        <w:ind w:firstLine="480" w:firstLineChars="200"/>
        <w:rPr>
          <w:rFonts w:ascii="黑体" w:hAnsi="宋体" w:eastAsia="黑体"/>
          <w:szCs w:val="21"/>
        </w:rPr>
      </w:pPr>
      <w:r>
        <w:rPr>
          <w:rFonts w:hint="eastAsia" w:ascii="黑体" w:hAnsi="宋体" w:eastAsia="黑体"/>
          <w:szCs w:val="21"/>
        </w:rPr>
        <w:t>26. 样品、现场演示、方案讲解</w:t>
      </w:r>
    </w:p>
    <w:p>
      <w:pPr>
        <w:ind w:firstLine="480" w:firstLineChars="200"/>
        <w:rPr>
          <w:rFonts w:ascii="宋体" w:hAnsi="宋体"/>
          <w:szCs w:val="21"/>
        </w:rPr>
      </w:pPr>
      <w:r>
        <w:rPr>
          <w:rFonts w:hint="eastAsia" w:ascii="宋体" w:hAnsi="宋体"/>
          <w:szCs w:val="21"/>
        </w:rPr>
        <w:t>26.1 样品、现场演示、方案讲解等事项在招标文件专用条款中进行规定。</w:t>
      </w:r>
    </w:p>
    <w:p>
      <w:pPr>
        <w:ind w:firstLine="480" w:firstLineChars="200"/>
        <w:rPr>
          <w:rFonts w:ascii="黑体" w:hAnsi="宋体" w:eastAsia="黑体"/>
          <w:szCs w:val="21"/>
        </w:rPr>
      </w:pPr>
      <w:bookmarkStart w:id="106" w:name="_Hlk72428346"/>
      <w:r>
        <w:rPr>
          <w:rFonts w:hint="eastAsia" w:ascii="黑体" w:hAnsi="宋体" w:eastAsia="黑体"/>
          <w:szCs w:val="21"/>
        </w:rPr>
        <w:t>27．投标文件的修改和撤销</w:t>
      </w:r>
    </w:p>
    <w:p>
      <w:pPr>
        <w:ind w:firstLine="48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pPr>
        <w:ind w:firstLine="480" w:firstLineChars="200"/>
        <w:rPr>
          <w:rFonts w:ascii="宋体" w:hAnsi="宋体"/>
          <w:szCs w:val="21"/>
        </w:rPr>
      </w:pPr>
      <w:r>
        <w:rPr>
          <w:rFonts w:hint="eastAsia" w:ascii="宋体" w:hAnsi="宋体"/>
          <w:szCs w:val="21"/>
        </w:rPr>
        <w:t>27.2投标截止时间以后不得修改投标文件。</w:t>
      </w:r>
    </w:p>
    <w:p>
      <w:pPr>
        <w:ind w:firstLine="48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pPr>
        <w:ind w:firstLine="480" w:firstLineChars="200"/>
        <w:rPr>
          <w:rFonts w:ascii="宋体" w:hAnsi="宋体"/>
          <w:szCs w:val="21"/>
        </w:rPr>
      </w:pPr>
      <w:r>
        <w:rPr>
          <w:rFonts w:hint="eastAsia" w:ascii="宋体" w:hAnsi="宋体"/>
          <w:szCs w:val="21"/>
        </w:rPr>
        <w:t>27.4</w:t>
      </w:r>
      <w:r>
        <w:rPr>
          <w:rFonts w:hint="eastAsia" w:ascii="宋体" w:hAnsi="宋体"/>
          <w:szCs w:val="21"/>
          <w:highlight w:val="yellow"/>
          <w:lang w:val="en-US" w:eastAsia="zh-CN"/>
        </w:rPr>
        <w:t>采购代理机构</w:t>
      </w:r>
      <w:r>
        <w:rPr>
          <w:rFonts w:hint="eastAsia" w:ascii="宋体" w:hAnsi="宋体"/>
          <w:szCs w:val="21"/>
        </w:rPr>
        <w:t>不退还投标文件，专用条款另有规定的除外。</w:t>
      </w:r>
    </w:p>
    <w:bookmarkEnd w:id="106"/>
    <w:p>
      <w:pPr>
        <w:pStyle w:val="52"/>
        <w:keepNext/>
        <w:keepLines/>
        <w:numPr>
          <w:ilvl w:val="0"/>
          <w:numId w:val="13"/>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pPr>
        <w:ind w:firstLine="480" w:firstLineChars="200"/>
        <w:rPr>
          <w:rFonts w:ascii="黑体" w:hAnsi="宋体" w:eastAsia="黑体"/>
          <w:szCs w:val="21"/>
        </w:rPr>
      </w:pPr>
      <w:r>
        <w:rPr>
          <w:rFonts w:hint="eastAsia" w:ascii="黑体" w:hAnsi="宋体" w:eastAsia="黑体"/>
          <w:szCs w:val="21"/>
        </w:rPr>
        <w:t>28．开标</w:t>
      </w:r>
    </w:p>
    <w:p>
      <w:pPr>
        <w:ind w:firstLine="480" w:firstLineChars="200"/>
        <w:rPr>
          <w:rFonts w:ascii="宋体" w:hAnsi="宋体"/>
          <w:szCs w:val="21"/>
        </w:rPr>
      </w:pPr>
      <w:r>
        <w:rPr>
          <w:rFonts w:hint="eastAsia" w:ascii="宋体" w:hAnsi="宋体"/>
          <w:szCs w:val="21"/>
        </w:rPr>
        <w:t>28.1如投标文件加密的，则投标人须在开标当日的开标时间至解密截止时间内进行解密，逾期未解密的作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pPr>
        <w:ind w:firstLine="480" w:firstLineChars="200"/>
        <w:rPr>
          <w:rFonts w:ascii="宋体" w:hAnsi="宋体"/>
          <w:szCs w:val="21"/>
        </w:rPr>
      </w:pPr>
      <w:r>
        <w:rPr>
          <w:rFonts w:hint="eastAsia" w:ascii="宋体" w:hAnsi="宋体"/>
          <w:szCs w:val="21"/>
        </w:rPr>
        <w:t>28.2</w:t>
      </w:r>
      <w:r>
        <w:rPr>
          <w:rFonts w:hint="eastAsia" w:ascii="宋体" w:hAnsi="宋体"/>
          <w:szCs w:val="21"/>
          <w:highlight w:val="yellow"/>
          <w:lang w:val="en-US" w:eastAsia="zh-CN"/>
        </w:rPr>
        <w:t>采购代理机构</w:t>
      </w:r>
      <w:r>
        <w:rPr>
          <w:rFonts w:hint="eastAsia" w:ascii="宋体" w:hAnsi="宋体"/>
          <w:szCs w:val="21"/>
        </w:rPr>
        <w:t>将在满足开标条件（①解密时间结束，解密后的投标供应商数量满足开标要求或②解密时间结束前所有投标供应商均完成投标文件解密）后，对投标文件进行开标，并在网上公布开标结果。</w:t>
      </w:r>
    </w:p>
    <w:p>
      <w:pPr>
        <w:pStyle w:val="52"/>
        <w:keepNext/>
        <w:keepLines/>
        <w:numPr>
          <w:ilvl w:val="0"/>
          <w:numId w:val="13"/>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pPr>
        <w:ind w:firstLine="480" w:firstLineChars="200"/>
        <w:rPr>
          <w:rFonts w:ascii="黑体" w:hAnsi="宋体" w:eastAsia="黑体"/>
          <w:szCs w:val="21"/>
        </w:rPr>
      </w:pPr>
      <w:r>
        <w:rPr>
          <w:rFonts w:hint="eastAsia" w:ascii="黑体" w:hAnsi="宋体" w:eastAsia="黑体"/>
          <w:szCs w:val="21"/>
        </w:rPr>
        <w:t>29．评审委员会组成</w:t>
      </w:r>
    </w:p>
    <w:p>
      <w:pPr>
        <w:ind w:firstLine="480" w:firstLineChars="200"/>
        <w:rPr>
          <w:rFonts w:ascii="宋体" w:hAnsi="宋体"/>
          <w:szCs w:val="21"/>
        </w:rPr>
      </w:pPr>
      <w:r>
        <w:rPr>
          <w:rFonts w:hint="eastAsia" w:ascii="宋体" w:hAnsi="宋体"/>
          <w:szCs w:val="21"/>
        </w:rPr>
        <w:t>29.1网上开标结束后召开评审会议，评审委员会由</w:t>
      </w:r>
      <w:r>
        <w:rPr>
          <w:rFonts w:hint="eastAsia" w:ascii="宋体" w:hAnsi="宋体"/>
          <w:szCs w:val="21"/>
          <w:highlight w:val="yellow"/>
        </w:rPr>
        <w:t>采购代理机构</w:t>
      </w:r>
      <w:r>
        <w:rPr>
          <w:rFonts w:hint="eastAsia" w:ascii="宋体" w:hAnsi="宋体"/>
          <w:szCs w:val="21"/>
        </w:rPr>
        <w:t>依法组建，负责评审活动。</w:t>
      </w:r>
    </w:p>
    <w:p>
      <w:pPr>
        <w:ind w:firstLine="480" w:firstLineChars="200"/>
        <w:rPr>
          <w:rFonts w:hint="eastAsia" w:ascii="宋体" w:hAnsi="宋体"/>
          <w:szCs w:val="21"/>
        </w:rPr>
      </w:pPr>
      <w:bookmarkStart w:id="107"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107"/>
      <w:r>
        <w:rPr>
          <w:rFonts w:hint="eastAsia" w:ascii="宋体" w:hAnsi="宋体"/>
          <w:szCs w:val="21"/>
        </w:rPr>
        <w:t>评定</w:t>
      </w:r>
      <w:r>
        <w:rPr>
          <w:rFonts w:hint="eastAsia"/>
          <w:szCs w:val="21"/>
        </w:rPr>
        <w:t>分离项目评审专家均由评审专家组成。</w:t>
      </w:r>
      <w:r>
        <w:rPr>
          <w:rFonts w:hint="eastAsia" w:ascii="宋体" w:hAnsi="宋体"/>
          <w:szCs w:val="21"/>
        </w:rPr>
        <w:t>评审专家一般是从深圳市政府采购评审专家库中随机抽取。采购人代表须持本单位签发的《评审授权书》参加评审。</w:t>
      </w:r>
    </w:p>
    <w:p>
      <w:pPr>
        <w:ind w:firstLine="480" w:firstLineChars="200"/>
        <w:rPr>
          <w:rFonts w:ascii="宋体" w:hAnsi="宋体"/>
          <w:szCs w:val="21"/>
        </w:rPr>
      </w:pPr>
      <w:r>
        <w:rPr>
          <w:rFonts w:hint="eastAsia" w:ascii="宋体" w:hAnsi="宋体"/>
          <w:szCs w:val="21"/>
        </w:rPr>
        <w:t>29.2评审定标应当遵循公平、公正、科学、择优的原则。</w:t>
      </w:r>
    </w:p>
    <w:p>
      <w:pPr>
        <w:ind w:firstLine="480" w:firstLineChars="200"/>
        <w:rPr>
          <w:rFonts w:ascii="宋体" w:hAnsi="宋体"/>
          <w:szCs w:val="21"/>
        </w:rPr>
      </w:pPr>
      <w:r>
        <w:rPr>
          <w:rFonts w:hint="eastAsia" w:ascii="宋体" w:hAnsi="宋体"/>
          <w:szCs w:val="21"/>
        </w:rPr>
        <w:t>29.3评审活动依法进行，任何单位和个人不得非法干预评标过程和结果。</w:t>
      </w:r>
    </w:p>
    <w:p>
      <w:pPr>
        <w:ind w:firstLine="48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pPr>
        <w:ind w:firstLine="48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80" w:firstLineChars="200"/>
        <w:rPr>
          <w:rFonts w:ascii="黑体" w:hAnsi="宋体" w:eastAsia="黑体"/>
          <w:szCs w:val="21"/>
        </w:rPr>
      </w:pPr>
      <w:r>
        <w:rPr>
          <w:rFonts w:hint="eastAsia" w:ascii="黑体" w:hAnsi="宋体" w:eastAsia="黑体"/>
          <w:szCs w:val="21"/>
        </w:rPr>
        <w:t>30．向评审委员会提供的资料</w:t>
      </w:r>
    </w:p>
    <w:p>
      <w:pPr>
        <w:ind w:firstLine="480" w:firstLineChars="200"/>
        <w:rPr>
          <w:rFonts w:ascii="宋体" w:hAnsi="宋体"/>
          <w:szCs w:val="21"/>
        </w:rPr>
      </w:pPr>
      <w:r>
        <w:rPr>
          <w:rFonts w:hint="eastAsia" w:ascii="宋体" w:hAnsi="宋体"/>
          <w:szCs w:val="21"/>
        </w:rPr>
        <w:t>30.1公开发布的招标文件，包括图纸、服务清单、答疑文件等；</w:t>
      </w:r>
    </w:p>
    <w:p>
      <w:pPr>
        <w:ind w:firstLine="480" w:firstLineChars="200"/>
        <w:rPr>
          <w:rFonts w:ascii="宋体" w:hAnsi="宋体"/>
          <w:szCs w:val="21"/>
        </w:rPr>
      </w:pPr>
      <w:r>
        <w:rPr>
          <w:rFonts w:hint="eastAsia" w:ascii="宋体" w:hAnsi="宋体"/>
          <w:szCs w:val="21"/>
        </w:rPr>
        <w:t>30.2其他评标必须的资料。</w:t>
      </w:r>
    </w:p>
    <w:p>
      <w:pPr>
        <w:ind w:firstLine="480" w:firstLineChars="200"/>
        <w:rPr>
          <w:rFonts w:ascii="宋体" w:hAnsi="宋体"/>
          <w:szCs w:val="21"/>
        </w:rPr>
      </w:pPr>
      <w:r>
        <w:rPr>
          <w:rFonts w:hint="eastAsia" w:ascii="宋体" w:hAnsi="宋体"/>
          <w:szCs w:val="21"/>
        </w:rPr>
        <w:t>30.3评审委员会应当认真研究招标文件，至少应了解熟悉以下内容：</w:t>
      </w:r>
    </w:p>
    <w:p>
      <w:pPr>
        <w:ind w:firstLine="480" w:firstLineChars="200"/>
        <w:rPr>
          <w:rFonts w:ascii="宋体" w:hAnsi="宋体"/>
          <w:szCs w:val="21"/>
        </w:rPr>
      </w:pPr>
      <w:r>
        <w:rPr>
          <w:rFonts w:hint="eastAsia" w:ascii="宋体" w:hAnsi="宋体"/>
          <w:szCs w:val="21"/>
        </w:rPr>
        <w:t>（1）招标的目的；</w:t>
      </w:r>
    </w:p>
    <w:p>
      <w:pPr>
        <w:ind w:firstLine="480" w:firstLineChars="200"/>
        <w:rPr>
          <w:rFonts w:ascii="宋体" w:hAnsi="宋体"/>
          <w:szCs w:val="21"/>
        </w:rPr>
      </w:pPr>
      <w:r>
        <w:rPr>
          <w:rFonts w:hint="eastAsia" w:ascii="宋体" w:hAnsi="宋体"/>
          <w:szCs w:val="21"/>
        </w:rPr>
        <w:t>（2）招标项目需求的范围和性质；</w:t>
      </w:r>
    </w:p>
    <w:p>
      <w:pPr>
        <w:ind w:firstLine="480" w:firstLineChars="200"/>
        <w:rPr>
          <w:rFonts w:ascii="宋体" w:hAnsi="宋体"/>
          <w:szCs w:val="21"/>
        </w:rPr>
      </w:pPr>
      <w:r>
        <w:rPr>
          <w:rFonts w:hint="eastAsia" w:ascii="宋体" w:hAnsi="宋体"/>
          <w:szCs w:val="21"/>
        </w:rPr>
        <w:t>（3）招标文件规定的投标人的资格、财政预算限额、商务条款；</w:t>
      </w:r>
    </w:p>
    <w:p>
      <w:pPr>
        <w:ind w:firstLine="480" w:firstLineChars="200"/>
        <w:rPr>
          <w:rFonts w:ascii="宋体" w:hAnsi="宋体"/>
          <w:szCs w:val="21"/>
        </w:rPr>
      </w:pPr>
      <w:r>
        <w:rPr>
          <w:rFonts w:hint="eastAsia" w:ascii="宋体" w:hAnsi="宋体"/>
          <w:szCs w:val="21"/>
        </w:rPr>
        <w:t>（4）招标文件规定的评标程序、评标方法和评标因素；</w:t>
      </w:r>
    </w:p>
    <w:p>
      <w:pPr>
        <w:ind w:firstLine="480" w:firstLineChars="200"/>
        <w:rPr>
          <w:rFonts w:ascii="宋体" w:hAnsi="宋体"/>
          <w:szCs w:val="21"/>
        </w:rPr>
      </w:pPr>
      <w:r>
        <w:rPr>
          <w:rFonts w:hint="eastAsia" w:ascii="宋体" w:hAnsi="宋体"/>
          <w:szCs w:val="21"/>
        </w:rPr>
        <w:t>（5）招标文件所列示的资格性审查表及符合性审查表。</w:t>
      </w:r>
    </w:p>
    <w:p>
      <w:pPr>
        <w:ind w:firstLine="480" w:firstLineChars="200"/>
        <w:rPr>
          <w:rFonts w:ascii="黑体" w:hAnsi="宋体" w:eastAsia="黑体"/>
          <w:szCs w:val="21"/>
        </w:rPr>
      </w:pPr>
      <w:r>
        <w:rPr>
          <w:rFonts w:hint="eastAsia" w:ascii="黑体" w:hAnsi="宋体" w:eastAsia="黑体"/>
          <w:szCs w:val="21"/>
        </w:rPr>
        <w:t>31．独立评审</w:t>
      </w:r>
    </w:p>
    <w:p>
      <w:pPr>
        <w:ind w:firstLine="48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70" w:firstLineChars="196"/>
        <w:rPr>
          <w:rFonts w:ascii="宋体" w:hAnsi="宋体"/>
          <w:bCs/>
          <w:szCs w:val="21"/>
        </w:rPr>
      </w:pPr>
    </w:p>
    <w:p>
      <w:pPr>
        <w:pStyle w:val="52"/>
        <w:keepNext/>
        <w:keepLines/>
        <w:numPr>
          <w:ilvl w:val="0"/>
          <w:numId w:val="13"/>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pPr>
        <w:ind w:firstLine="480" w:firstLineChars="200"/>
        <w:rPr>
          <w:rFonts w:ascii="黑体" w:hAnsi="宋体" w:eastAsia="黑体"/>
          <w:szCs w:val="21"/>
        </w:rPr>
      </w:pPr>
      <w:r>
        <w:rPr>
          <w:rFonts w:hint="eastAsia" w:ascii="黑体" w:hAnsi="宋体" w:eastAsia="黑体"/>
          <w:szCs w:val="21"/>
        </w:rPr>
        <w:t>32．投标文件初审</w:t>
      </w:r>
    </w:p>
    <w:p>
      <w:pPr>
        <w:ind w:firstLine="480" w:firstLineChars="200"/>
        <w:rPr>
          <w:rFonts w:ascii="宋体" w:hAnsi="宋体"/>
          <w:szCs w:val="21"/>
        </w:rPr>
      </w:pPr>
      <w:r>
        <w:rPr>
          <w:rFonts w:hint="eastAsia" w:ascii="宋体" w:hAnsi="宋体"/>
          <w:szCs w:val="21"/>
        </w:rPr>
        <w:t>32.1投标文件初审包括资格性审查和符合性审查。</w:t>
      </w:r>
    </w:p>
    <w:p>
      <w:pPr>
        <w:ind w:firstLine="48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pPr>
        <w:ind w:firstLine="48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pPr>
        <w:ind w:firstLine="48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80" w:firstLineChars="200"/>
        <w:rPr>
          <w:rFonts w:ascii="宋体" w:hAnsi="宋体"/>
          <w:bCs/>
          <w:szCs w:val="21"/>
        </w:rPr>
      </w:pPr>
      <w:r>
        <w:rPr>
          <w:rFonts w:hint="eastAsia" w:ascii="宋体" w:hAnsi="宋体"/>
          <w:bCs/>
          <w:szCs w:val="21"/>
        </w:rPr>
        <w:t>32.3 投标文件初审中关于供应商家数的计算:</w:t>
      </w:r>
    </w:p>
    <w:p>
      <w:pPr>
        <w:ind w:firstLine="48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8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8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pPr>
        <w:ind w:firstLine="480" w:firstLineChars="200"/>
        <w:rPr>
          <w:rFonts w:ascii="宋体" w:hAnsi="宋体"/>
          <w:szCs w:val="21"/>
        </w:rPr>
      </w:pPr>
      <w:r>
        <w:rPr>
          <w:rFonts w:hint="eastAsia" w:ascii="宋体" w:hAnsi="宋体"/>
          <w:szCs w:val="21"/>
        </w:rPr>
        <w:t>32.4投标人投标文件作无效处理的情形，具体包括但不限于以下：</w:t>
      </w:r>
    </w:p>
    <w:p>
      <w:pPr>
        <w:ind w:firstLine="48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80" w:firstLineChars="200"/>
        <w:rPr>
          <w:szCs w:val="21"/>
        </w:rPr>
      </w:pPr>
      <w:r>
        <w:rPr>
          <w:rFonts w:hint="eastAsia" w:ascii="宋体" w:hAnsi="宋体"/>
          <w:szCs w:val="21"/>
        </w:rPr>
        <w:t>32.4.2</w:t>
      </w:r>
      <w:r>
        <w:rPr>
          <w:rFonts w:hint="eastAsia"/>
          <w:szCs w:val="21"/>
        </w:rPr>
        <w:t>不同投标人委托同一单位或者个人办理投标事宜；</w:t>
      </w:r>
    </w:p>
    <w:p>
      <w:pPr>
        <w:ind w:firstLine="480" w:firstLineChars="200"/>
        <w:rPr>
          <w:rFonts w:ascii="宋体" w:hAnsi="宋体"/>
          <w:szCs w:val="21"/>
        </w:rPr>
      </w:pPr>
      <w:r>
        <w:rPr>
          <w:rFonts w:hint="eastAsia" w:ascii="宋体" w:hAnsi="宋体"/>
          <w:szCs w:val="21"/>
        </w:rPr>
        <w:t>32.4.3不同投标人的投标文件载明的项目管理成员或者联系人员为同一人；</w:t>
      </w:r>
    </w:p>
    <w:p>
      <w:pPr>
        <w:ind w:firstLine="480" w:firstLineChars="200"/>
        <w:rPr>
          <w:rFonts w:ascii="宋体" w:hAnsi="宋体"/>
          <w:szCs w:val="21"/>
        </w:rPr>
      </w:pPr>
      <w:r>
        <w:rPr>
          <w:rFonts w:hint="eastAsia" w:ascii="宋体" w:hAnsi="宋体"/>
          <w:szCs w:val="21"/>
        </w:rPr>
        <w:t>32.4.4不同投标人的投标文件异常一致或者投标报价呈规律性差异；</w:t>
      </w:r>
    </w:p>
    <w:p>
      <w:pPr>
        <w:ind w:firstLine="480" w:firstLineChars="200"/>
        <w:rPr>
          <w:rFonts w:ascii="宋体" w:hAnsi="宋体"/>
          <w:szCs w:val="21"/>
        </w:rPr>
      </w:pPr>
      <w:r>
        <w:rPr>
          <w:rFonts w:hint="eastAsia" w:ascii="宋体" w:hAnsi="宋体"/>
          <w:szCs w:val="21"/>
        </w:rPr>
        <w:t>32.4.5不同投标供应商的投标文件或部分投标文件相互混装；</w:t>
      </w:r>
    </w:p>
    <w:p>
      <w:pPr>
        <w:ind w:firstLine="480" w:firstLineChars="200"/>
        <w:rPr>
          <w:rFonts w:ascii="宋体" w:hAnsi="宋体"/>
          <w:szCs w:val="21"/>
        </w:rPr>
      </w:pPr>
      <w:r>
        <w:rPr>
          <w:rFonts w:hint="eastAsia" w:ascii="宋体" w:hAnsi="宋体"/>
          <w:szCs w:val="21"/>
        </w:rPr>
        <w:t>32.4.6投标供应商之间相互约定给予未中标的供应商利益补偿；</w:t>
      </w:r>
    </w:p>
    <w:p>
      <w:pPr>
        <w:ind w:firstLine="48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pPr>
        <w:ind w:firstLine="480" w:firstLineChars="200"/>
        <w:rPr>
          <w:rFonts w:ascii="宋体" w:hAnsi="宋体"/>
          <w:szCs w:val="21"/>
        </w:rPr>
      </w:pPr>
      <w:r>
        <w:rPr>
          <w:rFonts w:hint="eastAsia" w:ascii="宋体" w:hAnsi="宋体"/>
          <w:szCs w:val="21"/>
        </w:rPr>
        <w:t>32.4.8不同投标供应商的投标文件内容存在非正常一致；</w:t>
      </w:r>
    </w:p>
    <w:p>
      <w:pPr>
        <w:ind w:firstLine="480" w:firstLineChars="200"/>
        <w:rPr>
          <w:rFonts w:ascii="宋体" w:hAnsi="宋体"/>
          <w:szCs w:val="21"/>
        </w:rPr>
      </w:pPr>
      <w:r>
        <w:rPr>
          <w:rFonts w:hint="eastAsia" w:ascii="宋体" w:hAnsi="宋体"/>
          <w:szCs w:val="21"/>
        </w:rPr>
        <w:t>32.4.9在同一单位工作人员为两家以上（含两家）供应商进行同一项投标活动；</w:t>
      </w:r>
    </w:p>
    <w:p>
      <w:pPr>
        <w:ind w:firstLine="480" w:firstLineChars="200"/>
        <w:rPr>
          <w:rFonts w:ascii="宋体" w:hAnsi="宋体"/>
          <w:szCs w:val="21"/>
        </w:rPr>
      </w:pPr>
      <w:r>
        <w:rPr>
          <w:rFonts w:hint="eastAsia" w:ascii="宋体" w:hAnsi="宋体"/>
          <w:szCs w:val="21"/>
        </w:rPr>
        <w:t>32.4.10主管部门依照法律、法规认定的其他情形。</w:t>
      </w:r>
    </w:p>
    <w:p>
      <w:pPr>
        <w:ind w:firstLine="48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80" w:firstLineChars="200"/>
        <w:rPr>
          <w:rFonts w:ascii="黑体" w:hAnsi="宋体" w:eastAsia="黑体"/>
          <w:szCs w:val="21"/>
        </w:rPr>
      </w:pPr>
      <w:r>
        <w:rPr>
          <w:rFonts w:hint="eastAsia" w:ascii="黑体" w:hAnsi="宋体" w:eastAsia="黑体"/>
          <w:szCs w:val="21"/>
        </w:rPr>
        <w:t>33．澄清有关问题</w:t>
      </w:r>
    </w:p>
    <w:p>
      <w:pPr>
        <w:ind w:firstLine="480" w:firstLineChars="200"/>
        <w:rPr>
          <w:rFonts w:ascii="宋体" w:hAnsi="宋体"/>
          <w:szCs w:val="21"/>
        </w:rPr>
      </w:pPr>
      <w:bookmarkStart w:id="108"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108"/>
    </w:p>
    <w:p>
      <w:pPr>
        <w:ind w:firstLine="48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评审委员会发现招标文件存在歧义、重大缺陷导致评审工作无法进行，或者招标文件内容违反国家有关强制性规定的，应当停止评审工作，与</w:t>
      </w:r>
      <w:r>
        <w:rPr>
          <w:rFonts w:hint="eastAsia" w:ascii="宋体" w:hAnsi="宋体"/>
          <w:szCs w:val="21"/>
          <w:highlight w:val="yellow"/>
        </w:rPr>
        <w:t>采购代理机构</w:t>
      </w:r>
      <w:r>
        <w:rPr>
          <w:rFonts w:hint="eastAsia"/>
          <w:szCs w:val="21"/>
        </w:rPr>
        <w:t>沟通并作书面记录。经确认后，项目应当修改招标文件，重新组织采购活动。</w:t>
      </w:r>
    </w:p>
    <w:p>
      <w:pPr>
        <w:ind w:firstLine="48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pPr>
        <w:ind w:firstLine="48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8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pPr>
        <w:ind w:firstLine="480" w:firstLineChars="200"/>
        <w:rPr>
          <w:rFonts w:ascii="黑体" w:hAnsi="宋体" w:eastAsia="黑体"/>
          <w:szCs w:val="21"/>
        </w:rPr>
      </w:pPr>
      <w:bookmarkStart w:id="109" w:name="_Toc73517673"/>
      <w:bookmarkStart w:id="110" w:name="_Toc100052400"/>
      <w:bookmarkStart w:id="111" w:name="_Toc73521669"/>
      <w:bookmarkStart w:id="112" w:name="_Toc73518151"/>
      <w:bookmarkStart w:id="113" w:name="_Toc73521581"/>
      <w:r>
        <w:rPr>
          <w:rFonts w:hint="eastAsia" w:ascii="黑体" w:hAnsi="宋体" w:eastAsia="黑体"/>
          <w:szCs w:val="21"/>
        </w:rPr>
        <w:t>34．错误的修正</w:t>
      </w:r>
      <w:bookmarkEnd w:id="109"/>
      <w:bookmarkEnd w:id="110"/>
      <w:bookmarkEnd w:id="111"/>
      <w:bookmarkEnd w:id="112"/>
      <w:bookmarkEnd w:id="113"/>
    </w:p>
    <w:p>
      <w:pPr>
        <w:ind w:firstLine="480" w:firstLineChars="200"/>
        <w:rPr>
          <w:rFonts w:ascii="宋体" w:hAnsi="宋体"/>
          <w:szCs w:val="21"/>
        </w:rPr>
      </w:pPr>
      <w:r>
        <w:rPr>
          <w:rFonts w:hint="eastAsia" w:ascii="宋体" w:hAnsi="宋体"/>
          <w:szCs w:val="21"/>
        </w:rPr>
        <w:t>投标文件报价出现前后不一致的，除专用条款另有规定外，按照下列规定修正：</w:t>
      </w:r>
    </w:p>
    <w:p>
      <w:pPr>
        <w:ind w:firstLine="48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80" w:firstLineChars="200"/>
        <w:rPr>
          <w:rFonts w:ascii="宋体" w:hAnsi="宋体"/>
          <w:szCs w:val="21"/>
        </w:rPr>
      </w:pPr>
      <w:r>
        <w:rPr>
          <w:rFonts w:hint="eastAsia" w:ascii="宋体" w:hAnsi="宋体"/>
          <w:szCs w:val="21"/>
        </w:rPr>
        <w:t>34.2大写金额和小写金额不一致的，以大写金额为准；</w:t>
      </w:r>
    </w:p>
    <w:p>
      <w:pPr>
        <w:ind w:firstLine="480" w:firstLineChars="200"/>
        <w:rPr>
          <w:rFonts w:ascii="宋体" w:hAnsi="宋体"/>
          <w:szCs w:val="21"/>
        </w:rPr>
      </w:pPr>
      <w:r>
        <w:rPr>
          <w:rFonts w:hint="eastAsia" w:ascii="宋体" w:hAnsi="宋体"/>
          <w:szCs w:val="21"/>
        </w:rPr>
        <w:t>34.3单价金额小数点或者百分比有明显错位，以开标一览表的总价为准，并修改单价；</w:t>
      </w:r>
    </w:p>
    <w:p>
      <w:pPr>
        <w:ind w:firstLine="480" w:firstLineChars="200"/>
        <w:rPr>
          <w:rFonts w:ascii="宋体" w:hAnsi="宋体"/>
          <w:szCs w:val="21"/>
        </w:rPr>
      </w:pPr>
      <w:r>
        <w:rPr>
          <w:rFonts w:hint="eastAsia" w:ascii="宋体" w:hAnsi="宋体"/>
          <w:szCs w:val="21"/>
        </w:rPr>
        <w:t>34.4总价金额与按单价汇总金额不一致的，以单价金额计算结果为准。</w:t>
      </w:r>
    </w:p>
    <w:p>
      <w:pPr>
        <w:ind w:firstLine="48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80" w:firstLineChars="200"/>
        <w:rPr>
          <w:rFonts w:ascii="黑体" w:hAnsi="宋体" w:eastAsia="黑体"/>
          <w:szCs w:val="21"/>
        </w:rPr>
      </w:pPr>
      <w:r>
        <w:rPr>
          <w:rFonts w:hint="eastAsia" w:ascii="黑体" w:hAnsi="宋体" w:eastAsia="黑体"/>
          <w:szCs w:val="21"/>
        </w:rPr>
        <w:t>35．投标文件的比较与评价</w:t>
      </w:r>
    </w:p>
    <w:p>
      <w:pPr>
        <w:ind w:firstLine="48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8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80" w:firstLineChars="200"/>
        <w:rPr>
          <w:rFonts w:ascii="黑体" w:hAnsi="宋体" w:eastAsia="黑体"/>
          <w:szCs w:val="21"/>
        </w:rPr>
      </w:pPr>
      <w:r>
        <w:rPr>
          <w:rFonts w:hint="eastAsia" w:ascii="黑体" w:hAnsi="宋体" w:eastAsia="黑体"/>
          <w:szCs w:val="21"/>
        </w:rPr>
        <w:t>36. 实地考察或资料查验</w:t>
      </w:r>
    </w:p>
    <w:p>
      <w:pPr>
        <w:ind w:firstLine="48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80" w:firstLineChars="200"/>
        <w:rPr>
          <w:rFonts w:ascii="黑体" w:hAnsi="宋体" w:eastAsia="黑体"/>
          <w:szCs w:val="21"/>
        </w:rPr>
      </w:pPr>
      <w:r>
        <w:rPr>
          <w:rFonts w:hint="eastAsia" w:ascii="黑体" w:hAnsi="宋体" w:eastAsia="黑体"/>
          <w:szCs w:val="21"/>
        </w:rPr>
        <w:t>37．评审方法</w:t>
      </w:r>
    </w:p>
    <w:p>
      <w:pPr>
        <w:ind w:firstLine="480" w:firstLineChars="200"/>
        <w:rPr>
          <w:rFonts w:ascii="宋体" w:hAnsi="宋体"/>
          <w:b/>
          <w:bCs/>
          <w:szCs w:val="21"/>
        </w:rPr>
      </w:pPr>
      <w:r>
        <w:rPr>
          <w:rFonts w:hint="eastAsia" w:ascii="宋体" w:hAnsi="宋体"/>
          <w:b/>
          <w:bCs/>
          <w:szCs w:val="21"/>
        </w:rPr>
        <w:t>37.1.1最低价法</w:t>
      </w:r>
    </w:p>
    <w:p>
      <w:pPr>
        <w:ind w:firstLine="480" w:firstLineChars="200"/>
        <w:rPr>
          <w:rFonts w:ascii="ˎ̥" w:hAnsi="ˎ̥"/>
          <w:szCs w:val="21"/>
        </w:rPr>
      </w:pPr>
      <w:bookmarkStart w:id="114" w:name="_Hlk72438142"/>
      <w:r>
        <w:rPr>
          <w:rFonts w:hint="eastAsia" w:ascii="ˎ̥" w:hAnsi="ˎ̥"/>
          <w:szCs w:val="21"/>
        </w:rPr>
        <w:t>最低价法，是指完全满足招标文件实质性要求，按照报价由低到高的顺序，依据招标文件中规定的数量或者比例推荐候选中标供应商。</w:t>
      </w:r>
    </w:p>
    <w:p>
      <w:pPr>
        <w:ind w:firstLine="480" w:firstLineChars="200"/>
        <w:rPr>
          <w:rFonts w:ascii="宋体" w:hAnsi="宋体"/>
          <w:b/>
          <w:bCs/>
          <w:szCs w:val="21"/>
        </w:rPr>
      </w:pPr>
      <w:r>
        <w:rPr>
          <w:rFonts w:hint="eastAsia" w:ascii="宋体" w:hAnsi="宋体"/>
          <w:b/>
          <w:bCs/>
          <w:szCs w:val="21"/>
        </w:rPr>
        <w:t>37.1.2综合评分法</w:t>
      </w:r>
    </w:p>
    <w:p>
      <w:pPr>
        <w:ind w:firstLine="48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114"/>
      <w:r>
        <w:rPr>
          <w:rFonts w:hint="eastAsia" w:ascii="宋体" w:hAnsi="宋体"/>
          <w:bCs/>
          <w:color w:val="FF0000"/>
          <w:szCs w:val="21"/>
        </w:rPr>
        <w:t xml:space="preserve">  </w:t>
      </w:r>
      <w:r>
        <w:rPr>
          <w:rFonts w:hint="eastAsia" w:ascii="宋体" w:hAnsi="宋体"/>
          <w:bCs/>
          <w:szCs w:val="21"/>
        </w:rPr>
        <w:t xml:space="preserve">                                                                                                                                                                                                                                                                                                                                                                                                                                                                                                                                                                                                                                                                                                                                                                                                                                                                                                                                                                                                                                                                                                                                                                                                                                                                                                                                                                                                                                                                                                                                                                                                                                                                                                                                                                                                                                                                                                                                                                                                                                                                                                                                                                                                                                                                                                                                                                                                                                                                                                                                                                                                                                                                                                                                                                                                                                                                                                                                                                                                                           </w:t>
      </w:r>
    </w:p>
    <w:p>
      <w:pPr>
        <w:ind w:firstLine="480"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pPr>
        <w:ind w:firstLine="480" w:firstLineChars="200"/>
        <w:rPr>
          <w:rFonts w:ascii="宋体" w:hAnsi="宋体"/>
          <w:b/>
          <w:bCs/>
          <w:szCs w:val="21"/>
        </w:rPr>
      </w:pPr>
      <w:r>
        <w:rPr>
          <w:rFonts w:hint="eastAsia" w:ascii="宋体" w:hAnsi="宋体"/>
          <w:b/>
          <w:bCs/>
          <w:szCs w:val="21"/>
        </w:rPr>
        <w:t>37.3重新评审的情形</w:t>
      </w:r>
    </w:p>
    <w:p>
      <w:pPr>
        <w:ind w:firstLine="48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80" w:firstLineChars="200"/>
        <w:rPr>
          <w:rFonts w:ascii="宋体" w:hAnsi="宋体" w:cs="宋体"/>
          <w:kern w:val="0"/>
          <w:szCs w:val="21"/>
        </w:rPr>
      </w:pPr>
      <w:r>
        <w:rPr>
          <w:rFonts w:hint="eastAsia" w:ascii="宋体" w:hAnsi="宋体" w:cs="宋体"/>
          <w:kern w:val="0"/>
          <w:szCs w:val="21"/>
        </w:rPr>
        <w:t>37.3.1分值汇总计算错误的；</w:t>
      </w:r>
    </w:p>
    <w:p>
      <w:pPr>
        <w:ind w:firstLine="480" w:firstLineChars="200"/>
        <w:rPr>
          <w:rFonts w:ascii="宋体" w:hAnsi="宋体" w:cs="宋体"/>
          <w:kern w:val="0"/>
          <w:szCs w:val="21"/>
        </w:rPr>
      </w:pPr>
      <w:r>
        <w:rPr>
          <w:rFonts w:hint="eastAsia" w:ascii="宋体" w:hAnsi="宋体" w:cs="宋体"/>
          <w:kern w:val="0"/>
          <w:szCs w:val="21"/>
        </w:rPr>
        <w:t>37.3.2分项评分超出评分标准范围的；</w:t>
      </w:r>
    </w:p>
    <w:p>
      <w:pPr>
        <w:ind w:firstLine="48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80" w:firstLineChars="200"/>
        <w:rPr>
          <w:rFonts w:ascii="宋体" w:hAnsi="宋体" w:cs="宋体"/>
          <w:kern w:val="0"/>
          <w:szCs w:val="21"/>
        </w:rPr>
      </w:pPr>
      <w:r>
        <w:rPr>
          <w:rFonts w:hint="eastAsia" w:ascii="宋体" w:hAnsi="宋体" w:cs="宋体"/>
          <w:kern w:val="0"/>
          <w:szCs w:val="21"/>
        </w:rPr>
        <w:t>37.3.4经评审委员会认定评分畸高、畸低的。</w:t>
      </w:r>
    </w:p>
    <w:p>
      <w:pPr>
        <w:ind w:firstLine="48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8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80" w:firstLineChars="200"/>
        <w:rPr>
          <w:rFonts w:ascii="宋体" w:hAnsi="宋体"/>
          <w:b/>
          <w:bCs/>
          <w:szCs w:val="21"/>
        </w:rPr>
      </w:pPr>
      <w:r>
        <w:rPr>
          <w:rFonts w:hint="eastAsia" w:ascii="宋体" w:hAnsi="宋体"/>
          <w:b/>
          <w:bCs/>
          <w:szCs w:val="21"/>
        </w:rPr>
        <w:t xml:space="preserve"> 37.4重新组建评审委员会的情形</w:t>
      </w:r>
    </w:p>
    <w:p>
      <w:pPr>
        <w:ind w:firstLine="48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8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8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8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8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8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70" w:firstLineChars="196"/>
        <w:rPr>
          <w:rFonts w:ascii="宋体" w:hAnsi="宋体"/>
          <w:szCs w:val="21"/>
        </w:rPr>
      </w:pPr>
    </w:p>
    <w:p>
      <w:pPr>
        <w:pStyle w:val="52"/>
        <w:keepNext/>
        <w:keepLines/>
        <w:numPr>
          <w:ilvl w:val="0"/>
          <w:numId w:val="13"/>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pPr>
        <w:ind w:firstLine="480" w:firstLineChars="200"/>
        <w:rPr>
          <w:rFonts w:ascii="黑体" w:hAnsi="宋体" w:eastAsia="黑体"/>
          <w:szCs w:val="21"/>
        </w:rPr>
      </w:pPr>
      <w:r>
        <w:rPr>
          <w:rFonts w:hint="eastAsia" w:ascii="黑体" w:hAnsi="宋体" w:eastAsia="黑体"/>
          <w:szCs w:val="21"/>
        </w:rPr>
        <w:t>38．定标方法</w:t>
      </w:r>
    </w:p>
    <w:p>
      <w:pPr>
        <w:ind w:firstLine="480" w:firstLineChars="200"/>
        <w:rPr>
          <w:rFonts w:ascii="宋体" w:hAnsi="宋体"/>
          <w:szCs w:val="21"/>
        </w:rPr>
      </w:pPr>
      <w:bookmarkStart w:id="115" w:name="_Hlk73782795"/>
      <w:r>
        <w:rPr>
          <w:rFonts w:hint="eastAsia" w:ascii="宋体" w:hAnsi="宋体"/>
          <w:szCs w:val="21"/>
        </w:rPr>
        <w:t>38.1非评定分离项目定标方法</w:t>
      </w:r>
    </w:p>
    <w:p>
      <w:pPr>
        <w:ind w:firstLine="480" w:firstLineChars="200"/>
        <w:rPr>
          <w:rFonts w:ascii="宋体" w:hAnsi="宋体"/>
          <w:szCs w:val="21"/>
        </w:rPr>
      </w:pPr>
      <w:r>
        <w:rPr>
          <w:rFonts w:hint="eastAsia" w:ascii="宋体" w:hAnsi="宋体"/>
          <w:szCs w:val="21"/>
        </w:rPr>
        <w:t>38.1.1评审委员会依据本项目招标文件所约定的评审方法进行评审和比较，向</w:t>
      </w:r>
      <w:r>
        <w:rPr>
          <w:rFonts w:hint="eastAsia" w:ascii="宋体" w:hAnsi="宋体"/>
          <w:szCs w:val="21"/>
          <w:highlight w:val="yellow"/>
          <w:lang w:val="en-US" w:eastAsia="zh-CN"/>
        </w:rPr>
        <w:t>采购代理机构</w:t>
      </w:r>
      <w:r>
        <w:rPr>
          <w:rFonts w:hint="eastAsia" w:ascii="宋体" w:hAnsi="宋体"/>
          <w:szCs w:val="21"/>
        </w:rPr>
        <w:t>提交书面评审报告，并根据评审方法比较评价结果从优到劣进行排序，确定候选中标供应商。</w:t>
      </w:r>
    </w:p>
    <w:p>
      <w:pPr>
        <w:ind w:firstLine="480" w:firstLineChars="200"/>
        <w:rPr>
          <w:rFonts w:ascii="ˎ̥" w:hAnsi="ˎ̥"/>
          <w:szCs w:val="21"/>
        </w:rPr>
      </w:pPr>
      <w:r>
        <w:rPr>
          <w:rFonts w:hint="eastAsia" w:ascii="宋体" w:hAnsi="宋体"/>
          <w:szCs w:val="21"/>
        </w:rPr>
        <w:t>38.1.2</w:t>
      </w:r>
      <w:r>
        <w:rPr>
          <w:rFonts w:hint="eastAsia" w:ascii="ˎ̥" w:hAnsi="ˎ̥"/>
          <w:szCs w:val="21"/>
        </w:rPr>
        <w:t>采用最低价法的，评审结果按投标报价由低到高顺序排列。投标报价相同的并列。投标文件满足招标文件全部实质性要求且投标报价最低的投标人为</w:t>
      </w:r>
      <w:bookmarkStart w:id="116" w:name="_Hlk73821177"/>
      <w:r>
        <w:rPr>
          <w:rFonts w:hint="eastAsia" w:ascii="ˎ̥" w:hAnsi="ˎ̥"/>
          <w:szCs w:val="21"/>
        </w:rPr>
        <w:t>唯一候选中标供应商</w:t>
      </w:r>
      <w:bookmarkEnd w:id="116"/>
      <w:r>
        <w:rPr>
          <w:rFonts w:hint="eastAsia" w:ascii="ˎ̥" w:hAnsi="ˎ̥"/>
          <w:szCs w:val="21"/>
        </w:rPr>
        <w:t>。</w:t>
      </w:r>
    </w:p>
    <w:p>
      <w:pPr>
        <w:ind w:firstLine="480" w:firstLineChars="200"/>
        <w:rPr>
          <w:rFonts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80" w:firstLineChars="200"/>
        <w:rPr>
          <w:rFonts w:ascii="宋体" w:hAnsi="宋体"/>
          <w:szCs w:val="21"/>
        </w:rPr>
      </w:pPr>
      <w:r>
        <w:rPr>
          <w:rFonts w:hint="eastAsia" w:ascii="宋体" w:hAnsi="宋体"/>
          <w:szCs w:val="21"/>
        </w:rPr>
        <w:t>38.2评定分离项目定标方法</w:t>
      </w:r>
    </w:p>
    <w:p>
      <w:pPr>
        <w:ind w:firstLine="48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80" w:firstLineChars="200"/>
        <w:rPr>
          <w:szCs w:val="21"/>
        </w:rPr>
      </w:pPr>
      <w:r>
        <w:rPr>
          <w:rFonts w:hint="eastAsia" w:ascii="宋体" w:hAnsi="宋体"/>
          <w:szCs w:val="21"/>
        </w:rPr>
        <w:t xml:space="preserve">38.2.2 </w:t>
      </w:r>
      <w:bookmarkStart w:id="117"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pPr>
        <w:ind w:firstLine="480" w:firstLineChars="200"/>
        <w:rPr>
          <w:rFonts w:ascii="宋体" w:hAnsi="宋体"/>
          <w:szCs w:val="21"/>
        </w:rPr>
      </w:pPr>
      <w:r>
        <w:rPr>
          <w:rFonts w:hint="eastAsia" w:ascii="宋体" w:hAnsi="宋体"/>
          <w:szCs w:val="21"/>
        </w:rPr>
        <w:t>38.2.3</w:t>
      </w:r>
      <w:bookmarkStart w:id="118" w:name="_Hlk71469688"/>
      <w:r>
        <w:rPr>
          <w:rFonts w:hint="eastAsia"/>
          <w:szCs w:val="21"/>
        </w:rPr>
        <w:t>适用评定分离的采购项目，</w:t>
      </w:r>
      <w:r>
        <w:rPr>
          <w:rFonts w:hint="eastAsia" w:ascii="宋体" w:hAnsi="宋体"/>
          <w:szCs w:val="21"/>
        </w:rPr>
        <w:t>按照自定法确定中标供应商：自定法是指采购人组织定标委员会，由定标委员会在三家候选中标供应商中确定中标供应商。</w:t>
      </w:r>
      <w:bookmarkEnd w:id="117"/>
      <w:bookmarkEnd w:id="118"/>
    </w:p>
    <w:p>
      <w:pPr>
        <w:ind w:firstLine="480" w:firstLineChars="200"/>
        <w:rPr>
          <w:rFonts w:ascii="宋体" w:hAnsi="宋体"/>
          <w:szCs w:val="21"/>
        </w:rPr>
      </w:pPr>
      <w:r>
        <w:rPr>
          <w:rFonts w:hint="eastAsia" w:ascii="宋体" w:hAnsi="宋体"/>
          <w:szCs w:val="21"/>
        </w:rPr>
        <w:t>38.2.4</w:t>
      </w:r>
      <w:r>
        <w:rPr>
          <w:rFonts w:hint="eastAsia" w:ascii="宋体" w:hAnsi="宋体"/>
          <w:szCs w:val="21"/>
          <w:highlight w:val="yellow"/>
          <w:lang w:val="en-US" w:eastAsia="zh-CN"/>
        </w:rPr>
        <w:t>采购代理机构</w:t>
      </w:r>
      <w:r>
        <w:rPr>
          <w:rFonts w:hint="eastAsia"/>
          <w:szCs w:val="21"/>
        </w:rPr>
        <w:t>应当自评审结束之日起两个工作日内将候选中标供应商名单及其投标文件、评审报告送交采购人</w:t>
      </w:r>
      <w:r>
        <w:rPr>
          <w:rFonts w:hint="eastAsia" w:ascii="宋体" w:hAnsi="宋体"/>
          <w:szCs w:val="21"/>
        </w:rPr>
        <w:t>。</w:t>
      </w:r>
      <w:r>
        <w:rPr>
          <w:rFonts w:hint="eastAsia"/>
          <w:szCs w:val="21"/>
        </w:rPr>
        <w:t>采购人应当安排专人对定标过程进行书面记录，形成定标报告，作为采购文件的组成部分存档，并及时将定标结果反馈</w:t>
      </w:r>
      <w:r>
        <w:rPr>
          <w:rFonts w:hint="eastAsia" w:ascii="宋体" w:hAnsi="宋体"/>
          <w:szCs w:val="21"/>
          <w:highlight w:val="yellow"/>
          <w:lang w:val="en-US" w:eastAsia="zh-CN"/>
        </w:rPr>
        <w:t>采购代理机构</w:t>
      </w:r>
      <w:r>
        <w:rPr>
          <w:rFonts w:hint="eastAsia"/>
          <w:szCs w:val="21"/>
        </w:rPr>
        <w:t>。具体定标程序及相关要求以参照《深圳市财政局关于印发</w:t>
      </w:r>
      <w:r>
        <w:rPr>
          <w:rFonts w:hint="eastAsia" w:ascii="宋体" w:hAnsi="宋体"/>
          <w:szCs w:val="21"/>
        </w:rPr>
        <w:t>〈</w:t>
      </w:r>
      <w:r>
        <w:rPr>
          <w:rFonts w:hint="eastAsia"/>
          <w:szCs w:val="21"/>
        </w:rPr>
        <w:t>深圳市政府采购评标定标分离管理办法</w:t>
      </w:r>
      <w:r>
        <w:rPr>
          <w:rFonts w:hint="eastAsia" w:ascii="宋体" w:hAnsi="宋体"/>
          <w:szCs w:val="21"/>
        </w:rPr>
        <w:t>〉</w:t>
      </w:r>
      <w:r>
        <w:rPr>
          <w:rFonts w:hint="eastAsia"/>
          <w:szCs w:val="21"/>
        </w:rPr>
        <w:t>的通知》（深财规【</w:t>
      </w:r>
      <w:r>
        <w:rPr>
          <w:szCs w:val="21"/>
        </w:rPr>
        <w:t>2020</w:t>
      </w:r>
      <w:r>
        <w:rPr>
          <w:rFonts w:hint="eastAsia"/>
          <w:szCs w:val="21"/>
        </w:rPr>
        <w:t>】</w:t>
      </w:r>
      <w:r>
        <w:rPr>
          <w:szCs w:val="21"/>
        </w:rPr>
        <w:t>1</w:t>
      </w:r>
      <w:r>
        <w:rPr>
          <w:rFonts w:hint="eastAsia"/>
          <w:szCs w:val="21"/>
        </w:rPr>
        <w:t>号）执行。</w:t>
      </w:r>
    </w:p>
    <w:p>
      <w:pPr>
        <w:ind w:firstLine="480" w:firstLineChars="200"/>
        <w:rPr>
          <w:rFonts w:ascii="宋体" w:hAnsi="宋体"/>
          <w:szCs w:val="21"/>
        </w:rPr>
      </w:pPr>
      <w:r>
        <w:rPr>
          <w:rFonts w:hint="eastAsia" w:ascii="宋体" w:hAnsi="宋体"/>
          <w:szCs w:val="21"/>
        </w:rPr>
        <w:t>说明：采购人及投标供应商应按照上述方法提前做好相关准备。</w:t>
      </w:r>
    </w:p>
    <w:p>
      <w:pPr>
        <w:ind w:firstLine="480" w:firstLineChars="200"/>
        <w:rPr>
          <w:rFonts w:ascii="宋体" w:hAnsi="宋体"/>
          <w:szCs w:val="21"/>
        </w:rPr>
      </w:pPr>
      <w:r>
        <w:rPr>
          <w:rFonts w:hint="eastAsia" w:ascii="宋体" w:hAnsi="宋体"/>
          <w:szCs w:val="21"/>
        </w:rPr>
        <w:t>38.3专用条款另有规定的，按专用条款相关要求定标。</w:t>
      </w:r>
      <w:bookmarkEnd w:id="115"/>
    </w:p>
    <w:p>
      <w:pPr>
        <w:ind w:firstLine="480" w:firstLineChars="200"/>
        <w:rPr>
          <w:rFonts w:ascii="黑体" w:hAnsi="宋体" w:eastAsia="黑体"/>
          <w:szCs w:val="21"/>
        </w:rPr>
      </w:pPr>
      <w:r>
        <w:rPr>
          <w:rFonts w:hint="eastAsia" w:ascii="黑体" w:hAnsi="宋体" w:eastAsia="黑体"/>
          <w:szCs w:val="21"/>
        </w:rPr>
        <w:t>39．编写评审报告</w:t>
      </w:r>
    </w:p>
    <w:p>
      <w:pPr>
        <w:ind w:firstLine="48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80" w:firstLineChars="200"/>
        <w:rPr>
          <w:rFonts w:ascii="黑体" w:hAnsi="宋体" w:eastAsia="黑体"/>
          <w:szCs w:val="21"/>
        </w:rPr>
      </w:pPr>
      <w:r>
        <w:rPr>
          <w:rFonts w:hint="eastAsia" w:ascii="黑体" w:hAnsi="宋体" w:eastAsia="黑体"/>
          <w:szCs w:val="21"/>
        </w:rPr>
        <w:t>40．中标公告</w:t>
      </w:r>
    </w:p>
    <w:p>
      <w:pPr>
        <w:ind w:firstLine="480" w:firstLineChars="200"/>
        <w:rPr>
          <w:rFonts w:ascii="宋体" w:hAnsi="宋体"/>
          <w:szCs w:val="21"/>
        </w:rPr>
      </w:pPr>
      <w:r>
        <w:rPr>
          <w:rFonts w:hint="eastAsia" w:ascii="宋体" w:hAnsi="宋体"/>
          <w:szCs w:val="21"/>
        </w:rPr>
        <w:t>40.1</w:t>
      </w:r>
      <w:bookmarkStart w:id="119" w:name="_Hlk72438709"/>
      <w:r>
        <w:rPr>
          <w:rFonts w:hint="eastAsia" w:ascii="宋体" w:hAnsi="宋体"/>
          <w:szCs w:val="21"/>
        </w:rPr>
        <w:t>为体现“公开、公平、公正”的原则，评审结束后经采购人确认（确定）评审结果，</w:t>
      </w:r>
      <w:r>
        <w:rPr>
          <w:rFonts w:hint="eastAsia" w:ascii="宋体" w:hAnsi="宋体"/>
          <w:szCs w:val="21"/>
          <w:highlight w:val="yellow"/>
          <w:lang w:val="en-US" w:eastAsia="zh-CN"/>
        </w:rPr>
        <w:t>采购代理机构</w:t>
      </w:r>
      <w:r>
        <w:rPr>
          <w:rFonts w:hint="eastAsia" w:ascii="宋体" w:hAnsi="宋体"/>
          <w:szCs w:val="21"/>
        </w:rPr>
        <w:t>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119"/>
      <w:bookmarkStart w:id="120" w:name="_Hlk72438751"/>
      <w:r>
        <w:rPr>
          <w:rFonts w:hint="eastAsia" w:ascii="宋体" w:hAnsi="宋体"/>
          <w:szCs w:val="21"/>
        </w:rPr>
        <w:t>供应商如对评审结果有异议，可在发布公示日期起七个工作日内向</w:t>
      </w:r>
      <w:r>
        <w:rPr>
          <w:rFonts w:hint="eastAsia" w:ascii="宋体" w:hAnsi="宋体"/>
          <w:szCs w:val="21"/>
          <w:highlight w:val="yellow"/>
        </w:rPr>
        <w:t>采购代理机构</w:t>
      </w:r>
      <w:r>
        <w:rPr>
          <w:rFonts w:hint="eastAsia" w:ascii="宋体" w:hAnsi="宋体"/>
          <w:szCs w:val="21"/>
        </w:rPr>
        <w:t>提出。监督电话：0755-86500050。若在公示期内未提出质疑，则视为认同该评审结果。</w:t>
      </w:r>
    </w:p>
    <w:bookmarkEnd w:id="120"/>
    <w:p>
      <w:pPr>
        <w:ind w:firstLine="480" w:firstLineChars="200"/>
        <w:rPr>
          <w:rFonts w:ascii="宋体" w:hAnsi="宋体"/>
          <w:szCs w:val="21"/>
        </w:rPr>
      </w:pPr>
      <w:r>
        <w:rPr>
          <w:rFonts w:hint="eastAsia" w:ascii="宋体" w:hAnsi="宋体"/>
          <w:szCs w:val="21"/>
        </w:rPr>
        <w:t>40.2质疑、投诉供应商应保证质疑、投诉内容的真实性和可靠性，并承担相应的法律责任。</w:t>
      </w:r>
    </w:p>
    <w:p>
      <w:pPr>
        <w:ind w:firstLine="480" w:firstLineChars="200"/>
        <w:rPr>
          <w:rFonts w:ascii="黑体" w:hAnsi="宋体" w:eastAsia="黑体"/>
          <w:szCs w:val="21"/>
        </w:rPr>
      </w:pPr>
      <w:r>
        <w:rPr>
          <w:rFonts w:hint="eastAsia" w:ascii="黑体" w:hAnsi="宋体" w:eastAsia="黑体"/>
          <w:szCs w:val="21"/>
        </w:rPr>
        <w:t>41．中标通知书</w:t>
      </w:r>
    </w:p>
    <w:p>
      <w:pPr>
        <w:ind w:firstLine="480" w:firstLineChars="200"/>
        <w:rPr>
          <w:rFonts w:ascii="宋体" w:hAnsi="宋体"/>
          <w:szCs w:val="21"/>
        </w:rPr>
      </w:pPr>
      <w:r>
        <w:rPr>
          <w:rFonts w:hint="eastAsia" w:ascii="宋体" w:hAnsi="宋体"/>
          <w:szCs w:val="21"/>
        </w:rPr>
        <w:t>41.1</w:t>
      </w:r>
      <w:bookmarkStart w:id="121"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21"/>
    </w:p>
    <w:p>
      <w:pPr>
        <w:ind w:firstLine="480" w:firstLineChars="200"/>
        <w:rPr>
          <w:rFonts w:ascii="宋体" w:hAnsi="宋体"/>
          <w:szCs w:val="21"/>
        </w:rPr>
      </w:pPr>
      <w:r>
        <w:rPr>
          <w:rFonts w:hint="eastAsia" w:ascii="宋体" w:hAnsi="宋体"/>
          <w:szCs w:val="21"/>
        </w:rPr>
        <w:t>41.2中标通知书是合同的重要组成部分。</w:t>
      </w:r>
    </w:p>
    <w:p>
      <w:pPr>
        <w:ind w:firstLine="480" w:firstLineChars="200"/>
        <w:rPr>
          <w:rFonts w:ascii="宋体" w:hAnsi="宋体"/>
          <w:szCs w:val="21"/>
        </w:rPr>
      </w:pPr>
      <w:bookmarkStart w:id="122" w:name="_Hlk71407340"/>
      <w:r>
        <w:rPr>
          <w:rFonts w:hint="eastAsia" w:ascii="宋体" w:hAnsi="宋体"/>
          <w:szCs w:val="21"/>
        </w:rPr>
        <w:t>41.3因质疑投诉或其它原因导致项目结果变更或采购终止的，</w:t>
      </w:r>
      <w:r>
        <w:rPr>
          <w:rFonts w:hint="eastAsia" w:ascii="宋体" w:hAnsi="宋体"/>
          <w:szCs w:val="21"/>
          <w:highlight w:val="yellow"/>
          <w:lang w:val="en-US" w:eastAsia="zh-CN"/>
        </w:rPr>
        <w:t>采购代理机构</w:t>
      </w:r>
      <w:r>
        <w:rPr>
          <w:rFonts w:hint="eastAsia" w:ascii="宋体" w:hAnsi="宋体"/>
          <w:szCs w:val="21"/>
        </w:rPr>
        <w:t>有权吊销中标通知书。</w:t>
      </w:r>
      <w:bookmarkEnd w:id="122"/>
    </w:p>
    <w:p>
      <w:pPr>
        <w:pStyle w:val="52"/>
        <w:keepNext/>
        <w:keepLines/>
        <w:numPr>
          <w:ilvl w:val="0"/>
          <w:numId w:val="13"/>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pPr>
        <w:ind w:firstLine="480" w:firstLineChars="200"/>
        <w:rPr>
          <w:rFonts w:ascii="黑体" w:hAnsi="宋体" w:eastAsia="黑体"/>
          <w:szCs w:val="21"/>
        </w:rPr>
      </w:pPr>
      <w:r>
        <w:rPr>
          <w:rFonts w:hint="eastAsia" w:ascii="黑体" w:hAnsi="宋体" w:eastAsia="黑体"/>
          <w:szCs w:val="21"/>
        </w:rPr>
        <w:t>42．公开招标失败的处理</w:t>
      </w:r>
    </w:p>
    <w:p>
      <w:pPr>
        <w:ind w:firstLine="470"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实际递交投标文件的供应商数量不足、经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szCs w:val="21"/>
          <w:highlight w:val="yellow"/>
          <w:lang w:val="en-US" w:eastAsia="zh-CN"/>
        </w:rPr>
        <w:t>采购代理机构</w:t>
      </w:r>
      <w:r>
        <w:rPr>
          <w:rFonts w:hint="eastAsia" w:ascii="宋体" w:hAnsi="宋体"/>
        </w:rPr>
        <w:t>重新组织采购。</w:t>
      </w:r>
    </w:p>
    <w:p>
      <w:pPr>
        <w:ind w:firstLine="470"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szCs w:val="21"/>
        </w:rPr>
      </w:pPr>
      <w:r>
        <w:rPr>
          <w:rFonts w:hint="eastAsia" w:ascii="宋体" w:hAnsi="宋体"/>
          <w:szCs w:val="21"/>
        </w:rPr>
        <w:t>42.3重新组织采购有以下两种组织形式：</w:t>
      </w:r>
    </w:p>
    <w:p>
      <w:pPr>
        <w:ind w:firstLine="470" w:firstLineChars="196"/>
        <w:rPr>
          <w:rFonts w:ascii="宋体" w:hAnsi="宋体"/>
        </w:rPr>
      </w:pPr>
      <w:r>
        <w:rPr>
          <w:rFonts w:hint="eastAsia" w:ascii="宋体" w:hAnsi="宋体"/>
        </w:rPr>
        <w:t>（1）由</w:t>
      </w:r>
      <w:r>
        <w:rPr>
          <w:rFonts w:hint="eastAsia" w:ascii="宋体" w:hAnsi="宋体"/>
          <w:szCs w:val="21"/>
          <w:highlight w:val="yellow"/>
          <w:lang w:val="en-US" w:eastAsia="zh-CN"/>
        </w:rPr>
        <w:t>采购代理机构</w:t>
      </w:r>
      <w:r>
        <w:rPr>
          <w:rFonts w:hint="eastAsia" w:ascii="宋体" w:hAnsi="宋体"/>
        </w:rPr>
        <w:t>重新组织公开招标；</w:t>
      </w:r>
    </w:p>
    <w:p>
      <w:pPr>
        <w:ind w:firstLine="470" w:firstLineChars="196"/>
        <w:rPr>
          <w:rFonts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pPr>
        <w:ind w:firstLine="470" w:firstLineChars="196"/>
        <w:rPr>
          <w:rFonts w:ascii="宋体" w:hAnsi="宋体"/>
        </w:rPr>
      </w:pPr>
      <w:r>
        <w:rPr>
          <w:rFonts w:hint="eastAsia" w:ascii="宋体" w:hAnsi="宋体"/>
        </w:rPr>
        <w:t>42.4公开招标失败的采购项目重新组织公开招标，由</w:t>
      </w:r>
      <w:r>
        <w:rPr>
          <w:rFonts w:hint="eastAsia" w:ascii="宋体" w:hAnsi="宋体"/>
          <w:szCs w:val="21"/>
          <w:highlight w:val="yellow"/>
          <w:lang w:val="en-US" w:eastAsia="zh-CN"/>
        </w:rPr>
        <w:t>采购代理机构</w:t>
      </w:r>
      <w:r>
        <w:rPr>
          <w:rFonts w:hint="eastAsia" w:ascii="宋体" w:hAnsi="宋体"/>
        </w:rPr>
        <w:t>重新按公开招标流程组织采购活动。</w:t>
      </w:r>
    </w:p>
    <w:p>
      <w:pPr>
        <w:ind w:firstLine="480" w:firstLineChars="200"/>
        <w:rPr>
          <w:rFonts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pPr>
        <w:pStyle w:val="52"/>
        <w:keepNext/>
        <w:keepLines/>
        <w:numPr>
          <w:ilvl w:val="0"/>
          <w:numId w:val="13"/>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123" w:name="_Hlk72439043"/>
      <w:r>
        <w:rPr>
          <w:rFonts w:hint="eastAsia" w:ascii="Cambria" w:hAnsi="Cambria" w:cs="宋体"/>
          <w:b/>
          <w:bCs/>
          <w:sz w:val="28"/>
          <w:szCs w:val="28"/>
        </w:rPr>
        <w:t>合同的授予与备案</w:t>
      </w:r>
      <w:bookmarkEnd w:id="123"/>
    </w:p>
    <w:p>
      <w:pPr>
        <w:ind w:firstLine="480" w:firstLineChars="200"/>
        <w:rPr>
          <w:rFonts w:ascii="黑体" w:hAnsi="宋体" w:eastAsia="黑体"/>
          <w:szCs w:val="21"/>
        </w:rPr>
      </w:pPr>
      <w:bookmarkStart w:id="124" w:name="_Toc73521586"/>
      <w:bookmarkStart w:id="125" w:name="_Toc100052408"/>
      <w:bookmarkStart w:id="126" w:name="_Toc73521674"/>
      <w:bookmarkStart w:id="127" w:name="_Toc73517679"/>
      <w:bookmarkStart w:id="128" w:name="_Toc73518157"/>
      <w:bookmarkStart w:id="129" w:name="_Hlk72439088"/>
      <w:r>
        <w:rPr>
          <w:rFonts w:hint="eastAsia" w:ascii="黑体" w:hAnsi="宋体" w:eastAsia="黑体"/>
          <w:szCs w:val="21"/>
        </w:rPr>
        <w:t>43．合同授予标准</w:t>
      </w:r>
      <w:bookmarkEnd w:id="124"/>
      <w:bookmarkEnd w:id="125"/>
      <w:bookmarkEnd w:id="126"/>
      <w:bookmarkEnd w:id="127"/>
      <w:bookmarkEnd w:id="128"/>
    </w:p>
    <w:p>
      <w:pPr>
        <w:ind w:firstLine="480" w:firstLineChars="200"/>
        <w:rPr>
          <w:rFonts w:ascii="宋体" w:hAnsi="宋体"/>
          <w:szCs w:val="21"/>
        </w:rPr>
      </w:pPr>
      <w:r>
        <w:rPr>
          <w:rFonts w:hint="eastAsia" w:ascii="宋体" w:hAnsi="宋体"/>
          <w:szCs w:val="21"/>
        </w:rPr>
        <w:t>本项目的合同将授予经本招标文件规定评审确定的中标供应商。</w:t>
      </w:r>
    </w:p>
    <w:p>
      <w:pPr>
        <w:ind w:firstLine="480" w:firstLineChars="200"/>
        <w:rPr>
          <w:rFonts w:ascii="黑体" w:hAnsi="宋体" w:eastAsia="黑体"/>
          <w:szCs w:val="21"/>
        </w:rPr>
      </w:pPr>
      <w:bookmarkStart w:id="130" w:name="_Toc73517680"/>
      <w:bookmarkStart w:id="131" w:name="_Toc73521587"/>
      <w:bookmarkStart w:id="132" w:name="_Toc73518158"/>
      <w:bookmarkStart w:id="133" w:name="_Toc73521675"/>
      <w:bookmarkStart w:id="134" w:name="_Toc100052409"/>
      <w:r>
        <w:rPr>
          <w:rFonts w:hint="eastAsia" w:ascii="黑体" w:hAnsi="宋体" w:eastAsia="黑体"/>
          <w:szCs w:val="21"/>
        </w:rPr>
        <w:t>44．</w:t>
      </w:r>
      <w:bookmarkEnd w:id="130"/>
      <w:bookmarkEnd w:id="131"/>
      <w:bookmarkEnd w:id="132"/>
      <w:bookmarkEnd w:id="133"/>
      <w:bookmarkEnd w:id="134"/>
      <w:r>
        <w:rPr>
          <w:rFonts w:hint="eastAsia" w:ascii="黑体" w:hAnsi="宋体" w:eastAsia="黑体"/>
          <w:szCs w:val="21"/>
        </w:rPr>
        <w:t>接受和拒绝任何或所有投标的权力</w:t>
      </w:r>
    </w:p>
    <w:p>
      <w:pPr>
        <w:ind w:firstLine="480" w:firstLineChars="200"/>
        <w:rPr>
          <w:rFonts w:ascii="宋体" w:hAnsi="宋体"/>
          <w:szCs w:val="21"/>
        </w:rPr>
      </w:pPr>
      <w:r>
        <w:rPr>
          <w:rFonts w:hint="eastAsia" w:ascii="宋体" w:hAnsi="宋体"/>
          <w:szCs w:val="21"/>
          <w:highlight w:val="yellow"/>
          <w:lang w:val="en-US" w:eastAsia="zh-CN"/>
        </w:rPr>
        <w:t>采购代理机构</w:t>
      </w:r>
      <w:r>
        <w:rPr>
          <w:rFonts w:hint="eastAsia" w:ascii="宋体" w:hAnsi="宋体"/>
          <w:szCs w:val="21"/>
        </w:rPr>
        <w:t>和采购人保留在投标之前任何时候接受或拒绝任何投标或所有投标，以及宣布招标无效的权力，对受影响的投标人不承担任何责任，也无义务向受影响的投标人解释采取这一行动的理由。</w:t>
      </w:r>
    </w:p>
    <w:p>
      <w:pPr>
        <w:ind w:firstLine="480" w:firstLineChars="200"/>
        <w:rPr>
          <w:rFonts w:ascii="黑体" w:hAnsi="宋体" w:eastAsia="黑体"/>
          <w:szCs w:val="21"/>
        </w:rPr>
      </w:pPr>
      <w:bookmarkStart w:id="135" w:name="_Toc73518160"/>
      <w:bookmarkStart w:id="136" w:name="_Toc73521589"/>
      <w:bookmarkStart w:id="137" w:name="_Toc73521677"/>
      <w:bookmarkStart w:id="138" w:name="_Toc73517682"/>
      <w:bookmarkStart w:id="139" w:name="_Toc100052410"/>
      <w:r>
        <w:rPr>
          <w:rFonts w:hint="eastAsia" w:ascii="黑体" w:hAnsi="宋体" w:eastAsia="黑体"/>
          <w:szCs w:val="21"/>
        </w:rPr>
        <w:t>45．合同的签订</w:t>
      </w:r>
      <w:bookmarkEnd w:id="135"/>
      <w:bookmarkEnd w:id="136"/>
      <w:bookmarkEnd w:id="137"/>
      <w:bookmarkEnd w:id="138"/>
      <w:bookmarkEnd w:id="139"/>
    </w:p>
    <w:p>
      <w:pPr>
        <w:ind w:firstLine="48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pPr>
        <w:ind w:firstLine="48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pPr>
        <w:ind w:firstLine="48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pPr>
        <w:ind w:firstLine="480" w:firstLineChars="200"/>
        <w:rPr>
          <w:rFonts w:ascii="黑体" w:hAnsi="宋体" w:eastAsia="黑体"/>
          <w:szCs w:val="21"/>
        </w:rPr>
      </w:pPr>
      <w:bookmarkStart w:id="140" w:name="_Toc100052411"/>
      <w:bookmarkStart w:id="141" w:name="_Toc73517683"/>
      <w:bookmarkStart w:id="142" w:name="_Toc73521678"/>
      <w:bookmarkStart w:id="143" w:name="_Toc73518161"/>
      <w:bookmarkStart w:id="144" w:name="_Toc73521590"/>
      <w:r>
        <w:rPr>
          <w:rFonts w:hint="eastAsia" w:ascii="黑体" w:hAnsi="宋体" w:eastAsia="黑体"/>
          <w:szCs w:val="21"/>
        </w:rPr>
        <w:t>46．履约担保</w:t>
      </w:r>
      <w:bookmarkEnd w:id="140"/>
      <w:bookmarkEnd w:id="141"/>
      <w:bookmarkEnd w:id="142"/>
      <w:bookmarkEnd w:id="143"/>
      <w:bookmarkEnd w:id="144"/>
    </w:p>
    <w:p>
      <w:pPr>
        <w:ind w:firstLine="48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8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pPr>
        <w:ind w:firstLine="480" w:firstLineChars="200"/>
        <w:rPr>
          <w:rFonts w:ascii="黑体" w:hAnsi="宋体" w:eastAsia="黑体"/>
          <w:szCs w:val="21"/>
        </w:rPr>
      </w:pPr>
      <w:r>
        <w:rPr>
          <w:rFonts w:hint="eastAsia" w:ascii="黑体" w:hAnsi="宋体" w:eastAsia="黑体"/>
          <w:szCs w:val="21"/>
        </w:rPr>
        <w:t>47. 合同备案</w:t>
      </w:r>
    </w:p>
    <w:p>
      <w:pPr>
        <w:ind w:firstLine="480" w:firstLineChars="200"/>
        <w:rPr>
          <w:rFonts w:ascii="宋体" w:hAnsi="宋体"/>
          <w:szCs w:val="21"/>
        </w:rPr>
      </w:pPr>
      <w:r>
        <w:rPr>
          <w:rFonts w:hint="eastAsia" w:ascii="宋体" w:hAnsi="宋体"/>
          <w:szCs w:val="21"/>
        </w:rPr>
        <w:t>采购人与中标供应商自中标通知书发出之日起10个工作日内签订采购合同，并按采购人内控制度规定提交备案。</w:t>
      </w:r>
    </w:p>
    <w:p>
      <w:pPr>
        <w:ind w:firstLine="480" w:firstLineChars="200"/>
        <w:rPr>
          <w:rFonts w:ascii="黑体" w:hAnsi="宋体" w:eastAsia="黑体"/>
          <w:szCs w:val="21"/>
        </w:rPr>
      </w:pPr>
      <w:r>
        <w:rPr>
          <w:rFonts w:hint="eastAsia" w:ascii="黑体" w:hAnsi="宋体" w:eastAsia="黑体"/>
          <w:szCs w:val="21"/>
        </w:rPr>
        <w:t>48. 合同变更</w:t>
      </w:r>
    </w:p>
    <w:p>
      <w:pPr>
        <w:ind w:firstLine="48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80" w:firstLineChars="200"/>
        <w:rPr>
          <w:rFonts w:ascii="黑体" w:hAnsi="宋体" w:eastAsia="黑体"/>
          <w:szCs w:val="21"/>
        </w:rPr>
      </w:pPr>
      <w:r>
        <w:rPr>
          <w:rFonts w:hint="eastAsia" w:ascii="黑体" w:hAnsi="宋体" w:eastAsia="黑体"/>
          <w:szCs w:val="21"/>
        </w:rPr>
        <w:t>49. 项目验收</w:t>
      </w:r>
    </w:p>
    <w:p>
      <w:pPr>
        <w:widowControl/>
        <w:ind w:firstLine="48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pPr>
        <w:ind w:firstLine="480" w:firstLineChars="200"/>
        <w:rPr>
          <w:rFonts w:ascii="黑体" w:hAnsi="宋体" w:eastAsia="黑体"/>
          <w:szCs w:val="21"/>
        </w:rPr>
      </w:pPr>
      <w:r>
        <w:rPr>
          <w:rFonts w:hint="eastAsia" w:ascii="黑体" w:hAnsi="宋体" w:eastAsia="黑体"/>
          <w:szCs w:val="21"/>
        </w:rPr>
        <w:t>50. 宣传</w:t>
      </w:r>
    </w:p>
    <w:p>
      <w:pPr>
        <w:ind w:firstLine="48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80" w:firstLineChars="200"/>
        <w:rPr>
          <w:rFonts w:ascii="宋体" w:hAnsi="宋体"/>
          <w:szCs w:val="21"/>
        </w:rPr>
      </w:pPr>
      <w:r>
        <w:rPr>
          <w:rFonts w:hint="eastAsia" w:ascii="宋体" w:hAnsi="宋体"/>
          <w:szCs w:val="21"/>
        </w:rPr>
        <w:t>a.名片、宣传册、广告标语等；</w:t>
      </w:r>
    </w:p>
    <w:p>
      <w:pPr>
        <w:ind w:firstLine="480" w:firstLineChars="200"/>
        <w:rPr>
          <w:rFonts w:ascii="宋体" w:hAnsi="宋体"/>
          <w:szCs w:val="21"/>
        </w:rPr>
      </w:pPr>
      <w:r>
        <w:rPr>
          <w:rFonts w:hint="eastAsia" w:ascii="宋体" w:hAnsi="宋体"/>
          <w:szCs w:val="21"/>
        </w:rPr>
        <w:t>b.案例介绍、推广等；</w:t>
      </w:r>
    </w:p>
    <w:p>
      <w:pPr>
        <w:ind w:firstLine="480" w:firstLineChars="200"/>
        <w:rPr>
          <w:rFonts w:ascii="宋体" w:hAnsi="宋体"/>
          <w:szCs w:val="21"/>
        </w:rPr>
      </w:pPr>
      <w:r>
        <w:rPr>
          <w:rFonts w:hint="eastAsia" w:ascii="宋体" w:hAnsi="宋体"/>
          <w:szCs w:val="21"/>
        </w:rPr>
        <w:t>c.工作人员向其他消费群体宣传。</w:t>
      </w:r>
    </w:p>
    <w:p>
      <w:pPr>
        <w:ind w:firstLine="480" w:firstLineChars="200"/>
        <w:rPr>
          <w:rFonts w:ascii="黑体" w:hAnsi="宋体" w:eastAsia="黑体"/>
          <w:szCs w:val="21"/>
        </w:rPr>
      </w:pPr>
      <w:r>
        <w:rPr>
          <w:rFonts w:hint="eastAsia" w:ascii="黑体" w:hAnsi="宋体" w:eastAsia="黑体"/>
          <w:szCs w:val="21"/>
        </w:rPr>
        <w:t>51. 供应商违法责任</w:t>
      </w:r>
    </w:p>
    <w:p>
      <w:pPr>
        <w:ind w:firstLine="48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80" w:firstLineChars="200"/>
        <w:rPr>
          <w:rFonts w:ascii="宋体" w:hAnsi="宋体"/>
          <w:szCs w:val="21"/>
        </w:rPr>
      </w:pPr>
      <w:r>
        <w:rPr>
          <w:rFonts w:hint="eastAsia" w:ascii="宋体" w:hAnsi="宋体"/>
          <w:szCs w:val="21"/>
        </w:rPr>
        <w:t>（1）在采购活动中应当回避而未回避的；</w:t>
      </w:r>
    </w:p>
    <w:p>
      <w:pPr>
        <w:ind w:firstLine="480" w:firstLineChars="200"/>
        <w:rPr>
          <w:rFonts w:ascii="宋体" w:hAnsi="宋体"/>
          <w:szCs w:val="21"/>
        </w:rPr>
      </w:pPr>
      <w:r>
        <w:rPr>
          <w:rFonts w:hint="eastAsia" w:ascii="宋体" w:hAnsi="宋体"/>
          <w:szCs w:val="21"/>
        </w:rPr>
        <w:t>（2）未按本条例规定签订、履行采购合同，造成严重后果的；</w:t>
      </w:r>
    </w:p>
    <w:p>
      <w:pPr>
        <w:ind w:firstLine="480" w:firstLineChars="200"/>
        <w:rPr>
          <w:rFonts w:ascii="宋体" w:hAnsi="宋体"/>
          <w:szCs w:val="21"/>
        </w:rPr>
      </w:pPr>
      <w:r>
        <w:rPr>
          <w:rFonts w:hint="eastAsia" w:ascii="宋体" w:hAnsi="宋体"/>
          <w:szCs w:val="21"/>
        </w:rPr>
        <w:t>（3）隐瞒真实情况，提供虚假资料的；</w:t>
      </w:r>
    </w:p>
    <w:p>
      <w:pPr>
        <w:ind w:firstLine="480" w:firstLineChars="200"/>
        <w:rPr>
          <w:rFonts w:ascii="宋体" w:hAnsi="宋体"/>
          <w:szCs w:val="21"/>
        </w:rPr>
      </w:pPr>
      <w:r>
        <w:rPr>
          <w:rFonts w:hint="eastAsia" w:ascii="宋体" w:hAnsi="宋体"/>
          <w:szCs w:val="21"/>
        </w:rPr>
        <w:t>（4）以非法手段排斥其他供应商参与竞争的；</w:t>
      </w:r>
    </w:p>
    <w:p>
      <w:pPr>
        <w:ind w:firstLine="480" w:firstLineChars="200"/>
        <w:rPr>
          <w:rFonts w:ascii="宋体" w:hAnsi="宋体"/>
          <w:szCs w:val="21"/>
        </w:rPr>
      </w:pPr>
      <w:r>
        <w:rPr>
          <w:rFonts w:hint="eastAsia" w:ascii="宋体" w:hAnsi="宋体"/>
          <w:szCs w:val="21"/>
        </w:rPr>
        <w:t>（5）与其他采购参加人串通投标的；</w:t>
      </w:r>
    </w:p>
    <w:p>
      <w:pPr>
        <w:ind w:firstLine="480" w:firstLineChars="200"/>
        <w:rPr>
          <w:rFonts w:ascii="宋体" w:hAnsi="宋体"/>
          <w:szCs w:val="21"/>
        </w:rPr>
      </w:pPr>
      <w:r>
        <w:rPr>
          <w:rFonts w:hint="eastAsia" w:ascii="宋体" w:hAnsi="宋体"/>
          <w:szCs w:val="21"/>
        </w:rPr>
        <w:t>（6）恶意投诉的；</w:t>
      </w:r>
    </w:p>
    <w:p>
      <w:pPr>
        <w:ind w:firstLine="480" w:firstLineChars="200"/>
        <w:rPr>
          <w:rFonts w:ascii="宋体" w:hAnsi="宋体"/>
          <w:szCs w:val="21"/>
        </w:rPr>
      </w:pPr>
      <w:r>
        <w:rPr>
          <w:rFonts w:hint="eastAsia" w:ascii="宋体" w:hAnsi="宋体"/>
          <w:szCs w:val="21"/>
        </w:rPr>
        <w:t>（7）向采购项目相关人行贿或者提供其他不当利益的；</w:t>
      </w:r>
    </w:p>
    <w:p>
      <w:pPr>
        <w:ind w:firstLine="480" w:firstLineChars="200"/>
        <w:rPr>
          <w:rFonts w:ascii="宋体" w:hAnsi="宋体"/>
          <w:szCs w:val="21"/>
        </w:rPr>
      </w:pPr>
      <w:r>
        <w:rPr>
          <w:rFonts w:hint="eastAsia" w:ascii="宋体" w:hAnsi="宋体"/>
          <w:szCs w:val="21"/>
        </w:rPr>
        <w:t>（8）阻碍、抗拒主管部门监督检查的；</w:t>
      </w:r>
    </w:p>
    <w:p>
      <w:pPr>
        <w:ind w:firstLine="480" w:firstLineChars="200"/>
        <w:rPr>
          <w:rFonts w:ascii="宋体" w:hAnsi="宋体"/>
          <w:szCs w:val="21"/>
        </w:rPr>
      </w:pPr>
      <w:r>
        <w:rPr>
          <w:rFonts w:hint="eastAsia" w:ascii="宋体" w:hAnsi="宋体"/>
          <w:szCs w:val="21"/>
        </w:rPr>
        <w:t>（9）其他违反本条例规定的行为。</w:t>
      </w:r>
    </w:p>
    <w:p>
      <w:pPr>
        <w:ind w:firstLine="480" w:firstLineChars="200"/>
        <w:rPr>
          <w:rFonts w:ascii="宋体" w:hAnsi="宋体"/>
          <w:szCs w:val="21"/>
        </w:rPr>
      </w:pPr>
      <w:r>
        <w:rPr>
          <w:rFonts w:hint="eastAsia" w:ascii="宋体" w:hAnsi="宋体"/>
          <w:szCs w:val="21"/>
        </w:rPr>
        <w:t>51.2 根据《深圳市财政局关于调整政府采购投标（响应）保证金管理政策的通知 》（深财购〔2021〕51 号）的要求，供应商在采购活动中出现《深圳经济特区政府采购条例实施细则》第八十条所列情形的，</w:t>
      </w:r>
      <w:bookmarkStart w:id="145" w:name="_Hlk72440769"/>
      <w:r>
        <w:rPr>
          <w:rFonts w:hint="eastAsia" w:ascii="宋体" w:hAnsi="宋体"/>
          <w:szCs w:val="21"/>
          <w:highlight w:val="yellow"/>
          <w:lang w:val="en-US" w:eastAsia="zh-CN"/>
        </w:rPr>
        <w:t>采购代理机构</w:t>
      </w:r>
      <w:r>
        <w:rPr>
          <w:rFonts w:hint="eastAsia" w:ascii="宋体" w:hAnsi="宋体"/>
          <w:szCs w:val="21"/>
        </w:rPr>
        <w:t>或采购人不予退还其交纳的谈判保证金，情节严重的，并由主管部门</w:t>
      </w:r>
      <w:bookmarkEnd w:id="145"/>
      <w:r>
        <w:rPr>
          <w:rFonts w:hint="eastAsia" w:ascii="宋体" w:hAnsi="宋体"/>
          <w:szCs w:val="21"/>
        </w:rPr>
        <w:t>记入供应商诚信档案，予以通报：</w:t>
      </w:r>
    </w:p>
    <w:p>
      <w:pPr>
        <w:ind w:firstLine="480" w:firstLineChars="200"/>
        <w:rPr>
          <w:rFonts w:ascii="宋体" w:hAnsi="宋体"/>
          <w:szCs w:val="21"/>
        </w:rPr>
      </w:pPr>
      <w:r>
        <w:rPr>
          <w:rFonts w:hint="eastAsia" w:ascii="宋体" w:hAnsi="宋体"/>
          <w:szCs w:val="21"/>
        </w:rPr>
        <w:t>（1）投标截止后，撤销投标的；</w:t>
      </w:r>
    </w:p>
    <w:p>
      <w:pPr>
        <w:ind w:firstLine="480" w:firstLineChars="200"/>
        <w:rPr>
          <w:rFonts w:ascii="宋体" w:hAnsi="宋体"/>
          <w:szCs w:val="21"/>
        </w:rPr>
      </w:pPr>
      <w:r>
        <w:rPr>
          <w:rFonts w:hint="eastAsia" w:ascii="宋体" w:hAnsi="宋体"/>
          <w:szCs w:val="21"/>
        </w:rPr>
        <w:t>（2）中标后无正当理由未在规定期限内签订合同的；</w:t>
      </w:r>
    </w:p>
    <w:p>
      <w:pPr>
        <w:ind w:firstLine="480" w:firstLineChars="200"/>
        <w:rPr>
          <w:rFonts w:ascii="宋体" w:hAnsi="宋体"/>
          <w:szCs w:val="21"/>
        </w:rPr>
      </w:pPr>
      <w:r>
        <w:rPr>
          <w:rFonts w:hint="eastAsia" w:ascii="宋体" w:hAnsi="宋体"/>
          <w:szCs w:val="21"/>
        </w:rPr>
        <w:t>（3）将中标项目转让给他人、或者在投标文件中未说明且未经采购人、采购招标机构同意，将中标项目分包给他人的；</w:t>
      </w:r>
    </w:p>
    <w:p>
      <w:pPr>
        <w:ind w:firstLine="480" w:firstLineChars="200"/>
      </w:pPr>
      <w:r>
        <w:rPr>
          <w:rFonts w:hint="eastAsia" w:ascii="宋体" w:hAnsi="宋体"/>
          <w:szCs w:val="21"/>
        </w:rPr>
        <w:t>（4）拒绝履行合同义务的。</w:t>
      </w:r>
    </w:p>
    <w:bookmarkEnd w:id="129"/>
    <w:p>
      <w:pPr>
        <w:pStyle w:val="52"/>
        <w:keepNext/>
        <w:keepLines/>
        <w:numPr>
          <w:ilvl w:val="0"/>
          <w:numId w:val="13"/>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pPr>
        <w:ind w:firstLine="480" w:firstLineChars="200"/>
        <w:rPr>
          <w:rFonts w:ascii="黑体" w:hAnsi="宋体" w:eastAsia="黑体"/>
          <w:szCs w:val="21"/>
        </w:rPr>
      </w:pPr>
      <w:r>
        <w:rPr>
          <w:rFonts w:hint="eastAsia" w:ascii="黑体" w:hAnsi="宋体" w:eastAsia="黑体"/>
          <w:szCs w:val="21"/>
        </w:rPr>
        <w:t>52.质疑提出与答复</w:t>
      </w:r>
    </w:p>
    <w:p>
      <w:pPr>
        <w:ind w:firstLine="480" w:firstLineChars="200"/>
        <w:rPr>
          <w:rFonts w:ascii="宋体" w:hAnsi="宋体"/>
          <w:szCs w:val="21"/>
        </w:rPr>
      </w:pPr>
      <w:r>
        <w:rPr>
          <w:rFonts w:hint="eastAsia" w:ascii="宋体" w:hAnsi="宋体"/>
          <w:szCs w:val="21"/>
        </w:rPr>
        <w:t>52.1提出质疑</w:t>
      </w:r>
    </w:p>
    <w:p>
      <w:pPr>
        <w:ind w:firstLine="48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w:t>
      </w:r>
      <w:r>
        <w:rPr>
          <w:rFonts w:hint="eastAsia" w:ascii="宋体" w:hAnsi="宋体"/>
          <w:szCs w:val="21"/>
          <w:highlight w:val="yellow"/>
          <w:lang w:val="en-US" w:eastAsia="zh-CN"/>
        </w:rPr>
        <w:t>采购代理机构</w:t>
      </w:r>
      <w:r>
        <w:rPr>
          <w:rFonts w:hint="eastAsia" w:ascii="宋体" w:hAnsi="宋体"/>
          <w:szCs w:val="21"/>
        </w:rPr>
        <w:t>以书面形式提出质疑。</w:t>
      </w:r>
    </w:p>
    <w:p>
      <w:pPr>
        <w:ind w:firstLine="480" w:firstLineChars="200"/>
        <w:rPr>
          <w:rFonts w:ascii="宋体" w:hAnsi="宋体"/>
          <w:szCs w:val="21"/>
        </w:rPr>
      </w:pPr>
      <w:r>
        <w:rPr>
          <w:rFonts w:hint="eastAsia" w:ascii="宋体" w:hAnsi="宋体"/>
          <w:szCs w:val="21"/>
        </w:rPr>
        <w:t>52.2法律依据</w:t>
      </w:r>
    </w:p>
    <w:p>
      <w:pPr>
        <w:ind w:firstLine="48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ind w:firstLine="480" w:firstLineChars="200"/>
        <w:rPr>
          <w:rFonts w:ascii="宋体" w:hAnsi="宋体"/>
          <w:szCs w:val="21"/>
        </w:rPr>
      </w:pPr>
      <w:r>
        <w:rPr>
          <w:rFonts w:hint="eastAsia" w:ascii="宋体" w:hAnsi="宋体"/>
          <w:szCs w:val="21"/>
        </w:rPr>
        <w:t>52.3质疑条件</w:t>
      </w:r>
    </w:p>
    <w:p>
      <w:pPr>
        <w:ind w:firstLine="480" w:firstLineChars="200"/>
        <w:rPr>
          <w:rFonts w:ascii="宋体" w:hAnsi="宋体"/>
          <w:szCs w:val="21"/>
        </w:rPr>
      </w:pPr>
      <w:r>
        <w:rPr>
          <w:rFonts w:hint="eastAsia" w:ascii="宋体" w:hAnsi="宋体"/>
          <w:szCs w:val="21"/>
        </w:rPr>
        <w:t>52.3.1提出质疑的供应商应当是参与所质疑项目采购活动的供应商；</w:t>
      </w:r>
      <w:bookmarkStart w:id="146" w:name="_Hlk75374941"/>
      <w:r>
        <w:rPr>
          <w:rFonts w:hint="eastAsia" w:ascii="宋体" w:hAnsi="宋体"/>
          <w:szCs w:val="21"/>
        </w:rPr>
        <w:t>以联合体形式参与的，质疑应当由组成联合体的所有成员共同提出</w:t>
      </w:r>
      <w:bookmarkEnd w:id="146"/>
      <w:r>
        <w:rPr>
          <w:rFonts w:hint="eastAsia" w:ascii="宋体" w:hAnsi="宋体"/>
          <w:szCs w:val="21"/>
        </w:rPr>
        <w:t>；</w:t>
      </w:r>
    </w:p>
    <w:p>
      <w:pPr>
        <w:ind w:firstLine="48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80" w:firstLineChars="200"/>
        <w:rPr>
          <w:rFonts w:ascii="宋体" w:hAnsi="宋体"/>
          <w:szCs w:val="21"/>
        </w:rPr>
      </w:pPr>
      <w:r>
        <w:rPr>
          <w:rFonts w:hint="eastAsia" w:ascii="宋体" w:hAnsi="宋体"/>
          <w:szCs w:val="21"/>
        </w:rPr>
        <w:t xml:space="preserve">52.3.3应提交书面质疑函，质疑函应当包括以下内容： </w:t>
      </w:r>
    </w:p>
    <w:p>
      <w:pPr>
        <w:ind w:firstLine="480" w:firstLineChars="200"/>
        <w:rPr>
          <w:rFonts w:ascii="宋体" w:hAnsi="宋体"/>
          <w:szCs w:val="21"/>
        </w:rPr>
      </w:pPr>
      <w:r>
        <w:rPr>
          <w:rFonts w:hint="eastAsia" w:ascii="宋体" w:hAnsi="宋体"/>
          <w:szCs w:val="21"/>
        </w:rPr>
        <w:t>（1）供应商的名称（或者姓名）、地址、邮编、邮箱、联系人及联系电话；</w:t>
      </w:r>
    </w:p>
    <w:p>
      <w:pPr>
        <w:ind w:firstLine="480" w:firstLineChars="200"/>
        <w:rPr>
          <w:rFonts w:ascii="宋体" w:hAnsi="宋体"/>
          <w:szCs w:val="21"/>
        </w:rPr>
      </w:pPr>
      <w:r>
        <w:rPr>
          <w:rFonts w:hint="eastAsia" w:ascii="宋体" w:hAnsi="宋体"/>
          <w:szCs w:val="21"/>
        </w:rPr>
        <w:t>（2）质疑项目的名称、编号；</w:t>
      </w:r>
    </w:p>
    <w:p>
      <w:pPr>
        <w:ind w:firstLine="480" w:firstLineChars="200"/>
        <w:rPr>
          <w:rFonts w:ascii="宋体" w:hAnsi="宋体"/>
          <w:szCs w:val="21"/>
        </w:rPr>
      </w:pPr>
      <w:r>
        <w:rPr>
          <w:rFonts w:hint="eastAsia" w:ascii="宋体" w:hAnsi="宋体"/>
          <w:szCs w:val="21"/>
        </w:rPr>
        <w:t>（3）具体、明确的质疑对象、质疑事项和质疑请求；</w:t>
      </w:r>
    </w:p>
    <w:p>
      <w:pPr>
        <w:ind w:firstLine="480" w:firstLineChars="200"/>
        <w:rPr>
          <w:rFonts w:ascii="宋体" w:hAnsi="宋体"/>
          <w:szCs w:val="21"/>
        </w:rPr>
      </w:pPr>
      <w:r>
        <w:rPr>
          <w:rFonts w:hint="eastAsia" w:ascii="宋体" w:hAnsi="宋体"/>
          <w:szCs w:val="21"/>
        </w:rPr>
        <w:t>（4）因质疑事项而受损害的权益；</w:t>
      </w:r>
    </w:p>
    <w:p>
      <w:pPr>
        <w:ind w:firstLine="480" w:firstLineChars="200"/>
        <w:rPr>
          <w:rFonts w:ascii="宋体" w:hAnsi="宋体"/>
          <w:szCs w:val="21"/>
        </w:rPr>
      </w:pPr>
      <w:r>
        <w:rPr>
          <w:rFonts w:hint="eastAsia" w:ascii="宋体" w:hAnsi="宋体"/>
          <w:szCs w:val="21"/>
        </w:rPr>
        <w:t>（5）事实依据；</w:t>
      </w:r>
    </w:p>
    <w:p>
      <w:pPr>
        <w:ind w:firstLine="480" w:firstLineChars="200"/>
        <w:rPr>
          <w:rFonts w:ascii="宋体" w:hAnsi="宋体"/>
          <w:szCs w:val="21"/>
        </w:rPr>
      </w:pPr>
      <w:r>
        <w:rPr>
          <w:rFonts w:hint="eastAsia" w:ascii="宋体" w:hAnsi="宋体"/>
          <w:szCs w:val="21"/>
        </w:rPr>
        <w:t>（6）必要的法律依据；</w:t>
      </w:r>
    </w:p>
    <w:p>
      <w:pPr>
        <w:ind w:firstLine="480" w:firstLineChars="200"/>
        <w:rPr>
          <w:rFonts w:ascii="宋体" w:hAnsi="宋体"/>
          <w:szCs w:val="21"/>
        </w:rPr>
      </w:pPr>
      <w:r>
        <w:rPr>
          <w:rFonts w:hint="eastAsia" w:ascii="宋体" w:hAnsi="宋体"/>
          <w:szCs w:val="21"/>
        </w:rPr>
        <w:t>（7）提出质疑的日期。</w:t>
      </w:r>
    </w:p>
    <w:p>
      <w:pPr>
        <w:ind w:firstLine="48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szCs w:val="21"/>
        </w:rPr>
      </w:pPr>
      <w:r>
        <w:rPr>
          <w:rFonts w:hint="eastAsia" w:ascii="宋体" w:hAnsi="宋体"/>
          <w:szCs w:val="21"/>
        </w:rPr>
        <w:t>52.4提交材料</w:t>
      </w:r>
    </w:p>
    <w:p>
      <w:pPr>
        <w:ind w:firstLine="48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szCs w:val="21"/>
        </w:rPr>
      </w:pPr>
      <w:r>
        <w:rPr>
          <w:rFonts w:hint="eastAsia" w:ascii="宋体" w:hAnsi="宋体"/>
          <w:szCs w:val="21"/>
        </w:rPr>
        <w:t>52.5收文地点</w:t>
      </w:r>
    </w:p>
    <w:p>
      <w:pPr>
        <w:ind w:firstLine="480" w:firstLineChars="200"/>
        <w:rPr>
          <w:rFonts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pPr>
        <w:ind w:firstLine="480" w:firstLineChars="200"/>
        <w:rPr>
          <w:rFonts w:ascii="宋体" w:hAnsi="宋体"/>
          <w:szCs w:val="21"/>
        </w:rPr>
      </w:pPr>
      <w:r>
        <w:rPr>
          <w:rFonts w:hint="eastAsia" w:ascii="宋体" w:hAnsi="宋体"/>
          <w:szCs w:val="21"/>
        </w:rPr>
        <w:t>52.6收文办理程序</w:t>
      </w:r>
    </w:p>
    <w:p>
      <w:pPr>
        <w:ind w:firstLine="480" w:firstLineChars="200"/>
        <w:rPr>
          <w:rFonts w:ascii="宋体" w:hAnsi="宋体"/>
          <w:szCs w:val="21"/>
        </w:rPr>
      </w:pPr>
      <w:r>
        <w:rPr>
          <w:rFonts w:hint="eastAsia" w:ascii="宋体" w:hAnsi="宋体"/>
          <w:szCs w:val="21"/>
        </w:rPr>
        <w:t>52.6.1供应商提交的质疑符合受理条件的，</w:t>
      </w:r>
      <w:r>
        <w:rPr>
          <w:rFonts w:hint="eastAsia" w:ascii="宋体" w:hAnsi="宋体"/>
          <w:szCs w:val="21"/>
          <w:highlight w:val="yellow"/>
          <w:lang w:val="en-US" w:eastAsia="zh-CN"/>
        </w:rPr>
        <w:t>采购代理机构</w:t>
      </w:r>
      <w:r>
        <w:rPr>
          <w:rFonts w:hint="eastAsia" w:ascii="宋体" w:hAnsi="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Cs w:val="21"/>
        </w:rPr>
      </w:pPr>
      <w:r>
        <w:rPr>
          <w:rFonts w:hint="eastAsia" w:ascii="宋体" w:hAnsi="宋体"/>
          <w:szCs w:val="21"/>
        </w:rPr>
        <w:t>52.6.2供应商提交的质疑材料不符合质疑条件的，视情况处理：</w:t>
      </w:r>
    </w:p>
    <w:p>
      <w:pPr>
        <w:ind w:firstLine="480" w:firstLineChars="200"/>
        <w:rPr>
          <w:rFonts w:ascii="宋体" w:hAnsi="宋体"/>
          <w:szCs w:val="21"/>
        </w:rPr>
      </w:pPr>
      <w:r>
        <w:rPr>
          <w:rFonts w:hint="eastAsia" w:ascii="宋体" w:hAnsi="宋体"/>
          <w:szCs w:val="21"/>
        </w:rPr>
        <w:t>供应商提交的质疑材料不全或者未按要求签字或者盖章的，</w:t>
      </w:r>
      <w:r>
        <w:rPr>
          <w:rFonts w:hint="eastAsia" w:ascii="宋体" w:hAnsi="宋体"/>
          <w:szCs w:val="21"/>
          <w:highlight w:val="yellow"/>
          <w:lang w:val="en-US" w:eastAsia="zh-CN"/>
        </w:rPr>
        <w:t>采购代理机构</w:t>
      </w:r>
      <w:r>
        <w:rPr>
          <w:rFonts w:hint="eastAsia" w:ascii="宋体" w:hAnsi="宋体"/>
          <w:szCs w:val="21"/>
        </w:rPr>
        <w:t>应当一次性告知供应商需补正的内容和补正期限。</w:t>
      </w:r>
    </w:p>
    <w:p>
      <w:pPr>
        <w:ind w:firstLine="480" w:firstLineChars="200"/>
        <w:rPr>
          <w:rFonts w:ascii="宋体" w:hAnsi="宋体"/>
          <w:szCs w:val="21"/>
        </w:rPr>
      </w:pPr>
      <w:r>
        <w:rPr>
          <w:rFonts w:hint="eastAsia" w:ascii="宋体" w:hAnsi="宋体"/>
          <w:szCs w:val="21"/>
        </w:rPr>
        <w:t>供应商提交的质疑存在下列情形之一的，不予受理：</w:t>
      </w:r>
    </w:p>
    <w:p>
      <w:pPr>
        <w:ind w:firstLine="480" w:firstLineChars="200"/>
        <w:rPr>
          <w:rFonts w:ascii="宋体" w:hAnsi="宋体"/>
          <w:szCs w:val="21"/>
        </w:rPr>
      </w:pPr>
      <w:r>
        <w:rPr>
          <w:rFonts w:hint="eastAsia" w:ascii="宋体" w:hAnsi="宋体"/>
          <w:szCs w:val="21"/>
        </w:rPr>
        <w:t>（1）质疑主体不满足要求的；</w:t>
      </w:r>
    </w:p>
    <w:p>
      <w:pPr>
        <w:ind w:firstLine="480" w:firstLineChars="200"/>
        <w:rPr>
          <w:rFonts w:ascii="宋体" w:hAnsi="宋体"/>
          <w:szCs w:val="21"/>
        </w:rPr>
      </w:pPr>
      <w:r>
        <w:rPr>
          <w:rFonts w:hint="eastAsia" w:ascii="宋体" w:hAnsi="宋体"/>
          <w:szCs w:val="21"/>
        </w:rPr>
        <w:t>（2）供应商自身权益未受到损害的；</w:t>
      </w:r>
    </w:p>
    <w:p>
      <w:pPr>
        <w:ind w:firstLine="480" w:firstLineChars="200"/>
        <w:rPr>
          <w:rFonts w:ascii="宋体" w:hAnsi="宋体"/>
          <w:szCs w:val="21"/>
        </w:rPr>
      </w:pPr>
      <w:r>
        <w:rPr>
          <w:rFonts w:hint="eastAsia" w:ascii="宋体" w:hAnsi="宋体"/>
          <w:szCs w:val="21"/>
        </w:rPr>
        <w:t>（3）供应商未在法定质疑期限内提出质疑的；</w:t>
      </w:r>
    </w:p>
    <w:p>
      <w:pPr>
        <w:ind w:firstLine="48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80" w:firstLineChars="200"/>
        <w:rPr>
          <w:rFonts w:ascii="宋体" w:hAnsi="宋体"/>
          <w:szCs w:val="21"/>
        </w:rPr>
      </w:pPr>
      <w:r>
        <w:rPr>
          <w:rFonts w:hint="eastAsia" w:ascii="宋体" w:hAnsi="宋体"/>
          <w:szCs w:val="21"/>
        </w:rPr>
        <w:t>（5）其他不符合受理条件情形的。</w:t>
      </w:r>
    </w:p>
    <w:p>
      <w:pPr>
        <w:ind w:firstLine="480" w:firstLineChars="200"/>
        <w:rPr>
          <w:rFonts w:ascii="宋体" w:hAnsi="宋体"/>
          <w:szCs w:val="21"/>
        </w:rPr>
      </w:pPr>
      <w:r>
        <w:rPr>
          <w:rFonts w:hint="eastAsia" w:ascii="宋体" w:hAnsi="宋体"/>
          <w:szCs w:val="21"/>
        </w:rPr>
        <w:t>质疑事项不予受理的，</w:t>
      </w:r>
      <w:r>
        <w:rPr>
          <w:rFonts w:hint="eastAsia" w:ascii="宋体" w:hAnsi="宋体"/>
          <w:szCs w:val="21"/>
          <w:highlight w:val="yellow"/>
          <w:lang w:val="en-US" w:eastAsia="zh-CN"/>
        </w:rPr>
        <w:t>采购代理机构</w:t>
      </w:r>
      <w:r>
        <w:rPr>
          <w:rFonts w:hint="eastAsia" w:ascii="宋体" w:hAnsi="宋体"/>
          <w:szCs w:val="21"/>
        </w:rPr>
        <w:t>应当向供应商出具不符合质疑条件告知书。</w:t>
      </w:r>
    </w:p>
    <w:p>
      <w:pPr>
        <w:ind w:firstLine="480" w:firstLineChars="200"/>
        <w:rPr>
          <w:rFonts w:ascii="宋体" w:hAnsi="宋体"/>
          <w:szCs w:val="21"/>
        </w:rPr>
      </w:pPr>
      <w:r>
        <w:rPr>
          <w:rFonts w:hint="eastAsia" w:ascii="宋体" w:hAnsi="宋体"/>
          <w:szCs w:val="21"/>
        </w:rPr>
        <w:t>52.7质疑答复时限</w:t>
      </w:r>
    </w:p>
    <w:p>
      <w:pPr>
        <w:ind w:firstLine="480" w:firstLineChars="200"/>
        <w:rPr>
          <w:rFonts w:ascii="宋体" w:hAnsi="宋体"/>
          <w:szCs w:val="21"/>
        </w:rPr>
      </w:pPr>
      <w:r>
        <w:rPr>
          <w:rFonts w:hint="eastAsia" w:ascii="宋体" w:hAnsi="宋体"/>
          <w:szCs w:val="21"/>
        </w:rPr>
        <w:t>自收文之日起七个工作日内。</w:t>
      </w:r>
    </w:p>
    <w:p>
      <w:pPr>
        <w:ind w:firstLine="480" w:firstLineChars="200"/>
        <w:rPr>
          <w:rFonts w:ascii="宋体" w:hAnsi="宋体"/>
          <w:szCs w:val="21"/>
        </w:rPr>
      </w:pPr>
      <w:r>
        <w:rPr>
          <w:rFonts w:hint="eastAsia" w:ascii="宋体" w:hAnsi="宋体"/>
          <w:szCs w:val="21"/>
        </w:rPr>
        <w:t>52.8投诉</w:t>
      </w:r>
    </w:p>
    <w:p>
      <w:pPr>
        <w:ind w:firstLine="48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eastAsia="宋体"/>
          <w:szCs w:val="21"/>
          <w:lang w:val="en-US" w:eastAsia="zh-CN"/>
        </w:rPr>
        <w:t>采购人或采购人主管部门</w:t>
      </w:r>
      <w:r>
        <w:rPr>
          <w:rFonts w:hint="eastAsia" w:ascii="宋体" w:hAnsi="宋体"/>
          <w:szCs w:val="21"/>
        </w:rPr>
        <w:t>投诉。</w:t>
      </w:r>
    </w:p>
    <w:p>
      <w:pPr>
        <w:ind w:firstLine="480" w:firstLineChars="200"/>
        <w:rPr>
          <w:rFonts w:ascii="黑体" w:hAnsi="宋体" w:eastAsia="黑体"/>
          <w:szCs w:val="21"/>
        </w:rPr>
      </w:pPr>
      <w:r>
        <w:rPr>
          <w:rFonts w:hint="eastAsia" w:ascii="黑体" w:hAnsi="宋体" w:eastAsia="黑体"/>
          <w:szCs w:val="21"/>
        </w:rPr>
        <w:t>53.质疑后续处理</w:t>
      </w:r>
    </w:p>
    <w:p>
      <w:pPr>
        <w:ind w:firstLine="480" w:firstLineChars="200"/>
        <w:rPr>
          <w:rFonts w:ascii="宋体" w:hAnsi="宋体"/>
          <w:szCs w:val="21"/>
        </w:rPr>
      </w:pPr>
      <w:r>
        <w:rPr>
          <w:rFonts w:hint="eastAsia" w:ascii="宋体" w:hAnsi="宋体"/>
          <w:szCs w:val="21"/>
        </w:rPr>
        <w:t>53.1供应商质疑不成立，或者成立但未对中标、成交结果构成影响的，继续开展采购活动。</w:t>
      </w:r>
    </w:p>
    <w:p>
      <w:pPr>
        <w:ind w:firstLine="48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ind w:firstLine="48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pPr>
        <w:jc w:val="center"/>
      </w:pPr>
      <w:r>
        <w:t>---- END ----</w:t>
      </w:r>
      <w:bookmarkEnd w:id="92"/>
    </w:p>
    <w:p>
      <w:pPr>
        <w:keepLines/>
        <w:spacing w:line="432" w:lineRule="atLeast"/>
        <w:ind w:right="15"/>
        <w:rPr>
          <w:rFonts w:ascii="微软雅黑" w:hAnsi="微软雅黑" w:eastAsia="微软雅黑" w:cs="微软雅黑"/>
          <w:color w:val="333333"/>
          <w:lang w:val="en" w:eastAsia="en"/>
        </w:rPr>
      </w:pPr>
    </w:p>
    <w:sectPr>
      <w:headerReference r:id="rId8" w:type="default"/>
      <w:footerReference r:id="rId9" w:type="default"/>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ˎ̥">
    <w:altName w:val="Segoe Print"/>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t xml:space="preserve">- </w:t>
    </w:r>
    <w:r>
      <w:fldChar w:fldCharType="begin"/>
    </w:r>
    <w:r>
      <w:instrText xml:space="preserve"> PAGE </w:instrText>
    </w:r>
    <w:r>
      <w:fldChar w:fldCharType="separate"/>
    </w:r>
    <w:r>
      <w:t>17</w:t>
    </w:r>
    <w:r>
      <w:fldChar w:fldCharType="end"/>
    </w:r>
    <w:r>
      <w:t xml:space="preserve"> -</w: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34B7587"/>
    <w:multiLevelType w:val="singleLevel"/>
    <w:tmpl w:val="C34B7587"/>
    <w:lvl w:ilvl="0" w:tentative="0">
      <w:start w:val="1"/>
      <w:numFmt w:val="decimal"/>
      <w:suff w:val="nothing"/>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DEB35A3A"/>
    <w:multiLevelType w:val="singleLevel"/>
    <w:tmpl w:val="DEB35A3A"/>
    <w:lvl w:ilvl="0" w:tentative="0">
      <w:start w:val="2"/>
      <w:numFmt w:val="decimal"/>
      <w:lvlText w:val="%1."/>
      <w:lvlJc w:val="left"/>
      <w:pPr>
        <w:tabs>
          <w:tab w:val="left" w:pos="312"/>
        </w:tabs>
      </w:pPr>
    </w:lvl>
  </w:abstractNum>
  <w:abstractNum w:abstractNumId="9">
    <w:nsid w:val="F659FD8E"/>
    <w:multiLevelType w:val="singleLevel"/>
    <w:tmpl w:val="F659FD8E"/>
    <w:lvl w:ilvl="0" w:tentative="0">
      <w:start w:val="3"/>
      <w:numFmt w:val="decimal"/>
      <w:suff w:val="nothing"/>
      <w:lvlText w:val="（%1）"/>
      <w:lvlJc w:val="left"/>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3"/>
  </w:num>
  <w:num w:numId="2">
    <w:abstractNumId w:val="8"/>
  </w:num>
  <w:num w:numId="3">
    <w:abstractNumId w:val="9"/>
  </w:num>
  <w:num w:numId="4">
    <w:abstractNumId w:val="0"/>
  </w:num>
  <w:num w:numId="5">
    <w:abstractNumId w:val="1"/>
  </w:num>
  <w:num w:numId="6">
    <w:abstractNumId w:val="12"/>
  </w:num>
  <w:num w:numId="7">
    <w:abstractNumId w:val="4"/>
  </w:num>
  <w:num w:numId="8">
    <w:abstractNumId w:val="10"/>
  </w:num>
  <w:num w:numId="9">
    <w:abstractNumId w:val="6"/>
  </w:num>
  <w:num w:numId="10">
    <w:abstractNumId w:val="5"/>
  </w:num>
  <w:num w:numId="11">
    <w:abstractNumId w:val="2"/>
  </w:num>
  <w:num w:numId="12">
    <w:abstractNumId w:val="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11ED6"/>
    <w:rsid w:val="003850EE"/>
    <w:rsid w:val="004D712B"/>
    <w:rsid w:val="00506475"/>
    <w:rsid w:val="008004BE"/>
    <w:rsid w:val="00965567"/>
    <w:rsid w:val="00A17106"/>
    <w:rsid w:val="00A77B3E"/>
    <w:rsid w:val="00BE0631"/>
    <w:rsid w:val="00CA2A55"/>
    <w:rsid w:val="00CD227F"/>
    <w:rsid w:val="00CF535D"/>
    <w:rsid w:val="00DC068F"/>
    <w:rsid w:val="01536744"/>
    <w:rsid w:val="0162049E"/>
    <w:rsid w:val="01683FEA"/>
    <w:rsid w:val="018B6894"/>
    <w:rsid w:val="022934D3"/>
    <w:rsid w:val="0346615E"/>
    <w:rsid w:val="034F73C7"/>
    <w:rsid w:val="03EB61A7"/>
    <w:rsid w:val="047800D0"/>
    <w:rsid w:val="0488701B"/>
    <w:rsid w:val="04C90604"/>
    <w:rsid w:val="04EF0EBA"/>
    <w:rsid w:val="05061B1A"/>
    <w:rsid w:val="05177476"/>
    <w:rsid w:val="05274F4F"/>
    <w:rsid w:val="05766F80"/>
    <w:rsid w:val="058F4E88"/>
    <w:rsid w:val="05A47BA6"/>
    <w:rsid w:val="05ED01D7"/>
    <w:rsid w:val="06155868"/>
    <w:rsid w:val="061E2933"/>
    <w:rsid w:val="06374A49"/>
    <w:rsid w:val="064F0664"/>
    <w:rsid w:val="06C66001"/>
    <w:rsid w:val="06E70362"/>
    <w:rsid w:val="07006E74"/>
    <w:rsid w:val="08077635"/>
    <w:rsid w:val="08520D03"/>
    <w:rsid w:val="08F8523B"/>
    <w:rsid w:val="09884756"/>
    <w:rsid w:val="09BC354A"/>
    <w:rsid w:val="09C12C50"/>
    <w:rsid w:val="0A4C1F77"/>
    <w:rsid w:val="0A6309E1"/>
    <w:rsid w:val="0A904A7D"/>
    <w:rsid w:val="0A9A581C"/>
    <w:rsid w:val="0B3E3C96"/>
    <w:rsid w:val="0B522AC4"/>
    <w:rsid w:val="0BD64C7B"/>
    <w:rsid w:val="0CDC1196"/>
    <w:rsid w:val="0DD40EBD"/>
    <w:rsid w:val="0E4039AE"/>
    <w:rsid w:val="0F1E3975"/>
    <w:rsid w:val="0F216785"/>
    <w:rsid w:val="0F595774"/>
    <w:rsid w:val="1203536E"/>
    <w:rsid w:val="12485112"/>
    <w:rsid w:val="127D7927"/>
    <w:rsid w:val="12A37D39"/>
    <w:rsid w:val="12BB2FBD"/>
    <w:rsid w:val="13926A39"/>
    <w:rsid w:val="14F95269"/>
    <w:rsid w:val="15AD1411"/>
    <w:rsid w:val="15E21FAA"/>
    <w:rsid w:val="169408BC"/>
    <w:rsid w:val="16A95608"/>
    <w:rsid w:val="1731143B"/>
    <w:rsid w:val="17AD456C"/>
    <w:rsid w:val="17C104F9"/>
    <w:rsid w:val="17D62977"/>
    <w:rsid w:val="18433257"/>
    <w:rsid w:val="19632661"/>
    <w:rsid w:val="1B4C5476"/>
    <w:rsid w:val="1B816BC0"/>
    <w:rsid w:val="1B8204B6"/>
    <w:rsid w:val="1BEB24F5"/>
    <w:rsid w:val="1C746388"/>
    <w:rsid w:val="1CED33FB"/>
    <w:rsid w:val="1D3D1123"/>
    <w:rsid w:val="1D547061"/>
    <w:rsid w:val="1D5907B5"/>
    <w:rsid w:val="1D7404EF"/>
    <w:rsid w:val="1E5E1574"/>
    <w:rsid w:val="1F2F70B6"/>
    <w:rsid w:val="1F487FE2"/>
    <w:rsid w:val="2048742B"/>
    <w:rsid w:val="2107572E"/>
    <w:rsid w:val="213D3949"/>
    <w:rsid w:val="22657547"/>
    <w:rsid w:val="22A02FB0"/>
    <w:rsid w:val="22D66F38"/>
    <w:rsid w:val="23250C83"/>
    <w:rsid w:val="23743DB9"/>
    <w:rsid w:val="23F944BF"/>
    <w:rsid w:val="24AE5C72"/>
    <w:rsid w:val="24B27742"/>
    <w:rsid w:val="255A625C"/>
    <w:rsid w:val="262140CD"/>
    <w:rsid w:val="269221D6"/>
    <w:rsid w:val="26DA1722"/>
    <w:rsid w:val="27F25E17"/>
    <w:rsid w:val="291B0B5F"/>
    <w:rsid w:val="294A57BC"/>
    <w:rsid w:val="297901DE"/>
    <w:rsid w:val="29C92C9E"/>
    <w:rsid w:val="29E01264"/>
    <w:rsid w:val="2A367B52"/>
    <w:rsid w:val="2B385260"/>
    <w:rsid w:val="2B4B5B6E"/>
    <w:rsid w:val="2B9F51CC"/>
    <w:rsid w:val="2BC308DD"/>
    <w:rsid w:val="2C056D35"/>
    <w:rsid w:val="2C666902"/>
    <w:rsid w:val="2CAF71DE"/>
    <w:rsid w:val="2D503DFC"/>
    <w:rsid w:val="2DFA1B22"/>
    <w:rsid w:val="2F3D352E"/>
    <w:rsid w:val="2F9D65AC"/>
    <w:rsid w:val="2FED7630"/>
    <w:rsid w:val="300C4CCC"/>
    <w:rsid w:val="302B08A4"/>
    <w:rsid w:val="30F2370B"/>
    <w:rsid w:val="314011DB"/>
    <w:rsid w:val="3162740E"/>
    <w:rsid w:val="31685C89"/>
    <w:rsid w:val="31826436"/>
    <w:rsid w:val="31A66981"/>
    <w:rsid w:val="33076767"/>
    <w:rsid w:val="3458152F"/>
    <w:rsid w:val="35595597"/>
    <w:rsid w:val="36303ED6"/>
    <w:rsid w:val="37212E71"/>
    <w:rsid w:val="37454906"/>
    <w:rsid w:val="38080CB8"/>
    <w:rsid w:val="38423A9F"/>
    <w:rsid w:val="38644C80"/>
    <w:rsid w:val="3A3413F0"/>
    <w:rsid w:val="3A824586"/>
    <w:rsid w:val="3A8D5551"/>
    <w:rsid w:val="3AF43CF1"/>
    <w:rsid w:val="3B34332F"/>
    <w:rsid w:val="3BA45475"/>
    <w:rsid w:val="3C3F4AE6"/>
    <w:rsid w:val="3CD91462"/>
    <w:rsid w:val="3D4D301F"/>
    <w:rsid w:val="41974DE0"/>
    <w:rsid w:val="41E400C8"/>
    <w:rsid w:val="42024A2E"/>
    <w:rsid w:val="426339F7"/>
    <w:rsid w:val="42CA2778"/>
    <w:rsid w:val="42D9578F"/>
    <w:rsid w:val="42EF4FB3"/>
    <w:rsid w:val="444A79CA"/>
    <w:rsid w:val="44927479"/>
    <w:rsid w:val="44CE79D5"/>
    <w:rsid w:val="455E073B"/>
    <w:rsid w:val="45A32BCF"/>
    <w:rsid w:val="46392CE0"/>
    <w:rsid w:val="466F101E"/>
    <w:rsid w:val="47B76BBE"/>
    <w:rsid w:val="484D353F"/>
    <w:rsid w:val="49926E00"/>
    <w:rsid w:val="499D00AB"/>
    <w:rsid w:val="49B640F1"/>
    <w:rsid w:val="49D24043"/>
    <w:rsid w:val="4A4731EC"/>
    <w:rsid w:val="4AA13829"/>
    <w:rsid w:val="4B3B6F60"/>
    <w:rsid w:val="4C26356A"/>
    <w:rsid w:val="4C5249C5"/>
    <w:rsid w:val="4CF70504"/>
    <w:rsid w:val="4D782049"/>
    <w:rsid w:val="4DD45DD3"/>
    <w:rsid w:val="4E3423DF"/>
    <w:rsid w:val="4E920CDB"/>
    <w:rsid w:val="4FC04863"/>
    <w:rsid w:val="4FD06649"/>
    <w:rsid w:val="50863682"/>
    <w:rsid w:val="51181620"/>
    <w:rsid w:val="51385D77"/>
    <w:rsid w:val="513C6F20"/>
    <w:rsid w:val="515C1C52"/>
    <w:rsid w:val="52E236E7"/>
    <w:rsid w:val="52F23D6A"/>
    <w:rsid w:val="53B501F6"/>
    <w:rsid w:val="554D24EB"/>
    <w:rsid w:val="55826059"/>
    <w:rsid w:val="565428BF"/>
    <w:rsid w:val="5713508F"/>
    <w:rsid w:val="574F3DA9"/>
    <w:rsid w:val="57AC6425"/>
    <w:rsid w:val="584A3FFC"/>
    <w:rsid w:val="59D522A3"/>
    <w:rsid w:val="5A161F52"/>
    <w:rsid w:val="5ABE1D47"/>
    <w:rsid w:val="5B3B4FB1"/>
    <w:rsid w:val="5BB90387"/>
    <w:rsid w:val="5BF84119"/>
    <w:rsid w:val="5C4D6167"/>
    <w:rsid w:val="5D6674A3"/>
    <w:rsid w:val="5EC47B18"/>
    <w:rsid w:val="5EE5391F"/>
    <w:rsid w:val="5EF82676"/>
    <w:rsid w:val="5F0158CC"/>
    <w:rsid w:val="5FA07FE9"/>
    <w:rsid w:val="5FA92D02"/>
    <w:rsid w:val="619F774C"/>
    <w:rsid w:val="61D95952"/>
    <w:rsid w:val="61E55E44"/>
    <w:rsid w:val="61F50C58"/>
    <w:rsid w:val="61F71306"/>
    <w:rsid w:val="62777EF6"/>
    <w:rsid w:val="63095B0B"/>
    <w:rsid w:val="639015DE"/>
    <w:rsid w:val="63A363CE"/>
    <w:rsid w:val="641E7449"/>
    <w:rsid w:val="64D1577C"/>
    <w:rsid w:val="65451AEB"/>
    <w:rsid w:val="65623185"/>
    <w:rsid w:val="656646D3"/>
    <w:rsid w:val="66347425"/>
    <w:rsid w:val="665E35E0"/>
    <w:rsid w:val="66E612A0"/>
    <w:rsid w:val="67045135"/>
    <w:rsid w:val="67D828EF"/>
    <w:rsid w:val="681F3395"/>
    <w:rsid w:val="68550B65"/>
    <w:rsid w:val="68C54CEF"/>
    <w:rsid w:val="68CD08D6"/>
    <w:rsid w:val="69F045DA"/>
    <w:rsid w:val="6B9273C1"/>
    <w:rsid w:val="6CAE15F8"/>
    <w:rsid w:val="6D39706F"/>
    <w:rsid w:val="6D6105B3"/>
    <w:rsid w:val="6D635721"/>
    <w:rsid w:val="6DD25565"/>
    <w:rsid w:val="6DE425FA"/>
    <w:rsid w:val="70361D3F"/>
    <w:rsid w:val="70447D43"/>
    <w:rsid w:val="70A94E62"/>
    <w:rsid w:val="718316E0"/>
    <w:rsid w:val="71C132A7"/>
    <w:rsid w:val="71F2564F"/>
    <w:rsid w:val="72282E5A"/>
    <w:rsid w:val="72730B83"/>
    <w:rsid w:val="727D6452"/>
    <w:rsid w:val="728F6E10"/>
    <w:rsid w:val="73BD4CEF"/>
    <w:rsid w:val="73FD3E64"/>
    <w:rsid w:val="740D7688"/>
    <w:rsid w:val="74AA5A49"/>
    <w:rsid w:val="74DF7F92"/>
    <w:rsid w:val="74EA78CB"/>
    <w:rsid w:val="74FC737A"/>
    <w:rsid w:val="753B3C84"/>
    <w:rsid w:val="7571185E"/>
    <w:rsid w:val="75CA4DDD"/>
    <w:rsid w:val="75DA1661"/>
    <w:rsid w:val="763252D8"/>
    <w:rsid w:val="767B3EE5"/>
    <w:rsid w:val="76E142AE"/>
    <w:rsid w:val="773A7DA2"/>
    <w:rsid w:val="773D6EBB"/>
    <w:rsid w:val="78C2186D"/>
    <w:rsid w:val="791B233D"/>
    <w:rsid w:val="7A8B765D"/>
    <w:rsid w:val="7AA6235C"/>
    <w:rsid w:val="7AD83036"/>
    <w:rsid w:val="7B8B5094"/>
    <w:rsid w:val="7BD53F8C"/>
    <w:rsid w:val="7D1F7055"/>
    <w:rsid w:val="7D2B6D8D"/>
    <w:rsid w:val="7E6A714A"/>
    <w:rsid w:val="7EDA28F6"/>
    <w:rsid w:val="7F3138EF"/>
    <w:rsid w:val="7F552AEC"/>
    <w:rsid w:val="7F685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3">
    <w:name w:val="heading 1"/>
    <w:basedOn w:val="4"/>
    <w:next w:val="1"/>
    <w:link w:val="32"/>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33"/>
    <w:qFormat/>
    <w:uiPriority w:val="0"/>
    <w:pPr>
      <w:adjustRightInd w:val="0"/>
      <w:jc w:val="center"/>
      <w:textAlignment w:val="baseline"/>
      <w:outlineLvl w:val="1"/>
    </w:pPr>
    <w:rPr>
      <w:kern w:val="0"/>
      <w:sz w:val="24"/>
      <w:szCs w:val="20"/>
    </w:rPr>
  </w:style>
  <w:style w:type="paragraph" w:styleId="4">
    <w:name w:val="heading 3"/>
    <w:basedOn w:val="5"/>
    <w:next w:val="1"/>
    <w:link w:val="31"/>
    <w:qFormat/>
    <w:uiPriority w:val="9"/>
    <w:pPr>
      <w:spacing w:before="260" w:after="260" w:line="240" w:lineRule="auto"/>
      <w:outlineLvl w:val="2"/>
    </w:pPr>
    <w:rPr>
      <w:rFonts w:ascii="宋体" w:hAnsi="宋体" w:eastAsia="宋体"/>
      <w:szCs w:val="32"/>
    </w:rPr>
  </w:style>
  <w:style w:type="paragraph" w:styleId="5">
    <w:name w:val="heading 4"/>
    <w:basedOn w:val="1"/>
    <w:next w:val="1"/>
    <w:link w:val="30"/>
    <w:qFormat/>
    <w:uiPriority w:val="0"/>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7">
    <w:name w:val="Normal Indent"/>
    <w:basedOn w:val="1"/>
    <w:link w:val="34"/>
    <w:qFormat/>
    <w:uiPriority w:val="0"/>
    <w:pPr>
      <w:widowControl w:val="0"/>
      <w:spacing w:after="160" w:line="278" w:lineRule="auto"/>
      <w:ind w:firstLine="420"/>
      <w:jc w:val="both"/>
    </w:pPr>
    <w:rPr>
      <w:rFonts w:eastAsia="宋体"/>
      <w:kern w:val="2"/>
      <w:sz w:val="21"/>
      <w:szCs w:val="20"/>
      <w:lang w:eastAsia="zh-CN"/>
    </w:rPr>
  </w:style>
  <w:style w:type="paragraph" w:styleId="8">
    <w:name w:val="annotation text"/>
    <w:basedOn w:val="1"/>
    <w:qFormat/>
    <w:uiPriority w:val="0"/>
  </w:style>
  <w:style w:type="paragraph" w:styleId="9">
    <w:name w:val="Body Text"/>
    <w:basedOn w:val="1"/>
    <w:next w:val="10"/>
    <w:link w:val="29"/>
    <w:qFormat/>
    <w:uiPriority w:val="0"/>
    <w:pPr>
      <w:widowControl w:val="0"/>
      <w:spacing w:after="160" w:line="360" w:lineRule="auto"/>
      <w:jc w:val="both"/>
    </w:pPr>
    <w:rPr>
      <w:rFonts w:eastAsia="宋体"/>
      <w:b/>
      <w:bCs/>
      <w:kern w:val="2"/>
      <w:lang w:eastAsia="zh-CN"/>
    </w:rPr>
  </w:style>
  <w:style w:type="paragraph" w:styleId="10">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1">
    <w:name w:val="Body Text Indent"/>
    <w:basedOn w:val="1"/>
    <w:next w:val="12"/>
    <w:qFormat/>
    <w:uiPriority w:val="0"/>
    <w:pPr>
      <w:spacing w:line="360" w:lineRule="auto"/>
      <w:ind w:firstLine="420" w:firstLineChars="200"/>
    </w:pPr>
  </w:style>
  <w:style w:type="paragraph" w:styleId="12">
    <w:name w:val="envelope return"/>
    <w:basedOn w:val="1"/>
    <w:qFormat/>
    <w:uiPriority w:val="0"/>
    <w:pPr>
      <w:snapToGrid w:val="0"/>
    </w:pPr>
    <w:rPr>
      <w:rFonts w:ascii="Arial" w:hAnsi="Arial" w:cs="Arial"/>
      <w:szCs w:val="20"/>
    </w:rPr>
  </w:style>
  <w:style w:type="paragraph" w:styleId="13">
    <w:name w:val="Balloon Text"/>
    <w:basedOn w:val="1"/>
    <w:link w:val="51"/>
    <w:uiPriority w:val="0"/>
    <w:rPr>
      <w:sz w:val="18"/>
      <w:szCs w:val="18"/>
    </w:rPr>
  </w:style>
  <w:style w:type="paragraph" w:styleId="14">
    <w:name w:val="footer"/>
    <w:basedOn w:val="1"/>
    <w:link w:val="27"/>
    <w:qFormat/>
    <w:uiPriority w:val="0"/>
    <w:pPr>
      <w:widowControl w:val="0"/>
      <w:tabs>
        <w:tab w:val="center" w:pos="4153"/>
        <w:tab w:val="right" w:pos="8306"/>
      </w:tabs>
      <w:snapToGrid w:val="0"/>
      <w:spacing w:after="160" w:line="278" w:lineRule="auto"/>
    </w:pPr>
    <w:rPr>
      <w:rFonts w:eastAsia="宋体"/>
      <w:kern w:val="2"/>
      <w:sz w:val="18"/>
      <w:szCs w:val="18"/>
      <w:lang w:eastAsia="zh-CN"/>
    </w:rPr>
  </w:style>
  <w:style w:type="paragraph" w:styleId="15">
    <w:name w:val="header"/>
    <w:basedOn w:val="1"/>
    <w:link w:val="26"/>
    <w:qFormat/>
    <w:uiPriority w:val="99"/>
    <w:pPr>
      <w:widowControl w:val="0"/>
      <w:pBdr>
        <w:bottom w:val="single" w:color="auto" w:sz="6" w:space="1"/>
      </w:pBdr>
      <w:tabs>
        <w:tab w:val="center" w:pos="4153"/>
        <w:tab w:val="right" w:pos="8306"/>
      </w:tabs>
      <w:snapToGrid w:val="0"/>
      <w:spacing w:after="160" w:line="278" w:lineRule="auto"/>
      <w:jc w:val="center"/>
    </w:pPr>
    <w:rPr>
      <w:rFonts w:eastAsia="宋体"/>
      <w:kern w:val="2"/>
      <w:sz w:val="18"/>
      <w:szCs w:val="18"/>
      <w:lang w:eastAsia="zh-CN"/>
    </w:rPr>
  </w:style>
  <w:style w:type="paragraph" w:styleId="16">
    <w:name w:val="Body Text 2"/>
    <w:basedOn w:val="1"/>
    <w:link w:val="28"/>
    <w:qFormat/>
    <w:uiPriority w:val="0"/>
    <w:pPr>
      <w:widowControl w:val="0"/>
      <w:spacing w:after="160" w:line="360" w:lineRule="auto"/>
      <w:jc w:val="both"/>
    </w:pPr>
    <w:rPr>
      <w:rFonts w:eastAsia="宋体"/>
      <w:kern w:val="2"/>
      <w:lang w:eastAsia="zh-CN"/>
    </w:rPr>
  </w:style>
  <w:style w:type="paragraph" w:styleId="17">
    <w:name w:val="Normal (Web)"/>
    <w:basedOn w:val="1"/>
    <w:qFormat/>
    <w:uiPriority w:val="99"/>
    <w:pPr>
      <w:widowControl w:val="0"/>
      <w:spacing w:beforeAutospacing="1" w:after="160" w:afterAutospacing="1" w:line="278" w:lineRule="auto"/>
    </w:pPr>
    <w:rPr>
      <w:rFonts w:eastAsia="宋体"/>
      <w:lang w:eastAsia="zh-CN"/>
    </w:rPr>
  </w:style>
  <w:style w:type="paragraph" w:styleId="18">
    <w:name w:val="Body Text First Indent 2"/>
    <w:basedOn w:val="11"/>
    <w:qFormat/>
    <w:uiPriority w:val="99"/>
    <w:pPr>
      <w:spacing w:after="120" w:line="240" w:lineRule="auto"/>
      <w:ind w:left="420" w:left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page number"/>
    <w:basedOn w:val="21"/>
    <w:qFormat/>
    <w:uiPriority w:val="0"/>
  </w:style>
  <w:style w:type="character" w:styleId="24">
    <w:name w:val="Hyperlink"/>
    <w:qFormat/>
    <w:uiPriority w:val="0"/>
    <w:rPr>
      <w:color w:val="0000FF"/>
      <w:u w:val="single"/>
    </w:rPr>
  </w:style>
  <w:style w:type="character" w:styleId="25">
    <w:name w:val="annotation reference"/>
    <w:basedOn w:val="21"/>
    <w:uiPriority w:val="0"/>
    <w:rPr>
      <w:sz w:val="21"/>
      <w:szCs w:val="21"/>
    </w:rPr>
  </w:style>
  <w:style w:type="character" w:customStyle="1" w:styleId="26">
    <w:name w:val="页眉 Char"/>
    <w:link w:val="15"/>
    <w:qFormat/>
    <w:uiPriority w:val="99"/>
    <w:rPr>
      <w:rFonts w:eastAsia="宋体"/>
      <w:kern w:val="2"/>
      <w:sz w:val="18"/>
      <w:szCs w:val="18"/>
      <w:lang w:eastAsia="zh-CN"/>
    </w:rPr>
  </w:style>
  <w:style w:type="character" w:customStyle="1" w:styleId="27">
    <w:name w:val="页脚 Char"/>
    <w:link w:val="14"/>
    <w:qFormat/>
    <w:uiPriority w:val="0"/>
    <w:rPr>
      <w:rFonts w:eastAsia="宋体"/>
      <w:kern w:val="2"/>
      <w:sz w:val="18"/>
      <w:szCs w:val="18"/>
      <w:lang w:eastAsia="zh-CN"/>
    </w:rPr>
  </w:style>
  <w:style w:type="character" w:customStyle="1" w:styleId="28">
    <w:name w:val="正文文本 2 Char"/>
    <w:link w:val="16"/>
    <w:qFormat/>
    <w:uiPriority w:val="0"/>
    <w:rPr>
      <w:rFonts w:eastAsia="宋体"/>
      <w:kern w:val="2"/>
      <w:sz w:val="24"/>
      <w:szCs w:val="24"/>
      <w:lang w:eastAsia="zh-CN"/>
    </w:rPr>
  </w:style>
  <w:style w:type="character" w:customStyle="1" w:styleId="29">
    <w:name w:val="正文文本 Char"/>
    <w:link w:val="9"/>
    <w:qFormat/>
    <w:uiPriority w:val="0"/>
    <w:rPr>
      <w:rFonts w:eastAsia="宋体"/>
      <w:b/>
      <w:bCs/>
      <w:kern w:val="2"/>
      <w:sz w:val="24"/>
      <w:szCs w:val="24"/>
      <w:lang w:eastAsia="zh-CN"/>
    </w:rPr>
  </w:style>
  <w:style w:type="character" w:customStyle="1" w:styleId="30">
    <w:name w:val="标题 4 Char"/>
    <w:link w:val="5"/>
    <w:qFormat/>
    <w:uiPriority w:val="0"/>
    <w:rPr>
      <w:rFonts w:ascii="Arial" w:hAnsi="Arial" w:eastAsia="黑体"/>
      <w:b/>
      <w:bCs/>
      <w:kern w:val="2"/>
      <w:sz w:val="28"/>
      <w:szCs w:val="28"/>
      <w:lang w:eastAsia="zh-CN"/>
    </w:rPr>
  </w:style>
  <w:style w:type="character" w:customStyle="1" w:styleId="31">
    <w:name w:val="标题 3 Char1"/>
    <w:link w:val="4"/>
    <w:qFormat/>
    <w:uiPriority w:val="9"/>
    <w:rPr>
      <w:rFonts w:ascii="宋体" w:hAnsi="宋体" w:eastAsia="宋体"/>
      <w:b/>
      <w:bCs/>
      <w:kern w:val="2"/>
      <w:sz w:val="28"/>
      <w:szCs w:val="32"/>
      <w:lang w:eastAsia="zh-CN"/>
    </w:rPr>
  </w:style>
  <w:style w:type="character" w:customStyle="1" w:styleId="32">
    <w:name w:val="标题 1 Char"/>
    <w:link w:val="3"/>
    <w:qFormat/>
    <w:uiPriority w:val="0"/>
    <w:rPr>
      <w:rFonts w:ascii="宋体" w:hAnsi="宋体" w:eastAsia="黑体"/>
      <w:b/>
      <w:bCs/>
      <w:kern w:val="44"/>
      <w:sz w:val="28"/>
      <w:szCs w:val="44"/>
      <w:lang w:eastAsia="zh-CN"/>
    </w:rPr>
  </w:style>
  <w:style w:type="character" w:customStyle="1" w:styleId="33">
    <w:name w:val="标题 2 Char"/>
    <w:link w:val="6"/>
    <w:qFormat/>
    <w:uiPriority w:val="0"/>
    <w:rPr>
      <w:rFonts w:ascii="宋体" w:hAnsi="宋体" w:eastAsia="宋体"/>
      <w:b/>
      <w:bCs/>
      <w:sz w:val="24"/>
      <w:lang w:eastAsia="zh-CN"/>
    </w:rPr>
  </w:style>
  <w:style w:type="character" w:customStyle="1" w:styleId="34">
    <w:name w:val="正文缩进 Char"/>
    <w:link w:val="7"/>
    <w:qFormat/>
    <w:uiPriority w:val="0"/>
    <w:rPr>
      <w:rFonts w:eastAsia="宋体"/>
      <w:kern w:val="2"/>
      <w:sz w:val="21"/>
      <w:lang w:eastAsia="zh-CN"/>
    </w:rPr>
  </w:style>
  <w:style w:type="character" w:customStyle="1" w:styleId="35">
    <w:name w:val="标题 3 Char"/>
    <w:qFormat/>
    <w:uiPriority w:val="0"/>
    <w:rPr>
      <w:rFonts w:ascii="黑体" w:eastAsia="黑体"/>
      <w:bCs/>
      <w:sz w:val="30"/>
    </w:rPr>
  </w:style>
  <w:style w:type="table" w:customStyle="1" w:styleId="36">
    <w:name w:val="网格型1"/>
    <w:basedOn w:val="19"/>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
    <w:name w:val="typo_table"/>
    <w:basedOn w:val="19"/>
    <w:qFormat/>
    <w:uiPriority w:val="0"/>
    <w:tblPr>
      <w:tblCellMar>
        <w:top w:w="0" w:type="dxa"/>
        <w:left w:w="108" w:type="dxa"/>
        <w:bottom w:w="0" w:type="dxa"/>
        <w:right w:w="108" w:type="dxa"/>
      </w:tblCellMar>
    </w:tblPr>
  </w:style>
  <w:style w:type="paragraph" w:customStyle="1" w:styleId="38">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9">
    <w:name w:val="base"/>
    <w:basedOn w:val="21"/>
    <w:qFormat/>
    <w:uiPriority w:val="0"/>
    <w:rPr>
      <w:rFonts w:ascii="仿宋" w:hAnsi="仿宋" w:eastAsia="仿宋" w:cs="仿宋"/>
      <w:b/>
      <w:bCs/>
      <w:sz w:val="28"/>
      <w:szCs w:val="28"/>
    </w:rPr>
  </w:style>
  <w:style w:type="paragraph" w:customStyle="1" w:styleId="40">
    <w:name w:val="typo_p"/>
    <w:basedOn w:val="1"/>
    <w:qFormat/>
    <w:uiPriority w:val="0"/>
    <w:pPr>
      <w:spacing w:line="432" w:lineRule="atLeast"/>
    </w:pPr>
    <w:rPr>
      <w:rFonts w:ascii="微软雅黑" w:hAnsi="微软雅黑" w:eastAsia="微软雅黑" w:cs="微软雅黑"/>
      <w:color w:val="333333"/>
    </w:rPr>
  </w:style>
  <w:style w:type="character" w:customStyle="1" w:styleId="41">
    <w:name w:val="span"/>
    <w:basedOn w:val="21"/>
    <w:qFormat/>
    <w:uiPriority w:val="0"/>
    <w:rPr>
      <w:rFonts w:ascii="仿宋" w:hAnsi="仿宋" w:eastAsia="仿宋" w:cs="仿宋"/>
    </w:rPr>
  </w:style>
  <w:style w:type="character" w:customStyle="1" w:styleId="42">
    <w:name w:val="underline"/>
    <w:basedOn w:val="21"/>
    <w:qFormat/>
    <w:uiPriority w:val="0"/>
  </w:style>
  <w:style w:type="paragraph" w:customStyle="1" w:styleId="43">
    <w:name w:val="div"/>
    <w:basedOn w:val="1"/>
    <w:qFormat/>
    <w:uiPriority w:val="0"/>
    <w:pPr>
      <w:keepLines/>
      <w:spacing w:line="432" w:lineRule="atLeast"/>
    </w:pPr>
    <w:rPr>
      <w:rFonts w:ascii="微软雅黑" w:hAnsi="微软雅黑" w:eastAsia="微软雅黑" w:cs="微软雅黑"/>
      <w:color w:val="333333"/>
    </w:rPr>
  </w:style>
  <w:style w:type="character" w:customStyle="1" w:styleId="44">
    <w:name w:val="step-methods_step-item_label"/>
    <w:basedOn w:val="21"/>
    <w:qFormat/>
    <w:uiPriority w:val="0"/>
  </w:style>
  <w:style w:type="table" w:customStyle="1" w:styleId="45">
    <w:name w:val="typo_table_0"/>
    <w:basedOn w:val="19"/>
    <w:qFormat/>
    <w:uiPriority w:val="0"/>
    <w:tblPr>
      <w:tblCellMar>
        <w:top w:w="0" w:type="dxa"/>
        <w:left w:w="108" w:type="dxa"/>
        <w:bottom w:w="0" w:type="dxa"/>
        <w:right w:w="108" w:type="dxa"/>
      </w:tblCellMar>
    </w:tblPr>
  </w:style>
  <w:style w:type="character" w:customStyle="1" w:styleId="46">
    <w:name w:val="要点1"/>
    <w:basedOn w:val="21"/>
    <w:qFormat/>
    <w:uiPriority w:val="0"/>
    <w:rPr>
      <w:b/>
      <w:bCs/>
      <w:color w:val="000000"/>
    </w:rPr>
  </w:style>
  <w:style w:type="paragraph" w:customStyle="1" w:styleId="47">
    <w:name w:val="表格文字"/>
    <w:basedOn w:val="1"/>
    <w:next w:val="1"/>
    <w:qFormat/>
    <w:uiPriority w:val="99"/>
    <w:pPr>
      <w:spacing w:before="25" w:after="25"/>
    </w:pPr>
    <w:rPr>
      <w:spacing w:val="10"/>
      <w:szCs w:val="20"/>
    </w:rPr>
  </w:style>
  <w:style w:type="character" w:customStyle="1" w:styleId="48">
    <w:name w:val="font31"/>
    <w:basedOn w:val="21"/>
    <w:qFormat/>
    <w:uiPriority w:val="0"/>
    <w:rPr>
      <w:rFonts w:hint="eastAsia" w:ascii="宋体" w:hAnsi="宋体" w:eastAsia="宋体" w:cs="宋体"/>
      <w:color w:val="000000"/>
      <w:sz w:val="22"/>
      <w:szCs w:val="22"/>
      <w:u w:val="none"/>
    </w:rPr>
  </w:style>
  <w:style w:type="character" w:customStyle="1" w:styleId="49">
    <w:name w:val="toolbarlabel"/>
    <w:basedOn w:val="21"/>
    <w:qFormat/>
    <w:uiPriority w:val="0"/>
    <w:rPr>
      <w:color w:val="333333"/>
      <w:sz w:val="18"/>
      <w:szCs w:val="18"/>
    </w:rPr>
  </w:style>
  <w:style w:type="paragraph" w:customStyle="1" w:styleId="50">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51">
    <w:name w:val="批注框文本 Char"/>
    <w:basedOn w:val="21"/>
    <w:link w:val="13"/>
    <w:qFormat/>
    <w:uiPriority w:val="0"/>
    <w:rPr>
      <w:rFonts w:eastAsia="Times New Roman"/>
      <w:sz w:val="18"/>
      <w:szCs w:val="18"/>
      <w:lang w:eastAsia="en-US"/>
    </w:rPr>
  </w:style>
  <w:style w:type="paragraph" w:styleId="5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73</Pages>
  <Words>9213</Words>
  <Characters>9831</Characters>
  <Lines>397</Lines>
  <Paragraphs>112</Paragraphs>
  <TotalTime>56</TotalTime>
  <ScaleCrop>false</ScaleCrop>
  <LinksUpToDate>false</LinksUpToDate>
  <CharactersWithSpaces>9952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2025-04-15T07:19:00Z</dcterms:created>
  <dc:creator>CAOQM</dc:creator>
  <cp:lastModifiedBy>CAOQM</cp:lastModifiedBy>
  <dcterms:modified xsi:type="dcterms:W3CDTF">2025-04-24T06:55:45Z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7D1406E6821D4112AAAFBAB5817D3760_13</vt:lpwstr>
  </property>
  <property fmtid="{D5CDD505-2E9C-101B-9397-08002B2CF9AE}" pid="4" name="KSOTemplateDocerSaveRecord">
    <vt:lpwstr>eyJoZGlkIjoiMDM0NGY0NDBmODc1YThhYTg4NzJhY2VhYWI1NTQwZTUiLCJ1c2VySWQiOiI1MTYzMzQ1MjUifQ==</vt:lpwstr>
  </property>
</Properties>
</file>