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Cs/>
          <w:color w:val="000000"/>
          <w:sz w:val="44"/>
          <w:szCs w:val="44"/>
        </w:rPr>
      </w:pPr>
    </w:p>
    <w:p>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rFonts w:hint="eastAsia"/>
                <w:sz w:val="30"/>
                <w:szCs w:val="30"/>
              </w:rPr>
              <w:t>SZZXCG-2025-00528</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sz w:val="30"/>
                <w:szCs w:val="30"/>
              </w:rPr>
            </w:pPr>
            <w:r>
              <w:rPr>
                <w:rFonts w:hint="eastAsia"/>
                <w:sz w:val="30"/>
                <w:szCs w:val="30"/>
              </w:rPr>
              <w:t>深圳市中医院光明院区智能呼叫系统补充采购项目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rPr>
              <w:t>公</w:t>
            </w:r>
            <w:bookmarkStart w:id="120" w:name="_GoBack"/>
            <w:bookmarkEnd w:id="120"/>
            <w:r>
              <w:rPr>
                <w:rFonts w:ascii="宋体" w:hAnsi="宋体" w:cs="宋体"/>
                <w:kern w:val="0"/>
                <w:sz w:val="30"/>
                <w:szCs w:val="30"/>
              </w:rPr>
              <w:t>开</w:t>
            </w:r>
            <w:r>
              <w:rPr>
                <w:rFonts w:hint="eastAsia" w:ascii="宋体" w:hAnsi="宋体" w:cs="宋体"/>
                <w:kern w:val="0"/>
                <w:sz w:val="30"/>
                <w:szCs w:val="30"/>
              </w:rPr>
              <w:t>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rPr>
          <w:rFonts w:hint="eastAsia" w:ascii="黑体" w:hAnsi="黑体" w:eastAsia="黑体"/>
          <w:sz w:val="40"/>
          <w:szCs w:val="40"/>
        </w:rPr>
      </w:pPr>
      <w:r>
        <w:rPr>
          <w:rFonts w:hint="eastAsia" w:ascii="黑体" w:hAnsi="黑体" w:eastAsia="黑体"/>
          <w:sz w:val="40"/>
          <w:szCs w:val="40"/>
        </w:rPr>
        <w:br w:type="page"/>
      </w:r>
    </w:p>
    <w:p>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360" w:lineRule="exact"/>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360" w:lineRule="exact"/>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spacing w:line="360" w:lineRule="exact"/>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spacing w:line="360" w:lineRule="exact"/>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法律、法规、规章、规范性文件规定的其他情形。</w:t>
            </w:r>
          </w:p>
        </w:tc>
      </w:tr>
    </w:tbl>
    <w:p>
      <w:pPr>
        <w:rPr>
          <w:rFonts w:hint="eastAsia" w:ascii="黑体" w:hAnsi="黑体" w:eastAsia="黑体"/>
          <w:sz w:val="40"/>
          <w:szCs w:val="40"/>
        </w:rPr>
      </w:pPr>
      <w:r>
        <w:rPr>
          <w:rFonts w:hint="eastAsia" w:ascii="黑体" w:hAnsi="黑体" w:eastAsia="黑体"/>
          <w:sz w:val="40"/>
          <w:szCs w:val="40"/>
        </w:rPr>
        <w:br w:type="page"/>
      </w:r>
    </w:p>
    <w:p>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843"/>
        <w:gridCol w:w="992"/>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7"/>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pPr>
              <w:pStyle w:val="37"/>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pStyle w:val="37"/>
              <w:ind w:firstLine="420"/>
              <w:rPr>
                <w:sz w:val="21"/>
                <w:szCs w:val="21"/>
              </w:rPr>
            </w:pPr>
            <w:r>
              <w:rPr>
                <w:sz w:val="21"/>
                <w:szCs w:val="21"/>
              </w:rPr>
              <w:t>价格分计算方法：</w:t>
            </w:r>
          </w:p>
          <w:p>
            <w:pPr>
              <w:pStyle w:val="37"/>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37"/>
              <w:ind w:left="420"/>
              <w:rPr>
                <w:sz w:val="21"/>
                <w:szCs w:val="21"/>
              </w:rPr>
            </w:pPr>
            <w:r>
              <w:rPr>
                <w:rFonts w:hint="eastAsia"/>
                <w:sz w:val="21"/>
                <w:szCs w:val="21"/>
              </w:rPr>
              <w:t>注：投标人的“</w:t>
            </w:r>
            <w:r>
              <w:rPr>
                <w:rFonts w:hint="eastAsia"/>
                <w:color w:val="FF0000"/>
                <w:sz w:val="21"/>
                <w:szCs w:val="21"/>
              </w:rPr>
              <w:t>技术规格响应情况</w:t>
            </w:r>
            <w:r>
              <w:rPr>
                <w:rFonts w:hint="eastAsia"/>
                <w:sz w:val="21"/>
                <w:szCs w:val="21"/>
              </w:rPr>
              <w:t>”“技术规格偏离情况”等必须与客观实际保持一致，响应不实且情节严重的，经查实，将依法记入供应商诚信档案或受到行政处罚。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4824"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1</w:t>
            </w:r>
          </w:p>
        </w:tc>
        <w:tc>
          <w:tcPr>
            <w:tcW w:w="3544" w:type="dxa"/>
            <w:gridSpan w:val="3"/>
          </w:tcPr>
          <w:p>
            <w:pPr>
              <w:wordWrap w:val="0"/>
              <w:jc w:val="center"/>
              <w:rPr>
                <w:rFonts w:hint="eastAsia" w:ascii="宋体" w:hAnsi="宋体" w:cs="宋体"/>
                <w:b/>
                <w:bCs/>
                <w:color w:val="0000FF"/>
                <w:sz w:val="24"/>
              </w:rPr>
            </w:pPr>
            <w:r>
              <w:rPr>
                <w:b/>
                <w:bCs/>
                <w:color w:val="0000FF"/>
              </w:rPr>
              <w:t>价格</w:t>
            </w:r>
          </w:p>
        </w:tc>
        <w:tc>
          <w:tcPr>
            <w:tcW w:w="4824" w:type="dxa"/>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5</w:t>
            </w:r>
          </w:p>
        </w:tc>
        <w:tc>
          <w:tcPr>
            <w:tcW w:w="3544" w:type="dxa"/>
            <w:gridSpan w:val="3"/>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pPr>
              <w:wordWrap w:val="0"/>
              <w:jc w:val="center"/>
              <w:rPr>
                <w:rFonts w:hint="eastAsia" w:ascii="宋体" w:hAnsi="宋体" w:cs="宋体"/>
                <w:b/>
                <w:bCs/>
                <w:color w:val="0000FF"/>
                <w:sz w:val="24"/>
              </w:rPr>
            </w:pPr>
            <w:r>
              <w:rPr>
                <w:rFonts w:hint="eastAsia"/>
                <w:b/>
                <w:bCs/>
                <w:color w:val="0000FF"/>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843"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92"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ascii="宋体" w:hAnsi="宋体"/>
                <w:sz w:val="20"/>
                <w:szCs w:val="20"/>
              </w:rPr>
              <w:t>1</w:t>
            </w:r>
          </w:p>
        </w:tc>
        <w:tc>
          <w:tcPr>
            <w:tcW w:w="1843" w:type="dxa"/>
            <w:vAlign w:val="center"/>
          </w:tcPr>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技术保障措施</w:t>
            </w:r>
          </w:p>
        </w:tc>
        <w:tc>
          <w:tcPr>
            <w:tcW w:w="992" w:type="dxa"/>
            <w:vAlign w:val="center"/>
          </w:tcPr>
          <w:p>
            <w:pPr>
              <w:keepNext w:val="0"/>
              <w:keepLines w:val="0"/>
              <w:pageBreakBefore w:val="0"/>
              <w:widowControl w:val="0"/>
              <w:kinsoku/>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rPr>
              <w:t>7</w:t>
            </w:r>
          </w:p>
        </w:tc>
        <w:tc>
          <w:tcPr>
            <w:tcW w:w="4824" w:type="dxa"/>
            <w:vAlign w:val="center"/>
          </w:tcPr>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投标人根据项目实际开展需求，提供技术保障措施，包含以下内容：</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1.技术方案；</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2.产品生产规范；</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3.生产及供货进度计划。</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（二）评分依据：</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方案包含以上三项内容的得60分，包含以上二项得40分，包含以上一项得20分，其他情况不得分。</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在此基础上，根据方案响应情况进一步评审：</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1.方案内容详细且合理、条理极清晰、可操作性强的，加40分；</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2.方案内容详细且合理、条理极清晰、可操作性较强的，加20分；</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3.方案内容详细且合理、条理极清晰、可操作性一般的，加10分；</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4.方案内容详细且合理、条理极清晰、可操作性差的，不加分。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ascii="宋体" w:hAnsi="宋体"/>
                <w:sz w:val="20"/>
                <w:szCs w:val="20"/>
              </w:rPr>
              <w:t>2</w:t>
            </w:r>
          </w:p>
        </w:tc>
        <w:tc>
          <w:tcPr>
            <w:tcW w:w="1843" w:type="dxa"/>
            <w:vAlign w:val="center"/>
          </w:tcPr>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技术要求偏离情况</w:t>
            </w:r>
          </w:p>
        </w:tc>
        <w:tc>
          <w:tcPr>
            <w:tcW w:w="992" w:type="dxa"/>
            <w:vAlign w:val="center"/>
          </w:tcPr>
          <w:p>
            <w:pPr>
              <w:keepNext w:val="0"/>
              <w:keepLines w:val="0"/>
              <w:pageBreakBefore w:val="0"/>
              <w:widowControl w:val="0"/>
              <w:kinsoku/>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4824" w:type="dxa"/>
            <w:vAlign w:val="center"/>
          </w:tcPr>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投标人应如实填写《技术要求偏离表》，评审委员会根据技术需求参数响应情况进行打分，各项技术参数指标及要求全部满足的得100分。所有标注“▲”的重要参数每项负偏离一扣</w:t>
            </w:r>
            <w:r>
              <w:rPr>
                <w:rFonts w:hint="eastAsia" w:asciiTheme="minorEastAsia" w:hAnsiTheme="minorEastAsia" w:eastAsiaTheme="minorEastAsia" w:cstheme="minorEastAsia"/>
                <w:kern w:val="0"/>
                <w:sz w:val="21"/>
                <w:szCs w:val="21"/>
                <w:lang w:val="en-US" w:eastAsia="zh-CN"/>
              </w:rPr>
              <w:t>15</w:t>
            </w:r>
            <w:r>
              <w:rPr>
                <w:rFonts w:hint="eastAsia" w:asciiTheme="minorEastAsia" w:hAnsiTheme="minorEastAsia" w:eastAsiaTheme="minorEastAsia" w:cstheme="minorEastAsia"/>
                <w:kern w:val="0"/>
                <w:sz w:val="21"/>
                <w:szCs w:val="21"/>
              </w:rPr>
              <w:t>分，一般参数每负偏离一条扣0.</w:t>
            </w:r>
            <w:r>
              <w:rPr>
                <w:rFonts w:hint="eastAsia" w:asciiTheme="minorEastAsia" w:hAnsiTheme="minorEastAsia" w:eastAsiaTheme="minorEastAsia" w:cstheme="minorEastAsia"/>
                <w:kern w:val="0"/>
                <w:sz w:val="21"/>
                <w:szCs w:val="21"/>
                <w:lang w:val="en-US" w:eastAsia="zh-CN"/>
              </w:rPr>
              <w:t>15</w:t>
            </w:r>
            <w:r>
              <w:rPr>
                <w:rFonts w:hint="eastAsia" w:asciiTheme="minorEastAsia" w:hAnsiTheme="minorEastAsia" w:eastAsiaTheme="minorEastAsia" w:cstheme="minorEastAsia"/>
                <w:kern w:val="0"/>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ascii="宋体" w:hAnsi="宋体"/>
                <w:sz w:val="20"/>
                <w:szCs w:val="20"/>
              </w:rPr>
              <w:t>3</w:t>
            </w:r>
          </w:p>
        </w:tc>
        <w:tc>
          <w:tcPr>
            <w:tcW w:w="1843" w:type="dxa"/>
            <w:vAlign w:val="center"/>
          </w:tcPr>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视频演示</w:t>
            </w:r>
          </w:p>
        </w:tc>
        <w:tc>
          <w:tcPr>
            <w:tcW w:w="992" w:type="dxa"/>
            <w:vAlign w:val="center"/>
          </w:tcPr>
          <w:p>
            <w:pPr>
              <w:keepNext w:val="0"/>
              <w:keepLines w:val="0"/>
              <w:pageBreakBefore w:val="0"/>
              <w:widowControl w:val="0"/>
              <w:kinsoku/>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10</w:t>
            </w:r>
          </w:p>
        </w:tc>
        <w:tc>
          <w:tcPr>
            <w:tcW w:w="4824" w:type="dxa"/>
            <w:vAlign w:val="center"/>
          </w:tcPr>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投标方提供呼叫服务及管理系统(服务器端)视频演示，评审委员会根据以下演示要求的内容和标准进行打分。</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1.系统支持灵活调整设备界面样式与患者信息显示布局，并可通过一键下发或推送等方式使修改内容立即在设备（医护主机）上生效。</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2.系统支持灵活调整设备界面样式与患者信息显示布局，并可通过一键下发或推送等方式使修改内容立即在设备（电子床头屏）上生效。</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3.系统支持直接地调整所选病区床位（如新增、修改、删除床位等操作），所有调整实时生效。</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4.系统支持生成多种统计分析图表，包括：呼叫占比统计、呼叫量日线图、呼叫响应时长统计、呼叫通话时长统计及每床日统计等，统计图表支持按全院、病区等多维度进行数据筛选与分析。</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（二）评分依据：</w:t>
            </w:r>
          </w:p>
          <w:p>
            <w:pPr>
              <w:keepNext w:val="0"/>
              <w:keepLines w:val="0"/>
              <w:pageBreakBefore w:val="0"/>
              <w:widowControl w:val="0"/>
              <w:kinsoku/>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全部演示满足的得100分，每一项演示不满足扣25分，不提供演示不得分。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3</w:t>
            </w:r>
          </w:p>
        </w:tc>
        <w:tc>
          <w:tcPr>
            <w:tcW w:w="3544" w:type="dxa"/>
            <w:gridSpan w:val="3"/>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商务部分</w:t>
            </w:r>
          </w:p>
        </w:tc>
        <w:tc>
          <w:tcPr>
            <w:tcW w:w="4824" w:type="dxa"/>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keepNext w:val="0"/>
              <w:keepLines w:val="0"/>
              <w:pageBreakBefore w:val="0"/>
              <w:widowControl w:val="0"/>
              <w:kinsoku/>
              <w:wordWrap w:val="0"/>
              <w:overflowPunct/>
              <w:topLinePunct w:val="0"/>
              <w:bidi w:val="0"/>
              <w:snapToGrid/>
              <w:spacing w:line="240" w:lineRule="auto"/>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843" w:type="dxa"/>
            <w:shd w:val="clear" w:color="auto" w:fill="E6EFF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评审因素</w:t>
            </w:r>
          </w:p>
        </w:tc>
        <w:tc>
          <w:tcPr>
            <w:tcW w:w="992" w:type="dxa"/>
            <w:shd w:val="clear" w:color="auto" w:fill="E6EFF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权重%</w:t>
            </w:r>
          </w:p>
        </w:tc>
        <w:tc>
          <w:tcPr>
            <w:tcW w:w="4824" w:type="dxa"/>
            <w:shd w:val="clear" w:color="auto" w:fill="E6EFF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hint="eastAsia" w:ascii="宋体" w:hAnsi="宋体" w:cs="宋体"/>
                <w:sz w:val="22"/>
                <w:szCs w:val="22"/>
              </w:rPr>
              <w:t>1</w:t>
            </w:r>
          </w:p>
        </w:tc>
        <w:tc>
          <w:tcPr>
            <w:tcW w:w="1843" w:type="dxa"/>
            <w:vAlign w:val="center"/>
          </w:tcPr>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免费保修期内售后服务条款偏离情况</w:t>
            </w:r>
          </w:p>
        </w:tc>
        <w:tc>
          <w:tcPr>
            <w:tcW w:w="992" w:type="dxa"/>
            <w:vAlign w:val="center"/>
          </w:tcPr>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4824" w:type="dxa"/>
          </w:tcPr>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投标人应如实填写《商务要求偏离表（免费保修期内售后服务要求）》，评审委员会根据响应情况进行打分，全部满足要求的得100分，所有标注“▲”的重要条款每项负偏离一扣</w:t>
            </w:r>
            <w:r>
              <w:rPr>
                <w:rFonts w:hint="eastAsia" w:asciiTheme="minorEastAsia" w:hAnsiTheme="minorEastAsia" w:eastAsiaTheme="minorEastAsia" w:cstheme="minorEastAsia"/>
                <w:color w:val="000000"/>
                <w:sz w:val="21"/>
                <w:szCs w:val="21"/>
                <w:lang w:val="en-US" w:eastAsia="zh-CN"/>
              </w:rPr>
              <w:t>55</w:t>
            </w:r>
            <w:r>
              <w:rPr>
                <w:rFonts w:hint="eastAsia" w:asciiTheme="minorEastAsia" w:hAnsiTheme="minorEastAsia" w:eastAsiaTheme="minorEastAsia" w:cstheme="minorEastAsia"/>
                <w:color w:val="000000"/>
                <w:sz w:val="21"/>
                <w:szCs w:val="21"/>
              </w:rPr>
              <w:t>分，一般条款每负偏离一条扣15分，扣完为止。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szCs w:val="21"/>
              </w:rPr>
            </w:pPr>
            <w:r>
              <w:rPr>
                <w:rFonts w:hint="eastAsia" w:ascii="宋体" w:hAnsi="宋体" w:cs="宋体"/>
                <w:sz w:val="22"/>
                <w:szCs w:val="22"/>
              </w:rPr>
              <w:t>2</w:t>
            </w:r>
          </w:p>
        </w:tc>
        <w:tc>
          <w:tcPr>
            <w:tcW w:w="1843" w:type="dxa"/>
            <w:vAlign w:val="center"/>
          </w:tcPr>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其他商务条款偏离情况</w:t>
            </w:r>
          </w:p>
        </w:tc>
        <w:tc>
          <w:tcPr>
            <w:tcW w:w="992" w:type="dxa"/>
            <w:vAlign w:val="center"/>
          </w:tcPr>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824" w:type="dxa"/>
          </w:tcPr>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投标人应如实填写《商务要求偏离表（其他商务要求）》，评审委员会根据响应情况进行打分，全部满足要求的得100分，每负偏离一项扣50分，扣完为止。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pPr>
              <w:wordWrap w:val="0"/>
              <w:jc w:val="center"/>
              <w:rPr>
                <w:rFonts w:hint="eastAsia" w:ascii="宋体" w:hAnsi="宋体" w:cs="宋体"/>
                <w:b/>
                <w:bCs/>
                <w:color w:val="0000FF"/>
                <w:sz w:val="24"/>
              </w:rPr>
            </w:pPr>
            <w:r>
              <w:rPr>
                <w:b/>
                <w:bCs/>
                <w:color w:val="0000FF"/>
              </w:rPr>
              <w:t>4</w:t>
            </w:r>
          </w:p>
        </w:tc>
        <w:tc>
          <w:tcPr>
            <w:tcW w:w="3544" w:type="dxa"/>
            <w:gridSpan w:val="3"/>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诚信情况</w:t>
            </w:r>
          </w:p>
        </w:tc>
        <w:tc>
          <w:tcPr>
            <w:tcW w:w="4824" w:type="dxa"/>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843" w:type="dxa"/>
            <w:shd w:val="clear" w:color="auto" w:fill="E6EFF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评审因素</w:t>
            </w:r>
          </w:p>
        </w:tc>
        <w:tc>
          <w:tcPr>
            <w:tcW w:w="992" w:type="dxa"/>
            <w:shd w:val="clear" w:color="auto" w:fill="E6EFF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权重%</w:t>
            </w:r>
          </w:p>
        </w:tc>
        <w:tc>
          <w:tcPr>
            <w:tcW w:w="4824" w:type="dxa"/>
            <w:shd w:val="clear" w:color="auto" w:fill="E6EFF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ascii="宋体" w:hAnsi="宋体"/>
                <w:szCs w:val="21"/>
              </w:rPr>
              <w:t>1</w:t>
            </w:r>
          </w:p>
        </w:tc>
        <w:tc>
          <w:tcPr>
            <w:tcW w:w="1843" w:type="dx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诚信情况</w:t>
            </w:r>
          </w:p>
        </w:tc>
        <w:tc>
          <w:tcPr>
            <w:tcW w:w="992" w:type="dxa"/>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824" w:type="dxa"/>
          </w:tcPr>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（二）评分依据：</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Align w:val="center"/>
          </w:tcPr>
          <w:p>
            <w:pPr>
              <w:wordWrap w:val="0"/>
              <w:jc w:val="center"/>
              <w:rPr>
                <w:b/>
                <w:bCs/>
                <w:color w:val="0000FF"/>
              </w:rPr>
            </w:pPr>
            <w:r>
              <w:rPr>
                <w:rFonts w:hint="eastAsia"/>
                <w:b/>
                <w:bCs/>
                <w:color w:val="0000FF"/>
              </w:rPr>
              <w:t>5</w:t>
            </w:r>
          </w:p>
        </w:tc>
        <w:tc>
          <w:tcPr>
            <w:tcW w:w="3544" w:type="dxa"/>
            <w:gridSpan w:val="3"/>
            <w:vAlign w:val="center"/>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综合实力</w:t>
            </w:r>
          </w:p>
        </w:tc>
        <w:tc>
          <w:tcPr>
            <w:tcW w:w="4824" w:type="dxa"/>
          </w:tcPr>
          <w:p>
            <w:pPr>
              <w:keepNext w:val="0"/>
              <w:keepLines w:val="0"/>
              <w:pageBreakBefore w:val="0"/>
              <w:widowControl w:val="0"/>
              <w:kinsoku/>
              <w:wordWrap w:val="0"/>
              <w:overflowPunct/>
              <w:topLinePunct w:val="0"/>
              <w:bidi w:val="0"/>
              <w:snapToGrid/>
              <w:spacing w:line="240" w:lineRule="auto"/>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hint="eastAsia" w:ascii="宋体" w:hAnsi="宋体"/>
                <w:szCs w:val="21"/>
              </w:rPr>
              <w:t>1</w:t>
            </w:r>
          </w:p>
        </w:tc>
        <w:tc>
          <w:tcPr>
            <w:tcW w:w="1843" w:type="dxa"/>
            <w:vAlign w:val="center"/>
          </w:tcPr>
          <w:p>
            <w:pPr>
              <w:keepNext w:val="0"/>
              <w:keepLines w:val="0"/>
              <w:pageBreakBefore w:val="0"/>
              <w:widowControl w:val="0"/>
              <w:kinsoku/>
              <w:overflowPunct/>
              <w:topLinePunct w:val="0"/>
              <w:bidi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同类项目业绩情况</w:t>
            </w:r>
          </w:p>
        </w:tc>
        <w:tc>
          <w:tcPr>
            <w:tcW w:w="992" w:type="dxa"/>
            <w:vAlign w:val="center"/>
          </w:tcPr>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824" w:type="dxa"/>
            <w:vAlign w:val="center"/>
          </w:tcPr>
          <w:p>
            <w:pPr>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投标人自2022年1月1日至本项目投标截止日止（以合同签订日期为准）承担过同类项目业绩</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同类业绩合同里的内容包含了本项目标的里的部分产品都算业绩</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，每提供1个得50分，最高得100分。</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（二）评分依据：</w:t>
            </w:r>
          </w:p>
          <w:p>
            <w:pPr>
              <w:pStyle w:val="18"/>
              <w:keepNext w:val="0"/>
              <w:keepLines w:val="0"/>
              <w:pageBreakBefore w:val="0"/>
              <w:widowControl w:val="0"/>
              <w:kinsoku/>
              <w:overflowPunct/>
              <w:topLinePunct w:val="0"/>
              <w:bidi w:val="0"/>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w:t>
            </w:r>
            <w:r>
              <w:rPr>
                <w:rFonts w:hint="eastAsia" w:asciiTheme="minorEastAsia" w:hAnsiTheme="minorEastAsia" w:eastAsiaTheme="minorEastAsia" w:cstheme="minorEastAsia"/>
                <w:sz w:val="21"/>
                <w:szCs w:val="21"/>
                <w:lang w:val="en-US" w:eastAsia="zh-CN"/>
              </w:rPr>
              <w:t>需在</w:t>
            </w:r>
            <w:r>
              <w:rPr>
                <w:rFonts w:hint="eastAsia" w:asciiTheme="minorEastAsia" w:hAnsiTheme="minorEastAsia" w:eastAsiaTheme="minorEastAsia" w:cstheme="minorEastAsia"/>
                <w:sz w:val="21"/>
                <w:szCs w:val="21"/>
              </w:rPr>
              <w:t>投标文件中提供每一个项目的合同关键页（体现合同内容、合同签字、合同日期，均加盖合同甲方公章或业务章）扫描件，否则不得分。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spacing w:line="240" w:lineRule="exact"/>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pacing w:line="240" w:lineRule="exact"/>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pacing w:line="240" w:lineRule="exact"/>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spacing w:line="240" w:lineRule="exact"/>
        <w:ind w:firstLine="422" w:firstLineChars="200"/>
        <w:rPr>
          <w:b/>
          <w:color w:val="FF0000"/>
        </w:rPr>
      </w:pPr>
      <w:r>
        <w:rPr>
          <w:rFonts w:hint="eastAsia"/>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spacing w:line="240" w:lineRule="exact"/>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1"/>
    </w:p>
    <w:p>
      <w:pPr>
        <w:pStyle w:val="2"/>
      </w:pPr>
      <w:r>
        <w:br w:type="page"/>
      </w:r>
    </w:p>
    <w:p>
      <w:pPr>
        <w:spacing w:line="300" w:lineRule="exact"/>
        <w:ind w:firstLine="420" w:firstLineChars="200"/>
      </w:pPr>
    </w:p>
    <w:p>
      <w:pPr>
        <w:pStyle w:val="4"/>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第一章  招标公告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第二章  招标文件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第九章  公开招标失败的后续处理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4"/>
        <w:rPr>
          <w:rFonts w:hint="eastAsia"/>
          <w:sz w:val="24"/>
        </w:rPr>
      </w:pPr>
      <w:r>
        <w:br w:type="page"/>
      </w:r>
      <w:bookmarkStart w:id="3" w:name="bt合同条款及格式"/>
      <w:bookmarkEnd w:id="3"/>
      <w:bookmarkStart w:id="4" w:name="bt开标一览表"/>
      <w:bookmarkEnd w:id="4"/>
      <w:bookmarkStart w:id="5" w:name="bt项目管理班子配备情况"/>
      <w:bookmarkEnd w:id="5"/>
      <w:bookmarkStart w:id="6" w:name="bt其他资料由投标人自定"/>
      <w:bookmarkEnd w:id="6"/>
      <w:bookmarkStart w:id="7" w:name="bt投标函"/>
      <w:bookmarkEnd w:id="7"/>
      <w:bookmarkStart w:id="8" w:name="bt合同格式"/>
      <w:bookmarkEnd w:id="8"/>
      <w:bookmarkStart w:id="9" w:name="bt投标人须知"/>
      <w:bookmarkEnd w:id="9"/>
      <w:bookmarkStart w:id="10" w:name="bt说明"/>
      <w:bookmarkEnd w:id="10"/>
      <w:bookmarkStart w:id="11" w:name="bt本工程承诺书"/>
      <w:bookmarkEnd w:id="11"/>
      <w:bookmarkStart w:id="12" w:name="bt商务标投标文件格式"/>
      <w:bookmarkEnd w:id="12"/>
      <w:bookmarkStart w:id="13" w:name="bt技术标投标文件格式"/>
      <w:bookmarkEnd w:id="13"/>
      <w:bookmarkStart w:id="14" w:name="bt投标文件签署授权委托书"/>
      <w:bookmarkEnd w:id="14"/>
      <w:bookmarkStart w:id="15" w:name="合同格式"/>
      <w:bookmarkEnd w:id="15"/>
      <w:bookmarkStart w:id="16" w:name="bt投标人情况介绍"/>
      <w:bookmarkEnd w:id="16"/>
      <w:bookmarkStart w:id="17" w:name="bt合同条款"/>
      <w:bookmarkEnd w:id="17"/>
      <w:bookmarkStart w:id="18" w:name="bt投标报价汇总表"/>
      <w:bookmarkEnd w:id="18"/>
      <w:bookmarkStart w:id="19" w:name="bt其他资料2"/>
      <w:bookmarkEnd w:id="19"/>
      <w:r>
        <w:rPr>
          <w:rFonts w:hint="eastAsia"/>
        </w:rPr>
        <w:t>第一册专用条款</w:t>
      </w:r>
    </w:p>
    <w:p>
      <w:pPr>
        <w:pStyle w:val="7"/>
        <w:rPr>
          <w:rFonts w:hint="eastAsia"/>
          <w:sz w:val="28"/>
          <w:szCs w:val="28"/>
        </w:rPr>
      </w:pPr>
      <w:r>
        <w:rPr>
          <w:rFonts w:hint="eastAsia"/>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ind w:firstLine="630" w:firstLineChars="300"/>
        <w:rPr>
          <w:rFonts w:hint="eastAsia" w:ascii="宋体" w:hAnsi="宋体" w:cs="宋体"/>
          <w:kern w:val="0"/>
          <w:szCs w:val="21"/>
        </w:rPr>
      </w:pPr>
      <w:r>
        <w:rPr>
          <w:rFonts w:hint="eastAsia" w:ascii="宋体" w:hAnsi="宋体" w:cs="宋体"/>
          <w:kern w:val="0"/>
          <w:szCs w:val="21"/>
        </w:rPr>
        <w:t>2.本项目不接受联合体投标（由供应商在《政府采购投标及履约承诺函》中作出声明），是否接受投标人选用进口产品参与投标详见招标文件“货物需求明细”表；</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8.本项目是（否）专门面向中小企业采购：否；</w:t>
      </w:r>
    </w:p>
    <w:p>
      <w:pPr>
        <w:ind w:firstLine="630" w:firstLineChars="300"/>
        <w:rPr>
          <w:rFonts w:hint="eastAsia" w:ascii="宋体" w:hAnsi="宋体" w:cs="宋体"/>
          <w:kern w:val="0"/>
          <w:szCs w:val="21"/>
        </w:rPr>
      </w:pPr>
      <w:r>
        <w:rPr>
          <w:rFonts w:hint="eastAsia" w:ascii="宋体" w:hAnsi="宋体"/>
          <w:szCs w:val="21"/>
        </w:rPr>
        <w:t>9.</w:t>
      </w:r>
      <w:r>
        <w:rPr>
          <w:rFonts w:hint="eastAsia" w:ascii="宋体" w:hAnsi="宋体" w:cs="宋体"/>
          <w:kern w:val="0"/>
          <w:szCs w:val="21"/>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w:t>
      </w:r>
    </w:p>
    <w:p>
      <w:pPr>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szCs w:val="21"/>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FF0000"/>
          <w:kern w:val="0"/>
          <w:szCs w:val="21"/>
        </w:rPr>
      </w:pPr>
    </w:p>
    <w:p>
      <w:pPr>
        <w:ind w:firstLine="420" w:firstLineChars="200"/>
        <w:rPr>
          <w:rFonts w:hint="eastAsia" w:ascii="宋体" w:hAnsi="宋体" w:cs="宋体"/>
          <w:kern w:val="0"/>
          <w:szCs w:val="21"/>
        </w:rPr>
      </w:pPr>
    </w:p>
    <w:p>
      <w:pPr>
        <w:ind w:firstLine="420" w:firstLineChars="200"/>
        <w:rPr>
          <w:rFonts w:hint="eastAsia" w:ascii="宋体" w:hAnsi="宋体" w:cs="宋体"/>
          <w:color w:val="FF0000"/>
          <w:kern w:val="0"/>
          <w:szCs w:val="21"/>
        </w:rPr>
      </w:pPr>
    </w:p>
    <w:p>
      <w:pPr>
        <w:rPr>
          <w:rFonts w:hint="eastAsia" w:ascii="宋体" w:hAnsi="宋体"/>
          <w:szCs w:val="21"/>
        </w:rPr>
      </w:pPr>
      <w:r>
        <w:rPr>
          <w:rFonts w:hint="eastAsia" w:ascii="宋体" w:hAnsi="宋体"/>
          <w:szCs w:val="21"/>
        </w:rPr>
        <w:t>完整公告内容详见：深圳交易集团（深圳公共资源交易中心）官网https://www.szexgrp.com/jyfw/zfcg-view.html?id=zfcg</w:t>
      </w:r>
    </w:p>
    <w:p>
      <w:r>
        <w:rPr>
          <w:rFonts w:hint="eastAsia"/>
        </w:rPr>
        <w:br w:type="page"/>
      </w:r>
    </w:p>
    <w:p>
      <w:pPr>
        <w:pStyle w:val="7"/>
        <w:rPr>
          <w:rFonts w:hint="eastAsia"/>
          <w:sz w:val="28"/>
          <w:szCs w:val="28"/>
        </w:rPr>
      </w:pPr>
      <w:r>
        <w:rPr>
          <w:rFonts w:hint="eastAsia"/>
          <w:sz w:val="28"/>
          <w:szCs w:val="28"/>
        </w:rPr>
        <w:t>第二章 对通用条款的补充内容及其他关键信息</w:t>
      </w:r>
    </w:p>
    <w:p>
      <w:pPr>
        <w:pStyle w:val="7"/>
        <w:spacing w:before="156" w:beforeLines="50" w:after="156" w:afterLines="50"/>
        <w:rPr>
          <w:rFonts w:hint="eastAsia"/>
          <w:sz w:val="28"/>
          <w:szCs w:val="28"/>
        </w:rPr>
      </w:pPr>
      <w:bookmarkStart w:id="21" w:name="_Toc101074876"/>
      <w:bookmarkStart w:id="22" w:name="_Toc60560625"/>
      <w:bookmarkStart w:id="23" w:name="_Toc73518117"/>
      <w:bookmarkStart w:id="24" w:name="_Toc60631620"/>
      <w:bookmarkStart w:id="25" w:name="_Toc73521547"/>
      <w:bookmarkStart w:id="26" w:name="_Toc100052364"/>
      <w:bookmarkStart w:id="27" w:name="_Toc73517639"/>
      <w:bookmarkStart w:id="28" w:name="_Toc73521635"/>
      <w:r>
        <w:rPr>
          <w:rFonts w:hint="eastAsia"/>
          <w:szCs w:val="24"/>
        </w:rPr>
        <w:t>一、对通用条款的补充内容</w:t>
      </w:r>
    </w:p>
    <w:bookmarkEnd w:id="21"/>
    <w:bookmarkEnd w:id="22"/>
    <w:bookmarkEnd w:id="23"/>
    <w:bookmarkEnd w:id="24"/>
    <w:bookmarkEnd w:id="25"/>
    <w:bookmarkEnd w:id="26"/>
    <w:bookmarkEnd w:id="27"/>
    <w:bookmarkEnd w:id="28"/>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pP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rPr>
            </w:pPr>
            <w:r>
              <w:rPr>
                <w:rFonts w:hint="eastAsia" w:ascii="宋体" w:hAnsi="宋体"/>
              </w:rPr>
              <w:t>深圳市中医院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rPr>
              <w:t>招标文件的澄清和修改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center"/>
              <w:rPr>
                <w:rFonts w:hint="eastAsia"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center"/>
              <w:rPr>
                <w:rFonts w:hint="eastAsia"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center"/>
              <w:rPr>
                <w:rFonts w:hint="eastAsia" w:ascii="宋体" w:hAnsi="宋体"/>
              </w:rPr>
            </w:pP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rFonts w:hint="eastAsia"/>
          <w:szCs w:val="21"/>
        </w:rPr>
      </w:pPr>
    </w:p>
    <w:p>
      <w:pPr>
        <w:rPr>
          <w:b/>
        </w:rPr>
      </w:pPr>
      <w:r>
        <w:rPr>
          <w:rFonts w:hint="eastAsia"/>
          <w:szCs w:val="21"/>
        </w:rPr>
        <w:t>备注：本表是通用条款相关条款的补充和明确，如与通用条款内容相冲突的，以本表为准。</w:t>
      </w:r>
    </w:p>
    <w:p>
      <w:pPr>
        <w:rPr>
          <w:b/>
        </w:rPr>
      </w:pPr>
    </w:p>
    <w:p>
      <w:pPr>
        <w:pStyle w:val="7"/>
        <w:spacing w:before="156" w:beforeLines="50" w:after="156"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4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96" w:type="dxa"/>
          </w:tcPr>
          <w:p>
            <w:pPr>
              <w:jc w:val="center"/>
            </w:pPr>
            <w:r>
              <w:rPr>
                <w:rFonts w:hint="eastAsia"/>
              </w:rPr>
              <w:t>评标方法</w:t>
            </w:r>
          </w:p>
        </w:tc>
        <w:tc>
          <w:tcPr>
            <w:tcW w:w="4163"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96" w:type="dxa"/>
          </w:tcPr>
          <w:p>
            <w:pPr>
              <w:jc w:val="center"/>
            </w:pPr>
            <w:r>
              <w:rPr>
                <w:rFonts w:hint="eastAsia"/>
              </w:rPr>
              <w:t>候选中标供应商家数</w:t>
            </w:r>
          </w:p>
        </w:tc>
        <w:tc>
          <w:tcPr>
            <w:tcW w:w="4163"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196" w:type="dxa"/>
          </w:tcPr>
          <w:p>
            <w:pPr>
              <w:jc w:val="center"/>
            </w:pPr>
            <w:r>
              <w:rPr>
                <w:rFonts w:hint="eastAsia"/>
              </w:rPr>
              <w:t>中标供应商家数</w:t>
            </w:r>
          </w:p>
        </w:tc>
        <w:tc>
          <w:tcPr>
            <w:tcW w:w="4163" w:type="dxa"/>
          </w:tcPr>
          <w:p>
            <w:pPr>
              <w:jc w:val="center"/>
            </w:pPr>
            <w:r>
              <w:rPr>
                <w:rFonts w:hint="eastAsia"/>
              </w:rPr>
              <w:t>1</w:t>
            </w:r>
          </w:p>
        </w:tc>
      </w:tr>
    </w:tbl>
    <w:p>
      <w:pPr>
        <w:ind w:firstLine="422" w:firstLineChars="200"/>
        <w:rPr>
          <w:rFonts w:hint="eastAsia" w:ascii="宋体" w:hAnsi="宋体"/>
          <w:b/>
        </w:rPr>
      </w:pPr>
    </w:p>
    <w:bookmarkEnd w:id="30"/>
    <w:p>
      <w:pPr>
        <w:ind w:firstLine="422" w:firstLineChars="200"/>
        <w:rPr>
          <w:b/>
        </w:rPr>
      </w:pPr>
      <w:r>
        <w:rPr>
          <w:rFonts w:hint="eastAsia"/>
          <w:b/>
        </w:rPr>
        <w:t>（二）其他事项</w:t>
      </w:r>
    </w:p>
    <w:p>
      <w:pPr>
        <w:ind w:firstLine="422" w:firstLineChars="200"/>
        <w:rPr>
          <w:rFonts w:hint="eastAsia" w:ascii="宋体" w:hAnsi="宋体" w:cs="宋体"/>
          <w:b/>
          <w:bCs/>
        </w:rPr>
      </w:pPr>
      <w:r>
        <w:rPr>
          <w:rFonts w:ascii="宋体" w:hAnsi="宋体" w:cs="宋体"/>
          <w:b/>
          <w:bCs/>
        </w:rPr>
        <w:t>1</w:t>
      </w:r>
      <w:r>
        <w:rPr>
          <w:rFonts w:hint="eastAsia" w:ascii="宋体" w:hAnsi="宋体" w:cs="宋体"/>
          <w:b/>
          <w:bCs/>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b/>
          <w:bCs/>
          <w:color w:val="FF0000"/>
          <w:sz w:val="24"/>
          <w:szCs w:val="32"/>
          <w:u w:val="single"/>
        </w:rPr>
        <w:t xml:space="preserve">  </w:t>
      </w:r>
      <w:r>
        <w:rPr>
          <w:rFonts w:hint="eastAsia"/>
          <w:b/>
          <w:bCs/>
          <w:color w:val="FF0000"/>
          <w:sz w:val="24"/>
          <w:szCs w:val="32"/>
          <w:u w:val="single"/>
        </w:rPr>
        <w:t xml:space="preserve">   </w:t>
      </w:r>
      <w:r>
        <w:rPr>
          <w:rFonts w:hint="eastAsia"/>
          <w:b/>
          <w:bCs/>
          <w:color w:val="FF0000"/>
          <w:sz w:val="24"/>
          <w:szCs w:val="32"/>
          <w:u w:val="single"/>
          <w:lang w:val="en-US" w:eastAsia="zh-CN"/>
        </w:rPr>
        <w:t>10</w:t>
      </w:r>
      <w:r>
        <w:rPr>
          <w:b/>
          <w:bCs/>
          <w:color w:val="FF0000"/>
          <w:sz w:val="24"/>
          <w:szCs w:val="32"/>
          <w:u w:val="single"/>
        </w:rPr>
        <w:t xml:space="preserve">  </w:t>
      </w:r>
      <w:r>
        <w:rPr>
          <w:rFonts w:hint="eastAsia"/>
          <w:b/>
          <w:bCs/>
          <w:color w:val="FF0000"/>
          <w:sz w:val="24"/>
          <w:szCs w:val="32"/>
          <w:u w:val="single"/>
        </w:rPr>
        <w:t xml:space="preserve"> </w:t>
      </w:r>
      <w:r>
        <w:rPr>
          <w:b/>
          <w:bCs/>
          <w:color w:val="FF0000"/>
          <w:sz w:val="24"/>
          <w:szCs w:val="32"/>
        </w:rPr>
        <w:t>%</w:t>
      </w:r>
      <w:r>
        <w:rPr>
          <w:rFonts w:hint="eastAsia"/>
          <w:color w:val="000000" w:themeColor="text1"/>
          <w14:textFill>
            <w14:solidFill>
              <w14:schemeClr w14:val="tx1"/>
            </w14:solidFill>
          </w14:textFill>
        </w:rPr>
        <w:t>（10%~20%）</w:t>
      </w:r>
      <w:r>
        <w:rPr>
          <w:rFonts w:hint="eastAsia"/>
        </w:rPr>
        <w:t>的扣除，用扣除后的价格参与评审。满足多项优惠政策的供应商，不重复享受多项价格扣除政策。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1" w:name="_Hlk71970739"/>
      <w:r>
        <w:rPr>
          <w:rFonts w:hint="eastAsia" w:asciiTheme="minorEastAsia" w:hAnsiTheme="minorEastAsia" w:eastAsia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rPr>
        <w:t>《中小企业声明函》中相关企业所属行业应当与采购标的所属行业相一致。</w:t>
      </w:r>
      <w:r>
        <w:rPr>
          <w:rFonts w:hint="eastAsia" w:asciiTheme="minorEastAsia" w:hAnsiTheme="minorEastAsia" w:eastAsiaTheme="minorEastAsia" w:cstheme="minorEastAsia"/>
          <w:szCs w:val="21"/>
        </w:rPr>
        <w:t>本项目采购标的（货物）对应的中小企业划分标准所属行业为</w:t>
      </w:r>
      <w:r>
        <w:rPr>
          <w:rFonts w:hint="eastAsia" w:asciiTheme="minorEastAsia" w:hAnsiTheme="minorEastAsia" w:eastAsiaTheme="minorEastAsia" w:cstheme="minorEastAsia"/>
          <w:b/>
          <w:bCs/>
          <w:color w:val="FF0000"/>
          <w:sz w:val="24"/>
          <w:u w:val="single"/>
        </w:rPr>
        <w:t xml:space="preserve"> </w:t>
      </w:r>
      <w:r>
        <w:rPr>
          <w:rFonts w:hint="eastAsia" w:asciiTheme="minorEastAsia" w:hAnsiTheme="minorEastAsia" w:eastAsiaTheme="minorEastAsia" w:cstheme="minorEastAsia"/>
          <w:b/>
          <w:bCs/>
          <w:color w:val="FF0000"/>
          <w:sz w:val="24"/>
          <w:u w:val="single"/>
          <w:lang w:val="en-US" w:eastAsia="zh-CN"/>
        </w:rPr>
        <w:t>工业</w:t>
      </w:r>
      <w:r>
        <w:rPr>
          <w:rFonts w:hint="eastAsia" w:asciiTheme="minorEastAsia" w:hAnsiTheme="minorEastAsia" w:eastAsiaTheme="minorEastAsia" w:cstheme="minorEastAsia"/>
          <w:b/>
          <w:bCs/>
          <w:color w:val="FF0000"/>
          <w:sz w:val="24"/>
          <w:u w:val="single"/>
        </w:rPr>
        <w:t xml:space="preserve">     </w:t>
      </w:r>
      <w:r>
        <w:rPr>
          <w:rFonts w:hint="eastAsia" w:asciiTheme="minorEastAsia" w:hAnsiTheme="minorEastAsia" w:eastAsiaTheme="minorEastAsia" w:cstheme="minorEastAsia"/>
          <w:szCs w:val="21"/>
        </w:rPr>
        <w:t>。</w:t>
      </w:r>
      <w:bookmarkEnd w:id="31"/>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3、</w:t>
      </w:r>
      <w:bookmarkStart w:id="32" w:name="_Hlk76855768"/>
      <w:bookmarkStart w:id="33" w:name="_Hlk72594729"/>
      <w:r>
        <w:rPr>
          <w:rFonts w:hint="eastAsia" w:ascii="宋体" w:hAnsi="宋体" w:cs="宋体"/>
          <w:b/>
          <w:bCs/>
        </w:rPr>
        <w:t>本项目为代理服务项目，将向中标（成交）供应商收取代理服务费。</w:t>
      </w:r>
    </w:p>
    <w:bookmarkEnd w:id="32"/>
    <w:bookmarkEnd w:id="33"/>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u w:val="single"/>
        </w:rPr>
        <w:t>货物采购</w:t>
      </w:r>
      <w:r>
        <w:rPr>
          <w:rFonts w:hint="eastAsia"/>
          <w:b/>
          <w:color w:val="FF0000"/>
        </w:rPr>
        <w:t>：</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jc w:val="left"/>
      </w:pPr>
      <w:r>
        <w:rPr>
          <w:rFonts w:hint="eastAsia"/>
        </w:rPr>
        <w:t>（3）中标（成交）供应商中标（成交）后，必须按规定采用银行对公转账方式向深圳交易集团有限公司直接交纳代理服务费，具体交纳信息以《付款（缴款）通知书》内容为准。</w:t>
      </w:r>
    </w:p>
    <w:p>
      <w:pPr>
        <w:rPr>
          <w:rFonts w:hint="eastAsia" w:ascii="宋体" w:hAnsi="宋体"/>
          <w:b/>
          <w:bCs/>
          <w:kern w:val="0"/>
          <w:sz w:val="28"/>
          <w:szCs w:val="28"/>
        </w:rPr>
      </w:pPr>
      <w:bookmarkStart w:id="34" w:name="_Toc128884461"/>
      <w:r>
        <w:rPr>
          <w:sz w:val="28"/>
          <w:szCs w:val="28"/>
        </w:rPr>
        <w:br w:type="page"/>
      </w:r>
    </w:p>
    <w:p>
      <w:pPr>
        <w:pStyle w:val="7"/>
        <w:rPr>
          <w:rFonts w:hint="eastAsia"/>
          <w:sz w:val="28"/>
          <w:szCs w:val="28"/>
        </w:rPr>
      </w:pPr>
      <w:r>
        <w:rPr>
          <w:rFonts w:hint="eastAsia"/>
          <w:sz w:val="28"/>
          <w:szCs w:val="28"/>
        </w:rPr>
        <w:t>第三章 用户需求书</w:t>
      </w:r>
    </w:p>
    <w:p>
      <w:pPr>
        <w:pStyle w:val="7"/>
        <w:spacing w:before="156" w:beforeLines="50" w:after="156" w:afterLines="50"/>
        <w:rPr>
          <w:rFonts w:hint="eastAsia"/>
          <w:szCs w:val="24"/>
        </w:rPr>
      </w:pPr>
      <w:r>
        <w:rPr>
          <w:rFonts w:hint="eastAsia"/>
          <w:szCs w:val="24"/>
        </w:rPr>
        <w:t>一、项目基本信息</w:t>
      </w:r>
    </w:p>
    <w:tbl>
      <w:tblPr>
        <w:tblStyle w:val="42"/>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5179"/>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5179"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2566"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54"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5179"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深圳市中医院光明院区智能呼叫系统补充采购项目</w:t>
            </w:r>
          </w:p>
        </w:tc>
        <w:tc>
          <w:tcPr>
            <w:tcW w:w="2566"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680000</w:t>
            </w:r>
          </w:p>
        </w:tc>
      </w:tr>
    </w:tbl>
    <w:p/>
    <w:p>
      <w:pPr>
        <w:pStyle w:val="2"/>
      </w:pPr>
    </w:p>
    <w:p>
      <w:pPr>
        <w:pStyle w:val="7"/>
        <w:spacing w:before="156" w:beforeLines="50" w:after="156" w:afterLines="50"/>
        <w:rPr>
          <w:rFonts w:hint="eastAsia"/>
          <w:szCs w:val="24"/>
        </w:rPr>
      </w:pPr>
      <w:r>
        <w:rPr>
          <w:rFonts w:hint="eastAsia"/>
          <w:szCs w:val="24"/>
        </w:rPr>
        <w:t>二、货物需求明细</w:t>
      </w:r>
    </w:p>
    <w:tbl>
      <w:tblPr>
        <w:tblStyle w:val="42"/>
        <w:tblW w:w="0" w:type="auto"/>
        <w:jc w:val="center"/>
        <w:tblLayout w:type="fixed"/>
        <w:tblCellMar>
          <w:top w:w="0" w:type="dxa"/>
          <w:left w:w="108" w:type="dxa"/>
          <w:bottom w:w="0" w:type="dxa"/>
          <w:right w:w="108" w:type="dxa"/>
        </w:tblCellMar>
      </w:tblPr>
      <w:tblGrid>
        <w:gridCol w:w="672"/>
        <w:gridCol w:w="3409"/>
        <w:gridCol w:w="725"/>
        <w:gridCol w:w="750"/>
        <w:gridCol w:w="1397"/>
        <w:gridCol w:w="1130"/>
      </w:tblGrid>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b/>
                <w:bCs/>
                <w:color w:val="000000"/>
              </w:rPr>
            </w:pPr>
            <w:r>
              <w:rPr>
                <w:rFonts w:hint="eastAsia" w:ascii="仿宋_GB2312" w:hAnsi="仿宋_GB2312" w:cs="仿宋_GB2312"/>
                <w:b/>
                <w:bCs/>
                <w:color w:val="000000"/>
                <w:kern w:val="0"/>
                <w:lang w:bidi="ar"/>
              </w:rPr>
              <w:t>序号</w:t>
            </w:r>
          </w:p>
        </w:tc>
        <w:tc>
          <w:tcPr>
            <w:tcW w:w="34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b/>
                <w:bCs/>
                <w:color w:val="000000"/>
              </w:rPr>
            </w:pPr>
            <w:r>
              <w:rPr>
                <w:rFonts w:hint="eastAsia" w:ascii="仿宋_GB2312" w:hAnsi="仿宋_GB2312" w:cs="仿宋_GB2312"/>
                <w:b/>
                <w:bCs/>
                <w:color w:val="000000"/>
                <w:kern w:val="0"/>
                <w:lang w:bidi="ar"/>
              </w:rPr>
              <w:t>产品名称</w:t>
            </w:r>
            <w:r>
              <w:rPr>
                <w:rStyle w:val="54"/>
                <w:rFonts w:hint="eastAsia" w:ascii="仿宋_GB2312" w:hAnsi="仿宋_GB2312" w:cs="仿宋_GB2312"/>
                <w:b/>
                <w:bCs/>
                <w:color w:val="000000"/>
                <w:sz w:val="24"/>
                <w:szCs w:val="24"/>
              </w:rPr>
              <w:t>（标的名称）</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b/>
                <w:bCs/>
                <w:color w:val="000000"/>
              </w:rPr>
            </w:pPr>
            <w:r>
              <w:rPr>
                <w:rFonts w:hint="eastAsia" w:ascii="仿宋_GB2312" w:hAnsi="仿宋_GB2312" w:cs="仿宋_GB2312"/>
                <w:b/>
                <w:bCs/>
                <w:color w:val="000000"/>
                <w:kern w:val="0"/>
                <w:lang w:bidi="ar"/>
              </w:rPr>
              <w:t>数量</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b/>
                <w:bCs/>
                <w:color w:val="000000"/>
              </w:rPr>
            </w:pPr>
            <w:r>
              <w:rPr>
                <w:rFonts w:hint="eastAsia" w:ascii="仿宋_GB2312" w:hAnsi="仿宋_GB2312" w:cs="仿宋_GB2312"/>
                <w:b/>
                <w:bCs/>
                <w:color w:val="000000"/>
                <w:kern w:val="0"/>
                <w:lang w:bidi="ar"/>
              </w:rPr>
              <w:t>单位</w:t>
            </w:r>
          </w:p>
        </w:tc>
        <w:tc>
          <w:tcPr>
            <w:tcW w:w="13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b/>
                <w:bCs/>
                <w:color w:val="000000"/>
                <w:kern w:val="0"/>
                <w:lang w:bidi="ar"/>
              </w:rPr>
            </w:pPr>
            <w:r>
              <w:rPr>
                <w:rFonts w:hint="eastAsia" w:asciiTheme="minorEastAsia" w:hAnsiTheme="minorEastAsia" w:eastAsiaTheme="minorEastAsia" w:cstheme="minorEastAsia"/>
                <w:b/>
                <w:bCs/>
                <w:szCs w:val="21"/>
              </w:rPr>
              <w:t>是否接受进口</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b/>
                <w:bCs/>
                <w:color w:val="000000"/>
                <w:kern w:val="0"/>
                <w:lang w:bidi="ar"/>
              </w:rPr>
            </w:pPr>
            <w:r>
              <w:rPr>
                <w:rFonts w:hint="eastAsia" w:asciiTheme="minorEastAsia" w:hAnsiTheme="minorEastAsia" w:eastAsiaTheme="minorEastAsia" w:cstheme="minorEastAsia"/>
                <w:b/>
                <w:bCs/>
                <w:szCs w:val="21"/>
              </w:rPr>
              <w:t>预算金额（元）</w:t>
            </w: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医护主机</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r>
              <w:rPr>
                <w:rFonts w:hint="eastAsia" w:ascii="仿宋_GB2312" w:hAnsi="仿宋_GB2312" w:cs="仿宋_GB2312"/>
                <w:color w:val="000000"/>
                <w:kern w:val="0"/>
                <w:lang w:bidi="ar"/>
              </w:rPr>
              <w:t>拒绝进口</w:t>
            </w:r>
          </w:p>
        </w:tc>
        <w:tc>
          <w:tcPr>
            <w:tcW w:w="1130"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r>
              <w:rPr>
                <w:rFonts w:hint="eastAsia"/>
                <w:bCs/>
                <w:szCs w:val="21"/>
              </w:rPr>
              <w:t>680,000.00</w:t>
            </w: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医护副机</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3</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双面走廊显示屏</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4</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电子门牌</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5</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电子床头屏（≥13寸）</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122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6</w:t>
            </w:r>
          </w:p>
        </w:tc>
        <w:tc>
          <w:tcPr>
            <w:tcW w:w="34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卫浴紧急呼叫器</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7</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非可视数字病床分机（IP）</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30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8</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床头呼叫器</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13</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9</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卫生间防水紧急按钮</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10</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护士站接收主机</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11</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信号中继器</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12</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无线接收主机</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13</w:t>
            </w:r>
          </w:p>
        </w:tc>
        <w:tc>
          <w:tcPr>
            <w:tcW w:w="34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病房电源</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14</w:t>
            </w:r>
          </w:p>
        </w:tc>
        <w:tc>
          <w:tcPr>
            <w:tcW w:w="34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智能交互一体机（≥43寸）</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15</w:t>
            </w:r>
          </w:p>
        </w:tc>
        <w:tc>
          <w:tcPr>
            <w:tcW w:w="34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智能交互一体机（≥75寸）</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1397"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16</w:t>
            </w:r>
          </w:p>
        </w:tc>
        <w:tc>
          <w:tcPr>
            <w:tcW w:w="34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落地支架</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17</w:t>
            </w:r>
          </w:p>
        </w:tc>
        <w:tc>
          <w:tcPr>
            <w:tcW w:w="34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生命体征监测仪</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18</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交换机(24口)</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19</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交换机（8口）</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20</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交换机（4口）</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21</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双绞线（网线）</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253</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strike/>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22</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配线（电源线）</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180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strike/>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23</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配管(线槽)</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57</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strike/>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24</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配管（线管）</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326</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strike/>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25</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接线盒(线盒)</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26</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配管（软管）</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32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27</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呼叫服务及管理系统(服务器端)</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28</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病房呼叫管理系统(医护端)</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29</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护士站交互系统软件（病区端）</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30</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护士站智慧管理系统</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1397"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CellMar>
            <w:top w:w="0" w:type="dxa"/>
            <w:left w:w="108" w:type="dxa"/>
            <w:bottom w:w="0" w:type="dxa"/>
            <w:right w:w="108" w:type="dxa"/>
          </w:tblCellMar>
        </w:tblPrEx>
        <w:trPr>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31</w:t>
            </w:r>
          </w:p>
        </w:tc>
        <w:tc>
          <w:tcPr>
            <w:tcW w:w="34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护理体征检测上传系统</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1397"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1130"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bl>
    <w:p>
      <w:pPr>
        <w:ind w:firstLine="422" w:firstLineChars="200"/>
        <w:rPr>
          <w:rFonts w:hint="eastAsia"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pPr>
      <w:r>
        <w:rPr>
          <w:rFonts w:hint="eastAsia" w:ascii="宋体" w:hAnsi="宋体"/>
          <w:b/>
          <w:color w:val="FF0000"/>
          <w:szCs w:val="21"/>
        </w:rPr>
        <w:t>3、本项目核心产品为：</w:t>
      </w:r>
      <w:r>
        <w:rPr>
          <w:rFonts w:hint="eastAsia" w:ascii="宋体" w:hAnsi="宋体"/>
          <w:b/>
          <w:color w:val="FF0000"/>
          <w:szCs w:val="21"/>
          <w:u w:val="single"/>
        </w:rPr>
        <w:t xml:space="preserve">  护士站智慧管理系统（序号30）  </w:t>
      </w:r>
    </w:p>
    <w:p>
      <w:pPr>
        <w:pStyle w:val="3"/>
      </w:pPr>
    </w:p>
    <w:p>
      <w:pPr>
        <w:pStyle w:val="7"/>
        <w:spacing w:before="156" w:beforeLines="50" w:after="156" w:afterLines="50"/>
        <w:rPr>
          <w:rFonts w:hint="eastAsia"/>
          <w:szCs w:val="24"/>
        </w:rPr>
      </w:pPr>
      <w:r>
        <w:rPr>
          <w:rFonts w:hint="eastAsia"/>
          <w:szCs w:val="24"/>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654"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654" w:type="dxa"/>
          </w:tcPr>
          <w:p>
            <w:pPr>
              <w:rPr>
                <w:rFonts w:hint="eastAsia" w:hAnsi="宋体" w:eastAsiaTheme="minorEastAsia"/>
                <w:kern w:val="0"/>
                <w:szCs w:val="21"/>
              </w:rPr>
            </w:pPr>
            <w:r>
              <w:rPr>
                <w:rFonts w:hint="eastAsia"/>
              </w:rPr>
              <w:t>满足本项目标★的条款要求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654" w:type="dxa"/>
          </w:tcPr>
          <w:p>
            <w:pPr>
              <w:adjustRightInd w:val="0"/>
              <w:snapToGrid w:val="0"/>
              <w:rPr>
                <w:rFonts w:hint="eastAsia" w:ascii="宋体" w:hAnsi="宋体"/>
                <w:b/>
                <w:bCs/>
                <w:color w:val="FF0000"/>
                <w:kern w:val="0"/>
                <w:szCs w:val="21"/>
              </w:rPr>
            </w:pPr>
            <w:r>
              <w:rPr>
                <w:rFonts w:hint="eastAsia" w:ascii="宋体" w:hAnsi="宋体"/>
                <w:b/>
                <w:bCs/>
                <w:color w:val="FF0000"/>
                <w:kern w:val="0"/>
                <w:szCs w:val="21"/>
              </w:rPr>
              <w:t>投标供应商投标时对照所填写的《供应商基本情况表》提供法定代表人、主要经营负责人、项目投标授权代表人、项目负责人、主要技术人员近个月(含开标当月)中的任意一个月的社会保险证明。其中项目负责人和主要技术人员</w:t>
            </w:r>
          </w:p>
          <w:p>
            <w:pPr>
              <w:rPr>
                <w:rFonts w:hint="eastAsia"/>
              </w:rPr>
            </w:pPr>
            <w:r>
              <w:rPr>
                <w:rFonts w:hint="eastAsia" w:ascii="宋体" w:hAnsi="宋体"/>
                <w:b/>
                <w:bCs/>
                <w:color w:val="FF0000"/>
                <w:kern w:val="0"/>
                <w:szCs w:val="21"/>
              </w:rPr>
              <w:t>的社会保险须由投标人缴纳。投标人为新成立企业且成立时间不足一个月可提供加盖投标人公章的情况说明或者证明材料亦视为符合。若为退休人员，提供退休证明。如依法不需要缴纳社会保险的，应提供相应文件证明。若因为社保部门原因无法提供的，需提供劳动合同及社保部门官方通知证明(或官网公告截图)如本项目未安排项目负责人、主要技术人员的，无需提供项目负责人、主要技术人员的社保。</w:t>
            </w:r>
          </w:p>
        </w:tc>
      </w:tr>
      <w:bookmarkEnd w:id="34"/>
    </w:tbl>
    <w:p>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pPr>
        <w:pStyle w:val="2"/>
        <w:rPr>
          <w:rFonts w:ascii="宋体"/>
          <w:kern w:val="0"/>
          <w:szCs w:val="20"/>
        </w:rPr>
      </w:pPr>
    </w:p>
    <w:p>
      <w:pPr>
        <w:pStyle w:val="7"/>
        <w:spacing w:before="156" w:beforeLines="50" w:after="156" w:afterLines="50"/>
        <w:rPr>
          <w:rFonts w:hint="eastAsia"/>
          <w:sz w:val="28"/>
          <w:szCs w:val="28"/>
        </w:rPr>
      </w:pPr>
      <w:r>
        <w:rPr>
          <w:rFonts w:hint="eastAsia"/>
          <w:sz w:val="28"/>
          <w:szCs w:val="28"/>
        </w:rPr>
        <w:t>四、技术要求</w:t>
      </w:r>
    </w:p>
    <w:p>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pPr>
        <w:ind w:firstLine="422" w:firstLineChars="200"/>
        <w:rPr>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pPr>
        <w:ind w:firstLine="422" w:firstLineChars="200"/>
        <w:rPr>
          <w:b/>
          <w:color w:val="FF0000"/>
        </w:rPr>
      </w:pPr>
      <w:r>
        <w:rPr>
          <w:rFonts w:hint="eastAsia"/>
          <w:b/>
          <w:color w:val="FF0000"/>
        </w:rPr>
        <w:t>4</w:t>
      </w:r>
      <w:r>
        <w:rPr>
          <w:b/>
          <w:color w:val="FF0000"/>
        </w:rPr>
        <w:t>、涉及区间的参数，除特别注明以外，产品参数区间与招标要求不一致的均视为负偏离。</w:t>
      </w:r>
      <w:r>
        <w:rPr>
          <w:rFonts w:hint="eastAsia"/>
          <w:b/>
          <w:color w:val="FF0000"/>
        </w:rPr>
        <w:t>例：区间要求为0-20ML,只要响应的不是“0-20ML”，如投标文件响应为 0-15ML 、0-21ML 、1-12ML 、 9-20ML 、6-21ML 、9ML等情形均视为负偏离。</w:t>
      </w:r>
    </w:p>
    <w:p>
      <w:pPr>
        <w:ind w:firstLine="422" w:firstLineChars="200"/>
        <w:rPr>
          <w:b/>
          <w:color w:val="FF0000"/>
        </w:rPr>
      </w:pPr>
      <w:r>
        <w:rPr>
          <w:rFonts w:hint="eastAsia"/>
          <w:b/>
          <w:color w:val="FF0000"/>
        </w:rPr>
        <w:t>5、检验（检测）报告要求具有CMA标识的，若有材料证明相关检验（检测）项目不在实施该项检验（检测）的机构CMA资质许可范围内的，该检验（检测）报告视为不满足招标文件要求，作负偏离处理。当提供的检验（检测）报告有分包检验（检测）的情况时，需提供实施检验（检测）的分包机构的CMA资质认定证书及含分包项目的资质认定证书附件（包括附件首页、分包项目所在页、附件末页）。若检验（检测）项目不在该分包机构CMA资质许可范围内的，则该份检验（检测）报告视为不满足招标文件要求，作负偏离处理。</w:t>
      </w:r>
    </w:p>
    <w:p>
      <w:pPr>
        <w:ind w:firstLine="422" w:firstLineChars="200"/>
        <w:rPr>
          <w:b/>
          <w:color w:val="FF0000"/>
        </w:rPr>
      </w:pPr>
      <w:r>
        <w:rPr>
          <w:rFonts w:hint="eastAsia"/>
          <w:b/>
          <w:color w:val="FF0000"/>
        </w:rPr>
        <w:t>6、技术参数除另有说明外，本采购需求所列明的有关政策、标准、规范等（如有），构成本文件必不可少的条款，其最新版本（包括所有的修改单）均适用于本文件。</w:t>
      </w:r>
    </w:p>
    <w:p>
      <w:pPr>
        <w:ind w:firstLine="422" w:firstLineChars="200"/>
        <w:rPr>
          <w:b/>
          <w:color w:val="FF0000"/>
        </w:rPr>
      </w:pPr>
      <w:r>
        <w:rPr>
          <w:rFonts w:hint="eastAsia"/>
          <w:b/>
          <w:color w:val="FF0000"/>
        </w:rPr>
        <w:t>7、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tbl>
      <w:tblPr>
        <w:tblStyle w:val="43"/>
        <w:tblpPr w:leftFromText="180" w:rightFromText="180" w:vertAnchor="text" w:horzAnchor="page" w:tblpX="2004" w:tblpY="303"/>
        <w:tblOverlap w:val="never"/>
        <w:tblW w:w="8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250"/>
        <w:gridCol w:w="6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79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序号</w:t>
            </w:r>
          </w:p>
        </w:tc>
        <w:tc>
          <w:tcPr>
            <w:tcW w:w="125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货物名称</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医护主机</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1.1屏幕尺寸：≥13寸液晶屏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1.2分辨率：≥1920*1080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1.3操作方式：触摸屏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1.4操作系统：Android7.0或以上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1.5CPU：≥四核，主频≥1.5GHz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1.6内存：≥2GB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1.7FLASH：≥8GB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1.8网卡：10Mb/100Mb自适应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1.9传输方式：TCP/IP网络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1.10角度调整:台式安装，</w:t>
            </w:r>
            <w:r>
              <w:rPr>
                <w:rFonts w:hint="eastAsia" w:asciiTheme="minorEastAsia" w:hAnsiTheme="minorEastAsia" w:eastAsiaTheme="minorEastAsia" w:cstheme="minorEastAsia"/>
                <w:kern w:val="0"/>
                <w:sz w:val="21"/>
                <w:szCs w:val="21"/>
                <w:highlight w:val="none"/>
                <w:lang w:val="en-US" w:eastAsia="zh-CN"/>
              </w:rPr>
              <w:t>工作人员</w:t>
            </w:r>
            <w:r>
              <w:rPr>
                <w:rFonts w:hint="eastAsia" w:asciiTheme="minorEastAsia" w:hAnsiTheme="minorEastAsia" w:eastAsiaTheme="minorEastAsia" w:cstheme="minorEastAsia"/>
                <w:kern w:val="0"/>
                <w:sz w:val="21"/>
                <w:szCs w:val="21"/>
                <w:highlight w:val="none"/>
              </w:rPr>
              <w:t>可根据</w:t>
            </w:r>
            <w:r>
              <w:rPr>
                <w:rFonts w:hint="eastAsia" w:asciiTheme="minorEastAsia" w:hAnsiTheme="minorEastAsia" w:eastAsiaTheme="minorEastAsia" w:cstheme="minorEastAsia"/>
                <w:kern w:val="0"/>
                <w:sz w:val="21"/>
                <w:szCs w:val="21"/>
                <w:highlight w:val="none"/>
                <w:lang w:val="en-US" w:eastAsia="zh-CN"/>
              </w:rPr>
              <w:t>自身情况进行</w:t>
            </w:r>
            <w:r>
              <w:rPr>
                <w:rFonts w:hint="eastAsia" w:asciiTheme="minorEastAsia" w:hAnsiTheme="minorEastAsia" w:eastAsiaTheme="minorEastAsia" w:cstheme="minorEastAsia"/>
                <w:kern w:val="0"/>
                <w:sz w:val="21"/>
                <w:szCs w:val="21"/>
                <w:highlight w:val="none"/>
              </w:rPr>
              <w:t>调整角度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1.11 WIFI及蓝牙模块:内置WIFI及蓝牙模块，且面板上有指示灯直观显示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1.12呼叫按键 :具有一键呼叫与呼叫接听功能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1.13摄像头:内置高清摄像头，≥200万像素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1.14供电方式:DC供电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1.15设备功耗:≤10W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1.16材质:钢化玻璃面板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1.17工作时间 :可7×24小时不间断工作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1.19支持获取HIS数据信息功能，可自动更新并显示患者姓名、年龄、床号、护理级别、责任医生、责任护士等信息；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1.20支持录音功能，医护主机可对通话过程录音，并可在本机查询播放录制的文件，通话记录及录音文件可选择上传服务器进行统一管理；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1.21医护主机支持一键回拨或拨号方式，呼叫患者床头分机或医生值班室分机，直接提醒或者找患者及医生；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1.22医护主机支持对办公区、病区进行分组语音、喊话、文件广播；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1.23支持服务器离线工作模式功能，医护主机在无服务器状态下可正常接收呼叫、可视对讲、文件广播；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1.24支持呼叫托管设置功能，被托管病区呼叫报警信息可自动转至托管病区的护士站主机上。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1.25医护主机支持记录查询页面，可查询最近7天内的呼叫记录，可显示床号、通话时间长、处理状态、呼叫发生时间等；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1.26医护主机可以自行调节振铃或报号音量、时间显示等。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color w:val="FF0000"/>
                <w:kern w:val="0"/>
                <w:sz w:val="21"/>
                <w:szCs w:val="21"/>
                <w:highlight w:val="none"/>
              </w:rPr>
              <w:t>▲1.27投标人安装在采购人光明院区的医护主机需能够呼叫到采购人福田院区住院部任何一个病区的医护主机或医护副机。</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投标人提供承诺函，承诺中标后产品于安装后3个工作日内完成此功能（格式自拟）</w:t>
            </w:r>
            <w:r>
              <w:rPr>
                <w:rFonts w:hint="eastAsia" w:asciiTheme="minorEastAsia" w:hAnsiTheme="minorEastAsia" w:eastAsiaTheme="minorEastAsia" w:cstheme="minorEastAsia"/>
                <w:b/>
                <w:bCs/>
                <w:color w:val="FF0000"/>
                <w:kern w:val="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医护副机</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2.1尺寸：≥10寸液晶屏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2.2分辨率：≥1024*600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2.3触摸：支持触摸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2.4传输方式：TCP/IP网络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2.5输入电源： DC供电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2.6设备功耗：≤4W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2.7工作温度：-10℃~55℃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2.8安装方式：壁挂式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2.9具有广播、对讲等功能，可轻松实现全双工通话；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2.10呼叫对讲：具备与护士站主机呼叫对讲的功能，可以拨号或一键呼叫任何一个病床、护士站以及任一个其他治疗室、值班室；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2.11具备和其他设备分机的呼叫对讲、未处理提醒与清除功能；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2.12对全病区的分机广播和办公区的广播；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2.13请求增援呼叫只在定点护理中状态下才能使用；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2.14有值班和静音模式选择，选择值班模式表示医护人员在工作状态，设备被叫时自动接听；当设置为静音模式，所有呼入都会静音，不影响医护人员工作；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2.15用户可在系统设置调节报号或振铃音量。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双面走廊显示屏</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3.1屏幕尺寸：≥28寸液晶屏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3.2分辨率：≥1920×540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3.3操作系统：Android7.0或以上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3.4 CPU: ≥四核，主频≥1.2Ghz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3.5内存:DDR3L  ≥1GB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 FLASH：≥8GB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3.7输入接口：RJ45，100M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3.8传输方式：TCP/IP网络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3.9通信接口：RJ45*1，USB*1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3.10输入电源：220V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3.11材质：金属边框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3.12外观：防尘防爆处理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3.13病区走廊上方居中吊装，双面显示；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3.14可根据不同科室显示不同风格的界面布局，显示科室信息、标语信息和时间日期等；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3.15显示分机呼叫、换药提醒、紧急增援、进入护理、洗手间报警状态信息；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EE0000"/>
                <w:kern w:val="0"/>
                <w:sz w:val="21"/>
                <w:szCs w:val="21"/>
                <w:highlight w:val="none"/>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3.16可同时显示两个最近的呼叫信息或报警信息，显示内容与主机设定的语音播报方式有关；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3.17具有呼叫提示音（语音或音乐），音量可软件设置；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3.18在病区管理系统软件可编辑科室要求显示的界面风格；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3.19空闲状态时，可按医院要求显示滚动礼貌温馨提示语和时间信息，时间可同步医院时钟系统；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3.20可扩展播放图文和视频广告。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电子门牌</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4.1屏幕尺寸：≥15寸液晶屏，竖屏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4.2分辨率：≥1080×1920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4.3操作系统： Android7.0或以上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 CPU：≥四核，主频≥1.2GHz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4.5内存：DDR3L≥1GB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4.6操作方式：全触摸设计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4.7 FLASH：≥8GB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4.8网卡：10Mb/100Mb自适应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4.9通讯方式：标准RJ45接口，基于TCP/IP网络协议传输对讲语音和数据信息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4.10供电方式：DC供电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4.11材质：钢化玻璃面板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4.12外观：防尘防爆处理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4.13边框颜色：白色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4.14工作时间：可7×24小时不间断工作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4.15护士进出房间，通过触摸按键操作方式进入护理到位，对应外接门灯会亮，便于患者或家属寻找护理人员；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4.16房间床头呼叫或卫生间紧急呼叫时，该房间门口外接门灯用红色闪烁指示；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4.17电子门牌能接收患者的呼叫，便于护理人员在走廊区域直接接听，进行通话；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4.18当有多个病床同时呼叫时，可循环显示多路呼叫信息；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4.19可显示医院名称、医院LOGO、科室名称、日期、时间、自动更新并显示患者的信息，以及主治医师和值班护士的姓名、照片等内容；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4.20设备在线监测与升级；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4.21定时待机和开关屏服务。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电子床头屏（≥13寸）</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★5.1尺寸：≥13寸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5.2分辨率：≥1920*1080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5.3触摸：支持触摸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5.4系统：Android 10及以上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5.5CPU：≥四核，主频≥1.5GHz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5.6内存：DDR3L  ≥2GB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5.7FLASH：≥8GB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5.8音频编解码：支持设定PCM、ADPCM、AMR、AAC、G.711格式为任一一种位默认格式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5.9音频采样率：默认16KHz采样率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5.10网卡：10Mb/100Mb自适应，或wifi连接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5.11通讯接口：RJ45 TCP/IP协议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5.12供电方式： DC供电/POE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5.13满载功率：≦5W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5.14呼叫手柄具有呼叫、手电筒、换药等三个功能按键，按键采用抗菌医用薄膜材料，便于消毒清洁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5.15工作时间：可7×24小时不间断工作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5.16工作温度：-10℃~55℃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5.17环境湿度：≤95%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5.18安装：嵌入式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5.19电子床头屏支持呼叫、换药呼叫、定点护理、增援、复位等功能；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5.20电子床头屏呼叫手柄发起呼叫时，电子门牌、双面走廊显示屏、医护主机、都会显示相应的呼叫信息，并提示相关振铃或报号；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5.21电子床头屏支持呼叫转移并接听功能，护士按下门口分机上的护理键进入本房间后，可在本房内电子床头屏上与其他房间的患者接听对讲，减少护士往返的奔波；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5.22医护人员可在电子床头屏操作进入定点护理，并通知到电子门牌、双面走廊显示屏、医护主机、医护副机，进行信息显示。门灯也会对应绿色灯常亮提醒，可以通过走廊看门灯就可以定位医护人员的位置；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5.23请求增援呼叫在电子床头屏进入定点护理中状态下发起，对应的病房门灯绿色灯闪烁，医护主机或医护副机可直接接听进行通话；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5.24在病床分机上显示 HIS 系统同步的数据，可显示患者的姓名、性别、年龄、住院号、入院时间、入院诊断、护理等级、护理标签、主治医师、责任护士、滚动字幕等相关信息；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5.25可以通过触摸操作电子床头屏，查询检验检查的信息、一日清单费用信息、医嘱等信息，以及查看科室介绍和医院介绍；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5.26健康宣教：患者通过电子床头屏可点播宣教信息或视频，例如术前须知，术后护理宣传，病症护理宣传等。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5.27电子床头屏可以接收医护主机或医护副机的广播；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5.28电子床头屏呼叫，可语音播报“XX 号房XX号床 呼叫”；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5.29可实时检测电子床头屏的在线状态，方便调试、检修和维护；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5.30电子床头屏可选择接入输液报警装置，实现输液报警功能。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color w:val="FF0000"/>
                <w:sz w:val="21"/>
                <w:szCs w:val="21"/>
                <w:highlight w:val="none"/>
              </w:rPr>
              <w:t>▲5.31投标人在本次招采的电子床头屏上，免费给采购人提供不少于260篇，具有自主知识产权的健康宣教</w:t>
            </w:r>
            <w:r>
              <w:rPr>
                <w:rFonts w:hint="eastAsia" w:asciiTheme="minorEastAsia" w:hAnsiTheme="minorEastAsia" w:eastAsiaTheme="minorEastAsia" w:cstheme="minorEastAsia"/>
                <w:b/>
                <w:bCs/>
                <w:color w:val="FF0000"/>
                <w:sz w:val="21"/>
                <w:szCs w:val="21"/>
                <w:highlight w:val="none"/>
                <w:lang w:val="en-US" w:eastAsia="zh-CN"/>
              </w:rPr>
              <w:t>文件</w:t>
            </w:r>
            <w:r>
              <w:rPr>
                <w:rFonts w:hint="eastAsia" w:asciiTheme="minorEastAsia" w:hAnsiTheme="minorEastAsia" w:eastAsiaTheme="minorEastAsia" w:cstheme="minorEastAsia"/>
                <w:b/>
                <w:bCs/>
                <w:color w:val="FF0000"/>
                <w:sz w:val="21"/>
                <w:szCs w:val="21"/>
                <w:highlight w:val="none"/>
              </w:rPr>
              <w:t>，供院方临床科室医护和住院患者选择使用。</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投标人提供承诺函，承诺此项要求均能符合（格式自拟）</w:t>
            </w:r>
            <w:r>
              <w:rPr>
                <w:rFonts w:hint="eastAsia" w:asciiTheme="minorEastAsia" w:hAnsiTheme="minorEastAsia" w:eastAsiaTheme="minorEastAsia" w:cstheme="minorEastAsia"/>
                <w:b/>
                <w:bCs/>
                <w:color w:val="FF0000"/>
                <w:kern w:val="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卫浴紧急呼叫器</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6.1工作电压： DC 12V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6.2功耗：≤0.5W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6.3控制方式：GPIO方式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6.4工作温度： -1℃～50℃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6.5工作湿度： 10% ～ 95%（防水设计）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6.6安装方式：嵌入式（标准86盒）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6.7安装于病房的卫生间，当病人有紧急需求时，按下此按键，医护主机会收到该紧急求援报警；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6.8防水等级：IPX5及以上；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6.9具有拉绳或按键操作，提供紧急求助呼叫。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非可视数字病床分机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（IP）</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7.1工作电压：DC12V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7.2工作温度：-10°C～+55°C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7.3工作湿度：10%～95%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7.4最大功率：≦2W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7.5待机功耗：≦1.5W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7.6单键呼叫手柄支持呼叫功能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7.7支持单点护理功能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7.8支持双色指示灯功能。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床头呼叫器</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8.1材质：ABS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8.2待机电流：≦1微安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8.3通讯距离：≥400m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8.4按键数量：≥1个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8.5电池：自带电池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8.6天线：PCB天线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8.7安装：床头墙面固定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8.8支持单向呼叫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8.9超大功率，远距离传输，信号稳定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8.10支持通过手柄按钮进行操作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卫生间防水紧急按钮</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9.1材质：ABS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9.2待机电流：≦1微安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9.3通讯距离：≥400m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9.4按键数量：≥1个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9.5电池：自带电池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9.6天线：PCB天线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9.7安装：卫生间墙面固定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9.8支持单向呼叫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9.9支持防水、防油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9.10超大功率，远距离传输，信号稳定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9.11支持通过拉绳和按键进行操作，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护士站接收主机</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10.1显示方式：≥3.5寸液晶触摸屏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10.2呼叫时卡片盒指示灯亮灯提醒，可作单个清除键使用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10.3播报模式多样:支持多种方式播报模式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10.4真人语音播报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10.5操作按键：电容触摸按键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10.6支持可调节音量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10.7支持可调节播报次数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10.8在线号码注册：分机号码可任意设定和修改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10.9自动存储并滚动显示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信号中继器</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11.1操作按键：指压按键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11.2选择转发方式：群发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11.3通讯距离：&gt;1000m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11.4电源：DC供电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11.5信号放大，实现远距离操作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11.6增强呼叫信号的传输距离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无线接收主机</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12.1支持按年、月、日、星期、时、分万年历显示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12.2支持呼叫时间，排队总数和排队数显示功能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12.3语音设置导航，每一步设置操作都有相关的语音提示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12.4支持真人语音报号及和弦铃音提醒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12.5无线调幅发射，信号传输距离远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12.6可自行设置语音提醒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病房电源</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13.1设备作用于病房内呼叫对讲设备供电；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13.2输出电源：12V，≥6A；≥72W；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★13.3电流范围：0-6A；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智能交互一体机（≥43寸）</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★14.1尺寸：≥43寸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14.2分辨率：≥3840*2160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14.3触摸屏：触摸屏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14.4处理器：≥四核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14.5工作主频：≥1.8GHZ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14.6 RAM：≥2GB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14.7内存：≥16G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14.8操作系统：≥Android7.1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14.9 WiFi：2.4G/5G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智能交互一体机（≥75寸）</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kern w:val="0"/>
                <w:sz w:val="21"/>
                <w:szCs w:val="21"/>
                <w:highlight w:val="none"/>
              </w:rPr>
              <w:t>15.1尺寸：≥75寸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15.2分辨率：≥3840*2160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15.3触摸屏：触摸屏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15.4处理器：≥四核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15.5工作主频：≥1.8GHZ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15.6 RAM：≥2GB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15.7内存：≥16G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15.8操作系统：≥Android 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15.9 WiFi：2.4G/5G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落地支架</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16.1产品净重：≥15kg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16.2承重范围：≥40kg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16.3托盘称重：≥4kg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16.4适用尺寸：32-75寸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生命体征监测仪</w:t>
            </w: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17.1适合成人、小儿、新生儿全年龄段患者生命体征监测，具有点测或连续监测模式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
                <w:bCs/>
                <w:color w:val="FF0000"/>
                <w:kern w:val="0"/>
                <w:sz w:val="21"/>
                <w:szCs w:val="21"/>
                <w:highlight w:val="none"/>
              </w:rPr>
              <w:t>▲17.2不小于8寸TFT彩色触摸显示屏，具有血压、脉搏、血氧、额温等多种生命体征数据一站式采集。</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提供产品彩页扫描件</w:t>
            </w:r>
            <w:r>
              <w:rPr>
                <w:rFonts w:hint="eastAsia" w:asciiTheme="minorEastAsia" w:hAnsiTheme="minorEastAsia" w:eastAsiaTheme="minorEastAsia" w:cstheme="minorEastAsia"/>
                <w:b/>
                <w:bCs/>
                <w:color w:val="FF0000"/>
                <w:kern w:val="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17.3血氧测量≧两种配置，显示PI血流灌注指数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17.4具有自定义工作模式，灵活调整应用科室、界面布局与参数设置，减少操作时间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17.5内置可充电锂电池，无需工具快速拆装，≧8小时供电，实现关机延迟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17.6可选配升级内置热敏双通道记录仪，具有多种记录类型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17.7具备一维和二维扫描枪，通过USB 接口与监测仪相连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17.8具有EWS早期预警评分与图形化疼痛评分模板，同时实现自定义评分方法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17.9可选配升级CCHD筛查工具，作为新生儿严重型先心病的有效筛查手段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17.10具备≧200个事件回顾，点测模式≧5000组数据回顾，连续监测模式≧240小时数据回顾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17.11可通过有线网络和无线网络无缝集成医院信息系统，通过HL7连接医院EMR系统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17.12能够与中央监护站集成，同时查看连续监测与点测数据，可升级与遥测、除颤仪、床旁监护仪、呼吸机、输注泵等设备混合联网。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17.13设备可选择接入同品牌中央监护系统统一管理，可升级通过护士站、医生端、移动端、床旁设备等随时随地查看WES趋势图，实现全院生命体征信息互联互通。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17.14设备具有在线维护功能，可直观查看设备利用情况，最大限度地提高设备利用率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17.15主机外壳无缝设计选材，≧IPX2级防水，≧51种清洁消毒剂，易于清洁消毒。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18</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交换机(24口)</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24口POE+供电；整机POE供电功率高达190W;单端口POE最大供电功率不低于30W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交换机（8口）</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8口POE+供电；整机POE供电功率高达65W;单端口POE最大供电功率不低于30W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交换机（4口）</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4口POE+供电；整机POE供电功率高达57W;单端口POE最大供电功率不低于30W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双绞线（网线）</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CAT6 4Pair UTP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22</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配线（电源线）</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RVV2*1.0，国标2芯纯铜1.0软电缆线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23</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配管(线槽)</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PVC线槽 20MM*10MM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配管（线管）</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线管PC20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25</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接线盒(线盒)</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明装86线盒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26</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配管（软管）</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PVC波纹管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呼叫服务及管理系统(服务器端)</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27.1 采用B/S模式构建，Web浏览无需安装控件。B/S客户端通过医院内网远程访问，凭科室账户权限登录系统管理平台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27.2 可对系统内所有呼叫设备统一进行管理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27.3 可通过HIS系统对医院的各科室、护士站、医生护士、病人的相关信息进行记录并管理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27.4 系统在联网的情况下，将各个病区的呼叫记录汇总至网络服务器，随时查看，有助于医院管理层对临床护理的一些基本管理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27.5护理应用统一平台：系统集成病区若干业务应用系统，实现护士系统统一登录，信息及时提醒、实时监测、随时查询，需集成移动护理、HIS、电子病历、移动查房等其他多个院内护理应用系统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27.6 呼叫记录存储及统计分析功能：各病区的护士站医护主机实时记录本站的呼叫历史，并定时汇总到智慧护理服务管理系统。智慧护理服务管理系统的管理界面提供统计，数据报表，生成不同图标方式来分析的功能，便于管理人员查询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27.7呼叫记录存储及统计分析功能：系统支持自动生成多种统计图表，包含呼叫占比统计、呼叫响应时长统计、呼叫通话时长统计、呼叫量日线图及每床日统计等，并可灵活按全院或病区维度进行统计分析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病房呼叫管理系统(医护端)</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28.1病人电子一览表功能：显示每位住院病人的信息(姓名、性别、年龄、入院时间、护理级别、诊断信息、注意事项等)实时显示，每位病人信息修改操作方便、实时；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28.2可根据需要进行不同组合方式打印呼叫记录信息；软件界面直观、数据记录清楚，利于服务的管理和监督；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28.3统计信息全面，按软件数据库格式生成报表；在PC平台的基础上实现海量存储，随时翻查以往记录呼叫信息；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28.4 自动发布信息：与医院HIS系统联网状态下，网络服务器接收医院HIS系统数据服务器更新的信息，接收后自动传输到各科室病区管理中心软件，由工作人员选择是手动还是自动将信息发送到医护主机、电子床头屏、电子门牌、医护信息看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28.5系统提供病区规划数据录入和查询功能，这些数据在编辑后保存在管理中心数据库中；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lang w:eastAsia="zh-CN"/>
              </w:rPr>
            </w:pPr>
            <w:r>
              <w:rPr>
                <w:rFonts w:hint="eastAsia" w:asciiTheme="minorEastAsia" w:hAnsiTheme="minorEastAsia" w:eastAsiaTheme="minorEastAsia" w:cstheme="minorEastAsia"/>
                <w:b/>
                <w:bCs/>
                <w:color w:val="FF0000"/>
                <w:kern w:val="0"/>
                <w:sz w:val="21"/>
                <w:szCs w:val="21"/>
                <w:highlight w:val="none"/>
              </w:rPr>
              <w:t>▲28.6投标人保证本次招采的病房呼叫管理系统（医护端），在采购人光明院区交付使用时，同采购人福田院区正在使用的病房呼叫系统和护士站交互系统达到互联互通。投标人若需同第三方系统对接，系统软件接口及相关费用由投标人负责。对于采购人提出的病房呼叫管理系统（医护端）相关需求，投标人需按照采购人要求免费进行定制开发。</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投标人提供承诺函，承诺此项要求均能符合（格式自拟）</w:t>
            </w:r>
            <w:r>
              <w:rPr>
                <w:rFonts w:hint="eastAsia" w:asciiTheme="minorEastAsia" w:hAnsiTheme="minorEastAsia" w:eastAsiaTheme="minorEastAsia" w:cstheme="minorEastAsia"/>
                <w:b/>
                <w:bCs/>
                <w:color w:val="FF0000"/>
                <w:kern w:val="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护士站交互系统软件（病区端）</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29.1床位图：系统以卡片形式显示患者信息，默认显示患者床位号、姓名、性别、年龄、诊断信息、入院时间、病危或病重等相关信息，根据不同护理级别对患者进行颜色区分。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患者详情：点击患者床位卡，输入密码查看患者详情；左侧显示患者基本信息，包括患者住院号、护理等级、入院时间、预缴金额、总花费、当前余额、费用类型、过敏情况、主治医生、责任护士等相关信息；右侧显示患者长期医嘱、临时医嘱信息，自动拆分长期医嘱，将医嘱按天拆分，便于医嘱的执行；显示当前患者最新的检查检验结果数据以及采集的患者体征数据（体征数据配合智能体征仪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29.3充值缴费：显示医院微信二维码，使用手机扫描进入充值缴费页面进行在线充值，展示患者信息包括姓名、科室、床号、手机号码、身份证号，支付方式默认显示支付宝、微信支付，页面显示固定充值金额或自定义输入选择相应充值金额，通过手机扫码完成支付。（两种充值方式选用其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29.4综合屏：显示病区动态、危急值、护理安全等患者医嘱统计信息，展示项目名称、患者床位号、患者人数统计，方便医护人员快速阅览科室相关的护理任务，实现预警信息及时提醒、风险实时监测和随时查询，床位号颜色和项目名称显示顺序可自定义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29.5危急值提醒：系统智能区分显示已处理和未处理的患者床位号信息，对新入科患者系统进行闪烁提醒护士；点击床位号显示相关已处理以及未处理的危急值明细信息：项目名称、危急值结果、参考范围、处理结果、更新时间、更新人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29.6通讯录：展示当前绑定科室维护的常用电话列表，具有添加、批量添加、修改、删除等功能。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29.7转床管理：系统通过接口自动抓取医嘱相关转床信息，显示当前科室当日患者相关转床信息。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29.8备忘录：显示科室备忘录信息，具有手动添加、修改等操作功能。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29.9医护值班：系统自动显示当日值班医生、护士相关姓名信息，医生班次分为：白、日、总值班三个班次；护士班次分：”D班、P班、N班三个班次，根据要求自动匹配护士班次数据显示到页面上，通过不同颜色来区分不同班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29.10护士交接班：根据医院护士交班需求，显示护士的各个班次相关交班报告信息，选择昨日、今日、本周、本月以及自定义日期搜索查看相关交班报告；通过PC端结构化交接班模板快速填入班次交接内容，数据自动同步，实现无纸化交班。</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医生交接班：系统根据医嘱关键字自动抓取相关床位数据并统计，同时显示医生交接班报告信息，可通过交班时间、交班班次进行搜索查找相关科室医生的交班信息。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29.11一键催费：可提供向账户余额不足的患者一键发送充值提醒（配合床旁交互系统使用）。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29.12消息推送：编辑科室消息提醒内容，根据设置的时间自动推送到大屏端显示；也可选择单发及群发信息至床旁交互终端，消息模板可自定义增加或手动录入自定义消息。（配合床旁交互系统使用）。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29.13排班表：展示护士相关排班信息，用户可选择查看上一周、本周、及下一周的排班信息，可自定义配置班次颜色，也可选择在系统内对医护人员进行排班处理并信息同步至大屏端。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29.14治疗模块：通过医嘱关键字自动抓取相关床号信息，同时展示当日科室所有治疗类医嘱，包括项目名称、患者床位号、患者人数自动统计。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29.15手术模块：按医嘱执行状态分类，展示当天科室已执行和未执行的患者手术类医嘱信息，包括项目名称、患者床位号、患者人数自动统计。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29.16检查模块：按医嘱执行状态分类，展示当天科室已执行和未执行所有患者检查类医嘱信息，包括项目名称、预约执行时间、患者床位号、相关检查注意事项、患者人数自动统计。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29.17检验模块：按医嘱执行状态分类，展示当日科室已执行和未执行患者检验类医嘱信息，包括项目名称、患者床位号、患者人数自动统计。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29.18护士教育：展示护士教育相关文档进行内容显示，具备文档上传、修改、删除等操作，系统具备PDF、WORD、MP4视频等不同内容格式文件选择上传。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29.19电子白板：用户可以在电子白板进行画板操作，利用画板提供的工具创作图文画布，同时可以保存、删除、预览历史文档；当电子白板上有新的画布未保存时，切换到其他页面则会在电子白板按钮旁边出现红色小点，代表该页面有未保存的画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29.20数据统计：智能图表化展示病区周入院人数趋势图，以及月度护理级别人数分布图，护士长可直观了解病区患者情况及趋势，便于病区的管理，可选择当日、本周、本月、本年度等不同时段进行统计查询。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29.21状态显示与手动刷新：系统制定自动刷新机制，灵活设置数据刷新时间，如遇数据未及时更新，可选择手动刷新；连接状态采用图标形式展示，如果网络异常颜色和图标形状都会发生变化，方便用户第一时间定位问题；各功能页面切换查看时都会加载显示相关最新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29.22隐私设置：具备用户自定义设置显示/隐藏患者姓名，显示/隐藏空床位，显示/隐藏患者诊断信息，切换科室等操作，查看患者更多详情信息需要输入密码校验正确才能查看。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29.23</w:t>
            </w:r>
            <w:r>
              <w:rPr>
                <w:rFonts w:hint="eastAsia" w:asciiTheme="minorEastAsia" w:hAnsiTheme="minorEastAsia" w:eastAsiaTheme="minorEastAsia" w:cstheme="minorEastAsia"/>
                <w:color w:val="000000"/>
                <w:kern w:val="0"/>
                <w:sz w:val="21"/>
                <w:szCs w:val="21"/>
                <w:highlight w:val="none"/>
              </w:rPr>
              <w:t>投标人</w:t>
            </w:r>
            <w:r>
              <w:rPr>
                <w:rFonts w:hint="eastAsia" w:asciiTheme="minorEastAsia" w:hAnsiTheme="minorEastAsia" w:eastAsiaTheme="minorEastAsia" w:cstheme="minorEastAsia"/>
                <w:strike/>
                <w:color w:val="000000"/>
                <w:kern w:val="0"/>
                <w:sz w:val="21"/>
                <w:szCs w:val="21"/>
                <w:highlight w:val="none"/>
              </w:rPr>
              <w:t>保证</w:t>
            </w:r>
            <w:r>
              <w:rPr>
                <w:rFonts w:hint="eastAsia" w:asciiTheme="minorEastAsia" w:hAnsiTheme="minorEastAsia" w:eastAsiaTheme="minorEastAsia" w:cstheme="minorEastAsia"/>
                <w:color w:val="000000"/>
                <w:kern w:val="0"/>
                <w:sz w:val="21"/>
                <w:szCs w:val="21"/>
                <w:highlight w:val="none"/>
              </w:rPr>
              <w:t>本次招采的护士站交互系统软件（病区端），在采购人光明院区交付使用时，同采购人福田院区正在使用的病房呼叫系统和护士站交互系统达到互联互通。投标人若需同第三方系统对接，系统软件接口及相关费用由投标人负责。对于采购人提出的护士站交互系统软件（病区端）相关需求，投标人需按照采购人要求免费进行定制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护士站智慧管理系统</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30.1医护人员管理：对医护人员基本资料进行管理，具备增加、删除、修改、查询等操作，可设置医护人员级别以及类型。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30.2角色权限管理：可选择设置和编辑角色及菜单权限，对系统使用人员分配相应的权限及菜单功能。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30.3科室管理：系统接口同步医院各个科室信息（病区、科室名称、科室ID等信息），并对科室信息进行编辑和删除。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30.4 基础数据管理：查看科室下绑定设备的数据，选择绑定或解绑设备。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30.5 静态数据管理：维护编辑护理等级名称与对应颜色。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30.6 患者管理：页面显示所有科室患者信息，可对患者信息进行查看和腕带打印；通过科室、身份证号、姓名、床位号等条件进行搜索。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30.7注意事项：维护注意事项类型，系统可根据移动护理系统来抓取当前患者的相关注意事项名称、类型以及等级，可对注意事项内容进行编辑和删除风险等级评估分值和颜色可自定义设置。（需配合移动护理系统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30.8 护士排班管理：管理医护人员排班信息，分周期新增、编辑排班信息，或导入现有排班表，同步展示在大屏端显示。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30.9 医嘱信息管理：医嘱列表同步显示，对医嘱信息、注意事项进行增、删、改、查等管理操作。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30.10医嘱配置：后台可添加医嘱关键字设置编辑医嘱名称，配置是否在大屏显示以及排序；对新增医嘱关键字进行编辑、删除以及查看床位结果。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30.11电子白板：可以查看电子白板历史文件保存列表，具体展示文件名、保存日期等基本信息，同时管理员可以对保存的内容进行查看、删除操作。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30.12护士教育：对护士教育文件资料进行管理，可以查看预览当前文件，对历史文件进行增、删、改、查操作。文件类型可选择doc、docx、mp4、rmvb、mkv、flv、mov、rmvb、ts类型文件进行上传。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30.13科室电话：维护科室通讯录信息，对科室电话进行管理，具备新增、批量新增、删除、修改、查询等功能操作。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30.14 备忘录：系统可自定义添加科室备忘信息，具备编辑和删除等功能操作。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30.15交班列表：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可根据筛选条件：交班日期、交班护士、交班班次、交班状态查询，查看交班列表信息，包含：交班护士、交班班次、交班时间、状态、接班护士、接班班次、交接患者数。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新增交班：默认展示登录人为交班人，选择交班班次、交班时间、接班人、接班班次，患者列表展示登录人所在科室下的在院患者；交班信息的生命体征、现状可进行手动更新；诊断、既往史默认展示医院HIS系统推送数据；填写完成后，选中需要交班的患者，点击确定按钮，则交班数据完成，可在大屏端展示此交班的患者信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接班列表：可根据筛选条件：交班日期、接班护士、接班班次、交班状态查询，查看接班列表信息，包含：交班护士、交班班次、交班时间、状态、接班护士、接班班次、交接患者数等数据；待接班详情：查看接班详情，可在接班列表上点击【详情】按钮查看详情数据，详情页按类型展示该科室下所有患者的最新的生命体征（体温T、脉搏P、呼吸R、血压BP）、诊断、既往史、现状、建议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30.16班次管理：系统对交接班班次进行维护，可自定义班次名称、班次开始时间、班次结束时间、班次说明等信息。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30.17支付管理：查看在终端上的充值记录订单数据，通过支付类型、支付金额、支付日期以及支付状态可进行智能组合搜索查询相关支付记录，相关支付记录可进行数据导出。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30.18值班管理：可维护每日值班人员信息，查看科室排班表。后台可对医护人员进行分组；对排班班别进行设置；对医护排班数据进行统计。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30.19公告管理：能够对系统的公告信息进行管理，进行历史公告信息查询及最新公告信息状态查询，同时对公告内容进行修改、删除等功能。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30.20通知管理：对系统的通知信息进行管理，包括历史通知信息管理、新增通知、修改、删除历史通知消息，以及自定义查询通知等功能。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30.21 APK自动升级：系统后台可编辑更新的内容及上传APK文件路径提交成功，自动远程版本更新。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30.22投标人保证本次招采的护士站智慧管理系统，在采购人光明院区交付使用时，同采购人福田院区正在使用的病房呼叫系统和护士站交互系统达到互联互通。投标人若需同第三方系统对接，系统软件接口及相关费用由投标人负责。对于采购人提出的护士站智慧管理系统相关需求，</w:t>
            </w:r>
            <w:r>
              <w:rPr>
                <w:rFonts w:hint="eastAsia" w:asciiTheme="minorEastAsia" w:hAnsiTheme="minorEastAsia" w:eastAsiaTheme="minorEastAsia" w:cstheme="minorEastAsia"/>
                <w:color w:val="000000"/>
                <w:kern w:val="0"/>
                <w:sz w:val="21"/>
                <w:szCs w:val="21"/>
                <w:highlight w:val="none"/>
              </w:rPr>
              <w:t>投标人需按照采购人要求免费进行定制开发</w:t>
            </w:r>
            <w:r>
              <w:rPr>
                <w:rFonts w:hint="eastAsia" w:asciiTheme="minorEastAsia" w:hAnsiTheme="minorEastAsia" w:eastAsiaTheme="minorEastAsia" w:cstheme="minorEastAsia"/>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护理体征检测上传系统</w:t>
            </w: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31.1系统自动采集、监测患者的各项生命体征数据，实现体征数据实时上传与监控。数据可实时同步上传到护士站交互系统和医院HIS系统，自动转录成体温单，并可在护理系统中查看引用。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31.2可自动与护士站智慧管理系统实时通讯，并将患者体征检测数据结果实时自动上传到医院HIS系统或医院指定的使用中的其它第三方系统。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31.3其他体征采集：移动终端可手动录入常规体征项之外的其他体征项，如出入量、身高、体重和大便次数等。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31.4体征数据保存：扫描患者腕带，识别患者后将采集到的体征数据进行保存。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31.5体征数据查看：在设备的“回顾”功能里选择采集历史数据，批量上传；可查看选定日期的已测量体征值。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31.6对接物联网设备通过设备测量患者相关体征数据，测量完成后智能化将血压、血氧、脉搏、耳温等体征监测数据同步到各个终端显示给医护及患者。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31.7数据实时展示：对接护士站大屏以及床旁和护理系统，界面自动展示患者根据医嘱采集到的体征数据。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31.8采集的设数据根据要求可自主同步到各个系统的护理记录单以及体温单上。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31.9数据自动分发：数据实时录入各临床业务系统，减少护士二次转录工作。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31.10报表自动生成：采集数据实时传输至移动护理等系统，配合移动护理系统自动完成表单数据填写，数据存储。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31.11数据管理：自动生成采集记录，自动统计，多病人管理。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31.12离线存储：实现单项、多项离线数据的本地存储，并在联网后，全部自动上传。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60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31.13投标人本次招采的</w:t>
            </w:r>
            <w:r>
              <w:rPr>
                <w:rFonts w:hint="eastAsia" w:asciiTheme="minorEastAsia" w:hAnsiTheme="minorEastAsia" w:eastAsiaTheme="minorEastAsia" w:cstheme="minorEastAsia"/>
                <w:color w:val="000000"/>
                <w:kern w:val="0"/>
                <w:sz w:val="21"/>
                <w:szCs w:val="21"/>
                <w:highlight w:val="none"/>
              </w:rPr>
              <w:t>护理体征检测上传系统</w:t>
            </w:r>
            <w:r>
              <w:rPr>
                <w:rFonts w:hint="eastAsia" w:asciiTheme="minorEastAsia" w:hAnsiTheme="minorEastAsia" w:eastAsiaTheme="minorEastAsia" w:cstheme="minorEastAsia"/>
                <w:kern w:val="0"/>
                <w:sz w:val="21"/>
                <w:szCs w:val="21"/>
                <w:highlight w:val="none"/>
              </w:rPr>
              <w:t>，在采购人光明院区交付使用时，同采购人福田院区正在使用的</w:t>
            </w:r>
            <w:r>
              <w:rPr>
                <w:rFonts w:hint="eastAsia" w:asciiTheme="minorEastAsia" w:hAnsiTheme="minorEastAsia" w:eastAsiaTheme="minorEastAsia" w:cstheme="minorEastAsia"/>
                <w:color w:val="000000"/>
                <w:kern w:val="0"/>
                <w:sz w:val="21"/>
                <w:szCs w:val="21"/>
                <w:highlight w:val="none"/>
              </w:rPr>
              <w:t>护理体征检测上传系统</w:t>
            </w:r>
            <w:r>
              <w:rPr>
                <w:rFonts w:hint="eastAsia" w:asciiTheme="minorEastAsia" w:hAnsiTheme="minorEastAsia" w:eastAsiaTheme="minorEastAsia" w:cstheme="minorEastAsia"/>
                <w:kern w:val="0"/>
                <w:sz w:val="21"/>
                <w:szCs w:val="21"/>
                <w:highlight w:val="none"/>
              </w:rPr>
              <w:t>达到互联互通。投标人若需同第三方系统对接，系统软件接口及相关费用由投标人负责。对于采购人提出的</w:t>
            </w:r>
            <w:r>
              <w:rPr>
                <w:rFonts w:hint="eastAsia" w:asciiTheme="minorEastAsia" w:hAnsiTheme="minorEastAsia" w:eastAsiaTheme="minorEastAsia" w:cstheme="minorEastAsia"/>
                <w:color w:val="000000"/>
                <w:kern w:val="0"/>
                <w:sz w:val="21"/>
                <w:szCs w:val="21"/>
                <w:highlight w:val="none"/>
              </w:rPr>
              <w:t>护理体征检测上传系统</w:t>
            </w:r>
            <w:r>
              <w:rPr>
                <w:rFonts w:hint="eastAsia" w:asciiTheme="minorEastAsia" w:hAnsiTheme="minorEastAsia" w:eastAsiaTheme="minorEastAsia" w:cstheme="minorEastAsia"/>
                <w:kern w:val="0"/>
                <w:sz w:val="21"/>
                <w:szCs w:val="21"/>
                <w:highlight w:val="none"/>
              </w:rPr>
              <w:t>相关需求，</w:t>
            </w:r>
            <w:r>
              <w:rPr>
                <w:rFonts w:hint="eastAsia" w:asciiTheme="minorEastAsia" w:hAnsiTheme="minorEastAsia" w:eastAsiaTheme="minorEastAsia" w:cstheme="minorEastAsia"/>
                <w:color w:val="000000"/>
                <w:kern w:val="0"/>
                <w:sz w:val="21"/>
                <w:szCs w:val="21"/>
                <w:highlight w:val="none"/>
              </w:rPr>
              <w:t>投标人需按照采购人要求免费进行定制开发</w:t>
            </w:r>
            <w:r>
              <w:rPr>
                <w:rFonts w:hint="eastAsia" w:asciiTheme="minorEastAsia" w:hAnsiTheme="minorEastAsia" w:eastAsiaTheme="minorEastAsia" w:cstheme="minorEastAsia"/>
                <w:kern w:val="0"/>
                <w:sz w:val="21"/>
                <w:szCs w:val="21"/>
                <w:highlight w:val="none"/>
              </w:rPr>
              <w:t>。</w:t>
            </w:r>
          </w:p>
        </w:tc>
      </w:tr>
      <w:bookmarkEnd w:id="35"/>
    </w:tbl>
    <w:p>
      <w:pPr>
        <w:rPr>
          <w:b/>
          <w:szCs w:val="21"/>
        </w:rPr>
      </w:pPr>
    </w:p>
    <w:p>
      <w:pPr>
        <w:pStyle w:val="7"/>
        <w:spacing w:before="156" w:beforeLines="50" w:after="156" w:afterLines="50"/>
        <w:rPr>
          <w:rFonts w:hint="eastAsia"/>
          <w:sz w:val="28"/>
          <w:szCs w:val="28"/>
        </w:rPr>
      </w:pPr>
      <w:r>
        <w:rPr>
          <w:rFonts w:hint="eastAsia"/>
          <w:sz w:val="28"/>
          <w:szCs w:val="28"/>
        </w:rPr>
        <w:t>五、商务要求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2"/>
        <w:tblW w:w="82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44"/>
        <w:gridCol w:w="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商务需求项</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1" w:type="dxa"/>
            <w:gridSpan w:val="3"/>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维修响应及故障解决时间</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 提供7*24售后技术支持服务,包括故障排除、性能调优、技术咨询等，每月定期回访产品使用情况。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 使用过程中出现突发设备故障时，投标人或制造商需30分钟内快速响应，2小时内到达采购人现场。对于设备故障无法现场修复的，立即启动设备返修流程。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 按照医院要求进行系统升级维护，包括：功能软件升级、参数修改、数据字典维护、用户权限设置、操作口令或密码设置和修改、硬件维修等，保证软、硬件正常运行。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1.4 提供充足的零配件,以确保设备维修所需更换的零配件。一旦设备硬件故障，即可进行及时更换，再将故障设备发回返修。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4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关于免费保修期</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rPr>
              <w:t>2.1货物原厂免费保修期</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bCs/>
                <w:sz w:val="21"/>
                <w:szCs w:val="21"/>
              </w:rPr>
              <w:t>年，时间自验收合格之日起计算。免费保修期内，</w:t>
            </w:r>
            <w:r>
              <w:rPr>
                <w:rFonts w:hint="eastAsia" w:asciiTheme="minorEastAsia" w:hAnsiTheme="minorEastAsia" w:eastAsiaTheme="minorEastAsia" w:cstheme="minorEastAsia"/>
                <w:color w:val="000000"/>
                <w:sz w:val="21"/>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▲投标人在合同签订时需提供原厂售后服务承诺函（出具不少于三年免费保修服务的售后服务承诺函）。承诺函应包含产品厂家售后服务电话。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关于培训</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现场操作使用培训，直至医护完全熟练使用。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rPr>
              <w:t>关于技术保障措施</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制造商建立并执行标准化的产品生产流程与工艺文件，对生产全过程进行记录与监控，制定产品生产规范。投标人制定生产与供货总体计划，明确各阶段关键节点与交付物，确保按时交付。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二</w:t>
            </w:r>
            <w:r>
              <w:rPr>
                <w:rFonts w:hint="eastAsia" w:asciiTheme="minorEastAsia" w:hAnsiTheme="minorEastAsia" w:eastAsiaTheme="minorEastAsia" w:cstheme="minorEastAsia"/>
                <w:b/>
                <w:sz w:val="21"/>
                <w:szCs w:val="21"/>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w:t>
            </w:r>
          </w:p>
        </w:tc>
        <w:tc>
          <w:tcPr>
            <w:tcW w:w="154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关于项目交付</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1.1交货地点：医院指定地点。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1.2投标人需承担的设备运输、安装调试、验收检测和提供设备操作说明书、图纸等其他类似的义务。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rPr>
              <w:t>1.3签订合同后</w:t>
            </w:r>
            <w:r>
              <w:rPr>
                <w:rFonts w:hint="eastAsia" w:asciiTheme="minorEastAsia" w:hAnsiTheme="minorEastAsia" w:eastAsiaTheme="minorEastAsia" w:cstheme="minorEastAsia"/>
                <w:bCs/>
                <w:sz w:val="21"/>
                <w:szCs w:val="21"/>
                <w:u w:val="single"/>
              </w:rPr>
              <w:t xml:space="preserve"> 60 </w:t>
            </w:r>
            <w:r>
              <w:rPr>
                <w:rFonts w:hint="eastAsia" w:asciiTheme="minorEastAsia" w:hAnsiTheme="minorEastAsia" w:eastAsiaTheme="minorEastAsia" w:cstheme="minorEastAsia"/>
                <w:bCs/>
                <w:sz w:val="21"/>
                <w:szCs w:val="21"/>
              </w:rPr>
              <w:t>天（日历日）内交付验收。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bookmarkStart w:id="36" w:name="_Hlk72260973"/>
            <w:r>
              <w:rPr>
                <w:rFonts w:hint="eastAsia" w:asciiTheme="minorEastAsia" w:hAnsiTheme="minorEastAsia" w:eastAsiaTheme="minorEastAsia" w:cstheme="minorEastAsia"/>
                <w:sz w:val="21"/>
                <w:szCs w:val="21"/>
              </w:rPr>
              <w:t>2</w:t>
            </w:r>
          </w:p>
        </w:tc>
        <w:tc>
          <w:tcPr>
            <w:tcW w:w="154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0"/>
                <w:sz w:val="21"/>
                <w:szCs w:val="21"/>
              </w:rPr>
              <w:t>★运输、安装和验收</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2.1投标人</w:t>
            </w:r>
            <w:r>
              <w:rPr>
                <w:rFonts w:hint="eastAsia" w:asciiTheme="minorEastAsia" w:hAnsiTheme="minorEastAsia" w:eastAsiaTheme="minorEastAsia" w:cstheme="minorEastAsia"/>
                <w:bCs/>
                <w:kern w:val="0"/>
                <w:sz w:val="21"/>
                <w:szCs w:val="21"/>
              </w:rPr>
              <w:t>负责将</w:t>
            </w:r>
            <w:r>
              <w:rPr>
                <w:rFonts w:hint="eastAsia" w:asciiTheme="minorEastAsia" w:hAnsiTheme="minorEastAsia" w:eastAsiaTheme="minorEastAsia" w:cstheme="minorEastAsia"/>
                <w:kern w:val="0"/>
                <w:sz w:val="21"/>
                <w:szCs w:val="21"/>
              </w:rPr>
              <w:t>货物</w:t>
            </w:r>
            <w:r>
              <w:rPr>
                <w:rFonts w:hint="eastAsia" w:asciiTheme="minorEastAsia" w:hAnsiTheme="minorEastAsia" w:eastAsiaTheme="minorEastAsia" w:cstheme="minorEastAsia"/>
                <w:bCs/>
                <w:kern w:val="0"/>
                <w:sz w:val="21"/>
                <w:szCs w:val="21"/>
              </w:rPr>
              <w:t>安全无损运抵采购人指定地点,并承担设备的包装、运输、保险、装卸、安装调试、培训、商检及计量检测、增值税等费用。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586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2.2</w:t>
            </w:r>
            <w:r>
              <w:rPr>
                <w:rFonts w:hint="eastAsia" w:asciiTheme="minorEastAsia" w:hAnsiTheme="minorEastAsia" w:eastAsiaTheme="minorEastAsia" w:cstheme="minorEastAsia"/>
                <w:b w:val="0"/>
                <w:bCs w:val="0"/>
                <w:kern w:val="0"/>
                <w:sz w:val="21"/>
                <w:szCs w:val="21"/>
              </w:rPr>
              <w:t>采购人有权检验或测试货物，以确认货物是否符合合同规格的要求。如果发现所交货物与投标文件中所承诺的不符或存在质量、技术缺陷等,采购人可以拒绝接收该货物,投标人应在</w:t>
            </w:r>
            <w:r>
              <w:rPr>
                <w:rFonts w:hint="eastAsia" w:asciiTheme="minorEastAsia" w:hAnsiTheme="minorEastAsia" w:eastAsiaTheme="minorEastAsia" w:cstheme="minorEastAsia"/>
                <w:b w:val="0"/>
                <w:bCs w:val="0"/>
                <w:kern w:val="0"/>
                <w:sz w:val="21"/>
                <w:szCs w:val="21"/>
                <w:u w:val="single"/>
              </w:rPr>
              <w:t xml:space="preserve"> 3个工作日</w:t>
            </w:r>
            <w:r>
              <w:rPr>
                <w:rFonts w:hint="eastAsia" w:asciiTheme="minorEastAsia" w:hAnsiTheme="minorEastAsia" w:eastAsiaTheme="minorEastAsia" w:cstheme="minorEastAsia"/>
                <w:b w:val="0"/>
                <w:bCs w:val="0"/>
                <w:kern w:val="0"/>
                <w:sz w:val="21"/>
                <w:szCs w:val="21"/>
              </w:rPr>
              <w:t>内采取补足、更换或退货等措施,以满足规格的要求，由此发生的一切损失和费用由投标人承担。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2.3投标人负责货物的现场安装和调试,提供货物安装、调试和维修所需的专用工具和辅助材料。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2.4由投标人代表和采购人组成验收小组对产品进行验收。验收标准按照国家规定标准执行。经检验设备正常运作后签署验收报告,产品保修期自验收合格之日起算。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w:t>
            </w:r>
          </w:p>
        </w:tc>
        <w:tc>
          <w:tcPr>
            <w:tcW w:w="154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45"/>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
                <w:bCs/>
                <w:sz w:val="21"/>
                <w:szCs w:val="21"/>
              </w:rPr>
              <w:t>★关于违约</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bCs/>
                <w:kern w:val="0"/>
                <w:sz w:val="21"/>
                <w:szCs w:val="21"/>
              </w:rPr>
              <w:t>如投标人未按照投标文件中承诺的时间交货或提供服务，投标人应承担延期交货和延期服务的违约责任，并赔偿采购人因此造成的实际经济损失。实际经济损失超出合同总价的30%，采购人有权终止合同。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sz w:val="21"/>
                <w:szCs w:val="21"/>
              </w:rPr>
            </w:pPr>
          </w:p>
        </w:tc>
        <w:tc>
          <w:tcPr>
            <w:tcW w:w="5867"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3.2投</w:t>
            </w:r>
            <w:r>
              <w:rPr>
                <w:rFonts w:hint="eastAsia" w:asciiTheme="minorEastAsia" w:hAnsiTheme="minorEastAsia" w:eastAsiaTheme="minorEastAsia" w:cstheme="minorEastAsia"/>
                <w:bCs/>
                <w:kern w:val="0"/>
                <w:sz w:val="21"/>
                <w:szCs w:val="21"/>
              </w:rPr>
              <w:t>标人所交设备的品种、型号、规格、质量、功能、技术参数等方面不能实质性满足招标文件要约的，采购人有权拒绝收货，投标人向采购人偿付项目采购金额千分之</w:t>
            </w:r>
            <w:r>
              <w:rPr>
                <w:rFonts w:hint="eastAsia" w:asciiTheme="minorEastAsia" w:hAnsiTheme="minorEastAsia" w:eastAsiaTheme="minorEastAsia" w:cstheme="minorEastAsia"/>
                <w:bCs/>
                <w:kern w:val="0"/>
                <w:sz w:val="21"/>
                <w:szCs w:val="21"/>
                <w:u w:val="single"/>
              </w:rPr>
              <w:t>十</w:t>
            </w:r>
            <w:r>
              <w:rPr>
                <w:rFonts w:hint="eastAsia" w:asciiTheme="minorEastAsia" w:hAnsiTheme="minorEastAsia" w:eastAsiaTheme="minorEastAsia" w:cstheme="minorEastAsia"/>
                <w:bCs/>
                <w:kern w:val="0"/>
                <w:sz w:val="21"/>
                <w:szCs w:val="21"/>
              </w:rPr>
              <w:t>的违约金；造成严重后果的，根据《深圳经济特区政府采购条例》第五十七条第（二）款规定，由主管部门对中标人进行处罚。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sz w:val="21"/>
                <w:szCs w:val="21"/>
              </w:rPr>
            </w:pP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bCs/>
                <w:kern w:val="0"/>
                <w:sz w:val="21"/>
                <w:szCs w:val="21"/>
              </w:rPr>
              <w:t>投标人不能交付设备的，投标人向采购人偿付项目采购金额千分之</w:t>
            </w:r>
            <w:r>
              <w:rPr>
                <w:rFonts w:hint="eastAsia" w:asciiTheme="minorEastAsia" w:hAnsiTheme="minorEastAsia" w:eastAsiaTheme="minorEastAsia" w:cstheme="minorEastAsia"/>
                <w:bCs/>
                <w:kern w:val="0"/>
                <w:sz w:val="21"/>
                <w:szCs w:val="21"/>
                <w:u w:val="single"/>
              </w:rPr>
              <w:t>十</w:t>
            </w:r>
            <w:r>
              <w:rPr>
                <w:rFonts w:hint="eastAsia" w:asciiTheme="minorEastAsia" w:hAnsiTheme="minorEastAsia" w:eastAsiaTheme="minorEastAsia" w:cstheme="minorEastAsia"/>
                <w:bCs/>
                <w:kern w:val="0"/>
                <w:sz w:val="21"/>
                <w:szCs w:val="21"/>
              </w:rPr>
              <w:t>的违约金；造成严重后果的，根据《深圳经济特区政府采购条例》第五十七条第（二）款规定，由主管部门对中标人进行处罚。</w:t>
            </w: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关于付款</w:t>
            </w:r>
          </w:p>
        </w:tc>
        <w:tc>
          <w:tcPr>
            <w:tcW w:w="586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（1）预付款：合同签订后，中标人于 7个日历日内向采购人开具相应款项合法有效的普通发票后，采购人向中标人支付合同总价50%的款项。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（2）验收款：项目验收合格后，中标人于7个日历日内向采购人开具相应款项合法有效的普通发票后，采购人向中标人支付合同总价50%的款项。</w:t>
            </w:r>
          </w:p>
        </w:tc>
      </w:tr>
    </w:tbl>
    <w:p>
      <w:pPr>
        <w:pStyle w:val="9"/>
        <w:spacing w:before="78" w:beforeLines="25" w:after="78" w:afterLines="25"/>
        <w:ind w:firstLine="0"/>
        <w:rPr>
          <w:rFonts w:hint="eastAsia" w:ascii="宋体" w:hAnsi="宋体"/>
          <w:szCs w:val="21"/>
        </w:rPr>
      </w:pPr>
    </w:p>
    <w:p>
      <w:pPr>
        <w:pStyle w:val="7"/>
        <w:spacing w:before="156" w:beforeLines="50" w:after="156" w:afterLines="50"/>
        <w:rPr>
          <w:rFonts w:hint="eastAsia"/>
          <w:sz w:val="28"/>
          <w:szCs w:val="28"/>
        </w:rPr>
      </w:pPr>
      <w:r>
        <w:rPr>
          <w:rFonts w:hint="eastAsia"/>
          <w:sz w:val="28"/>
          <w:szCs w:val="28"/>
        </w:rPr>
        <w:t>六、其他重要条款</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2、投标人应充分了解项目的位置、情况、道路及任何其他足以影响投标报价的情况，任何因忽视或误解项目情况而导致的索赔或服务期限延长申请将不获批准。</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ind w:firstLine="420" w:firstLineChars="200"/>
        <w:rPr>
          <w:rFonts w:hint="eastAsia" w:ascii="宋体" w:hAnsi="宋体"/>
          <w:bCs/>
          <w:color w:val="000000"/>
          <w:szCs w:val="21"/>
        </w:rPr>
      </w:pPr>
      <w:r>
        <w:rPr>
          <w:rFonts w:hint="eastAsia" w:asciiTheme="minorEastAsia" w:hAnsiTheme="minorEastAsia" w:eastAsiaTheme="minorEastAsia"/>
          <w:bCs/>
          <w:szCs w:val="21"/>
        </w:rPr>
        <w:t>5、除采购合同继续履行将损害国家利益和社会公共利益外，双方当事人不得擅自变更、中止或者终止合同。</w:t>
      </w:r>
    </w:p>
    <w:p>
      <w:pPr>
        <w:pStyle w:val="7"/>
        <w:spacing w:before="156" w:beforeLines="50" w:after="156" w:afterLines="50"/>
        <w:rPr>
          <w:rFonts w:hint="eastAsia"/>
          <w:sz w:val="28"/>
          <w:szCs w:val="28"/>
        </w:rPr>
      </w:pPr>
      <w:r>
        <w:rPr>
          <w:rFonts w:hint="eastAsia"/>
          <w:sz w:val="28"/>
          <w:szCs w:val="28"/>
          <w:lang w:val="en-US" w:eastAsia="zh-CN"/>
        </w:rPr>
        <w:t>七</w:t>
      </w:r>
      <w:r>
        <w:rPr>
          <w:rFonts w:hint="eastAsia"/>
          <w:sz w:val="28"/>
          <w:szCs w:val="28"/>
        </w:rPr>
        <w:t>、演示要求</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（一）总体要求：</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供应商授权委托人应在</w:t>
      </w:r>
      <w:r>
        <w:rPr>
          <w:rFonts w:hint="eastAsia" w:asciiTheme="minorEastAsia" w:hAnsiTheme="minorEastAsia" w:eastAsiaTheme="minorEastAsia" w:cstheme="minorEastAsia"/>
          <w:b/>
          <w:bCs/>
          <w:color w:val="FF0000"/>
          <w:szCs w:val="21"/>
        </w:rPr>
        <w:t>本项目开标当日9:15</w:t>
      </w:r>
      <w:r>
        <w:rPr>
          <w:rFonts w:hint="eastAsia" w:asciiTheme="minorEastAsia" w:hAnsiTheme="minorEastAsia" w:eastAsiaTheme="minorEastAsia" w:cstheme="minorEastAsia"/>
          <w:b/>
          <w:bCs/>
          <w:color w:val="FF0000"/>
          <w:szCs w:val="21"/>
          <w:lang w:eastAsia="zh-CN"/>
        </w:rPr>
        <w:t>：</w:t>
      </w:r>
      <w:r>
        <w:rPr>
          <w:rFonts w:hint="eastAsia" w:asciiTheme="minorEastAsia" w:hAnsiTheme="minorEastAsia" w:eastAsiaTheme="minorEastAsia" w:cstheme="minorEastAsia"/>
          <w:b/>
          <w:bCs/>
          <w:color w:val="FF0000"/>
          <w:szCs w:val="21"/>
          <w:lang w:val="en-US" w:eastAsia="zh-CN"/>
        </w:rPr>
        <w:t>00</w:t>
      </w:r>
      <w:r>
        <w:rPr>
          <w:rFonts w:hint="eastAsia" w:asciiTheme="minorEastAsia" w:hAnsiTheme="minorEastAsia" w:eastAsiaTheme="minorEastAsia" w:cstheme="minorEastAsia"/>
          <w:b/>
          <w:bCs/>
          <w:color w:val="FF0000"/>
          <w:szCs w:val="21"/>
        </w:rPr>
        <w:t>-9:30</w:t>
      </w:r>
      <w:r>
        <w:rPr>
          <w:rFonts w:hint="eastAsia" w:asciiTheme="minorEastAsia" w:hAnsiTheme="minorEastAsia" w:eastAsiaTheme="minorEastAsia" w:cstheme="minorEastAsia"/>
          <w:b/>
          <w:bCs/>
          <w:color w:val="FF0000"/>
          <w:szCs w:val="21"/>
          <w:lang w:eastAsia="zh-CN"/>
        </w:rPr>
        <w:t>：</w:t>
      </w:r>
      <w:r>
        <w:rPr>
          <w:rFonts w:hint="eastAsia" w:asciiTheme="minorEastAsia" w:hAnsiTheme="minorEastAsia" w:eastAsiaTheme="minorEastAsia" w:cstheme="minorEastAsia"/>
          <w:b/>
          <w:bCs/>
          <w:color w:val="FF0000"/>
          <w:szCs w:val="21"/>
          <w:lang w:val="en-US" w:eastAsia="zh-CN"/>
        </w:rPr>
        <w:t>00</w:t>
      </w:r>
      <w:r>
        <w:rPr>
          <w:rFonts w:hint="eastAsia" w:asciiTheme="minorEastAsia" w:hAnsiTheme="minorEastAsia" w:eastAsiaTheme="minorEastAsia" w:cstheme="minorEastAsia"/>
          <w:b/>
          <w:bCs/>
          <w:color w:val="FF0000"/>
          <w:szCs w:val="21"/>
        </w:rPr>
        <w:t>（投标截止时间为上午时适用）,14:15</w:t>
      </w:r>
      <w:r>
        <w:rPr>
          <w:rFonts w:hint="eastAsia" w:asciiTheme="minorEastAsia" w:hAnsiTheme="minorEastAsia" w:eastAsiaTheme="minorEastAsia" w:cstheme="minorEastAsia"/>
          <w:b/>
          <w:bCs/>
          <w:color w:val="FF0000"/>
          <w:szCs w:val="21"/>
          <w:lang w:eastAsia="zh-CN"/>
        </w:rPr>
        <w:t>：</w:t>
      </w:r>
      <w:r>
        <w:rPr>
          <w:rFonts w:hint="eastAsia" w:asciiTheme="minorEastAsia" w:hAnsiTheme="minorEastAsia" w:eastAsiaTheme="minorEastAsia" w:cstheme="minorEastAsia"/>
          <w:b/>
          <w:bCs/>
          <w:color w:val="FF0000"/>
          <w:szCs w:val="21"/>
          <w:lang w:val="en-US" w:eastAsia="zh-CN"/>
        </w:rPr>
        <w:t>00</w:t>
      </w:r>
      <w:r>
        <w:rPr>
          <w:rFonts w:hint="eastAsia" w:asciiTheme="minorEastAsia" w:hAnsiTheme="minorEastAsia" w:eastAsiaTheme="minorEastAsia" w:cstheme="minorEastAsia"/>
          <w:b/>
          <w:bCs/>
          <w:color w:val="FF0000"/>
          <w:szCs w:val="21"/>
        </w:rPr>
        <w:t>-14:30</w:t>
      </w:r>
      <w:r>
        <w:rPr>
          <w:rFonts w:hint="eastAsia" w:asciiTheme="minorEastAsia" w:hAnsiTheme="minorEastAsia" w:eastAsiaTheme="minorEastAsia" w:cstheme="minorEastAsia"/>
          <w:b/>
          <w:bCs/>
          <w:color w:val="FF0000"/>
          <w:szCs w:val="21"/>
          <w:lang w:eastAsia="zh-CN"/>
        </w:rPr>
        <w:t>：</w:t>
      </w:r>
      <w:r>
        <w:rPr>
          <w:rFonts w:hint="eastAsia" w:asciiTheme="minorEastAsia" w:hAnsiTheme="minorEastAsia" w:eastAsiaTheme="minorEastAsia" w:cstheme="minorEastAsia"/>
          <w:b/>
          <w:bCs/>
          <w:color w:val="FF0000"/>
          <w:szCs w:val="21"/>
          <w:lang w:val="en-US" w:eastAsia="zh-CN"/>
        </w:rPr>
        <w:t>00</w:t>
      </w:r>
      <w:r>
        <w:rPr>
          <w:rFonts w:hint="eastAsia" w:asciiTheme="minorEastAsia" w:hAnsiTheme="minorEastAsia" w:eastAsiaTheme="minorEastAsia" w:cstheme="minorEastAsia"/>
          <w:b/>
          <w:bCs/>
          <w:color w:val="FF0000"/>
          <w:szCs w:val="21"/>
        </w:rPr>
        <w:t>（投标截止时间为下午时适用）到签到地点（深圳市南山区西丽街道沙河西路3185号智谷产业园A座深圳交易集团总部大楼3楼）</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按现场工作人员指引</w:t>
      </w:r>
      <w:r>
        <w:rPr>
          <w:rFonts w:hint="eastAsia" w:asciiTheme="minorEastAsia" w:hAnsiTheme="minorEastAsia" w:eastAsiaTheme="minorEastAsia" w:cstheme="minorEastAsia"/>
          <w:szCs w:val="21"/>
        </w:rPr>
        <w:t>填写《演示签到表》。</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现场演示地点提供</w:t>
      </w:r>
      <w:r>
        <w:rPr>
          <w:rFonts w:hint="eastAsia" w:asciiTheme="minorEastAsia" w:hAnsiTheme="minorEastAsia" w:eastAsiaTheme="minorEastAsia" w:cstheme="minorEastAsia"/>
          <w:bCs/>
          <w:szCs w:val="21"/>
        </w:rPr>
        <w:t>电源、带VGA接口的液晶显示器及宽带上网环境（无WIFI环境）</w:t>
      </w:r>
      <w:r>
        <w:rPr>
          <w:rFonts w:hint="eastAsia" w:asciiTheme="minorEastAsia" w:hAnsiTheme="minorEastAsia" w:eastAsiaTheme="minorEastAsia" w:cstheme="minorEastAsia"/>
          <w:szCs w:val="21"/>
        </w:rPr>
        <w:t>，由投标（谈判）供应商授权委托人自带</w:t>
      </w:r>
      <w:r>
        <w:rPr>
          <w:rFonts w:hint="eastAsia" w:asciiTheme="minorEastAsia" w:hAnsiTheme="minorEastAsia" w:eastAsiaTheme="minorEastAsia" w:cstheme="minorEastAsia"/>
          <w:bCs/>
          <w:szCs w:val="21"/>
        </w:rPr>
        <w:t>手提电脑、U盘等能完成方案讲解的便携设备（具体以自身实际需要为准）</w:t>
      </w:r>
      <w:r>
        <w:rPr>
          <w:rFonts w:hint="eastAsia" w:asciiTheme="minorEastAsia" w:hAnsiTheme="minorEastAsia" w:eastAsiaTheme="minorEastAsia" w:cstheme="minorEastAsia"/>
          <w:szCs w:val="21"/>
        </w:rPr>
        <w:t>进行现场演示。由于场地有限，建议不携带过大设备。</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每个投标（谈判）供应商演示时间不超过</w:t>
      </w:r>
      <w:r>
        <w:rPr>
          <w:rFonts w:hint="eastAsia" w:asciiTheme="minorEastAsia" w:hAnsiTheme="minorEastAsia" w:eastAsiaTheme="minorEastAsia" w:cstheme="minorEastAsia"/>
          <w:bCs/>
          <w:szCs w:val="21"/>
        </w:rPr>
        <w:t>10</w:t>
      </w:r>
      <w:r>
        <w:rPr>
          <w:rFonts w:hint="eastAsia" w:asciiTheme="minorEastAsia" w:hAnsiTheme="minorEastAsia" w:eastAsiaTheme="minorEastAsia" w:cstheme="minorEastAsia"/>
          <w:szCs w:val="21"/>
        </w:rPr>
        <w:t>分钟（期间评委可能会进行提问，并有权酌情延长时间）。演示人员不得超过</w:t>
      </w:r>
      <w:r>
        <w:rPr>
          <w:rFonts w:hint="eastAsia" w:asciiTheme="minorEastAsia" w:hAnsiTheme="minorEastAsia" w:eastAsiaTheme="minorEastAsia" w:cstheme="minorEastAsia"/>
          <w:bCs/>
          <w:szCs w:val="21"/>
        </w:rPr>
        <w:t>2</w:t>
      </w:r>
      <w:r>
        <w:rPr>
          <w:rFonts w:hint="eastAsia" w:asciiTheme="minorEastAsia" w:hAnsiTheme="minorEastAsia" w:eastAsiaTheme="minorEastAsia" w:cstheme="minorEastAsia"/>
          <w:szCs w:val="21"/>
        </w:rPr>
        <w:t>人。</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（二）具体程序：</w:t>
      </w:r>
    </w:p>
    <w:p>
      <w:pPr>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1、供应商授权委托人</w:t>
      </w:r>
      <w:r>
        <w:rPr>
          <w:rFonts w:hint="eastAsia" w:asciiTheme="minorEastAsia" w:hAnsiTheme="minorEastAsia" w:eastAsiaTheme="minorEastAsia" w:cstheme="minorEastAsia"/>
          <w:bCs/>
          <w:szCs w:val="21"/>
        </w:rPr>
        <w:t>需在演示签到截止时间前，提供法定代表人（负责人）演示授权委托书（加盖公章）、身份证明材料原件和复印件（中国国籍人员，请提供代理人身份证，港澳台居民可提供来往通行证；非中国国籍人员，可提供公安部门认可的身份证明材料），到</w:t>
      </w:r>
      <w:r>
        <w:rPr>
          <w:rFonts w:hint="eastAsia" w:asciiTheme="minorEastAsia" w:hAnsiTheme="minorEastAsia" w:eastAsiaTheme="minorEastAsia" w:cstheme="minorEastAsia"/>
          <w:szCs w:val="21"/>
        </w:rPr>
        <w:t>政府集中采购机构指定签到地点</w:t>
      </w:r>
      <w:r>
        <w:rPr>
          <w:rFonts w:hint="eastAsia" w:asciiTheme="minorEastAsia" w:hAnsiTheme="minorEastAsia" w:eastAsiaTheme="minorEastAsia" w:cstheme="minorEastAsia"/>
          <w:bCs/>
          <w:szCs w:val="21"/>
        </w:rPr>
        <w:t>按现场工作人员指引填写《演示签到表》。（演示授权委托书模板详见附件）</w:t>
      </w:r>
    </w:p>
    <w:p>
      <w:pPr>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特别注意事项：（1）资料不符合要求，不予签到；（2）规定的截止时间后，不再受理签到；（3）未进行签到的人员，不能参与现场演示</w:t>
      </w:r>
    </w:p>
    <w:p>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2、初审合格的供应商应按评委要求进行演示</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kern w:val="0"/>
          <w:szCs w:val="21"/>
        </w:rPr>
        <w:t>正式开始前将进行身份核对；核对内容为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kern w:val="0"/>
          <w:szCs w:val="21"/>
        </w:rPr>
        <w:t>人员提供的“</w:t>
      </w:r>
      <w:r>
        <w:rPr>
          <w:rFonts w:hint="eastAsia" w:asciiTheme="minorEastAsia" w:hAnsiTheme="minorEastAsia" w:eastAsiaTheme="minorEastAsia" w:cstheme="minorEastAsia"/>
          <w:bCs/>
          <w:szCs w:val="21"/>
        </w:rPr>
        <w:t>法定代表人（负责人）授权委托书（加盖公章）、授权委托人身份证原件</w:t>
      </w:r>
      <w:r>
        <w:rPr>
          <w:rFonts w:hint="eastAsia" w:asciiTheme="minorEastAsia" w:hAnsiTheme="minorEastAsia" w:eastAsiaTheme="minorEastAsia" w:cstheme="minorEastAsia"/>
          <w:szCs w:val="21"/>
        </w:rPr>
        <w:t>和复印件</w:t>
      </w:r>
      <w:r>
        <w:rPr>
          <w:rFonts w:hint="eastAsia" w:asciiTheme="minorEastAsia" w:hAnsiTheme="minorEastAsia" w:eastAsiaTheme="minorEastAsia" w:cstheme="minorEastAsia"/>
          <w:kern w:val="0"/>
          <w:szCs w:val="21"/>
        </w:rPr>
        <w:t>”。资料不齐全的，不得参与</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kern w:val="0"/>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（三）其他演示规则：</w:t>
      </w:r>
    </w:p>
    <w:p>
      <w:pPr>
        <w:pStyle w:val="9"/>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A.参加本次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的各投标（谈判）供应商，均认为本次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的程序和环境能够满足</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基本条件，并对本</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方案要求内的各项规定不做事后异议，且能够严格遵守相关规定。</w:t>
      </w:r>
    </w:p>
    <w:p>
      <w:pPr>
        <w:pStyle w:val="9"/>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B.演示在评审环节进行。演示原则上</w:t>
      </w:r>
      <w:r>
        <w:rPr>
          <w:rFonts w:hint="eastAsia" w:asciiTheme="minorEastAsia" w:hAnsiTheme="minorEastAsia" w:eastAsiaTheme="minorEastAsia" w:cstheme="minorEastAsia"/>
          <w:bCs/>
          <w:szCs w:val="21"/>
        </w:rPr>
        <w:t>按签到顺序</w:t>
      </w:r>
      <w:r>
        <w:rPr>
          <w:rFonts w:hint="eastAsia" w:asciiTheme="minorEastAsia" w:hAnsiTheme="minorEastAsia" w:eastAsiaTheme="minorEastAsia" w:cstheme="minorEastAsia"/>
          <w:szCs w:val="21"/>
        </w:rPr>
        <w:t>依次进行（经评委同意，可以酌情进行调整）。一个供应商一次性</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完毕。一个供应商在进行</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时，其他供应商不得进入现场。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期间，评委可视情况对讲解人员进行提问。</w:t>
      </w:r>
    </w:p>
    <w:p>
      <w:pPr>
        <w:pStyle w:val="9"/>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C.投标人对本次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条件的不确定性疑虑应在开始前做书面表达，若所有疑虑不能完全消除，并认为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结果仍会产生误判，则可以退出</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w:t>
      </w:r>
    </w:p>
    <w:p>
      <w:pPr>
        <w:pStyle w:val="9"/>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D.由于</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时间有限，投标人同意承担其演示结果不确定性的风险，即同意专家以方案讲解情况的判定结论。</w:t>
      </w:r>
    </w:p>
    <w:p>
      <w:pPr>
        <w:pStyle w:val="9"/>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E.本次</w:t>
      </w:r>
      <w:r>
        <w:rPr>
          <w:rFonts w:hint="eastAsia" w:asciiTheme="minorEastAsia" w:hAnsiTheme="minorEastAsia" w:eastAsiaTheme="minorEastAsia" w:cstheme="minorEastAsia"/>
          <w:bCs/>
          <w:szCs w:val="21"/>
        </w:rPr>
        <w:t>演示</w:t>
      </w:r>
      <w:r>
        <w:rPr>
          <w:rFonts w:hint="eastAsia" w:asciiTheme="minorEastAsia" w:hAnsiTheme="minorEastAsia" w:eastAsiaTheme="minorEastAsia" w:cstheme="minorEastAsia"/>
          <w:szCs w:val="21"/>
        </w:rPr>
        <w:t>的结果，仅对本项目评审委员会（谈判小组）负责，无义务向其余各方出具方案讲解结果。</w:t>
      </w:r>
    </w:p>
    <w:p>
      <w:pPr>
        <w:pStyle w:val="9"/>
        <w:ind w:firstLine="392" w:firstLineChars="18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F.风险及费用说明：各项费用由供应商自理、风险自负。</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（四）演示内容及要求表：</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150"/>
        <w:gridCol w:w="281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tcPr>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50" w:type="dxa"/>
          </w:tcPr>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演示项目</w:t>
            </w:r>
          </w:p>
        </w:tc>
        <w:tc>
          <w:tcPr>
            <w:tcW w:w="2812" w:type="dxa"/>
          </w:tcPr>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演示形式要求</w:t>
            </w:r>
          </w:p>
        </w:tc>
        <w:tc>
          <w:tcPr>
            <w:tcW w:w="2524" w:type="dxa"/>
          </w:tcPr>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演示具体内容要求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50" w:type="dxa"/>
            <w:vAlign w:val="center"/>
          </w:tcPr>
          <w:p>
            <w:pPr>
              <w:autoSpaceDE w:val="0"/>
              <w:autoSpaceDN w:val="0"/>
              <w:adjustRightInd w:val="0"/>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医护主机</w:t>
            </w:r>
          </w:p>
        </w:tc>
        <w:tc>
          <w:tcPr>
            <w:tcW w:w="2812"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视频演示</w:t>
            </w:r>
          </w:p>
        </w:tc>
        <w:tc>
          <w:tcPr>
            <w:tcW w:w="2524" w:type="dxa"/>
            <w:vAlign w:val="center"/>
          </w:tcPr>
          <w:p>
            <w:pPr>
              <w:autoSpaceDE w:val="0"/>
              <w:autoSpaceDN w:val="0"/>
              <w:adjustRightInd w:val="0"/>
              <w:spacing w:line="360" w:lineRule="exact"/>
              <w:jc w:val="left"/>
              <w:rPr>
                <w:rFonts w:hint="eastAsia" w:asciiTheme="minorEastAsia" w:hAnsiTheme="minorEastAsia" w:eastAsiaTheme="minorEastAsia" w:cstheme="minorEastAsia"/>
                <w:szCs w:val="21"/>
              </w:rPr>
            </w:pPr>
            <w:r>
              <w:rPr>
                <w:rFonts w:hint="eastAsia" w:ascii="仿宋_GB2312" w:hAnsi="仿宋_GB2312" w:cs="仿宋_GB2312"/>
              </w:rPr>
              <w:t>系统支持灵活调整设备界面样式与患者信息显示布局，并可通过一键下发或推送等方式使修改内容立即在设备（医护主机）上生效。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873"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50" w:type="dxa"/>
            <w:vAlign w:val="center"/>
          </w:tcPr>
          <w:p>
            <w:pPr>
              <w:autoSpaceDE w:val="0"/>
              <w:autoSpaceDN w:val="0"/>
              <w:adjustRightInd w:val="0"/>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电子床头屏（≥13寸）</w:t>
            </w:r>
          </w:p>
        </w:tc>
        <w:tc>
          <w:tcPr>
            <w:tcW w:w="2812"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视频演示</w:t>
            </w:r>
          </w:p>
        </w:tc>
        <w:tc>
          <w:tcPr>
            <w:tcW w:w="2524" w:type="dxa"/>
            <w:vAlign w:val="center"/>
          </w:tcPr>
          <w:p>
            <w:pPr>
              <w:autoSpaceDE w:val="0"/>
              <w:autoSpaceDN w:val="0"/>
              <w:adjustRightInd w:val="0"/>
              <w:spacing w:line="360" w:lineRule="exact"/>
              <w:jc w:val="left"/>
              <w:rPr>
                <w:rFonts w:hint="eastAsia" w:asciiTheme="minorEastAsia" w:hAnsiTheme="minorEastAsia" w:eastAsiaTheme="minorEastAsia" w:cstheme="minorEastAsia"/>
                <w:szCs w:val="21"/>
              </w:rPr>
            </w:pPr>
            <w:r>
              <w:rPr>
                <w:rFonts w:hint="eastAsia" w:ascii="仿宋_GB2312" w:hAnsi="仿宋_GB2312" w:cs="仿宋_GB2312"/>
              </w:rPr>
              <w:t>系统支持灵活调整设备界面样式与患者信息显示布局，并可通过一键下发或推送等方式使修改内容立即在设备（电子床头屏）上生效。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150" w:type="dxa"/>
            <w:vAlign w:val="center"/>
          </w:tcPr>
          <w:p>
            <w:pPr>
              <w:autoSpaceDE w:val="0"/>
              <w:autoSpaceDN w:val="0"/>
              <w:adjustRightInd w:val="0"/>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电子床头屏（≥13寸）</w:t>
            </w:r>
          </w:p>
        </w:tc>
        <w:tc>
          <w:tcPr>
            <w:tcW w:w="2812"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视频演示</w:t>
            </w:r>
          </w:p>
        </w:tc>
        <w:tc>
          <w:tcPr>
            <w:tcW w:w="2524"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系统支持直接地调整所选病区床位（如新增、修改、删除床位等操作），所有调整实时生效。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150" w:type="dxa"/>
            <w:vAlign w:val="center"/>
          </w:tcPr>
          <w:p>
            <w:pPr>
              <w:autoSpaceDE w:val="0"/>
              <w:autoSpaceDN w:val="0"/>
              <w:adjustRightInd w:val="0"/>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呼叫服务及管理系统(服务器端)</w:t>
            </w:r>
          </w:p>
        </w:tc>
        <w:tc>
          <w:tcPr>
            <w:tcW w:w="2812"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视频演示</w:t>
            </w:r>
          </w:p>
        </w:tc>
        <w:tc>
          <w:tcPr>
            <w:tcW w:w="2524"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系统支持生成多种统计分析图表，包括：呼叫占比统计、呼叫量日线图、呼叫响应时长统计、呼叫通话时长统计及每床日统计等，统计图表支持按全院、病区等多维度进行数据筛选与分析。</w:t>
            </w:r>
          </w:p>
        </w:tc>
      </w:tr>
    </w:tbl>
    <w:p>
      <w:pPr>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（五）附件：演示授权书</w:t>
      </w:r>
    </w:p>
    <w:p>
      <w:pPr>
        <w:ind w:firstLine="420" w:firstLineChars="20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演示授权委托书</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（投标人名称）的法定代表人（负责人），现授权委托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（姓名）为我单位参与</w:t>
      </w:r>
      <w:r>
        <w:rPr>
          <w:rFonts w:hint="eastAsia" w:asciiTheme="minorEastAsia" w:hAnsiTheme="minorEastAsia" w:eastAsiaTheme="minorEastAsia" w:cstheme="minorEastAsia"/>
          <w:szCs w:val="21"/>
          <w:u w:val="single"/>
        </w:rPr>
        <w:t>（此处填写项目名称）</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szCs w:val="21"/>
          <w:u w:val="single"/>
        </w:rPr>
        <w:t xml:space="preserve">         （此处填写项目编号）</w:t>
      </w:r>
      <w:r>
        <w:rPr>
          <w:rFonts w:hint="eastAsia" w:asciiTheme="minorEastAsia" w:hAnsiTheme="minorEastAsia" w:eastAsiaTheme="minorEastAsia" w:cstheme="minorEastAsia"/>
          <w:szCs w:val="21"/>
        </w:rPr>
        <w:t>演示工作的授权委托代理人，代理人全权代表我参与项目演示，演示的内容我均承认。</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pPr>
        <w:ind w:firstLine="420" w:firstLineChars="200"/>
        <w:rPr>
          <w:rFonts w:hint="eastAsia" w:asciiTheme="minorEastAsia" w:hAnsiTheme="minorEastAsia" w:eastAsiaTheme="minorEastAsia" w:cstheme="minorEastAsia"/>
          <w:szCs w:val="21"/>
        </w:rPr>
      </w:pPr>
    </w:p>
    <w:p>
      <w:pPr>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代理人：</w:t>
      </w:r>
      <w:r>
        <w:rPr>
          <w:rFonts w:hint="eastAsia" w:asciiTheme="minorEastAsia" w:hAnsiTheme="minorEastAsia" w:eastAsiaTheme="minorEastAsia" w:cstheme="minorEastAsia"/>
          <w:szCs w:val="21"/>
          <w:u w:val="single"/>
        </w:rPr>
        <w:t xml:space="preserve">             </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手机：</w:t>
      </w:r>
      <w:r>
        <w:rPr>
          <w:rFonts w:hint="eastAsia" w:asciiTheme="minorEastAsia" w:hAnsiTheme="minorEastAsia" w:eastAsiaTheme="minorEastAsia" w:cstheme="minorEastAsia"/>
          <w:szCs w:val="21"/>
          <w:u w:val="single"/>
        </w:rPr>
        <w:t xml:space="preserve">                   </w:t>
      </w:r>
    </w:p>
    <w:p>
      <w:pPr>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ind w:firstLine="422" w:firstLineChars="20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pPr>
        <w:ind w:firstLine="420" w:firstLineChars="20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（此处填写投标人名称）公司（加盖投标人公章）</w:t>
      </w:r>
    </w:p>
    <w:p>
      <w:pPr>
        <w:widowControl/>
        <w:ind w:firstLine="420" w:firstLineChars="200"/>
        <w:jc w:val="righ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XX年XX月XX日</w:t>
      </w:r>
    </w:p>
    <w:p>
      <w:pPr>
        <w:widowControl/>
        <w:ind w:firstLine="420" w:firstLineChars="200"/>
        <w:jc w:val="left"/>
        <w:rPr>
          <w:rFonts w:hint="eastAsia" w:ascii="宋体" w:hAnsi="宋体"/>
          <w:b/>
          <w:bCs/>
          <w:sz w:val="24"/>
          <w:szCs w:val="20"/>
        </w:rPr>
      </w:pPr>
      <w:r>
        <w:br w:type="page"/>
      </w:r>
    </w:p>
    <w:p>
      <w:pPr>
        <w:pStyle w:val="7"/>
        <w:rPr>
          <w:rFonts w:hint="eastAsia"/>
          <w:sz w:val="28"/>
          <w:szCs w:val="28"/>
        </w:rPr>
      </w:pPr>
      <w:r>
        <w:rPr>
          <w:rFonts w:hint="eastAsia"/>
          <w:sz w:val="28"/>
          <w:szCs w:val="28"/>
        </w:rPr>
        <w:t>第四章 投标文件组成要求及格式</w:t>
      </w: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r>
        <w:rPr>
          <w:rFonts w:hint="eastAsia"/>
          <w:szCs w:val="21"/>
        </w:rPr>
        <w:t>（1）</w:t>
      </w:r>
      <w:bookmarkStart w:id="37" w:name="_Hlk72070784"/>
      <w:r>
        <w:rPr>
          <w:rFonts w:hint="eastAsia"/>
          <w:szCs w:val="21"/>
        </w:rPr>
        <w:t>投标函</w:t>
      </w:r>
      <w:bookmarkEnd w:id="37"/>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38" w:name="_Hlk72257201"/>
      <w:r>
        <w:rPr>
          <w:rFonts w:hint="eastAsia"/>
          <w:szCs w:val="21"/>
        </w:rPr>
        <w:t>（</w:t>
      </w:r>
      <w:r>
        <w:rPr>
          <w:szCs w:val="21"/>
        </w:rPr>
        <w:t>4</w:t>
      </w:r>
      <w:r>
        <w:rPr>
          <w:rFonts w:hint="eastAsia"/>
          <w:szCs w:val="21"/>
        </w:rPr>
        <w:t>）项目详细报价</w:t>
      </w:r>
    </w:p>
    <w:bookmarkEnd w:id="38"/>
    <w:p>
      <w:pPr>
        <w:ind w:firstLine="420" w:firstLineChars="200"/>
        <w:rPr>
          <w:szCs w:val="21"/>
        </w:rPr>
      </w:pPr>
      <w:r>
        <w:rPr>
          <w:rFonts w:hint="eastAsia"/>
          <w:szCs w:val="21"/>
        </w:rPr>
        <w:t>（5）法定代表人（负责人）证明书</w:t>
      </w:r>
    </w:p>
    <w:p>
      <w:pPr>
        <w:ind w:firstLine="420" w:firstLineChars="200"/>
        <w:rPr>
          <w:szCs w:val="21"/>
        </w:rPr>
      </w:pPr>
      <w:r>
        <w:rPr>
          <w:rFonts w:hint="eastAsia"/>
          <w:szCs w:val="21"/>
        </w:rPr>
        <w:t>（6）投标文件签署授权委托书</w:t>
      </w:r>
    </w:p>
    <w:p>
      <w:pPr>
        <w:ind w:firstLine="420" w:firstLineChars="200"/>
        <w:rPr>
          <w:szCs w:val="21"/>
        </w:rPr>
      </w:pPr>
      <w:r>
        <w:rPr>
          <w:rFonts w:hint="eastAsia"/>
          <w:szCs w:val="21"/>
        </w:rPr>
        <w:t>（7）实质性条款响应情况表</w:t>
      </w:r>
    </w:p>
    <w:p>
      <w:pPr>
        <w:ind w:firstLine="420" w:firstLineChars="200"/>
        <w:rPr>
          <w:szCs w:val="21"/>
        </w:rPr>
      </w:pPr>
      <w:r>
        <w:rPr>
          <w:rFonts w:hint="eastAsia"/>
          <w:szCs w:val="21"/>
        </w:rPr>
        <w:t>（8）技术要求偏离表</w:t>
      </w:r>
    </w:p>
    <w:p>
      <w:pPr>
        <w:ind w:firstLine="420" w:firstLineChars="200"/>
        <w:rPr>
          <w:szCs w:val="21"/>
        </w:rPr>
      </w:pPr>
      <w:r>
        <w:rPr>
          <w:rFonts w:hint="eastAsia"/>
          <w:szCs w:val="21"/>
        </w:rPr>
        <w:t>（9）商务要求偏离表</w:t>
      </w:r>
    </w:p>
    <w:p>
      <w:pPr>
        <w:ind w:firstLine="420" w:firstLineChars="200"/>
        <w:rPr>
          <w:szCs w:val="21"/>
        </w:rPr>
      </w:pPr>
      <w:r>
        <w:rPr>
          <w:rFonts w:hint="eastAsia"/>
          <w:szCs w:val="21"/>
        </w:rPr>
        <w:t>（10）技术保障措施（格式自定）</w:t>
      </w:r>
    </w:p>
    <w:p>
      <w:pPr>
        <w:ind w:firstLine="420" w:firstLineChars="200"/>
        <w:jc w:val="left"/>
      </w:pPr>
      <w:r>
        <w:rPr>
          <w:rFonts w:hint="eastAsia"/>
          <w:szCs w:val="21"/>
        </w:rPr>
        <w:t>（11）供应商同类业绩</w:t>
      </w:r>
    </w:p>
    <w:p>
      <w:pPr>
        <w:ind w:firstLine="420" w:firstLineChars="200"/>
        <w:rPr>
          <w:szCs w:val="21"/>
        </w:rPr>
      </w:pPr>
      <w:r>
        <w:rPr>
          <w:rFonts w:hint="eastAsia"/>
          <w:szCs w:val="21"/>
        </w:rPr>
        <w:t>（1</w:t>
      </w:r>
      <w:r>
        <w:rPr>
          <w:rFonts w:hint="eastAsia"/>
          <w:szCs w:val="21"/>
          <w:lang w:val="en-US" w:eastAsia="zh-CN"/>
        </w:rPr>
        <w:t>2</w:t>
      </w:r>
      <w:r>
        <w:rPr>
          <w:rFonts w:hint="eastAsia"/>
          <w:szCs w:val="21"/>
        </w:rPr>
        <w:t>）投标人认为需要加以说明的其他内容（格式自定）</w:t>
      </w:r>
    </w:p>
    <w:p>
      <w:pPr>
        <w:ind w:firstLine="420" w:firstLineChars="200"/>
        <w:rPr>
          <w:szCs w:val="21"/>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jc w:val="left"/>
        <w:rPr>
          <w:rFonts w:hint="eastAsia" w:ascii="宋体" w:hAnsi="宋体"/>
          <w:b/>
          <w:color w:val="FF0000"/>
          <w:sz w:val="36"/>
          <w:szCs w:val="36"/>
        </w:rPr>
      </w:pPr>
      <w:r>
        <w:rPr>
          <w:rFonts w:hint="eastAsia" w:ascii="宋体" w:hAnsi="宋体"/>
          <w:b/>
          <w:color w:val="FF0000"/>
          <w:sz w:val="36"/>
          <w:szCs w:val="36"/>
        </w:rPr>
        <w:br w:type="page"/>
      </w:r>
    </w:p>
    <w:p>
      <w:pPr>
        <w:pStyle w:val="5"/>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9"/>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5"/>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p>
      <w:pPr>
        <w:spacing w:before="78" w:beforeLines="25" w:after="78"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outlineLvl w:val="9"/>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pPr>
        <w:ind w:firstLine="420" w:firstLineChars="200"/>
        <w:outlineLvl w:val="9"/>
        <w:rPr>
          <w:rFonts w:hint="eastAsia" w:ascii="仿宋_GB2312" w:hAnsi="仿宋_GB2312" w:eastAsia="仿宋_GB2312" w:cs="仿宋_GB2312"/>
          <w:color w:val="000000"/>
          <w:kern w:val="0"/>
          <w:sz w:val="31"/>
          <w:szCs w:val="31"/>
          <w:lang w:bidi="ar"/>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pPr>
        <w:ind w:firstLine="420" w:firstLineChars="200"/>
        <w:outlineLvl w:val="9"/>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（货物）</w:t>
      </w:r>
    </w:p>
    <w:p>
      <w:pPr>
        <w:ind w:firstLine="420" w:firstLineChars="200"/>
        <w:rPr>
          <w:rFonts w:hint="eastAsia" w:ascii="宋体" w:hAnsi="宋体"/>
          <w:szCs w:val="21"/>
        </w:rPr>
      </w:pPr>
      <w:r>
        <w:rPr>
          <w:rFonts w:ascii="宋体" w:hAnsi="宋体"/>
          <w:szCs w:val="21"/>
        </w:rPr>
        <w:t>本</w:t>
      </w:r>
      <w:r>
        <w:rPr>
          <w:rFonts w:hint="eastAsia" w:ascii="宋体" w:hAnsi="宋体"/>
          <w:szCs w:val="21"/>
        </w:rPr>
        <w:t>公司（联合体）</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46号）的规定，本</w:t>
      </w:r>
      <w:r>
        <w:rPr>
          <w:rFonts w:hint="eastAsia" w:ascii="宋体" w:hAnsi="宋体"/>
          <w:szCs w:val="21"/>
        </w:rPr>
        <w:t>公司（联合体）</w:t>
      </w:r>
      <w:r>
        <w:rPr>
          <w:rFonts w:ascii="宋体" w:hAnsi="宋体"/>
          <w:szCs w:val="21"/>
        </w:rPr>
        <w:t>参加</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单位</w:t>
      </w:r>
      <w:r>
        <w:rPr>
          <w:rFonts w:ascii="宋体" w:hAnsi="宋体"/>
          <w:b/>
          <w:bCs/>
          <w:i/>
          <w:iCs/>
          <w:szCs w:val="21"/>
          <w:u w:val="single"/>
        </w:rPr>
        <w:t>名称）</w:t>
      </w:r>
      <w:r>
        <w:rPr>
          <w:rFonts w:ascii="宋体" w:hAnsi="宋体"/>
          <w:szCs w:val="21"/>
        </w:rPr>
        <w:t>的</w:t>
      </w:r>
      <w:r>
        <w:rPr>
          <w:rFonts w:hint="eastAsia" w:ascii="宋体" w:hAnsi="宋体"/>
          <w:b/>
          <w:b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（项目名称）</w:t>
      </w:r>
      <w:r>
        <w:rPr>
          <w:rFonts w:hint="eastAsia" w:ascii="宋体" w:hAnsi="宋体"/>
          <w:szCs w:val="21"/>
        </w:rPr>
        <w:t>采购活动，提供的货物全部由符合政策要求的中小企业制造。相关企业（含联合体中的中小企业、签订分包意向协议的中小企业）的具体情况如下</w:t>
      </w:r>
      <w:r>
        <w:rPr>
          <w:rFonts w:ascii="宋体" w:hAnsi="宋体"/>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bookmarkStart w:id="41" w:name="_Hlk73562203"/>
      <w:r>
        <w:rPr>
          <w:rFonts w:hint="eastAsia" w:asciiTheme="minorEastAsia" w:hAnsiTheme="minorEastAsia" w:eastAsiaTheme="minorEastAsia" w:cstheme="minorEastAsia"/>
          <w:szCs w:val="21"/>
        </w:rPr>
        <w:t>本投标人对上述声明内容的真实性负责。如有虚假，将依法承担相应责任。</w:t>
      </w:r>
    </w:p>
    <w:p>
      <w:pPr>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ind w:firstLine="420" w:firstLineChars="200"/>
        <w:rPr>
          <w:rFonts w:hint="eastAsia" w:asciiTheme="minorEastAsia" w:hAnsiTheme="minorEastAsia" w:eastAsiaTheme="minorEastAsia" w:cstheme="minorEastAsia"/>
          <w:szCs w:val="21"/>
        </w:rPr>
      </w:pPr>
      <w:bookmarkStart w:id="42" w:name="_Hlk73562331"/>
      <w:bookmarkStart w:id="43"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2"/>
    </w:p>
    <w:bookmarkEnd w:id="43"/>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 xml:space="preserve">附：省级以上监狱管理局、戒毒管理局（含新疆生产建设兵团）出具的监狱企业证明文件。    </w:t>
      </w:r>
    </w:p>
    <w:p>
      <w:pPr>
        <w:pStyle w:val="2"/>
      </w:pP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color w:val="000000" w:themeColor="text1"/>
          <w:szCs w:val="21"/>
          <w14:textFill>
            <w14:solidFill>
              <w14:schemeClr w14:val="tx1"/>
            </w14:solidFill>
          </w14:textFill>
        </w:rPr>
      </w:pPr>
      <w:r>
        <w:rPr>
          <w:rFonts w:hint="eastAsia"/>
          <w:szCs w:val="21"/>
        </w:rPr>
        <w:t>填表单</w:t>
      </w:r>
      <w:r>
        <w:rPr>
          <w:rFonts w:hint="eastAsia"/>
          <w:color w:val="000000" w:themeColor="text1"/>
          <w:szCs w:val="21"/>
          <w14:textFill>
            <w14:solidFill>
              <w14:schemeClr w14:val="tx1"/>
            </w14:solidFill>
          </w14:textFill>
        </w:rPr>
        <w:t>位：</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填表日期：        年     月      日</w:t>
      </w:r>
    </w:p>
    <w:p>
      <w:pPr>
        <w:spacing w:line="75" w:lineRule="exact"/>
        <w:rPr>
          <w:rFonts w:hint="eastAsia" w:ascii="宋体" w:hAnsi="宋体" w:cs="宋体"/>
          <w:color w:val="000000" w:themeColor="text1"/>
          <w:szCs w:val="21"/>
          <w14:textFill>
            <w14:solidFill>
              <w14:schemeClr w14:val="tx1"/>
            </w14:solidFill>
          </w14:textFill>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202" w:lineRule="auto"/>
              <w:ind w:left="145"/>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序号</w:t>
            </w:r>
          </w:p>
        </w:tc>
        <w:tc>
          <w:tcPr>
            <w:tcW w:w="1272" w:type="pct"/>
            <w:gridSpan w:val="2"/>
            <w:vAlign w:val="center"/>
          </w:tcPr>
          <w:p>
            <w:pPr>
              <w:pStyle w:val="203"/>
              <w:spacing w:line="202" w:lineRule="auto"/>
              <w:ind w:left="916"/>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职务</w:t>
            </w:r>
          </w:p>
        </w:tc>
        <w:tc>
          <w:tcPr>
            <w:tcW w:w="528" w:type="pct"/>
            <w:vAlign w:val="center"/>
          </w:tcPr>
          <w:p>
            <w:pPr>
              <w:pStyle w:val="203"/>
              <w:spacing w:line="203" w:lineRule="auto"/>
              <w:ind w:left="245"/>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姓名</w:t>
            </w:r>
          </w:p>
        </w:tc>
        <w:tc>
          <w:tcPr>
            <w:tcW w:w="1109" w:type="pct"/>
            <w:gridSpan w:val="2"/>
            <w:vAlign w:val="center"/>
          </w:tcPr>
          <w:p>
            <w:pPr>
              <w:pStyle w:val="203"/>
              <w:spacing w:line="203" w:lineRule="auto"/>
              <w:ind w:left="410"/>
              <w:rPr>
                <w:rFonts w:hint="eastAsia" w:ascii="宋体" w:hAnsi="宋体" w:eastAsia="宋体" w:cs="宋体"/>
                <w:color w:val="000000" w:themeColor="text1"/>
                <w:spacing w:val="-3"/>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身份证号码</w:t>
            </w:r>
          </w:p>
        </w:tc>
        <w:tc>
          <w:tcPr>
            <w:tcW w:w="837" w:type="pct"/>
            <w:vAlign w:val="center"/>
          </w:tcPr>
          <w:p>
            <w:pPr>
              <w:pStyle w:val="203"/>
              <w:spacing w:line="191" w:lineRule="auto"/>
              <w:ind w:left="288" w:right="266" w:firstLine="5"/>
              <w:rPr>
                <w:rFonts w:hint="eastAsia"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劳动合同</w:t>
            </w:r>
          </w:p>
          <w:p>
            <w:pPr>
              <w:pStyle w:val="203"/>
              <w:spacing w:line="191" w:lineRule="auto"/>
              <w:ind w:left="288" w:right="266" w:firstLine="5"/>
              <w:rPr>
                <w:rFonts w:hint="eastAsia"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关系单位</w:t>
            </w:r>
          </w:p>
        </w:tc>
        <w:tc>
          <w:tcPr>
            <w:tcW w:w="840" w:type="pct"/>
            <w:vAlign w:val="center"/>
          </w:tcPr>
          <w:p>
            <w:pPr>
              <w:pStyle w:val="203"/>
              <w:spacing w:line="191" w:lineRule="auto"/>
              <w:ind w:left="271" w:right="262" w:firstLine="8"/>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3"/>
              <w:spacing w:line="169" w:lineRule="auto"/>
              <w:ind w:left="3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pStyle w:val="203"/>
              <w:spacing w:line="168" w:lineRule="auto"/>
              <w:ind w:left="32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pStyle w:val="203"/>
              <w:spacing w:line="167" w:lineRule="auto"/>
              <w:ind w:left="3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2" w:type="pct"/>
            <w:gridSpan w:val="2"/>
            <w:vAlign w:val="center"/>
          </w:tcPr>
          <w:p>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1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5" w:lineRule="auto"/>
              <w:ind w:left="32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120"/>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说明：</w:t>
            </w:r>
          </w:p>
          <w:p>
            <w:pPr>
              <w:pStyle w:val="203"/>
              <w:spacing w:line="198" w:lineRule="auto"/>
              <w:ind w:left="1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lang w:eastAsia="zh-CN"/>
                <w14:textFill>
                  <w14:solidFill>
                    <w14:schemeClr w14:val="tx1"/>
                  </w14:solidFill>
                </w14:textFill>
              </w:rPr>
              <w:t>），</w:t>
            </w:r>
            <w:r>
              <w:rPr>
                <w:rFonts w:hint="eastAsia" w:ascii="宋体" w:hAnsi="宋体" w:eastAsia="宋体" w:cs="宋体"/>
                <w:color w:val="000000" w:themeColor="text1"/>
                <w:spacing w:val="-1"/>
                <w:sz w:val="21"/>
                <w:szCs w:val="21"/>
                <w:lang w:eastAsia="zh-CN"/>
                <w14:textFill>
                  <w14:solidFill>
                    <w14:schemeClr w14:val="tx1"/>
                  </w14:solidFill>
                </w14:textFill>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202" w:lineRule="auto"/>
              <w:ind w:left="14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序号</w:t>
            </w:r>
          </w:p>
        </w:tc>
        <w:tc>
          <w:tcPr>
            <w:tcW w:w="1272" w:type="pct"/>
            <w:gridSpan w:val="2"/>
            <w:vAlign w:val="center"/>
          </w:tcPr>
          <w:p>
            <w:pPr>
              <w:pStyle w:val="203"/>
              <w:spacing w:line="202" w:lineRule="auto"/>
              <w:ind w:left="43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关联关系类型</w:t>
            </w:r>
          </w:p>
        </w:tc>
        <w:tc>
          <w:tcPr>
            <w:tcW w:w="970" w:type="pct"/>
            <w:gridSpan w:val="2"/>
            <w:vAlign w:val="center"/>
          </w:tcPr>
          <w:p>
            <w:pPr>
              <w:pStyle w:val="203"/>
              <w:spacing w:line="203" w:lineRule="auto"/>
              <w:ind w:left="16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关联主体名称</w:t>
            </w:r>
          </w:p>
        </w:tc>
        <w:tc>
          <w:tcPr>
            <w:tcW w:w="2346" w:type="pct"/>
            <w:gridSpan w:val="3"/>
            <w:vAlign w:val="center"/>
          </w:tcPr>
          <w:p>
            <w:pPr>
              <w:pStyle w:val="203"/>
              <w:spacing w:line="204" w:lineRule="auto"/>
              <w:ind w:left="186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3"/>
              <w:spacing w:line="169" w:lineRule="auto"/>
              <w:ind w:left="3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2" w:type="pct"/>
            <w:gridSpan w:val="2"/>
            <w:vAlign w:val="center"/>
          </w:tcPr>
          <w:p>
            <w:pPr>
              <w:pStyle w:val="203"/>
              <w:spacing w:line="20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控股股东</w:t>
            </w:r>
          </w:p>
        </w:tc>
        <w:tc>
          <w:tcPr>
            <w:tcW w:w="970" w:type="pct"/>
            <w:gridSpan w:val="2"/>
            <w:vAlign w:val="center"/>
          </w:tcPr>
          <w:p>
            <w:pPr>
              <w:rPr>
                <w:rFonts w:hint="eastAsia" w:ascii="宋体" w:hAnsi="宋体" w:cs="宋体"/>
                <w:color w:val="000000" w:themeColor="text1"/>
                <w:szCs w:val="21"/>
                <w14:textFill>
                  <w14:solidFill>
                    <w14:schemeClr w14:val="tx1"/>
                  </w14:solidFill>
                </w14:textFill>
              </w:rPr>
            </w:pPr>
          </w:p>
        </w:tc>
        <w:tc>
          <w:tcPr>
            <w:tcW w:w="2346" w:type="pct"/>
            <w:gridSpan w:val="3"/>
            <w:vAlign w:val="center"/>
          </w:tcPr>
          <w:p>
            <w:pPr>
              <w:pStyle w:val="203"/>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lang w:eastAsia="zh-CN"/>
                <w14:textFill>
                  <w14:solidFill>
                    <w14:schemeClr w14:val="tx1"/>
                  </w14:solidFill>
                </w14:textFill>
              </w:rPr>
              <w:t>其出资</w:t>
            </w:r>
            <w:r>
              <w:rPr>
                <w:rFonts w:hint="eastAsia" w:ascii="宋体" w:hAnsi="宋体" w:eastAsia="宋体" w:cs="宋体"/>
                <w:color w:val="000000" w:themeColor="text1"/>
                <w:spacing w:val="-9"/>
                <w:sz w:val="21"/>
                <w:szCs w:val="21"/>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lang w:eastAsia="zh-CN"/>
                <w14:textFill>
                  <w14:solidFill>
                    <w14:schemeClr w14:val="tx1"/>
                  </w14:solidFill>
                </w14:textFill>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ind w:left="723" w:hanging="723" w:hangingChars="300"/>
        <w:rPr>
          <w:b/>
          <w:sz w:val="24"/>
        </w:rPr>
      </w:pPr>
    </w:p>
    <w:p>
      <w:pPr>
        <w:pStyle w:val="5"/>
        <w:jc w:val="center"/>
        <w:rPr>
          <w:rFonts w:hint="eastAsia"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rFonts w:hint="eastAsia" w:ascii="宋体" w:hAnsi="宋体"/>
          <w:b/>
          <w:sz w:val="24"/>
        </w:rPr>
      </w:pPr>
      <w:r>
        <w:rPr>
          <w:rFonts w:hint="eastAsia"/>
          <w:b/>
          <w:sz w:val="24"/>
        </w:rPr>
        <w:t>（一）分项报价表</w:t>
      </w:r>
    </w:p>
    <w:tbl>
      <w:tblPr>
        <w:tblStyle w:val="42"/>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638"/>
        <w:gridCol w:w="560"/>
        <w:gridCol w:w="579"/>
        <w:gridCol w:w="874"/>
        <w:gridCol w:w="874"/>
        <w:gridCol w:w="874"/>
        <w:gridCol w:w="874"/>
        <w:gridCol w:w="874"/>
        <w:gridCol w:w="87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19"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序号</w:t>
            </w:r>
          </w:p>
        </w:tc>
        <w:tc>
          <w:tcPr>
            <w:tcW w:w="2638"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产品名称（标的名称）</w:t>
            </w:r>
          </w:p>
        </w:tc>
        <w:tc>
          <w:tcPr>
            <w:tcW w:w="560"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数量</w:t>
            </w:r>
          </w:p>
        </w:tc>
        <w:tc>
          <w:tcPr>
            <w:tcW w:w="579"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单位</w:t>
            </w:r>
          </w:p>
        </w:tc>
        <w:tc>
          <w:tcPr>
            <w:tcW w:w="874"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品牌</w:t>
            </w:r>
          </w:p>
        </w:tc>
        <w:tc>
          <w:tcPr>
            <w:tcW w:w="874"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规格/型号</w:t>
            </w:r>
          </w:p>
        </w:tc>
        <w:tc>
          <w:tcPr>
            <w:tcW w:w="874"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原产地</w:t>
            </w:r>
          </w:p>
        </w:tc>
        <w:tc>
          <w:tcPr>
            <w:tcW w:w="874"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制造商名称</w:t>
            </w:r>
          </w:p>
        </w:tc>
        <w:tc>
          <w:tcPr>
            <w:tcW w:w="874"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单价(元)</w:t>
            </w:r>
          </w:p>
        </w:tc>
        <w:tc>
          <w:tcPr>
            <w:tcW w:w="874"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合价(元)</w:t>
            </w:r>
          </w:p>
        </w:tc>
        <w:tc>
          <w:tcPr>
            <w:tcW w:w="874" w:type="dxa"/>
            <w:vAlign w:val="center"/>
          </w:tcPr>
          <w:p>
            <w:pPr>
              <w:widowControl/>
              <w:spacing w:line="360" w:lineRule="exact"/>
              <w:jc w:val="center"/>
              <w:textAlignment w:val="center"/>
              <w:rPr>
                <w:rFonts w:hint="eastAsia" w:ascii="仿宋_GB2312" w:hAnsi="仿宋_GB2312" w:eastAsia="宋体" w:cs="仿宋_GB2312"/>
                <w:b/>
                <w:bCs/>
                <w:color w:val="000000"/>
              </w:rPr>
            </w:pPr>
            <w:r>
              <w:rPr>
                <w:rFonts w:hint="eastAsia" w:ascii="仿宋_GB2312" w:hAnsi="仿宋_GB2312" w:eastAsia="宋体" w:cs="仿宋_GB2312"/>
                <w:b/>
                <w:bCs/>
                <w:color w:val="00000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医护主机</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restart"/>
            <w:noWrap/>
            <w:vAlign w:val="center"/>
          </w:tcPr>
          <w:p>
            <w:pPr>
              <w:widowControl/>
              <w:spacing w:line="360" w:lineRule="exact"/>
              <w:jc w:val="center"/>
              <w:textAlignment w:val="center"/>
              <w:rPr>
                <w:rFonts w:hint="eastAsia" w:ascii="仿宋_GB2312" w:hAnsi="仿宋_GB2312" w:cs="仿宋_GB2312"/>
                <w:color w:val="000000"/>
                <w:kern w:val="0"/>
                <w:lang w:bidi="ar"/>
              </w:rPr>
            </w:pPr>
            <w:r>
              <w:rPr>
                <w:rFonts w:hint="eastAsia"/>
                <w:bCs/>
                <w:szCs w:val="21"/>
              </w:rPr>
              <w:t>680,000.00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医护副机</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3</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双面走廊显示屏</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4</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电子门牌</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5</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电子床头屏（≥13寸）</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122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6</w:t>
            </w:r>
          </w:p>
        </w:tc>
        <w:tc>
          <w:tcPr>
            <w:tcW w:w="2638" w:type="dxa"/>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卫浴紧急呼叫器</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58</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7</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非可视数字病床分机（IP）</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30</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8</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床头呼叫器</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13</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9</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卫生间防水紧急按钮</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11</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10</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护士站接收主机</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11</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信号中继器</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12</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无线接收主机</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13</w:t>
            </w:r>
          </w:p>
        </w:tc>
        <w:tc>
          <w:tcPr>
            <w:tcW w:w="2638" w:type="dxa"/>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病房电源</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54</w:t>
            </w:r>
          </w:p>
        </w:tc>
        <w:tc>
          <w:tcPr>
            <w:tcW w:w="57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14</w:t>
            </w:r>
          </w:p>
        </w:tc>
        <w:tc>
          <w:tcPr>
            <w:tcW w:w="2638" w:type="dxa"/>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智能交互一体机（≥43寸）</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15</w:t>
            </w:r>
          </w:p>
        </w:tc>
        <w:tc>
          <w:tcPr>
            <w:tcW w:w="2638" w:type="dxa"/>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智能交互一体机（≥75寸）</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16</w:t>
            </w:r>
          </w:p>
        </w:tc>
        <w:tc>
          <w:tcPr>
            <w:tcW w:w="2638" w:type="dxa"/>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落地支架</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17</w:t>
            </w:r>
          </w:p>
        </w:tc>
        <w:tc>
          <w:tcPr>
            <w:tcW w:w="2638" w:type="dxa"/>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生命体征监测仪</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18</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交换机(24口)</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19</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交换机（8口）</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20</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交换机（4口）</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台</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21</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双绞线（网线）</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253</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22</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配线（电源线）</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180</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23</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配管(线槽)</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57</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24</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配管（线管）</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326</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25</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接线盒(线盒)</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18</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个</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26</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配管（软管）</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32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米</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27</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呼叫服务及管理系统(服务器端)</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28</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病房呼叫管理系统(医护端)</w:t>
            </w:r>
          </w:p>
        </w:tc>
        <w:tc>
          <w:tcPr>
            <w:tcW w:w="560"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4</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29</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护士站交互系统软件（病区端）</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30</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护士站智慧管理系统</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19" w:type="dxa"/>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31</w:t>
            </w:r>
          </w:p>
        </w:tc>
        <w:tc>
          <w:tcPr>
            <w:tcW w:w="2638" w:type="dxa"/>
            <w:noWrap/>
            <w:vAlign w:val="center"/>
          </w:tcPr>
          <w:p>
            <w:pPr>
              <w:widowControl/>
              <w:spacing w:line="360" w:lineRule="exact"/>
              <w:jc w:val="left"/>
              <w:textAlignment w:val="center"/>
              <w:rPr>
                <w:rFonts w:hint="eastAsia" w:ascii="仿宋_GB2312" w:hAnsi="仿宋_GB2312" w:cs="仿宋_GB2312"/>
                <w:color w:val="000000"/>
              </w:rPr>
            </w:pPr>
            <w:r>
              <w:rPr>
                <w:rFonts w:hint="eastAsia" w:ascii="仿宋_GB2312" w:hAnsi="仿宋_GB2312" w:cs="仿宋_GB2312"/>
              </w:rPr>
              <w:t>护理体征检测上传系统</w:t>
            </w:r>
          </w:p>
        </w:tc>
        <w:tc>
          <w:tcPr>
            <w:tcW w:w="560"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rPr>
              <w:t>2</w:t>
            </w:r>
          </w:p>
        </w:tc>
        <w:tc>
          <w:tcPr>
            <w:tcW w:w="579" w:type="dxa"/>
            <w:noWrap/>
            <w:vAlign w:val="center"/>
          </w:tcPr>
          <w:p>
            <w:pPr>
              <w:widowControl/>
              <w:spacing w:line="360" w:lineRule="exact"/>
              <w:jc w:val="center"/>
              <w:textAlignment w:val="center"/>
              <w:rPr>
                <w:rFonts w:hint="eastAsia" w:ascii="仿宋_GB2312" w:hAnsi="仿宋_GB2312" w:cs="仿宋_GB2312"/>
                <w:color w:val="000000"/>
              </w:rPr>
            </w:pPr>
            <w:r>
              <w:rPr>
                <w:rFonts w:hint="eastAsia" w:ascii="仿宋_GB2312" w:hAnsi="仿宋_GB2312" w:cs="仿宋_GB2312"/>
                <w:color w:val="000000"/>
                <w:kern w:val="0"/>
                <w:lang w:bidi="ar"/>
              </w:rPr>
              <w:t>套</w:t>
            </w: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noWrap/>
            <w:vAlign w:val="center"/>
          </w:tcPr>
          <w:p>
            <w:pPr>
              <w:widowControl/>
              <w:spacing w:line="360" w:lineRule="exact"/>
              <w:jc w:val="center"/>
              <w:textAlignment w:val="center"/>
              <w:rPr>
                <w:rFonts w:hint="eastAsia" w:ascii="仿宋_GB2312" w:hAnsi="仿宋_GB2312" w:cs="仿宋_GB2312"/>
                <w:color w:val="000000"/>
                <w:kern w:val="0"/>
                <w:lang w:bidi="ar"/>
              </w:rPr>
            </w:pPr>
          </w:p>
        </w:tc>
        <w:tc>
          <w:tcPr>
            <w:tcW w:w="874" w:type="dxa"/>
            <w:vMerge w:val="continue"/>
            <w:noWrap/>
            <w:vAlign w:val="center"/>
          </w:tcPr>
          <w:p>
            <w:pPr>
              <w:widowControl/>
              <w:spacing w:line="360" w:lineRule="exact"/>
              <w:jc w:val="center"/>
              <w:textAlignment w:val="center"/>
              <w:rPr>
                <w:rFonts w:hint="eastAsia" w:ascii="仿宋_GB2312" w:hAnsi="仿宋_GB2312" w:cs="仿宋_GB2312"/>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414" w:type="dxa"/>
            <w:gridSpan w:val="11"/>
            <w:vAlign w:val="center"/>
          </w:tcPr>
          <w:p>
            <w:pPr>
              <w:widowControl/>
              <w:spacing w:line="360" w:lineRule="exact"/>
              <w:jc w:val="center"/>
              <w:textAlignment w:val="center"/>
              <w:rPr>
                <w:rFonts w:hint="eastAsia" w:ascii="仿宋_GB2312" w:hAnsi="仿宋_GB2312" w:cs="仿宋_GB2312"/>
                <w:color w:val="000000"/>
                <w:kern w:val="0"/>
                <w:lang w:bidi="ar"/>
              </w:rPr>
            </w:pPr>
            <w:r>
              <w:rPr>
                <w:rFonts w:hint="eastAsia"/>
                <w:bCs/>
                <w:szCs w:val="21"/>
              </w:rPr>
              <w:t>合计（即投标总价；币种：人民币；单位：元） 小写：            大写：</w:t>
            </w:r>
          </w:p>
        </w:tc>
      </w:tr>
    </w:tbl>
    <w:p>
      <w:pPr>
        <w:ind w:firstLine="482" w:firstLineChars="200"/>
        <w:rPr>
          <w:rFonts w:hint="eastAsia" w:ascii="宋体" w:hAnsi="宋体"/>
          <w:b/>
          <w:sz w:val="24"/>
        </w:rPr>
      </w:pPr>
    </w:p>
    <w:p>
      <w:pPr>
        <w:ind w:firstLine="482" w:firstLineChars="200"/>
        <w:rPr>
          <w:rFonts w:hint="eastAsia" w:ascii="宋体" w:hAnsi="宋体"/>
          <w:b/>
          <w:sz w:val="24"/>
        </w:rPr>
      </w:pPr>
      <w:r>
        <w:rPr>
          <w:rFonts w:hint="eastAsia" w:ascii="宋体" w:hAnsi="宋体"/>
          <w:b/>
          <w:sz w:val="24"/>
        </w:rPr>
        <w:t>注：1.本表可按同样格式扩展。</w:t>
      </w:r>
    </w:p>
    <w:p>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44"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44"/>
    </w:p>
    <w:p>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ind w:firstLine="482" w:firstLineChars="200"/>
        <w:rPr>
          <w:rFonts w:hint="eastAsia" w:ascii="宋体" w:hAnsi="宋体"/>
          <w:b/>
          <w:color w:val="FF0000"/>
          <w:sz w:val="24"/>
        </w:rPr>
      </w:pPr>
    </w:p>
    <w:p>
      <w:pPr>
        <w:ind w:firstLine="482" w:firstLineChars="200"/>
        <w:rPr>
          <w:rFonts w:hint="eastAsia"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hint="eastAsia" w:ascii="宋体" w:hAnsi="宋体"/>
          <w:b/>
          <w:color w:val="FF0000"/>
          <w:sz w:val="24"/>
        </w:rPr>
      </w:pPr>
    </w:p>
    <w:p>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0" w:firstLineChars="200"/>
        <w:rPr>
          <w:rFonts w:hint="eastAsia" w:ascii="宋体" w:hAnsi="宋体"/>
          <w:sz w:val="24"/>
        </w:rPr>
      </w:pPr>
      <w:r>
        <w:rPr>
          <w:rFonts w:hint="eastAsia" w:ascii="宋体" w:hAnsi="宋体"/>
          <w:sz w:val="24"/>
        </w:rPr>
        <w:t>备注：单一产品采购项目，核心产品即为该单一产品。</w:t>
      </w: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int="eastAsia" w:hAnsi="宋体"/>
          <w:b/>
          <w:bCs/>
          <w:sz w:val="24"/>
        </w:rPr>
      </w:pPr>
    </w:p>
    <w:p>
      <w:pPr>
        <w:tabs>
          <w:tab w:val="left" w:pos="720"/>
        </w:tabs>
        <w:jc w:val="center"/>
        <w:rPr>
          <w:b/>
          <w:sz w:val="24"/>
        </w:rPr>
      </w:pPr>
      <w:r>
        <w:rPr>
          <w:rFonts w:hint="eastAsia"/>
          <w:b/>
          <w:sz w:val="24"/>
        </w:rPr>
        <w:t>（四）</w:t>
      </w:r>
      <w:bookmarkStart w:id="45" w:name="_Hlk72073235"/>
      <w:r>
        <w:rPr>
          <w:rFonts w:hint="eastAsia"/>
          <w:b/>
          <w:sz w:val="24"/>
        </w:rPr>
        <w:t>投标人认为需要涉及的其他内容报价清单</w:t>
      </w:r>
      <w:bookmarkEnd w:id="45"/>
    </w:p>
    <w:p>
      <w:pPr>
        <w:outlineLvl w:val="9"/>
        <w:rPr>
          <w:b/>
          <w:color w:val="FF0000"/>
          <w:sz w:val="24"/>
        </w:rPr>
      </w:pPr>
    </w:p>
    <w:p>
      <w:pPr>
        <w:pStyle w:val="5"/>
        <w:jc w:val="center"/>
        <w:rPr>
          <w:rFonts w:hint="eastAsia" w:ascii="黑体" w:eastAsia="黑体"/>
          <w:b w:val="0"/>
          <w:sz w:val="24"/>
        </w:rPr>
      </w:pPr>
      <w:r>
        <w:rPr>
          <w:rFonts w:hint="eastAsia" w:ascii="黑体" w:eastAsia="黑体"/>
          <w:b w:val="0"/>
          <w:sz w:val="24"/>
        </w:rPr>
        <w:t>五、</w:t>
      </w:r>
      <w:bookmarkStart w:id="46" w:name="_Hlk72092499"/>
      <w:r>
        <w:rPr>
          <w:rFonts w:hint="eastAsia" w:ascii="黑体" w:eastAsia="黑体"/>
          <w:b w:val="0"/>
          <w:sz w:val="24"/>
        </w:rPr>
        <w:t>法定代表人（负责人）证明书</w:t>
      </w:r>
      <w:bookmarkEnd w:id="46"/>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8"/>
        </w:numPr>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8"/>
        </w:numPr>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8"/>
        </w:numPr>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
              <w:spacing w:line="240" w:lineRule="auto"/>
              <w:jc w:val="center"/>
            </w:pPr>
          </w:p>
        </w:tc>
      </w:tr>
    </w:tbl>
    <w:p>
      <w:pPr>
        <w:ind w:firstLine="480" w:firstLineChars="200"/>
        <w:rPr>
          <w:sz w:val="24"/>
        </w:rPr>
      </w:pPr>
    </w:p>
    <w:p>
      <w:pPr>
        <w:rPr>
          <w:b/>
          <w:bCs/>
          <w:sz w:val="24"/>
        </w:rPr>
      </w:pPr>
    </w:p>
    <w:p>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
              <w:spacing w:line="240" w:lineRule="auto"/>
              <w:jc w:val="center"/>
            </w:pPr>
          </w:p>
        </w:tc>
      </w:tr>
    </w:tbl>
    <w:p>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7" w:name="_Hlk72092634"/>
      <w:r>
        <w:rPr>
          <w:rFonts w:hint="eastAsia" w:ascii="黑体" w:eastAsia="黑体"/>
          <w:b w:val="0"/>
          <w:kern w:val="0"/>
          <w:sz w:val="24"/>
          <w:szCs w:val="24"/>
        </w:rPr>
        <w:t>实质性条款响应情况表</w:t>
      </w:r>
      <w:bookmarkEnd w:id="47"/>
    </w:p>
    <w:tbl>
      <w:tblPr>
        <w:tblStyle w:val="42"/>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3857"/>
        <w:gridCol w:w="2174"/>
        <w:gridCol w:w="130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73" w:type="dxa"/>
            <w:vAlign w:val="center"/>
          </w:tcPr>
          <w:p>
            <w:pPr>
              <w:adjustRightInd w:val="0"/>
              <w:snapToGrid w:val="0"/>
              <w:spacing w:line="360" w:lineRule="auto"/>
              <w:jc w:val="center"/>
              <w:rPr>
                <w:rFonts w:hint="eastAsia" w:ascii="宋体" w:hAnsi="宋体"/>
                <w:kern w:val="0"/>
                <w:szCs w:val="21"/>
              </w:rPr>
            </w:pPr>
            <w:bookmarkStart w:id="48" w:name="_Hlk72092651"/>
            <w:r>
              <w:rPr>
                <w:rFonts w:hint="eastAsia" w:ascii="宋体" w:hAnsi="宋体"/>
                <w:kern w:val="0"/>
                <w:szCs w:val="21"/>
              </w:rPr>
              <w:t>序号</w:t>
            </w:r>
          </w:p>
        </w:tc>
        <w:tc>
          <w:tcPr>
            <w:tcW w:w="3857"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2174"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305"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908"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73"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857" w:type="dxa"/>
          </w:tcPr>
          <w:p>
            <w:pPr>
              <w:adjustRightInd w:val="0"/>
              <w:snapToGrid w:val="0"/>
              <w:spacing w:line="360" w:lineRule="auto"/>
              <w:jc w:val="left"/>
              <w:rPr>
                <w:rFonts w:hint="eastAsia" w:hAnsi="宋体"/>
                <w:kern w:val="0"/>
                <w:szCs w:val="21"/>
              </w:rPr>
            </w:pPr>
            <w:r>
              <w:rPr>
                <w:rFonts w:hint="eastAsia"/>
              </w:rPr>
              <w:t>满足本项目标★的条款要求</w:t>
            </w:r>
          </w:p>
        </w:tc>
        <w:tc>
          <w:tcPr>
            <w:tcW w:w="2174" w:type="dxa"/>
          </w:tcPr>
          <w:p>
            <w:pPr>
              <w:adjustRightInd w:val="0"/>
              <w:snapToGrid w:val="0"/>
              <w:spacing w:line="360" w:lineRule="auto"/>
              <w:rPr>
                <w:rFonts w:hint="eastAsia" w:ascii="宋体" w:hAnsi="宋体"/>
                <w:kern w:val="0"/>
                <w:szCs w:val="21"/>
              </w:rPr>
            </w:pPr>
          </w:p>
        </w:tc>
        <w:tc>
          <w:tcPr>
            <w:tcW w:w="1305" w:type="dxa"/>
          </w:tcPr>
          <w:p>
            <w:pPr>
              <w:adjustRightInd w:val="0"/>
              <w:snapToGrid w:val="0"/>
              <w:spacing w:line="360" w:lineRule="auto"/>
              <w:rPr>
                <w:rFonts w:hint="eastAsia" w:ascii="宋体" w:hAnsi="宋体"/>
                <w:kern w:val="0"/>
                <w:szCs w:val="21"/>
              </w:rPr>
            </w:pPr>
          </w:p>
        </w:tc>
        <w:tc>
          <w:tcPr>
            <w:tcW w:w="908" w:type="dxa"/>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773" w:type="dxa"/>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3857" w:type="dxa"/>
          </w:tcPr>
          <w:p>
            <w:pPr>
              <w:adjustRightInd w:val="0"/>
              <w:snapToGrid w:val="0"/>
              <w:rPr>
                <w:rFonts w:hint="eastAsia" w:ascii="宋体" w:hAnsi="宋体" w:eastAsia="宋体" w:cs="Times New Roman"/>
                <w:b/>
                <w:bCs/>
                <w:color w:val="FF0000"/>
                <w:kern w:val="0"/>
                <w:szCs w:val="21"/>
              </w:rPr>
            </w:pPr>
            <w:r>
              <w:rPr>
                <w:rFonts w:hint="eastAsia" w:ascii="宋体" w:hAnsi="宋体" w:eastAsia="宋体" w:cs="Times New Roman"/>
                <w:b/>
                <w:bCs/>
                <w:color w:val="FF0000"/>
                <w:kern w:val="0"/>
                <w:szCs w:val="21"/>
              </w:rPr>
              <w:t>投标供应商投标时对照所填写的《供应商基本情况表》提供法定代表人、主要经营负责人、项目投标授权代表人、项目负责人、主要技术人员近个月(含开标当月)中的任意一个月的社会保险证明。其中项目负责人和主要技术人员</w:t>
            </w:r>
          </w:p>
          <w:p>
            <w:pPr>
              <w:adjustRightInd w:val="0"/>
              <w:snapToGrid w:val="0"/>
              <w:rPr>
                <w:rFonts w:hint="eastAsia"/>
              </w:rPr>
            </w:pPr>
            <w:r>
              <w:rPr>
                <w:rFonts w:hint="eastAsia" w:ascii="宋体" w:hAnsi="宋体" w:eastAsia="宋体" w:cs="Times New Roman"/>
                <w:b/>
                <w:bCs/>
                <w:color w:val="FF0000"/>
                <w:kern w:val="0"/>
                <w:szCs w:val="21"/>
              </w:rPr>
              <w:t>的社会保险须由投标人缴纳。投标人为新成立企业且成立时间不足一个月可提供加盖投标人公章的情况说明或者证明材料亦视为符合。若为退休人员，提供退休证明。如依法不需要缴纳社会保险的，应提供相应文件证明。若因为社保部门原因无法提供的，需提供劳动合同及社保部门官方通知证明(或官网公告截图)如本项目未安排项目负责人、主要技术人员的，无需提供项目负责人、主要技术人员的社保。</w:t>
            </w:r>
          </w:p>
        </w:tc>
        <w:tc>
          <w:tcPr>
            <w:tcW w:w="2174" w:type="dxa"/>
          </w:tcPr>
          <w:p>
            <w:pPr>
              <w:adjustRightInd w:val="0"/>
              <w:snapToGrid w:val="0"/>
              <w:spacing w:line="360" w:lineRule="auto"/>
              <w:rPr>
                <w:rFonts w:hint="eastAsia" w:ascii="宋体" w:hAnsi="宋体"/>
                <w:kern w:val="0"/>
                <w:szCs w:val="21"/>
              </w:rPr>
            </w:pPr>
          </w:p>
        </w:tc>
        <w:tc>
          <w:tcPr>
            <w:tcW w:w="1305" w:type="dxa"/>
          </w:tcPr>
          <w:p>
            <w:pPr>
              <w:adjustRightInd w:val="0"/>
              <w:snapToGrid w:val="0"/>
              <w:spacing w:line="360" w:lineRule="auto"/>
              <w:rPr>
                <w:rFonts w:hint="eastAsia" w:ascii="宋体" w:hAnsi="宋体"/>
                <w:kern w:val="0"/>
                <w:szCs w:val="21"/>
              </w:rPr>
            </w:pPr>
          </w:p>
        </w:tc>
        <w:tc>
          <w:tcPr>
            <w:tcW w:w="908"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5"/>
        <w:jc w:val="center"/>
        <w:rPr>
          <w:sz w:val="24"/>
        </w:rPr>
      </w:pPr>
      <w:r>
        <w:rPr>
          <w:rFonts w:hint="eastAsia" w:ascii="黑体" w:eastAsia="黑体"/>
          <w:b w:val="0"/>
          <w:sz w:val="24"/>
          <w:szCs w:val="24"/>
        </w:rPr>
        <w:t>八、技术要求偏离表</w:t>
      </w:r>
    </w:p>
    <w:tbl>
      <w:tblPr>
        <w:tblStyle w:val="43"/>
        <w:tblpPr w:leftFromText="180" w:rightFromText="180" w:vertAnchor="text" w:horzAnchor="page" w:tblpXSpec="center" w:tblpY="303"/>
        <w:tblOverlap w:val="never"/>
        <w:tblW w:w="10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250"/>
        <w:gridCol w:w="3687"/>
        <w:gridCol w:w="2483"/>
        <w:gridCol w:w="1425"/>
        <w:gridCol w:w="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序号</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货物名称</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b/>
                <w:bCs/>
                <w:sz w:val="24"/>
              </w:rPr>
              <w:t>招标技术要求</w:t>
            </w:r>
          </w:p>
        </w:tc>
        <w:tc>
          <w:tcPr>
            <w:tcW w:w="2483" w:type="dxa"/>
            <w:vAlign w:val="center"/>
          </w:tcPr>
          <w:p>
            <w:pPr>
              <w:jc w:val="center"/>
              <w:rPr>
                <w:rFonts w:hint="eastAsia" w:asciiTheme="minorEastAsia" w:hAnsiTheme="minorEastAsia" w:eastAsiaTheme="minorEastAsia" w:cstheme="minorEastAsia"/>
                <w:b/>
                <w:bCs/>
                <w:kern w:val="0"/>
                <w:sz w:val="21"/>
                <w:szCs w:val="21"/>
                <w:highlight w:val="none"/>
              </w:rPr>
            </w:pPr>
            <w:r>
              <w:rPr>
                <w:rFonts w:hint="eastAsia"/>
                <w:b/>
                <w:bCs/>
                <w:sz w:val="24"/>
              </w:rPr>
              <w:t>投标技术响应</w:t>
            </w:r>
          </w:p>
        </w:tc>
        <w:tc>
          <w:tcPr>
            <w:tcW w:w="1425" w:type="dxa"/>
            <w:vAlign w:val="center"/>
          </w:tcPr>
          <w:p>
            <w:pPr>
              <w:jc w:val="center"/>
              <w:rPr>
                <w:rFonts w:hint="eastAsia" w:asciiTheme="minorEastAsia" w:hAnsiTheme="minorEastAsia" w:eastAsiaTheme="minorEastAsia" w:cstheme="minorEastAsia"/>
                <w:b/>
                <w:bCs/>
                <w:kern w:val="0"/>
                <w:sz w:val="21"/>
                <w:szCs w:val="21"/>
                <w:highlight w:val="none"/>
              </w:rPr>
            </w:pPr>
            <w:r>
              <w:rPr>
                <w:rFonts w:hint="eastAsia"/>
                <w:b/>
                <w:bCs/>
                <w:sz w:val="24"/>
              </w:rPr>
              <w:t>偏离情况</w:t>
            </w:r>
          </w:p>
        </w:tc>
        <w:tc>
          <w:tcPr>
            <w:tcW w:w="952" w:type="dxa"/>
            <w:vAlign w:val="center"/>
          </w:tcPr>
          <w:p>
            <w:pPr>
              <w:jc w:val="center"/>
              <w:rPr>
                <w:rFonts w:hint="eastAsia" w:asciiTheme="minorEastAsia" w:hAnsiTheme="minorEastAsia" w:eastAsiaTheme="minorEastAsia" w:cstheme="minorEastAsia"/>
                <w:b/>
                <w:bCs/>
                <w:kern w:val="0"/>
                <w:sz w:val="21"/>
                <w:szCs w:val="21"/>
                <w:highlight w:val="none"/>
              </w:rPr>
            </w:pPr>
            <w:r>
              <w:rPr>
                <w:rFonts w:hint="eastAsia"/>
                <w:b/>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医护主机</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1.1屏幕尺寸：≥13寸液晶屏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1.2分辨率：≥1920*1080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1.3操作方式：触摸屏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1.4操作系统：Android7.0或以上</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1.5CPU：≥四核，主频≥1.5GHz</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1.6内存：≥2GB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1.7FLASH：≥8GB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1.8网卡：10Mb/100Mb自适应</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1.9传输方式：TCP/IP网络</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1.10角度调整:台式安装，</w:t>
            </w:r>
            <w:r>
              <w:rPr>
                <w:rFonts w:hint="eastAsia" w:asciiTheme="minorEastAsia" w:hAnsiTheme="minorEastAsia" w:eastAsiaTheme="minorEastAsia" w:cstheme="minorEastAsia"/>
                <w:kern w:val="0"/>
                <w:sz w:val="21"/>
                <w:szCs w:val="21"/>
                <w:highlight w:val="none"/>
                <w:lang w:val="en-US" w:eastAsia="zh-CN"/>
              </w:rPr>
              <w:t>工作人员</w:t>
            </w:r>
            <w:r>
              <w:rPr>
                <w:rFonts w:hint="eastAsia" w:asciiTheme="minorEastAsia" w:hAnsiTheme="minorEastAsia" w:eastAsiaTheme="minorEastAsia" w:cstheme="minorEastAsia"/>
                <w:kern w:val="0"/>
                <w:sz w:val="21"/>
                <w:szCs w:val="21"/>
                <w:highlight w:val="none"/>
              </w:rPr>
              <w:t>可根据</w:t>
            </w:r>
            <w:r>
              <w:rPr>
                <w:rFonts w:hint="eastAsia" w:asciiTheme="minorEastAsia" w:hAnsiTheme="minorEastAsia" w:eastAsiaTheme="minorEastAsia" w:cstheme="minorEastAsia"/>
                <w:kern w:val="0"/>
                <w:sz w:val="21"/>
                <w:szCs w:val="21"/>
                <w:highlight w:val="none"/>
                <w:lang w:val="en-US" w:eastAsia="zh-CN"/>
              </w:rPr>
              <w:t>自身情况进行</w:t>
            </w:r>
            <w:r>
              <w:rPr>
                <w:rFonts w:hint="eastAsia" w:asciiTheme="minorEastAsia" w:hAnsiTheme="minorEastAsia" w:eastAsiaTheme="minorEastAsia" w:cstheme="minorEastAsia"/>
                <w:kern w:val="0"/>
                <w:sz w:val="21"/>
                <w:szCs w:val="21"/>
                <w:highlight w:val="none"/>
              </w:rPr>
              <w:t>调整角度</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1.11 WIFI及蓝牙模块:内置WIFI及蓝牙模块，且面板上有指示灯直观显示</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1.12呼叫按键 :具有一键呼叫与呼叫接听功能</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1.13摄像头:内置高清摄像头，≥200万像素</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1.14供电方式:DC供电</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1.15设备功耗:≤10W</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1.16材质:钢化玻璃面板</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1.17工作时间 :可7×24小时不间断工作</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1.19支持获取HIS数据信息功能，可自动更新并显示患者姓名、年龄、床号、护理级别、责任医生、责任护士等信息；</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1.20支持录音功能，医护主机可对通话过程录音，并可在本机查询播放录制的文件，通话记录及录音文件可选择上传服务器进行统一管理；</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1.21医护主机支持一键回拨或拨号方式，呼叫患者床头分机或医生值班室分机，直接提醒或者找患者及医生；</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1.22医护主机支持对办公区、病区进行分组语音、喊话、文件广播；</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1.23支持服务器离线工作模式功能，医护主机在无服务器状态下可正常接收呼叫、可视对讲、文件广播；</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1.24支持呼叫托管设置功能，被托管病区呼叫报警信息可自动转至托管病区的护士站主机上。</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1.25医护主机支持记录查询页面，可查询最近7天内的呼叫记录，可显示床号、通话时间长、处理状态、呼叫发生时间等；</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1.26医护主机可以自行调节振铃或报号音量、时间显示等。</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color w:val="FF0000"/>
                <w:kern w:val="0"/>
                <w:sz w:val="21"/>
                <w:szCs w:val="21"/>
                <w:highlight w:val="none"/>
              </w:rPr>
              <w:t>▲1.27投标人安装在采购人光明院区的医护主机需能够呼叫到采购人福田院区住院部任何一个病区的医护主机或医护副机。</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投标人提供承诺函，承诺中标后产品于安装后3个工作日内完成此功能（格式自拟）</w:t>
            </w:r>
            <w:r>
              <w:rPr>
                <w:rFonts w:hint="eastAsia" w:asciiTheme="minorEastAsia" w:hAnsiTheme="minorEastAsia" w:eastAsiaTheme="minorEastAsia" w:cstheme="minorEastAsia"/>
                <w:b/>
                <w:bCs/>
                <w:color w:val="FF0000"/>
                <w:kern w:val="0"/>
                <w:sz w:val="21"/>
                <w:szCs w:val="21"/>
                <w:highlight w:val="none"/>
                <w:lang w:eastAsia="zh-CN"/>
              </w:rPr>
              <w:t>）</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医护副机</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2.1尺寸：≥10寸液晶屏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2.2分辨率：≥1024*600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2.3触摸：支持触摸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2.4传输方式：TCP/IP网络</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2.5输入电源： DC供电</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2.6设备功耗：≤4W</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2.7工作温度：-10℃~55℃</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2.8安装方式：壁挂式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2.9具有广播、对讲等功能，可轻松实现全双工通话；</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2.10呼叫对讲：具备与护士站主机呼叫对讲的功能，可以拨号或一键呼叫任何一个病床、护士站以及任一个其他治疗室、值班室；</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2.11具备和其他设备分机的呼叫对讲、未处理提醒与清除功能；</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2.12对全病区的分机广播和办公区的广播；</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2.13请求增援呼叫只在定点护理中状态下才能使用；</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2.14有值班和静音模式选择，选择值班模式表示医护人员在工作状态，设备被叫时自动接听；当设置为静音模式，所有呼入都会静音，不影响医护人员工作；</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2.15用户可在系统设置调节报号或振铃音量。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双面走廊显示屏</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3.1屏幕尺寸：≥28寸液晶屏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3.2分辨率：≥1920×540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3.3操作系统：Android7.0或以上</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3.4 CPU: ≥四核，主频≥1.2Ghz</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3.5内存:DDR3L  ≥1GB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3.6 FLASH：≥8GB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3.7输入接口：RJ45，100M</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3.8传输方式：TCP/IP网络</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3.9通信接口：RJ45*1，USB*1</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3.10输入电源：220V</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3.11材质：金属边框</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3.12外观：防尘防爆处理</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3.13病区走廊上方居中吊装，双面显示；</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3.14可根据不同科室显示不同风格的界面布局，显示科室信息、标语信息和时间日期等；</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3.15显示分机呼叫、换药提醒、紧急增援、进入护理、洗手间报警状态信息；</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EE0000"/>
                <w:kern w:val="0"/>
                <w:sz w:val="21"/>
                <w:szCs w:val="21"/>
                <w:highlight w:val="none"/>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3.16可同时显示两个最近的呼叫信息或报警信息，显示内容与主机设定的语音播报方式有关；</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3.17具有呼叫提示音（语音或音乐），音量可软件设置；</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3.18在病区管理系统软件可编辑科室要求显示的界面风格；</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3.19空闲状态时，可按医院要求显示滚动礼貌温馨提示语和时间信息，时间可同步医院时钟系统；</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3.20可扩展播放图文和视频广告。</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电子门牌</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4.1屏幕尺寸：≥15寸液晶屏，竖屏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4.2分辨率：≥1080×1920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4.3操作系统： Android7.0或以上</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4.4 CPU：≥四核，主频≥1.2GHz</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4.5内存：DDR3L≥1GB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4.6操作方式：全触摸设计</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4.7 FLASH：≥8GB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4.8网卡：10Mb/100Mb自适应</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4.9通讯方式：标准RJ45接口，基于TCP/IP网络协议传输对讲语音和数据信息</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4.10供电方式：DC供电</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4.11材质：钢化玻璃面板</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4.12外观：防尘防爆处理</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4.13边框颜色：白色</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4.14工作时间：可7×24小时不间断工作</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4.15护士进出房间，通过触摸按键操作方式进入护理到位，对应外接门灯会亮，便于患者或家属寻找护理人员；</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4.16房间床头呼叫或卫生间紧急呼叫时，该房间门口外接门灯用红色闪烁指示；</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4.17电子门牌能接收患者的呼叫，便于护理人员在走廊区域直接接听，进行通话；</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4.18当有多个病床同时呼叫时，可循环显示多路呼叫信息；</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4.19可显示医院名称、医院LOGO、科室名称、日期、时间、自动更新并显示患者的信息，以及主治医师和值班护士的姓名、照片等内容；</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4.20设备在线监测与升级；</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4.21定时待机和开关屏服务。</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电子床头屏（≥13寸）</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★5.1尺寸：≥13寸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5.2分辨率：≥1920*1080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5.3触摸：支持触摸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5.4系统：Android 10及以上</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5.5CPU：≥四核，主频≥1.5GHz  </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5.6内存：DDR3L  ≥2GB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5.7FLASH：≥8GB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5.8音频编解码：支持设定PCM、ADPCM、AMR、AAC、G.711格式为任一一种位默认格式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5.9音频采样率：默认16KHz采样率</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5.10网卡：10Mb/100Mb自适应，或wifi连接</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5.11通讯接口：RJ45 TCP/IP协议</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5.12供电方式： DC供电/POE</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5.13满载功率：≦5W</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5.14呼叫手柄具有呼叫、手电筒、换药等三个功能按键，按键采用抗菌医用薄膜材料，便于消毒清洁</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5.15工作时间：可7×24小时不间断工作</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5.16工作温度：-10℃~55℃</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5.17环境湿度：≤95%</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5.18安装：嵌入式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5.19电子床头屏支持呼叫、换药呼叫、定点护理、增援、复位等功能；</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5.20电子床头屏呼叫手柄发起呼叫时，电子门牌、双面走廊显示屏、医护主机、都会显示相应的呼叫信息，并提示相关振铃或报号；</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5.21电子床头屏支持呼叫转移并接听功能，护士按下门口分机上的护理键进入本房间后，可在本房内电子床头屏上与其他房间的患者接听对讲，减少护士往返的奔波；</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5.22医护人员可在电子床头屏操作进入定点护理，并通知到电子门牌、双面走廊显示屏、医护主机、医护副机，进行信息显示。门灯也会对应绿色灯常亮提醒，可以通过走廊看门灯就可以定位医护人员的位置；</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5.23请求增援呼叫在电子床头屏进入定点护理中状态下发起，对应的病房门灯绿色灯闪烁，医护主机或医护副机可直接接听进行通话；</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5.24在病床分机上显示 HIS 系统同步的数据，可显示患者的姓名、性别、年龄、住院号、入院时间、入院诊断、护理等级、护理标签、主治医师、责任护士、滚动字幕等相关信息；</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5.25可以通过触摸操作电子床头屏，查询检验检查的信息、一日清单费用信息、医嘱等信息，以及查看科室介绍和医院介绍；</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5.26健康宣教：患者通过电子床头屏可点播宣教信息或视频，例如术前须知，术后护理宣传，病症护理宣传等。</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5.27电子床头屏可以接收医护主机或医护副机的广播；</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5.28电子床头屏呼叫，可语音播报“XX 号房XX号床 呼叫”；</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5.29可实时检测电子床头屏的在线状态，方便调试、检修和维护；</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5.30电子床头屏可选择接入输液报警装置，实现输液报警功能。</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color w:val="FF0000"/>
                <w:sz w:val="21"/>
                <w:szCs w:val="21"/>
                <w:highlight w:val="none"/>
              </w:rPr>
              <w:t>▲5.31投标人在本次招采的电子床头屏上，免费给采购人提供不少于260篇，具有自主知识产权的健康宣教</w:t>
            </w:r>
            <w:r>
              <w:rPr>
                <w:rFonts w:hint="eastAsia" w:asciiTheme="minorEastAsia" w:hAnsiTheme="minorEastAsia" w:eastAsiaTheme="minorEastAsia" w:cstheme="minorEastAsia"/>
                <w:b/>
                <w:bCs/>
                <w:color w:val="FF0000"/>
                <w:sz w:val="21"/>
                <w:szCs w:val="21"/>
                <w:highlight w:val="none"/>
                <w:lang w:val="en-US" w:eastAsia="zh-CN"/>
              </w:rPr>
              <w:t>文件</w:t>
            </w:r>
            <w:r>
              <w:rPr>
                <w:rFonts w:hint="eastAsia" w:asciiTheme="minorEastAsia" w:hAnsiTheme="minorEastAsia" w:eastAsiaTheme="minorEastAsia" w:cstheme="minorEastAsia"/>
                <w:b/>
                <w:bCs/>
                <w:color w:val="FF0000"/>
                <w:sz w:val="21"/>
                <w:szCs w:val="21"/>
                <w:highlight w:val="none"/>
              </w:rPr>
              <w:t>，供院方临床科室医护和住院患者选择使用。</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投标人提供承诺函，承诺此项要求均能符合（格式自拟）</w:t>
            </w:r>
            <w:r>
              <w:rPr>
                <w:rFonts w:hint="eastAsia" w:asciiTheme="minorEastAsia" w:hAnsiTheme="minorEastAsia" w:eastAsiaTheme="minorEastAsia" w:cstheme="minorEastAsia"/>
                <w:b/>
                <w:bCs/>
                <w:color w:val="FF0000"/>
                <w:kern w:val="0"/>
                <w:sz w:val="21"/>
                <w:szCs w:val="21"/>
                <w:highlight w:val="none"/>
                <w:lang w:eastAsia="zh-CN"/>
              </w:rPr>
              <w:t>）</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卫浴紧急呼叫器</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6.1工作电压： DC 12V</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6.2功耗：≤0.5W</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6.3控制方式：GPIO方式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6.4工作温度： -1℃～50℃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6.5工作湿度： 10% ～ 95%（防水设计）</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6.6安装方式：嵌入式（标准86盒）</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6.7安装于病房的卫生间，当病人有紧急需求时，按下此按键，医护主机会收到该紧急求援报警；</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6.8防水等级：IPX5及以上；</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6.9具有拉绳或按键操作，提供紧急求助呼叫。</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非可视数字病床分机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（IP）</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7.1工作电压：DC12V</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7.2工作温度：-10°C～+55°C</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7.3工作湿度：10%～95%</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7.4最大功率：≦2W</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7.5待机功耗：≦1.5W</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7.6单键呼叫手柄支持呼叫功能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7.7支持单点护理功能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7.8支持双色指示灯功能。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床头呼叫器</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8.1材质：ABS</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8.2待机电流：≦1微安</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8.3通讯距离：≥400m</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8.4按键数量：≥1个</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8.5电池：自带电池</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8.6天线：PCB天线</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8.7安装：床头墙面固定</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8.8支持单向呼叫</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8.9超大功率，远距离传输，信号稳定</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8.10支持通过手柄按钮进行操作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卫生间防水紧急按钮</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9.1材质：ABS</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9.2待机电流：≦1微安</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9.3通讯距离：≥400m</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9.4按键数量：≥1个</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9.5电池：自带电池</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9.6天线：PCB天线</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9.7安装：卫生间墙面固定</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9.8支持单向呼叫</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9.9支持防水、防油</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9.10超大功率，远距离传输，信号稳定 </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9.11支持通过拉绳和按键进行操作，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护士站接收主机</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10.1显示方式：≥3.5寸液晶触摸屏</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10.2呼叫时卡片盒指示灯亮灯提醒，可作单个清除键使用</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10.3播报模式多样:支持多种方式播报模式</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10.4真人语音播报</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10.5操作按键：电容触摸按键</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10.6支持可调节音量</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10.7支持可调节播报次数</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10.8在线号码注册：分机号码可任意设定和修改</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10.9自动存储并滚动显示</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信号中继器</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11.1操作按键：指压按键</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11.2选择转发方式：群发</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11.3通讯距离：&gt;1000m</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11.4电源：DC供电</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11.5信号放大，实现远距离操作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11.6增强呼叫信号的传输距离</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无线接收主机</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12.1支持按年、月、日、星期、时、分万年历显示</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12.2支持呼叫时间，排队总数和排队数显示功能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12.3语音设置导航，每一步设置操作都有相关的语音提示</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12.4支持真人语音报号及和弦铃音提醒</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12.5无线调幅发射，信号传输距离远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12.6可自行设置语音提醒</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病房电源</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13.1设备作用于病房内呼叫对讲设备供电；</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13.2输出电源：12V，≥6A；≥72W；</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★13.3电流范围：0-6A；</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智能交互一体机（≥43寸）</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★14.1尺寸：≥43寸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14.2分辨率：≥3840*2160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14.3触摸屏：触摸屏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14.4处理器：≥四核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14.5工作主频：≥1.8GHZ</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14.6 RAM：≥2GB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14.7内存：≥16G</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14.8操作系统：≥Android7.1</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14.9 WiFi：2.4G/5G</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智能交互一体机（≥75寸）</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kern w:val="0"/>
                <w:sz w:val="21"/>
                <w:szCs w:val="21"/>
                <w:highlight w:val="none"/>
              </w:rPr>
              <w:t>15.1尺寸：≥75寸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15.2分辨率：≥3840*2160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15.3触摸屏：触摸屏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15.4处理器：≥四核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15.5工作主频：≥1.8GHZ</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15.6 RAM：≥2GB</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15.7内存：≥16G</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15.8操作系统：≥Android 9.0</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15.9 WiFi：2.4G/5G</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落地支架</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16.1产品净重：≥15kg</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16.2承重范围：≥40kg</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16.3托盘称重：≥4kg</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16.4适用尺寸：32-75寸</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生命体征监测仪</w:t>
            </w: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17.1适合成人、小儿、新生儿全年龄段患者生命体征监测，具有点测或连续监测模式</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
                <w:bCs/>
                <w:color w:val="FF0000"/>
                <w:kern w:val="0"/>
                <w:sz w:val="21"/>
                <w:szCs w:val="21"/>
                <w:highlight w:val="none"/>
              </w:rPr>
              <w:t>▲17.2不小于8寸TFT彩色触摸显示屏，具有血压、脉搏、血氧、额温等多种生命体征数据一站式采集。</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提供产品彩页扫描件</w:t>
            </w:r>
            <w:r>
              <w:rPr>
                <w:rFonts w:hint="eastAsia" w:asciiTheme="minorEastAsia" w:hAnsiTheme="minorEastAsia" w:eastAsiaTheme="minorEastAsia" w:cstheme="minorEastAsia"/>
                <w:b/>
                <w:bCs/>
                <w:color w:val="FF0000"/>
                <w:kern w:val="0"/>
                <w:sz w:val="21"/>
                <w:szCs w:val="21"/>
                <w:highlight w:val="none"/>
                <w:lang w:eastAsia="zh-CN"/>
              </w:rPr>
              <w:t>）</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17.3血氧测量≧两种配置，显示PI血流灌注指数</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17.4具有自定义工作模式，灵活调整应用科室、界面布局与参数设置，减少操作时间</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17.5内置可充电锂电池，无需工具快速拆装，≧8小时供电，实现关机延迟</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17.6可选配升级内置热敏双通道记录仪，具有多种记录类型</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17.7具备一维和二维扫描枪，通过USB 接口与监测仪相连</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17.8具有EWS早期预警评分与图形化疼痛评分模板，同时实现自定义评分方法</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17.9可选配升级CCHD筛查工具，作为新生儿严重型先心病的有效筛查手段</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17.10具备≧200个事件回顾，点测模式≧5000组数据回顾，连续监测模式≧240小时数据回顾</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17.11可通过有线网络和无线网络无缝集成医院信息系统，通过HL7连接医院EMR系统</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17.12能够与中央监护站集成，同时查看连续监测与点测数据，可升级与遥测、除颤仪、床旁监护仪、呼吸机、输注泵等设备混合联网。</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17.13设备可选择接入同品牌中央监护系统统一管理，可升级通过护士站、医生端、移动端、床旁设备等随时随地查看WES趋势图，实现全院生命体征信息互联互通。</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17.14设备具有在线维护功能，可直观查看设备利用情况，最大限度地提高设备利用率</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17.15主机外壳无缝设计选材，≧IPX2级防水，≧51种清洁消毒剂，易于清洁消毒。</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18</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交换机(24口)</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24口POE+供电；整机POE供电功率高达190W;单端口POE最大供电功率不低于30W</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19</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交换机（8口）</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8口POE+供电；整机POE供电功率高达65W;单端口POE最大供电功率不低于30W</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20</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交换机（4口）</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4口POE+供电；整机POE供电功率高达57W;单端口POE最大供电功率不低于30W</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21</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双绞线（网线）</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CAT6 4Pair UTP</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22</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配线（电源线）</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RVV2*1.0，国标2芯纯铜1.0软电缆线</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23</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配管(线槽)</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PVC线槽 20MM*10MM</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24</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配管（线管）</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线管PC20</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25</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接线盒(线盒)</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明装86线盒</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26</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配管（软管）</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PVC波纹管</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呼叫服务及管理系统(服务器端)</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27.1 采用B/S模式构建，Web浏览无需安装控件。B/S客户端通过医院内网远程访问，凭科室账户权限登录系统管理平台</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27.2 可对系统内所有呼叫设备统一进行管理</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27.3 可通过HIS系统对医院的各科室、护士站、医生护士、病人的相关信息进行记录并管理</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27.4 系统在联网的情况下，将各个病区的呼叫记录汇总至网络服务器，随时查看，有助于医院管理层对临床护理的一些基本管理</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27.5护理应用统一平台：系统集成病区若干业务应用系统，实现护士系统统一登录，信息及时提醒、实时监测、随时查询，需集成移动护理、HIS、电子病历、移动查房等其他多个院内护理应用系统</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27.6 呼叫记录存储及统计分析功能：各病区的护士站医护主机实时记录本站的呼叫历史，并定时汇总到智慧护理服务管理系统。智慧护理服务管理系统的管理界面提供统计，数据报表，生成不同图标方式来分析的功能，便于管理人员查询考核。</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27.7呼叫记录存储及统计分析功能：系统支持自动生成多种统计图表，包含呼叫占比统计、呼叫响应时长统计、呼叫通话时长统计、呼叫量日线图及每床日统计等，并可灵活按全院或病区维度进行统计分析</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病房呼叫管理系统(医护端)</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28.1病人电子一览表功能：显示每位住院病人的信息(姓名、性别、年龄、入院时间、护理级别、诊断信息、注意事项等)实时显示，每位病人信息修改操作方便、实时；</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28.2可根据需要进行不同组合方式打印呼叫记录信息；软件界面直观、数据记录清楚，利于服务的管理和监督；</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28.3统计信息全面，按软件数据库格式生成报表；在PC平台的基础上实现海量存储，随时翻查以往记录呼叫信息；</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28.4 自动发布信息：与医院HIS系统联网状态下，网络服务器接收医院HIS系统数据服务器更新的信息，接收后自动传输到各科室病区管理中心软件，由工作人员选择是手动还是自动将信息发送到医护主机、电子床头屏、电子门牌、医护信息看板；</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28.5系统提供病区规划数据录入和查询功能，这些数据在编辑后保存在管理中心数据库中；</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lang w:eastAsia="zh-CN"/>
              </w:rPr>
            </w:pPr>
            <w:r>
              <w:rPr>
                <w:rFonts w:hint="eastAsia" w:asciiTheme="minorEastAsia" w:hAnsiTheme="minorEastAsia" w:eastAsiaTheme="minorEastAsia" w:cstheme="minorEastAsia"/>
                <w:b/>
                <w:bCs/>
                <w:color w:val="FF0000"/>
                <w:kern w:val="0"/>
                <w:sz w:val="21"/>
                <w:szCs w:val="21"/>
                <w:highlight w:val="none"/>
              </w:rPr>
              <w:t>▲28.6投标人保证本次招采的病房呼叫管理系统（医护端），在采购人光明院区交付使用时，同采购人福田院区正在使用的病房呼叫系统和护士站交互系统达到互联互通。投标人若需同第三方系统对接，系统软件接口及相关费用由投标人负责。对于采购人提出的病房呼叫管理系统（医护端）相关需求，投标人需按照采购人要求免费进行定制开发。</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投标人提供承诺函，承诺此项要求均能符合（格式自拟）</w:t>
            </w:r>
            <w:r>
              <w:rPr>
                <w:rFonts w:hint="eastAsia" w:asciiTheme="minorEastAsia" w:hAnsiTheme="minorEastAsia" w:eastAsiaTheme="minorEastAsia" w:cstheme="minorEastAsia"/>
                <w:b/>
                <w:bCs/>
                <w:color w:val="FF0000"/>
                <w:kern w:val="0"/>
                <w:sz w:val="21"/>
                <w:szCs w:val="21"/>
                <w:highlight w:val="none"/>
                <w:lang w:eastAsia="zh-CN"/>
              </w:rPr>
              <w:t>）</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护士站交互系统软件（病区端）</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29.1床位图：系统以卡片形式显示患者信息，默认显示患者床位号、姓名、性别、年龄、诊断信息、入院时间、病危或病重等相关信息，根据不同护理级别对患者进行颜色区分。</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患者详情：点击患者床位卡，输入密码查看患者详情；左侧显示患者基本信息，包括患者住院号、护理等级、入院时间、预缴金额、总花费、当前余额、费用类型、过敏情况、主治医生、责任护士等相关信息；右侧显示患者长期医嘱、临时医嘱信息，自动拆分长期医嘱，将医嘱按天拆分，便于医嘱的执行；显示当前患者最新的检查检验结果数据以及采集的患者体征数据（体征数据配合智能体征仪使用）。</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29.3充值缴费：显示医院微信二维码，使用手机扫描进入充值缴费页面进行在线充值，展示患者信息包括姓名、科室、床号、手机号码、身份证号，支付方式默认显示支付宝、微信支付，页面显示固定充值金额或自定义输入选择相应充值金额，通过手机扫码完成支付。（两种充值方式选用其一）</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29.4综合屏：显示病区动态、危急值、护理安全等患者医嘱统计信息，展示项目名称、患者床位号、患者人数统计，方便医护人员快速阅览科室相关的护理任务，实现预警信息及时提醒、风险实时监测和随时查询，床位号颜色和项目名称显示顺序可自定义配置。</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29.5危急值提醒：系统智能区分显示已处理和未处理的患者床位号信息，对新入科患者系统进行闪烁提醒护士；点击床位号显示相关已处理以及未处理的危急值明细信息：项目名称、危急值结果、参考范围、处理结果、更新时间、更新人等信息。</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29.6通讯录：展示当前绑定科室维护的常用电话列表，具有添加、批量添加、修改、删除等功能。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29.7转床管理：系统通过接口自动抓取医嘱相关转床信息，显示当前科室当日患者相关转床信息。</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29.8备忘录：显示科室备忘录信息，具有手动添加、修改等操作功能。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29.9医护值班：系统自动显示当日值班医生、护士相关姓名信息，医生班次分为：白、日、总值班三个班次；护士班次分：”D班、P班、N班三个班次，根据要求自动匹配护士班次数据显示到页面上，通过不同颜色来区分不同班次。</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29.10护士交接班：根据医院护士交班需求，显示护士的各个班次相关交班报告信息，选择昨日、今日、本周、本月以及自定义日期搜索查看相关交班报告；通过PC端结构化交接班模板快速填入班次交接内容，数据自动同步，实现无纸化交班。</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医生交接班：系统根据医嘱关键字自动抓取相关床位数据并统计，同时显示医生交接班报告信息，可通过交班时间、交班班次进行搜索查找相关科室医生的交班信息。</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29.11一键催费：可提供向账户余额不足的患者一键发送充值提醒（配合床旁交互系统使用）。</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29.12消息推送：编辑科室消息提醒内容，根据设置的时间自动推送到大屏端显示；也可选择单发及群发信息至床旁交互终端，消息模板可自定义增加或手动录入自定义消息。（配合床旁交互系统使用）。</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29.13排班表：展示护士相关排班信息，用户可选择查看上一周、本周、及下一周的排班信息，可自定义配置班次颜色，也可选择在系统内对医护人员进行排班处理并信息同步至大屏端。</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29.14治疗模块：通过医嘱关键字自动抓取相关床号信息，同时展示当日科室所有治疗类医嘱，包括项目名称、患者床位号、患者人数自动统计。</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29.15手术模块：按医嘱执行状态分类，展示当天科室已执行和未执行的患者手术类医嘱信息，包括项目名称、患者床位号、患者人数自动统计。</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29.16检查模块：按医嘱执行状态分类，展示当天科室已执行和未执行所有患者检查类医嘱信息，包括项目名称、预约执行时间、患者床位号、相关检查注意事项、患者人数自动统计。</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29.17检验模块：按医嘱执行状态分类，展示当日科室已执行和未执行患者检验类医嘱信息，包括项目名称、患者床位号、患者人数自动统计。</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29.18护士教育：展示护士教育相关文档进行内容显示，具备文档上传、修改、删除等操作，系统具备PDF、WORD、MP4视频等不同内容格式文件选择上传。</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29.19电子白板：用户可以在电子白板进行画板操作，利用画板提供的工具创作图文画布，同时可以保存、删除、预览历史文档；当电子白板上有新的画布未保存时，切换到其他页面则会在电子白板按钮旁边出现红色小点，代表该页面有未保存的画布。</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29.20数据统计：智能图表化展示病区周入院人数趋势图，以及月度护理级别人数分布图，护士长可直观了解病区患者情况及趋势，便于病区的管理，可选择当日、本周、本月、本年度等不同时段进行统计查询。</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29.21状态显示与手动刷新：系统制定自动刷新机制，灵活设置数据刷新时间，如遇数据未及时更新，可选择手动刷新；连接状态采用图标形式展示，如果网络异常颜色和图标形状都会发生变化，方便用户第一时间定位问题；各功能页面切换查看时都会加载显示相关最新数据。</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29.22隐私设置：具备用户自定义设置显示/隐藏患者姓名，显示/隐藏空床位，显示/隐藏患者诊断信息，切换科室等操作，查看患者更多详情信息需要输入密码校验正确才能查看。</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29.23</w:t>
            </w:r>
            <w:r>
              <w:rPr>
                <w:rFonts w:hint="eastAsia" w:asciiTheme="minorEastAsia" w:hAnsiTheme="minorEastAsia" w:eastAsiaTheme="minorEastAsia" w:cstheme="minorEastAsia"/>
                <w:color w:val="000000"/>
                <w:kern w:val="0"/>
                <w:sz w:val="21"/>
                <w:szCs w:val="21"/>
                <w:highlight w:val="none"/>
              </w:rPr>
              <w:t>投标人</w:t>
            </w:r>
            <w:r>
              <w:rPr>
                <w:rFonts w:hint="eastAsia" w:asciiTheme="minorEastAsia" w:hAnsiTheme="minorEastAsia" w:eastAsiaTheme="minorEastAsia" w:cstheme="minorEastAsia"/>
                <w:strike/>
                <w:color w:val="000000"/>
                <w:kern w:val="0"/>
                <w:sz w:val="21"/>
                <w:szCs w:val="21"/>
                <w:highlight w:val="none"/>
              </w:rPr>
              <w:t>保证</w:t>
            </w:r>
            <w:r>
              <w:rPr>
                <w:rFonts w:hint="eastAsia" w:asciiTheme="minorEastAsia" w:hAnsiTheme="minorEastAsia" w:eastAsiaTheme="minorEastAsia" w:cstheme="minorEastAsia"/>
                <w:color w:val="000000"/>
                <w:kern w:val="0"/>
                <w:sz w:val="21"/>
                <w:szCs w:val="21"/>
                <w:highlight w:val="none"/>
              </w:rPr>
              <w:t>本次招采的护士站交互系统软件（病区端），在采购人光明院区交付使用时，同采购人福田院区正在使用的病房呼叫系统和护士站交互系统达到互联互通。投标人若需同第三方系统对接，系统软件接口及相关费用由投标人负责。对于采购人提出的护士站交互系统软件（病区端）相关需求，投标人需按照采购人要求免费进行定制开发。</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护士站智慧管理系统</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30.1医护人员管理：对医护人员基本资料进行管理，具备增加、删除、修改、查询等操作，可设置医护人员级别以及类型。</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30.2角色权限管理：可选择设置和编辑角色及菜单权限，对系统使用人员分配相应的权限及菜单功能。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30.3科室管理：系统接口同步医院各个科室信息（病区、科室名称、科室ID等信息），并对科室信息进行编辑和删除。</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30.4 基础数据管理：查看科室下绑定设备的数据，选择绑定或解绑设备。</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30.5 静态数据管理：维护编辑护理等级名称与对应颜色。</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30.6 患者管理：页面显示所有科室患者信息，可对患者信息进行查看和腕带打印；通过科室、身份证号、姓名、床位号等条件进行搜索。</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30.7注意事项：维护注意事项类型，系统可根据移动护理系统来抓取当前患者的相关注意事项名称、类型以及等级，可对注意事项内容进行编辑和删除风险等级评估分值和颜色可自定义设置。（需配合移动护理系统使用）</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30.8 护士排班管理：管理医护人员排班信息，分周期新增、编辑排班信息，或导入现有排班表，同步展示在大屏端显示。</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30.9 医嘱信息管理：医嘱列表同步显示，对医嘱信息、注意事项进行增、删、改、查等管理操作。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30.10医嘱配置：后台可添加医嘱关键字设置编辑医嘱名称，配置是否在大屏显示以及排序；对新增医嘱关键字进行编辑、删除以及查看床位结果。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30.11电子白板：可以查看电子白板历史文件保存列表，具体展示文件名、保存日期等基本信息，同时管理员可以对保存的内容进行查看、删除操作。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30.12护士教育：对护士教育文件资料进行管理，可以查看预览当前文件，对历史文件进行增、删、改、查操作。文件类型可选择doc、docx、mp4、rmvb、mkv、flv、mov、rmvb、ts类型文件进行上传。</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30.13科室电话：维护科室通讯录信息，对科室电话进行管理，具备新增、批量新增、删除、修改、查询等功能操作。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30.14 备忘录：系统可自定义添加科室备忘信息，具备编辑和删除等功能操作。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30.15交班列表：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可根据筛选条件：交班日期、交班护士、交班班次、交班状态查询，查看交班列表信息，包含：交班护士、交班班次、交班时间、状态、接班护士、接班班次、交接患者数。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新增交班：默认展示登录人为交班人，选择交班班次、交班时间、接班人、接班班次，患者列表展示登录人所在科室下的在院患者；交班信息的生命体征、现状可进行手动更新；诊断、既往史默认展示医院HIS系统推送数据；填写完成后，选中需要交班的患者，点击确定按钮，则交班数据完成，可在大屏端展示此交班的患者信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接班列表：可根据筛选条件：交班日期、接班护士、接班班次、交班状态查询，查看接班列表信息，包含：交班护士、交班班次、交班时间、状态、接班护士、接班班次、交接患者数等数据；待接班详情：查看接班详情，可在接班列表上点击【详情】按钮查看详情数据，详情页按类型展示该科室下所有患者的最新的生命体征（体温T、脉搏P、呼吸R、血压BP）、诊断、既往史、现状、建议等信息。</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30.16班次管理：系统对交接班班次进行维护，可自定义班次名称、班次开始时间、班次结束时间、班次说明等信息。</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30.17支付管理：查看在终端上的充值记录订单数据，通过支付类型、支付金额、支付日期以及支付状态可进行智能组合搜索查询相关支付记录，相关支付记录可进行数据导出。</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30.18值班管理：可维护每日值班人员信息，查看科室排班表。后台可对医护人员进行分组；对排班班别进行设置；对医护排班数据进行统计。</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30.19公告管理：能够对系统的公告信息进行管理，进行历史公告信息查询及最新公告信息状态查询，同时对公告内容进行修改、删除等功能。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30.20通知管理：对系统的通知信息进行管理，包括历史通知信息管理、新增通知、修改、删除历史通知消息，以及自定义查询通知等功能。</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30.21 APK自动升级：系统后台可编辑更新的内容及上传APK文件路径提交成功，自动远程版本更新。</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30.22投标人保证本次招采的护士站智慧管理系统，在采购人光明院区交付使用时，同采购人福田院区正在使用的病房呼叫系统和护士站交互系统达到互联互通。投标人若需同第三方系统对接，系统软件接口及相关费用由投标人负责。对于采购人提出的护士站智慧管理系统相关需求，</w:t>
            </w:r>
            <w:r>
              <w:rPr>
                <w:rFonts w:hint="eastAsia" w:asciiTheme="minorEastAsia" w:hAnsiTheme="minorEastAsia" w:eastAsiaTheme="minorEastAsia" w:cstheme="minorEastAsia"/>
                <w:color w:val="000000"/>
                <w:kern w:val="0"/>
                <w:sz w:val="21"/>
                <w:szCs w:val="21"/>
                <w:highlight w:val="none"/>
              </w:rPr>
              <w:t>投标人需按照采购人要求免费进行定制开发</w:t>
            </w:r>
            <w:r>
              <w:rPr>
                <w:rFonts w:hint="eastAsia" w:asciiTheme="minorEastAsia" w:hAnsiTheme="minorEastAsia" w:eastAsiaTheme="minorEastAsia" w:cstheme="minorEastAsia"/>
                <w:kern w:val="0"/>
                <w:sz w:val="21"/>
                <w:szCs w:val="21"/>
                <w:highlight w:val="none"/>
              </w:rPr>
              <w:t>。</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w:t>
            </w:r>
          </w:p>
        </w:tc>
        <w:tc>
          <w:tcPr>
            <w:tcW w:w="12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护理体征检测上传系统</w:t>
            </w: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kern w:val="0"/>
                <w:sz w:val="21"/>
                <w:szCs w:val="21"/>
                <w:highlight w:val="none"/>
              </w:rPr>
              <w:t>31.1系统自动采集、监测患者的各项生命体征数据，实现体征数据实时上传与监控。数据可实时同步上传到护士站交互系统和医院HIS系统，自动转录成体温单，并可在护理系统中查看引用。</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31.2可自动与护士站智慧管理系统实时通讯，并将患者体征检测数据结果实时自动上传到医院HIS系统或医院指定的使用中的其它第三方系统。</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31.3其他体征采集：移动终端可手动录入常规体征项之外的其他体征项，如出入量、身高、体重和大便次数等。</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31.4体征数据保存：扫描患者腕带，识别患者后将采集到的体征数据进行保存。</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31.5体征数据查看：在设备的“回顾”功能里选择采集历史数据，批量上传；可查看选定日期的已测量体征值。</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31.6对接物联网设备通过设备测量患者相关体征数据，测量完成后智能化将血压、血氧、脉搏、耳温等体征监测数据同步到各个终端显示给医护及患者。</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31.7数据实时展示：对接护士站大屏以及床旁和护理系统，界面自动展示患者根据医嘱采集到的体征数据。</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31.8采集的设数据根据要求可自主同步到各个系统的护理记录单以及体温单上。</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31.9数据自动分发：数据实时录入各临床业务系统，减少护士二次转录工作。</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31.10报表自动生成：采集数据实时传输至移动护理等系统，配合移动护理系统自动完成表单数据填写，数据存储。</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31.11数据管理：自动生成采集记录，自动统计，多病人管理。</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31.12离线存储：实现单项、多项离线数据的本地存储，并在联网后，全部自动上传。</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12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highlight w:val="none"/>
              </w:rPr>
            </w:pPr>
          </w:p>
        </w:tc>
        <w:tc>
          <w:tcPr>
            <w:tcW w:w="368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31.13投标人本次招采的</w:t>
            </w:r>
            <w:r>
              <w:rPr>
                <w:rFonts w:hint="eastAsia" w:asciiTheme="minorEastAsia" w:hAnsiTheme="minorEastAsia" w:eastAsiaTheme="minorEastAsia" w:cstheme="minorEastAsia"/>
                <w:color w:val="000000"/>
                <w:kern w:val="0"/>
                <w:sz w:val="21"/>
                <w:szCs w:val="21"/>
                <w:highlight w:val="none"/>
              </w:rPr>
              <w:t>护理体征检测上传系统</w:t>
            </w:r>
            <w:r>
              <w:rPr>
                <w:rFonts w:hint="eastAsia" w:asciiTheme="minorEastAsia" w:hAnsiTheme="minorEastAsia" w:eastAsiaTheme="minorEastAsia" w:cstheme="minorEastAsia"/>
                <w:kern w:val="0"/>
                <w:sz w:val="21"/>
                <w:szCs w:val="21"/>
                <w:highlight w:val="none"/>
              </w:rPr>
              <w:t>，在采购人光明院区交付使用时，同采购人福田院区正在使用的</w:t>
            </w:r>
            <w:r>
              <w:rPr>
                <w:rFonts w:hint="eastAsia" w:asciiTheme="minorEastAsia" w:hAnsiTheme="minorEastAsia" w:eastAsiaTheme="minorEastAsia" w:cstheme="minorEastAsia"/>
                <w:color w:val="000000"/>
                <w:kern w:val="0"/>
                <w:sz w:val="21"/>
                <w:szCs w:val="21"/>
                <w:highlight w:val="none"/>
              </w:rPr>
              <w:t>护理体征检测上传系统</w:t>
            </w:r>
            <w:r>
              <w:rPr>
                <w:rFonts w:hint="eastAsia" w:asciiTheme="minorEastAsia" w:hAnsiTheme="minorEastAsia" w:eastAsiaTheme="minorEastAsia" w:cstheme="minorEastAsia"/>
                <w:kern w:val="0"/>
                <w:sz w:val="21"/>
                <w:szCs w:val="21"/>
                <w:highlight w:val="none"/>
              </w:rPr>
              <w:t>达到互联互通。投标人若需同第三方系统对接，系统软件接口及相关费用由投标人负责。对于采购人提出的</w:t>
            </w:r>
            <w:r>
              <w:rPr>
                <w:rFonts w:hint="eastAsia" w:asciiTheme="minorEastAsia" w:hAnsiTheme="minorEastAsia" w:eastAsiaTheme="minorEastAsia" w:cstheme="minorEastAsia"/>
                <w:color w:val="000000"/>
                <w:kern w:val="0"/>
                <w:sz w:val="21"/>
                <w:szCs w:val="21"/>
                <w:highlight w:val="none"/>
              </w:rPr>
              <w:t>护理体征检测上传系统</w:t>
            </w:r>
            <w:r>
              <w:rPr>
                <w:rFonts w:hint="eastAsia" w:asciiTheme="minorEastAsia" w:hAnsiTheme="minorEastAsia" w:eastAsiaTheme="minorEastAsia" w:cstheme="minorEastAsia"/>
                <w:kern w:val="0"/>
                <w:sz w:val="21"/>
                <w:szCs w:val="21"/>
                <w:highlight w:val="none"/>
              </w:rPr>
              <w:t>相关需求，</w:t>
            </w:r>
            <w:r>
              <w:rPr>
                <w:rFonts w:hint="eastAsia" w:asciiTheme="minorEastAsia" w:hAnsiTheme="minorEastAsia" w:eastAsiaTheme="minorEastAsia" w:cstheme="minorEastAsia"/>
                <w:color w:val="000000"/>
                <w:kern w:val="0"/>
                <w:sz w:val="21"/>
                <w:szCs w:val="21"/>
                <w:highlight w:val="none"/>
              </w:rPr>
              <w:t>投标人需按照采购人要求免费进行定制开发</w:t>
            </w:r>
            <w:r>
              <w:rPr>
                <w:rFonts w:hint="eastAsia" w:asciiTheme="minorEastAsia" w:hAnsiTheme="minorEastAsia" w:eastAsiaTheme="minorEastAsia" w:cstheme="minorEastAsia"/>
                <w:kern w:val="0"/>
                <w:sz w:val="21"/>
                <w:szCs w:val="21"/>
                <w:highlight w:val="none"/>
              </w:rPr>
              <w:t>。</w:t>
            </w:r>
          </w:p>
        </w:tc>
        <w:tc>
          <w:tcPr>
            <w:tcW w:w="248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1425"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c>
          <w:tcPr>
            <w:tcW w:w="952"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highlight w:val="none"/>
              </w:rPr>
            </w:pPr>
          </w:p>
        </w:tc>
      </w:tr>
    </w:tbl>
    <w:p>
      <w:pPr>
        <w:rPr>
          <w:b/>
          <w:szCs w:val="21"/>
        </w:rPr>
      </w:pPr>
      <w:bookmarkStart w:id="49" w:name="_Hlk72095977"/>
      <w:r>
        <w:rPr>
          <w:rFonts w:hint="eastAsia"/>
          <w:szCs w:val="21"/>
        </w:rPr>
        <w:t>证明资料【如有的话，提供的证明资料应统一编号（排序），格式自定】</w:t>
      </w:r>
      <w:bookmarkEnd w:id="49"/>
      <w:r>
        <w:rPr>
          <w:rFonts w:hint="eastAsia"/>
          <w:szCs w:val="21"/>
        </w:rPr>
        <w:t>：</w:t>
      </w:r>
    </w:p>
    <w:p>
      <w:pPr>
        <w:ind w:firstLine="422" w:firstLineChars="200"/>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50" w:name="_Hlk72094407"/>
      <w:r>
        <w:rPr>
          <w:rFonts w:hint="eastAsia"/>
          <w:bCs/>
          <w:szCs w:val="21"/>
        </w:rPr>
        <w:t>对应“用户需求书”中的“技术要求”章节</w:t>
      </w:r>
      <w:bookmarkEnd w:id="50"/>
      <w:r>
        <w:rPr>
          <w:rFonts w:hint="eastAsia"/>
          <w:bCs/>
          <w:szCs w:val="21"/>
        </w:rPr>
        <w:t>相关内容。</w:t>
      </w:r>
    </w:p>
    <w:p>
      <w:pPr>
        <w:ind w:firstLine="420" w:firstLineChars="200"/>
        <w:rPr>
          <w:bCs/>
          <w:color w:val="FF0000"/>
          <w:szCs w:val="21"/>
        </w:rPr>
      </w:pPr>
      <w:r>
        <w:rPr>
          <w:rFonts w:hint="eastAsia"/>
          <w:bCs/>
          <w:szCs w:val="21"/>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51" w:name="_Hlk72158270"/>
      <w:r>
        <w:rPr>
          <w:rFonts w:hint="eastAsia"/>
          <w:bCs/>
          <w:szCs w:val="21"/>
        </w:rPr>
        <w:t>“偏离情况”</w:t>
      </w:r>
      <w:bookmarkEnd w:id="51"/>
      <w:r>
        <w:rPr>
          <w:rFonts w:hint="eastAsia"/>
          <w:bCs/>
          <w:szCs w:val="21"/>
        </w:rPr>
        <w:t>一栏填写如实填写“正偏离”、“负偏离”或“无偏离”，其中：</w:t>
      </w:r>
      <w:bookmarkStart w:id="52" w:name="_Hlk72093866"/>
      <w:r>
        <w:rPr>
          <w:rFonts w:hint="eastAsia"/>
          <w:bCs/>
          <w:szCs w:val="21"/>
        </w:rPr>
        <w:t>“正偏离”表示“投标响应优于招标技术要求”，“负偏离”表示“投标响应不满足招标技术要求”，“无偏离”表示“投标响应与招标技术要求一致”</w:t>
      </w:r>
      <w:bookmarkEnd w:id="5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53" w:name="_Hlk72096106"/>
      <w:r>
        <w:rPr>
          <w:rFonts w:hint="eastAsia"/>
          <w:bCs/>
          <w:szCs w:val="21"/>
        </w:rPr>
        <w:t>证明资料条款响应要求</w:t>
      </w:r>
      <w:bookmarkEnd w:id="5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5" w:name="_Hlk73558164"/>
      <w:r>
        <w:rPr>
          <w:rFonts w:hint="eastAsia"/>
          <w:bCs/>
          <w:szCs w:val="21"/>
        </w:rPr>
        <w:t>且投标人在“偏离情况”一栏响应为“正偏离”或“无偏离”的，经评审委员会认定，将判定为负偏离。</w:t>
      </w:r>
      <w:bookmarkEnd w:id="54"/>
      <w:bookmarkEnd w:id="55"/>
    </w:p>
    <w:p>
      <w:pPr>
        <w:ind w:firstLine="420" w:firstLineChars="200"/>
        <w:rPr>
          <w:bCs/>
          <w:szCs w:val="21"/>
        </w:rPr>
      </w:pPr>
      <w:r>
        <w:rPr>
          <w:rFonts w:hint="eastAsia"/>
          <w:bCs/>
          <w:szCs w:val="21"/>
        </w:rPr>
        <w:t>6、</w:t>
      </w:r>
      <w:bookmarkStart w:id="56" w:name="_Hlk72096137"/>
      <w:r>
        <w:rPr>
          <w:rFonts w:hint="eastAsia"/>
          <w:bCs/>
          <w:szCs w:val="21"/>
        </w:rPr>
        <w:t>表后“证明资料”部分内容的编制</w:t>
      </w:r>
      <w:bookmarkEnd w:id="56"/>
      <w:r>
        <w:rPr>
          <w:rFonts w:hint="eastAsia"/>
          <w:bCs/>
          <w:szCs w:val="21"/>
        </w:rPr>
        <w:t>：提供的所有证明资料应当统一编号（排序），且证明资料的编号（顺序）、数量和名称（形式）均应与“说明”一栏所填内容保持一致（一一对应），以便评审委员会查看。</w:t>
      </w:r>
      <w:bookmarkStart w:id="57" w:name="_Hlk73558180"/>
      <w:r>
        <w:rPr>
          <w:rFonts w:hint="eastAsia"/>
          <w:bCs/>
          <w:szCs w:val="21"/>
        </w:rPr>
        <w:t>未按照招标文件要求在表后放置证明材料的供应商将承担不利后果，经评审委员会认定，相关技术要求将判定为负偏离。</w:t>
      </w:r>
      <w:bookmarkEnd w:id="57"/>
    </w:p>
    <w:p>
      <w:pPr>
        <w:ind w:firstLine="420" w:firstLineChars="200"/>
        <w:rPr>
          <w:bCs/>
          <w:szCs w:val="21"/>
        </w:rPr>
      </w:pPr>
      <w:r>
        <w:rPr>
          <w:rFonts w:hint="eastAsia"/>
          <w:bCs/>
          <w:szCs w:val="21"/>
        </w:rPr>
        <w:t>7、</w:t>
      </w:r>
      <w:bookmarkStart w:id="58" w:name="_Hlk72096176"/>
      <w:r>
        <w:rPr>
          <w:rFonts w:hint="eastAsia"/>
          <w:bCs/>
          <w:szCs w:val="21"/>
        </w:rPr>
        <w:t>证明资料的形式及其他具体要求</w:t>
      </w:r>
      <w:bookmarkEnd w:id="58"/>
      <w:r>
        <w:rPr>
          <w:rFonts w:hint="eastAsia"/>
          <w:bCs/>
          <w:szCs w:val="21"/>
        </w:rPr>
        <w:t>：</w:t>
      </w:r>
    </w:p>
    <w:p>
      <w:pPr>
        <w:ind w:firstLine="420" w:firstLineChars="200"/>
        <w:rPr>
          <w:bCs/>
          <w:szCs w:val="21"/>
        </w:rPr>
      </w:pPr>
      <w:r>
        <w:rPr>
          <w:rFonts w:hint="eastAsia"/>
          <w:bCs/>
          <w:szCs w:val="21"/>
        </w:rPr>
        <w:t>（1）除照片、图片（截图）及不需加盖公章的文字说明（技术说明）外，其他证明资料均要求为原件扫描件；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其他证明资料的形式要求参照以上要求执行；</w:t>
      </w:r>
    </w:p>
    <w:p>
      <w:pPr>
        <w:ind w:firstLine="420" w:firstLineChars="200"/>
        <w:rPr>
          <w:bCs/>
          <w:szCs w:val="21"/>
        </w:rPr>
      </w:pPr>
      <w:r>
        <w:rPr>
          <w:rFonts w:hint="eastAsia"/>
          <w:bCs/>
          <w:szCs w:val="21"/>
        </w:rPr>
        <w:t>8、其他注意事项：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5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9"/>
    </w:p>
    <w:p>
      <w:pPr>
        <w:ind w:firstLine="482" w:firstLineChars="200"/>
        <w:rPr>
          <w:b/>
          <w:sz w:val="24"/>
        </w:rPr>
      </w:pPr>
    </w:p>
    <w:p>
      <w:pPr>
        <w:rPr>
          <w:sz w:val="24"/>
        </w:rPr>
      </w:pPr>
    </w:p>
    <w:p>
      <w:pPr>
        <w:pStyle w:val="5"/>
        <w:jc w:val="center"/>
        <w:rPr>
          <w:rFonts w:hint="eastAsia"/>
          <w:bCs/>
          <w:szCs w:val="21"/>
        </w:rPr>
      </w:pPr>
      <w:r>
        <w:rPr>
          <w:rFonts w:hint="eastAsia" w:ascii="黑体" w:eastAsia="黑体"/>
          <w:b w:val="0"/>
          <w:sz w:val="24"/>
          <w:szCs w:val="24"/>
        </w:rPr>
        <w:t>九、商务要求偏离表</w:t>
      </w:r>
    </w:p>
    <w:tbl>
      <w:tblPr>
        <w:tblStyle w:val="42"/>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335"/>
        <w:gridCol w:w="3580"/>
        <w:gridCol w:w="1935"/>
        <w:gridCol w:w="154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商务需求项</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招标商务要求</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投标商务响应</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偏离情况</w:t>
            </w: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666" w:type="dxa"/>
            <w:gridSpan w:val="6"/>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维修响应及故障解决时间</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 提供7*24售后技术支持服务,包括故障排除、性能调优、技术咨询等，每月定期回访产品使用情况。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 使用过程中出现突发设备故障时，投标人或制造商需30分钟内快速响应，2小时内到达采购人现场。对于设备故障无法现场修复的，立即启动设备返修流程。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 按照医院要求进行系统升级维护，包括：功能软件升级、参数修改、数据字典维护、用户权限设置、操作口令或密码设置和修改、硬件维修等，保证软、硬件正常运行。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1.4 提供充足的零配件,以确保设备维修所需更换的零配件。一旦设备硬件故障，即可进行及时更换，再将故障设备发回返修。</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3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关于免费保修期</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rPr>
              <w:t>2.1货物原厂免费保修期</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bCs/>
                <w:sz w:val="21"/>
                <w:szCs w:val="21"/>
              </w:rPr>
              <w:t>年，时间自验收合格之日起计算。免费保修期内，</w:t>
            </w:r>
            <w:r>
              <w:rPr>
                <w:rFonts w:hint="eastAsia" w:asciiTheme="minorEastAsia" w:hAnsiTheme="minorEastAsia" w:eastAsiaTheme="minorEastAsia" w:cstheme="minorEastAsia"/>
                <w:color w:val="000000"/>
                <w:sz w:val="21"/>
                <w:szCs w:val="21"/>
              </w:rPr>
              <w:t>所有服务及配件全部免费。</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▲投标人在合同签订时需提供原厂售后服务承诺函（出具不少于三年免费保修服务的售后服务承诺函）。承诺函应包含产品厂家售后服务电话。</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关于培训</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现场操作使用培训，直至医护完全熟练使用。</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rPr>
              <w:t>关于技术保障措施</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制造商建立并执行标准化的产品生产流程与工艺文件，对生产全过程进行记录与监控，制定产品生产规范。投标人制定生产与供货总体计划，明确各阶段关键节点与交付物，确保按时交付。</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二</w:t>
            </w:r>
            <w:r>
              <w:rPr>
                <w:rFonts w:hint="eastAsia" w:asciiTheme="minorEastAsia" w:hAnsiTheme="minorEastAsia" w:eastAsiaTheme="minorEastAsia" w:cstheme="minorEastAsia"/>
                <w:b/>
                <w:sz w:val="21"/>
                <w:szCs w:val="21"/>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w:t>
            </w:r>
          </w:p>
        </w:tc>
        <w:tc>
          <w:tcPr>
            <w:tcW w:w="13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关于项目交付</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1.1交货地点：医院指定地点。</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1.2投标人需承担的设备运输、安装调试、验收检测和提供设备操作说明书、图纸等其他类似的义务。</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rPr>
              <w:t>1.3签订合同后</w:t>
            </w:r>
            <w:r>
              <w:rPr>
                <w:rFonts w:hint="eastAsia" w:asciiTheme="minorEastAsia" w:hAnsiTheme="minorEastAsia" w:eastAsiaTheme="minorEastAsia" w:cstheme="minorEastAsia"/>
                <w:bCs/>
                <w:sz w:val="21"/>
                <w:szCs w:val="21"/>
                <w:u w:val="single"/>
              </w:rPr>
              <w:t xml:space="preserve"> 60 </w:t>
            </w:r>
            <w:r>
              <w:rPr>
                <w:rFonts w:hint="eastAsia" w:asciiTheme="minorEastAsia" w:hAnsiTheme="minorEastAsia" w:eastAsiaTheme="minorEastAsia" w:cstheme="minorEastAsia"/>
                <w:bCs/>
                <w:sz w:val="21"/>
                <w:szCs w:val="21"/>
              </w:rPr>
              <w:t>天（日历日）内交付验收。</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p>
        </w:tc>
        <w:tc>
          <w:tcPr>
            <w:tcW w:w="13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0"/>
                <w:sz w:val="21"/>
                <w:szCs w:val="21"/>
              </w:rPr>
              <w:t>★运输、安装和验收</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2.1投标人</w:t>
            </w:r>
            <w:r>
              <w:rPr>
                <w:rFonts w:hint="eastAsia" w:asciiTheme="minorEastAsia" w:hAnsiTheme="minorEastAsia" w:eastAsiaTheme="minorEastAsia" w:cstheme="minorEastAsia"/>
                <w:bCs/>
                <w:kern w:val="0"/>
                <w:sz w:val="21"/>
                <w:szCs w:val="21"/>
              </w:rPr>
              <w:t>负责将</w:t>
            </w:r>
            <w:r>
              <w:rPr>
                <w:rFonts w:hint="eastAsia" w:asciiTheme="minorEastAsia" w:hAnsiTheme="minorEastAsia" w:eastAsiaTheme="minorEastAsia" w:cstheme="minorEastAsia"/>
                <w:kern w:val="0"/>
                <w:sz w:val="21"/>
                <w:szCs w:val="21"/>
              </w:rPr>
              <w:t>货物</w:t>
            </w:r>
            <w:r>
              <w:rPr>
                <w:rFonts w:hint="eastAsia" w:asciiTheme="minorEastAsia" w:hAnsiTheme="minorEastAsia" w:eastAsiaTheme="minorEastAsia" w:cstheme="minorEastAsia"/>
                <w:bCs/>
                <w:kern w:val="0"/>
                <w:sz w:val="21"/>
                <w:szCs w:val="21"/>
              </w:rPr>
              <w:t>安全无损运抵采购人指定地点,并承担设备的包装、运输、保险、装卸、安装调试、培训、商检及计量检测、增值税等费用。</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358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2.2</w:t>
            </w:r>
            <w:r>
              <w:rPr>
                <w:rFonts w:hint="eastAsia" w:asciiTheme="minorEastAsia" w:hAnsiTheme="minorEastAsia" w:eastAsiaTheme="minorEastAsia" w:cstheme="minorEastAsia"/>
                <w:b w:val="0"/>
                <w:bCs w:val="0"/>
                <w:kern w:val="0"/>
                <w:sz w:val="21"/>
                <w:szCs w:val="21"/>
              </w:rPr>
              <w:t>采购人有权检验或测试货物，以确认货物是否符合合同规格的要求。如果发现所交货物与投标文件中所承诺的不符或存在质量、技术缺陷等,采购人可以拒绝接收该货物,投标人应在</w:t>
            </w:r>
            <w:r>
              <w:rPr>
                <w:rFonts w:hint="eastAsia" w:asciiTheme="minorEastAsia" w:hAnsiTheme="minorEastAsia" w:eastAsiaTheme="minorEastAsia" w:cstheme="minorEastAsia"/>
                <w:b w:val="0"/>
                <w:bCs w:val="0"/>
                <w:kern w:val="0"/>
                <w:sz w:val="21"/>
                <w:szCs w:val="21"/>
                <w:u w:val="single"/>
              </w:rPr>
              <w:t xml:space="preserve"> 3个工作日</w:t>
            </w:r>
            <w:r>
              <w:rPr>
                <w:rFonts w:hint="eastAsia" w:asciiTheme="minorEastAsia" w:hAnsiTheme="minorEastAsia" w:eastAsiaTheme="minorEastAsia" w:cstheme="minorEastAsia"/>
                <w:b w:val="0"/>
                <w:bCs w:val="0"/>
                <w:kern w:val="0"/>
                <w:sz w:val="21"/>
                <w:szCs w:val="21"/>
              </w:rPr>
              <w:t>内采取补足、更换或退货等措施,以满足规格的要求，由此发生的一切损失和费用由投标人承担。</w:t>
            </w:r>
          </w:p>
        </w:tc>
        <w:tc>
          <w:tcPr>
            <w:tcW w:w="193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1"/>
                <w:szCs w:val="21"/>
              </w:rPr>
            </w:pPr>
          </w:p>
        </w:tc>
        <w:tc>
          <w:tcPr>
            <w:tcW w:w="154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1"/>
                <w:szCs w:val="21"/>
              </w:rPr>
            </w:pPr>
          </w:p>
        </w:tc>
        <w:tc>
          <w:tcPr>
            <w:tcW w:w="70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2.3投标人负责货物的现场安装和调试,提供货物安装、调试和维修所需的专用工具和辅助材料。</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3"/>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3"/>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2.4由投标人代表和采购人组成验收小组对产品进行验收。验收标准按照国家规定标准执行。经检验设备正常运作后签署验收报告,产品保修期自验收合格之日起算。</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3"/>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3"/>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3"/>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w:t>
            </w:r>
          </w:p>
        </w:tc>
        <w:tc>
          <w:tcPr>
            <w:tcW w:w="13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45"/>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
                <w:bCs/>
                <w:sz w:val="21"/>
                <w:szCs w:val="21"/>
              </w:rPr>
              <w:t>★关于违约</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bCs/>
                <w:kern w:val="0"/>
                <w:sz w:val="21"/>
                <w:szCs w:val="21"/>
              </w:rPr>
              <w:t>如投标人未按照投标文件中承诺的时间交货或提供服务，投标人应承担延期交货和延期服务的违约责任，并赔偿采购人因此造成的实际经济损失。实际经济损失超出合同总价的30%，采购人有权终止合同。</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sz w:val="21"/>
                <w:szCs w:val="21"/>
              </w:rPr>
            </w:pPr>
          </w:p>
        </w:tc>
        <w:tc>
          <w:tcPr>
            <w:tcW w:w="3580"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3.2投</w:t>
            </w:r>
            <w:r>
              <w:rPr>
                <w:rFonts w:hint="eastAsia" w:asciiTheme="minorEastAsia" w:hAnsiTheme="minorEastAsia" w:eastAsiaTheme="minorEastAsia" w:cstheme="minorEastAsia"/>
                <w:bCs/>
                <w:kern w:val="0"/>
                <w:sz w:val="21"/>
                <w:szCs w:val="21"/>
              </w:rPr>
              <w:t>标人所交设备的品种、型号、规格、质量、功能、技术参数等方面不能实质性满足招标文件要约的，采购人有权拒绝收货，投标人向采购人偿付项目采购金额千分之</w:t>
            </w:r>
            <w:r>
              <w:rPr>
                <w:rFonts w:hint="eastAsia" w:asciiTheme="minorEastAsia" w:hAnsiTheme="minorEastAsia" w:eastAsiaTheme="minorEastAsia" w:cstheme="minorEastAsia"/>
                <w:bCs/>
                <w:kern w:val="0"/>
                <w:sz w:val="21"/>
                <w:szCs w:val="21"/>
                <w:u w:val="single"/>
              </w:rPr>
              <w:t>十</w:t>
            </w:r>
            <w:r>
              <w:rPr>
                <w:rFonts w:hint="eastAsia" w:asciiTheme="minorEastAsia" w:hAnsiTheme="minorEastAsia" w:eastAsiaTheme="minorEastAsia" w:cstheme="minorEastAsia"/>
                <w:bCs/>
                <w:kern w:val="0"/>
                <w:sz w:val="21"/>
                <w:szCs w:val="21"/>
              </w:rPr>
              <w:t>的违约金；造成严重后果的，根据《深圳经济特区政府采购条例》第五十七条第（二）款规定，由主管部门对中标人进行处罚。</w:t>
            </w:r>
          </w:p>
        </w:tc>
        <w:tc>
          <w:tcPr>
            <w:tcW w:w="1935"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1545"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705"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p>
        </w:tc>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sz w:val="21"/>
                <w:szCs w:val="21"/>
              </w:rPr>
            </w:pP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bCs/>
                <w:kern w:val="0"/>
                <w:sz w:val="21"/>
                <w:szCs w:val="21"/>
              </w:rPr>
              <w:t>投标人不能交付设备的，投标人向采购人偿付项目采购金额千分之</w:t>
            </w:r>
            <w:r>
              <w:rPr>
                <w:rFonts w:hint="eastAsia" w:asciiTheme="minorEastAsia" w:hAnsiTheme="minorEastAsia" w:eastAsiaTheme="minorEastAsia" w:cstheme="minorEastAsia"/>
                <w:bCs/>
                <w:kern w:val="0"/>
                <w:sz w:val="21"/>
                <w:szCs w:val="21"/>
                <w:u w:val="single"/>
              </w:rPr>
              <w:t>十</w:t>
            </w:r>
            <w:r>
              <w:rPr>
                <w:rFonts w:hint="eastAsia" w:asciiTheme="minorEastAsia" w:hAnsiTheme="minorEastAsia" w:eastAsiaTheme="minorEastAsia" w:cstheme="minorEastAsia"/>
                <w:bCs/>
                <w:kern w:val="0"/>
                <w:sz w:val="21"/>
                <w:szCs w:val="21"/>
              </w:rPr>
              <w:t>的违约金；造成严重后果的，根据《深圳经济特区政府采购条例》第五十七条第（二）款规定，由主管部门对中标人进行处罚。</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关于付款</w:t>
            </w:r>
          </w:p>
        </w:tc>
        <w:tc>
          <w:tcPr>
            <w:tcW w:w="35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（1）预付款：合同签订后，中标人于 7个日历日内向采购人开具相应款项合法有效的普通发票后，采购人向中标人支付合同总价50%的款项。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（2）验收款：项目验收合格后，中标人于7个日历日内向采购人开具相应款项合法有效的普通发票后，采购人向中标人支付合同总价50%的款项。</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tc>
      </w:tr>
    </w:tbl>
    <w:p>
      <w:pPr>
        <w:ind w:firstLine="420" w:firstLineChars="200"/>
        <w:rPr>
          <w:rFonts w:hint="eastAsia"/>
          <w:bCs/>
          <w:szCs w:val="21"/>
        </w:rPr>
      </w:pPr>
    </w:p>
    <w:p>
      <w:pPr>
        <w:ind w:firstLine="420" w:firstLineChars="200"/>
        <w:rPr>
          <w:rFonts w:hint="eastAsia"/>
          <w:bCs/>
          <w:szCs w:val="21"/>
        </w:rPr>
      </w:pPr>
    </w:p>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rPr>
          <w:sz w:val="24"/>
        </w:rPr>
      </w:pPr>
    </w:p>
    <w:p>
      <w:pPr>
        <w:pStyle w:val="5"/>
        <w:jc w:val="center"/>
        <w:rPr>
          <w:rFonts w:hint="eastAsia" w:ascii="黑体" w:eastAsia="黑体"/>
          <w:b w:val="0"/>
          <w:sz w:val="24"/>
          <w:szCs w:val="24"/>
        </w:rPr>
      </w:pPr>
      <w:r>
        <w:rPr>
          <w:rFonts w:hint="eastAsia" w:ascii="黑体" w:eastAsia="黑体"/>
          <w:b w:val="0"/>
          <w:sz w:val="24"/>
          <w:szCs w:val="24"/>
        </w:rPr>
        <w:t>十、技术保障措施（格式自定）</w:t>
      </w:r>
    </w:p>
    <w:p>
      <w:pPr>
        <w:rPr>
          <w:b/>
          <w:color w:val="FF0000"/>
          <w:sz w:val="22"/>
        </w:rPr>
      </w:pPr>
      <w:r>
        <w:rPr>
          <w:rFonts w:hint="eastAsia"/>
          <w:b/>
          <w:color w:val="FF0000"/>
          <w:sz w:val="22"/>
        </w:rPr>
        <w:t>（特别提示：投标人须按本招标文件评标信息中这一评审因素要求，提供证明资料）</w:t>
      </w:r>
    </w:p>
    <w:p>
      <w:pPr>
        <w:rPr>
          <w:b/>
          <w:sz w:val="22"/>
        </w:rPr>
      </w:pPr>
    </w:p>
    <w:p>
      <w:pPr>
        <w:pStyle w:val="5"/>
        <w:jc w:val="center"/>
        <w:rPr>
          <w:rFonts w:hint="eastAsia" w:ascii="黑体" w:eastAsia="黑体"/>
          <w:b w:val="0"/>
          <w:sz w:val="24"/>
          <w:szCs w:val="24"/>
        </w:rPr>
      </w:pPr>
      <w:r>
        <w:rPr>
          <w:rFonts w:hint="eastAsia" w:ascii="黑体" w:hAnsi="宋体" w:eastAsia="黑体" w:cs="Times New Roman"/>
          <w:b w:val="0"/>
          <w:sz w:val="24"/>
          <w:szCs w:val="24"/>
        </w:rPr>
        <w:t>十一、</w:t>
      </w:r>
      <w:r>
        <w:rPr>
          <w:rFonts w:hint="eastAsia" w:ascii="黑体" w:eastAsia="黑体"/>
          <w:b w:val="0"/>
          <w:sz w:val="24"/>
          <w:szCs w:val="24"/>
        </w:rPr>
        <w:t>供应商同类业绩</w:t>
      </w:r>
    </w:p>
    <w:tbl>
      <w:tblPr>
        <w:tblStyle w:val="4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416"/>
        <w:gridCol w:w="1984"/>
        <w:gridCol w:w="849"/>
        <w:gridCol w:w="992"/>
        <w:gridCol w:w="21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jc w:val="center"/>
              <w:rPr>
                <w:rFonts w:hint="eastAsia" w:ascii="宋体" w:hAnsi="宋体"/>
                <w:sz w:val="20"/>
                <w:szCs w:val="21"/>
              </w:rPr>
            </w:pPr>
            <w:r>
              <w:rPr>
                <w:rFonts w:hint="eastAsia" w:ascii="宋体" w:hAnsi="宋体"/>
                <w:sz w:val="20"/>
                <w:szCs w:val="21"/>
              </w:rPr>
              <w:t>采购人</w:t>
            </w:r>
          </w:p>
        </w:tc>
        <w:tc>
          <w:tcPr>
            <w:tcW w:w="831" w:type="pct"/>
            <w:vAlign w:val="center"/>
          </w:tcPr>
          <w:p>
            <w:pPr>
              <w:jc w:val="center"/>
              <w:rPr>
                <w:rFonts w:hint="eastAsia" w:ascii="宋体" w:hAnsi="宋体"/>
                <w:sz w:val="20"/>
                <w:szCs w:val="21"/>
              </w:rPr>
            </w:pPr>
            <w:r>
              <w:rPr>
                <w:rFonts w:hint="eastAsia" w:ascii="宋体" w:hAnsi="宋体"/>
                <w:sz w:val="20"/>
                <w:szCs w:val="21"/>
              </w:rPr>
              <w:t>项目名称</w:t>
            </w:r>
          </w:p>
        </w:tc>
        <w:tc>
          <w:tcPr>
            <w:tcW w:w="1164" w:type="pct"/>
            <w:vAlign w:val="center"/>
          </w:tcPr>
          <w:p>
            <w:pPr>
              <w:jc w:val="center"/>
              <w:rPr>
                <w:rFonts w:hint="eastAsia" w:ascii="宋体" w:hAnsi="宋体"/>
                <w:sz w:val="20"/>
                <w:szCs w:val="21"/>
              </w:rPr>
            </w:pPr>
            <w:r>
              <w:rPr>
                <w:rFonts w:hint="eastAsia" w:ascii="宋体" w:hAnsi="宋体"/>
                <w:sz w:val="20"/>
                <w:szCs w:val="21"/>
              </w:rPr>
              <w:t>项目规模（金额）</w:t>
            </w:r>
          </w:p>
        </w:tc>
        <w:tc>
          <w:tcPr>
            <w:tcW w:w="498" w:type="pct"/>
            <w:vAlign w:val="center"/>
          </w:tcPr>
          <w:p>
            <w:pPr>
              <w:jc w:val="center"/>
              <w:rPr>
                <w:rFonts w:hint="eastAsia" w:ascii="宋体" w:hAnsi="宋体"/>
                <w:sz w:val="20"/>
                <w:szCs w:val="21"/>
              </w:rPr>
            </w:pPr>
            <w:r>
              <w:rPr>
                <w:rFonts w:hint="eastAsia" w:ascii="宋体" w:hAnsi="宋体"/>
                <w:sz w:val="20"/>
                <w:szCs w:val="21"/>
              </w:rPr>
              <w:t>合同签订日期</w:t>
            </w:r>
          </w:p>
        </w:tc>
        <w:tc>
          <w:tcPr>
            <w:tcW w:w="582" w:type="pct"/>
            <w:vAlign w:val="center"/>
          </w:tcPr>
          <w:p>
            <w:pPr>
              <w:jc w:val="center"/>
              <w:rPr>
                <w:rFonts w:hint="eastAsia" w:ascii="宋体" w:hAnsi="宋体"/>
                <w:sz w:val="20"/>
                <w:szCs w:val="21"/>
              </w:rPr>
            </w:pPr>
            <w:r>
              <w:rPr>
                <w:rFonts w:hint="eastAsia" w:ascii="宋体" w:hAnsi="宋体"/>
                <w:sz w:val="20"/>
                <w:szCs w:val="21"/>
              </w:rPr>
              <w:t>履约验收时间</w:t>
            </w:r>
          </w:p>
        </w:tc>
        <w:tc>
          <w:tcPr>
            <w:tcW w:w="1280" w:type="pct"/>
            <w:vAlign w:val="center"/>
          </w:tcPr>
          <w:p>
            <w:pPr>
              <w:jc w:val="center"/>
              <w:rPr>
                <w:rFonts w:hint="eastAsia" w:ascii="宋体" w:hAnsi="宋体"/>
                <w:sz w:val="20"/>
                <w:szCs w:val="21"/>
              </w:rPr>
            </w:pPr>
            <w:r>
              <w:rPr>
                <w:rFonts w:hint="eastAsia" w:ascii="宋体" w:hAnsi="宋体"/>
                <w:sz w:val="20"/>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ind w:firstLine="400" w:firstLineChars="200"/>
              <w:rPr>
                <w:rFonts w:hint="eastAsia" w:ascii="宋体" w:hAnsi="宋体"/>
                <w:sz w:val="20"/>
                <w:szCs w:val="21"/>
              </w:rPr>
            </w:pPr>
            <w:r>
              <w:rPr>
                <w:rFonts w:ascii="宋体" w:hAnsi="宋体"/>
                <w:sz w:val="20"/>
                <w:szCs w:val="21"/>
              </w:rPr>
              <w:t>……</w:t>
            </w:r>
          </w:p>
        </w:tc>
        <w:tc>
          <w:tcPr>
            <w:tcW w:w="831" w:type="pct"/>
            <w:vAlign w:val="center"/>
          </w:tcPr>
          <w:p>
            <w:pPr>
              <w:ind w:firstLine="400" w:firstLineChars="200"/>
              <w:rPr>
                <w:rFonts w:hint="eastAsia" w:ascii="宋体" w:hAnsi="宋体"/>
                <w:sz w:val="20"/>
                <w:szCs w:val="21"/>
              </w:rPr>
            </w:pPr>
          </w:p>
        </w:tc>
        <w:tc>
          <w:tcPr>
            <w:tcW w:w="1164" w:type="pct"/>
            <w:vAlign w:val="center"/>
          </w:tcPr>
          <w:p>
            <w:pPr>
              <w:ind w:firstLine="400" w:firstLineChars="200"/>
              <w:rPr>
                <w:rFonts w:hint="eastAsia" w:ascii="宋体" w:hAnsi="宋体"/>
                <w:sz w:val="20"/>
                <w:szCs w:val="21"/>
              </w:rPr>
            </w:pPr>
          </w:p>
        </w:tc>
        <w:tc>
          <w:tcPr>
            <w:tcW w:w="498" w:type="pct"/>
            <w:vAlign w:val="center"/>
          </w:tcPr>
          <w:p>
            <w:pPr>
              <w:ind w:firstLine="400" w:firstLineChars="200"/>
              <w:rPr>
                <w:rFonts w:hint="eastAsia" w:ascii="宋体" w:hAnsi="宋体"/>
                <w:sz w:val="20"/>
                <w:szCs w:val="21"/>
              </w:rPr>
            </w:pPr>
          </w:p>
        </w:tc>
        <w:tc>
          <w:tcPr>
            <w:tcW w:w="582" w:type="pct"/>
            <w:vAlign w:val="center"/>
          </w:tcPr>
          <w:p>
            <w:pPr>
              <w:ind w:firstLine="400" w:firstLineChars="200"/>
              <w:rPr>
                <w:rFonts w:hint="eastAsia" w:ascii="宋体" w:hAnsi="宋体"/>
                <w:sz w:val="20"/>
                <w:szCs w:val="21"/>
              </w:rPr>
            </w:pPr>
          </w:p>
        </w:tc>
        <w:tc>
          <w:tcPr>
            <w:tcW w:w="1280" w:type="pct"/>
            <w:vAlign w:val="center"/>
          </w:tcPr>
          <w:p>
            <w:pPr>
              <w:ind w:firstLine="400" w:firstLineChars="200"/>
              <w:rPr>
                <w:rFonts w:hint="eastAsia" w:ascii="宋体" w:hAnsi="宋体"/>
                <w:sz w:val="2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ind w:firstLine="400" w:firstLineChars="200"/>
              <w:rPr>
                <w:rFonts w:hint="eastAsia" w:ascii="宋体" w:hAnsi="宋体"/>
                <w:sz w:val="20"/>
                <w:szCs w:val="21"/>
              </w:rPr>
            </w:pPr>
          </w:p>
        </w:tc>
        <w:tc>
          <w:tcPr>
            <w:tcW w:w="831" w:type="pct"/>
            <w:vAlign w:val="center"/>
          </w:tcPr>
          <w:p>
            <w:pPr>
              <w:ind w:firstLine="400" w:firstLineChars="200"/>
              <w:rPr>
                <w:rFonts w:hint="eastAsia" w:ascii="宋体" w:hAnsi="宋体"/>
                <w:sz w:val="20"/>
                <w:szCs w:val="21"/>
              </w:rPr>
            </w:pPr>
          </w:p>
        </w:tc>
        <w:tc>
          <w:tcPr>
            <w:tcW w:w="1164" w:type="pct"/>
            <w:vAlign w:val="center"/>
          </w:tcPr>
          <w:p>
            <w:pPr>
              <w:ind w:firstLine="400" w:firstLineChars="200"/>
              <w:rPr>
                <w:rFonts w:hint="eastAsia" w:ascii="宋体" w:hAnsi="宋体"/>
                <w:sz w:val="20"/>
                <w:szCs w:val="21"/>
              </w:rPr>
            </w:pPr>
          </w:p>
        </w:tc>
        <w:tc>
          <w:tcPr>
            <w:tcW w:w="498" w:type="pct"/>
            <w:vAlign w:val="center"/>
          </w:tcPr>
          <w:p>
            <w:pPr>
              <w:ind w:firstLine="400" w:firstLineChars="200"/>
              <w:rPr>
                <w:rFonts w:hint="eastAsia" w:ascii="宋体" w:hAnsi="宋体"/>
                <w:sz w:val="20"/>
                <w:szCs w:val="21"/>
              </w:rPr>
            </w:pPr>
          </w:p>
        </w:tc>
        <w:tc>
          <w:tcPr>
            <w:tcW w:w="582" w:type="pct"/>
            <w:vAlign w:val="center"/>
          </w:tcPr>
          <w:p>
            <w:pPr>
              <w:ind w:firstLine="400" w:firstLineChars="200"/>
              <w:rPr>
                <w:rFonts w:hint="eastAsia" w:ascii="宋体" w:hAnsi="宋体"/>
                <w:sz w:val="20"/>
                <w:szCs w:val="21"/>
              </w:rPr>
            </w:pPr>
          </w:p>
        </w:tc>
        <w:tc>
          <w:tcPr>
            <w:tcW w:w="1280" w:type="pct"/>
            <w:vAlign w:val="center"/>
          </w:tcPr>
          <w:p>
            <w:pPr>
              <w:ind w:firstLine="400" w:firstLineChars="200"/>
              <w:rPr>
                <w:rFonts w:hint="eastAsia" w:ascii="宋体" w:hAnsi="宋体"/>
                <w:sz w:val="2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ind w:firstLine="400" w:firstLineChars="200"/>
              <w:rPr>
                <w:rFonts w:hint="eastAsia" w:ascii="宋体" w:hAnsi="宋体"/>
                <w:sz w:val="20"/>
                <w:szCs w:val="21"/>
              </w:rPr>
            </w:pPr>
          </w:p>
        </w:tc>
        <w:tc>
          <w:tcPr>
            <w:tcW w:w="831" w:type="pct"/>
            <w:vAlign w:val="center"/>
          </w:tcPr>
          <w:p>
            <w:pPr>
              <w:ind w:firstLine="400" w:firstLineChars="200"/>
              <w:rPr>
                <w:rFonts w:hint="eastAsia" w:ascii="宋体" w:hAnsi="宋体"/>
                <w:sz w:val="20"/>
                <w:szCs w:val="21"/>
              </w:rPr>
            </w:pPr>
          </w:p>
        </w:tc>
        <w:tc>
          <w:tcPr>
            <w:tcW w:w="1164" w:type="pct"/>
            <w:vAlign w:val="center"/>
          </w:tcPr>
          <w:p>
            <w:pPr>
              <w:ind w:firstLine="400" w:firstLineChars="200"/>
              <w:rPr>
                <w:rFonts w:hint="eastAsia" w:ascii="宋体" w:hAnsi="宋体"/>
                <w:sz w:val="20"/>
                <w:szCs w:val="21"/>
              </w:rPr>
            </w:pPr>
          </w:p>
        </w:tc>
        <w:tc>
          <w:tcPr>
            <w:tcW w:w="498" w:type="pct"/>
            <w:vAlign w:val="center"/>
          </w:tcPr>
          <w:p>
            <w:pPr>
              <w:ind w:firstLine="400" w:firstLineChars="200"/>
              <w:rPr>
                <w:rFonts w:hint="eastAsia" w:ascii="宋体" w:hAnsi="宋体"/>
                <w:sz w:val="20"/>
                <w:szCs w:val="21"/>
              </w:rPr>
            </w:pPr>
          </w:p>
        </w:tc>
        <w:tc>
          <w:tcPr>
            <w:tcW w:w="582" w:type="pct"/>
            <w:vAlign w:val="center"/>
          </w:tcPr>
          <w:p>
            <w:pPr>
              <w:ind w:firstLine="400" w:firstLineChars="200"/>
              <w:rPr>
                <w:rFonts w:hint="eastAsia" w:ascii="宋体" w:hAnsi="宋体"/>
                <w:sz w:val="20"/>
                <w:szCs w:val="21"/>
              </w:rPr>
            </w:pPr>
          </w:p>
          <w:p/>
        </w:tc>
        <w:tc>
          <w:tcPr>
            <w:tcW w:w="1280" w:type="pct"/>
            <w:vAlign w:val="center"/>
          </w:tcPr>
          <w:p>
            <w:pPr>
              <w:ind w:firstLine="400" w:firstLineChars="200"/>
              <w:rPr>
                <w:rFonts w:hint="eastAsia" w:ascii="宋体" w:hAnsi="宋体"/>
                <w:sz w:val="20"/>
                <w:szCs w:val="21"/>
              </w:rPr>
            </w:pPr>
          </w:p>
        </w:tc>
      </w:tr>
    </w:tbl>
    <w:p>
      <w:pPr>
        <w:rPr>
          <w:b/>
          <w:bCs/>
          <w:color w:val="FF0000"/>
        </w:rPr>
      </w:pPr>
      <w:r>
        <w:rPr>
          <w:rFonts w:hint="eastAsia"/>
          <w:b/>
          <w:bCs/>
          <w:color w:val="FF0000"/>
        </w:rPr>
        <w:t>（特别提示：投标人须按本招标文件评标信息中这一评审因素要求，提供详细证明资料）</w:t>
      </w:r>
    </w:p>
    <w:p>
      <w:pPr>
        <w:rPr>
          <w:b/>
          <w:color w:val="FF0000"/>
          <w:sz w:val="24"/>
        </w:rPr>
      </w:pPr>
    </w:p>
    <w:p>
      <w:pPr>
        <w:pStyle w:val="2"/>
      </w:pPr>
    </w:p>
    <w:p>
      <w:pPr>
        <w:pStyle w:val="5"/>
        <w:jc w:val="center"/>
        <w:rPr>
          <w:rFonts w:hint="eastAsia" w:ascii="黑体" w:eastAsia="黑体"/>
          <w:b w:val="0"/>
          <w:sz w:val="24"/>
          <w:szCs w:val="24"/>
        </w:rPr>
      </w:pPr>
      <w:r>
        <w:rPr>
          <w:rFonts w:hint="eastAsia" w:ascii="黑体" w:eastAsia="黑体"/>
          <w:b w:val="0"/>
          <w:sz w:val="24"/>
          <w:szCs w:val="24"/>
        </w:rPr>
        <w:t>十</w:t>
      </w:r>
      <w:r>
        <w:rPr>
          <w:rFonts w:hint="eastAsia" w:ascii="黑体" w:eastAsia="黑体"/>
          <w:b w:val="0"/>
          <w:sz w:val="24"/>
          <w:szCs w:val="24"/>
          <w:lang w:val="en-US" w:eastAsia="zh-CN"/>
        </w:rPr>
        <w:t>二</w:t>
      </w:r>
      <w:r>
        <w:rPr>
          <w:rFonts w:hint="eastAsia" w:ascii="黑体" w:eastAsia="黑体"/>
          <w:b w:val="0"/>
          <w:sz w:val="24"/>
          <w:szCs w:val="24"/>
        </w:rPr>
        <w:t>、投标人认为需要加以说明的其他内容（格式自定）</w:t>
      </w:r>
    </w:p>
    <w:p>
      <w:pPr>
        <w:pStyle w:val="2"/>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b/>
        </w:rPr>
      </w:pPr>
      <w:r>
        <w:rPr>
          <w:rFonts w:hint="eastAsia"/>
          <w:b/>
        </w:rPr>
        <w:t>四、本公司已充分知悉政府采购违法、违规行为的法律后果。</w:t>
      </w:r>
    </w:p>
    <w:p>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kern w:val="0"/>
          <w:sz w:val="24"/>
        </w:rPr>
      </w:pPr>
    </w:p>
    <w:p>
      <w:pPr>
        <w:pStyle w:val="2"/>
      </w:pPr>
      <w:r>
        <w:rPr>
          <w:rFonts w:hint="eastAsia" w:ascii="黑体" w:hAnsi="宋体" w:eastAsia="黑体"/>
          <w:kern w:val="0"/>
          <w:szCs w:val="20"/>
        </w:rPr>
        <w:t>（二）投标人认为需要加以说明的其他内容（格式自定）</w:t>
      </w:r>
    </w:p>
    <w:p>
      <w:pPr>
        <w:pStyle w:val="3"/>
      </w:pPr>
    </w:p>
    <w:p>
      <w:pPr>
        <w:widowControl/>
        <w:jc w:val="left"/>
        <w:rPr>
          <w:rFonts w:hint="eastAsia" w:ascii="宋体" w:hAnsi="宋体"/>
          <w:b/>
          <w:bCs/>
          <w:kern w:val="0"/>
          <w:sz w:val="24"/>
          <w:szCs w:val="20"/>
        </w:rPr>
      </w:pPr>
      <w:r>
        <w:br w:type="page"/>
      </w:r>
    </w:p>
    <w:p>
      <w:pPr>
        <w:pStyle w:val="7"/>
        <w:rPr>
          <w:rFonts w:hint="eastAsia"/>
          <w:sz w:val="28"/>
          <w:szCs w:val="28"/>
        </w:rPr>
      </w:pPr>
      <w:r>
        <w:rPr>
          <w:rFonts w:hint="eastAsia"/>
          <w:sz w:val="28"/>
          <w:szCs w:val="28"/>
        </w:rPr>
        <w:t>第五章  合同条款及格式</w:t>
      </w:r>
    </w:p>
    <w:p>
      <w:pPr>
        <w:jc w:val="center"/>
        <w:outlineLvl w:val="9"/>
      </w:pPr>
      <w:r>
        <w:rPr>
          <w:rFonts w:hint="eastAsia"/>
          <w:b/>
          <w:sz w:val="24"/>
        </w:rPr>
        <w:t>（仅供参考，具体以项目需求及实际签订为准）</w:t>
      </w:r>
    </w:p>
    <w:p>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自行采购货物买卖合同</w:t>
      </w:r>
    </w:p>
    <w:p>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pPr>
        <w:rPr>
          <w:rFonts w:hint="eastAsia" w:ascii="宋体" w:hAnsi="宋体" w:cs="宋体"/>
          <w:b/>
          <w:bCs/>
          <w:spacing w:val="-20"/>
          <w:kern w:val="44"/>
          <w:sz w:val="40"/>
          <w:szCs w:val="40"/>
        </w:rPr>
      </w:pPr>
    </w:p>
    <w:p>
      <w:pPr>
        <w:rPr>
          <w:rFonts w:hint="eastAsia" w:ascii="宋体" w:hAnsi="宋体" w:cs="宋体"/>
          <w:b/>
          <w:bCs/>
          <w:spacing w:val="-20"/>
          <w:kern w:val="44"/>
          <w:sz w:val="40"/>
          <w:szCs w:val="40"/>
        </w:rPr>
      </w:pPr>
    </w:p>
    <w:p>
      <w:pPr>
        <w:rPr>
          <w:rFonts w:hint="eastAsia"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bookmarkStart w:id="60" w:name="_Toc22209"/>
    </w:p>
    <w:p>
      <w:pPr>
        <w:keepNext/>
        <w:keepLines/>
        <w:adjustRightInd w:val="0"/>
        <w:snapToGrid w:val="0"/>
        <w:spacing w:line="400" w:lineRule="exact"/>
        <w:jc w:val="center"/>
        <w:outlineLvl w:val="9"/>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采购合同协议书</w:t>
      </w:r>
      <w:bookmarkEnd w:id="60"/>
    </w:p>
    <w:p/>
    <w:p>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00" w:lineRule="exact"/>
      </w:pPr>
    </w:p>
    <w:p>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pPr>
        <w:numPr>
          <w:ilvl w:val="0"/>
          <w:numId w:val="10"/>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0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00" w:lineRule="exact"/>
        <w:ind w:firstLine="420" w:firstLineChars="200"/>
        <w:rPr>
          <w:szCs w:val="21"/>
        </w:rPr>
      </w:pPr>
      <w:r>
        <w:rPr>
          <w:rFonts w:hint="eastAsia" w:ascii="宋体" w:hAnsi="宋体"/>
          <w:szCs w:val="21"/>
        </w:rPr>
        <w:t>（3）付款方式（按项目实际勾选填写）：</w:t>
      </w:r>
    </w:p>
    <w:p>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9"/>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pPr>
        <w:numPr>
          <w:ilvl w:val="0"/>
          <w:numId w:val="11"/>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（1）采购合同协议书及其变更、补充协议</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（2）采购合同专用条款</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（3）采购合同通用条款</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r>
        <w:rPr>
          <w:rFonts w:hint="eastAsia"/>
        </w:rPr>
        <w:br w:type="page"/>
      </w:r>
    </w:p>
    <w:p>
      <w:pPr>
        <w:ind w:firstLine="420" w:firstLineChars="200"/>
        <w:rPr>
          <w:szCs w:val="21"/>
        </w:rPr>
      </w:pPr>
    </w:p>
    <w:tbl>
      <w:tblPr>
        <w:tblStyle w:val="4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20" w:beforeLines="50" w:line="360" w:lineRule="auto"/>
        <w:jc w:val="center"/>
        <w:outlineLvl w:val="9"/>
        <w:rPr>
          <w:rFonts w:hint="eastAsia" w:ascii="黑体" w:hAnsi="黑体" w:eastAsia="黑体"/>
          <w:b/>
          <w:bCs/>
          <w:sz w:val="28"/>
          <w:szCs w:val="28"/>
        </w:rPr>
      </w:pPr>
      <w:r>
        <w:rPr>
          <w:rFonts w:ascii="宋体" w:hAnsi="宋体"/>
          <w:b/>
          <w:bCs/>
          <w:szCs w:val="21"/>
          <w:u w:val="single"/>
        </w:rPr>
        <w:br w:type="page"/>
      </w:r>
      <w:bookmarkStart w:id="61" w:name="_Toc27624"/>
      <w:r>
        <w:rPr>
          <w:rFonts w:hint="eastAsia" w:ascii="黑体" w:hAnsi="黑体" w:eastAsia="黑体"/>
          <w:sz w:val="28"/>
          <w:szCs w:val="28"/>
        </w:rPr>
        <w:t>第二节 采购合同通用条款</w:t>
      </w:r>
      <w:bookmarkEnd w:id="61"/>
    </w:p>
    <w:p>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（1）采购人（以下称甲方）是指使用财政性资金，通过采购方式向供应商购买货物及其相关服务的国家机关、事业单位、团体组织。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采购合同协议书及其变更、补充协议，采购合同专用条款，采购合同通用条款，中标（成交）通知书，投标（响应）文件，采购文件，有关技术文件和图纸，以及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采购合同专用条款</w:t>
      </w:r>
      <w:r>
        <w:rPr>
          <w:rFonts w:hint="eastAsia" w:ascii="宋体" w:hAnsi="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采购合同专用条款</w:t>
      </w:r>
      <w:r>
        <w:rPr>
          <w:rFonts w:hint="eastAsia" w:ascii="宋体" w:hAnsi="宋体"/>
          <w:color w:val="000000"/>
          <w:szCs w:val="21"/>
        </w:rPr>
        <w:t>】。</w:t>
      </w:r>
    </w:p>
    <w:p>
      <w:pPr>
        <w:numPr>
          <w:ilvl w:val="0"/>
          <w:numId w:val="12"/>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【采购合同专用条款】</w:t>
      </w:r>
      <w:r>
        <w:rPr>
          <w:rFonts w:hint="eastAsia" w:ascii="宋体" w:hAnsi="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pPr>
        <w:numPr>
          <w:ilvl w:val="0"/>
          <w:numId w:val="13"/>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【采购合同专用条款】</w:t>
      </w:r>
      <w:r>
        <w:rPr>
          <w:rFonts w:hint="eastAsia" w:ascii="宋体" w:hAnsi="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【采购合同专用条款】</w:t>
      </w:r>
      <w:r>
        <w:rPr>
          <w:rFonts w:hint="eastAsia" w:ascii="宋体" w:hAnsi="宋体"/>
          <w:bCs/>
          <w:color w:val="000000"/>
          <w:szCs w:val="21"/>
        </w:rPr>
        <w:t>约定的</w:t>
      </w:r>
      <w:r>
        <w:rPr>
          <w:rFonts w:hint="eastAsia" w:ascii="宋体" w:hAnsi="宋体"/>
          <w:color w:val="000000"/>
          <w:szCs w:val="21"/>
        </w:rPr>
        <w:t>指定现场。</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【采购合同专用条款】</w:t>
      </w:r>
      <w:r>
        <w:rPr>
          <w:rFonts w:hint="eastAsia" w:ascii="宋体" w:hAnsi="宋体"/>
          <w:bCs/>
          <w:color w:val="000000"/>
          <w:szCs w:val="21"/>
        </w:rPr>
        <w:t>规定执行</w:t>
      </w:r>
      <w:r>
        <w:rPr>
          <w:rFonts w:hint="eastAsia" w:ascii="宋体" w:hAnsi="宋体"/>
          <w:color w:val="000000"/>
          <w:szCs w:val="21"/>
        </w:rPr>
        <w:t>。</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62"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2"/>
      <w:r>
        <w:rPr>
          <w:rFonts w:hint="eastAsia" w:ascii="宋体" w:hAnsi="宋体"/>
          <w:szCs w:val="21"/>
        </w:rPr>
        <w:t>。</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【采购合同专用条款】</w:t>
      </w:r>
      <w:r>
        <w:rPr>
          <w:rFonts w:hint="eastAsia" w:ascii="宋体" w:hAnsi="宋体" w:cs="宋体"/>
          <w:szCs w:val="15"/>
        </w:rPr>
        <w:t>中约定。</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pPr>
        <w:autoSpaceDE w:val="0"/>
        <w:autoSpaceDN w:val="0"/>
        <w:adjustRightInd w:val="0"/>
        <w:snapToGrid w:val="0"/>
        <w:spacing w:line="400" w:lineRule="exact"/>
        <w:ind w:firstLine="420" w:firstLineChars="200"/>
        <w:jc w:val="left"/>
        <w:rPr>
          <w:rFonts w:ascii="Arial" w:hAnsi="Arial"/>
          <w:b/>
          <w:bCs/>
          <w:sz w:val="24"/>
          <w:szCs w:val="32"/>
        </w:rPr>
      </w:pPr>
      <w:r>
        <w:rPr>
          <w:rFonts w:hint="eastAsia" w:ascii="宋体" w:hAnsi="宋体"/>
          <w:szCs w:val="21"/>
        </w:rPr>
        <w:t>12.2 对于满足合同约定支付条件的，甲方原则上应当自收到发票后10个工作日内将资金</w:t>
      </w:r>
      <w:r>
        <w:rPr>
          <w:rFonts w:hint="eastAsia" w:ascii="宋体" w:hAnsi="宋体" w:cs="宋体"/>
          <w:szCs w:val="15"/>
        </w:rPr>
        <w:t>支付</w:t>
      </w:r>
      <w:r>
        <w:rPr>
          <w:rFonts w:hint="eastAsia" w:ascii="宋体" w:hAnsi="宋体"/>
          <w:szCs w:val="21"/>
        </w:rPr>
        <w:t>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采购合同专用条款</w:t>
      </w:r>
      <w:r>
        <w:rPr>
          <w:rFonts w:hint="eastAsia" w:ascii="宋体" w:hAnsi="宋体"/>
          <w:szCs w:val="21"/>
        </w:rPr>
        <w:t>】中约定。</w:t>
      </w:r>
    </w:p>
    <w:p>
      <w:pPr>
        <w:spacing w:line="400" w:lineRule="exact"/>
        <w:rPr>
          <w:rFonts w:hint="eastAsia" w:ascii="宋体" w:hAnsi="宋体"/>
          <w:b/>
          <w:bCs/>
          <w:sz w:val="24"/>
        </w:rPr>
      </w:pPr>
      <w:r>
        <w:rPr>
          <w:rFonts w:hint="eastAsia" w:ascii="宋体" w:hAnsi="宋体"/>
          <w:b/>
          <w:bCs/>
          <w:sz w:val="24"/>
        </w:rPr>
        <w:t>13. 履约保证金</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pPr>
      <w:r>
        <w:rPr>
          <w:rFonts w:hint="eastAsia" w:ascii="宋体" w:hAnsi="宋体"/>
          <w:szCs w:val="21"/>
        </w:rPr>
        <w:t>13.3 甲方在项目通过验收后按照</w:t>
      </w:r>
      <w:r>
        <w:rPr>
          <w:rFonts w:hint="eastAsia" w:ascii="宋体" w:hAnsi="宋体"/>
          <w:b/>
          <w:szCs w:val="21"/>
        </w:rPr>
        <w:t>【采购合同专用条款】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【采购合同专用条款】</w:t>
      </w:r>
      <w:r>
        <w:rPr>
          <w:rFonts w:hint="eastAsia" w:ascii="宋体" w:hAnsi="宋体"/>
          <w:szCs w:val="21"/>
        </w:rPr>
        <w:t>规定支付。</w:t>
      </w:r>
    </w:p>
    <w:p>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【采购合同专用条款】</w:t>
      </w:r>
      <w:r>
        <w:rPr>
          <w:rFonts w:hint="eastAsia" w:ascii="宋体" w:hAnsi="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【采购合同专用条款】</w:t>
      </w:r>
      <w:r>
        <w:rPr>
          <w:rFonts w:hint="eastAsia" w:ascii="宋体" w:hAnsi="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【采购合同专用条款】</w:t>
      </w:r>
      <w:r>
        <w:rPr>
          <w:rFonts w:hint="eastAsia" w:ascii="宋体" w:hAnsi="宋体"/>
          <w:szCs w:val="21"/>
        </w:rPr>
        <w:t>规定的逾期付款利息。</w:t>
      </w:r>
    </w:p>
    <w:p>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【采购合同专用条款】</w:t>
      </w:r>
      <w:r>
        <w:rPr>
          <w:rFonts w:hint="eastAsia" w:ascii="宋体" w:hAnsi="宋体"/>
          <w:szCs w:val="21"/>
        </w:rPr>
        <w:t>规定执行。</w:t>
      </w:r>
    </w:p>
    <w:p>
      <w:pPr>
        <w:numPr>
          <w:ilvl w:val="0"/>
          <w:numId w:val="14"/>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【采购合同专用条款】</w:t>
      </w:r>
      <w:r>
        <w:rPr>
          <w:rFonts w:hint="eastAsia" w:ascii="宋体" w:hAnsi="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采购政策</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pPr>
        <w:numPr>
          <w:ilvl w:val="0"/>
          <w:numId w:val="15"/>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【采购合同专用条款】</w:t>
      </w:r>
      <w:r>
        <w:rPr>
          <w:rFonts w:hint="eastAsia" w:ascii="宋体" w:hAnsi="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63"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9"/>
        <w:rPr>
          <w:rFonts w:hint="eastAsia" w:ascii="黑体" w:hAnsi="华文中宋" w:eastAsia="黑体"/>
          <w:sz w:val="28"/>
          <w:szCs w:val="28"/>
        </w:rPr>
      </w:pPr>
      <w:r>
        <w:rPr>
          <w:rFonts w:hint="eastAsia" w:ascii="黑体" w:hAnsi="华文中宋" w:eastAsia="黑体"/>
          <w:sz w:val="28"/>
          <w:szCs w:val="28"/>
        </w:rPr>
        <w:t>第三节 采购合同专用条款</w:t>
      </w:r>
      <w:bookmarkEnd w:id="63"/>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rPr>
                <w:rFonts w:hint="eastAsia" w:ascii="宋体" w:hAnsi="宋体"/>
                <w:szCs w:val="21"/>
              </w:rPr>
            </w:pPr>
            <w:r>
              <w:rPr>
                <w:rFonts w:hint="eastAsia" w:ascii="宋体" w:hAnsi="宋体"/>
                <w:szCs w:val="21"/>
              </w:rPr>
              <w:t>第6.1款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szCs w:val="21"/>
              </w:rPr>
            </w:pPr>
          </w:p>
        </w:tc>
        <w:tc>
          <w:tcPr>
            <w:tcW w:w="1742" w:type="dxa"/>
            <w:vAlign w:val="center"/>
          </w:tcPr>
          <w:p>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货物质量缺陷</w:t>
            </w:r>
          </w:p>
          <w:p>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szCs w:val="21"/>
              </w:rPr>
            </w:pPr>
            <w:r>
              <w:rPr>
                <w:rFonts w:hint="eastAsia" w:ascii="宋体" w:hAnsi="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pPr>
              <w:adjustRightInd w:val="0"/>
              <w:snapToGrid w:val="0"/>
              <w:jc w:val="left"/>
              <w:rPr>
                <w:rFonts w:hint="eastAsia" w:ascii="宋体" w:hAnsi="宋体"/>
                <w:szCs w:val="21"/>
              </w:rPr>
            </w:pPr>
          </w:p>
        </w:tc>
      </w:tr>
    </w:tbl>
    <w:p>
      <w:pPr>
        <w:widowControl/>
        <w:jc w:val="left"/>
        <w:rPr>
          <w:rFonts w:hint="eastAsia" w:ascii="宋体" w:hAnsi="宋体"/>
          <w:szCs w:val="21"/>
        </w:rPr>
      </w:pPr>
      <w:r>
        <w:rPr>
          <w:rFonts w:ascii="宋体" w:hAnsi="宋体"/>
          <w:szCs w:val="21"/>
        </w:rPr>
        <w:br w:type="page"/>
      </w:r>
    </w:p>
    <w:p>
      <w:pPr>
        <w:pStyle w:val="4"/>
        <w:spacing w:before="120" w:beforeLines="50" w:after="120" w:afterLines="50"/>
        <w:ind w:left="562"/>
        <w:outlineLvl w:val="0"/>
        <w:rPr>
          <w:rFonts w:hint="eastAsia"/>
          <w:sz w:val="28"/>
          <w:szCs w:val="28"/>
        </w:rPr>
      </w:pPr>
      <w:r>
        <w:rPr>
          <w:rFonts w:hint="eastAsia"/>
          <w:sz w:val="28"/>
          <w:szCs w:val="28"/>
        </w:rPr>
        <w:t>第二册  通用条款（公开招标）</w:t>
      </w: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64" w:name="_Hlk72399513"/>
      <w:bookmarkStart w:id="65" w:name="_Hlk72439706"/>
      <w:r>
        <w:rPr>
          <w:rFonts w:hint="eastAsia" w:asciiTheme="majorHAnsi" w:hAnsiTheme="majorHAnsi" w:eastAsiaTheme="majorEastAsia" w:cstheme="majorBidi"/>
          <w:b/>
          <w:bCs/>
          <w:sz w:val="28"/>
          <w:szCs w:val="28"/>
        </w:rPr>
        <w:t>总则</w:t>
      </w:r>
    </w:p>
    <w:bookmarkEnd w:id="64"/>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66" w:name="_Hlk72399729"/>
      <w:r>
        <w:rPr>
          <w:rFonts w:hint="eastAsia" w:ascii="宋体" w:hAnsi="宋体"/>
          <w:szCs w:val="21"/>
        </w:rPr>
        <w:t>如有需要，政府集中采购机构可以对通用条款的内容进行补充。</w:t>
      </w:r>
      <w:bookmarkEnd w:id="66"/>
    </w:p>
    <w:p>
      <w:pPr>
        <w:ind w:firstLine="420" w:firstLineChars="200"/>
        <w:rPr>
          <w:rFonts w:hint="eastAsia" w:ascii="宋体" w:hAnsi="宋体"/>
          <w:szCs w:val="21"/>
        </w:rPr>
      </w:pPr>
      <w:r>
        <w:rPr>
          <w:rFonts w:hint="eastAsia" w:ascii="宋体" w:hAnsi="宋体"/>
          <w:szCs w:val="21"/>
        </w:rPr>
        <w:t>1.2招标文件分为第一册“专用条款”和第二册“通用条款”。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3.6“合同”指由本次招标所产生的合同或合约文件；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67"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6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8"/>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7"/>
    <w:p>
      <w:pPr>
        <w:ind w:firstLine="411" w:firstLineChars="196"/>
        <w:rPr>
          <w:rFonts w:hint="eastAsia" w:ascii="宋体" w:hAnsi="宋体"/>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69" w:name="_Hlk72399819"/>
      <w:r>
        <w:rPr>
          <w:rFonts w:hint="eastAsia" w:ascii="黑体" w:hAnsi="宋体" w:eastAsia="黑体"/>
          <w:szCs w:val="21"/>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20" w:firstLineChars="200"/>
        <w:rPr>
          <w:rFonts w:hint="eastAsia" w:ascii="宋体" w:hAnsi="宋体"/>
          <w:szCs w:val="21"/>
        </w:rPr>
      </w:pPr>
      <w:r>
        <w:rPr>
          <w:rFonts w:hint="eastAsia" w:ascii="宋体" w:hAnsi="宋体"/>
          <w:szCs w:val="21"/>
        </w:rPr>
        <w:t>招标文件包括下列内容：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第一章  招标公告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第二章  招标文件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第九章  公开招标失败的后续处理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9"/>
    </w:p>
    <w:p>
      <w:pPr>
        <w:rPr>
          <w:rFonts w:hint="eastAsia" w:ascii="宋体" w:hAnsi="宋体"/>
          <w:szCs w:val="21"/>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70"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70"/>
    <w:p>
      <w:pPr>
        <w:ind w:firstLine="420" w:firstLineChars="200"/>
        <w:rPr>
          <w:rFonts w:hint="eastAsia" w:ascii="黑体" w:hAnsi="宋体" w:eastAsia="黑体"/>
          <w:szCs w:val="21"/>
        </w:rPr>
      </w:pPr>
      <w:r>
        <w:rPr>
          <w:rFonts w:hint="eastAsia" w:ascii="黑体" w:hAnsi="宋体" w:eastAsia="黑体"/>
          <w:szCs w:val="21"/>
        </w:rPr>
        <w:t>15．</w:t>
      </w:r>
      <w:bookmarkStart w:id="71"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具体内容在招标文件专用条款中进行规定。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71"/>
    <w:p>
      <w:pPr>
        <w:ind w:firstLine="420" w:firstLineChars="200"/>
        <w:rPr>
          <w:rFonts w:hint="eastAsia" w:ascii="黑体" w:hAnsi="宋体" w:eastAsia="黑体"/>
          <w:szCs w:val="21"/>
        </w:rPr>
      </w:pPr>
      <w:r>
        <w:rPr>
          <w:rFonts w:hint="eastAsia" w:ascii="黑体" w:hAnsi="宋体" w:eastAsia="黑体"/>
          <w:szCs w:val="21"/>
        </w:rPr>
        <w:t>18．</w:t>
      </w:r>
      <w:bookmarkStart w:id="72" w:name="_Hlk72401735"/>
      <w:r>
        <w:rPr>
          <w:rFonts w:hint="eastAsia" w:ascii="黑体" w:hAnsi="宋体" w:eastAsia="黑体"/>
          <w:szCs w:val="21"/>
        </w:rPr>
        <w:t>证明投标文件投标技术方案的合格性和符合招标文件规定的文件要求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72"/>
    <w:p>
      <w:pPr>
        <w:ind w:firstLine="420" w:firstLineChars="200"/>
        <w:rPr>
          <w:rFonts w:hint="eastAsia" w:ascii="黑体" w:hAnsi="宋体" w:eastAsia="黑体"/>
          <w:szCs w:val="21"/>
        </w:rPr>
      </w:pPr>
      <w:r>
        <w:rPr>
          <w:rFonts w:hint="eastAsia" w:ascii="黑体" w:hAnsi="宋体" w:eastAsia="黑体"/>
          <w:szCs w:val="21"/>
        </w:rPr>
        <w:t>19．</w:t>
      </w:r>
      <w:bookmarkStart w:id="73"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4" w:name="_Hlk71407299"/>
    </w:p>
    <w:bookmarkEnd w:id="74"/>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73"/>
    <w:p>
      <w:pPr>
        <w:ind w:firstLine="420" w:firstLineChars="200"/>
        <w:rPr>
          <w:rFonts w:hint="eastAsia" w:ascii="宋体" w:hAnsi="宋体"/>
          <w:szCs w:val="21"/>
        </w:rPr>
      </w:pPr>
      <w:bookmarkStart w:id="7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5"/>
    <w:p>
      <w:pPr>
        <w:ind w:firstLine="420" w:firstLineChars="200"/>
        <w:rPr>
          <w:rFonts w:hint="eastAsia" w:ascii="黑体" w:hAnsi="宋体" w:eastAsia="黑体"/>
          <w:szCs w:val="21"/>
        </w:rPr>
      </w:pPr>
      <w:r>
        <w:rPr>
          <w:rFonts w:hint="eastAsia" w:ascii="黑体" w:hAnsi="宋体" w:eastAsia="黑体"/>
          <w:szCs w:val="21"/>
        </w:rPr>
        <w:t>21．</w:t>
      </w:r>
      <w:bookmarkStart w:id="76"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6"/>
    <w:p>
      <w:pPr>
        <w:ind w:firstLine="420" w:firstLineChars="200"/>
        <w:rPr>
          <w:rFonts w:hint="eastAsia" w:ascii="黑体" w:hAnsi="宋体" w:eastAsia="黑体"/>
          <w:szCs w:val="21"/>
        </w:rPr>
      </w:pPr>
      <w:r>
        <w:rPr>
          <w:rFonts w:hint="eastAsia" w:ascii="黑体" w:hAnsi="宋体" w:eastAsia="黑体"/>
          <w:szCs w:val="21"/>
        </w:rPr>
        <w:t>23．</w:t>
      </w:r>
      <w:bookmarkStart w:id="77"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23.2.6投标人在编辑投标文件时，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77"/>
    </w:p>
    <w:p>
      <w:pPr>
        <w:ind w:firstLine="411" w:firstLineChars="196"/>
        <w:rPr>
          <w:rFonts w:hint="eastAsia" w:ascii="宋体" w:hAnsi="宋体"/>
          <w:szCs w:val="21"/>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78"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78"/>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hint="eastAsia" w:ascii="黑体" w:hAnsi="宋体" w:eastAsia="黑体"/>
          <w:szCs w:val="21"/>
        </w:rPr>
      </w:pPr>
      <w:bookmarkStart w:id="79"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79"/>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wordWrap w:val="0"/>
        <w:ind w:firstLine="420" w:firstLineChars="200"/>
        <w:rPr>
          <w:rFonts w:hint="eastAsia" w:ascii="黑体" w:hAnsi="宋体" w:eastAsia="黑体"/>
          <w:szCs w:val="21"/>
        </w:rPr>
      </w:pPr>
      <w:r>
        <w:rPr>
          <w:rFonts w:hint="eastAsia" w:ascii="黑体" w:hAnsi="宋体" w:eastAsia="黑体"/>
          <w:szCs w:val="21"/>
        </w:rPr>
        <w:t>28．开标</w:t>
      </w:r>
    </w:p>
    <w:p>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80"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80"/>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30.1公开发布的招标文件，包括图纸、服务清单、答疑文件等；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pPr>
        <w:ind w:firstLine="420" w:firstLineChars="200"/>
        <w:rPr>
          <w:rFonts w:hint="eastAsia" w:ascii="宋体" w:hAnsi="宋体"/>
          <w:szCs w:val="21"/>
        </w:rPr>
      </w:pPr>
      <w:r>
        <w:rPr>
          <w:rFonts w:hint="eastAsia" w:ascii="宋体" w:hAnsi="宋体"/>
          <w:szCs w:val="21"/>
        </w:rPr>
        <w:t>（1）招标的目的；</w:t>
      </w:r>
    </w:p>
    <w:p>
      <w:pPr>
        <w:ind w:firstLine="420" w:firstLineChars="200"/>
        <w:rPr>
          <w:rFonts w:hint="eastAsia" w:ascii="宋体" w:hAnsi="宋体"/>
          <w:szCs w:val="21"/>
        </w:rPr>
      </w:pPr>
      <w:r>
        <w:rPr>
          <w:rFonts w:hint="eastAsia" w:ascii="宋体" w:hAnsi="宋体"/>
          <w:szCs w:val="21"/>
        </w:rPr>
        <w:t>（2）招标项目需求的范围和性质；</w:t>
      </w:r>
    </w:p>
    <w:p>
      <w:pPr>
        <w:ind w:firstLine="420" w:firstLineChars="200"/>
        <w:rPr>
          <w:rFonts w:hint="eastAsia" w:ascii="宋体" w:hAnsi="宋体"/>
          <w:szCs w:val="21"/>
        </w:rPr>
      </w:pPr>
      <w:r>
        <w:rPr>
          <w:rFonts w:hint="eastAsia" w:ascii="宋体" w:hAnsi="宋体"/>
          <w:szCs w:val="21"/>
        </w:rPr>
        <w:t>（3）招标文件规定的投标人的资格、财政预算限额、商务条款；</w:t>
      </w:r>
    </w:p>
    <w:p>
      <w:pPr>
        <w:ind w:firstLine="420" w:firstLineChars="200"/>
        <w:rPr>
          <w:rFonts w:hint="eastAsia" w:ascii="宋体" w:hAnsi="宋体"/>
          <w:szCs w:val="21"/>
        </w:rPr>
      </w:pPr>
      <w:r>
        <w:rPr>
          <w:rFonts w:hint="eastAsia" w:ascii="宋体" w:hAnsi="宋体"/>
          <w:szCs w:val="21"/>
        </w:rPr>
        <w:t>（4）招标文件规定的评标程序、评标方法和评标因素；</w:t>
      </w:r>
    </w:p>
    <w:p>
      <w:pPr>
        <w:ind w:firstLine="420" w:firstLineChars="200"/>
        <w:rPr>
          <w:rFonts w:hint="eastAsia" w:ascii="宋体" w:hAnsi="宋体"/>
          <w:szCs w:val="21"/>
        </w:rPr>
      </w:pPr>
      <w:r>
        <w:rPr>
          <w:rFonts w:hint="eastAsia" w:ascii="宋体" w:hAnsi="宋体"/>
          <w:szCs w:val="21"/>
        </w:rPr>
        <w:t>（5）招标文件所列示的资格性审查表及符合性审查表。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81"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81"/>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82" w:name="_Toc73517673"/>
      <w:bookmarkStart w:id="83" w:name="_Toc73521581"/>
      <w:bookmarkStart w:id="84" w:name="_Toc73518151"/>
      <w:bookmarkStart w:id="85" w:name="_Toc73521669"/>
      <w:bookmarkStart w:id="86" w:name="_Toc100052400"/>
      <w:r>
        <w:rPr>
          <w:rFonts w:hint="eastAsia" w:ascii="黑体" w:hAnsi="宋体" w:eastAsia="黑体"/>
          <w:szCs w:val="21"/>
        </w:rPr>
        <w:t>34．错误的修正</w:t>
      </w:r>
      <w:bookmarkEnd w:id="82"/>
      <w:bookmarkEnd w:id="83"/>
      <w:bookmarkEnd w:id="84"/>
      <w:bookmarkEnd w:id="85"/>
      <w:bookmarkEnd w:id="86"/>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87"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87"/>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88"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89" w:name="_Hlk73821177"/>
      <w:r>
        <w:rPr>
          <w:rFonts w:hint="eastAsia" w:ascii="ˎ̥" w:hAnsi="ˎ̥"/>
          <w:szCs w:val="21"/>
        </w:rPr>
        <w:t>唯一候选中标供应商</w:t>
      </w:r>
      <w:bookmarkEnd w:id="89"/>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90"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91"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90"/>
      <w:bookmarkEnd w:id="91"/>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88"/>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40．中标（成交）公告</w:t>
      </w:r>
    </w:p>
    <w:p>
      <w:pPr>
        <w:ind w:firstLine="420" w:firstLineChars="200"/>
        <w:rPr>
          <w:rFonts w:hint="eastAsia" w:ascii="宋体" w:hAnsi="宋体"/>
          <w:szCs w:val="21"/>
        </w:rPr>
      </w:pPr>
      <w:r>
        <w:rPr>
          <w:rFonts w:hint="eastAsia" w:ascii="宋体" w:hAnsi="宋体"/>
          <w:szCs w:val="21"/>
        </w:rPr>
        <w:t>40.1</w:t>
      </w:r>
      <w:bookmarkStart w:id="92"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92"/>
      <w:bookmarkStart w:id="93"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93"/>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94"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94"/>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95" w:name="_Hlk71407340"/>
      <w:r>
        <w:rPr>
          <w:rFonts w:hint="eastAsia" w:ascii="宋体" w:hAnsi="宋体"/>
          <w:szCs w:val="21"/>
        </w:rPr>
        <w:t>41.3因质疑投诉或其他原因导致项目结果变更或采购终止的，政府集中采购机构有权吊销中标通知书。</w:t>
      </w:r>
    </w:p>
    <w:bookmarkEnd w:id="95"/>
    <w:p>
      <w:pPr>
        <w:ind w:firstLine="411" w:firstLineChars="196"/>
        <w:rPr>
          <w:rFonts w:hint="eastAsia" w:ascii="宋体" w:hAnsi="宋体"/>
          <w:szCs w:val="21"/>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pPr>
        <w:ind w:firstLine="420" w:firstLineChars="200"/>
        <w:rPr>
          <w:rFonts w:hint="eastAsia" w:ascii="黑体" w:hAnsi="宋体" w:eastAsia="黑体"/>
          <w:szCs w:val="21"/>
        </w:rPr>
      </w:pPr>
      <w:r>
        <w:rPr>
          <w:rFonts w:hint="eastAsia" w:ascii="黑体" w:hAnsi="宋体" w:eastAsia="黑体"/>
          <w:szCs w:val="21"/>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pPr>
        <w:ind w:firstLine="420" w:firstLineChars="200"/>
        <w:rPr>
          <w:rFonts w:hint="eastAsia" w:ascii="宋体" w:hAnsi="宋体"/>
          <w:szCs w:val="21"/>
        </w:rPr>
      </w:pPr>
    </w:p>
    <w:p>
      <w:pPr>
        <w:rPr>
          <w:rFonts w:hint="eastAsia" w:ascii="黑体" w:hAnsi="宋体" w:eastAsia="黑体"/>
          <w:sz w:val="24"/>
        </w:rPr>
      </w:pPr>
    </w:p>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96" w:name="_Hlk72439043"/>
      <w:r>
        <w:rPr>
          <w:rFonts w:hint="eastAsia" w:asciiTheme="majorHAnsi" w:hAnsiTheme="majorHAnsi" w:eastAsiaTheme="majorEastAsia" w:cstheme="majorBidi"/>
          <w:b/>
          <w:bCs/>
          <w:sz w:val="28"/>
          <w:szCs w:val="28"/>
        </w:rPr>
        <w:t>合同的授予与备案</w:t>
      </w:r>
      <w:bookmarkEnd w:id="96"/>
    </w:p>
    <w:p>
      <w:pPr>
        <w:ind w:firstLine="420" w:firstLineChars="200"/>
        <w:rPr>
          <w:rFonts w:hint="eastAsia" w:ascii="黑体" w:hAnsi="宋体" w:eastAsia="黑体"/>
          <w:szCs w:val="21"/>
        </w:rPr>
      </w:pPr>
      <w:bookmarkStart w:id="97" w:name="_Toc73517679"/>
      <w:bookmarkStart w:id="98" w:name="_Toc73521586"/>
      <w:bookmarkStart w:id="99" w:name="_Toc73518157"/>
      <w:bookmarkStart w:id="100" w:name="_Toc73521674"/>
      <w:bookmarkStart w:id="101" w:name="_Toc100052408"/>
      <w:bookmarkStart w:id="102" w:name="_Hlk72439088"/>
      <w:r>
        <w:rPr>
          <w:rFonts w:hint="eastAsia" w:ascii="黑体" w:hAnsi="宋体" w:eastAsia="黑体"/>
          <w:szCs w:val="21"/>
        </w:rPr>
        <w:t>43．合同授予标准</w:t>
      </w:r>
      <w:bookmarkEnd w:id="97"/>
      <w:bookmarkEnd w:id="98"/>
      <w:bookmarkEnd w:id="99"/>
      <w:bookmarkEnd w:id="100"/>
      <w:bookmarkEnd w:id="101"/>
    </w:p>
    <w:p>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pPr>
        <w:ind w:firstLine="420" w:firstLineChars="200"/>
        <w:rPr>
          <w:rFonts w:hint="eastAsia" w:ascii="黑体" w:hAnsi="宋体" w:eastAsia="黑体"/>
          <w:szCs w:val="21"/>
        </w:rPr>
      </w:pPr>
      <w:bookmarkStart w:id="103" w:name="_Toc73521675"/>
      <w:bookmarkStart w:id="104" w:name="_Toc73521587"/>
      <w:bookmarkStart w:id="105" w:name="_Toc100052409"/>
      <w:bookmarkStart w:id="106" w:name="_Toc73518158"/>
      <w:bookmarkStart w:id="107" w:name="_Toc73517680"/>
      <w:r>
        <w:rPr>
          <w:rFonts w:hint="eastAsia" w:ascii="黑体" w:hAnsi="宋体" w:eastAsia="黑体"/>
          <w:szCs w:val="21"/>
        </w:rPr>
        <w:t>44．</w:t>
      </w:r>
      <w:bookmarkEnd w:id="103"/>
      <w:bookmarkEnd w:id="104"/>
      <w:bookmarkEnd w:id="105"/>
      <w:bookmarkEnd w:id="106"/>
      <w:bookmarkEnd w:id="107"/>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108" w:name="_Toc73521589"/>
      <w:bookmarkStart w:id="109" w:name="_Toc73518160"/>
      <w:bookmarkStart w:id="110" w:name="_Toc73517682"/>
      <w:bookmarkStart w:id="111" w:name="_Toc100052410"/>
      <w:bookmarkStart w:id="112" w:name="_Toc73521677"/>
      <w:r>
        <w:rPr>
          <w:rFonts w:hint="eastAsia" w:ascii="黑体" w:hAnsi="宋体" w:eastAsia="黑体"/>
          <w:szCs w:val="21"/>
        </w:rPr>
        <w:t>45．合同的签订</w:t>
      </w:r>
      <w:bookmarkEnd w:id="108"/>
      <w:bookmarkEnd w:id="109"/>
      <w:bookmarkEnd w:id="110"/>
      <w:bookmarkEnd w:id="111"/>
      <w:bookmarkEnd w:id="112"/>
    </w:p>
    <w:p>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113" w:name="_Toc73518161"/>
      <w:bookmarkStart w:id="114" w:name="_Toc100052411"/>
      <w:bookmarkStart w:id="115" w:name="_Toc73521590"/>
      <w:bookmarkStart w:id="116" w:name="_Toc73517683"/>
      <w:bookmarkStart w:id="117" w:name="_Toc73521678"/>
      <w:r>
        <w:rPr>
          <w:rFonts w:hint="eastAsia" w:ascii="黑体" w:hAnsi="宋体" w:eastAsia="黑体"/>
          <w:szCs w:val="21"/>
        </w:rPr>
        <w:t>46．履约担保</w:t>
      </w:r>
      <w:bookmarkEnd w:id="113"/>
      <w:bookmarkEnd w:id="114"/>
      <w:bookmarkEnd w:id="115"/>
      <w:bookmarkEnd w:id="116"/>
      <w:bookmarkEnd w:id="117"/>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8" w:name="_Hlk72440769"/>
      <w:r>
        <w:rPr>
          <w:rFonts w:hint="eastAsia" w:ascii="宋体" w:hAnsi="宋体"/>
          <w:szCs w:val="21"/>
        </w:rPr>
        <w:t>政府集中采购机构或采购人不予退还其交纳的谈判保证金，情节严重的，并由主管部门</w:t>
      </w:r>
      <w:bookmarkEnd w:id="118"/>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2"/>
      </w:pPr>
    </w:p>
    <w:bookmarkEnd w:id="102"/>
    <w:p>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19" w:name="_Hlk75374941"/>
      <w:r>
        <w:rPr>
          <w:rFonts w:hint="eastAsia" w:ascii="宋体" w:hAnsi="宋体"/>
          <w:szCs w:val="21"/>
        </w:rPr>
        <w:t>以联合体形式参与的，质疑应当由组成联合体的所有成员共同提出</w:t>
      </w:r>
      <w:bookmarkEnd w:id="119"/>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w:t>
      </w:r>
      <w:r>
        <w:rPr>
          <w:rFonts w:hint="eastAsia" w:ascii="宋体" w:hAnsi="宋体"/>
        </w:rPr>
        <w:t>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65"/>
    </w:p>
    <w:p>
      <w:pPr>
        <w:rPr>
          <w:rFonts w:hint="eastAsia" w:ascii="宋体" w:hAnsi="宋体"/>
          <w:szCs w:val="21"/>
        </w:rPr>
      </w:pPr>
    </w:p>
    <w:sectPr>
      <w:headerReference r:id="rId5" w:type="first"/>
      <w:footerReference r:id="rId6" w:type="default"/>
      <w:footerReference r:id="rId7"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1"/>
  </w:num>
  <w:num w:numId="4">
    <w:abstractNumId w:val="10"/>
  </w:num>
  <w:num w:numId="5">
    <w:abstractNumId w:val="15"/>
  </w:num>
  <w:num w:numId="6">
    <w:abstractNumId w:val="12"/>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67E1"/>
    <w:rsid w:val="030D7E3E"/>
    <w:rsid w:val="0334205E"/>
    <w:rsid w:val="034856A5"/>
    <w:rsid w:val="03D07714"/>
    <w:rsid w:val="05D11D1B"/>
    <w:rsid w:val="05FA7789"/>
    <w:rsid w:val="067D4F9E"/>
    <w:rsid w:val="07AF301F"/>
    <w:rsid w:val="08204893"/>
    <w:rsid w:val="083E04BA"/>
    <w:rsid w:val="086F7E62"/>
    <w:rsid w:val="08E27D9B"/>
    <w:rsid w:val="093A1D5C"/>
    <w:rsid w:val="099512B1"/>
    <w:rsid w:val="09F07824"/>
    <w:rsid w:val="0A40746F"/>
    <w:rsid w:val="0B0104DC"/>
    <w:rsid w:val="0B5C3E34"/>
    <w:rsid w:val="0B9340C0"/>
    <w:rsid w:val="0BB26C18"/>
    <w:rsid w:val="0BDF6813"/>
    <w:rsid w:val="0C625CD5"/>
    <w:rsid w:val="0CBA3508"/>
    <w:rsid w:val="0CCF7BDC"/>
    <w:rsid w:val="0D1077D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0A7F18"/>
    <w:rsid w:val="14B85A81"/>
    <w:rsid w:val="14F90946"/>
    <w:rsid w:val="151469B7"/>
    <w:rsid w:val="152850C5"/>
    <w:rsid w:val="15956C4F"/>
    <w:rsid w:val="159F2DAC"/>
    <w:rsid w:val="16B94475"/>
    <w:rsid w:val="17853B61"/>
    <w:rsid w:val="17BE3B06"/>
    <w:rsid w:val="19006747"/>
    <w:rsid w:val="19EA6260"/>
    <w:rsid w:val="1A4474E8"/>
    <w:rsid w:val="1A4511A7"/>
    <w:rsid w:val="1AFB05F2"/>
    <w:rsid w:val="1BCE272A"/>
    <w:rsid w:val="1D2B1804"/>
    <w:rsid w:val="1E3950C5"/>
    <w:rsid w:val="1E4808ED"/>
    <w:rsid w:val="1E9B3AFC"/>
    <w:rsid w:val="1F064F46"/>
    <w:rsid w:val="1FE46AA9"/>
    <w:rsid w:val="20476A09"/>
    <w:rsid w:val="21F77FBB"/>
    <w:rsid w:val="22E67766"/>
    <w:rsid w:val="231C4D84"/>
    <w:rsid w:val="23286980"/>
    <w:rsid w:val="23486984"/>
    <w:rsid w:val="23FF13A9"/>
    <w:rsid w:val="245E4A59"/>
    <w:rsid w:val="25184241"/>
    <w:rsid w:val="25E22D55"/>
    <w:rsid w:val="26024279"/>
    <w:rsid w:val="260E7FC9"/>
    <w:rsid w:val="26284DDB"/>
    <w:rsid w:val="27BF3329"/>
    <w:rsid w:val="27D72D69"/>
    <w:rsid w:val="28C768EF"/>
    <w:rsid w:val="28DD6E23"/>
    <w:rsid w:val="29422464"/>
    <w:rsid w:val="296C7242"/>
    <w:rsid w:val="2A31206B"/>
    <w:rsid w:val="2ACE1AD5"/>
    <w:rsid w:val="2AD24C56"/>
    <w:rsid w:val="2B9C7E34"/>
    <w:rsid w:val="2BA96061"/>
    <w:rsid w:val="2BB76C46"/>
    <w:rsid w:val="2CED6C3A"/>
    <w:rsid w:val="2D0C788F"/>
    <w:rsid w:val="2D295F9A"/>
    <w:rsid w:val="2E190FC1"/>
    <w:rsid w:val="2E2B27AB"/>
    <w:rsid w:val="2E921DA5"/>
    <w:rsid w:val="2EBB09DD"/>
    <w:rsid w:val="2F230C18"/>
    <w:rsid w:val="30006A18"/>
    <w:rsid w:val="30045057"/>
    <w:rsid w:val="30667B76"/>
    <w:rsid w:val="307410C2"/>
    <w:rsid w:val="313C5E2A"/>
    <w:rsid w:val="33052E4F"/>
    <w:rsid w:val="34CC52D7"/>
    <w:rsid w:val="34FF745B"/>
    <w:rsid w:val="35AF558A"/>
    <w:rsid w:val="364A5420"/>
    <w:rsid w:val="37FA3B07"/>
    <w:rsid w:val="38125841"/>
    <w:rsid w:val="393435C0"/>
    <w:rsid w:val="3A660185"/>
    <w:rsid w:val="3BDD4E74"/>
    <w:rsid w:val="3BF16943"/>
    <w:rsid w:val="3C254167"/>
    <w:rsid w:val="3C54617F"/>
    <w:rsid w:val="3DC6005E"/>
    <w:rsid w:val="3DF02037"/>
    <w:rsid w:val="3E734A16"/>
    <w:rsid w:val="3E80785E"/>
    <w:rsid w:val="3EDE6333"/>
    <w:rsid w:val="3EEA2F12"/>
    <w:rsid w:val="3FA34647"/>
    <w:rsid w:val="411529FB"/>
    <w:rsid w:val="41CA2D0D"/>
    <w:rsid w:val="41CF23DC"/>
    <w:rsid w:val="41DB399D"/>
    <w:rsid w:val="42A11473"/>
    <w:rsid w:val="42A91ED1"/>
    <w:rsid w:val="44E01648"/>
    <w:rsid w:val="454C7069"/>
    <w:rsid w:val="458F0387"/>
    <w:rsid w:val="45CD07CF"/>
    <w:rsid w:val="45E17242"/>
    <w:rsid w:val="46634A89"/>
    <w:rsid w:val="46BE3798"/>
    <w:rsid w:val="47462CC7"/>
    <w:rsid w:val="4764220C"/>
    <w:rsid w:val="47833F1C"/>
    <w:rsid w:val="47B6656B"/>
    <w:rsid w:val="48DF3CF4"/>
    <w:rsid w:val="49F76548"/>
    <w:rsid w:val="4A8907BB"/>
    <w:rsid w:val="4B110B90"/>
    <w:rsid w:val="4C2149E6"/>
    <w:rsid w:val="4D986247"/>
    <w:rsid w:val="4DE33966"/>
    <w:rsid w:val="4E8135B3"/>
    <w:rsid w:val="4F267444"/>
    <w:rsid w:val="503C40AD"/>
    <w:rsid w:val="508D27A6"/>
    <w:rsid w:val="51C4760A"/>
    <w:rsid w:val="53083749"/>
    <w:rsid w:val="536C30EB"/>
    <w:rsid w:val="55B84EAE"/>
    <w:rsid w:val="56382C47"/>
    <w:rsid w:val="59171178"/>
    <w:rsid w:val="597B4491"/>
    <w:rsid w:val="59A57D21"/>
    <w:rsid w:val="5A9B6510"/>
    <w:rsid w:val="5B0F4A76"/>
    <w:rsid w:val="5C1B17B8"/>
    <w:rsid w:val="5C8A1451"/>
    <w:rsid w:val="5D0A42CB"/>
    <w:rsid w:val="5ED8763C"/>
    <w:rsid w:val="5F0E70B0"/>
    <w:rsid w:val="5F6D308F"/>
    <w:rsid w:val="5FFC7D0A"/>
    <w:rsid w:val="60515EE8"/>
    <w:rsid w:val="61250170"/>
    <w:rsid w:val="61603C1A"/>
    <w:rsid w:val="61910E2C"/>
    <w:rsid w:val="62324D67"/>
    <w:rsid w:val="62854069"/>
    <w:rsid w:val="62A241F2"/>
    <w:rsid w:val="62CE1CF4"/>
    <w:rsid w:val="63331D15"/>
    <w:rsid w:val="64220BB4"/>
    <w:rsid w:val="64F40429"/>
    <w:rsid w:val="651E6376"/>
    <w:rsid w:val="659F1314"/>
    <w:rsid w:val="660D7080"/>
    <w:rsid w:val="6658788B"/>
    <w:rsid w:val="67297071"/>
    <w:rsid w:val="67E1648C"/>
    <w:rsid w:val="68897765"/>
    <w:rsid w:val="69215C67"/>
    <w:rsid w:val="69A9410F"/>
    <w:rsid w:val="6A217DF6"/>
    <w:rsid w:val="6A371DEF"/>
    <w:rsid w:val="6B100175"/>
    <w:rsid w:val="6B122952"/>
    <w:rsid w:val="6B37721A"/>
    <w:rsid w:val="6C662F7C"/>
    <w:rsid w:val="6C804AB4"/>
    <w:rsid w:val="6DE55656"/>
    <w:rsid w:val="6E261BA7"/>
    <w:rsid w:val="6F6A4589"/>
    <w:rsid w:val="715440AF"/>
    <w:rsid w:val="732E2E41"/>
    <w:rsid w:val="73762E92"/>
    <w:rsid w:val="74B75416"/>
    <w:rsid w:val="751050E8"/>
    <w:rsid w:val="75F150FF"/>
    <w:rsid w:val="768C6099"/>
    <w:rsid w:val="784576F8"/>
    <w:rsid w:val="78767A5E"/>
    <w:rsid w:val="79960562"/>
    <w:rsid w:val="79FA5A10"/>
    <w:rsid w:val="7A2307C6"/>
    <w:rsid w:val="7A54626B"/>
    <w:rsid w:val="7B197D47"/>
    <w:rsid w:val="7BF02C60"/>
    <w:rsid w:val="7C050DEC"/>
    <w:rsid w:val="7C8D66C7"/>
    <w:rsid w:val="7D0050EB"/>
    <w:rsid w:val="7DFD76C5"/>
    <w:rsid w:val="7DFF53A3"/>
    <w:rsid w:val="7E816BC7"/>
    <w:rsid w:val="7ECA59B1"/>
    <w:rsid w:val="7F6C2EA6"/>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1379</Words>
  <Characters>1418</Characters>
  <Lines>94</Lines>
  <Paragraphs>128</Paragraphs>
  <TotalTime>14</TotalTime>
  <ScaleCrop>false</ScaleCrop>
  <LinksUpToDate>false</LinksUpToDate>
  <CharactersWithSpaces>1448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陈青霞</cp:lastModifiedBy>
  <cp:lastPrinted>2021-05-09T08:02:00Z</cp:lastPrinted>
  <dcterms:modified xsi:type="dcterms:W3CDTF">2025-11-26T11:22:08Z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52584CCB1DE84045A3DEFF2D56F8475B_13</vt:lpwstr>
  </property>
  <property fmtid="{D5CDD505-2E9C-101B-9397-08002B2CF9AE}" pid="4" name="KSOTemplateDocerSaveRecord">
    <vt:lpwstr>eyJoZGlkIjoiMGZmNTJlYzM1YjQ4MTFhMTEzYmM2ZTYwZDI1MjAwM2EifQ==</vt:lpwstr>
  </property>
</Properties>
</file>