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1"/>
        <w:rPr>
          <w:rFonts w:ascii="黑体" w:eastAsia="黑体" w:hAnsi="黑体"/>
          <w:sz w:val="40"/>
          <w:szCs w:val="40"/>
          <w:lang w:eastAsia="zh-CN"/>
        </w:rPr>
      </w:pPr>
      <w:r>
        <w:rPr>
          <w:rFonts w:ascii="黑体" w:eastAsia="黑体" w:hAnsi="黑体" w:hint="eastAsia"/>
          <w:sz w:val="40"/>
          <w:szCs w:val="40"/>
          <w:lang w:eastAsia="zh-CN"/>
        </w:rPr>
        <w:t>招标文件信息</w:t>
      </w:r>
    </w:p>
    <w:p>
      <w:pPr>
        <w:widowControl w:val="0"/>
        <w:jc w:val="both"/>
        <w:rPr>
          <w:rFonts w:ascii="宋体" w:eastAsia="宋体" w:hAnsi="宋体"/>
          <w:kern w:val="2"/>
          <w:sz w:val="30"/>
          <w:szCs w:val="30"/>
          <w:lang w:eastAsia="zh-CN"/>
        </w:rPr>
      </w:pPr>
      <w:r>
        <w:rPr>
          <w:rFonts w:ascii="宋体" w:eastAsia="宋体" w:hAnsi="宋体" w:cstheme="minorBidi" w:hint="eastAsia"/>
          <w:kern w:val="2"/>
          <w:sz w:val="30"/>
          <w:szCs w:val="30"/>
          <w:lang w:eastAsia="zh-CN"/>
        </w:rPr>
        <w:t>项目编号：</w:t>
      </w:r>
      <w:r>
        <w:rPr>
          <w:rFonts w:ascii="宋体" w:eastAsia="宋体" w:hAnsi="宋体" w:cstheme="minorBidi" w:hint="eastAsia"/>
          <w:kern w:val="2"/>
          <w:sz w:val="30"/>
          <w:szCs w:val="30"/>
          <w:lang w:eastAsia="zh-CN"/>
        </w:rPr>
        <w:t>NSZXCG-2025-00010</w:t>
      </w:r>
    </w:p>
    <w:p>
      <w:pPr>
        <w:widowControl w:val="0"/>
        <w:jc w:val="both"/>
        <w:rPr>
          <w:rFonts w:ascii="宋体" w:eastAsia="宋体" w:hAnsi="宋体"/>
          <w:kern w:val="2"/>
          <w:sz w:val="30"/>
          <w:szCs w:val="30"/>
          <w:lang w:eastAsia="zh-CN"/>
        </w:rPr>
      </w:pPr>
      <w:r>
        <w:rPr>
          <w:rFonts w:ascii="宋体" w:eastAsia="宋体" w:hAnsi="宋体" w:cstheme="minorBidi" w:hint="eastAsia"/>
          <w:kern w:val="2"/>
          <w:sz w:val="30"/>
          <w:szCs w:val="30"/>
          <w:lang w:eastAsia="zh-CN"/>
        </w:rPr>
        <w:t>项目名称：深圳市医疗保障局南山分局医疗保障综合管理服务项目</w:t>
      </w:r>
    </w:p>
    <w:p>
      <w:pPr>
        <w:widowControl w:val="0"/>
        <w:jc w:val="both"/>
        <w:rPr>
          <w:rFonts w:ascii="宋体" w:eastAsia="宋体" w:hAnsi="宋体"/>
          <w:kern w:val="2"/>
          <w:sz w:val="30"/>
          <w:szCs w:val="30"/>
          <w:lang w:eastAsia="zh-CN"/>
        </w:rPr>
      </w:pPr>
      <w:r>
        <w:rPr>
          <w:rFonts w:ascii="宋体" w:eastAsia="宋体" w:hAnsi="宋体" w:cstheme="minorBidi" w:hint="eastAsia"/>
          <w:kern w:val="2"/>
          <w:sz w:val="30"/>
          <w:szCs w:val="30"/>
          <w:lang w:eastAsia="zh-CN"/>
        </w:rPr>
        <w:t>包 号：A</w:t>
      </w:r>
    </w:p>
    <w:p>
      <w:pPr>
        <w:widowControl w:val="0"/>
        <w:jc w:val="both"/>
        <w:rPr>
          <w:rFonts w:ascii="宋体" w:eastAsia="宋体" w:hAnsi="宋体"/>
          <w:kern w:val="2"/>
          <w:sz w:val="30"/>
          <w:szCs w:val="30"/>
          <w:lang w:eastAsia="zh-CN"/>
        </w:rPr>
      </w:pPr>
      <w:r>
        <w:rPr>
          <w:rFonts w:ascii="宋体" w:eastAsia="宋体" w:hAnsi="宋体" w:cstheme="minorBidi" w:hint="eastAsia"/>
          <w:kern w:val="2"/>
          <w:sz w:val="30"/>
          <w:szCs w:val="30"/>
          <w:lang w:eastAsia="zh-CN"/>
        </w:rPr>
        <w:t>项目类型：服务类</w:t>
      </w:r>
    </w:p>
    <w:p>
      <w:pPr>
        <w:widowControl w:val="0"/>
        <w:jc w:val="both"/>
        <w:rPr>
          <w:rFonts w:ascii="宋体" w:eastAsia="宋体" w:hAnsi="宋体"/>
          <w:kern w:val="2"/>
          <w:sz w:val="30"/>
          <w:szCs w:val="30"/>
          <w:lang w:eastAsia="zh-CN"/>
        </w:rPr>
      </w:pPr>
      <w:r>
        <w:rPr>
          <w:rFonts w:ascii="宋体" w:eastAsia="宋体" w:hAnsi="宋体" w:cstheme="minorBidi" w:hint="eastAsia"/>
          <w:kern w:val="2"/>
          <w:sz w:val="30"/>
          <w:szCs w:val="30"/>
          <w:lang w:eastAsia="zh-CN"/>
        </w:rPr>
        <w:t>采购方式：公开招标</w:t>
      </w:r>
    </w:p>
    <w:p>
      <w:pPr>
        <w:widowControl w:val="0"/>
        <w:jc w:val="both"/>
        <w:rPr>
          <w:rFonts w:ascii="宋体" w:eastAsia="宋体" w:hAnsi="宋体"/>
          <w:kern w:val="2"/>
          <w:sz w:val="30"/>
          <w:szCs w:val="30"/>
          <w:lang w:eastAsia="zh-CN"/>
        </w:rPr>
      </w:pPr>
      <w:r>
        <w:rPr>
          <w:rFonts w:ascii="宋体" w:eastAsia="宋体" w:hAnsi="宋体" w:cstheme="minorBidi" w:hint="eastAsia"/>
          <w:kern w:val="2"/>
          <w:sz w:val="30"/>
          <w:szCs w:val="30"/>
          <w:lang w:eastAsia="zh-CN"/>
        </w:rPr>
        <w:t>货币类型：人民币</w:t>
      </w:r>
    </w:p>
    <w:p>
      <w:pPr>
        <w:widowControl w:val="0"/>
        <w:jc w:val="both"/>
        <w:rPr>
          <w:rFonts w:ascii="宋体" w:eastAsia="宋体" w:hAnsi="宋体"/>
          <w:kern w:val="2"/>
          <w:sz w:val="30"/>
          <w:szCs w:val="30"/>
          <w:lang w:eastAsia="zh-CN"/>
        </w:rPr>
      </w:pPr>
      <w:r>
        <w:rPr>
          <w:rFonts w:ascii="宋体" w:eastAsia="宋体" w:hAnsi="宋体" w:cstheme="minorBidi" w:hint="eastAsia"/>
          <w:kern w:val="2"/>
          <w:sz w:val="30"/>
          <w:szCs w:val="30"/>
          <w:lang w:eastAsia="zh-CN"/>
        </w:rPr>
        <w:t>评标方法：综合评分法</w:t>
      </w:r>
    </w:p>
    <w:p>
      <w:pPr>
        <w:widowControl/>
        <w:jc w:val="center"/>
        <w:outlineLvl w:val="1"/>
        <w:rPr>
          <w:rFonts w:ascii="黑体" w:eastAsia="黑体" w:hAnsi="黑体"/>
          <w:sz w:val="40"/>
          <w:szCs w:val="40"/>
          <w:lang w:eastAsia="zh-CN"/>
        </w:rPr>
      </w:pPr>
      <w:r>
        <w:rPr>
          <w:rFonts w:ascii="黑体" w:eastAsia="黑体" w:hAnsi="黑体" w:hint="eastAsia"/>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6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cs="宋体"/>
                <w:sz w:val="28"/>
                <w:szCs w:val="28"/>
                <w:lang w:eastAsia="zh-CN"/>
              </w:rPr>
            </w:pPr>
            <w:r>
              <w:rPr>
                <w:rFonts w:eastAsia="宋体"/>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cs="宋体"/>
                <w:sz w:val="28"/>
                <w:szCs w:val="28"/>
                <w:lang w:eastAsia="zh-CN"/>
              </w:rPr>
            </w:pPr>
            <w:r>
              <w:rPr>
                <w:rFonts w:eastAsia="宋体"/>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rPr>
                <w:rFonts w:ascii="宋体" w:eastAsia="宋体" w:hAnsi="宋体" w:cs="宋体"/>
                <w:szCs w:val="21"/>
                <w:lang w:eastAsia="zh-CN"/>
              </w:rPr>
            </w:pPr>
            <w:r>
              <w:rPr>
                <w:rFonts w:eastAsia="宋体"/>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pPr>
              <w:widowControl/>
              <w:jc w:val="left"/>
              <w:rPr>
                <w:rFonts w:ascii="宋体" w:eastAsia="宋体" w:hAnsi="宋体" w:cs="宋体"/>
                <w:szCs w:val="21"/>
                <w:lang w:eastAsia="zh-CN"/>
              </w:rPr>
            </w:pPr>
            <w:r>
              <w:rPr>
                <w:rFonts w:eastAsia="宋体"/>
                <w:szCs w:val="21"/>
                <w:lang w:eastAsia="zh-CN"/>
              </w:rPr>
              <w:t>投标人不符合资格要求，或未提交相应的资格证明资料（详见招标公告投标人资格要求，即申请人的资格要求）</w:t>
            </w:r>
          </w:p>
        </w:tc>
      </w:tr>
    </w:tbl>
    <w:p>
      <w:pPr>
        <w:widowControl/>
        <w:spacing w:before="280"/>
        <w:jc w:val="center"/>
        <w:outlineLvl w:val="1"/>
        <w:rPr>
          <w:rFonts w:ascii="黑体" w:eastAsia="黑体" w:hAnsi="黑体"/>
          <w:sz w:val="40"/>
          <w:szCs w:val="40"/>
          <w:lang w:eastAsia="zh-CN"/>
        </w:rPr>
      </w:pPr>
      <w:r>
        <w:rPr>
          <w:rFonts w:ascii="黑体" w:eastAsia="黑体" w:hAnsi="黑体" w:hint="eastAsia"/>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6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cs="宋体"/>
                <w:sz w:val="28"/>
                <w:szCs w:val="28"/>
                <w:lang w:eastAsia="zh-CN"/>
              </w:rPr>
            </w:pPr>
            <w:r>
              <w:rPr>
                <w:rFonts w:eastAsia="宋体"/>
                <w:sz w:val="28"/>
                <w:szCs w:val="28"/>
                <w:lang w:eastAsia="zh-CN"/>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cs="宋体"/>
                <w:sz w:val="28"/>
                <w:szCs w:val="28"/>
                <w:lang w:eastAsia="zh-CN"/>
              </w:rPr>
            </w:pPr>
            <w:r>
              <w:rPr>
                <w:rFonts w:eastAsia="宋体"/>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rPr>
                <w:rFonts w:ascii="宋体" w:eastAsia="宋体" w:hAnsi="宋体" w:cs="宋体"/>
                <w:szCs w:val="21"/>
                <w:lang w:eastAsia="zh-CN"/>
              </w:rPr>
            </w:pPr>
            <w:r>
              <w:rPr>
                <w:rFonts w:eastAsia="宋体"/>
                <w:szCs w:val="21"/>
                <w:lang w:eastAsia="zh-CN"/>
              </w:rPr>
              <w:t>1</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lang w:eastAsia="zh-CN"/>
              </w:rPr>
            </w:pPr>
            <w:r>
              <w:rPr>
                <w:rFonts w:ascii="Calibri" w:eastAsia="宋体" w:hAnsi="Calibri" w:cstheme="minorBidi" w:hint="eastAsia"/>
                <w:kern w:val="2"/>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rPr>
                <w:rFonts w:ascii="宋体" w:eastAsia="宋体" w:hAnsi="宋体" w:cs="宋体"/>
                <w:szCs w:val="21"/>
                <w:lang w:eastAsia="zh-CN"/>
              </w:rPr>
            </w:pPr>
            <w:r>
              <w:rPr>
                <w:rFonts w:eastAsia="宋体"/>
                <w:szCs w:val="21"/>
                <w:lang w:eastAsia="zh-CN"/>
              </w:rPr>
              <w:t>2</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lang w:eastAsia="zh-CN"/>
              </w:rPr>
            </w:pPr>
            <w:r>
              <w:rPr>
                <w:rFonts w:ascii="Calibri" w:eastAsia="宋体" w:hAnsi="Calibri" w:cstheme="minorBidi" w:hint="eastAsia"/>
                <w:kern w:val="2"/>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rPr>
                <w:rFonts w:ascii="宋体" w:eastAsia="宋体" w:hAnsi="宋体" w:cs="宋体"/>
                <w:szCs w:val="21"/>
                <w:lang w:eastAsia="zh-CN"/>
              </w:rPr>
            </w:pPr>
            <w:r>
              <w:rPr>
                <w:rFonts w:eastAsia="宋体"/>
                <w:szCs w:val="21"/>
                <w:lang w:eastAsia="zh-CN"/>
              </w:rPr>
              <w:t>3</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lang w:eastAsia="zh-CN"/>
              </w:rPr>
            </w:pPr>
            <w:r>
              <w:rPr>
                <w:rFonts w:ascii="宋体" w:eastAsia="宋体" w:hAnsi="宋体" w:cs="宋体" w:hint="eastAsia"/>
                <w:kern w:val="2"/>
                <w:lang w:eastAsia="zh-CN"/>
              </w:rPr>
              <w:t>分项报价或投标总价或投标单价不得高于相应预算金额（或设定的预算金额下的最高限价，或财政控制单价）；</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rPr>
                <w:rFonts w:ascii="宋体" w:eastAsia="宋体" w:hAnsi="宋体" w:cs="宋体"/>
                <w:szCs w:val="21"/>
                <w:lang w:eastAsia="zh-CN"/>
              </w:rPr>
            </w:pPr>
            <w:r>
              <w:rPr>
                <w:rFonts w:eastAsia="宋体"/>
                <w:szCs w:val="21"/>
                <w:lang w:eastAsia="zh-CN"/>
              </w:rPr>
              <w:t>4</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lang w:eastAsia="zh-CN"/>
              </w:rPr>
            </w:pPr>
            <w:r>
              <w:rPr>
                <w:rFonts w:ascii="Calibri" w:eastAsia="宋体" w:hAnsi="Calibri" w:cstheme="minorBidi" w:hint="eastAsia"/>
                <w:kern w:val="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rPr>
                <w:rFonts w:ascii="宋体" w:eastAsia="宋体" w:hAnsi="宋体" w:cs="宋体"/>
                <w:szCs w:val="21"/>
                <w:lang w:eastAsia="zh-CN"/>
              </w:rPr>
            </w:pPr>
            <w:r>
              <w:rPr>
                <w:rFonts w:eastAsia="宋体"/>
                <w:szCs w:val="21"/>
                <w:lang w:eastAsia="zh-CN"/>
              </w:rPr>
              <w:t>5</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lang w:eastAsia="zh-CN"/>
              </w:rPr>
            </w:pPr>
            <w:r>
              <w:rPr>
                <w:rFonts w:eastAsia="宋体" w:hint="eastAsia"/>
                <w:kern w:val="2"/>
                <w:lang w:eastAsia="zh-CN"/>
              </w:rPr>
              <w:t>所投货物、服务在技术、商务等方面没有实质性满足招标文件要求的（是否实质性满足招标文件要求，由评审委员会根据实质性条款响应情况作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rPr>
                <w:rFonts w:ascii="宋体" w:eastAsia="宋体" w:hAnsi="宋体" w:cs="宋体"/>
                <w:szCs w:val="21"/>
                <w:lang w:eastAsia="zh-CN"/>
              </w:rPr>
            </w:pPr>
            <w:r>
              <w:rPr>
                <w:rFonts w:eastAsia="宋体"/>
                <w:szCs w:val="21"/>
                <w:lang w:eastAsia="zh-CN"/>
              </w:rPr>
              <w:t>6</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lang w:eastAsia="zh-CN"/>
              </w:rPr>
            </w:pPr>
            <w:r>
              <w:rPr>
                <w:rFonts w:ascii="Calibri" w:eastAsia="宋体" w:hAnsi="Calibri" w:cstheme="minorBidi" w:hint="eastAsia"/>
                <w:kern w:val="2"/>
                <w:lang w:eastAsia="zh-CN"/>
              </w:rPr>
              <w:t>未按招标文件所提供的样式填写《投标函》；未按招标文件所提供的《政府采购投标及履约承诺函》进行承诺；未按招标文件对投标文件组成的要求提供投标文件；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rPr>
                <w:rFonts w:ascii="宋体" w:eastAsia="宋体" w:hAnsi="宋体" w:cs="宋体"/>
                <w:szCs w:val="21"/>
                <w:lang w:eastAsia="zh-CN"/>
              </w:rPr>
            </w:pPr>
            <w:r>
              <w:rPr>
                <w:rFonts w:eastAsia="宋体"/>
                <w:szCs w:val="21"/>
                <w:lang w:eastAsia="zh-CN"/>
              </w:rPr>
              <w:t>7</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Calibri" w:eastAsia="宋体" w:hAnsi="Calibri"/>
                <w:kern w:val="2"/>
                <w:lang w:eastAsia="zh-CN"/>
              </w:rPr>
            </w:pPr>
            <w:r>
              <w:rPr>
                <w:rFonts w:eastAsia="宋体" w:hint="eastAsia"/>
                <w:kern w:val="2"/>
                <w:lang w:eastAsia="zh-CN"/>
              </w:rPr>
              <w:t>采购标的/所投产品/货物（服务）清单/报价等任意一类有缺漏项或响应不全，或者对招标文件规定的项目需求内容或者需求数量进行修改，评审委员会判定投标响应不满足采购需求；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rPr>
                <w:rFonts w:ascii="宋体" w:eastAsia="宋体" w:hAnsi="宋体" w:cs="宋体"/>
                <w:szCs w:val="21"/>
                <w:lang w:eastAsia="zh-CN"/>
              </w:rPr>
            </w:pPr>
            <w:r>
              <w:rPr>
                <w:rFonts w:ascii="宋体" w:eastAsia="宋体" w:hAnsi="宋体" w:cs="宋体" w:hint="eastAsia"/>
                <w:szCs w:val="21"/>
                <w:lang w:eastAsia="zh-CN"/>
              </w:rPr>
              <w:t>8</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lang w:eastAsia="zh-CN"/>
              </w:rPr>
            </w:pPr>
            <w:r>
              <w:rPr>
                <w:rFonts w:ascii="Calibri" w:eastAsia="宋体" w:hAnsi="Calibri" w:cstheme="minorBidi" w:hint="eastAsia"/>
                <w:kern w:val="2"/>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rPr>
                <w:rFonts w:ascii="宋体" w:eastAsia="宋体" w:hAnsi="宋体" w:cs="宋体"/>
                <w:szCs w:val="21"/>
                <w:lang w:eastAsia="zh-CN"/>
              </w:rPr>
            </w:pPr>
            <w:r>
              <w:rPr>
                <w:rFonts w:ascii="宋体" w:eastAsia="宋体" w:hAnsi="宋体" w:cs="宋体" w:hint="eastAsia"/>
                <w:szCs w:val="21"/>
                <w:lang w:eastAsia="zh-CN"/>
              </w:rPr>
              <w:t>9</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lang w:eastAsia="zh-CN"/>
              </w:rPr>
            </w:pPr>
            <w:r>
              <w:rPr>
                <w:rFonts w:ascii="Calibri" w:eastAsia="宋体" w:hAnsi="Calibri" w:cstheme="minorBidi" w:hint="eastAsia"/>
                <w:kern w:val="2"/>
                <w:lang w:eastAsia="zh-CN"/>
              </w:rPr>
              <w:t>投标文件用不属于本公司的电子密钥或电子营业执照进行加密的；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rPr>
                <w:rFonts w:ascii="宋体" w:eastAsia="宋体" w:hAnsi="宋体" w:cs="宋体"/>
                <w:szCs w:val="21"/>
                <w:lang w:eastAsia="zh-CN"/>
              </w:rPr>
            </w:pPr>
            <w:r>
              <w:rPr>
                <w:rFonts w:ascii="宋体" w:eastAsia="宋体" w:hAnsi="宋体" w:cs="宋体" w:hint="eastAsia"/>
                <w:szCs w:val="21"/>
                <w:lang w:eastAsia="zh-CN"/>
              </w:rPr>
              <w:t>10</w:t>
            </w:r>
          </w:p>
        </w:tc>
        <w:tc>
          <w:tcPr>
            <w:tcW w:w="8278"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lang w:eastAsia="zh-CN"/>
              </w:rPr>
            </w:pPr>
            <w:r>
              <w:rPr>
                <w:rFonts w:ascii="Calibri" w:eastAsia="宋体" w:hAnsi="Calibri" w:cstheme="minorBidi" w:hint="eastAsia"/>
                <w:kern w:val="2"/>
                <w:lang w:eastAsia="zh-CN"/>
              </w:rPr>
              <w:t>法律、法规、规章、规范性文件规定的其他情形。</w:t>
            </w:r>
          </w:p>
        </w:tc>
      </w:tr>
    </w:tbl>
    <w:p>
      <w:pPr>
        <w:widowControl/>
        <w:jc w:val="center"/>
        <w:outlineLvl w:val="1"/>
        <w:rPr>
          <w:rFonts w:ascii="黑体" w:eastAsia="黑体" w:hAnsi="黑体"/>
          <w:sz w:val="40"/>
          <w:szCs w:val="40"/>
          <w:lang w:eastAsia="zh-CN"/>
        </w:rPr>
      </w:pPr>
      <w:r>
        <w:rPr>
          <w:rFonts w:ascii="黑体" w:eastAsia="黑体" w:hAnsi="黑体" w:hint="eastAsia"/>
          <w:sz w:val="40"/>
          <w:szCs w:val="40"/>
          <w:lang w:eastAsia="zh-CN"/>
        </w:rPr>
        <w:t>评标信息</w:t>
      </w:r>
    </w:p>
    <w:tbl>
      <w:tblPr>
        <w:tblStyle w:val="TableNormal"/>
        <w:tblW w:w="5000" w:type="pct"/>
        <w:jc w:val="center"/>
        <w:tblCellSpacing w:w="0" w:type="dxa"/>
        <w:tblLayout w:type="fixed"/>
        <w:tblCellMar>
          <w:top w:w="36" w:type="dxa"/>
          <w:left w:w="36" w:type="dxa"/>
          <w:bottom w:w="36" w:type="dxa"/>
          <w:right w:w="36" w:type="dxa"/>
        </w:tblCellMar>
      </w:tblPr>
      <w:tblGrid>
        <w:gridCol w:w="7961"/>
        <w:gridCol w:w="417"/>
      </w:tblGrid>
      <w:tr>
        <w:tblPrEx>
          <w:tblW w:w="5000" w:type="pct"/>
          <w:jc w:val="center"/>
          <w:tblCellSpacing w:w="0" w:type="dxa"/>
          <w:tblLayout w:type="fixed"/>
          <w:tblCellMar>
            <w:top w:w="36" w:type="dxa"/>
            <w:left w:w="36" w:type="dxa"/>
            <w:bottom w:w="36" w:type="dxa"/>
            <w:right w:w="36" w:type="dxa"/>
          </w:tblCellMar>
        </w:tblPrEx>
        <w:trPr>
          <w:tblCellSpacing w:w="0" w:type="dxa"/>
          <w:jc w:val="center"/>
        </w:trPr>
        <w:tc>
          <w:tcPr>
            <w:tcW w:w="8716" w:type="dxa"/>
            <w:tcBorders>
              <w:top w:val="nil"/>
              <w:left w:val="nil"/>
              <w:bottom w:val="nil"/>
              <w:right w:val="nil"/>
            </w:tcBorders>
            <w:vAlign w:val="center"/>
          </w:tcPr>
          <w:p>
            <w:pPr>
              <w:widowControl/>
              <w:jc w:val="left"/>
              <w:rPr>
                <w:rFonts w:ascii="宋体" w:eastAsia="宋体" w:hAnsi="宋体" w:cs="宋体"/>
                <w:b/>
                <w:bCs/>
                <w:lang w:eastAsia="zh-CN"/>
              </w:rPr>
            </w:pPr>
            <w:r>
              <w:rPr>
                <w:rFonts w:eastAsia="宋体"/>
                <w:b/>
                <w:bCs/>
                <w:lang w:eastAsia="zh-CN"/>
              </w:rPr>
              <w:t>评标方法：综合评分法</w:t>
            </w:r>
          </w:p>
        </w:tc>
        <w:tc>
          <w:tcPr>
            <w:tcW w:w="448" w:type="dxa"/>
            <w:tcBorders>
              <w:top w:val="nil"/>
              <w:left w:val="nil"/>
              <w:bottom w:val="nil"/>
              <w:right w:val="nil"/>
            </w:tcBorders>
            <w:vAlign w:val="center"/>
          </w:tcPr>
          <w:p>
            <w:pPr>
              <w:widowControl/>
              <w:jc w:val="right"/>
              <w:rPr>
                <w:rFonts w:ascii="宋体" w:eastAsia="宋体" w:hAnsi="宋体" w:cs="宋体"/>
                <w:b/>
                <w:bCs/>
                <w:lang w:eastAsia="zh-CN"/>
              </w:rPr>
            </w:pPr>
          </w:p>
        </w:tc>
      </w:tr>
      <w:tr>
        <w:tblPrEx>
          <w:tblW w:w="5000" w:type="pct"/>
          <w:jc w:val="center"/>
          <w:tblCellSpacing w:w="0" w:type="dxa"/>
          <w:tblLayout w:type="fixed"/>
          <w:tblCellMar>
            <w:top w:w="36" w:type="dxa"/>
            <w:left w:w="36" w:type="dxa"/>
            <w:bottom w:w="36" w:type="dxa"/>
            <w:right w:w="36" w:type="dxa"/>
          </w:tblCellMar>
        </w:tblPrEx>
        <w:trPr>
          <w:tblCellSpacing w:w="0" w:type="dxa"/>
          <w:jc w:val="center"/>
        </w:trPr>
        <w:tc>
          <w:tcPr>
            <w:tcW w:w="9164" w:type="dxa"/>
            <w:gridSpan w:val="2"/>
            <w:tcBorders>
              <w:top w:val="nil"/>
              <w:left w:val="nil"/>
              <w:bottom w:val="nil"/>
              <w:right w:val="nil"/>
            </w:tcBorders>
            <w:vAlign w:val="center"/>
          </w:tcPr>
          <w:p>
            <w:pPr>
              <w:widowControl/>
              <w:spacing w:line="324" w:lineRule="auto"/>
              <w:jc w:val="left"/>
              <w:rPr>
                <w:rFonts w:eastAsia="宋体"/>
                <w:sz w:val="21"/>
                <w:szCs w:val="21"/>
                <w:lang w:eastAsia="zh-CN"/>
              </w:rPr>
            </w:pPr>
            <w:r>
              <w:rPr>
                <w:rFonts w:eastAsia="宋体" w:hint="eastAsia"/>
                <w:sz w:val="21"/>
                <w:szCs w:val="21"/>
                <w:lang w:eastAsia="zh-CN"/>
              </w:rPr>
              <w:t>综合评分法，是指投标文件满足招标文件全部实质性要求，且按照评审因素的量化指标评审得分最高的投标人为中标候选人的评标方法。</w:t>
            </w:r>
          </w:p>
          <w:p>
            <w:pPr>
              <w:widowControl/>
              <w:jc w:val="left"/>
              <w:rPr>
                <w:rFonts w:eastAsia="宋体"/>
                <w:sz w:val="21"/>
                <w:szCs w:val="21"/>
                <w:lang w:eastAsia="zh-CN"/>
              </w:rPr>
            </w:pPr>
            <w:r>
              <w:rPr>
                <w:rFonts w:eastAsia="宋体"/>
                <w:sz w:val="21"/>
                <w:szCs w:val="21"/>
                <w:lang w:eastAsia="zh-CN"/>
              </w:rPr>
              <w:t>价格分计算方法：</w:t>
            </w:r>
          </w:p>
          <w:p>
            <w:pPr>
              <w:widowControl/>
              <w:spacing w:line="324" w:lineRule="auto"/>
              <w:jc w:val="left"/>
              <w:rPr>
                <w:rFonts w:eastAsia="宋体"/>
                <w:sz w:val="21"/>
                <w:szCs w:val="21"/>
                <w:lang w:eastAsia="zh-CN"/>
              </w:rPr>
            </w:pPr>
            <w:r>
              <w:rPr>
                <w:rFonts w:eastAsia="宋体"/>
                <w:sz w:val="21"/>
                <w:szCs w:val="21"/>
                <w:lang w:eastAsia="zh-CN"/>
              </w:rPr>
              <w:t xml:space="preserve">采用低价优先法计算，即满足招标文件要求且投标价格最低的投标报价为评标基准价，其价格分为满分。其他投标人的价格分统一按照下列公式计算： </w:t>
            </w:r>
            <w:r>
              <w:rPr>
                <w:rFonts w:eastAsia="宋体"/>
                <w:sz w:val="21"/>
                <w:szCs w:val="21"/>
                <w:lang w:eastAsia="zh-CN"/>
              </w:rPr>
              <w:br/>
            </w:r>
            <w:r>
              <w:rPr>
                <w:rFonts w:eastAsia="宋体"/>
                <w:sz w:val="21"/>
                <w:szCs w:val="21"/>
                <w:lang w:eastAsia="zh-CN"/>
              </w:rPr>
              <w:t xml:space="preserve">投标报价得分=(评标基准价／投标报价)×100 </w:t>
            </w:r>
            <w:r>
              <w:rPr>
                <w:rFonts w:eastAsia="宋体"/>
                <w:sz w:val="21"/>
                <w:szCs w:val="21"/>
                <w:lang w:eastAsia="zh-CN"/>
              </w:rPr>
              <w:br/>
            </w:r>
            <w:r>
              <w:rPr>
                <w:rFonts w:eastAsia="宋体"/>
                <w:sz w:val="21"/>
                <w:szCs w:val="21"/>
                <w:lang w:eastAsia="zh-CN"/>
              </w:rPr>
              <w:t xml:space="preserve">评标总得分＝F1×A1＋F2×A2＋……＋Fn×An </w:t>
            </w:r>
            <w:r>
              <w:rPr>
                <w:rFonts w:eastAsia="宋体"/>
                <w:sz w:val="21"/>
                <w:szCs w:val="21"/>
                <w:lang w:eastAsia="zh-CN"/>
              </w:rPr>
              <w:br/>
            </w:r>
            <w:r>
              <w:rPr>
                <w:rFonts w:eastAsia="宋体"/>
                <w:sz w:val="21"/>
                <w:szCs w:val="21"/>
                <w:lang w:eastAsia="zh-CN"/>
              </w:rPr>
              <w:t xml:space="preserve">F1、F2……Fn分别为各项评审因素的得分； </w:t>
            </w:r>
            <w:r>
              <w:rPr>
                <w:rFonts w:eastAsia="宋体"/>
                <w:sz w:val="21"/>
                <w:szCs w:val="21"/>
                <w:lang w:eastAsia="zh-CN"/>
              </w:rPr>
              <w:br/>
            </w:r>
            <w:r>
              <w:rPr>
                <w:rFonts w:eastAsia="宋体"/>
                <w:sz w:val="21"/>
                <w:szCs w:val="21"/>
                <w:lang w:eastAsia="zh-CN"/>
              </w:rPr>
              <w:t xml:space="preserve">A1、A2、……An 分别为各项评审因素所占的权重(A1＋A2＋……＋An＝1)。 </w:t>
            </w:r>
            <w:r>
              <w:rPr>
                <w:rFonts w:eastAsia="宋体"/>
                <w:sz w:val="21"/>
                <w:szCs w:val="21"/>
                <w:lang w:eastAsia="zh-CN"/>
              </w:rPr>
              <w:br/>
            </w:r>
            <w:r>
              <w:rPr>
                <w:rFonts w:eastAsia="宋体"/>
                <w:sz w:val="21"/>
                <w:szCs w:val="21"/>
                <w:lang w:eastAsia="zh-CN"/>
              </w:rPr>
              <w:t xml:space="preserve">评标过程中，不得去掉报价中的最高报价和最低报价。 </w:t>
            </w:r>
            <w:r>
              <w:rPr>
                <w:rFonts w:eastAsia="宋体"/>
                <w:sz w:val="21"/>
                <w:szCs w:val="21"/>
                <w:lang w:eastAsia="zh-CN"/>
              </w:rPr>
              <w:br/>
            </w:r>
            <w:r>
              <w:rPr>
                <w:rFonts w:eastAsia="宋体" w:hint="eastAsia"/>
                <w:sz w:val="21"/>
                <w:szCs w:val="21"/>
                <w:lang w:eastAsia="zh-CN"/>
              </w:rPr>
              <w:t>因落实政府采购政策进行价格调整的，以调整后的价格计算评标基准价和投标报价。</w:t>
            </w:r>
          </w:p>
          <w:tbl>
            <w:tblPr>
              <w:tblStyle w:val="TableNormal"/>
              <w:tblpPr w:leftFromText="180" w:rightFromText="180" w:vertAnchor="text" w:horzAnchor="page" w:tblpX="1509" w:tblpY="228"/>
              <w:tblOverlap w:val="never"/>
              <w:tblW w:w="5000" w:type="pct"/>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108" w:type="dxa"/>
                <w:bottom w:w="20" w:type="dxa"/>
                <w:right w:w="108" w:type="dxa"/>
              </w:tblCellMar>
            </w:tblPr>
            <w:tblGrid>
              <w:gridCol w:w="643"/>
              <w:gridCol w:w="520"/>
              <w:gridCol w:w="1712"/>
              <w:gridCol w:w="719"/>
              <w:gridCol w:w="4702"/>
            </w:tblGrid>
            <w:tr>
              <w:tblPrEx>
                <w:tblW w:w="5000" w:type="pct"/>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108" w:type="dxa"/>
                  <w:bottom w:w="20" w:type="dxa"/>
                  <w:right w:w="108" w:type="dxa"/>
                </w:tblCellMar>
              </w:tblPrEx>
              <w:trPr>
                <w:tblCellSpacing w:w="0" w:type="dxa"/>
              </w:trPr>
              <w:tc>
                <w:tcPr>
                  <w:tcW w:w="685"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序号</w:t>
                  </w:r>
                </w:p>
              </w:tc>
              <w:tc>
                <w:tcPr>
                  <w:tcW w:w="3185" w:type="dxa"/>
                  <w:gridSpan w:val="3"/>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评分项</w:t>
                  </w:r>
                </w:p>
              </w:tc>
              <w:tc>
                <w:tcPr>
                  <w:tcW w:w="5179"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权重(%)</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val="restart"/>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1</w:t>
                  </w:r>
                </w:p>
              </w:tc>
              <w:tc>
                <w:tcPr>
                  <w:tcW w:w="3185" w:type="dxa"/>
                  <w:gridSpan w:val="3"/>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价格</w:t>
                  </w:r>
                </w:p>
              </w:tc>
              <w:tc>
                <w:tcPr>
                  <w:tcW w:w="5179" w:type="dxa"/>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10</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364" w:type="dxa"/>
                  <w:gridSpan w:val="4"/>
                  <w:tcBorders>
                    <w:tl2br w:val="nil"/>
                    <w:tr2bl w:val="nil"/>
                  </w:tcBorders>
                </w:tcPr>
                <w:p>
                  <w:pPr>
                    <w:widowControl w:val="0"/>
                    <w:wordWrap w:val="0"/>
                    <w:adjustRightInd w:val="0"/>
                    <w:snapToGrid w:val="0"/>
                    <w:spacing w:line="320" w:lineRule="exact"/>
                    <w:jc w:val="both"/>
                    <w:rPr>
                      <w:rFonts w:ascii="宋体" w:eastAsia="宋体" w:hAnsi="宋体" w:cs="宋体"/>
                      <w:color w:val="0000FF"/>
                      <w:kern w:val="2"/>
                      <w:sz w:val="21"/>
                      <w:szCs w:val="21"/>
                      <w:lang w:eastAsia="zh-CN"/>
                    </w:rPr>
                  </w:pPr>
                </w:p>
              </w:tc>
            </w:tr>
            <w:tr>
              <w:tblPrEx>
                <w:tblW w:w="5000" w:type="pct"/>
                <w:tblCellSpacing w:w="0" w:type="dxa"/>
                <w:tblInd w:w="0" w:type="dxa"/>
                <w:tblLayout w:type="fixed"/>
                <w:tblCellMar>
                  <w:top w:w="20" w:type="dxa"/>
                  <w:left w:w="108" w:type="dxa"/>
                  <w:bottom w:w="20" w:type="dxa"/>
                  <w:right w:w="108" w:type="dxa"/>
                </w:tblCellMar>
              </w:tblPrEx>
              <w:trPr>
                <w:trHeight w:val="90"/>
                <w:tblCellSpacing w:w="0" w:type="dxa"/>
              </w:trPr>
              <w:tc>
                <w:tcPr>
                  <w:tcW w:w="685" w:type="dxa"/>
                  <w:vMerge w:val="restart"/>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2</w:t>
                  </w:r>
                </w:p>
              </w:tc>
              <w:tc>
                <w:tcPr>
                  <w:tcW w:w="3185" w:type="dxa"/>
                  <w:gridSpan w:val="3"/>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技术部分</w:t>
                  </w:r>
                </w:p>
              </w:tc>
              <w:tc>
                <w:tcPr>
                  <w:tcW w:w="5179" w:type="dxa"/>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55</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8364" w:type="dxa"/>
                  <w:gridSpan w:val="4"/>
                  <w:tcBorders>
                    <w:tl2br w:val="nil"/>
                    <w:tr2bl w:val="nil"/>
                  </w:tcBorders>
                </w:tcPr>
                <w:p>
                  <w:pPr>
                    <w:widowControl w:val="0"/>
                    <w:wordWrap w:val="0"/>
                    <w:adjustRightInd w:val="0"/>
                    <w:snapToGrid w:val="0"/>
                    <w:spacing w:line="320" w:lineRule="exact"/>
                    <w:jc w:val="both"/>
                    <w:rPr>
                      <w:rFonts w:ascii="宋体" w:eastAsia="宋体" w:hAnsi="宋体" w:cs="宋体"/>
                      <w:kern w:val="2"/>
                      <w:sz w:val="21"/>
                      <w:szCs w:val="21"/>
                      <w:lang w:eastAsia="zh-CN"/>
                    </w:rPr>
                  </w:pP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shd w:val="clear" w:color="auto" w:fill="E6EFFA"/>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548"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868"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769"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p>
              </w:tc>
              <w:tc>
                <w:tcPr>
                  <w:tcW w:w="5179"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868" w:type="dxa"/>
                  <w:tcBorders>
                    <w:tl2br w:val="nil"/>
                    <w:tr2bl w:val="nil"/>
                  </w:tcBorders>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服务方案</w:t>
                  </w:r>
                </w:p>
              </w:tc>
              <w:tc>
                <w:tcPr>
                  <w:tcW w:w="769" w:type="dxa"/>
                  <w:tcBorders>
                    <w:tl2br w:val="nil"/>
                    <w:tr2bl w:val="nil"/>
                  </w:tcBorders>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179" w:type="dxa"/>
                  <w:tcBorders>
                    <w:tl2br w:val="nil"/>
                    <w:tr2bl w:val="nil"/>
                  </w:tcBorders>
                </w:tcPr>
                <w:p>
                  <w:pPr>
                    <w:widowControl w:val="0"/>
                    <w:spacing w:line="276" w:lineRule="auto"/>
                    <w:jc w:val="both"/>
                    <w:rPr>
                      <w:rFonts w:ascii="宋体" w:eastAsia="宋体" w:hAnsi="Calibri" w:cs="宋体"/>
                      <w:b/>
                      <w:kern w:val="2"/>
                      <w:sz w:val="21"/>
                      <w:szCs w:val="21"/>
                      <w:lang w:eastAsia="zh-CN"/>
                    </w:rPr>
                  </w:pPr>
                  <w:r>
                    <w:rPr>
                      <w:rFonts w:ascii="宋体" w:eastAsia="宋体" w:hAnsi="宋体" w:cs="宋体" w:hint="eastAsia"/>
                      <w:b/>
                      <w:kern w:val="2"/>
                      <w:sz w:val="21"/>
                      <w:szCs w:val="21"/>
                      <w:lang w:eastAsia="zh-CN"/>
                    </w:rPr>
                    <w:t>（一）评分内容：</w:t>
                  </w:r>
                </w:p>
                <w:p>
                  <w:pPr>
                    <w:widowControl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投标人须针对本项目需求提供服务方案，包括下述内容：</w:t>
                  </w:r>
                </w:p>
                <w:p>
                  <w:pPr>
                    <w:widowControl w:val="0"/>
                    <w:spacing w:line="276" w:lineRule="auto"/>
                    <w:jc w:val="both"/>
                    <w:rPr>
                      <w:rFonts w:ascii="宋体" w:eastAsia="宋体" w:hAnsi="Calibri" w:cs="宋体"/>
                      <w:kern w:val="2"/>
                      <w:sz w:val="21"/>
                      <w:szCs w:val="21"/>
                      <w:lang w:eastAsia="zh-CN"/>
                    </w:rPr>
                  </w:pPr>
                  <w:r>
                    <w:rPr>
                      <w:rFonts w:ascii="宋体" w:eastAsia="宋体" w:hAnsi="Calibri" w:cs="宋体"/>
                      <w:kern w:val="2"/>
                      <w:sz w:val="21"/>
                      <w:szCs w:val="21"/>
                      <w:lang w:eastAsia="zh-CN"/>
                    </w:rPr>
                    <w:t>1.</w:t>
                  </w:r>
                  <w:r>
                    <w:rPr>
                      <w:rFonts w:ascii="宋体" w:eastAsia="宋体" w:hAnsi="Calibri" w:cs="宋体" w:hint="eastAsia"/>
                      <w:kern w:val="2"/>
                      <w:sz w:val="21"/>
                      <w:szCs w:val="21"/>
                      <w:lang w:eastAsia="zh-CN"/>
                    </w:rPr>
                    <w:t>对项目的整体设想及规划；</w:t>
                  </w:r>
                </w:p>
                <w:p>
                  <w:pPr>
                    <w:widowControl w:val="0"/>
                    <w:spacing w:line="276" w:lineRule="auto"/>
                    <w:jc w:val="both"/>
                    <w:rPr>
                      <w:rFonts w:ascii="宋体" w:eastAsia="宋体" w:hAnsi="Calibri" w:cs="宋体"/>
                      <w:kern w:val="2"/>
                      <w:sz w:val="21"/>
                      <w:szCs w:val="21"/>
                      <w:lang w:eastAsia="zh-CN"/>
                    </w:rPr>
                  </w:pPr>
                  <w:r>
                    <w:rPr>
                      <w:rFonts w:ascii="宋体" w:eastAsia="宋体" w:hAnsi="Calibri" w:cs="宋体"/>
                      <w:kern w:val="2"/>
                      <w:sz w:val="21"/>
                      <w:szCs w:val="21"/>
                      <w:lang w:eastAsia="zh-CN"/>
                    </w:rPr>
                    <w:t>2.</w:t>
                  </w:r>
                  <w:r>
                    <w:rPr>
                      <w:rFonts w:ascii="宋体" w:eastAsia="宋体" w:hAnsi="Calibri" w:cs="宋体" w:hint="eastAsia"/>
                      <w:kern w:val="2"/>
                      <w:sz w:val="21"/>
                      <w:szCs w:val="21"/>
                      <w:lang w:eastAsia="zh-CN"/>
                    </w:rPr>
                    <w:t>管理目标；</w:t>
                  </w:r>
                </w:p>
                <w:p>
                  <w:pPr>
                    <w:widowControl w:val="0"/>
                    <w:spacing w:line="276" w:lineRule="auto"/>
                    <w:jc w:val="both"/>
                    <w:rPr>
                      <w:rFonts w:ascii="宋体" w:eastAsia="宋体" w:hAnsi="Calibri" w:cs="宋体"/>
                      <w:kern w:val="2"/>
                      <w:sz w:val="21"/>
                      <w:szCs w:val="21"/>
                      <w:lang w:eastAsia="zh-CN"/>
                    </w:rPr>
                  </w:pPr>
                  <w:r>
                    <w:rPr>
                      <w:rFonts w:ascii="宋体" w:eastAsia="宋体" w:hAnsi="Calibri" w:cs="宋体"/>
                      <w:kern w:val="2"/>
                      <w:sz w:val="21"/>
                      <w:szCs w:val="21"/>
                      <w:lang w:eastAsia="zh-CN"/>
                    </w:rPr>
                    <w:t>3.</w:t>
                  </w:r>
                  <w:r>
                    <w:rPr>
                      <w:rFonts w:ascii="宋体" w:eastAsia="宋体" w:hAnsi="Calibri" w:cs="宋体" w:hint="eastAsia"/>
                      <w:kern w:val="2"/>
                      <w:sz w:val="21"/>
                      <w:szCs w:val="21"/>
                      <w:lang w:eastAsia="zh-CN"/>
                    </w:rPr>
                    <w:t>管理制度；</w:t>
                  </w:r>
                </w:p>
                <w:p>
                  <w:pPr>
                    <w:widowControl w:val="0"/>
                    <w:spacing w:line="276" w:lineRule="auto"/>
                    <w:jc w:val="both"/>
                    <w:rPr>
                      <w:rFonts w:ascii="宋体" w:eastAsia="宋体" w:hAnsi="Calibri" w:cs="宋体"/>
                      <w:kern w:val="2"/>
                      <w:sz w:val="21"/>
                      <w:szCs w:val="21"/>
                      <w:lang w:eastAsia="zh-CN"/>
                    </w:rPr>
                  </w:pPr>
                  <w:r>
                    <w:rPr>
                      <w:rFonts w:ascii="宋体" w:eastAsia="宋体" w:hAnsi="Calibri" w:cs="宋体"/>
                      <w:kern w:val="2"/>
                      <w:sz w:val="21"/>
                      <w:szCs w:val="21"/>
                      <w:lang w:eastAsia="zh-CN"/>
                    </w:rPr>
                    <w:t>4.</w:t>
                  </w:r>
                  <w:r>
                    <w:rPr>
                      <w:rFonts w:ascii="宋体" w:eastAsia="宋体" w:hAnsi="Calibri" w:cs="宋体" w:hint="eastAsia"/>
                      <w:kern w:val="2"/>
                      <w:sz w:val="21"/>
                      <w:szCs w:val="21"/>
                      <w:lang w:eastAsia="zh-CN"/>
                    </w:rPr>
                    <w:t>管理方式。</w:t>
                  </w:r>
                </w:p>
                <w:p>
                  <w:pPr>
                    <w:widowControl w:val="0"/>
                    <w:spacing w:line="276" w:lineRule="auto"/>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（二）评分依据：</w:t>
                  </w:r>
                </w:p>
                <w:p>
                  <w:pPr>
                    <w:widowControl w:val="0"/>
                    <w:spacing w:line="276" w:lineRule="auto"/>
                    <w:jc w:val="both"/>
                    <w:rPr>
                      <w:rFonts w:ascii="宋体" w:eastAsia="宋体" w:hAnsi="Calibri" w:cs="宋体"/>
                      <w:kern w:val="2"/>
                      <w:sz w:val="21"/>
                      <w:szCs w:val="21"/>
                      <w:lang w:eastAsia="zh-CN"/>
                    </w:rPr>
                  </w:pPr>
                  <w:r>
                    <w:rPr>
                      <w:rFonts w:ascii="宋体" w:eastAsia="宋体" w:hAnsi="宋体" w:cs="宋体" w:hint="eastAsia"/>
                      <w:kern w:val="2"/>
                      <w:sz w:val="21"/>
                      <w:szCs w:val="21"/>
                      <w:lang w:eastAsia="zh-CN"/>
                    </w:rPr>
                    <w:t>考察投标人以上方案，</w:t>
                  </w:r>
                  <w:r>
                    <w:rPr>
                      <w:rFonts w:ascii="宋体" w:eastAsia="宋体" w:hAnsi="Calibri" w:cs="宋体" w:hint="eastAsia"/>
                      <w:kern w:val="2"/>
                      <w:sz w:val="21"/>
                      <w:szCs w:val="21"/>
                      <w:lang w:eastAsia="zh-CN"/>
                    </w:rPr>
                    <w:t>满足以上四项要求得</w:t>
                  </w:r>
                  <w:r>
                    <w:rPr>
                      <w:rFonts w:ascii="宋体" w:eastAsia="宋体" w:hAnsi="Calibri" w:cs="宋体"/>
                      <w:kern w:val="2"/>
                      <w:sz w:val="21"/>
                      <w:szCs w:val="21"/>
                      <w:lang w:eastAsia="zh-CN"/>
                    </w:rPr>
                    <w:t>60</w:t>
                  </w:r>
                  <w:r>
                    <w:rPr>
                      <w:rFonts w:ascii="宋体" w:eastAsia="宋体" w:hAnsi="Calibri" w:cs="宋体" w:hint="eastAsia"/>
                      <w:kern w:val="2"/>
                      <w:sz w:val="21"/>
                      <w:szCs w:val="21"/>
                      <w:lang w:eastAsia="zh-CN"/>
                    </w:rPr>
                    <w:t>分，满足任意三项要求得</w:t>
                  </w:r>
                  <w:r>
                    <w:rPr>
                      <w:rFonts w:ascii="宋体" w:eastAsia="宋体" w:hAnsi="Calibri" w:cs="宋体"/>
                      <w:kern w:val="2"/>
                      <w:sz w:val="21"/>
                      <w:szCs w:val="21"/>
                      <w:lang w:eastAsia="zh-CN"/>
                    </w:rPr>
                    <w:t>40</w:t>
                  </w:r>
                  <w:r>
                    <w:rPr>
                      <w:rFonts w:ascii="宋体" w:eastAsia="宋体" w:hAnsi="Calibri" w:cs="宋体" w:hint="eastAsia"/>
                      <w:kern w:val="2"/>
                      <w:sz w:val="21"/>
                      <w:szCs w:val="21"/>
                      <w:lang w:eastAsia="zh-CN"/>
                    </w:rPr>
                    <w:t>分，满足任意两项要求得</w:t>
                  </w:r>
                  <w:r>
                    <w:rPr>
                      <w:rFonts w:ascii="宋体" w:eastAsia="宋体" w:hAnsi="Calibri" w:cs="宋体"/>
                      <w:kern w:val="2"/>
                      <w:sz w:val="21"/>
                      <w:szCs w:val="21"/>
                      <w:lang w:eastAsia="zh-CN"/>
                    </w:rPr>
                    <w:t>20</w:t>
                  </w:r>
                  <w:r>
                    <w:rPr>
                      <w:rFonts w:ascii="宋体" w:eastAsia="宋体" w:hAnsi="Calibri" w:cs="宋体" w:hint="eastAsia"/>
                      <w:kern w:val="2"/>
                      <w:sz w:val="21"/>
                      <w:szCs w:val="21"/>
                      <w:lang w:eastAsia="zh-CN"/>
                    </w:rPr>
                    <w:t>分，满足任意一项要求得</w:t>
                  </w:r>
                  <w:r>
                    <w:rPr>
                      <w:rFonts w:ascii="宋体" w:eastAsia="宋体" w:hAnsi="Calibri" w:cs="宋体"/>
                      <w:kern w:val="2"/>
                      <w:sz w:val="21"/>
                      <w:szCs w:val="21"/>
                      <w:lang w:eastAsia="zh-CN"/>
                    </w:rPr>
                    <w:t>10</w:t>
                  </w:r>
                  <w:r>
                    <w:rPr>
                      <w:rFonts w:ascii="宋体" w:eastAsia="宋体" w:hAnsi="Calibri" w:cs="宋体" w:hint="eastAsia"/>
                      <w:kern w:val="2"/>
                      <w:sz w:val="21"/>
                      <w:szCs w:val="21"/>
                      <w:lang w:eastAsia="zh-CN"/>
                    </w:rPr>
                    <w:t>分，未满足不得分。</w:t>
                  </w:r>
                </w:p>
                <w:p>
                  <w:pPr>
                    <w:widowControl w:val="0"/>
                    <w:spacing w:line="276" w:lineRule="auto"/>
                    <w:jc w:val="both"/>
                    <w:rPr>
                      <w:rFonts w:ascii="宋体" w:eastAsia="宋体" w:hAnsi="Calibri" w:cs="宋体"/>
                      <w:b/>
                      <w:kern w:val="2"/>
                      <w:sz w:val="21"/>
                      <w:szCs w:val="21"/>
                      <w:lang w:eastAsia="zh-CN"/>
                    </w:rPr>
                  </w:pPr>
                  <w:r>
                    <w:rPr>
                      <w:rFonts w:ascii="宋体" w:eastAsia="宋体" w:hAnsi="Calibri" w:cs="宋体" w:hint="eastAsia"/>
                      <w:b/>
                      <w:kern w:val="2"/>
                      <w:sz w:val="21"/>
                      <w:szCs w:val="21"/>
                      <w:lang w:eastAsia="zh-CN"/>
                    </w:rPr>
                    <w:t>在此基础上，专家根据各投标人的具体响应内容进一步评审。</w:t>
                  </w:r>
                </w:p>
                <w:p>
                  <w:pPr>
                    <w:widowControl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评审为优：方案内容全面、具体，科学合理，针对性和可操作性强的，加</w:t>
                  </w:r>
                  <w:r>
                    <w:rPr>
                      <w:rFonts w:ascii="宋体" w:eastAsia="宋体" w:hAnsi="Calibri" w:cs="宋体"/>
                      <w:kern w:val="2"/>
                      <w:sz w:val="21"/>
                      <w:szCs w:val="21"/>
                      <w:lang w:eastAsia="zh-CN"/>
                    </w:rPr>
                    <w:t>40</w:t>
                  </w:r>
                  <w:r>
                    <w:rPr>
                      <w:rFonts w:ascii="宋体" w:eastAsia="宋体" w:hAnsi="Calibri" w:cs="宋体" w:hint="eastAsia"/>
                      <w:kern w:val="2"/>
                      <w:sz w:val="21"/>
                      <w:szCs w:val="21"/>
                      <w:lang w:eastAsia="zh-CN"/>
                    </w:rPr>
                    <w:t>分；</w:t>
                  </w:r>
                </w:p>
                <w:p>
                  <w:pPr>
                    <w:widowControl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评审为良：方案内容较全面、具体，较科学合理，针对性和可操作性较强的，加</w:t>
                  </w:r>
                  <w:r>
                    <w:rPr>
                      <w:rFonts w:ascii="宋体" w:eastAsia="宋体" w:hAnsi="Calibri" w:cs="宋体"/>
                      <w:kern w:val="2"/>
                      <w:sz w:val="21"/>
                      <w:szCs w:val="21"/>
                      <w:lang w:eastAsia="zh-CN"/>
                    </w:rPr>
                    <w:t>20</w:t>
                  </w:r>
                  <w:r>
                    <w:rPr>
                      <w:rFonts w:ascii="宋体" w:eastAsia="宋体" w:hAnsi="Calibri" w:cs="宋体" w:hint="eastAsia"/>
                      <w:kern w:val="2"/>
                      <w:sz w:val="21"/>
                      <w:szCs w:val="21"/>
                      <w:lang w:eastAsia="zh-CN"/>
                    </w:rPr>
                    <w:t>分；</w:t>
                  </w:r>
                </w:p>
                <w:p>
                  <w:pPr>
                    <w:widowControl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评审为中：方案内容一般，针对性和可操作性一般的，加</w:t>
                  </w:r>
                  <w:r>
                    <w:rPr>
                      <w:rFonts w:ascii="宋体" w:eastAsia="宋体" w:hAnsi="Calibri" w:cs="宋体"/>
                      <w:kern w:val="2"/>
                      <w:sz w:val="21"/>
                      <w:szCs w:val="21"/>
                      <w:lang w:eastAsia="zh-CN"/>
                    </w:rPr>
                    <w:t>10</w:t>
                  </w:r>
                  <w:r>
                    <w:rPr>
                      <w:rFonts w:ascii="宋体" w:eastAsia="宋体" w:hAnsi="Calibri" w:cs="宋体" w:hint="eastAsia"/>
                      <w:kern w:val="2"/>
                      <w:sz w:val="21"/>
                      <w:szCs w:val="21"/>
                      <w:lang w:eastAsia="zh-CN"/>
                    </w:rPr>
                    <w:t>分；</w:t>
                  </w:r>
                </w:p>
                <w:p>
                  <w:pPr>
                    <w:widowControl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评审为差：方案内容差的，不加分。</w:t>
                  </w:r>
                </w:p>
                <w:p>
                  <w:pPr>
                    <w:widowControl w:val="0"/>
                    <w:wordWrap w:val="0"/>
                    <w:jc w:val="both"/>
                    <w:rPr>
                      <w:rFonts w:ascii="宋体" w:eastAsia="宋体" w:hAnsi="宋体" w:cs="宋体"/>
                      <w:kern w:val="2"/>
                      <w:sz w:val="21"/>
                      <w:szCs w:val="21"/>
                      <w:lang w:eastAsia="zh-CN"/>
                    </w:rPr>
                  </w:pPr>
                  <w:r>
                    <w:rPr>
                      <w:rFonts w:ascii="宋体" w:eastAsia="宋体" w:hAnsi="Calibri" w:cs="宋体" w:hint="eastAsia"/>
                      <w:kern w:val="2"/>
                      <w:sz w:val="21"/>
                      <w:szCs w:val="21"/>
                      <w:lang w:eastAsia="zh-CN"/>
                    </w:rPr>
                    <w:t>本项最高得</w:t>
                  </w:r>
                  <w:r>
                    <w:rPr>
                      <w:rFonts w:ascii="宋体" w:eastAsia="宋体" w:hAnsi="Calibri" w:cs="宋体"/>
                      <w:kern w:val="2"/>
                      <w:sz w:val="21"/>
                      <w:szCs w:val="21"/>
                      <w:lang w:eastAsia="zh-CN"/>
                    </w:rPr>
                    <w:t>100</w:t>
                  </w:r>
                  <w:r>
                    <w:rPr>
                      <w:rFonts w:ascii="宋体" w:eastAsia="宋体" w:hAnsi="Calibri" w:cs="宋体" w:hint="eastAsia"/>
                      <w:kern w:val="2"/>
                      <w:sz w:val="21"/>
                      <w:szCs w:val="21"/>
                      <w:lang w:eastAsia="zh-CN"/>
                    </w:rPr>
                    <w:t>分，未按要求提供或提供不清晰导致评审无法判别的不得分。</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868" w:type="dxa"/>
                  <w:tcBorders>
                    <w:tl2br w:val="nil"/>
                    <w:tr2bl w:val="nil"/>
                  </w:tcBorders>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项目重点难点分析、应对措施及相关的合理化建议</w:t>
                  </w:r>
                </w:p>
              </w:tc>
              <w:tc>
                <w:tcPr>
                  <w:tcW w:w="769" w:type="dxa"/>
                  <w:tcBorders>
                    <w:tl2br w:val="nil"/>
                    <w:tr2bl w:val="nil"/>
                  </w:tcBorders>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179" w:type="dxa"/>
                  <w:tcBorders>
                    <w:tl2br w:val="nil"/>
                    <w:tr2bl w:val="nil"/>
                  </w:tcBorders>
                </w:tcPr>
                <w:p>
                  <w:pPr>
                    <w:widowControl w:val="0"/>
                    <w:spacing w:line="276" w:lineRule="auto"/>
                    <w:jc w:val="both"/>
                    <w:rPr>
                      <w:rFonts w:ascii="宋体" w:eastAsia="宋体" w:hAnsi="Calibri" w:cs="宋体"/>
                      <w:b/>
                      <w:kern w:val="2"/>
                      <w:sz w:val="21"/>
                      <w:szCs w:val="21"/>
                      <w:lang w:eastAsia="zh-CN"/>
                    </w:rPr>
                  </w:pPr>
                  <w:r>
                    <w:rPr>
                      <w:rFonts w:ascii="宋体" w:eastAsia="宋体" w:hAnsi="宋体" w:cs="宋体" w:hint="eastAsia"/>
                      <w:b/>
                      <w:kern w:val="2"/>
                      <w:sz w:val="21"/>
                      <w:szCs w:val="21"/>
                      <w:lang w:eastAsia="zh-CN"/>
                    </w:rPr>
                    <w:t>（一）评分内容：</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投标人须针对本项目需求提供对项目重点难点分析、应对措施及相关的合理化建议，包括下述内容：</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Calibri" w:cs="宋体"/>
                      <w:kern w:val="2"/>
                      <w:sz w:val="21"/>
                      <w:szCs w:val="21"/>
                      <w:lang w:eastAsia="zh-CN"/>
                    </w:rPr>
                    <w:t>1.</w:t>
                  </w:r>
                  <w:r>
                    <w:rPr>
                      <w:rFonts w:ascii="宋体" w:eastAsia="宋体" w:hAnsi="Calibri" w:cs="宋体" w:hint="eastAsia"/>
                      <w:kern w:val="2"/>
                      <w:sz w:val="21"/>
                      <w:szCs w:val="21"/>
                      <w:lang w:eastAsia="zh-CN"/>
                    </w:rPr>
                    <w:t>项目重点难点分析；</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Calibri" w:cs="宋体"/>
                      <w:kern w:val="2"/>
                      <w:sz w:val="21"/>
                      <w:szCs w:val="21"/>
                      <w:lang w:eastAsia="zh-CN"/>
                    </w:rPr>
                    <w:t>2.</w:t>
                  </w:r>
                  <w:r>
                    <w:rPr>
                      <w:rFonts w:ascii="宋体" w:eastAsia="宋体" w:hAnsi="Calibri" w:cs="宋体" w:hint="eastAsia"/>
                      <w:kern w:val="2"/>
                      <w:sz w:val="21"/>
                      <w:szCs w:val="21"/>
                      <w:lang w:eastAsia="zh-CN"/>
                    </w:rPr>
                    <w:t>应对措施；</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Calibri" w:cs="宋体"/>
                      <w:kern w:val="2"/>
                      <w:sz w:val="21"/>
                      <w:szCs w:val="21"/>
                      <w:lang w:eastAsia="zh-CN"/>
                    </w:rPr>
                    <w:t>3.</w:t>
                  </w:r>
                  <w:r>
                    <w:rPr>
                      <w:rFonts w:ascii="宋体" w:eastAsia="宋体" w:hAnsi="Calibri" w:cs="宋体" w:hint="eastAsia"/>
                      <w:kern w:val="2"/>
                      <w:sz w:val="21"/>
                      <w:szCs w:val="21"/>
                      <w:lang w:eastAsia="zh-CN"/>
                    </w:rPr>
                    <w:t>相关的合理化建议。</w:t>
                  </w:r>
                </w:p>
                <w:p>
                  <w:pPr>
                    <w:widowControl w:val="0"/>
                    <w:spacing w:line="276" w:lineRule="auto"/>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（二）评分依据：</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宋体" w:cs="宋体" w:hint="eastAsia"/>
                      <w:kern w:val="2"/>
                      <w:sz w:val="21"/>
                      <w:szCs w:val="21"/>
                      <w:lang w:eastAsia="zh-CN"/>
                    </w:rPr>
                    <w:t>考察投标人以上内容，</w:t>
                  </w:r>
                  <w:r>
                    <w:rPr>
                      <w:rFonts w:ascii="宋体" w:eastAsia="宋体" w:hAnsi="Calibri" w:cs="宋体" w:hint="eastAsia"/>
                      <w:kern w:val="2"/>
                      <w:sz w:val="21"/>
                      <w:szCs w:val="21"/>
                      <w:lang w:eastAsia="zh-CN"/>
                    </w:rPr>
                    <w:t>满足以上三项要求得</w:t>
                  </w:r>
                  <w:r>
                    <w:rPr>
                      <w:rFonts w:ascii="宋体" w:eastAsia="宋体" w:hAnsi="Calibri" w:cs="宋体"/>
                      <w:kern w:val="2"/>
                      <w:sz w:val="21"/>
                      <w:szCs w:val="21"/>
                      <w:lang w:eastAsia="zh-CN"/>
                    </w:rPr>
                    <w:t>60</w:t>
                  </w:r>
                  <w:r>
                    <w:rPr>
                      <w:rFonts w:ascii="宋体" w:eastAsia="宋体" w:hAnsi="Calibri" w:cs="宋体" w:hint="eastAsia"/>
                      <w:kern w:val="2"/>
                      <w:sz w:val="21"/>
                      <w:szCs w:val="21"/>
                      <w:lang w:eastAsia="zh-CN"/>
                    </w:rPr>
                    <w:t>分，满足任意两项要求得</w:t>
                  </w:r>
                  <w:r>
                    <w:rPr>
                      <w:rFonts w:ascii="宋体" w:eastAsia="宋体" w:hAnsi="Calibri" w:cs="宋体"/>
                      <w:kern w:val="2"/>
                      <w:sz w:val="21"/>
                      <w:szCs w:val="21"/>
                      <w:lang w:eastAsia="zh-CN"/>
                    </w:rPr>
                    <w:t>40</w:t>
                  </w:r>
                  <w:r>
                    <w:rPr>
                      <w:rFonts w:ascii="宋体" w:eastAsia="宋体" w:hAnsi="Calibri" w:cs="宋体" w:hint="eastAsia"/>
                      <w:kern w:val="2"/>
                      <w:sz w:val="21"/>
                      <w:szCs w:val="21"/>
                      <w:lang w:eastAsia="zh-CN"/>
                    </w:rPr>
                    <w:t>分，满足任意一项要求得</w:t>
                  </w:r>
                  <w:r>
                    <w:rPr>
                      <w:rFonts w:ascii="宋体" w:eastAsia="宋体" w:hAnsi="Calibri" w:cs="宋体"/>
                      <w:kern w:val="2"/>
                      <w:sz w:val="21"/>
                      <w:szCs w:val="21"/>
                      <w:lang w:eastAsia="zh-CN"/>
                    </w:rPr>
                    <w:t>20</w:t>
                  </w:r>
                  <w:r>
                    <w:rPr>
                      <w:rFonts w:ascii="宋体" w:eastAsia="宋体" w:hAnsi="Calibri" w:cs="宋体" w:hint="eastAsia"/>
                      <w:kern w:val="2"/>
                      <w:sz w:val="21"/>
                      <w:szCs w:val="21"/>
                      <w:lang w:eastAsia="zh-CN"/>
                    </w:rPr>
                    <w:t>分，未满足不得分。</w:t>
                  </w:r>
                </w:p>
                <w:p>
                  <w:pPr>
                    <w:widowControl w:val="0"/>
                    <w:wordWrap w:val="0"/>
                    <w:spacing w:line="276" w:lineRule="auto"/>
                    <w:jc w:val="both"/>
                    <w:rPr>
                      <w:rFonts w:ascii="宋体" w:eastAsia="宋体" w:hAnsi="Calibri" w:cs="宋体"/>
                      <w:b/>
                      <w:kern w:val="2"/>
                      <w:sz w:val="21"/>
                      <w:szCs w:val="21"/>
                      <w:lang w:eastAsia="zh-CN"/>
                    </w:rPr>
                  </w:pPr>
                  <w:r>
                    <w:rPr>
                      <w:rFonts w:ascii="宋体" w:eastAsia="宋体" w:hAnsi="Calibri" w:cs="宋体" w:hint="eastAsia"/>
                      <w:b/>
                      <w:kern w:val="2"/>
                      <w:sz w:val="21"/>
                      <w:szCs w:val="21"/>
                      <w:lang w:eastAsia="zh-CN"/>
                    </w:rPr>
                    <w:t>在此基础上，专家根据各投标人的具体响应内容进一步评审。</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评审为优：重难点分析内容详实，应对措施针对性强，合理化建议科学合理的，加</w:t>
                  </w:r>
                  <w:r>
                    <w:rPr>
                      <w:rFonts w:ascii="宋体" w:eastAsia="宋体" w:hAnsi="Calibri" w:cs="宋体"/>
                      <w:kern w:val="2"/>
                      <w:sz w:val="21"/>
                      <w:szCs w:val="21"/>
                      <w:lang w:eastAsia="zh-CN"/>
                    </w:rPr>
                    <w:t>40</w:t>
                  </w:r>
                  <w:r>
                    <w:rPr>
                      <w:rFonts w:ascii="宋体" w:eastAsia="宋体" w:hAnsi="Calibri" w:cs="宋体" w:hint="eastAsia"/>
                      <w:kern w:val="2"/>
                      <w:sz w:val="21"/>
                      <w:szCs w:val="21"/>
                      <w:lang w:eastAsia="zh-CN"/>
                    </w:rPr>
                    <w:t>分；</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评审为良：重难点分析内容较详实，应对措施针对性较强，合理化建议较科学合理的，加</w:t>
                  </w:r>
                  <w:r>
                    <w:rPr>
                      <w:rFonts w:ascii="宋体" w:eastAsia="宋体" w:hAnsi="Calibri" w:cs="宋体"/>
                      <w:kern w:val="2"/>
                      <w:sz w:val="21"/>
                      <w:szCs w:val="21"/>
                      <w:lang w:eastAsia="zh-CN"/>
                    </w:rPr>
                    <w:t>20</w:t>
                  </w:r>
                  <w:r>
                    <w:rPr>
                      <w:rFonts w:ascii="宋体" w:eastAsia="宋体" w:hAnsi="Calibri" w:cs="宋体" w:hint="eastAsia"/>
                      <w:kern w:val="2"/>
                      <w:sz w:val="21"/>
                      <w:szCs w:val="21"/>
                      <w:lang w:eastAsia="zh-CN"/>
                    </w:rPr>
                    <w:t>分；</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评审为中：重难点分析内容一般，应对措施针对性一般，合理化建议一般的，加</w:t>
                  </w:r>
                  <w:r>
                    <w:rPr>
                      <w:rFonts w:ascii="宋体" w:eastAsia="宋体" w:hAnsi="Calibri" w:cs="宋体"/>
                      <w:kern w:val="2"/>
                      <w:sz w:val="21"/>
                      <w:szCs w:val="21"/>
                      <w:lang w:eastAsia="zh-CN"/>
                    </w:rPr>
                    <w:t>10</w:t>
                  </w:r>
                  <w:r>
                    <w:rPr>
                      <w:rFonts w:ascii="宋体" w:eastAsia="宋体" w:hAnsi="Calibri" w:cs="宋体" w:hint="eastAsia"/>
                      <w:kern w:val="2"/>
                      <w:sz w:val="21"/>
                      <w:szCs w:val="21"/>
                      <w:lang w:eastAsia="zh-CN"/>
                    </w:rPr>
                    <w:t>分；</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评审为差：重难点分析内容差，应对措施针对性差，合理化建议差的，不加分。</w:t>
                  </w:r>
                </w:p>
                <w:p>
                  <w:pPr>
                    <w:widowControl w:val="0"/>
                    <w:wordWrap w:val="0"/>
                    <w:jc w:val="both"/>
                    <w:rPr>
                      <w:rFonts w:ascii="宋体" w:eastAsia="宋体" w:hAnsi="宋体" w:cs="宋体"/>
                      <w:kern w:val="2"/>
                      <w:sz w:val="21"/>
                      <w:szCs w:val="21"/>
                      <w:lang w:eastAsia="zh-CN"/>
                    </w:rPr>
                  </w:pPr>
                  <w:r>
                    <w:rPr>
                      <w:rFonts w:ascii="宋体" w:eastAsia="宋体" w:hAnsi="Calibri" w:cs="宋体" w:hint="eastAsia"/>
                      <w:kern w:val="2"/>
                      <w:sz w:val="21"/>
                      <w:szCs w:val="21"/>
                      <w:lang w:eastAsia="zh-CN"/>
                    </w:rPr>
                    <w:t>本项最高得</w:t>
                  </w:r>
                  <w:r>
                    <w:rPr>
                      <w:rFonts w:ascii="宋体" w:eastAsia="宋体" w:hAnsi="Calibri" w:cs="宋体"/>
                      <w:kern w:val="2"/>
                      <w:sz w:val="21"/>
                      <w:szCs w:val="21"/>
                      <w:lang w:eastAsia="zh-CN"/>
                    </w:rPr>
                    <w:t>100</w:t>
                  </w:r>
                  <w:r>
                    <w:rPr>
                      <w:rFonts w:ascii="宋体" w:eastAsia="宋体" w:hAnsi="Calibri" w:cs="宋体" w:hint="eastAsia"/>
                      <w:kern w:val="2"/>
                      <w:sz w:val="21"/>
                      <w:szCs w:val="21"/>
                      <w:lang w:eastAsia="zh-CN"/>
                    </w:rPr>
                    <w:t>分，未按要求提供或提供不清晰导致评审无法判别的不得分。</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868" w:type="dxa"/>
                  <w:tcBorders>
                    <w:tl2br w:val="nil"/>
                    <w:tr2bl w:val="nil"/>
                  </w:tcBorders>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质量（完成时间、安全、环保）保障措施及方案</w:t>
                  </w:r>
                </w:p>
              </w:tc>
              <w:tc>
                <w:tcPr>
                  <w:tcW w:w="769" w:type="dxa"/>
                  <w:tcBorders>
                    <w:tl2br w:val="nil"/>
                    <w:tr2bl w:val="nil"/>
                  </w:tcBorders>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179" w:type="dxa"/>
                  <w:tcBorders>
                    <w:tl2br w:val="nil"/>
                    <w:tr2bl w:val="nil"/>
                  </w:tcBorders>
                </w:tcPr>
                <w:p>
                  <w:pPr>
                    <w:widowControl w:val="0"/>
                    <w:spacing w:line="276" w:lineRule="auto"/>
                    <w:jc w:val="both"/>
                    <w:rPr>
                      <w:rFonts w:ascii="宋体" w:eastAsia="宋体" w:hAnsi="Calibri" w:cs="宋体"/>
                      <w:b/>
                      <w:kern w:val="2"/>
                      <w:sz w:val="21"/>
                      <w:szCs w:val="21"/>
                      <w:lang w:eastAsia="zh-CN"/>
                    </w:rPr>
                  </w:pPr>
                  <w:r>
                    <w:rPr>
                      <w:rFonts w:ascii="宋体" w:eastAsia="宋体" w:hAnsi="宋体" w:cs="宋体" w:hint="eastAsia"/>
                      <w:b/>
                      <w:kern w:val="2"/>
                      <w:sz w:val="21"/>
                      <w:szCs w:val="21"/>
                      <w:lang w:eastAsia="zh-CN"/>
                    </w:rPr>
                    <w:t>（一）评分内容：</w:t>
                  </w:r>
                </w:p>
                <w:p>
                  <w:pPr>
                    <w:widowControl w:val="0"/>
                    <w:wordWrap w:val="0"/>
                    <w:spacing w:line="276" w:lineRule="auto"/>
                    <w:jc w:val="both"/>
                    <w:rPr>
                      <w:rFonts w:ascii="宋体" w:eastAsia="宋体" w:cs="宋体"/>
                      <w:kern w:val="2"/>
                      <w:sz w:val="21"/>
                      <w:szCs w:val="21"/>
                      <w:lang w:eastAsia="zh-CN"/>
                    </w:rPr>
                  </w:pPr>
                  <w:r>
                    <w:rPr>
                      <w:rFonts w:ascii="宋体" w:eastAsia="宋体" w:cs="宋体" w:hint="eastAsia"/>
                      <w:kern w:val="2"/>
                      <w:sz w:val="21"/>
                      <w:szCs w:val="21"/>
                      <w:lang w:eastAsia="zh-CN"/>
                    </w:rPr>
                    <w:t>投标人须针对本项目需求提供对质量（完成时间、安全、环保）保障措施及方案，包括下述内容：</w:t>
                  </w:r>
                </w:p>
                <w:p>
                  <w:pPr>
                    <w:widowControl w:val="0"/>
                    <w:wordWrap w:val="0"/>
                    <w:spacing w:line="276" w:lineRule="auto"/>
                    <w:jc w:val="both"/>
                    <w:rPr>
                      <w:rFonts w:ascii="宋体" w:eastAsia="宋体" w:cs="宋体"/>
                      <w:kern w:val="2"/>
                      <w:sz w:val="21"/>
                      <w:szCs w:val="21"/>
                      <w:lang w:eastAsia="zh-CN"/>
                    </w:rPr>
                  </w:pPr>
                  <w:r>
                    <w:rPr>
                      <w:rFonts w:ascii="宋体" w:eastAsia="宋体" w:cs="宋体" w:hint="eastAsia"/>
                      <w:kern w:val="2"/>
                      <w:sz w:val="21"/>
                      <w:szCs w:val="21"/>
                      <w:lang w:eastAsia="zh-CN"/>
                    </w:rPr>
                    <w:t>1.降低人员流失率措施；</w:t>
                  </w:r>
                </w:p>
                <w:p>
                  <w:pPr>
                    <w:widowControl w:val="0"/>
                    <w:wordWrap w:val="0"/>
                    <w:spacing w:line="276" w:lineRule="auto"/>
                    <w:jc w:val="both"/>
                    <w:rPr>
                      <w:rFonts w:ascii="宋体" w:eastAsia="宋体" w:cs="宋体"/>
                      <w:kern w:val="2"/>
                      <w:sz w:val="21"/>
                      <w:szCs w:val="21"/>
                      <w:lang w:eastAsia="zh-CN"/>
                    </w:rPr>
                  </w:pPr>
                  <w:r>
                    <w:rPr>
                      <w:rFonts w:ascii="宋体" w:eastAsia="宋体" w:cs="宋体" w:hint="eastAsia"/>
                      <w:kern w:val="2"/>
                      <w:sz w:val="21"/>
                      <w:szCs w:val="21"/>
                      <w:lang w:eastAsia="zh-CN"/>
                    </w:rPr>
                    <w:t>2.服务质量；</w:t>
                  </w:r>
                </w:p>
                <w:p>
                  <w:pPr>
                    <w:widowControl w:val="0"/>
                    <w:wordWrap w:val="0"/>
                    <w:spacing w:line="276" w:lineRule="auto"/>
                    <w:jc w:val="both"/>
                    <w:rPr>
                      <w:rFonts w:ascii="宋体" w:eastAsia="宋体" w:cs="宋体"/>
                      <w:kern w:val="2"/>
                      <w:sz w:val="21"/>
                      <w:szCs w:val="21"/>
                      <w:lang w:eastAsia="zh-CN"/>
                    </w:rPr>
                  </w:pPr>
                  <w:r>
                    <w:rPr>
                      <w:rFonts w:ascii="宋体" w:eastAsia="宋体" w:cs="宋体" w:hint="eastAsia"/>
                      <w:kern w:val="2"/>
                      <w:sz w:val="21"/>
                      <w:szCs w:val="21"/>
                      <w:lang w:eastAsia="zh-CN"/>
                    </w:rPr>
                    <w:t>3.安全保障。</w:t>
                  </w:r>
                </w:p>
                <w:p>
                  <w:pPr>
                    <w:widowControl w:val="0"/>
                    <w:spacing w:line="276" w:lineRule="auto"/>
                    <w:jc w:val="both"/>
                    <w:rPr>
                      <w:rFonts w:ascii="宋体" w:eastAsia="宋体" w:hAnsi="宋体" w:cs="宋体" w:hint="eastAsia"/>
                      <w:kern w:val="2"/>
                      <w:sz w:val="21"/>
                      <w:szCs w:val="21"/>
                      <w:lang w:eastAsia="zh-CN"/>
                    </w:rPr>
                  </w:pPr>
                  <w:r>
                    <w:rPr>
                      <w:rFonts w:ascii="宋体" w:eastAsia="宋体" w:hAnsi="宋体" w:cs="宋体" w:hint="eastAsia"/>
                      <w:b/>
                      <w:kern w:val="2"/>
                      <w:sz w:val="21"/>
                      <w:szCs w:val="21"/>
                      <w:lang w:eastAsia="zh-CN"/>
                    </w:rPr>
                    <w:t>（二）评分依据：</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宋体" w:cs="宋体" w:hint="eastAsia"/>
                      <w:kern w:val="2"/>
                      <w:sz w:val="21"/>
                      <w:szCs w:val="21"/>
                      <w:lang w:eastAsia="zh-CN"/>
                    </w:rPr>
                    <w:t>考察投标人以上内容，</w:t>
                  </w:r>
                  <w:r>
                    <w:rPr>
                      <w:rFonts w:ascii="宋体" w:eastAsia="宋体" w:hAnsi="Calibri" w:cs="宋体" w:hint="eastAsia"/>
                      <w:kern w:val="2"/>
                      <w:sz w:val="21"/>
                      <w:szCs w:val="21"/>
                      <w:lang w:eastAsia="zh-CN"/>
                    </w:rPr>
                    <w:t>满足以上三项要求得</w:t>
                  </w:r>
                  <w:r>
                    <w:rPr>
                      <w:rFonts w:ascii="宋体" w:eastAsia="宋体" w:hAnsi="Calibri" w:cs="宋体"/>
                      <w:kern w:val="2"/>
                      <w:sz w:val="21"/>
                      <w:szCs w:val="21"/>
                      <w:lang w:eastAsia="zh-CN"/>
                    </w:rPr>
                    <w:t>60</w:t>
                  </w:r>
                  <w:r>
                    <w:rPr>
                      <w:rFonts w:ascii="宋体" w:eastAsia="宋体" w:hAnsi="Calibri" w:cs="宋体" w:hint="eastAsia"/>
                      <w:kern w:val="2"/>
                      <w:sz w:val="21"/>
                      <w:szCs w:val="21"/>
                      <w:lang w:eastAsia="zh-CN"/>
                    </w:rPr>
                    <w:t>分，满足任意两项要求得</w:t>
                  </w:r>
                  <w:r>
                    <w:rPr>
                      <w:rFonts w:ascii="宋体" w:eastAsia="宋体" w:hAnsi="Calibri" w:cs="宋体"/>
                      <w:kern w:val="2"/>
                      <w:sz w:val="21"/>
                      <w:szCs w:val="21"/>
                      <w:lang w:eastAsia="zh-CN"/>
                    </w:rPr>
                    <w:t>40</w:t>
                  </w:r>
                  <w:r>
                    <w:rPr>
                      <w:rFonts w:ascii="宋体" w:eastAsia="宋体" w:hAnsi="Calibri" w:cs="宋体" w:hint="eastAsia"/>
                      <w:kern w:val="2"/>
                      <w:sz w:val="21"/>
                      <w:szCs w:val="21"/>
                      <w:lang w:eastAsia="zh-CN"/>
                    </w:rPr>
                    <w:t>分，满足任意一项要求得</w:t>
                  </w:r>
                  <w:r>
                    <w:rPr>
                      <w:rFonts w:ascii="宋体" w:eastAsia="宋体" w:hAnsi="Calibri" w:cs="宋体"/>
                      <w:kern w:val="2"/>
                      <w:sz w:val="21"/>
                      <w:szCs w:val="21"/>
                      <w:lang w:eastAsia="zh-CN"/>
                    </w:rPr>
                    <w:t>20</w:t>
                  </w:r>
                  <w:r>
                    <w:rPr>
                      <w:rFonts w:ascii="宋体" w:eastAsia="宋体" w:hAnsi="Calibri" w:cs="宋体" w:hint="eastAsia"/>
                      <w:kern w:val="2"/>
                      <w:sz w:val="21"/>
                      <w:szCs w:val="21"/>
                      <w:lang w:eastAsia="zh-CN"/>
                    </w:rPr>
                    <w:t>分，未满足不得分。</w:t>
                  </w:r>
                </w:p>
                <w:p>
                  <w:pPr>
                    <w:widowControl w:val="0"/>
                    <w:wordWrap w:val="0"/>
                    <w:spacing w:line="276" w:lineRule="auto"/>
                    <w:jc w:val="both"/>
                    <w:rPr>
                      <w:rFonts w:ascii="宋体" w:eastAsia="宋体" w:hAnsi="Calibri" w:cs="宋体"/>
                      <w:b/>
                      <w:kern w:val="2"/>
                      <w:sz w:val="21"/>
                      <w:szCs w:val="21"/>
                      <w:lang w:eastAsia="zh-CN"/>
                    </w:rPr>
                  </w:pPr>
                  <w:r>
                    <w:rPr>
                      <w:rFonts w:ascii="宋体" w:eastAsia="宋体" w:hAnsi="Calibri" w:cs="宋体" w:hint="eastAsia"/>
                      <w:b/>
                      <w:kern w:val="2"/>
                      <w:sz w:val="21"/>
                      <w:szCs w:val="21"/>
                      <w:lang w:eastAsia="zh-CN"/>
                    </w:rPr>
                    <w:t>在此基础上，专家根据各投标人的具体响应内容进一步评审。</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评审为优：</w:t>
                  </w:r>
                  <w:r>
                    <w:rPr>
                      <w:rFonts w:ascii="宋体" w:eastAsia="宋体" w:hAnsi="宋体" w:cs="宋体" w:hint="eastAsia"/>
                      <w:kern w:val="2"/>
                      <w:sz w:val="21"/>
                      <w:szCs w:val="21"/>
                      <w:lang w:eastAsia="zh-CN"/>
                    </w:rPr>
                    <w:t>质量保障措施</w:t>
                  </w:r>
                  <w:r>
                    <w:rPr>
                      <w:rFonts w:ascii="宋体" w:eastAsia="宋体" w:hAnsi="Calibri" w:cs="宋体" w:hint="eastAsia"/>
                      <w:kern w:val="2"/>
                      <w:sz w:val="21"/>
                      <w:szCs w:val="21"/>
                      <w:lang w:eastAsia="zh-CN"/>
                    </w:rPr>
                    <w:t>内容全面、具体，科学合理，针对性和可操作性强的，加</w:t>
                  </w:r>
                  <w:r>
                    <w:rPr>
                      <w:rFonts w:ascii="宋体" w:eastAsia="宋体" w:hAnsi="Calibri" w:cs="宋体"/>
                      <w:kern w:val="2"/>
                      <w:sz w:val="21"/>
                      <w:szCs w:val="21"/>
                      <w:lang w:eastAsia="zh-CN"/>
                    </w:rPr>
                    <w:t>40</w:t>
                  </w:r>
                  <w:r>
                    <w:rPr>
                      <w:rFonts w:ascii="宋体" w:eastAsia="宋体" w:hAnsi="Calibri" w:cs="宋体" w:hint="eastAsia"/>
                      <w:kern w:val="2"/>
                      <w:sz w:val="21"/>
                      <w:szCs w:val="21"/>
                      <w:lang w:eastAsia="zh-CN"/>
                    </w:rPr>
                    <w:t>分；</w:t>
                  </w:r>
                </w:p>
                <w:p>
                  <w:pPr>
                    <w:widowControl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评审为良：</w:t>
                  </w:r>
                  <w:r>
                    <w:rPr>
                      <w:rFonts w:ascii="宋体" w:eastAsia="宋体" w:hAnsi="宋体" w:cs="宋体" w:hint="eastAsia"/>
                      <w:kern w:val="2"/>
                      <w:sz w:val="21"/>
                      <w:szCs w:val="21"/>
                      <w:lang w:eastAsia="zh-CN"/>
                    </w:rPr>
                    <w:t>质量保障措施</w:t>
                  </w:r>
                  <w:r>
                    <w:rPr>
                      <w:rFonts w:ascii="宋体" w:eastAsia="宋体" w:hAnsi="Calibri" w:cs="宋体" w:hint="eastAsia"/>
                      <w:kern w:val="2"/>
                      <w:sz w:val="21"/>
                      <w:szCs w:val="21"/>
                      <w:lang w:eastAsia="zh-CN"/>
                    </w:rPr>
                    <w:t>内容较全面、具体，较科学合理，针对性和可操作性较强的，加</w:t>
                  </w:r>
                  <w:r>
                    <w:rPr>
                      <w:rFonts w:ascii="宋体" w:eastAsia="宋体" w:hAnsi="Calibri" w:cs="宋体"/>
                      <w:kern w:val="2"/>
                      <w:sz w:val="21"/>
                      <w:szCs w:val="21"/>
                      <w:lang w:eastAsia="zh-CN"/>
                    </w:rPr>
                    <w:t>20</w:t>
                  </w:r>
                  <w:r>
                    <w:rPr>
                      <w:rFonts w:ascii="宋体" w:eastAsia="宋体" w:hAnsi="Calibri" w:cs="宋体" w:hint="eastAsia"/>
                      <w:kern w:val="2"/>
                      <w:sz w:val="21"/>
                      <w:szCs w:val="21"/>
                      <w:lang w:eastAsia="zh-CN"/>
                    </w:rPr>
                    <w:t>分；</w:t>
                  </w:r>
                </w:p>
                <w:p>
                  <w:pPr>
                    <w:widowControl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评审为中：</w:t>
                  </w:r>
                  <w:r>
                    <w:rPr>
                      <w:rFonts w:ascii="宋体" w:eastAsia="宋体" w:hAnsi="宋体" w:cs="宋体" w:hint="eastAsia"/>
                      <w:kern w:val="2"/>
                      <w:sz w:val="21"/>
                      <w:szCs w:val="21"/>
                      <w:lang w:eastAsia="zh-CN"/>
                    </w:rPr>
                    <w:t>质量保障措施</w:t>
                  </w:r>
                  <w:r>
                    <w:rPr>
                      <w:rFonts w:ascii="宋体" w:eastAsia="宋体" w:hAnsi="Calibri" w:cs="宋体" w:hint="eastAsia"/>
                      <w:kern w:val="2"/>
                      <w:sz w:val="21"/>
                      <w:szCs w:val="21"/>
                      <w:lang w:eastAsia="zh-CN"/>
                    </w:rPr>
                    <w:t>内容一般，针对性和可操作性一般的，加</w:t>
                  </w:r>
                  <w:r>
                    <w:rPr>
                      <w:rFonts w:ascii="宋体" w:eastAsia="宋体" w:hAnsi="Calibri" w:cs="宋体"/>
                      <w:kern w:val="2"/>
                      <w:sz w:val="21"/>
                      <w:szCs w:val="21"/>
                      <w:lang w:eastAsia="zh-CN"/>
                    </w:rPr>
                    <w:t>10</w:t>
                  </w:r>
                  <w:r>
                    <w:rPr>
                      <w:rFonts w:ascii="宋体" w:eastAsia="宋体" w:hAnsi="Calibri" w:cs="宋体" w:hint="eastAsia"/>
                      <w:kern w:val="2"/>
                      <w:sz w:val="21"/>
                      <w:szCs w:val="21"/>
                      <w:lang w:eastAsia="zh-CN"/>
                    </w:rPr>
                    <w:t>分；</w:t>
                  </w:r>
                </w:p>
                <w:p>
                  <w:pPr>
                    <w:widowControl w:val="0"/>
                    <w:spacing w:line="276" w:lineRule="auto"/>
                    <w:jc w:val="both"/>
                    <w:rPr>
                      <w:rFonts w:ascii="宋体" w:eastAsia="宋体" w:hAnsi="Calibri" w:cs="宋体"/>
                      <w:kern w:val="2"/>
                      <w:sz w:val="21"/>
                      <w:szCs w:val="21"/>
                      <w:lang w:eastAsia="zh-CN"/>
                    </w:rPr>
                  </w:pPr>
                  <w:r>
                    <w:rPr>
                      <w:rFonts w:ascii="宋体" w:eastAsia="宋体" w:hAnsi="Calibri" w:cs="宋体" w:hint="eastAsia"/>
                      <w:kern w:val="2"/>
                      <w:sz w:val="21"/>
                      <w:szCs w:val="21"/>
                      <w:lang w:eastAsia="zh-CN"/>
                    </w:rPr>
                    <w:t>评审为差：</w:t>
                  </w:r>
                  <w:r>
                    <w:rPr>
                      <w:rFonts w:ascii="宋体" w:eastAsia="宋体" w:hAnsi="宋体" w:cs="宋体" w:hint="eastAsia"/>
                      <w:kern w:val="2"/>
                      <w:sz w:val="21"/>
                      <w:szCs w:val="21"/>
                      <w:lang w:eastAsia="zh-CN"/>
                    </w:rPr>
                    <w:t>质量保障措施</w:t>
                  </w:r>
                  <w:r>
                    <w:rPr>
                      <w:rFonts w:ascii="宋体" w:eastAsia="宋体" w:hAnsi="Calibri" w:cs="宋体" w:hint="eastAsia"/>
                      <w:kern w:val="2"/>
                      <w:sz w:val="21"/>
                      <w:szCs w:val="21"/>
                      <w:lang w:eastAsia="zh-CN"/>
                    </w:rPr>
                    <w:t>内容差的，不加分。</w:t>
                  </w:r>
                </w:p>
                <w:p>
                  <w:pPr>
                    <w:widowControl w:val="0"/>
                    <w:wordWrap w:val="0"/>
                    <w:jc w:val="both"/>
                    <w:rPr>
                      <w:rFonts w:ascii="宋体" w:eastAsia="宋体" w:hAnsi="宋体" w:cs="宋体"/>
                      <w:kern w:val="2"/>
                      <w:sz w:val="21"/>
                      <w:szCs w:val="21"/>
                      <w:lang w:eastAsia="zh-CN"/>
                    </w:rPr>
                  </w:pPr>
                  <w:r>
                    <w:rPr>
                      <w:rFonts w:ascii="宋体" w:eastAsia="宋体" w:hAnsi="Calibri" w:cs="宋体" w:hint="eastAsia"/>
                      <w:kern w:val="2"/>
                      <w:sz w:val="21"/>
                      <w:szCs w:val="21"/>
                      <w:lang w:eastAsia="zh-CN"/>
                    </w:rPr>
                    <w:t>本项最高得</w:t>
                  </w:r>
                  <w:r>
                    <w:rPr>
                      <w:rFonts w:ascii="宋体" w:eastAsia="宋体" w:hAnsi="Calibri" w:cs="宋体"/>
                      <w:kern w:val="2"/>
                      <w:sz w:val="21"/>
                      <w:szCs w:val="21"/>
                      <w:lang w:eastAsia="zh-CN"/>
                    </w:rPr>
                    <w:t>100</w:t>
                  </w:r>
                  <w:r>
                    <w:rPr>
                      <w:rFonts w:ascii="宋体" w:eastAsia="宋体" w:hAnsi="Calibri" w:cs="宋体" w:hint="eastAsia"/>
                      <w:kern w:val="2"/>
                      <w:sz w:val="21"/>
                      <w:szCs w:val="21"/>
                      <w:lang w:eastAsia="zh-CN"/>
                    </w:rPr>
                    <w:t>分，未按要求提供或提供不清晰导致评审无法判别的不得分。</w:t>
                  </w:r>
                </w:p>
              </w:tc>
            </w:tr>
            <w:tr>
              <w:tblPrEx>
                <w:tblW w:w="5000" w:type="pct"/>
                <w:tblCellSpacing w:w="0" w:type="dxa"/>
                <w:tblInd w:w="0" w:type="dxa"/>
                <w:tblLayout w:type="fixed"/>
                <w:tblCellMar>
                  <w:top w:w="20" w:type="dxa"/>
                  <w:left w:w="108" w:type="dxa"/>
                  <w:bottom w:w="20" w:type="dxa"/>
                  <w:right w:w="108" w:type="dxa"/>
                </w:tblCellMar>
              </w:tblPrEx>
              <w:trPr>
                <w:trHeight w:val="90"/>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1868" w:type="dxa"/>
                  <w:tcBorders>
                    <w:tl2br w:val="nil"/>
                    <w:tr2bl w:val="nil"/>
                  </w:tcBorders>
                  <w:vAlign w:val="center"/>
                </w:tcPr>
                <w:p>
                  <w:pPr>
                    <w:widowControl w:val="0"/>
                    <w:wordWrap w:val="0"/>
                    <w:adjustRightInd w:val="0"/>
                    <w:snapToGrid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拟安排的项目负责人情况（仅限一人）</w:t>
                  </w:r>
                </w:p>
              </w:tc>
              <w:tc>
                <w:tcPr>
                  <w:tcW w:w="769" w:type="dxa"/>
                  <w:tcBorders>
                    <w:tl2br w:val="nil"/>
                    <w:tr2bl w:val="nil"/>
                  </w:tcBorders>
                  <w:vAlign w:val="center"/>
                </w:tcPr>
                <w:p>
                  <w:pPr>
                    <w:widowControl w:val="0"/>
                    <w:wordWrap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5179" w:type="dxa"/>
                  <w:tcBorders>
                    <w:tl2br w:val="nil"/>
                    <w:tr2bl w:val="nil"/>
                  </w:tcBorders>
                </w:tcPr>
                <w:p>
                  <w:pPr>
                    <w:widowControl w:val="0"/>
                    <w:spacing w:line="276" w:lineRule="auto"/>
                    <w:jc w:val="both"/>
                    <w:rPr>
                      <w:rFonts w:ascii="宋体" w:eastAsia="宋体" w:hAnsi="Calibri" w:cs="宋体"/>
                      <w:b/>
                      <w:kern w:val="2"/>
                      <w:sz w:val="21"/>
                      <w:szCs w:val="21"/>
                      <w:lang w:eastAsia="zh-CN"/>
                    </w:rPr>
                  </w:pPr>
                  <w:r>
                    <w:rPr>
                      <w:rFonts w:ascii="宋体" w:eastAsia="宋体" w:hAnsi="宋体" w:cs="宋体" w:hint="eastAsia"/>
                      <w:b/>
                      <w:kern w:val="2"/>
                      <w:sz w:val="21"/>
                      <w:szCs w:val="21"/>
                      <w:lang w:eastAsia="zh-CN"/>
                    </w:rPr>
                    <w:t>（一）评分内容：</w:t>
                  </w:r>
                </w:p>
                <w:p>
                  <w:pPr>
                    <w:widowControl w:val="0"/>
                    <w:wordWrap w:val="0"/>
                    <w:spacing w:line="276" w:lineRule="auto"/>
                    <w:jc w:val="both"/>
                    <w:rPr>
                      <w:rFonts w:ascii="宋体" w:eastAsia="宋体" w:hAnsi="宋体" w:cs="宋体"/>
                      <w:kern w:val="2"/>
                      <w:sz w:val="21"/>
                      <w:szCs w:val="21"/>
                      <w:lang w:eastAsia="zh-CN"/>
                    </w:rPr>
                  </w:pPr>
                  <w:r>
                    <w:rPr>
                      <w:rFonts w:ascii="宋体" w:eastAsia="宋体" w:hAnsi="宋体" w:cs="宋体" w:hint="eastAsia"/>
                      <w:kern w:val="2"/>
                      <w:sz w:val="21"/>
                      <w:szCs w:val="22"/>
                      <w:lang w:eastAsia="zh-CN"/>
                    </w:rPr>
                    <w:t>投标人拟安排的项目负责人（仅限一人）必须为投标人自有员工（以社保为准），否则投入该人员不计分。在此基础上，按以下规则评分：</w:t>
                  </w:r>
                  <w:r>
                    <w:rPr>
                      <w:rFonts w:ascii="宋体" w:eastAsia="宋体" w:hAnsi="宋体" w:cs="宋体" w:hint="eastAsia"/>
                      <w:kern w:val="2"/>
                      <w:sz w:val="21"/>
                      <w:szCs w:val="21"/>
                      <w:lang w:eastAsia="zh-CN"/>
                    </w:rPr>
                    <w:br/>
                  </w:r>
                  <w:r>
                    <w:rPr>
                      <w:rFonts w:ascii="宋体" w:eastAsia="宋体" w:hAnsi="宋体" w:cs="宋体" w:hint="eastAsia"/>
                      <w:kern w:val="2"/>
                      <w:sz w:val="21"/>
                      <w:szCs w:val="21"/>
                      <w:lang w:eastAsia="zh-CN"/>
                    </w:rPr>
                    <w:t>1.具本科及以上学历，得30分；</w:t>
                  </w:r>
                </w:p>
                <w:p>
                  <w:pPr>
                    <w:widowControl w:val="0"/>
                    <w:wordWrap w:val="0"/>
                    <w:spacing w:line="276"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2.具有</w:t>
                  </w:r>
                  <w:r>
                    <w:rPr>
                      <w:rFonts w:ascii="宋体" w:eastAsia="宋体" w:hAnsi="宋体" w:cstheme="minorBidi" w:hint="eastAsia"/>
                      <w:kern w:val="2"/>
                      <w:sz w:val="21"/>
                      <w:szCs w:val="22"/>
                      <w:lang w:eastAsia="zh-CN"/>
                    </w:rPr>
                    <w:t>人力资源和社会保障部门或在人力资源和社会保障部门备案的第三方机构</w:t>
                  </w:r>
                  <w:r>
                    <w:rPr>
                      <w:rFonts w:ascii="Calibri" w:eastAsia="宋体" w:hAnsi="Calibri" w:cstheme="minorBidi" w:hint="eastAsia"/>
                      <w:kern w:val="2"/>
                      <w:sz w:val="21"/>
                      <w:szCs w:val="22"/>
                      <w:lang w:eastAsia="zh-CN"/>
                    </w:rPr>
                    <w:t>或行业协会</w:t>
                  </w:r>
                  <w:r>
                    <w:rPr>
                      <w:rFonts w:ascii="宋体" w:eastAsia="宋体" w:hAnsi="宋体" w:cs="宋体" w:hint="eastAsia"/>
                      <w:kern w:val="2"/>
                      <w:sz w:val="21"/>
                      <w:szCs w:val="21"/>
                      <w:lang w:eastAsia="zh-CN"/>
                    </w:rPr>
                    <w:t>颁发企业人力资源管理师</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一级</w:t>
                  </w:r>
                  <w:r>
                    <w:rPr>
                      <w:rFonts w:ascii="宋体" w:eastAsia="宋体" w:hAnsi="宋体" w:cs="宋体" w:hint="eastAsia"/>
                      <w:kern w:val="2"/>
                      <w:sz w:val="21"/>
                      <w:szCs w:val="21"/>
                      <w:lang w:eastAsia="zh-CN"/>
                    </w:rPr>
                    <w:t>）</w:t>
                  </w:r>
                  <w:r>
                    <w:rPr>
                      <w:rFonts w:ascii="Calibri" w:eastAsia="宋体" w:hAnsi="Calibri" w:cstheme="minorBidi" w:hint="eastAsia"/>
                      <w:kern w:val="2"/>
                      <w:sz w:val="21"/>
                      <w:szCs w:val="21"/>
                      <w:lang w:eastAsia="zh-CN"/>
                    </w:rPr>
                    <w:t>或人力资源管理师（中级及以上）</w:t>
                  </w:r>
                  <w:r>
                    <w:rPr>
                      <w:rFonts w:ascii="宋体" w:eastAsia="宋体" w:hAnsi="宋体" w:cs="宋体" w:hint="eastAsia"/>
                      <w:kern w:val="2"/>
                      <w:sz w:val="21"/>
                      <w:szCs w:val="21"/>
                      <w:lang w:eastAsia="zh-CN"/>
                    </w:rPr>
                    <w:t>证书的，得30分；</w:t>
                  </w:r>
                </w:p>
                <w:p>
                  <w:pPr>
                    <w:widowControl w:val="0"/>
                    <w:wordWrap w:val="0"/>
                    <w:spacing w:line="276"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3.具有</w:t>
                  </w:r>
                  <w:r>
                    <w:rPr>
                      <w:rFonts w:ascii="宋体" w:eastAsia="宋体" w:hAnsi="宋体" w:cstheme="minorBidi" w:hint="eastAsia"/>
                      <w:kern w:val="2"/>
                      <w:sz w:val="21"/>
                      <w:szCs w:val="22"/>
                      <w:lang w:eastAsia="zh-CN"/>
                    </w:rPr>
                    <w:t>人力资源和社会保障部门或在人力资源和社会保障部门备案的第三方机构</w:t>
                  </w:r>
                  <w:r>
                    <w:rPr>
                      <w:rFonts w:ascii="Calibri" w:eastAsia="宋体" w:hAnsi="Calibri" w:cstheme="minorBidi" w:hint="eastAsia"/>
                      <w:kern w:val="2"/>
                      <w:sz w:val="21"/>
                      <w:szCs w:val="22"/>
                      <w:lang w:eastAsia="zh-CN"/>
                    </w:rPr>
                    <w:t>或行业协会</w:t>
                  </w:r>
                  <w:r>
                    <w:rPr>
                      <w:rFonts w:ascii="宋体" w:eastAsia="宋体" w:hAnsi="宋体" w:cs="宋体" w:hint="eastAsia"/>
                      <w:kern w:val="2"/>
                      <w:sz w:val="21"/>
                      <w:szCs w:val="21"/>
                      <w:lang w:eastAsia="zh-CN"/>
                    </w:rPr>
                    <w:t>颁发的</w:t>
                  </w:r>
                  <w:r>
                    <w:rPr>
                      <w:rFonts w:ascii="Calibri" w:eastAsia="宋体" w:hAnsi="Calibri" w:cstheme="minorBidi" w:hint="eastAsia"/>
                      <w:kern w:val="2"/>
                      <w:sz w:val="21"/>
                      <w:szCs w:val="22"/>
                      <w:lang w:eastAsia="zh-CN"/>
                    </w:rPr>
                    <w:t>高级职业指导师（一级）</w:t>
                  </w:r>
                  <w:r>
                    <w:rPr>
                      <w:rFonts w:ascii="宋体" w:eastAsia="宋体" w:hAnsi="宋体" w:cs="宋体" w:hint="eastAsia"/>
                      <w:kern w:val="2"/>
                      <w:sz w:val="21"/>
                      <w:szCs w:val="21"/>
                      <w:lang w:eastAsia="zh-CN"/>
                    </w:rPr>
                    <w:t>的，得40分；</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宋体" w:cs="宋体" w:hint="eastAsia"/>
                      <w:kern w:val="2"/>
                      <w:sz w:val="21"/>
                      <w:szCs w:val="21"/>
                      <w:lang w:eastAsia="zh-CN"/>
                    </w:rPr>
                    <w:t>以上三项累加计分，最高得</w:t>
                  </w:r>
                  <w:r>
                    <w:rPr>
                      <w:rFonts w:ascii="宋体" w:eastAsia="宋体" w:hAnsi="宋体" w:cs="宋体"/>
                      <w:kern w:val="2"/>
                      <w:sz w:val="21"/>
                      <w:szCs w:val="21"/>
                      <w:lang w:eastAsia="zh-CN"/>
                    </w:rPr>
                    <w:t>100</w:t>
                  </w:r>
                  <w:r>
                    <w:rPr>
                      <w:rFonts w:ascii="宋体" w:eastAsia="宋体" w:hAnsi="宋体" w:cs="宋体" w:hint="eastAsia"/>
                      <w:kern w:val="2"/>
                      <w:sz w:val="21"/>
                      <w:szCs w:val="21"/>
                      <w:lang w:eastAsia="zh-CN"/>
                    </w:rPr>
                    <w:t>分。</w:t>
                  </w:r>
                </w:p>
                <w:p>
                  <w:pPr>
                    <w:widowControl w:val="0"/>
                    <w:spacing w:line="276" w:lineRule="auto"/>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（二）评分依据：</w:t>
                  </w:r>
                </w:p>
                <w:p>
                  <w:pPr>
                    <w:widowControl w:val="0"/>
                    <w:wordWrap w:val="0"/>
                    <w:adjustRightInd w:val="0"/>
                    <w:snapToGrid w:val="0"/>
                    <w:spacing w:line="32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1.提供社保部门出具的投标人为上述人员缴纳的近一个月（具体是指2025年</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月）社保证明文件扫描件，由于社保部门原因（提供社保局无法出具的证明文件）最近一个月的社保证明无法提供的，则可以往前顺延一个月；如投标人注册成立时间不足</w:t>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个月的，可提供承诺函（格式自拟）。</w:t>
                  </w:r>
                </w:p>
                <w:p>
                  <w:pPr>
                    <w:widowControl w:val="0"/>
                    <w:wordWrap w:val="0"/>
                    <w:adjustRightInd w:val="0"/>
                    <w:snapToGrid w:val="0"/>
                    <w:spacing w:line="32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2.提供学历证书及</w:t>
                  </w:r>
                  <w:r>
                    <w:rPr>
                      <w:rFonts w:ascii="Calibri" w:eastAsia="宋体" w:hAnsi="Calibri" w:cstheme="minorBidi" w:hint="eastAsia"/>
                      <w:kern w:val="2"/>
                      <w:sz w:val="21"/>
                      <w:szCs w:val="22"/>
                      <w:lang w:eastAsia="zh-CN"/>
                    </w:rPr>
                    <w:t>中国高等教育学生信息网（学信网https://www.chsi.com.cn）</w:t>
                  </w:r>
                  <w:r>
                    <w:rPr>
                      <w:rFonts w:ascii="宋体" w:eastAsia="宋体" w:hAnsi="宋体" w:cs="宋体" w:hint="eastAsia"/>
                      <w:kern w:val="2"/>
                      <w:sz w:val="21"/>
                      <w:szCs w:val="21"/>
                      <w:lang w:eastAsia="zh-CN"/>
                    </w:rPr>
                    <w:t>查询记录。对于较早颁发的学历证书,学信网无法查询的,除要求提供证书扫描件,需要提供其他佐证材料(如毕业院校或人力资源和社会保障部等颁发机构或监管机构等单位出具的证明),在海外留学并取得学历的,学信网无法查询的,可提供教育部留学服务中心出具的国外学历认证证书扫描件【或教育部留学服务中心网站（http://zwfw.cscse.edu.cn/）在线查询截图】。</w:t>
                  </w:r>
                </w:p>
                <w:p>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提供人员证书扫描件。若为经人社部门备案的第三方机构颁发的证书，需同时提供证书扫描件、技能人才评价证书全国联网查询截图（http://zscx.osta.org.cn/）；若为协会颁发的，则还需要同时提供该机构在中国社会组织政务服务平台（网址 https://chinanpo.mca.gov.cn)的查询“正常”页面截图。</w:t>
                  </w:r>
                </w:p>
                <w:p>
                  <w:pPr>
                    <w:widowControl w:val="0"/>
                    <w:wordWrap w:val="0"/>
                    <w:spacing w:line="276"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4.评分中出现无证明资料或者专家无法凭所提供资料判断是否得分的情况，一律做不得分处理。</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1868" w:type="dxa"/>
                  <w:tcBorders>
                    <w:tl2br w:val="nil"/>
                    <w:tr2bl w:val="nil"/>
                  </w:tcBorders>
                  <w:vAlign w:val="center"/>
                </w:tcPr>
                <w:p>
                  <w:pPr>
                    <w:widowControl w:val="0"/>
                    <w:wordWrap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拟安排的项目主要团队成员（主要技术人员）情况（项目负责人除外）</w:t>
                  </w:r>
                </w:p>
              </w:tc>
              <w:tc>
                <w:tcPr>
                  <w:tcW w:w="769" w:type="dxa"/>
                  <w:tcBorders>
                    <w:tl2br w:val="nil"/>
                    <w:tr2bl w:val="nil"/>
                  </w:tcBorders>
                  <w:vAlign w:val="center"/>
                </w:tcPr>
                <w:p>
                  <w:pPr>
                    <w:widowControl w:val="0"/>
                    <w:wordWrap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15</w:t>
                  </w:r>
                </w:p>
              </w:tc>
              <w:tc>
                <w:tcPr>
                  <w:tcW w:w="5179" w:type="dxa"/>
                  <w:tcBorders>
                    <w:tl2br w:val="nil"/>
                    <w:tr2bl w:val="nil"/>
                  </w:tcBorders>
                </w:tcPr>
                <w:p>
                  <w:pPr>
                    <w:widowControl w:val="0"/>
                    <w:spacing w:line="276" w:lineRule="auto"/>
                    <w:jc w:val="both"/>
                    <w:rPr>
                      <w:rFonts w:ascii="宋体" w:eastAsia="宋体" w:hAnsi="Calibri" w:cs="宋体"/>
                      <w:b/>
                      <w:kern w:val="2"/>
                      <w:sz w:val="21"/>
                      <w:szCs w:val="21"/>
                      <w:lang w:eastAsia="zh-CN"/>
                    </w:rPr>
                  </w:pPr>
                  <w:r>
                    <w:rPr>
                      <w:rFonts w:ascii="宋体" w:eastAsia="宋体" w:hAnsi="宋体" w:cs="宋体" w:hint="eastAsia"/>
                      <w:b/>
                      <w:kern w:val="2"/>
                      <w:sz w:val="21"/>
                      <w:szCs w:val="21"/>
                      <w:lang w:eastAsia="zh-CN"/>
                    </w:rPr>
                    <w:t>（一）评分内容：</w:t>
                  </w:r>
                </w:p>
                <w:p>
                  <w:pPr>
                    <w:widowControl w:val="0"/>
                    <w:spacing w:line="276"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拟安排项目团队成员为投标单位员工（以社保为准），否则该人员本项不得分。在此基础上：</w:t>
                  </w:r>
                </w:p>
                <w:p>
                  <w:pPr>
                    <w:widowControl w:val="0"/>
                    <w:spacing w:line="276" w:lineRule="auto"/>
                    <w:jc w:val="both"/>
                    <w:rPr>
                      <w:rFonts w:ascii="Calibri" w:eastAsia="宋体" w:hAnsi="Calibri"/>
                      <w:kern w:val="2"/>
                      <w:sz w:val="21"/>
                      <w:szCs w:val="22"/>
                      <w:lang w:eastAsia="zh-CN"/>
                    </w:rPr>
                  </w:pPr>
                  <w:r>
                    <w:rPr>
                      <w:rFonts w:ascii="宋体" w:eastAsia="宋体" w:hAnsi="宋体" w:cs="宋体" w:hint="eastAsia"/>
                      <w:kern w:val="2"/>
                      <w:sz w:val="21"/>
                      <w:szCs w:val="21"/>
                      <w:lang w:eastAsia="zh-CN"/>
                    </w:rPr>
                    <w:t>1.具有本科或以上学历且</w:t>
                  </w:r>
                  <w:r>
                    <w:rPr>
                      <w:rFonts w:ascii="宋体" w:eastAsia="宋体" w:hAnsi="宋体" w:cstheme="minorBidi" w:hint="eastAsia"/>
                      <w:kern w:val="2"/>
                      <w:sz w:val="21"/>
                      <w:szCs w:val="22"/>
                      <w:lang w:eastAsia="zh-CN"/>
                    </w:rPr>
                    <w:t>具有人力资源和社会保障部门或在人力资源和社会保障部门备案的第三方机构</w:t>
                  </w:r>
                  <w:r>
                    <w:rPr>
                      <w:rFonts w:ascii="Calibri" w:eastAsia="宋体" w:hAnsi="Calibri" w:cstheme="minorBidi" w:hint="eastAsia"/>
                      <w:b/>
                      <w:bCs/>
                      <w:kern w:val="2"/>
                      <w:sz w:val="21"/>
                      <w:szCs w:val="22"/>
                      <w:lang w:eastAsia="zh-CN"/>
                    </w:rPr>
                    <w:t>或行业协会</w:t>
                  </w:r>
                  <w:r>
                    <w:rPr>
                      <w:rFonts w:ascii="宋体" w:eastAsia="宋体" w:hAnsi="宋体" w:cstheme="minorBidi" w:hint="eastAsia"/>
                      <w:kern w:val="2"/>
                      <w:sz w:val="21"/>
                      <w:szCs w:val="22"/>
                      <w:lang w:eastAsia="zh-CN"/>
                    </w:rPr>
                    <w:t>颁发</w:t>
                  </w:r>
                  <w:r>
                    <w:rPr>
                      <w:rFonts w:ascii="宋体" w:eastAsia="宋体" w:hAnsi="宋体" w:cs="宋体" w:hint="eastAsia"/>
                      <w:kern w:val="2"/>
                      <w:sz w:val="21"/>
                      <w:szCs w:val="21"/>
                      <w:lang w:eastAsia="zh-CN"/>
                    </w:rPr>
                    <w:t>的企业人力资源管理师</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一级</w:t>
                  </w:r>
                  <w:r>
                    <w:rPr>
                      <w:rFonts w:ascii="宋体" w:eastAsia="宋体" w:hAnsi="宋体" w:cs="宋体" w:hint="eastAsia"/>
                      <w:kern w:val="2"/>
                      <w:sz w:val="21"/>
                      <w:szCs w:val="21"/>
                      <w:lang w:eastAsia="zh-CN"/>
                    </w:rPr>
                    <w:t>）</w:t>
                  </w:r>
                  <w:r>
                    <w:rPr>
                      <w:rFonts w:ascii="Calibri" w:eastAsia="宋体" w:hAnsi="Calibri" w:cstheme="minorBidi" w:hint="eastAsia"/>
                      <w:kern w:val="2"/>
                      <w:sz w:val="21"/>
                      <w:szCs w:val="21"/>
                      <w:lang w:eastAsia="zh-CN"/>
                    </w:rPr>
                    <w:t>或人力资源管理师（中级及以上）</w:t>
                  </w:r>
                  <w:r>
                    <w:rPr>
                      <w:rFonts w:ascii="宋体" w:eastAsia="宋体" w:hAnsi="宋体" w:cs="宋体" w:hint="eastAsia"/>
                      <w:kern w:val="2"/>
                      <w:sz w:val="21"/>
                      <w:szCs w:val="21"/>
                      <w:lang w:eastAsia="zh-CN"/>
                    </w:rPr>
                    <w:t>证书的，每提供一人得15分，本小项最高得30分；</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具有本科或以上学历且</w:t>
                  </w:r>
                  <w:r>
                    <w:rPr>
                      <w:rFonts w:ascii="宋体" w:eastAsia="宋体" w:hAnsi="宋体" w:cstheme="minorBidi" w:hint="eastAsia"/>
                      <w:kern w:val="2"/>
                      <w:sz w:val="21"/>
                      <w:szCs w:val="22"/>
                      <w:lang w:eastAsia="zh-CN"/>
                    </w:rPr>
                    <w:t>具有人力资源和社会保障部门或在人力资源和社会保障部门备案的第三方机构</w:t>
                  </w:r>
                  <w:r>
                    <w:rPr>
                      <w:rFonts w:ascii="Calibri" w:eastAsia="宋体" w:hAnsi="Calibri" w:cstheme="minorBidi" w:hint="eastAsia"/>
                      <w:b/>
                      <w:bCs/>
                      <w:kern w:val="2"/>
                      <w:sz w:val="21"/>
                      <w:szCs w:val="22"/>
                      <w:lang w:eastAsia="zh-CN"/>
                    </w:rPr>
                    <w:t>或行业协会</w:t>
                  </w:r>
                  <w:r>
                    <w:rPr>
                      <w:rFonts w:ascii="宋体" w:eastAsia="宋体" w:hAnsi="宋体" w:cstheme="minorBidi" w:hint="eastAsia"/>
                      <w:kern w:val="2"/>
                      <w:sz w:val="21"/>
                      <w:szCs w:val="22"/>
                      <w:lang w:eastAsia="zh-CN"/>
                    </w:rPr>
                    <w:t>颁发</w:t>
                  </w:r>
                  <w:r>
                    <w:rPr>
                      <w:rFonts w:ascii="宋体" w:eastAsia="宋体" w:hAnsi="宋体" w:cs="宋体" w:hint="eastAsia"/>
                      <w:kern w:val="2"/>
                      <w:sz w:val="21"/>
                      <w:szCs w:val="21"/>
                      <w:lang w:eastAsia="zh-CN"/>
                    </w:rPr>
                    <w:t>的劳动关系协调师（员）证书的，每提供一人得15分，本小项最高得30分；</w:t>
                  </w:r>
                </w:p>
                <w:p>
                  <w:pPr>
                    <w:widowControl w:val="0"/>
                    <w:wordWrap w:val="0"/>
                    <w:spacing w:line="276" w:lineRule="auto"/>
                    <w:jc w:val="both"/>
                    <w:rPr>
                      <w:rFonts w:ascii="宋体" w:eastAsia="宋体" w:hAnsi="Calibri" w:cs="宋体"/>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具有本科或以上学历且</w:t>
                  </w:r>
                  <w:r>
                    <w:rPr>
                      <w:rFonts w:ascii="宋体" w:eastAsia="宋体" w:hAnsi="宋体" w:cstheme="minorBidi" w:hint="eastAsia"/>
                      <w:kern w:val="2"/>
                      <w:sz w:val="21"/>
                      <w:szCs w:val="22"/>
                      <w:lang w:eastAsia="zh-CN"/>
                    </w:rPr>
                    <w:t>具有人力资源和社会保障部门或在人力资源和社会保障部门备案的第三方机构</w:t>
                  </w:r>
                  <w:r>
                    <w:rPr>
                      <w:rFonts w:ascii="Calibri" w:eastAsia="宋体" w:hAnsi="Calibri" w:cstheme="minorBidi" w:hint="eastAsia"/>
                      <w:b/>
                      <w:bCs/>
                      <w:kern w:val="2"/>
                      <w:sz w:val="21"/>
                      <w:szCs w:val="22"/>
                      <w:lang w:eastAsia="zh-CN"/>
                    </w:rPr>
                    <w:t>或行业协会</w:t>
                  </w:r>
                  <w:r>
                    <w:rPr>
                      <w:rFonts w:ascii="宋体" w:eastAsia="宋体" w:hAnsi="宋体" w:cstheme="minorBidi" w:hint="eastAsia"/>
                      <w:kern w:val="2"/>
                      <w:sz w:val="21"/>
                      <w:szCs w:val="22"/>
                      <w:lang w:eastAsia="zh-CN"/>
                    </w:rPr>
                    <w:t>颁发</w:t>
                  </w:r>
                  <w:r>
                    <w:rPr>
                      <w:rFonts w:ascii="宋体" w:eastAsia="宋体" w:hAnsi="宋体" w:cs="宋体" w:hint="eastAsia"/>
                      <w:kern w:val="2"/>
                      <w:sz w:val="21"/>
                      <w:szCs w:val="21"/>
                      <w:lang w:eastAsia="zh-CN"/>
                    </w:rPr>
                    <w:t>的</w:t>
                  </w:r>
                  <w:r>
                    <w:rPr>
                      <w:rFonts w:ascii="Calibri" w:eastAsia="宋体" w:hAnsi="Calibri" w:cstheme="minorBidi" w:hint="eastAsia"/>
                      <w:kern w:val="2"/>
                      <w:sz w:val="21"/>
                      <w:szCs w:val="22"/>
                      <w:lang w:eastAsia="zh-CN"/>
                    </w:rPr>
                    <w:t>高级职业指导师（一级）</w:t>
                  </w:r>
                  <w:r>
                    <w:rPr>
                      <w:rFonts w:ascii="宋体" w:eastAsia="宋体" w:hAnsi="宋体" w:cs="宋体" w:hint="eastAsia"/>
                      <w:kern w:val="2"/>
                      <w:sz w:val="21"/>
                      <w:szCs w:val="21"/>
                      <w:lang w:eastAsia="zh-CN"/>
                    </w:rPr>
                    <w:t>证书的，每提供一人得15分，本小项最高得40分。</w:t>
                  </w:r>
                </w:p>
                <w:p>
                  <w:pPr>
                    <w:keepNext/>
                    <w:widowControl w:val="0"/>
                    <w:wordWrap w:val="0"/>
                    <w:spacing w:line="276" w:lineRule="auto"/>
                    <w:jc w:val="both"/>
                    <w:rPr>
                      <w:rFonts w:ascii="宋体" w:eastAsia="宋体" w:hAnsi="Calibri" w:cs="宋体"/>
                      <w:b/>
                      <w:bCs/>
                      <w:kern w:val="2"/>
                      <w:sz w:val="21"/>
                      <w:szCs w:val="21"/>
                      <w:lang w:eastAsia="zh-CN"/>
                    </w:rPr>
                  </w:pPr>
                  <w:r>
                    <w:rPr>
                      <w:rFonts w:ascii="宋体" w:eastAsia="宋体" w:hAnsi="宋体" w:cs="宋体" w:hint="eastAsia"/>
                      <w:b/>
                      <w:bCs/>
                      <w:kern w:val="2"/>
                      <w:sz w:val="21"/>
                      <w:szCs w:val="21"/>
                      <w:lang w:eastAsia="zh-CN"/>
                    </w:rPr>
                    <w:t>注：以上</w:t>
                  </w:r>
                  <w:r>
                    <w:rPr>
                      <w:rFonts w:ascii="宋体" w:eastAsia="宋体" w:hAnsi="宋体" w:cs="宋体" w:hint="eastAsia"/>
                      <w:b/>
                      <w:bCs/>
                      <w:kern w:val="2"/>
                      <w:sz w:val="21"/>
                      <w:szCs w:val="21"/>
                      <w:lang w:eastAsia="zh-CN"/>
                    </w:rPr>
                    <w:t>三</w:t>
                  </w:r>
                  <w:r>
                    <w:rPr>
                      <w:rFonts w:ascii="宋体" w:eastAsia="宋体" w:hAnsi="宋体" w:cs="宋体" w:hint="eastAsia"/>
                      <w:b/>
                      <w:bCs/>
                      <w:kern w:val="2"/>
                      <w:sz w:val="21"/>
                      <w:szCs w:val="21"/>
                      <w:lang w:eastAsia="zh-CN"/>
                    </w:rPr>
                    <w:t>项累计得分，最高得</w:t>
                  </w:r>
                  <w:r>
                    <w:rPr>
                      <w:rFonts w:ascii="宋体" w:eastAsia="宋体" w:hAnsi="宋体" w:cs="宋体"/>
                      <w:b/>
                      <w:bCs/>
                      <w:kern w:val="2"/>
                      <w:sz w:val="21"/>
                      <w:szCs w:val="21"/>
                      <w:lang w:eastAsia="zh-CN"/>
                    </w:rPr>
                    <w:t>100</w:t>
                  </w:r>
                  <w:r>
                    <w:rPr>
                      <w:rFonts w:ascii="宋体" w:eastAsia="宋体" w:hAnsi="宋体" w:cs="宋体" w:hint="eastAsia"/>
                      <w:b/>
                      <w:bCs/>
                      <w:kern w:val="2"/>
                      <w:sz w:val="21"/>
                      <w:szCs w:val="21"/>
                      <w:lang w:eastAsia="zh-CN"/>
                    </w:rPr>
                    <w:t>分。如同一名人员同时满足多个得分项的，不重复计分。</w:t>
                  </w:r>
                </w:p>
                <w:p>
                  <w:pPr>
                    <w:widowControl w:val="0"/>
                    <w:spacing w:line="276" w:lineRule="auto"/>
                    <w:jc w:val="both"/>
                    <w:rPr>
                      <w:rFonts w:ascii="宋体" w:eastAsia="宋体" w:hAnsi="宋体" w:cs="宋体"/>
                      <w:kern w:val="2"/>
                      <w:sz w:val="21"/>
                      <w:szCs w:val="21"/>
                      <w:lang w:eastAsia="zh-CN"/>
                    </w:rPr>
                  </w:pPr>
                  <w:r>
                    <w:rPr>
                      <w:rFonts w:ascii="宋体" w:eastAsia="宋体" w:hAnsi="宋体" w:cs="宋体" w:hint="eastAsia"/>
                      <w:b/>
                      <w:kern w:val="2"/>
                      <w:sz w:val="21"/>
                      <w:szCs w:val="21"/>
                      <w:lang w:eastAsia="zh-CN"/>
                    </w:rPr>
                    <w:t>（二）评分依据：</w:t>
                  </w:r>
                </w:p>
                <w:p>
                  <w:pPr>
                    <w:widowControl w:val="0"/>
                    <w:wordWrap w:val="0"/>
                    <w:adjustRightInd w:val="0"/>
                    <w:snapToGrid w:val="0"/>
                    <w:spacing w:line="320" w:lineRule="exact"/>
                    <w:jc w:val="left"/>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1.</w:t>
                  </w:r>
                  <w:r>
                    <w:rPr>
                      <w:rFonts w:ascii="宋体" w:eastAsia="宋体" w:hAnsi="宋体" w:cs="宋体" w:hint="eastAsia"/>
                      <w:kern w:val="2"/>
                      <w:sz w:val="21"/>
                      <w:szCs w:val="21"/>
                      <w:lang w:eastAsia="zh-CN"/>
                    </w:rPr>
                    <w:t>提供社保部门出具的投标人为上述人员缴纳的近一个月（具体是指2025年</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月）社保证明文件扫描件，由于社保部门原因（提供社保局无法出具的证明文件）最近一个月的社保证明无法提供的，</w:t>
                  </w:r>
                  <w:bookmarkStart w:id="0" w:name="_GoBack"/>
                  <w:bookmarkEnd w:id="0"/>
                  <w:r>
                    <w:rPr>
                      <w:rFonts w:ascii="宋体" w:eastAsia="宋体" w:hAnsi="宋体" w:cs="宋体" w:hint="eastAsia"/>
                      <w:kern w:val="2"/>
                      <w:sz w:val="21"/>
                      <w:szCs w:val="21"/>
                      <w:lang w:eastAsia="zh-CN"/>
                    </w:rPr>
                    <w:t>则可以往前顺延一个月；如投标人注册成立时间不足</w:t>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个月的，可提供承诺函（格式自拟）。</w:t>
                  </w:r>
                </w:p>
                <w:p>
                  <w:pPr>
                    <w:widowControl w:val="0"/>
                    <w:wordWrap w:val="0"/>
                    <w:adjustRightInd w:val="0"/>
                    <w:snapToGrid w:val="0"/>
                    <w:spacing w:line="32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2.提供学历证书及</w:t>
                  </w:r>
                  <w:r>
                    <w:rPr>
                      <w:rFonts w:ascii="Calibri" w:eastAsia="宋体" w:hAnsi="Calibri" w:cstheme="minorBidi" w:hint="eastAsia"/>
                      <w:kern w:val="2"/>
                      <w:sz w:val="21"/>
                      <w:szCs w:val="22"/>
                      <w:lang w:eastAsia="zh-CN"/>
                    </w:rPr>
                    <w:t>中国高等教育学生信息网（学信网https://www.chsi.com.cn）</w:t>
                  </w:r>
                  <w:r>
                    <w:rPr>
                      <w:rFonts w:ascii="宋体" w:eastAsia="宋体" w:hAnsi="宋体" w:cs="宋体" w:hint="eastAsia"/>
                      <w:kern w:val="2"/>
                      <w:sz w:val="21"/>
                      <w:szCs w:val="21"/>
                      <w:lang w:eastAsia="zh-CN"/>
                    </w:rPr>
                    <w:t>查询记录。对于较早颁发的学历证书,学信网无法查询的,除要求提供证书扫描件,需要提供其他佐证材料(如毕业院校或人力资源和社会保障部等颁发机构或监管机构等单位出具的证明),在海外留学并取得学历的,学信网无法查询的,可提供教育部留学服务中心出具的国外学历认证证书扫描件【或教育部留学服务中心网站（http://zwfw.cscse.edu.cn/）在线查询截图】。</w:t>
                  </w:r>
                </w:p>
                <w:p>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提供人员证书扫描件。若为经人社部门备案的第三方机构颁发的证书，需同时提供证书扫描件、技能人才评价证书全国联网查询截图（http://zscx.osta.org.cn/）；若为协会颁发的，则还需要同时提供该机构在中国社会组织政务服务平台（网址 https://chinanpo.mca.gov.cn)的查询“正常”页面截图。</w:t>
                  </w:r>
                </w:p>
                <w:p>
                  <w:pPr>
                    <w:widowControl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4.评分中出现无证明资料或者专家无法凭所提供资料判断是否得分的情况，一律做不得分处理。</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val="restart"/>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3</w:t>
                  </w:r>
                </w:p>
              </w:tc>
              <w:tc>
                <w:tcPr>
                  <w:tcW w:w="3185" w:type="dxa"/>
                  <w:gridSpan w:val="3"/>
                  <w:tcBorders>
                    <w:tl2br w:val="nil"/>
                    <w:tr2bl w:val="nil"/>
                  </w:tcBorders>
                  <w:vAlign w:val="center"/>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综合实力部分</w:t>
                  </w:r>
                </w:p>
              </w:tc>
              <w:tc>
                <w:tcPr>
                  <w:tcW w:w="5179" w:type="dxa"/>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30</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8364" w:type="dxa"/>
                  <w:gridSpan w:val="4"/>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shd w:val="clear" w:color="auto" w:fill="E6EFFA"/>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548"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868"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769"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p>
              </w:tc>
              <w:tc>
                <w:tcPr>
                  <w:tcW w:w="5179"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868" w:type="dxa"/>
                  <w:tcBorders>
                    <w:tl2br w:val="nil"/>
                    <w:tr2bl w:val="nil"/>
                  </w:tcBorders>
                  <w:vAlign w:val="center"/>
                </w:tcPr>
                <w:p>
                  <w:pPr>
                    <w:widowControl w:val="0"/>
                    <w:wordWrap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同类项目业绩</w:t>
                  </w:r>
                </w:p>
              </w:tc>
              <w:tc>
                <w:tcPr>
                  <w:tcW w:w="769" w:type="dxa"/>
                  <w:tcBorders>
                    <w:tl2br w:val="nil"/>
                    <w:tr2bl w:val="nil"/>
                  </w:tcBorders>
                  <w:vAlign w:val="center"/>
                </w:tcPr>
                <w:p>
                  <w:pPr>
                    <w:widowControl w:val="0"/>
                    <w:wordWrap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8</w:t>
                  </w:r>
                </w:p>
              </w:tc>
              <w:tc>
                <w:tcPr>
                  <w:tcW w:w="5179" w:type="dxa"/>
                  <w:tcBorders>
                    <w:tl2br w:val="nil"/>
                    <w:tr2bl w:val="nil"/>
                  </w:tcBorders>
                </w:tcPr>
                <w:p>
                  <w:pPr>
                    <w:widowControl w:val="0"/>
                    <w:spacing w:line="276" w:lineRule="auto"/>
                    <w:jc w:val="both"/>
                    <w:rPr>
                      <w:rFonts w:ascii="宋体" w:eastAsia="宋体" w:hAnsi="Calibri" w:cs="宋体"/>
                      <w:b/>
                      <w:kern w:val="2"/>
                      <w:sz w:val="21"/>
                      <w:szCs w:val="21"/>
                      <w:lang w:eastAsia="zh-CN"/>
                    </w:rPr>
                  </w:pPr>
                  <w:r>
                    <w:rPr>
                      <w:rFonts w:ascii="宋体" w:eastAsia="宋体" w:hAnsi="宋体" w:cs="宋体" w:hint="eastAsia"/>
                      <w:b/>
                      <w:kern w:val="2"/>
                      <w:sz w:val="21"/>
                      <w:szCs w:val="21"/>
                      <w:lang w:eastAsia="zh-CN"/>
                    </w:rPr>
                    <w:t>（一）评分内容：</w:t>
                  </w:r>
                </w:p>
                <w:p>
                  <w:pPr>
                    <w:widowControl/>
                    <w:wordWrap w:val="0"/>
                    <w:spacing w:line="276" w:lineRule="auto"/>
                    <w:jc w:val="left"/>
                    <w:rPr>
                      <w:rFonts w:ascii="宋体" w:hAnsi="宋体" w:cs="宋体"/>
                      <w:sz w:val="21"/>
                      <w:szCs w:val="21"/>
                      <w:lang w:eastAsia="zh-CN"/>
                    </w:rPr>
                  </w:pPr>
                  <w:r>
                    <w:rPr>
                      <w:rFonts w:ascii="宋体" w:eastAsia="宋体" w:hAnsi="宋体" w:cs="宋体" w:hint="eastAsia"/>
                      <w:sz w:val="21"/>
                      <w:szCs w:val="21"/>
                      <w:lang w:eastAsia="zh-CN"/>
                    </w:rPr>
                    <w:t>考察投标人同类业绩情况（以合同签订时间为准,从2021年1月1日开始，截止日为本项目投标截止之日）具有政府机关（或事业单位）人力资源服务项目业绩的，每提供一个有效合同且采购人履约评价为优秀（或优、满意、90分及以上等同等意义最高级评价）的业绩得20分，本项最高得100分。</w:t>
                  </w:r>
                </w:p>
                <w:p>
                  <w:pPr>
                    <w:widowControl w:val="0"/>
                    <w:spacing w:line="276" w:lineRule="auto"/>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（二）评分依据：</w:t>
                  </w:r>
                </w:p>
                <w:p>
                  <w:pPr>
                    <w:widowControl/>
                    <w:wordWrap w:val="0"/>
                    <w:spacing w:line="276" w:lineRule="auto"/>
                    <w:jc w:val="left"/>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投标人需提供与采购单位（合同甲方）的服务项目合同关键页（内容至少包括合同首页、服务内容页、签字盖章页、签订时间）扫描件，以及履约评价为优秀（或优、满意、90分及以上等同等意义最高级评价）的项目的履约评价扫描件【盖有采购单位（合同甲方）公章或采购单位（合同甲方）业务章】）。</w:t>
                  </w:r>
                </w:p>
                <w:p>
                  <w:pPr>
                    <w:widowControl/>
                    <w:spacing w:after="120"/>
                    <w:jc w:val="left"/>
                    <w:rPr>
                      <w:rFonts w:ascii="Calibri" w:eastAsia="宋体" w:hAnsi="Calibri"/>
                      <w:sz w:val="20"/>
                      <w:szCs w:val="20"/>
                      <w:lang w:eastAsia="zh-CN"/>
                    </w:rPr>
                  </w:pPr>
                  <w:r>
                    <w:rPr>
                      <w:rFonts w:ascii="宋体" w:eastAsia="宋体" w:hAnsi="宋体" w:cs="宋体" w:hint="eastAsia"/>
                      <w:sz w:val="21"/>
                      <w:szCs w:val="21"/>
                      <w:lang w:eastAsia="zh-CN"/>
                    </w:rPr>
                    <w:t>2.续签合同按一个合同计算，不重复得分。</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3.若履约评价只有“合格”和“不合格”两个档次的，“合格”不视为</w:t>
                  </w:r>
                  <w:r>
                    <w:rPr>
                      <w:rFonts w:ascii="宋体" w:eastAsia="宋体" w:hAnsi="宋体" w:cs="宋体" w:hint="eastAsia"/>
                      <w:sz w:val="21"/>
                      <w:szCs w:val="21"/>
                      <w:lang w:eastAsia="zh-CN"/>
                    </w:rPr>
                    <w:t>同等意义最高级评价，作不得分处理。</w:t>
                  </w:r>
                </w:p>
                <w:p>
                  <w:pPr>
                    <w:widowControl w:val="0"/>
                    <w:wordWrap w:val="0"/>
                    <w:spacing w:line="276" w:lineRule="auto"/>
                    <w:jc w:val="both"/>
                    <w:rPr>
                      <w:rFonts w:ascii="宋体" w:eastAsia="宋体" w:hAnsi="宋体" w:cs="宋体"/>
                      <w:kern w:val="2"/>
                      <w:sz w:val="21"/>
                      <w:szCs w:val="21"/>
                      <w:lang w:eastAsia="zh-CN"/>
                    </w:rPr>
                  </w:pPr>
                  <w:r>
                    <w:rPr>
                      <w:rFonts w:ascii="宋体" w:eastAsia="宋体" w:hAnsi="宋体" w:cs="宋体" w:hint="eastAsia"/>
                      <w:sz w:val="21"/>
                      <w:szCs w:val="21"/>
                      <w:lang w:eastAsia="zh-CN"/>
                    </w:rPr>
                    <w:t>4.如未按要求提供证明材料，或所提供的证明材料未能体现上述评分内容的，视为该证明材料无效。</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548" w:type="dxa"/>
                  <w:tcBorders>
                    <w:tl2br w:val="nil"/>
                    <w:tr2bl w:val="nil"/>
                  </w:tcBorders>
                  <w:shd w:val="clear" w:color="auto" w:fill="auto"/>
                  <w:vAlign w:val="center"/>
                </w:tcPr>
                <w:p>
                  <w:pPr>
                    <w:widowControl w:val="0"/>
                    <w:wordWrap w:val="0"/>
                    <w:adjustRightInd w:val="0"/>
                    <w:snapToGrid w:val="0"/>
                    <w:spacing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1868" w:type="dxa"/>
                  <w:tcBorders>
                    <w:tl2br w:val="nil"/>
                    <w:tr2bl w:val="nil"/>
                  </w:tcBorders>
                  <w:shd w:val="clear" w:color="auto" w:fill="auto"/>
                  <w:vAlign w:val="center"/>
                </w:tcPr>
                <w:p>
                  <w:pPr>
                    <w:widowControl/>
                    <w:wordWrap w:val="0"/>
                    <w:spacing w:line="276"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认证情况</w:t>
                  </w:r>
                </w:p>
              </w:tc>
              <w:tc>
                <w:tcPr>
                  <w:tcW w:w="769" w:type="dxa"/>
                  <w:tcBorders>
                    <w:tl2br w:val="nil"/>
                    <w:tr2bl w:val="nil"/>
                  </w:tcBorders>
                  <w:shd w:val="clear" w:color="auto" w:fill="auto"/>
                  <w:vAlign w:val="center"/>
                </w:tcPr>
                <w:p>
                  <w:pPr>
                    <w:widowControl/>
                    <w:wordWrap w:val="0"/>
                    <w:spacing w:line="276"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10</w:t>
                  </w:r>
                </w:p>
              </w:tc>
              <w:tc>
                <w:tcPr>
                  <w:tcW w:w="5179" w:type="dxa"/>
                  <w:tcBorders>
                    <w:tl2br w:val="nil"/>
                    <w:tr2bl w:val="nil"/>
                  </w:tcBorders>
                  <w:shd w:val="clear" w:color="auto" w:fill="auto"/>
                  <w:vAlign w:val="top"/>
                </w:tcPr>
                <w:p>
                  <w:pPr>
                    <w:widowControl/>
                    <w:wordWrap w:val="0"/>
                    <w:spacing w:line="276" w:lineRule="auto"/>
                    <w:jc w:val="left"/>
                    <w:rPr>
                      <w:rFonts w:ascii="宋体" w:eastAsia="宋体" w:hAnsi="Calibri" w:cs="宋体"/>
                      <w:b/>
                      <w:bCs/>
                      <w:sz w:val="21"/>
                      <w:szCs w:val="21"/>
                      <w:lang w:eastAsia="zh-CN"/>
                    </w:rPr>
                  </w:pPr>
                  <w:r>
                    <w:rPr>
                      <w:rFonts w:ascii="宋体" w:eastAsia="宋体" w:hAnsi="宋体" w:cs="宋体" w:hint="eastAsia"/>
                      <w:b/>
                      <w:bCs/>
                      <w:sz w:val="21"/>
                      <w:szCs w:val="21"/>
                      <w:lang w:eastAsia="zh-CN"/>
                    </w:rPr>
                    <w:t>（一）评分内容：</w:t>
                  </w:r>
                </w:p>
                <w:p>
                  <w:pPr>
                    <w:widowControl/>
                    <w:wordWrap w:val="0"/>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投标人具有以下证书：</w:t>
                  </w:r>
                </w:p>
                <w:p>
                  <w:pPr>
                    <w:widowControl/>
                    <w:wordWrap w:val="0"/>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1.质量管理体系认证证书；</w:t>
                  </w:r>
                </w:p>
                <w:p>
                  <w:pPr>
                    <w:widowControl/>
                    <w:wordWrap w:val="0"/>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2.职业健康安全体系认证证书；</w:t>
                  </w:r>
                </w:p>
                <w:p>
                  <w:pPr>
                    <w:widowControl/>
                    <w:wordWrap w:val="0"/>
                    <w:spacing w:line="276" w:lineRule="auto"/>
                    <w:jc w:val="left"/>
                    <w:rPr>
                      <w:rFonts w:ascii="宋体" w:eastAsia="宋体" w:hAnsi="宋体" w:cs="宋体"/>
                      <w:sz w:val="21"/>
                      <w:szCs w:val="21"/>
                      <w:lang w:eastAsia="zh-CN"/>
                    </w:rPr>
                  </w:pPr>
                  <w:r>
                    <w:rPr>
                      <w:rFonts w:ascii="宋体" w:eastAsia="宋体" w:hAnsi="宋体" w:cs="宋体"/>
                      <w:sz w:val="21"/>
                      <w:szCs w:val="21"/>
                      <w:lang w:eastAsia="zh-CN"/>
                    </w:rPr>
                    <w:t>3</w:t>
                  </w:r>
                  <w:r>
                    <w:rPr>
                      <w:rFonts w:ascii="宋体" w:eastAsia="宋体" w:hAnsi="宋体" w:cs="宋体" w:hint="eastAsia"/>
                      <w:sz w:val="21"/>
                      <w:szCs w:val="21"/>
                      <w:lang w:eastAsia="zh-CN"/>
                    </w:rPr>
                    <w:t>.教育服务认证证书；</w:t>
                  </w:r>
                </w:p>
                <w:p>
                  <w:pPr>
                    <w:widowControl/>
                    <w:wordWrap w:val="0"/>
                    <w:spacing w:line="276" w:lineRule="auto"/>
                    <w:jc w:val="left"/>
                    <w:rPr>
                      <w:rFonts w:ascii="宋体" w:eastAsia="宋体" w:hAnsi="宋体" w:cs="宋体"/>
                      <w:sz w:val="21"/>
                      <w:szCs w:val="21"/>
                      <w:lang w:eastAsia="zh-CN"/>
                    </w:rPr>
                  </w:pPr>
                  <w:r>
                    <w:rPr>
                      <w:rFonts w:ascii="宋体" w:eastAsia="宋体" w:hAnsi="宋体" w:cs="宋体"/>
                      <w:sz w:val="21"/>
                      <w:szCs w:val="21"/>
                      <w:lang w:eastAsia="zh-CN"/>
                    </w:rPr>
                    <w:t>4</w:t>
                  </w:r>
                  <w:r>
                    <w:rPr>
                      <w:rFonts w:ascii="宋体" w:eastAsia="宋体" w:hAnsi="宋体" w:cs="宋体" w:hint="eastAsia"/>
                      <w:sz w:val="21"/>
                      <w:szCs w:val="21"/>
                      <w:lang w:eastAsia="zh-CN"/>
                    </w:rPr>
                    <w:t>.劳动关系和谐企业评价体系认证证书；</w:t>
                  </w:r>
                </w:p>
                <w:p>
                  <w:pPr>
                    <w:widowControl/>
                    <w:wordWrap w:val="0"/>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每具提供一项得</w:t>
                  </w:r>
                  <w:r>
                    <w:rPr>
                      <w:rFonts w:ascii="宋体" w:eastAsia="宋体" w:hAnsi="宋体" w:cs="宋体"/>
                      <w:sz w:val="21"/>
                      <w:szCs w:val="21"/>
                      <w:lang w:eastAsia="zh-CN"/>
                    </w:rPr>
                    <w:t>25</w:t>
                  </w:r>
                  <w:r>
                    <w:rPr>
                      <w:rFonts w:ascii="宋体" w:eastAsia="宋体" w:hAnsi="宋体" w:cs="宋体" w:hint="eastAsia"/>
                      <w:sz w:val="21"/>
                      <w:szCs w:val="21"/>
                      <w:lang w:eastAsia="zh-CN"/>
                    </w:rPr>
                    <w:t>分，本项最高得100分。</w:t>
                  </w:r>
                </w:p>
                <w:p>
                  <w:pPr>
                    <w:widowControl/>
                    <w:wordWrap w:val="0"/>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注：以上证书的认证范围需包含人力资源服务。</w:t>
                  </w:r>
                </w:p>
                <w:p>
                  <w:pPr>
                    <w:widowControl/>
                    <w:wordWrap w:val="0"/>
                    <w:spacing w:line="276" w:lineRule="auto"/>
                    <w:jc w:val="left"/>
                    <w:rPr>
                      <w:rFonts w:ascii="宋体" w:eastAsia="宋体" w:hAnsi="Calibri" w:cs="宋体"/>
                      <w:b/>
                      <w:bCs/>
                      <w:sz w:val="21"/>
                      <w:szCs w:val="21"/>
                      <w:lang w:eastAsia="zh-CN"/>
                    </w:rPr>
                  </w:pPr>
                  <w:r>
                    <w:rPr>
                      <w:rFonts w:ascii="宋体" w:eastAsia="宋体" w:hAnsi="宋体" w:cs="宋体" w:hint="eastAsia"/>
                      <w:b/>
                      <w:bCs/>
                      <w:sz w:val="21"/>
                      <w:szCs w:val="21"/>
                      <w:lang w:eastAsia="zh-CN"/>
                    </w:rPr>
                    <w:t>（二）评分依据：</w:t>
                  </w:r>
                </w:p>
                <w:p>
                  <w:pPr>
                    <w:widowControl/>
                    <w:wordWrap w:val="0"/>
                    <w:spacing w:line="276" w:lineRule="auto"/>
                    <w:jc w:val="left"/>
                    <w:rPr>
                      <w:rFonts w:ascii="宋体" w:eastAsia="宋体" w:hAnsi="Calibri" w:cs="宋体"/>
                      <w:sz w:val="21"/>
                      <w:szCs w:val="21"/>
                      <w:lang w:eastAsia="zh-CN"/>
                    </w:rPr>
                  </w:pPr>
                  <w:r>
                    <w:rPr>
                      <w:rFonts w:ascii="宋体" w:eastAsia="宋体" w:hAnsi="宋体" w:cs="宋体"/>
                      <w:kern w:val="2"/>
                      <w:sz w:val="21"/>
                      <w:szCs w:val="21"/>
                      <w:lang w:eastAsia="zh-CN"/>
                    </w:rPr>
                    <w:t>1.</w:t>
                  </w:r>
                  <w:r>
                    <w:rPr>
                      <w:rFonts w:ascii="宋体" w:eastAsia="宋体" w:hAnsi="宋体" w:cs="宋体" w:hint="eastAsia"/>
                      <w:kern w:val="2"/>
                      <w:sz w:val="21"/>
                      <w:szCs w:val="21"/>
                      <w:lang w:eastAsia="zh-CN"/>
                    </w:rPr>
                    <w:t>提供有效期内的认证证书扫描件（如证书标明需年度审核的，需有已年审标志）和全国认证认可信息公共服务平台（认</w:t>
                  </w:r>
                  <w:r>
                    <w:rPr>
                      <w:rFonts w:ascii="宋体" w:eastAsia="宋体" w:hAnsi="宋体" w:cs="宋体"/>
                      <w:kern w:val="2"/>
                      <w:sz w:val="21"/>
                      <w:szCs w:val="21"/>
                      <w:lang w:eastAsia="zh-CN"/>
                    </w:rPr>
                    <w:t>e</w:t>
                  </w:r>
                  <w:r>
                    <w:rPr>
                      <w:rFonts w:ascii="宋体" w:eastAsia="宋体" w:hAnsi="宋体" w:cs="宋体" w:hint="eastAsia"/>
                      <w:kern w:val="2"/>
                      <w:sz w:val="21"/>
                      <w:szCs w:val="21"/>
                      <w:lang w:eastAsia="zh-CN"/>
                    </w:rPr>
                    <w:t>云）（</w:t>
                  </w:r>
                  <w:r>
                    <w:rPr>
                      <w:rFonts w:ascii="宋体" w:eastAsia="宋体" w:hAnsi="宋体" w:cs="宋体"/>
                      <w:kern w:val="2"/>
                      <w:sz w:val="21"/>
                      <w:szCs w:val="21"/>
                      <w:lang w:eastAsia="zh-CN"/>
                    </w:rPr>
                    <w:t>http://cx.cnca.cn/</w:t>
                  </w:r>
                  <w:r>
                    <w:rPr>
                      <w:rFonts w:ascii="宋体" w:eastAsia="宋体" w:hAnsi="宋体" w:cs="宋体" w:hint="eastAsia"/>
                      <w:kern w:val="2"/>
                      <w:sz w:val="21"/>
                      <w:szCs w:val="21"/>
                      <w:lang w:eastAsia="zh-CN"/>
                    </w:rPr>
                    <w:t>）的认证信息查询截图（须体现网站信息，截图需显示证书状态为有效）。</w:t>
                  </w:r>
                </w:p>
                <w:p>
                  <w:pPr>
                    <w:widowControl/>
                    <w:wordWrap w:val="0"/>
                    <w:spacing w:line="276" w:lineRule="auto"/>
                    <w:jc w:val="left"/>
                    <w:rPr>
                      <w:rFonts w:ascii="宋体" w:eastAsia="宋体" w:hAnsi="宋体" w:cs="宋体"/>
                      <w:kern w:val="2"/>
                      <w:sz w:val="21"/>
                      <w:szCs w:val="21"/>
                      <w:lang w:eastAsia="zh-CN"/>
                    </w:rPr>
                  </w:pPr>
                  <w:r>
                    <w:rPr>
                      <w:rFonts w:ascii="宋体" w:eastAsia="宋体" w:hAnsi="宋体" w:cs="宋体"/>
                      <w:sz w:val="21"/>
                      <w:szCs w:val="21"/>
                      <w:lang w:eastAsia="zh-CN"/>
                    </w:rPr>
                    <w:t>2.</w:t>
                  </w:r>
                  <w:r>
                    <w:rPr>
                      <w:rFonts w:ascii="宋体" w:eastAsia="宋体" w:hAnsi="宋体" w:cs="宋体" w:hint="eastAsia"/>
                      <w:sz w:val="21"/>
                      <w:szCs w:val="21"/>
                      <w:lang w:eastAsia="zh-CN"/>
                    </w:rPr>
                    <w:t>如未按要求提供证明材料，或所提供的证明材料未能体现上述评分内容的，视为该证明材料无效。</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868" w:type="dxa"/>
                  <w:tcBorders>
                    <w:tl2br w:val="nil"/>
                    <w:tr2bl w:val="nil"/>
                  </w:tcBorders>
                  <w:vAlign w:val="center"/>
                </w:tcPr>
                <w:p>
                  <w:pPr>
                    <w:widowControl w:val="0"/>
                    <w:jc w:val="both"/>
                    <w:rPr>
                      <w:rFonts w:ascii="宋体" w:eastAsia="宋体" w:hAnsi="宋体" w:cs="宋体"/>
                      <w:kern w:val="2"/>
                      <w:sz w:val="21"/>
                      <w:szCs w:val="21"/>
                      <w:lang w:eastAsia="zh-CN"/>
                    </w:rPr>
                  </w:pPr>
                  <w:r>
                    <w:rPr>
                      <w:rFonts w:ascii="宋体" w:eastAsia="宋体" w:hAnsi="宋体" w:cstheme="minorBidi" w:hint="eastAsia"/>
                      <w:kern w:val="2"/>
                      <w:sz w:val="21"/>
                      <w:szCs w:val="22"/>
                      <w:lang w:eastAsia="zh-CN"/>
                    </w:rPr>
                    <w:t>自主知识产权产品（创新、设计）情况</w:t>
                  </w:r>
                </w:p>
              </w:tc>
              <w:tc>
                <w:tcPr>
                  <w:tcW w:w="769"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12</w:t>
                  </w:r>
                </w:p>
              </w:tc>
              <w:tc>
                <w:tcPr>
                  <w:tcW w:w="5179" w:type="dxa"/>
                  <w:tcBorders>
                    <w:tl2br w:val="nil"/>
                    <w:tr2bl w:val="nil"/>
                  </w:tcBorders>
                  <w:vAlign w:val="top"/>
                </w:tcPr>
                <w:p>
                  <w:pPr>
                    <w:widowControl/>
                    <w:wordWrap w:val="0"/>
                    <w:spacing w:line="276" w:lineRule="auto"/>
                    <w:jc w:val="left"/>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（一）评分内容：</w:t>
                  </w:r>
                </w:p>
                <w:p>
                  <w:pPr>
                    <w:widowControl/>
                    <w:wordWrap w:val="0"/>
                    <w:spacing w:line="276" w:lineRule="auto"/>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投标人具有中华人民共和国国家版权局颁发的计算机软件著作权登记证书： </w:t>
                  </w:r>
                </w:p>
                <w:p>
                  <w:pPr>
                    <w:widowControl/>
                    <w:wordWrap w:val="0"/>
                    <w:spacing w:line="276" w:lineRule="auto"/>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（1）具有人力资源服务类软件著作权登记证书（须含“三方管理”关键字）；</w:t>
                  </w:r>
                </w:p>
                <w:p>
                  <w:pPr>
                    <w:widowControl/>
                    <w:wordWrap w:val="0"/>
                    <w:spacing w:line="276" w:lineRule="auto"/>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（2）具有人力资源服务类软件著作权登记证书（须包含“招聘</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或“培训”或“录用”其一</w:t>
                  </w:r>
                  <w:r>
                    <w:rPr>
                      <w:rFonts w:ascii="宋体" w:eastAsia="宋体" w:hAnsi="宋体" w:cs="宋体" w:hint="eastAsia"/>
                      <w:kern w:val="2"/>
                      <w:sz w:val="21"/>
                      <w:szCs w:val="21"/>
                      <w:lang w:eastAsia="zh-CN"/>
                    </w:rPr>
                    <w:t>关键字</w:t>
                  </w:r>
                  <w:r>
                    <w:rPr>
                      <w:rFonts w:ascii="宋体" w:eastAsia="宋体" w:hAnsi="宋体" w:cs="宋体" w:hint="eastAsia"/>
                      <w:kern w:val="2"/>
                      <w:sz w:val="21"/>
                      <w:szCs w:val="21"/>
                      <w:lang w:eastAsia="zh-CN"/>
                    </w:rPr>
                    <w:t>即可</w:t>
                  </w:r>
                  <w:r>
                    <w:rPr>
                      <w:rFonts w:ascii="宋体" w:eastAsia="宋体" w:hAnsi="宋体" w:cs="宋体" w:hint="eastAsia"/>
                      <w:kern w:val="2"/>
                      <w:sz w:val="21"/>
                      <w:szCs w:val="21"/>
                      <w:lang w:eastAsia="zh-CN"/>
                    </w:rPr>
                    <w:t>）；</w:t>
                  </w:r>
                </w:p>
                <w:p>
                  <w:pPr>
                    <w:widowControl/>
                    <w:wordWrap w:val="0"/>
                    <w:spacing w:line="276" w:lineRule="auto"/>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（3）具有档案类软件著作权登记证书（须含“人事档案管理”关键字）；</w:t>
                  </w:r>
                </w:p>
                <w:p>
                  <w:pPr>
                    <w:widowControl/>
                    <w:wordWrap w:val="0"/>
                    <w:spacing w:line="276" w:lineRule="auto"/>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（4）具有后勤管理类软件著作权登记证书（须含“后勤管理”关键字）。</w:t>
                  </w:r>
                </w:p>
                <w:p>
                  <w:pPr>
                    <w:widowControl/>
                    <w:wordWrap w:val="0"/>
                    <w:spacing w:line="276" w:lineRule="auto"/>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每提供一个计算机软件著作权登记证书得25分，最高得100分。</w:t>
                  </w:r>
                </w:p>
                <w:p>
                  <w:pPr>
                    <w:widowControl/>
                    <w:wordWrap w:val="0"/>
                    <w:spacing w:line="276" w:lineRule="auto"/>
                    <w:jc w:val="left"/>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（二）评分依据：</w:t>
                  </w:r>
                </w:p>
                <w:p>
                  <w:pPr>
                    <w:widowControl/>
                    <w:wordWrap w:val="0"/>
                    <w:spacing w:line="276" w:lineRule="auto"/>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1、若投标人自行开发的，须提供计算机软件著作权证明（著作权人须为投标人）；</w:t>
                  </w:r>
                </w:p>
                <w:p>
                  <w:pPr>
                    <w:widowControl/>
                    <w:wordWrap w:val="0"/>
                    <w:spacing w:line="276" w:lineRule="auto"/>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2、若投标人购买（或租赁）的提供：购买或租赁的计算机软件著作权登记证书（著作权人须为出售/出租方）和购买合同（或租赁合同）。</w:t>
                  </w:r>
                  <w:r>
                    <w:rPr>
                      <w:rFonts w:ascii="宋体" w:eastAsia="宋体" w:hAnsi="宋体" w:cs="宋体" w:hint="eastAsia"/>
                      <w:sz w:val="21"/>
                      <w:szCs w:val="21"/>
                      <w:lang w:eastAsia="zh-CN"/>
                    </w:rPr>
                    <w:t>如未按要求提供证明材料，或所提供的证明材料未能体现上述评分内容的，视为该证明材料无效。</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val="restart"/>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4</w:t>
                  </w:r>
                </w:p>
              </w:tc>
              <w:tc>
                <w:tcPr>
                  <w:tcW w:w="3185" w:type="dxa"/>
                  <w:gridSpan w:val="3"/>
                  <w:tcBorders>
                    <w:tl2br w:val="nil"/>
                    <w:tr2bl w:val="nil"/>
                  </w:tcBorders>
                  <w:vAlign w:val="center"/>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诚信情况</w:t>
                  </w:r>
                </w:p>
              </w:tc>
              <w:tc>
                <w:tcPr>
                  <w:tcW w:w="5179" w:type="dxa"/>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5</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8364" w:type="dxa"/>
                  <w:gridSpan w:val="4"/>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shd w:val="clear" w:color="auto" w:fill="E6EFFA"/>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548"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868"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769"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p>
              </w:tc>
              <w:tc>
                <w:tcPr>
                  <w:tcW w:w="5179"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86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诚信情况</w:t>
                  </w:r>
                </w:p>
              </w:tc>
              <w:tc>
                <w:tcPr>
                  <w:tcW w:w="769"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5179" w:type="dxa"/>
                  <w:tcBorders>
                    <w:tl2br w:val="nil"/>
                    <w:tr2bl w:val="nil"/>
                  </w:tcBorders>
                </w:tcPr>
                <w:p>
                  <w:pPr>
                    <w:widowControl/>
                    <w:wordWrap w:val="0"/>
                    <w:spacing w:line="276" w:lineRule="auto"/>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widowControl/>
                    <w:wordWrap w:val="0"/>
                    <w:spacing w:line="276" w:lineRule="auto"/>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kern w:val="2"/>
                      <w:sz w:val="21"/>
                      <w:szCs w:val="21"/>
                      <w:lang w:eastAsia="zh-CN"/>
                    </w:rPr>
                  </w:pPr>
                </w:p>
              </w:tc>
              <w:tc>
                <w:tcPr>
                  <w:tcW w:w="8364" w:type="dxa"/>
                  <w:gridSpan w:val="4"/>
                  <w:tcBorders>
                    <w:tl2br w:val="nil"/>
                    <w:tr2bl w:val="nil"/>
                  </w:tcBorders>
                </w:tcPr>
                <w:p>
                  <w:pPr>
                    <w:widowControl w:val="0"/>
                    <w:wordWrap w:val="0"/>
                    <w:adjustRightInd w:val="0"/>
                    <w:snapToGrid w:val="0"/>
                    <w:spacing w:line="320" w:lineRule="exact"/>
                    <w:jc w:val="both"/>
                    <w:rPr>
                      <w:rFonts w:ascii="宋体" w:eastAsia="宋体" w:hAnsi="宋体" w:cs="宋体"/>
                      <w:kern w:val="2"/>
                      <w:sz w:val="21"/>
                      <w:szCs w:val="21"/>
                      <w:lang w:eastAsia="zh-CN"/>
                    </w:rPr>
                  </w:pPr>
                </w:p>
              </w:tc>
            </w:tr>
          </w:tbl>
          <w:p>
            <w:pPr>
              <w:widowControl/>
              <w:spacing w:line="324" w:lineRule="auto"/>
              <w:jc w:val="left"/>
              <w:rPr>
                <w:rFonts w:eastAsia="宋体"/>
                <w:sz w:val="21"/>
                <w:szCs w:val="21"/>
                <w:lang w:eastAsia="zh-CN"/>
              </w:rPr>
            </w:pPr>
          </w:p>
        </w:tc>
      </w:tr>
    </w:tbl>
    <w:p>
      <w:pPr>
        <w:widowControl/>
        <w:jc w:val="left"/>
        <w:rPr>
          <w:rFonts w:eastAsia="宋体"/>
          <w:vanish/>
          <w:lang w:eastAsia="zh-CN"/>
        </w:rPr>
      </w:pPr>
    </w:p>
    <w:p>
      <w:pPr>
        <w:widowControl/>
        <w:jc w:val="left"/>
        <w:rPr>
          <w:rFonts w:eastAsia="宋体"/>
          <w:lang w:eastAsia="zh-CN"/>
        </w:rPr>
      </w:pPr>
      <w:r>
        <w:rPr>
          <w:rFonts w:eastAsia="宋体"/>
          <w:lang w:eastAsia="zh-CN"/>
        </w:rPr>
        <w:br w:type="page"/>
      </w:r>
    </w:p>
    <w:p>
      <w:pPr>
        <w:widowControl/>
        <w:jc w:val="left"/>
        <w:rPr>
          <w:rFonts w:eastAsia="宋体"/>
          <w:lang w:eastAsia="zh-CN"/>
        </w:rPr>
      </w:pPr>
    </w:p>
    <w:p>
      <w:pPr>
        <w:widowControl/>
        <w:jc w:val="center"/>
        <w:rPr>
          <w:rFonts w:eastAsia="宋体"/>
          <w:b/>
          <w:sz w:val="120"/>
          <w:szCs w:val="120"/>
          <w:lang w:eastAsia="zh-CN"/>
        </w:rPr>
      </w:pPr>
      <w:r>
        <w:rPr>
          <w:rFonts w:eastAsia="宋体" w:hint="eastAsia"/>
          <w:b/>
          <w:sz w:val="120"/>
          <w:szCs w:val="120"/>
          <w:lang w:eastAsia="zh-CN"/>
        </w:rPr>
        <w:t>政府采购</w:t>
      </w:r>
    </w:p>
    <w:p>
      <w:pPr>
        <w:widowControl/>
        <w:jc w:val="center"/>
        <w:rPr>
          <w:rFonts w:eastAsia="宋体"/>
          <w:b/>
          <w:sz w:val="120"/>
          <w:szCs w:val="120"/>
          <w:lang w:eastAsia="zh-CN"/>
        </w:rPr>
      </w:pPr>
      <w:r>
        <w:rPr>
          <w:rFonts w:eastAsia="宋体" w:hint="eastAsia"/>
          <w:b/>
          <w:sz w:val="120"/>
          <w:szCs w:val="120"/>
          <w:lang w:eastAsia="zh-CN"/>
        </w:rPr>
        <w:t>招标文件</w:t>
      </w:r>
    </w:p>
    <w:p>
      <w:pPr>
        <w:widowControl/>
        <w:jc w:val="center"/>
        <w:rPr>
          <w:rFonts w:eastAsia="宋体"/>
          <w:b/>
          <w:sz w:val="52"/>
          <w:szCs w:val="52"/>
          <w:lang w:eastAsia="zh-CN"/>
        </w:rPr>
      </w:pPr>
      <w:r>
        <w:rPr>
          <w:rFonts w:eastAsia="宋体" w:hint="eastAsia"/>
          <w:b/>
          <w:sz w:val="52"/>
          <w:szCs w:val="52"/>
          <w:lang w:eastAsia="zh-CN"/>
        </w:rPr>
        <w:t>（服务类）</w:t>
      </w:r>
    </w:p>
    <w:p>
      <w:pPr>
        <w:widowControl/>
        <w:jc w:val="left"/>
        <w:rPr>
          <w:rFonts w:eastAsia="宋体"/>
          <w:lang w:eastAsia="zh-CN"/>
        </w:rPr>
      </w:pPr>
    </w:p>
    <w:p>
      <w:pPr>
        <w:widowControl/>
        <w:jc w:val="left"/>
        <w:rPr>
          <w:rFonts w:eastAsia="宋体"/>
          <w:lang w:eastAsia="zh-CN"/>
        </w:rPr>
      </w:pPr>
    </w:p>
    <w:p>
      <w:pPr>
        <w:widowControl/>
        <w:jc w:val="left"/>
        <w:rPr>
          <w:rFonts w:eastAsia="宋体"/>
          <w:lang w:eastAsia="zh-CN"/>
        </w:rPr>
      </w:pPr>
    </w:p>
    <w:p>
      <w:pPr>
        <w:widowControl/>
        <w:jc w:val="left"/>
        <w:rPr>
          <w:rFonts w:eastAsia="宋体"/>
          <w:lang w:eastAsia="zh-CN"/>
        </w:rPr>
      </w:pPr>
    </w:p>
    <w:p>
      <w:pPr>
        <w:widowControl/>
        <w:jc w:val="left"/>
        <w:rPr>
          <w:rFonts w:eastAsia="宋体"/>
          <w:lang w:eastAsia="zh-CN"/>
        </w:rPr>
      </w:pPr>
    </w:p>
    <w:p>
      <w:pPr>
        <w:widowControl/>
        <w:jc w:val="left"/>
        <w:rPr>
          <w:rFonts w:eastAsia="宋体"/>
          <w:lang w:eastAsia="zh-CN"/>
        </w:rPr>
      </w:pPr>
    </w:p>
    <w:p>
      <w:pPr>
        <w:widowControl/>
        <w:jc w:val="left"/>
        <w:rPr>
          <w:rFonts w:eastAsia="宋体"/>
          <w:lang w:eastAsia="zh-CN"/>
        </w:rPr>
      </w:pPr>
    </w:p>
    <w:p>
      <w:pPr>
        <w:widowControl/>
        <w:jc w:val="left"/>
        <w:rPr>
          <w:rFonts w:eastAsia="宋体"/>
          <w:lang w:eastAsia="zh-CN"/>
        </w:rPr>
      </w:pPr>
    </w:p>
    <w:p>
      <w:pPr>
        <w:widowControl/>
        <w:jc w:val="left"/>
        <w:rPr>
          <w:rFonts w:eastAsia="宋体"/>
          <w:lang w:eastAsia="zh-CN"/>
        </w:rPr>
      </w:pPr>
    </w:p>
    <w:p>
      <w:pPr>
        <w:widowControl/>
        <w:jc w:val="left"/>
        <w:rPr>
          <w:rFonts w:eastAsia="宋体"/>
          <w:lang w:eastAsia="zh-CN"/>
        </w:rPr>
      </w:pPr>
    </w:p>
    <w:p>
      <w:pPr>
        <w:widowControl/>
        <w:jc w:val="center"/>
        <w:rPr>
          <w:rFonts w:eastAsia="宋体"/>
          <w:b/>
          <w:sz w:val="44"/>
          <w:szCs w:val="44"/>
          <w:lang w:eastAsia="zh-CN"/>
        </w:rPr>
      </w:pPr>
    </w:p>
    <w:p>
      <w:pPr>
        <w:widowControl/>
        <w:jc w:val="center"/>
        <w:rPr>
          <w:rFonts w:eastAsia="宋体"/>
          <w:b/>
          <w:sz w:val="44"/>
          <w:szCs w:val="44"/>
          <w:lang w:eastAsia="zh-CN"/>
        </w:rPr>
      </w:pPr>
    </w:p>
    <w:p>
      <w:pPr>
        <w:widowControl/>
        <w:jc w:val="center"/>
        <w:rPr>
          <w:rFonts w:eastAsia="宋体"/>
          <w:b/>
          <w:sz w:val="44"/>
          <w:szCs w:val="44"/>
          <w:lang w:eastAsia="zh-CN"/>
        </w:rPr>
      </w:pPr>
    </w:p>
    <w:p>
      <w:pPr>
        <w:widowControl/>
        <w:jc w:val="center"/>
        <w:rPr>
          <w:rFonts w:eastAsia="宋体"/>
          <w:b/>
          <w:sz w:val="44"/>
          <w:szCs w:val="44"/>
          <w:lang w:eastAsia="zh-CN"/>
        </w:rPr>
      </w:pPr>
    </w:p>
    <w:p>
      <w:pPr>
        <w:widowControl/>
        <w:jc w:val="center"/>
        <w:rPr>
          <w:rFonts w:eastAsia="宋体"/>
          <w:b/>
          <w:sz w:val="44"/>
          <w:szCs w:val="44"/>
          <w:lang w:eastAsia="zh-CN"/>
        </w:rPr>
      </w:pPr>
    </w:p>
    <w:p>
      <w:pPr>
        <w:widowControl/>
        <w:jc w:val="center"/>
        <w:rPr>
          <w:rFonts w:eastAsia="宋体"/>
          <w:b/>
          <w:sz w:val="44"/>
          <w:szCs w:val="44"/>
          <w:lang w:eastAsia="zh-CN"/>
        </w:rPr>
      </w:pPr>
    </w:p>
    <w:p>
      <w:pPr>
        <w:widowControl/>
        <w:jc w:val="center"/>
        <w:rPr>
          <w:rFonts w:eastAsia="宋体"/>
          <w:b/>
          <w:sz w:val="44"/>
          <w:szCs w:val="44"/>
          <w:lang w:eastAsia="zh-CN"/>
        </w:rPr>
      </w:pPr>
      <w:bookmarkStart w:id="1" w:name="_Hlk71465316"/>
      <w:r>
        <w:rPr>
          <w:rFonts w:eastAsia="宋体" w:hint="eastAsia"/>
          <w:b/>
          <w:sz w:val="44"/>
          <w:szCs w:val="44"/>
          <w:lang w:eastAsia="zh-CN"/>
        </w:rPr>
        <w:t>深圳公共资源交易中心</w:t>
      </w:r>
    </w:p>
    <w:p>
      <w:pPr>
        <w:widowControl/>
        <w:jc w:val="center"/>
        <w:rPr>
          <w:rFonts w:eastAsia="宋体"/>
          <w:sz w:val="28"/>
          <w:szCs w:val="28"/>
          <w:lang w:eastAsia="zh-CN"/>
        </w:rPr>
      </w:pPr>
      <w:r>
        <w:rPr>
          <w:rFonts w:eastAsia="宋体" w:hint="eastAsia"/>
          <w:b/>
          <w:sz w:val="28"/>
          <w:szCs w:val="28"/>
          <w:lang w:eastAsia="zh-CN"/>
        </w:rPr>
        <w:t>（</w:t>
      </w:r>
      <w:r>
        <w:rPr>
          <w:rFonts w:eastAsia="宋体"/>
          <w:b/>
          <w:sz w:val="28"/>
          <w:szCs w:val="28"/>
          <w:lang w:eastAsia="zh-CN"/>
        </w:rPr>
        <w:t>20</w:t>
      </w:r>
      <w:r>
        <w:rPr>
          <w:rFonts w:eastAsia="宋体" w:hint="eastAsia"/>
          <w:b/>
          <w:sz w:val="28"/>
          <w:szCs w:val="28"/>
          <w:lang w:eastAsia="zh-CN"/>
        </w:rPr>
        <w:t>25）</w:t>
      </w:r>
      <w:bookmarkEnd w:id="1"/>
    </w:p>
    <w:p>
      <w:pPr>
        <w:widowControl/>
        <w:ind w:firstLine="480" w:firstLineChars="200"/>
        <w:jc w:val="left"/>
        <w:rPr>
          <w:rFonts w:ascii="宋体" w:eastAsia="宋体" w:hAnsi="宋体"/>
          <w:color w:val="FF0000"/>
          <w:szCs w:val="21"/>
          <w:lang w:eastAsia="zh-CN"/>
        </w:rPr>
      </w:pPr>
      <w:r>
        <w:rPr>
          <w:rFonts w:eastAsia="宋体" w:hint="eastAsia"/>
          <w:lang w:eastAsia="zh-CN"/>
        </w:rPr>
        <w:br w:type="page"/>
      </w:r>
      <w:r>
        <w:rPr>
          <w:rFonts w:ascii="宋体" w:eastAsia="黑体" w:hAnsi="宋体" w:hint="eastAsia"/>
          <w:b/>
          <w:bCs/>
          <w:color w:val="FF0000"/>
          <w:kern w:val="44"/>
          <w:sz w:val="28"/>
          <w:szCs w:val="44"/>
          <w:lang w:eastAsia="zh-CN"/>
        </w:rPr>
        <w:t>警示条款</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一、</w:t>
      </w:r>
      <w:r>
        <w:rPr>
          <w:rFonts w:ascii="宋体" w:eastAsia="宋体" w:hAnsi="宋体" w:hint="eastAsia"/>
          <w:b/>
          <w:bCs/>
          <w:color w:val="FF0000"/>
          <w:sz w:val="20"/>
          <w:szCs w:val="20"/>
          <w:lang w:eastAsia="zh-CN"/>
        </w:rPr>
        <w:t>《深圳经济特区政府采购条例》第五十七条</w:t>
      </w:r>
      <w:r>
        <w:rPr>
          <w:rFonts w:ascii="宋体" w:eastAsia="宋体" w:hAnsi="宋体" w:hint="eastAsia"/>
          <w:color w:val="FF0000"/>
          <w:sz w:val="20"/>
          <w:szCs w:val="20"/>
          <w:lang w:eastAsia="zh-CN"/>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（一）在采购活动中应当回避而未回避的；</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（二）未按本条例规定签订、履行采购合同，造成严重后果的；</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（三）隐瞒真实情况，提供虚假资料的；</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（四）以非法手段排斥其他供应商参与竞争的；</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（五）与其他采购参加人串通投标的；</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（六）恶意投诉的；</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（七）向采购项目相关人行贿或者提供其他不当利益的；</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（八）阻碍、抗拒主管部门监督检查的；</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（九）其他违反本条例规定的行为。</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b/>
          <w:bCs/>
          <w:color w:val="FF0000"/>
          <w:sz w:val="20"/>
          <w:szCs w:val="20"/>
          <w:lang w:eastAsia="zh-CN"/>
        </w:rPr>
        <w:t>二、《深圳经济特区政府采购条例实施细则》第七十五条 </w:t>
      </w:r>
      <w:r>
        <w:rPr>
          <w:rFonts w:ascii="宋体" w:eastAsia="宋体" w:hAnsi="宋体" w:hint="eastAsia"/>
          <w:color w:val="FF0000"/>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b/>
          <w:bCs/>
          <w:color w:val="FF0000"/>
          <w:sz w:val="20"/>
          <w:szCs w:val="20"/>
          <w:lang w:eastAsia="zh-CN"/>
        </w:rPr>
        <w:t>三、《深圳经济特区政府采购条例实施细则》第七十七条 </w:t>
      </w:r>
      <w:r>
        <w:rPr>
          <w:rFonts w:ascii="宋体" w:eastAsia="宋体" w:hAnsi="宋体" w:hint="eastAsia"/>
          <w:color w:val="FF0000"/>
          <w:sz w:val="20"/>
          <w:szCs w:val="20"/>
          <w:lang w:eastAsia="zh-CN"/>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投标供应商不能提供项目负责人或者主要技术人员的劳动合同、社会保险等劳动关系证明材料的，视为存在前款第（三）项规定的情形。</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四、请投标供应商阅读《政府采购违法行为风险知悉确认书》 （内容详见“投标文件附件（信息不公开部分）”</w:t>
      </w:r>
      <w:r>
        <w:rPr>
          <w:rFonts w:ascii="Calibri" w:eastAsia="宋体" w:hAnsi="Calibri" w:cstheme="minorBidi" w:hint="eastAsia"/>
          <w:color w:val="FF0000"/>
          <w:kern w:val="2"/>
          <w:sz w:val="21"/>
          <w:szCs w:val="22"/>
          <w:lang w:eastAsia="zh-CN"/>
        </w:rPr>
        <w:t xml:space="preserve"> </w:t>
      </w:r>
      <w:r>
        <w:rPr>
          <w:rFonts w:ascii="宋体" w:eastAsia="宋体" w:hAnsi="宋体" w:hint="eastAsia"/>
          <w:color w:val="FF0000"/>
          <w:sz w:val="20"/>
          <w:szCs w:val="20"/>
          <w:lang w:eastAsia="zh-CN"/>
        </w:rPr>
        <w:t>中节点“投标人认为需要说明的其他内容（格式自定）”），并经各投标供应商负责人或投标授权代表签字并加盖单位公章后， 扫描上传至投标文件一并提交。</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注：该风险知悉确认书用于对供应商违法行为的警示，不作为供应商资格性审查及符合性审查条件。</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为避免出现不同供应商投标文件的文件制作机器码、文件创建标识码、IP 地址一致的异常情况，建议各供应商编制、上传投标文件时不要使用公共电脑设备或公共网络。</w:t>
      </w:r>
    </w:p>
    <w:p>
      <w:pPr>
        <w:widowControl/>
        <w:ind w:firstLine="400" w:firstLineChars="200"/>
        <w:jc w:val="left"/>
        <w:rPr>
          <w:rFonts w:ascii="宋体" w:eastAsia="宋体" w:hAnsi="宋体"/>
          <w:color w:val="FF0000"/>
          <w:sz w:val="20"/>
          <w:szCs w:val="20"/>
          <w:lang w:eastAsia="zh-CN"/>
        </w:rPr>
      </w:pPr>
      <w:r>
        <w:rPr>
          <w:rFonts w:ascii="宋体" w:eastAsia="宋体" w:hAnsi="宋体" w:hint="eastAsia"/>
          <w:color w:val="FF0000"/>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取消参与本市政府采购资格、依法吊销其营业执照等行政处罚，构成犯罪的，依法追究刑事责任，请各供应商独立编制、上传投标文件，妥善保管和使用电子秘钥。</w:t>
      </w:r>
    </w:p>
    <w:p>
      <w:pPr>
        <w:widowControl/>
        <w:jc w:val="left"/>
        <w:rPr>
          <w:rFonts w:eastAsia="宋体"/>
          <w:color w:val="FF0000"/>
          <w:lang w:eastAsia="zh-CN"/>
        </w:rPr>
      </w:pPr>
      <w:r>
        <w:rPr>
          <w:rFonts w:eastAsia="宋体"/>
          <w:color w:val="FF0000"/>
          <w:lang w:eastAsia="zh-CN"/>
        </w:rPr>
        <w:br w:type="page"/>
      </w:r>
    </w:p>
    <w:p>
      <w:pPr>
        <w:keepNext/>
        <w:keepLines/>
        <w:widowControl/>
        <w:spacing w:before="340" w:after="330" w:line="360" w:lineRule="auto"/>
        <w:jc w:val="center"/>
        <w:outlineLvl w:val="0"/>
        <w:rPr>
          <w:rFonts w:ascii="宋体" w:eastAsia="黑体" w:hAnsi="宋体"/>
          <w:b/>
          <w:bCs/>
          <w:kern w:val="44"/>
          <w:sz w:val="28"/>
          <w:szCs w:val="44"/>
          <w:lang w:eastAsia="zh-CN"/>
        </w:rPr>
      </w:pPr>
      <w:r>
        <w:rPr>
          <w:rFonts w:ascii="宋体" w:eastAsia="黑体" w:hAnsi="宋体" w:hint="eastAsia"/>
          <w:b/>
          <w:bCs/>
          <w:kern w:val="44"/>
          <w:sz w:val="28"/>
          <w:szCs w:val="44"/>
          <w:lang w:eastAsia="zh-CN"/>
        </w:rPr>
        <w:t>目   录</w:t>
      </w:r>
    </w:p>
    <w:p>
      <w:pPr>
        <w:widowControl/>
        <w:jc w:val="left"/>
        <w:outlineLvl w:val="0"/>
        <w:rPr>
          <w:rFonts w:eastAsia="宋体"/>
          <w:b/>
          <w:lang w:eastAsia="zh-CN"/>
        </w:rPr>
      </w:pPr>
      <w:r>
        <w:rPr>
          <w:rFonts w:eastAsia="宋体" w:hint="eastAsia"/>
          <w:b/>
          <w:lang w:eastAsia="zh-CN"/>
        </w:rPr>
        <w:t>第一册  专用条款</w:t>
      </w:r>
    </w:p>
    <w:p>
      <w:pPr>
        <w:widowControl/>
        <w:jc w:val="left"/>
        <w:rPr>
          <w:rFonts w:eastAsia="宋体"/>
          <w:lang w:eastAsia="zh-CN"/>
        </w:rPr>
      </w:pPr>
      <w:r>
        <w:rPr>
          <w:rFonts w:eastAsia="宋体" w:hint="eastAsia"/>
          <w:lang w:eastAsia="zh-CN"/>
        </w:rPr>
        <w:t xml:space="preserve">          关键信息</w:t>
      </w:r>
    </w:p>
    <w:p>
      <w:pPr>
        <w:widowControl/>
        <w:jc w:val="left"/>
        <w:rPr>
          <w:rFonts w:ascii="宋体" w:eastAsia="宋体" w:hAnsi="宋体"/>
          <w:szCs w:val="21"/>
          <w:lang w:eastAsia="zh-CN"/>
        </w:rPr>
      </w:pPr>
      <w:r>
        <w:rPr>
          <w:rFonts w:ascii="宋体" w:eastAsia="宋体" w:hAnsi="宋体" w:hint="eastAsia"/>
          <w:szCs w:val="21"/>
          <w:lang w:eastAsia="zh-CN"/>
        </w:rPr>
        <w:t>第一章  招标公告</w:t>
      </w:r>
    </w:p>
    <w:p>
      <w:pPr>
        <w:widowControl/>
        <w:jc w:val="left"/>
        <w:rPr>
          <w:rFonts w:ascii="宋体" w:eastAsia="宋体" w:hAnsi="宋体"/>
          <w:szCs w:val="21"/>
          <w:lang w:eastAsia="zh-CN"/>
        </w:rPr>
      </w:pPr>
      <w:r>
        <w:rPr>
          <w:rFonts w:ascii="宋体" w:eastAsia="宋体" w:hAnsi="宋体" w:hint="eastAsia"/>
          <w:szCs w:val="21"/>
          <w:lang w:eastAsia="zh-CN"/>
        </w:rPr>
        <w:t xml:space="preserve">第二章  </w:t>
      </w:r>
      <w:bookmarkStart w:id="2" w:name="_Hlk71994379"/>
      <w:r>
        <w:rPr>
          <w:rFonts w:ascii="宋体" w:eastAsia="宋体" w:hAnsi="宋体" w:hint="eastAsia"/>
          <w:szCs w:val="21"/>
          <w:lang w:eastAsia="zh-CN"/>
        </w:rPr>
        <w:t>对通用条款的补充内容及其他关键信息</w:t>
      </w:r>
      <w:bookmarkEnd w:id="2"/>
    </w:p>
    <w:p>
      <w:pPr>
        <w:widowControl/>
        <w:jc w:val="left"/>
        <w:rPr>
          <w:rFonts w:ascii="宋体" w:eastAsia="宋体" w:hAnsi="宋体"/>
          <w:szCs w:val="21"/>
          <w:lang w:eastAsia="zh-CN"/>
        </w:rPr>
      </w:pPr>
      <w:r>
        <w:rPr>
          <w:rFonts w:ascii="宋体" w:eastAsia="宋体" w:hAnsi="宋体" w:hint="eastAsia"/>
          <w:szCs w:val="21"/>
          <w:lang w:eastAsia="zh-CN"/>
        </w:rPr>
        <w:t xml:space="preserve">第三章 </w:t>
      </w:r>
      <w:r>
        <w:rPr>
          <w:rFonts w:ascii="宋体" w:eastAsia="宋体" w:hAnsi="宋体"/>
          <w:szCs w:val="21"/>
          <w:lang w:eastAsia="zh-CN"/>
        </w:rPr>
        <w:t xml:space="preserve"> </w:t>
      </w:r>
      <w:r>
        <w:rPr>
          <w:rFonts w:ascii="宋体" w:eastAsia="宋体" w:hAnsi="宋体" w:hint="eastAsia"/>
          <w:szCs w:val="21"/>
          <w:lang w:eastAsia="zh-CN"/>
        </w:rPr>
        <w:t>用户需求书</w:t>
      </w:r>
    </w:p>
    <w:p>
      <w:pPr>
        <w:widowControl/>
        <w:jc w:val="left"/>
        <w:rPr>
          <w:rFonts w:ascii="宋体" w:eastAsia="宋体" w:hAnsi="宋体"/>
          <w:szCs w:val="21"/>
          <w:lang w:eastAsia="zh-CN"/>
        </w:rPr>
      </w:pPr>
      <w:r>
        <w:rPr>
          <w:rFonts w:ascii="宋体" w:eastAsia="宋体" w:hAnsi="宋体" w:hint="eastAsia"/>
          <w:szCs w:val="21"/>
          <w:lang w:eastAsia="zh-CN"/>
        </w:rPr>
        <w:t xml:space="preserve">第四章 </w:t>
      </w:r>
      <w:r>
        <w:rPr>
          <w:rFonts w:ascii="宋体" w:eastAsia="宋体" w:hAnsi="宋体"/>
          <w:szCs w:val="21"/>
          <w:lang w:eastAsia="zh-CN"/>
        </w:rPr>
        <w:t xml:space="preserve"> </w:t>
      </w:r>
      <w:r>
        <w:rPr>
          <w:rFonts w:ascii="宋体" w:eastAsia="宋体" w:hAnsi="宋体" w:hint="eastAsia"/>
          <w:szCs w:val="21"/>
          <w:lang w:eastAsia="zh-CN"/>
        </w:rPr>
        <w:t>投标文件组成要求及格式</w:t>
      </w:r>
    </w:p>
    <w:p>
      <w:pPr>
        <w:widowControl/>
        <w:jc w:val="left"/>
        <w:rPr>
          <w:rFonts w:ascii="宋体" w:eastAsia="宋体" w:hAnsi="宋体"/>
          <w:szCs w:val="21"/>
          <w:lang w:eastAsia="zh-CN"/>
        </w:rPr>
      </w:pPr>
      <w:r>
        <w:rPr>
          <w:rFonts w:ascii="宋体" w:eastAsia="宋体" w:hAnsi="宋体" w:hint="eastAsia"/>
          <w:szCs w:val="21"/>
          <w:lang w:eastAsia="zh-CN"/>
        </w:rPr>
        <w:t>第五章  合同条款及格式</w:t>
      </w:r>
    </w:p>
    <w:p>
      <w:pPr>
        <w:widowControl/>
        <w:jc w:val="left"/>
        <w:rPr>
          <w:rFonts w:eastAsia="宋体"/>
          <w:b/>
          <w:lang w:eastAsia="zh-CN"/>
        </w:rPr>
      </w:pPr>
    </w:p>
    <w:p>
      <w:pPr>
        <w:widowControl/>
        <w:jc w:val="left"/>
        <w:outlineLvl w:val="0"/>
        <w:rPr>
          <w:rFonts w:eastAsia="宋体"/>
          <w:b/>
          <w:lang w:eastAsia="zh-CN"/>
        </w:rPr>
      </w:pPr>
      <w:r>
        <w:rPr>
          <w:rFonts w:eastAsia="宋体" w:hint="eastAsia"/>
          <w:b/>
          <w:lang w:eastAsia="zh-CN"/>
        </w:rPr>
        <w:t>第二册  通用条款</w:t>
      </w:r>
    </w:p>
    <w:p>
      <w:pPr>
        <w:widowControl/>
        <w:jc w:val="left"/>
        <w:rPr>
          <w:rFonts w:ascii="宋体" w:eastAsia="宋体" w:hAnsi="宋体"/>
          <w:szCs w:val="21"/>
          <w:lang w:eastAsia="zh-CN"/>
        </w:rPr>
      </w:pPr>
      <w:r>
        <w:rPr>
          <w:rFonts w:ascii="宋体" w:eastAsia="宋体" w:hAnsi="宋体" w:hint="eastAsia"/>
          <w:szCs w:val="21"/>
          <w:lang w:eastAsia="zh-CN"/>
        </w:rPr>
        <w:t>第一章  总则</w:t>
      </w:r>
    </w:p>
    <w:p>
      <w:pPr>
        <w:widowControl/>
        <w:jc w:val="left"/>
        <w:rPr>
          <w:rFonts w:ascii="宋体" w:eastAsia="宋体" w:hAnsi="宋体"/>
          <w:szCs w:val="21"/>
          <w:lang w:eastAsia="zh-CN"/>
        </w:rPr>
      </w:pPr>
      <w:r>
        <w:rPr>
          <w:rFonts w:ascii="宋体" w:eastAsia="宋体" w:hAnsi="宋体" w:hint="eastAsia"/>
          <w:szCs w:val="21"/>
          <w:lang w:eastAsia="zh-CN"/>
        </w:rPr>
        <w:t>第二章  招标文件</w:t>
      </w:r>
    </w:p>
    <w:p>
      <w:pPr>
        <w:widowControl/>
        <w:jc w:val="left"/>
        <w:rPr>
          <w:rFonts w:ascii="宋体" w:eastAsia="宋体" w:hAnsi="宋体"/>
          <w:szCs w:val="21"/>
          <w:lang w:eastAsia="zh-CN"/>
        </w:rPr>
      </w:pPr>
      <w:r>
        <w:rPr>
          <w:rFonts w:ascii="宋体" w:eastAsia="宋体" w:hAnsi="宋体" w:hint="eastAsia"/>
          <w:szCs w:val="21"/>
          <w:lang w:eastAsia="zh-CN"/>
        </w:rPr>
        <w:t>第三章  投标文件的编制</w:t>
      </w:r>
    </w:p>
    <w:p>
      <w:pPr>
        <w:widowControl/>
        <w:jc w:val="left"/>
        <w:rPr>
          <w:rFonts w:ascii="宋体" w:eastAsia="宋体" w:hAnsi="宋体"/>
          <w:szCs w:val="21"/>
          <w:lang w:eastAsia="zh-CN"/>
        </w:rPr>
      </w:pPr>
      <w:r>
        <w:rPr>
          <w:rFonts w:ascii="宋体" w:eastAsia="宋体" w:hAnsi="宋体" w:hint="eastAsia"/>
          <w:szCs w:val="21"/>
          <w:lang w:eastAsia="zh-CN"/>
        </w:rPr>
        <w:t>第四章  投标文件的递交</w:t>
      </w:r>
    </w:p>
    <w:p>
      <w:pPr>
        <w:widowControl/>
        <w:jc w:val="left"/>
        <w:rPr>
          <w:rFonts w:ascii="宋体" w:eastAsia="宋体" w:hAnsi="宋体"/>
          <w:szCs w:val="21"/>
          <w:lang w:eastAsia="zh-CN"/>
        </w:rPr>
      </w:pPr>
      <w:r>
        <w:rPr>
          <w:rFonts w:ascii="宋体" w:eastAsia="宋体" w:hAnsi="宋体" w:hint="eastAsia"/>
          <w:szCs w:val="21"/>
          <w:lang w:eastAsia="zh-CN"/>
        </w:rPr>
        <w:t>第五章  开标</w:t>
      </w:r>
    </w:p>
    <w:p>
      <w:pPr>
        <w:widowControl/>
        <w:jc w:val="left"/>
        <w:rPr>
          <w:rFonts w:ascii="宋体" w:eastAsia="宋体" w:hAnsi="宋体"/>
          <w:szCs w:val="21"/>
          <w:lang w:eastAsia="zh-CN"/>
        </w:rPr>
      </w:pPr>
      <w:r>
        <w:rPr>
          <w:rFonts w:ascii="宋体" w:eastAsia="宋体" w:hAnsi="宋体" w:hint="eastAsia"/>
          <w:szCs w:val="21"/>
          <w:lang w:eastAsia="zh-CN"/>
        </w:rPr>
        <w:t>第六章  评审要求</w:t>
      </w:r>
    </w:p>
    <w:p>
      <w:pPr>
        <w:widowControl/>
        <w:jc w:val="left"/>
        <w:rPr>
          <w:rFonts w:ascii="宋体" w:eastAsia="宋体" w:hAnsi="宋体"/>
          <w:szCs w:val="21"/>
          <w:lang w:eastAsia="zh-CN"/>
        </w:rPr>
      </w:pPr>
      <w:r>
        <w:rPr>
          <w:rFonts w:ascii="宋体" w:eastAsia="宋体" w:hAnsi="宋体" w:hint="eastAsia"/>
          <w:szCs w:val="21"/>
          <w:lang w:eastAsia="zh-CN"/>
        </w:rPr>
        <w:t>第七章  评审程序及评审方法</w:t>
      </w:r>
    </w:p>
    <w:p>
      <w:pPr>
        <w:widowControl/>
        <w:jc w:val="left"/>
        <w:rPr>
          <w:rFonts w:ascii="宋体" w:eastAsia="宋体" w:hAnsi="宋体"/>
          <w:szCs w:val="21"/>
          <w:lang w:eastAsia="zh-CN"/>
        </w:rPr>
      </w:pPr>
      <w:r>
        <w:rPr>
          <w:rFonts w:ascii="宋体" w:eastAsia="宋体" w:hAnsi="宋体" w:hint="eastAsia"/>
          <w:szCs w:val="21"/>
          <w:lang w:eastAsia="zh-CN"/>
        </w:rPr>
        <w:t>第八章  定标及公示</w:t>
      </w:r>
    </w:p>
    <w:p>
      <w:pPr>
        <w:widowControl/>
        <w:jc w:val="left"/>
        <w:rPr>
          <w:rFonts w:ascii="宋体" w:eastAsia="宋体" w:hAnsi="宋体"/>
          <w:szCs w:val="21"/>
          <w:lang w:eastAsia="zh-CN"/>
        </w:rPr>
      </w:pPr>
      <w:r>
        <w:rPr>
          <w:rFonts w:ascii="宋体" w:eastAsia="宋体" w:hAnsi="宋体" w:hint="eastAsia"/>
          <w:szCs w:val="21"/>
          <w:lang w:eastAsia="zh-CN"/>
        </w:rPr>
        <w:t>第九章  公开招标失败的后续处理</w:t>
      </w:r>
    </w:p>
    <w:p>
      <w:pPr>
        <w:widowControl/>
        <w:jc w:val="left"/>
        <w:rPr>
          <w:rFonts w:ascii="宋体" w:eastAsia="宋体" w:hAnsi="宋体"/>
          <w:szCs w:val="21"/>
          <w:lang w:eastAsia="zh-CN"/>
        </w:rPr>
      </w:pPr>
      <w:r>
        <w:rPr>
          <w:rFonts w:ascii="宋体" w:eastAsia="宋体" w:hAnsi="宋体" w:hint="eastAsia"/>
          <w:szCs w:val="21"/>
          <w:lang w:eastAsia="zh-CN"/>
        </w:rPr>
        <w:t>第十章  合同的授予与备案</w:t>
      </w:r>
    </w:p>
    <w:p>
      <w:pPr>
        <w:widowControl/>
        <w:jc w:val="left"/>
        <w:rPr>
          <w:rFonts w:eastAsia="宋体"/>
          <w:b/>
          <w:lang w:eastAsia="zh-CN"/>
        </w:rPr>
      </w:pPr>
      <w:r>
        <w:rPr>
          <w:rFonts w:eastAsia="宋体" w:hint="eastAsia"/>
          <w:lang w:eastAsia="zh-CN"/>
        </w:rPr>
        <w:t>第十一章  质疑处理</w:t>
      </w:r>
    </w:p>
    <w:p>
      <w:pPr>
        <w:widowControl/>
        <w:spacing w:line="360" w:lineRule="auto"/>
        <w:jc w:val="left"/>
        <w:rPr>
          <w:rFonts w:ascii="宋体" w:eastAsia="宋体" w:hAnsi="宋体"/>
          <w:szCs w:val="21"/>
          <w:lang w:eastAsia="zh-CN"/>
        </w:rPr>
      </w:pPr>
    </w:p>
    <w:p>
      <w:pPr>
        <w:keepNext/>
        <w:keepLines/>
        <w:widowControl/>
        <w:spacing w:before="340" w:after="330" w:line="360" w:lineRule="auto"/>
        <w:jc w:val="center"/>
        <w:outlineLvl w:val="0"/>
        <w:rPr>
          <w:rFonts w:ascii="宋体" w:eastAsia="黑体" w:hAnsi="宋体"/>
          <w:b/>
          <w:bCs/>
          <w:kern w:val="44"/>
          <w:szCs w:val="44"/>
          <w:lang w:eastAsia="zh-CN"/>
        </w:rPr>
      </w:pPr>
      <w:r>
        <w:rPr>
          <w:rFonts w:ascii="宋体" w:eastAsia="黑体" w:hAnsi="宋体"/>
          <w:b/>
          <w:bCs/>
          <w:kern w:val="44"/>
          <w:sz w:val="28"/>
          <w:szCs w:val="44"/>
          <w:lang w:eastAsia="zh-CN"/>
        </w:rPr>
        <w:br w:type="page"/>
      </w:r>
      <w:bookmarkStart w:id="3" w:name="bt合同条款"/>
      <w:bookmarkEnd w:id="3"/>
      <w:bookmarkStart w:id="4" w:name="bt投标人须知"/>
      <w:bookmarkEnd w:id="4"/>
      <w:bookmarkStart w:id="5" w:name="bt合同条款及格式"/>
      <w:bookmarkEnd w:id="5"/>
      <w:bookmarkStart w:id="6" w:name="bt其他资料2"/>
      <w:bookmarkEnd w:id="6"/>
      <w:bookmarkStart w:id="7" w:name="bt投标人情况介绍"/>
      <w:bookmarkEnd w:id="7"/>
      <w:bookmarkStart w:id="8" w:name="bt投标报价汇总表"/>
      <w:bookmarkEnd w:id="8"/>
      <w:bookmarkStart w:id="9" w:name="bt商务标投标文件格式"/>
      <w:bookmarkEnd w:id="9"/>
      <w:bookmarkStart w:id="10" w:name="bt合同格式"/>
      <w:bookmarkEnd w:id="10"/>
      <w:bookmarkStart w:id="11" w:name="bt其他资料由投标人自定"/>
      <w:bookmarkEnd w:id="11"/>
      <w:bookmarkStart w:id="12" w:name="bt说明"/>
      <w:bookmarkEnd w:id="12"/>
      <w:bookmarkStart w:id="13" w:name="bt投标文件签署授权委托书"/>
      <w:bookmarkEnd w:id="13"/>
      <w:bookmarkStart w:id="14" w:name="bt项目管理班子配备情况"/>
      <w:bookmarkEnd w:id="14"/>
      <w:bookmarkStart w:id="15" w:name="bt投标函"/>
      <w:bookmarkEnd w:id="15"/>
      <w:bookmarkStart w:id="16" w:name="bt本工程承诺书"/>
      <w:bookmarkEnd w:id="16"/>
      <w:bookmarkStart w:id="17" w:name="bt开标一览表"/>
      <w:bookmarkEnd w:id="17"/>
      <w:bookmarkStart w:id="18" w:name="bt技术标投标文件格式"/>
      <w:bookmarkEnd w:id="18"/>
      <w:bookmarkStart w:id="19" w:name="合同格式"/>
      <w:bookmarkEnd w:id="19"/>
      <w:r>
        <w:rPr>
          <w:rFonts w:ascii="宋体" w:eastAsia="黑体" w:hAnsi="宋体" w:hint="eastAsia"/>
          <w:b/>
          <w:bCs/>
          <w:kern w:val="44"/>
          <w:sz w:val="28"/>
          <w:szCs w:val="44"/>
          <w:lang w:eastAsia="zh-CN"/>
        </w:rPr>
        <w:t>第一册 专用条款</w:t>
      </w:r>
    </w:p>
    <w:p>
      <w:pPr>
        <w:keepNext/>
        <w:keepLines/>
        <w:widowControl/>
        <w:adjustRightInd w:val="0"/>
        <w:spacing w:before="260" w:after="260"/>
        <w:jc w:val="center"/>
        <w:textAlignment w:val="baseline"/>
        <w:outlineLvl w:val="1"/>
        <w:rPr>
          <w:rFonts w:ascii="宋体" w:eastAsia="宋体" w:hAnsi="宋体"/>
          <w:b/>
          <w:bCs/>
          <w:szCs w:val="20"/>
          <w:lang w:eastAsia="zh-CN"/>
        </w:rPr>
      </w:pPr>
      <w:r>
        <w:rPr>
          <w:rFonts w:ascii="宋体" w:eastAsia="宋体" w:hAnsi="宋体" w:hint="eastAsia"/>
          <w:b/>
          <w:bCs/>
          <w:szCs w:val="20"/>
          <w:lang w:eastAsia="zh-CN"/>
        </w:rPr>
        <w:t xml:space="preserve">第一章  招标公告  </w:t>
      </w:r>
    </w:p>
    <w:tbl>
      <w:tblPr>
        <w:tblStyle w:val="TableNormal"/>
        <w:tblW w:w="5000" w:type="pct"/>
        <w:jc w:val="center"/>
        <w:tblCellSpacing w:w="0" w:type="dxa"/>
        <w:tblLayout w:type="fixed"/>
        <w:tblCellMar>
          <w:top w:w="0" w:type="dxa"/>
          <w:left w:w="0" w:type="dxa"/>
          <w:bottom w:w="0" w:type="dxa"/>
          <w:right w:w="0" w:type="dxa"/>
        </w:tblCellMar>
      </w:tblPr>
      <w:tblGrid>
        <w:gridCol w:w="8306"/>
      </w:tblGrid>
      <w:tr>
        <w:tblPrEx>
          <w:tblW w:w="5000" w:type="pct"/>
          <w:jc w:val="center"/>
          <w:tblCellSpacing w:w="0" w:type="dxa"/>
          <w:tblLayout w:type="fixed"/>
          <w:tblCellMar>
            <w:top w:w="0" w:type="dxa"/>
            <w:left w:w="0" w:type="dxa"/>
            <w:bottom w:w="0" w:type="dxa"/>
            <w:right w:w="0" w:type="dxa"/>
          </w:tblCellMar>
        </w:tblPrEx>
        <w:trPr>
          <w:tblCellSpacing w:w="0" w:type="dxa"/>
          <w:jc w:val="center"/>
        </w:trPr>
        <w:tc>
          <w:tcPr>
            <w:tcW w:w="8140" w:type="dxa"/>
            <w:vAlign w:val="center"/>
          </w:tcPr>
          <w:tbl>
            <w:tblPr>
              <w:tblStyle w:val="TableNormal"/>
              <w:tblW w:w="5000" w:type="pct"/>
              <w:jc w:val="center"/>
              <w:tblCellSpacing w:w="0" w:type="dxa"/>
              <w:tblLayout w:type="fixed"/>
              <w:tblCellMar>
                <w:top w:w="30" w:type="dxa"/>
                <w:left w:w="30" w:type="dxa"/>
                <w:bottom w:w="30" w:type="dxa"/>
                <w:right w:w="30" w:type="dxa"/>
              </w:tblCellMar>
            </w:tblPr>
            <w:tblGrid>
              <w:gridCol w:w="8306"/>
            </w:tblGrid>
            <w:tr>
              <w:tblPrEx>
                <w:tblW w:w="5000" w:type="pct"/>
                <w:jc w:val="center"/>
                <w:tblCellSpacing w:w="0" w:type="dxa"/>
                <w:tblLayout w:type="fixed"/>
                <w:tblCellMar>
                  <w:top w:w="30" w:type="dxa"/>
                  <w:left w:w="30" w:type="dxa"/>
                  <w:bottom w:w="30" w:type="dxa"/>
                  <w:right w:w="30" w:type="dxa"/>
                </w:tblCellMar>
              </w:tblPrEx>
              <w:trPr>
                <w:tblCellSpacing w:w="0" w:type="dxa"/>
                <w:jc w:val="center"/>
              </w:trPr>
              <w:tc>
                <w:tcPr>
                  <w:tcW w:w="8140" w:type="dxa"/>
                </w:tcPr>
                <w:p>
                  <w:pPr>
                    <w:widowControl/>
                    <w:spacing w:line="360" w:lineRule="auto"/>
                    <w:jc w:val="left"/>
                    <w:rPr>
                      <w:rFonts w:ascii="宋体" w:eastAsia="宋体" w:hAnsi="宋体" w:cs="宋体"/>
                      <w:szCs w:val="21"/>
                      <w:lang w:eastAsia="zh-CN"/>
                    </w:rPr>
                  </w:pPr>
                  <w:r>
                    <w:rPr>
                      <w:rFonts w:ascii="宋体" w:eastAsia="宋体" w:hAnsi="宋体" w:cs="宋体" w:hint="eastAsia"/>
                      <w:szCs w:val="21"/>
                      <w:lang w:eastAsia="zh-CN"/>
                    </w:rPr>
                    <w:t>申请人的资格要求：</w:t>
                  </w:r>
                </w:p>
                <w:p>
                  <w:pPr>
                    <w:widowControl/>
                    <w:spacing w:before="78" w:beforeLines="25" w:after="78" w:afterLines="25" w:line="360" w:lineRule="auto"/>
                    <w:ind w:firstLine="480" w:firstLineChars="200"/>
                    <w:jc w:val="left"/>
                    <w:rPr>
                      <w:rFonts w:ascii="宋体" w:eastAsia="宋体" w:hAnsi="宋体"/>
                      <w:szCs w:val="20"/>
                      <w:lang w:eastAsia="zh-CN"/>
                    </w:rPr>
                  </w:pPr>
                  <w:r>
                    <w:rPr>
                      <w:rFonts w:ascii="宋体" w:eastAsia="宋体" w:hAnsi="宋体" w:hint="eastAsia"/>
                      <w:szCs w:val="20"/>
                      <w:lang w:eastAsia="zh-CN"/>
                    </w:rPr>
                    <w:t>1.具有独立承担民事责任的能力（提供营业执照或事业单位法人证书等证明资料扫描件；分支机构参与投标的，须同时提供总公司授权文件且授权书载明其民事责任由总公司承担，提供总公司及分支机构的营业执照扫描件，总公司或者分支机构只允许一家投标，不允许同时参与本项目投标）；</w:t>
                  </w:r>
                  <w:r>
                    <w:rPr>
                      <w:rFonts w:ascii="宋体" w:eastAsia="宋体" w:hAnsi="宋体"/>
                      <w:szCs w:val="20"/>
                      <w:lang w:eastAsia="zh-CN"/>
                    </w:rPr>
                    <w:t xml:space="preserve"> </w:t>
                  </w:r>
                </w:p>
                <w:p>
                  <w:pPr>
                    <w:widowControl/>
                    <w:spacing w:before="78" w:beforeLines="25" w:after="78" w:afterLines="25" w:line="360" w:lineRule="auto"/>
                    <w:ind w:firstLine="480" w:firstLineChars="200"/>
                    <w:jc w:val="left"/>
                    <w:rPr>
                      <w:rFonts w:ascii="宋体" w:eastAsia="宋体" w:hAnsi="宋体"/>
                      <w:szCs w:val="20"/>
                      <w:lang w:eastAsia="zh-CN"/>
                    </w:rPr>
                  </w:pPr>
                  <w:r>
                    <w:rPr>
                      <w:rFonts w:ascii="宋体" w:eastAsia="宋体" w:hAnsi="宋体" w:hint="eastAsia"/>
                      <w:szCs w:val="20"/>
                      <w:lang w:eastAsia="zh-CN"/>
                    </w:rPr>
                    <w:t>2.本项目</w:t>
                  </w:r>
                  <w:r>
                    <w:rPr>
                      <w:rFonts w:ascii="宋体" w:eastAsia="宋体" w:hAnsi="宋体" w:hint="eastAsia"/>
                      <w:szCs w:val="20"/>
                      <w:lang w:eastAsia="zh-CN"/>
                    </w:rPr>
                    <w:t>不接受联合体投标，不接受</w:t>
                  </w:r>
                  <w:r>
                    <w:rPr>
                      <w:rFonts w:ascii="宋体" w:eastAsia="宋体" w:hAnsi="宋体" w:hint="eastAsia"/>
                      <w:szCs w:val="20"/>
                      <w:lang w:eastAsia="zh-CN"/>
                    </w:rPr>
                    <w:t>投标人选用进口产品参与投标；</w:t>
                  </w:r>
                </w:p>
                <w:p>
                  <w:pPr>
                    <w:widowControl/>
                    <w:spacing w:before="78" w:beforeLines="25" w:after="78" w:afterLines="25" w:line="360" w:lineRule="auto"/>
                    <w:ind w:firstLine="480" w:firstLineChars="200"/>
                    <w:jc w:val="left"/>
                    <w:rPr>
                      <w:rFonts w:ascii="宋体" w:eastAsia="宋体" w:hAnsi="宋体"/>
                      <w:szCs w:val="20"/>
                      <w:lang w:eastAsia="zh-CN"/>
                    </w:rPr>
                  </w:pPr>
                  <w:r>
                    <w:rPr>
                      <w:rFonts w:ascii="宋体" w:eastAsia="宋体" w:hAnsi="宋体" w:hint="eastAsia"/>
                      <w:szCs w:val="20"/>
                      <w:lang w:eastAsia="zh-CN"/>
                    </w:rPr>
                    <w:t>3.参与本项目政府采购活动时不存在被有关部门禁止参与政府采购活动且在有效期内的情况（由供应商在《政府采购投标及履约承诺函》中作出声明）；</w:t>
                  </w:r>
                </w:p>
                <w:p>
                  <w:pPr>
                    <w:widowControl/>
                    <w:spacing w:before="78" w:beforeLines="25" w:after="78" w:afterLines="25" w:line="360" w:lineRule="auto"/>
                    <w:ind w:firstLine="480" w:firstLineChars="200"/>
                    <w:jc w:val="left"/>
                    <w:rPr>
                      <w:rFonts w:ascii="宋体" w:eastAsia="宋体" w:hAnsi="宋体"/>
                      <w:szCs w:val="20"/>
                      <w:lang w:eastAsia="zh-CN"/>
                    </w:rPr>
                  </w:pPr>
                  <w:r>
                    <w:rPr>
                      <w:rFonts w:ascii="宋体" w:eastAsia="宋体" w:hAnsi="宋体" w:hint="eastAsia"/>
                      <w:szCs w:val="20"/>
                      <w:lang w:eastAsia="zh-CN"/>
                    </w:rPr>
                    <w:t>4.具备《中华人民共和国政府采购法》第二十二条第一款的条件（由供应商在《政府采购投标及履约承诺函》中作出声明）；</w:t>
                  </w:r>
                </w:p>
                <w:p>
                  <w:pPr>
                    <w:widowControl/>
                    <w:spacing w:before="78" w:beforeLines="25" w:after="78" w:afterLines="25" w:line="360" w:lineRule="auto"/>
                    <w:ind w:firstLine="480" w:firstLineChars="200"/>
                    <w:jc w:val="left"/>
                    <w:rPr>
                      <w:rFonts w:ascii="宋体" w:eastAsia="宋体" w:hAnsi="宋体"/>
                      <w:szCs w:val="20"/>
                      <w:lang w:eastAsia="zh-CN"/>
                    </w:rPr>
                  </w:pPr>
                  <w:r>
                    <w:rPr>
                      <w:rFonts w:ascii="宋体" w:eastAsia="宋体" w:hAnsi="宋体" w:hint="eastAsia"/>
                      <w:szCs w:val="20"/>
                      <w:lang w:eastAsia="zh-CN"/>
                    </w:rPr>
                    <w:t>5.未被列入失信被执行人、重大税收违法案件当事人名单、政府采购严重违法失信行为记录名单（由供应商在《政府采购投标及履约承诺函》中作出声明）；</w:t>
                  </w:r>
                </w:p>
                <w:p>
                  <w:pPr>
                    <w:widowControl/>
                    <w:spacing w:before="78" w:beforeLines="25" w:after="78" w:afterLines="25" w:line="360" w:lineRule="auto"/>
                    <w:ind w:firstLine="480" w:firstLineChars="200"/>
                    <w:jc w:val="left"/>
                    <w:rPr>
                      <w:rFonts w:ascii="宋体" w:eastAsia="宋体" w:hAnsi="宋体"/>
                      <w:szCs w:val="20"/>
                      <w:lang w:eastAsia="zh-CN"/>
                    </w:rPr>
                  </w:pPr>
                  <w:r>
                    <w:rPr>
                      <w:rFonts w:ascii="宋体" w:eastAsia="宋体" w:hAnsi="宋体" w:hint="eastAsia"/>
                      <w:szCs w:val="20"/>
                      <w:lang w:eastAsia="zh-CN"/>
                    </w:rPr>
                    <w:t>6.参与本项目政府采购活动时不存在《深圳市财政局政府采购供应商信用信息管理办法》（深财规〔2023〕3号）列明的严重违法失信行为（由供应商在《政府采购投标及履约承诺函》中作出声明）；</w:t>
                  </w:r>
                </w:p>
                <w:p>
                  <w:pPr>
                    <w:widowControl/>
                    <w:spacing w:before="78" w:beforeLines="25" w:after="78" w:afterLines="25" w:line="360" w:lineRule="auto"/>
                    <w:ind w:firstLine="480" w:firstLineChars="200"/>
                    <w:jc w:val="left"/>
                    <w:rPr>
                      <w:rFonts w:ascii="宋体" w:eastAsia="宋体" w:hAnsi="宋体"/>
                      <w:szCs w:val="20"/>
                      <w:lang w:eastAsia="zh-CN"/>
                    </w:rPr>
                  </w:pPr>
                  <w:r>
                    <w:rPr>
                      <w:rFonts w:ascii="宋体" w:eastAsia="宋体" w:hAnsi="宋体" w:hint="eastAsia"/>
                      <w:szCs w:val="20"/>
                      <w:lang w:eastAsia="zh-CN"/>
                    </w:rPr>
                    <w:t>7.为采购项目提供整体设计、规范编制或者项目管理、监理、检测等服务的供应商，不得再参加该采购项目的其他采购活动（由供应商在《政府采购投标及履约承诺函》中作出声明）；</w:t>
                  </w:r>
                </w:p>
                <w:p>
                  <w:pPr>
                    <w:widowControl/>
                    <w:spacing w:before="78" w:beforeLines="25" w:after="78" w:afterLines="25" w:line="360" w:lineRule="auto"/>
                    <w:ind w:firstLine="480" w:firstLineChars="200"/>
                    <w:jc w:val="left"/>
                    <w:rPr>
                      <w:rFonts w:ascii="宋体" w:eastAsia="宋体" w:hAnsi="宋体" w:cs="宋体" w:hint="eastAsia"/>
                      <w:szCs w:val="21"/>
                      <w:lang w:eastAsia="zh-CN"/>
                    </w:rPr>
                  </w:pPr>
                  <w:r>
                    <w:rPr>
                      <w:rFonts w:ascii="宋体" w:eastAsia="宋体" w:hAnsi="宋体" w:cs="宋体" w:hint="eastAsia"/>
                      <w:szCs w:val="21"/>
                      <w:lang w:eastAsia="zh-CN"/>
                    </w:rPr>
                    <w:t>8</w:t>
                  </w:r>
                  <w:r>
                    <w:rPr>
                      <w:rFonts w:ascii="宋体" w:eastAsia="宋体" w:hAnsi="宋体" w:cs="宋体" w:hint="eastAsia"/>
                      <w:szCs w:val="21"/>
                      <w:lang w:eastAsia="zh-CN"/>
                    </w:rPr>
                    <w:t>.本项目属于专门面向中小企业采购：根据《财政部 工业和信息化部关于印发&lt;政府采购促进中小企业发展管理办法&gt;的通知》（财库〔2020〕46号）的规定在《中小企业声明函、残疾人福利性单位声明函及监狱企业声明函》中作出声明，未提供声明函或声明函内容不符合中小企业声明函“填写指引”要求的作资格审查不通过处理）。</w:t>
                  </w:r>
                </w:p>
                <w:p>
                  <w:pPr>
                    <w:widowControl/>
                    <w:spacing w:before="78" w:beforeLines="25" w:after="78" w:afterLines="25" w:line="360" w:lineRule="auto"/>
                    <w:ind w:firstLine="480" w:firstLineChars="200"/>
                    <w:jc w:val="left"/>
                    <w:rPr>
                      <w:rFonts w:ascii="宋体" w:eastAsia="宋体" w:hAnsi="宋体" w:hint="eastAsia"/>
                      <w:szCs w:val="20"/>
                      <w:lang w:eastAsia="zh-CN"/>
                    </w:rPr>
                  </w:pPr>
                  <w:r>
                    <w:rPr>
                      <w:rFonts w:ascii="宋体" w:eastAsia="宋体" w:hAnsi="宋体" w:hint="eastAsia"/>
                      <w:szCs w:val="20"/>
                      <w:lang w:eastAsia="zh-CN"/>
                    </w:rPr>
                    <w:t>9.不存在不同投标供应商的法定代表人、主要经营负责人、投标授权代表人、项目负责人、主要技术人员为同一人、属同一单位或者在同一单位缴纳社会保险的情形；不存在不同投标供应商单位负责人为同一人或直接控股、管理关系的情形。如存在上述情形，所涉供应商均资格审查不通过，按投标无效处理（由供应商提供《供应商基本情况表》并加盖公章扫描件）</w:t>
                  </w:r>
                  <w:r>
                    <w:rPr>
                      <w:rFonts w:ascii="宋体" w:eastAsia="宋体" w:hAnsi="宋体" w:hint="eastAsia"/>
                      <w:szCs w:val="20"/>
                      <w:lang w:eastAsia="zh-CN"/>
                    </w:rPr>
                    <w:t>。</w:t>
                  </w:r>
                </w:p>
                <w:p>
                  <w:pPr>
                    <w:widowControl/>
                    <w:spacing w:after="120"/>
                    <w:jc w:val="left"/>
                    <w:rPr>
                      <w:rFonts w:ascii="Calibri" w:eastAsia="宋体" w:hAnsi="Calibri"/>
                      <w:sz w:val="20"/>
                      <w:szCs w:val="20"/>
                      <w:lang w:eastAsia="zh-CN"/>
                    </w:rPr>
                  </w:pPr>
                </w:p>
                <w:p>
                  <w:pPr>
                    <w:widowControl/>
                    <w:spacing w:before="78" w:beforeLines="25" w:after="78" w:afterLines="25" w:line="360" w:lineRule="auto"/>
                    <w:ind w:firstLine="480" w:firstLineChars="200"/>
                    <w:jc w:val="left"/>
                    <w:rPr>
                      <w:rFonts w:ascii="宋体" w:eastAsia="宋体" w:hAnsi="宋体"/>
                      <w:szCs w:val="20"/>
                      <w:lang w:eastAsia="zh-CN"/>
                    </w:rPr>
                  </w:pPr>
                  <w:r>
                    <w:rPr>
                      <w:rFonts w:ascii="宋体" w:eastAsia="宋体" w:hAnsi="宋体" w:hint="eastAsia"/>
                      <w:szCs w:val="20"/>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spacing w:before="78" w:beforeLines="25" w:after="78" w:afterLines="25" w:line="360" w:lineRule="auto"/>
                    <w:ind w:firstLine="480" w:firstLineChars="200"/>
                    <w:jc w:val="left"/>
                    <w:rPr>
                      <w:rFonts w:ascii="宋体" w:eastAsia="宋体" w:hAnsi="宋体"/>
                      <w:szCs w:val="20"/>
                      <w:lang w:eastAsia="zh-CN"/>
                    </w:rPr>
                  </w:pPr>
                  <w:r>
                    <w:rPr>
                      <w:rFonts w:ascii="宋体" w:eastAsia="宋体" w:hAnsi="宋体" w:hint="eastAsia"/>
                      <w:szCs w:val="20"/>
                      <w:lang w:eastAsia="zh-CN"/>
                    </w:rPr>
                    <w:t>（2）供应商投标（上传投标文件）必须先行办理注册手续，具体请按照本公告“六、其他补充事宜”相关内容指引办理。</w:t>
                  </w:r>
                </w:p>
                <w:p>
                  <w:pPr>
                    <w:widowControl/>
                    <w:spacing w:before="78" w:beforeLines="25" w:after="78" w:afterLines="25" w:line="360" w:lineRule="auto"/>
                    <w:ind w:firstLine="480" w:firstLineChars="200"/>
                    <w:jc w:val="left"/>
                    <w:rPr>
                      <w:rFonts w:ascii="宋体" w:eastAsia="宋体" w:hAnsi="宋体" w:cs="宋体"/>
                      <w:szCs w:val="21"/>
                      <w:lang w:eastAsia="zh-CN"/>
                    </w:rPr>
                  </w:pPr>
                  <w:r>
                    <w:rPr>
                      <w:rFonts w:ascii="宋体" w:eastAsia="宋体" w:hAnsi="宋体" w:hint="eastAsia"/>
                      <w:szCs w:val="20"/>
                      <w:lang w:eastAsia="zh-CN"/>
                    </w:rPr>
                    <w:t>关于本项目的招标公告公示信息详见深圳公共资源交易网（https://www.szggzy.com）。</w:t>
                  </w:r>
                </w:p>
                <w:p>
                  <w:pPr>
                    <w:widowControl/>
                    <w:spacing w:before="78" w:beforeLines="25" w:after="78" w:afterLines="25" w:line="360" w:lineRule="auto"/>
                    <w:jc w:val="left"/>
                    <w:rPr>
                      <w:rFonts w:ascii="宋体" w:eastAsia="宋体" w:hAnsi="宋体" w:cs="宋体"/>
                      <w:szCs w:val="21"/>
                      <w:lang w:eastAsia="zh-CN"/>
                    </w:rPr>
                  </w:pPr>
                </w:p>
              </w:tc>
            </w:tr>
          </w:tbl>
          <w:p>
            <w:pPr>
              <w:widowControl/>
              <w:spacing w:line="360" w:lineRule="auto"/>
              <w:jc w:val="left"/>
              <w:rPr>
                <w:rFonts w:ascii="宋体" w:eastAsia="宋体" w:hAnsi="宋体" w:cs="宋体"/>
                <w:lang w:eastAsia="zh-CN"/>
              </w:rPr>
            </w:pPr>
          </w:p>
        </w:tc>
      </w:tr>
    </w:tbl>
    <w:p>
      <w:pPr>
        <w:widowControl/>
        <w:spacing w:line="360" w:lineRule="auto"/>
        <w:jc w:val="left"/>
        <w:rPr>
          <w:rFonts w:eastAsia="宋体"/>
          <w:lang w:eastAsia="zh-CN"/>
        </w:rPr>
      </w:pPr>
      <w:r>
        <w:rPr>
          <w:rFonts w:eastAsia="宋体" w:hint="eastAsia"/>
          <w:lang w:eastAsia="zh-CN"/>
        </w:rPr>
        <w:br w:type="page"/>
      </w:r>
    </w:p>
    <w:p>
      <w:pPr>
        <w:keepNext/>
        <w:keepLines/>
        <w:widowControl/>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第二章 对通用条款的补充内容及其他关键信息</w:t>
      </w:r>
    </w:p>
    <w:p>
      <w:pPr>
        <w:keepNext/>
        <w:keepLines/>
        <w:widowControl/>
        <w:adjustRightInd w:val="0"/>
        <w:spacing w:before="156" w:beforeLines="50" w:after="156" w:afterLines="50"/>
        <w:jc w:val="center"/>
        <w:textAlignment w:val="baseline"/>
        <w:outlineLvl w:val="1"/>
        <w:rPr>
          <w:rFonts w:ascii="宋体" w:eastAsia="宋体" w:hAnsi="宋体"/>
          <w:b/>
          <w:bCs/>
          <w:sz w:val="28"/>
          <w:szCs w:val="28"/>
          <w:lang w:eastAsia="zh-CN"/>
        </w:rPr>
      </w:pPr>
      <w:bookmarkStart w:id="20" w:name="_Toc100052364"/>
      <w:bookmarkStart w:id="21" w:name="_Toc60631620"/>
      <w:bookmarkStart w:id="22" w:name="_Toc73517639"/>
      <w:bookmarkStart w:id="23" w:name="_Toc73521547"/>
      <w:bookmarkStart w:id="24" w:name="_Toc101074876"/>
      <w:bookmarkStart w:id="25" w:name="_Toc73521635"/>
      <w:bookmarkStart w:id="26" w:name="_Toc73518117"/>
      <w:bookmarkStart w:id="27" w:name="_Toc60560625"/>
      <w:r>
        <w:rPr>
          <w:rFonts w:ascii="宋体" w:eastAsia="宋体" w:hAnsi="宋体" w:hint="eastAsia"/>
          <w:b/>
          <w:bCs/>
          <w:lang w:eastAsia="zh-CN"/>
        </w:rPr>
        <w:t>一、对通用条款的补充内容</w:t>
      </w:r>
    </w:p>
    <w:bookmarkEnd w:id="20"/>
    <w:bookmarkEnd w:id="21"/>
    <w:bookmarkEnd w:id="22"/>
    <w:bookmarkEnd w:id="23"/>
    <w:bookmarkEnd w:id="24"/>
    <w:bookmarkEnd w:id="25"/>
    <w:bookmarkEnd w:id="26"/>
    <w:bookmarkEnd w:id="27"/>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6"/>
        <w:gridCol w:w="2454"/>
        <w:gridCol w:w="5072"/>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通用条款序号</w:t>
            </w:r>
          </w:p>
        </w:tc>
        <w:tc>
          <w:tcPr>
            <w:tcW w:w="2409" w:type="dxa"/>
            <w:vAlign w:val="center"/>
          </w:tcPr>
          <w:p>
            <w:pPr>
              <w:widowControl w:val="0"/>
              <w:spacing w:line="30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涉及事项</w:t>
            </w:r>
          </w:p>
        </w:tc>
        <w:tc>
          <w:tcPr>
            <w:tcW w:w="4980" w:type="dxa"/>
            <w:vAlign w:val="center"/>
          </w:tcPr>
          <w:p>
            <w:pPr>
              <w:widowControl w:val="0"/>
              <w:spacing w:line="30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具  体  补  充  内  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3.1</w:t>
            </w:r>
          </w:p>
        </w:tc>
        <w:tc>
          <w:tcPr>
            <w:tcW w:w="2409"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采购人</w:t>
            </w:r>
          </w:p>
        </w:tc>
        <w:tc>
          <w:tcPr>
            <w:tcW w:w="4980"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深圳市医疗保障局南山分局</w:t>
            </w:r>
          </w:p>
        </w:tc>
      </w:tr>
      <w:tr>
        <w:tblPrEx>
          <w:tblW w:w="5000" w:type="pct"/>
          <w:jc w:val="center"/>
          <w:tblLayout w:type="fixed"/>
          <w:tblCellMar>
            <w:top w:w="0" w:type="dxa"/>
            <w:left w:w="108" w:type="dxa"/>
            <w:bottom w:w="0" w:type="dxa"/>
            <w:right w:w="108" w:type="dxa"/>
          </w:tblCellMar>
        </w:tblPrEx>
        <w:trPr>
          <w:cantSplit/>
          <w:trHeight w:val="90"/>
          <w:jc w:val="center"/>
        </w:trPr>
        <w:tc>
          <w:tcPr>
            <w:tcW w:w="978"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3.2</w:t>
            </w:r>
          </w:p>
        </w:tc>
        <w:tc>
          <w:tcPr>
            <w:tcW w:w="2409"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政府集中采购机构</w:t>
            </w:r>
          </w:p>
        </w:tc>
        <w:tc>
          <w:tcPr>
            <w:tcW w:w="4980"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深圳公共资源交易中心</w:t>
            </w:r>
          </w:p>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（深圳交易集团有限公司南山分公司）</w:t>
            </w:r>
          </w:p>
        </w:tc>
      </w:tr>
      <w:tr>
        <w:tblPrEx>
          <w:tblW w:w="5000" w:type="pct"/>
          <w:jc w:val="center"/>
          <w:tblLayout w:type="fixed"/>
          <w:tblCellMar>
            <w:top w:w="0" w:type="dxa"/>
            <w:left w:w="108" w:type="dxa"/>
            <w:bottom w:w="0" w:type="dxa"/>
            <w:right w:w="108" w:type="dxa"/>
          </w:tblCellMar>
        </w:tblPrEx>
        <w:trPr>
          <w:cantSplit/>
          <w:trHeight w:val="575"/>
          <w:jc w:val="center"/>
        </w:trPr>
        <w:tc>
          <w:tcPr>
            <w:tcW w:w="978"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9</w:t>
            </w:r>
          </w:p>
        </w:tc>
        <w:tc>
          <w:tcPr>
            <w:tcW w:w="2409"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踏勘现场</w:t>
            </w:r>
          </w:p>
        </w:tc>
        <w:tc>
          <w:tcPr>
            <w:tcW w:w="4980" w:type="dxa"/>
            <w:vAlign w:val="center"/>
          </w:tcPr>
          <w:p>
            <w:pPr>
              <w:widowControl w:val="0"/>
              <w:spacing w:line="300" w:lineRule="exact"/>
              <w:jc w:val="center"/>
              <w:rPr>
                <w:rFonts w:ascii="宋体" w:eastAsia="宋体" w:hAnsi="宋体" w:cs="宋体"/>
                <w:kern w:val="2"/>
                <w:lang w:eastAsia="zh-CN"/>
              </w:rPr>
            </w:pPr>
            <w:r>
              <w:rPr>
                <w:rFonts w:ascii="Wingdings 2" w:eastAsia="宋体" w:hAnsi="Wingdings 2" w:cs="宋体"/>
                <w:kern w:val="2"/>
                <w:lang w:eastAsia="zh-CN"/>
              </w:rPr>
              <w:sym w:font="Wingdings 2" w:char="F052"/>
            </w:r>
            <w:r>
              <w:rPr>
                <w:rFonts w:ascii="宋体" w:eastAsia="宋体" w:hAnsi="宋体" w:cs="宋体" w:hint="eastAsia"/>
                <w:kern w:val="2"/>
                <w:lang w:eastAsia="zh-CN"/>
              </w:rPr>
              <w:t xml:space="preserve">不组织   </w:t>
            </w:r>
            <w:r>
              <w:rPr>
                <w:rFonts w:ascii="Wingdings 2" w:eastAsia="宋体" w:hAnsi="Wingdings 2" w:cs="宋体"/>
                <w:kern w:val="2"/>
                <w:lang w:eastAsia="zh-CN"/>
              </w:rPr>
              <w:sym w:font="Wingdings 2" w:char="F0A3"/>
            </w:r>
            <w:r>
              <w:rPr>
                <w:rFonts w:ascii="宋体" w:eastAsia="宋体" w:hAnsi="宋体" w:cs="宋体" w:hint="eastAsia"/>
                <w:kern w:val="2"/>
                <w:lang w:eastAsia="zh-CN"/>
              </w:rPr>
              <w:t>组织</w:t>
            </w:r>
          </w:p>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具体见其他关键信息章节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10</w:t>
            </w:r>
          </w:p>
        </w:tc>
        <w:tc>
          <w:tcPr>
            <w:tcW w:w="2409"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标前会议</w:t>
            </w:r>
          </w:p>
        </w:tc>
        <w:tc>
          <w:tcPr>
            <w:tcW w:w="4980" w:type="dxa"/>
            <w:vAlign w:val="center"/>
          </w:tcPr>
          <w:p>
            <w:pPr>
              <w:widowControl w:val="0"/>
              <w:spacing w:line="300" w:lineRule="exact"/>
              <w:jc w:val="center"/>
              <w:rPr>
                <w:rFonts w:ascii="宋体" w:eastAsia="宋体" w:hAnsi="宋体" w:cs="宋体"/>
                <w:kern w:val="2"/>
                <w:lang w:eastAsia="zh-CN"/>
              </w:rPr>
            </w:pPr>
            <w:r>
              <w:rPr>
                <w:rFonts w:ascii="Wingdings 2" w:eastAsia="宋体" w:hAnsi="Wingdings 2" w:cs="宋体"/>
                <w:kern w:val="2"/>
                <w:lang w:eastAsia="zh-CN"/>
              </w:rPr>
              <w:sym w:font="Wingdings 2" w:char="F052"/>
            </w:r>
            <w:r>
              <w:rPr>
                <w:rFonts w:ascii="宋体" w:eastAsia="宋体" w:hAnsi="宋体" w:cs="宋体" w:hint="eastAsia"/>
                <w:kern w:val="2"/>
                <w:lang w:eastAsia="zh-CN"/>
              </w:rPr>
              <w:t xml:space="preserve">不组织   </w:t>
            </w:r>
            <w:r>
              <w:rPr>
                <w:rFonts w:ascii="Wingdings 2" w:eastAsia="宋体" w:hAnsi="Wingdings 2" w:cs="宋体"/>
                <w:kern w:val="2"/>
                <w:lang w:eastAsia="zh-CN"/>
              </w:rPr>
              <w:sym w:font="Wingdings 2" w:char="F0A3"/>
            </w:r>
            <w:r>
              <w:rPr>
                <w:rFonts w:ascii="宋体" w:eastAsia="宋体" w:hAnsi="宋体" w:cs="宋体" w:hint="eastAsia"/>
                <w:kern w:val="2"/>
                <w:lang w:eastAsia="zh-CN"/>
              </w:rPr>
              <w:t>组织</w:t>
            </w:r>
          </w:p>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具体见其他关键信息章节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12/13</w:t>
            </w:r>
          </w:p>
        </w:tc>
        <w:tc>
          <w:tcPr>
            <w:tcW w:w="2409"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招标文件的澄清和修改</w:t>
            </w:r>
          </w:p>
        </w:tc>
        <w:tc>
          <w:tcPr>
            <w:tcW w:w="4980" w:type="dxa"/>
            <w:vAlign w:val="center"/>
          </w:tcPr>
          <w:p>
            <w:pPr>
              <w:widowControl w:val="0"/>
              <w:spacing w:line="300" w:lineRule="exact"/>
              <w:jc w:val="left"/>
              <w:rPr>
                <w:rFonts w:ascii="宋体" w:eastAsia="宋体" w:hAnsi="宋体" w:cs="宋体"/>
                <w:kern w:val="2"/>
                <w:lang w:eastAsia="zh-CN"/>
              </w:rPr>
            </w:pPr>
            <w:r>
              <w:rPr>
                <w:rFonts w:ascii="宋体" w:eastAsia="宋体" w:hAnsi="宋体" w:cs="宋体" w:hint="eastAsia"/>
                <w:kern w:val="2"/>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20</w:t>
            </w:r>
          </w:p>
        </w:tc>
        <w:tc>
          <w:tcPr>
            <w:tcW w:w="2409"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投标有效期</w:t>
            </w:r>
          </w:p>
        </w:tc>
        <w:tc>
          <w:tcPr>
            <w:tcW w:w="4980"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22</w:t>
            </w:r>
          </w:p>
        </w:tc>
        <w:tc>
          <w:tcPr>
            <w:tcW w:w="2409"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投标人的替代方案</w:t>
            </w:r>
          </w:p>
        </w:tc>
        <w:tc>
          <w:tcPr>
            <w:tcW w:w="4980"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25</w:t>
            </w:r>
          </w:p>
        </w:tc>
        <w:tc>
          <w:tcPr>
            <w:tcW w:w="2409"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投标文件的大小</w:t>
            </w:r>
          </w:p>
        </w:tc>
        <w:tc>
          <w:tcPr>
            <w:tcW w:w="4980"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514"/>
          <w:jc w:val="center"/>
        </w:trPr>
        <w:tc>
          <w:tcPr>
            <w:tcW w:w="978"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26</w:t>
            </w:r>
          </w:p>
        </w:tc>
        <w:tc>
          <w:tcPr>
            <w:tcW w:w="2409" w:type="dxa"/>
            <w:vAlign w:val="center"/>
          </w:tcPr>
          <w:p>
            <w:pPr>
              <w:widowControl w:val="0"/>
              <w:spacing w:line="300" w:lineRule="exact"/>
              <w:jc w:val="center"/>
              <w:rPr>
                <w:rFonts w:ascii="宋体" w:eastAsia="宋体" w:hAnsi="宋体" w:cs="宋体"/>
                <w:kern w:val="2"/>
                <w:lang w:eastAsia="zh-CN"/>
              </w:rPr>
            </w:pPr>
            <w:bookmarkStart w:id="28" w:name="_Hlk71664860"/>
            <w:r>
              <w:rPr>
                <w:rFonts w:ascii="宋体" w:eastAsia="宋体" w:hAnsi="宋体" w:cs="宋体" w:hint="eastAsia"/>
                <w:kern w:val="2"/>
                <w:lang w:eastAsia="zh-CN"/>
              </w:rPr>
              <w:t>样品、演示、方案讲解</w:t>
            </w:r>
            <w:bookmarkEnd w:id="28"/>
          </w:p>
        </w:tc>
        <w:tc>
          <w:tcPr>
            <w:tcW w:w="4980" w:type="dxa"/>
            <w:vAlign w:val="center"/>
          </w:tcPr>
          <w:p>
            <w:pPr>
              <w:widowControl w:val="0"/>
              <w:spacing w:line="300" w:lineRule="exact"/>
              <w:jc w:val="left"/>
              <w:rPr>
                <w:rFonts w:ascii="宋体" w:eastAsia="宋体" w:hAnsi="宋体" w:cs="宋体"/>
                <w:kern w:val="2"/>
                <w:lang w:eastAsia="zh-CN"/>
              </w:rPr>
            </w:pPr>
            <w:r>
              <w:rPr>
                <w:rFonts w:ascii="宋体" w:eastAsia="宋体" w:hAnsi="宋体" w:cs="宋体" w:hint="eastAsia"/>
                <w:kern w:val="2"/>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37</w:t>
            </w:r>
          </w:p>
        </w:tc>
        <w:tc>
          <w:tcPr>
            <w:tcW w:w="2409"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评审方法</w:t>
            </w:r>
          </w:p>
        </w:tc>
        <w:tc>
          <w:tcPr>
            <w:tcW w:w="4980" w:type="dxa"/>
            <w:vAlign w:val="center"/>
          </w:tcPr>
          <w:p>
            <w:pPr>
              <w:widowControl w:val="0"/>
              <w:spacing w:line="300" w:lineRule="exact"/>
              <w:jc w:val="left"/>
              <w:rPr>
                <w:rFonts w:ascii="宋体" w:eastAsia="宋体" w:hAnsi="宋体" w:cs="宋体"/>
                <w:bCs/>
                <w:kern w:val="2"/>
                <w:lang w:eastAsia="zh-CN"/>
              </w:rPr>
            </w:pPr>
            <w:r>
              <w:rPr>
                <w:rFonts w:ascii="宋体" w:eastAsia="宋体" w:hAnsi="宋体" w:cs="宋体" w:hint="eastAsia"/>
                <w:bCs/>
                <w:kern w:val="2"/>
                <w:lang w:eastAsia="zh-CN"/>
              </w:rPr>
              <w:t>□ 最低价法</w:t>
            </w:r>
          </w:p>
          <w:p>
            <w:pPr>
              <w:widowControl w:val="0"/>
              <w:spacing w:line="300" w:lineRule="exact"/>
              <w:jc w:val="left"/>
              <w:rPr>
                <w:rFonts w:ascii="宋体" w:eastAsia="宋体" w:hAnsi="宋体" w:cs="宋体"/>
                <w:kern w:val="2"/>
                <w:lang w:eastAsia="zh-CN"/>
              </w:rPr>
            </w:pPr>
            <w:r>
              <w:rPr>
                <w:rFonts w:ascii="Wingdings 2" w:eastAsia="宋体" w:hAnsi="Wingdings 2" w:cs="宋体"/>
                <w:bCs/>
                <w:kern w:val="2"/>
                <w:lang w:eastAsia="zh-CN"/>
              </w:rPr>
              <w:sym w:font="Wingdings 2" w:char="F052"/>
            </w:r>
            <w:r>
              <w:rPr>
                <w:rFonts w:ascii="宋体" w:eastAsia="宋体" w:hAnsi="宋体" w:cs="宋体" w:hint="eastAsia"/>
                <w:bCs/>
                <w:kern w:val="2"/>
                <w:lang w:eastAsia="zh-CN"/>
              </w:rPr>
              <w:t xml:space="preserve"> 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Merge w:val="restart"/>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38</w:t>
            </w:r>
          </w:p>
        </w:tc>
        <w:tc>
          <w:tcPr>
            <w:tcW w:w="2409" w:type="dxa"/>
            <w:vMerge w:val="restart"/>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定标方法</w:t>
            </w:r>
          </w:p>
        </w:tc>
        <w:tc>
          <w:tcPr>
            <w:tcW w:w="4980" w:type="dxa"/>
            <w:vAlign w:val="center"/>
          </w:tcPr>
          <w:p>
            <w:pPr>
              <w:widowControl w:val="0"/>
              <w:spacing w:line="300" w:lineRule="exact"/>
              <w:jc w:val="left"/>
              <w:rPr>
                <w:rFonts w:ascii="宋体" w:eastAsia="宋体" w:hAnsi="宋体" w:cs="宋体"/>
                <w:bCs/>
                <w:kern w:val="2"/>
                <w:lang w:eastAsia="zh-CN"/>
              </w:rPr>
            </w:pPr>
            <w:r>
              <w:rPr>
                <w:rFonts w:ascii="Wingdings 2" w:eastAsia="宋体" w:hAnsi="Wingdings 2" w:cs="宋体"/>
                <w:bCs/>
                <w:kern w:val="2"/>
                <w:lang w:eastAsia="zh-CN"/>
              </w:rPr>
              <w:sym w:font="Wingdings 2" w:char="F052"/>
            </w:r>
            <w:r>
              <w:rPr>
                <w:rFonts w:ascii="宋体" w:eastAsia="宋体" w:hAnsi="宋体" w:cs="宋体" w:hint="eastAsia"/>
                <w:bCs/>
                <w:kern w:val="2"/>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Merge/>
            <w:vAlign w:val="center"/>
          </w:tcPr>
          <w:p>
            <w:pPr>
              <w:widowControl w:val="0"/>
              <w:spacing w:line="300" w:lineRule="exact"/>
              <w:jc w:val="center"/>
              <w:rPr>
                <w:rFonts w:ascii="宋体" w:eastAsia="宋体" w:hAnsi="宋体" w:cs="宋体"/>
                <w:kern w:val="2"/>
                <w:lang w:eastAsia="zh-CN"/>
              </w:rPr>
            </w:pPr>
          </w:p>
        </w:tc>
        <w:tc>
          <w:tcPr>
            <w:tcW w:w="2409" w:type="dxa"/>
            <w:vMerge/>
            <w:vAlign w:val="center"/>
          </w:tcPr>
          <w:p>
            <w:pPr>
              <w:widowControl w:val="0"/>
              <w:spacing w:line="300" w:lineRule="exact"/>
              <w:jc w:val="center"/>
              <w:rPr>
                <w:rFonts w:ascii="宋体" w:eastAsia="宋体" w:hAnsi="宋体" w:cs="宋体"/>
                <w:kern w:val="2"/>
                <w:lang w:eastAsia="zh-CN"/>
              </w:rPr>
            </w:pPr>
          </w:p>
        </w:tc>
        <w:tc>
          <w:tcPr>
            <w:tcW w:w="4980" w:type="dxa"/>
            <w:vAlign w:val="center"/>
          </w:tcPr>
          <w:p>
            <w:pPr>
              <w:widowControl w:val="0"/>
              <w:spacing w:line="300" w:lineRule="exact"/>
              <w:jc w:val="left"/>
              <w:rPr>
                <w:rFonts w:ascii="宋体" w:eastAsia="宋体" w:hAnsi="宋体" w:cs="宋体"/>
                <w:bCs/>
                <w:kern w:val="2"/>
                <w:lang w:eastAsia="zh-CN"/>
              </w:rPr>
            </w:pPr>
            <w:r>
              <w:rPr>
                <w:rFonts w:ascii="宋体" w:eastAsia="宋体" w:hAnsi="宋体" w:cs="宋体" w:hint="eastAsia"/>
                <w:bCs/>
                <w:kern w:val="2"/>
                <w:lang w:eastAsia="zh-CN"/>
              </w:rPr>
              <w:t>□评定分离</w:t>
            </w:r>
          </w:p>
          <w:p>
            <w:pPr>
              <w:widowControl w:val="0"/>
              <w:spacing w:line="300" w:lineRule="exact"/>
              <w:jc w:val="left"/>
              <w:rPr>
                <w:rFonts w:ascii="宋体" w:eastAsia="宋体" w:hAnsi="宋体" w:cs="宋体"/>
                <w:bCs/>
                <w:kern w:val="2"/>
                <w:lang w:eastAsia="zh-CN"/>
              </w:rPr>
            </w:pPr>
            <w:r>
              <w:rPr>
                <w:rFonts w:ascii="宋体" w:eastAsia="宋体" w:hAnsi="宋体" w:cs="宋体" w:hint="eastAsia"/>
                <w:bCs/>
                <w:kern w:val="2"/>
                <w:lang w:eastAsia="zh-CN"/>
              </w:rPr>
              <w:t>本项目推荐的候选中标供应商不进行排名，且中标（成交）结果信息公示内容仅公示候选中标供应商名单，不公示得分和排名。</w:t>
            </w:r>
          </w:p>
        </w:tc>
      </w:tr>
      <w:tr>
        <w:tblPrEx>
          <w:tblW w:w="5000" w:type="pct"/>
          <w:jc w:val="center"/>
          <w:tblLayout w:type="fixed"/>
          <w:tblCellMar>
            <w:top w:w="0" w:type="dxa"/>
            <w:left w:w="108" w:type="dxa"/>
            <w:bottom w:w="0" w:type="dxa"/>
            <w:right w:w="108" w:type="dxa"/>
          </w:tblCellMar>
        </w:tblPrEx>
        <w:trPr>
          <w:cantSplit/>
          <w:trHeight w:val="162"/>
          <w:jc w:val="center"/>
        </w:trPr>
        <w:tc>
          <w:tcPr>
            <w:tcW w:w="978" w:type="dxa"/>
            <w:vMerge w:val="restart"/>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46</w:t>
            </w:r>
          </w:p>
        </w:tc>
        <w:tc>
          <w:tcPr>
            <w:tcW w:w="2409" w:type="dxa"/>
            <w:vMerge w:val="restart"/>
            <w:vAlign w:val="center"/>
          </w:tcPr>
          <w:p>
            <w:pPr>
              <w:widowControl w:val="0"/>
              <w:spacing w:line="300" w:lineRule="exact"/>
              <w:jc w:val="center"/>
              <w:rPr>
                <w:rFonts w:ascii="宋体" w:eastAsia="宋体" w:hAnsi="宋体" w:cs="宋体"/>
                <w:kern w:val="2"/>
                <w:lang w:eastAsia="zh-CN"/>
              </w:rPr>
            </w:pPr>
            <w:r>
              <w:rPr>
                <w:rFonts w:ascii="宋体" w:eastAsia="宋体" w:hAnsi="宋体" w:cs="宋体" w:hint="eastAsia"/>
                <w:kern w:val="2"/>
                <w:lang w:eastAsia="zh-CN"/>
              </w:rPr>
              <w:t>履约担保</w:t>
            </w:r>
          </w:p>
        </w:tc>
        <w:tc>
          <w:tcPr>
            <w:tcW w:w="4980" w:type="dxa"/>
            <w:tcBorders>
              <w:bottom w:val="single" w:sz="4" w:space="0" w:color="auto"/>
            </w:tcBorders>
            <w:vAlign w:val="center"/>
          </w:tcPr>
          <w:p>
            <w:pPr>
              <w:widowControl w:val="0"/>
              <w:spacing w:line="300" w:lineRule="exact"/>
              <w:jc w:val="left"/>
              <w:rPr>
                <w:rFonts w:ascii="宋体" w:eastAsia="宋体" w:hAnsi="宋体" w:cs="宋体"/>
                <w:kern w:val="2"/>
                <w:lang w:eastAsia="zh-CN"/>
              </w:rPr>
            </w:pPr>
            <w:r>
              <w:rPr>
                <w:rFonts w:ascii="Wingdings 2" w:eastAsia="宋体" w:hAnsi="Wingdings 2" w:cs="宋体"/>
                <w:bCs/>
                <w:kern w:val="2"/>
                <w:lang w:eastAsia="zh-CN"/>
              </w:rPr>
              <w:sym w:font="Wingdings 2" w:char="F052"/>
            </w:r>
            <w:r>
              <w:rPr>
                <w:rFonts w:ascii="宋体" w:eastAsia="宋体" w:hAnsi="宋体" w:cs="宋体" w:hint="eastAsia"/>
                <w:bCs/>
                <w:kern w:val="2"/>
                <w:lang w:eastAsia="zh-CN"/>
              </w:rPr>
              <w:t>不需要</w:t>
            </w:r>
          </w:p>
        </w:tc>
      </w:tr>
      <w:tr>
        <w:tblPrEx>
          <w:tblW w:w="5000" w:type="pct"/>
          <w:jc w:val="center"/>
          <w:tblLayout w:type="fixed"/>
          <w:tblCellMar>
            <w:top w:w="0" w:type="dxa"/>
            <w:left w:w="108" w:type="dxa"/>
            <w:bottom w:w="0" w:type="dxa"/>
            <w:right w:w="108" w:type="dxa"/>
          </w:tblCellMar>
        </w:tblPrEx>
        <w:trPr>
          <w:cantSplit/>
          <w:trHeight w:val="1980"/>
          <w:jc w:val="center"/>
        </w:trPr>
        <w:tc>
          <w:tcPr>
            <w:tcW w:w="978" w:type="dxa"/>
            <w:vMerge/>
            <w:vAlign w:val="center"/>
          </w:tcPr>
          <w:p>
            <w:pPr>
              <w:widowControl w:val="0"/>
              <w:spacing w:line="300" w:lineRule="exact"/>
              <w:jc w:val="center"/>
              <w:rPr>
                <w:rFonts w:ascii="宋体" w:eastAsia="宋体" w:hAnsi="宋体" w:cs="宋体"/>
                <w:kern w:val="2"/>
                <w:lang w:eastAsia="zh-CN"/>
              </w:rPr>
            </w:pPr>
          </w:p>
        </w:tc>
        <w:tc>
          <w:tcPr>
            <w:tcW w:w="2409" w:type="dxa"/>
            <w:vMerge/>
            <w:vAlign w:val="center"/>
          </w:tcPr>
          <w:p>
            <w:pPr>
              <w:widowControl w:val="0"/>
              <w:spacing w:line="300" w:lineRule="exact"/>
              <w:jc w:val="center"/>
              <w:rPr>
                <w:rFonts w:ascii="宋体" w:eastAsia="宋体" w:hAnsi="宋体" w:cs="宋体"/>
                <w:kern w:val="2"/>
                <w:lang w:eastAsia="zh-CN"/>
              </w:rPr>
            </w:pPr>
          </w:p>
        </w:tc>
        <w:tc>
          <w:tcPr>
            <w:tcW w:w="4980" w:type="dxa"/>
            <w:tcBorders>
              <w:top w:val="single" w:sz="4" w:space="0" w:color="auto"/>
              <w:bottom w:val="single" w:sz="4" w:space="0" w:color="auto"/>
            </w:tcBorders>
            <w:vAlign w:val="center"/>
          </w:tcPr>
          <w:p>
            <w:pPr>
              <w:widowControl w:val="0"/>
              <w:spacing w:line="300" w:lineRule="exact"/>
              <w:jc w:val="left"/>
              <w:rPr>
                <w:rFonts w:ascii="宋体" w:eastAsia="宋体" w:hAnsi="宋体" w:cs="宋体"/>
                <w:bCs/>
                <w:kern w:val="2"/>
                <w:lang w:eastAsia="zh-CN"/>
              </w:rPr>
            </w:pPr>
            <w:r>
              <w:rPr>
                <w:rFonts w:ascii="宋体" w:eastAsia="宋体" w:hAnsi="宋体" w:cs="宋体" w:hint="eastAsia"/>
                <w:bCs/>
                <w:kern w:val="2"/>
                <w:lang w:eastAsia="zh-CN"/>
              </w:rPr>
              <w:t>□</w:t>
            </w:r>
            <w:r>
              <w:rPr>
                <w:rFonts w:ascii="宋体" w:eastAsia="宋体" w:hAnsi="宋体" w:cs="宋体" w:hint="eastAsia"/>
                <w:kern w:val="2"/>
                <w:lang w:eastAsia="zh-CN"/>
              </w:rPr>
              <w:t>需要，为中标合同金额的</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，投标供应商以保函形式缴纳或提交。</w:t>
            </w:r>
          </w:p>
        </w:tc>
      </w:tr>
      <w:tr>
        <w:tblPrEx>
          <w:tblW w:w="5000" w:type="pct"/>
          <w:jc w:val="center"/>
          <w:tblLayout w:type="fixed"/>
          <w:tblCellMar>
            <w:top w:w="0" w:type="dxa"/>
            <w:left w:w="108" w:type="dxa"/>
            <w:bottom w:w="0" w:type="dxa"/>
            <w:right w:w="108" w:type="dxa"/>
          </w:tblCellMar>
        </w:tblPrEx>
        <w:trPr>
          <w:cantSplit/>
          <w:trHeight w:val="1980"/>
          <w:jc w:val="center"/>
        </w:trPr>
        <w:tc>
          <w:tcPr>
            <w:tcW w:w="978"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kern w:val="2"/>
                <w:lang w:eastAsia="zh-CN"/>
              </w:rPr>
              <w:t>52.8</w:t>
            </w:r>
          </w:p>
        </w:tc>
        <w:tc>
          <w:tcPr>
            <w:tcW w:w="2409" w:type="dxa"/>
            <w:vAlign w:val="center"/>
          </w:tcPr>
          <w:p>
            <w:pPr>
              <w:widowControl w:val="0"/>
              <w:spacing w:line="300" w:lineRule="exact"/>
              <w:jc w:val="center"/>
              <w:rPr>
                <w:rFonts w:ascii="宋体" w:eastAsia="宋体" w:hAnsi="宋体" w:cs="宋体"/>
                <w:kern w:val="2"/>
                <w:lang w:eastAsia="zh-CN"/>
              </w:rPr>
            </w:pPr>
            <w:r>
              <w:rPr>
                <w:rFonts w:ascii="宋体" w:eastAsia="宋体" w:hAnsi="宋体" w:cs="宋体"/>
                <w:kern w:val="2"/>
                <w:lang w:eastAsia="zh-CN"/>
              </w:rPr>
              <w:t>投诉</w:t>
            </w:r>
          </w:p>
        </w:tc>
        <w:tc>
          <w:tcPr>
            <w:tcW w:w="4980" w:type="dxa"/>
            <w:tcBorders>
              <w:top w:val="single" w:sz="4" w:space="0" w:color="auto"/>
              <w:bottom w:val="single" w:sz="4" w:space="0" w:color="auto"/>
            </w:tcBorders>
            <w:vAlign w:val="center"/>
          </w:tcPr>
          <w:p>
            <w:pPr>
              <w:widowControl w:val="0"/>
              <w:spacing w:line="300" w:lineRule="exact"/>
              <w:jc w:val="left"/>
              <w:rPr>
                <w:rFonts w:ascii="宋体" w:eastAsia="宋体" w:hAnsi="宋体" w:cs="宋体"/>
                <w:bCs/>
                <w:kern w:val="2"/>
                <w:lang w:eastAsia="zh-CN"/>
              </w:rPr>
            </w:pPr>
            <w:r>
              <w:rPr>
                <w:rFonts w:ascii="宋体" w:eastAsia="宋体" w:hAnsi="宋体" w:cs="宋体" w:hint="eastAsia"/>
                <w:bCs/>
                <w:kern w:val="2"/>
                <w:lang w:eastAsia="zh-CN"/>
              </w:rPr>
              <w:t>对质疑答复不满意或者未在规定时间内答复的，提出质疑的供应商可以在答复期满后7个工作日内向采购人投诉。供应商投诉的事项应当是经过质疑的事项。</w:t>
            </w:r>
          </w:p>
        </w:tc>
      </w:tr>
    </w:tbl>
    <w:p>
      <w:pPr>
        <w:widowControl/>
        <w:ind w:firstLine="480" w:firstLineChars="200"/>
        <w:jc w:val="left"/>
        <w:rPr>
          <w:rFonts w:eastAsia="宋体"/>
          <w:b/>
          <w:lang w:eastAsia="zh-CN"/>
        </w:rPr>
      </w:pPr>
      <w:r>
        <w:rPr>
          <w:rFonts w:eastAsia="宋体" w:hint="eastAsia"/>
          <w:szCs w:val="21"/>
          <w:lang w:eastAsia="zh-CN"/>
        </w:rPr>
        <w:t>备注：本表是通用条款相关条款的补充和明确，如与通用条款内容相冲突的，以本表为准。</w:t>
      </w:r>
    </w:p>
    <w:p>
      <w:pPr>
        <w:widowControl/>
        <w:jc w:val="left"/>
        <w:rPr>
          <w:rFonts w:eastAsia="宋体"/>
          <w:b/>
          <w:lang w:eastAsia="zh-CN"/>
        </w:rPr>
      </w:pPr>
    </w:p>
    <w:p>
      <w:pPr>
        <w:keepNext/>
        <w:keepLines/>
        <w:widowControl/>
        <w:adjustRightInd w:val="0"/>
        <w:spacing w:before="156" w:beforeLines="50" w:after="156" w:afterLines="50"/>
        <w:jc w:val="center"/>
        <w:textAlignment w:val="baseline"/>
        <w:outlineLvl w:val="1"/>
        <w:rPr>
          <w:rFonts w:ascii="宋体" w:eastAsia="宋体" w:hAnsi="宋体"/>
          <w:b/>
          <w:bCs/>
          <w:lang w:eastAsia="zh-CN"/>
        </w:rPr>
      </w:pPr>
      <w:r>
        <w:rPr>
          <w:rFonts w:ascii="宋体" w:eastAsia="宋体" w:hAnsi="宋体" w:hint="eastAsia"/>
          <w:b/>
          <w:bCs/>
          <w:lang w:eastAsia="zh-CN"/>
        </w:rPr>
        <w:t>二、其他关键信息</w:t>
      </w:r>
    </w:p>
    <w:p>
      <w:pPr>
        <w:widowControl/>
        <w:jc w:val="left"/>
        <w:rPr>
          <w:rFonts w:eastAsia="宋体"/>
          <w:b/>
          <w:bCs/>
          <w:lang w:eastAsia="zh-CN"/>
        </w:rPr>
      </w:pPr>
      <w:r>
        <w:rPr>
          <w:rFonts w:eastAsia="宋体" w:hint="eastAsia"/>
          <w:b/>
          <w:bCs/>
          <w:lang w:eastAsia="zh-CN"/>
        </w:rPr>
        <w:t>（一）与“对通用条款的补充内容”章节相关的事项</w:t>
      </w:r>
    </w:p>
    <w:p>
      <w:pPr>
        <w:widowControl/>
        <w:ind w:firstLine="480" w:firstLineChars="200"/>
        <w:jc w:val="left"/>
        <w:rPr>
          <w:rFonts w:eastAsia="宋体"/>
          <w:b/>
          <w:bCs/>
          <w:lang w:eastAsia="zh-CN"/>
        </w:rPr>
      </w:pPr>
      <w:r>
        <w:rPr>
          <w:rFonts w:eastAsia="宋体" w:hint="eastAsia"/>
          <w:b/>
          <w:bCs/>
          <w:lang w:eastAsia="zh-CN"/>
        </w:rPr>
        <w:t>1、评标定标信息</w:t>
      </w:r>
    </w:p>
    <w:tbl>
      <w:tblPr>
        <w:tblStyle w:val="1"/>
        <w:tblW w:w="500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077"/>
        <w:gridCol w:w="4445"/>
      </w:tblGrid>
      <w:tr>
        <w:tblPrEx>
          <w:tblW w:w="500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730" w:type="dxa"/>
          </w:tcPr>
          <w:p>
            <w:pPr>
              <w:ind w:firstLine="211"/>
              <w:jc w:val="center"/>
              <w:rPr>
                <w:lang w:eastAsia="zh-CN"/>
              </w:rPr>
            </w:pPr>
            <w:r>
              <w:rPr>
                <w:rFonts w:hint="eastAsia"/>
                <w:lang w:eastAsia="zh-CN"/>
              </w:rPr>
              <w:t>评标方法</w:t>
            </w:r>
          </w:p>
        </w:tc>
        <w:tc>
          <w:tcPr>
            <w:tcW w:w="4066" w:type="dxa"/>
          </w:tcPr>
          <w:p>
            <w:pPr>
              <w:ind w:firstLine="211"/>
              <w:jc w:val="center"/>
              <w:rPr>
                <w:lang w:eastAsia="zh-CN"/>
              </w:rPr>
            </w:pPr>
            <w:r>
              <w:rPr>
                <w:rFonts w:hint="eastAsia"/>
                <w:lang w:eastAsia="zh-CN"/>
              </w:rPr>
              <w:t>综合评分法</w:t>
            </w:r>
          </w:p>
        </w:tc>
      </w:tr>
      <w:tr>
        <w:tblPrEx>
          <w:tblW w:w="5000" w:type="pct"/>
          <w:tblInd w:w="534" w:type="dxa"/>
          <w:tblLayout w:type="fixed"/>
          <w:tblCellMar>
            <w:top w:w="0" w:type="dxa"/>
            <w:left w:w="108" w:type="dxa"/>
            <w:bottom w:w="0" w:type="dxa"/>
            <w:right w:w="108" w:type="dxa"/>
          </w:tblCellMar>
        </w:tblPrEx>
        <w:tc>
          <w:tcPr>
            <w:tcW w:w="3730" w:type="dxa"/>
          </w:tcPr>
          <w:p>
            <w:pPr>
              <w:ind w:firstLine="211"/>
              <w:jc w:val="center"/>
              <w:rPr>
                <w:lang w:eastAsia="zh-CN"/>
              </w:rPr>
            </w:pPr>
            <w:r>
              <w:rPr>
                <w:rFonts w:hint="eastAsia"/>
                <w:lang w:eastAsia="zh-CN"/>
              </w:rPr>
              <w:t>候选中标供应商数量</w:t>
            </w:r>
          </w:p>
        </w:tc>
        <w:tc>
          <w:tcPr>
            <w:tcW w:w="4066" w:type="dxa"/>
          </w:tcPr>
          <w:p>
            <w:pPr>
              <w:ind w:firstLine="211"/>
              <w:jc w:val="center"/>
              <w:rPr>
                <w:lang w:eastAsia="zh-CN"/>
              </w:rPr>
            </w:pPr>
            <w:r>
              <w:rPr>
                <w:rFonts w:hint="eastAsia"/>
                <w:lang w:eastAsia="zh-CN"/>
              </w:rPr>
              <w:t>1</w:t>
            </w:r>
          </w:p>
        </w:tc>
      </w:tr>
      <w:tr>
        <w:tblPrEx>
          <w:tblW w:w="5000" w:type="pct"/>
          <w:tblInd w:w="534" w:type="dxa"/>
          <w:tblLayout w:type="fixed"/>
          <w:tblCellMar>
            <w:top w:w="0" w:type="dxa"/>
            <w:left w:w="108" w:type="dxa"/>
            <w:bottom w:w="0" w:type="dxa"/>
            <w:right w:w="108" w:type="dxa"/>
          </w:tblCellMar>
        </w:tblPrEx>
        <w:tc>
          <w:tcPr>
            <w:tcW w:w="3730" w:type="dxa"/>
          </w:tcPr>
          <w:p>
            <w:pPr>
              <w:ind w:firstLine="211"/>
              <w:jc w:val="center"/>
              <w:rPr>
                <w:lang w:eastAsia="zh-CN"/>
              </w:rPr>
            </w:pPr>
            <w:r>
              <w:rPr>
                <w:rFonts w:hint="eastAsia"/>
                <w:lang w:eastAsia="zh-CN"/>
              </w:rPr>
              <w:t>中标供应商数量</w:t>
            </w:r>
          </w:p>
        </w:tc>
        <w:tc>
          <w:tcPr>
            <w:tcW w:w="4066" w:type="dxa"/>
          </w:tcPr>
          <w:p>
            <w:pPr>
              <w:ind w:firstLine="211"/>
              <w:jc w:val="center"/>
              <w:rPr>
                <w:lang w:eastAsia="zh-CN"/>
              </w:rPr>
            </w:pPr>
            <w:r>
              <w:rPr>
                <w:rFonts w:hint="eastAsia"/>
                <w:lang w:eastAsia="zh-CN"/>
              </w:rPr>
              <w:t>1</w:t>
            </w:r>
          </w:p>
        </w:tc>
      </w:tr>
    </w:tbl>
    <w:p>
      <w:pPr>
        <w:widowControl/>
        <w:jc w:val="left"/>
        <w:rPr>
          <w:rFonts w:eastAsia="宋体"/>
          <w:b/>
          <w:lang w:eastAsia="zh-CN"/>
        </w:rPr>
      </w:pPr>
      <w:r>
        <w:rPr>
          <w:rFonts w:eastAsia="宋体" w:hint="eastAsia"/>
          <w:b/>
          <w:lang w:eastAsia="zh-CN"/>
        </w:rPr>
        <w:t>（二）其他事项</w:t>
      </w:r>
    </w:p>
    <w:p>
      <w:pPr>
        <w:widowControl/>
        <w:ind w:firstLine="480" w:firstLineChars="200"/>
        <w:jc w:val="left"/>
        <w:rPr>
          <w:rFonts w:ascii="宋体" w:eastAsia="宋体" w:hAnsi="宋体"/>
          <w:b/>
          <w:bCs/>
          <w:lang w:eastAsia="zh-CN"/>
        </w:rPr>
      </w:pPr>
      <w:r>
        <w:rPr>
          <w:rFonts w:ascii="宋体" w:eastAsia="宋体" w:hAnsi="宋体" w:hint="eastAsia"/>
          <w:b/>
          <w:bCs/>
          <w:lang w:eastAsia="zh-CN"/>
        </w:rPr>
        <w:t>1.关于享受优惠政策的主体及价格扣除比例</w:t>
      </w:r>
    </w:p>
    <w:p>
      <w:pPr>
        <w:widowControl w:val="0"/>
        <w:adjustRightInd w:val="0"/>
        <w:spacing w:line="360" w:lineRule="auto"/>
        <w:ind w:firstLine="480" w:firstLineChars="200"/>
        <w:jc w:val="both"/>
        <w:rPr>
          <w:rFonts w:ascii="宋体" w:eastAsia="宋体" w:hAnsi="宋体"/>
          <w:kern w:val="2"/>
          <w:lang w:eastAsia="zh-CN"/>
        </w:rPr>
      </w:pPr>
      <w:r>
        <w:rPr>
          <w:rFonts w:ascii="宋体" w:eastAsia="宋体" w:hAnsi="宋体" w:hint="eastAsia"/>
          <w:b/>
          <w:bCs/>
          <w:kern w:val="2"/>
          <w:lang w:eastAsia="zh-CN"/>
        </w:rPr>
        <w:t>（1）专门面向中小企业采购的项目，不再执行价格扣除比例。</w:t>
      </w:r>
    </w:p>
    <w:p>
      <w:pPr>
        <w:widowControl w:val="0"/>
        <w:adjustRightInd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（2）非专门面向中小企业采购的项目，应执行价格扣除比例：供应商提供的服务全部由优惠主体承接，则对其投标总价给予</w:t>
      </w:r>
      <w:r>
        <w:rPr>
          <w:rFonts w:ascii="宋体" w:eastAsia="宋体" w:hAnsi="宋体" w:hint="eastAsia"/>
          <w:color w:val="FF0000"/>
          <w:kern w:val="2"/>
          <w:u w:val="single"/>
          <w:lang w:eastAsia="zh-CN"/>
        </w:rPr>
        <w:t>/%</w:t>
      </w:r>
      <w:r>
        <w:rPr>
          <w:rFonts w:ascii="宋体" w:eastAsia="宋体" w:hAnsi="宋体" w:hint="eastAsia"/>
          <w:kern w:val="2"/>
          <w:lang w:eastAsia="zh-CN"/>
        </w:rPr>
        <w:t>的扣除，用扣除后的价格参与评审。满足多项优惠政策的企业，不重复享受多项价格扣除政策。</w:t>
      </w:r>
    </w:p>
    <w:p>
      <w:pPr>
        <w:widowControl w:val="0"/>
        <w:adjustRightInd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widowControl w:val="0"/>
        <w:spacing w:line="360" w:lineRule="auto"/>
        <w:ind w:firstLine="480" w:firstLineChars="200"/>
        <w:jc w:val="both"/>
        <w:rPr>
          <w:rFonts w:ascii="宋体" w:eastAsia="宋体" w:hAnsi="宋体"/>
          <w:b/>
          <w:bCs/>
          <w:color w:val="FF0000"/>
          <w:kern w:val="2"/>
          <w:lang w:eastAsia="zh-CN"/>
        </w:rPr>
      </w:pPr>
      <w:r>
        <w:rPr>
          <w:rFonts w:ascii="宋体" w:eastAsia="宋体" w:hAnsi="宋体" w:cs="宋体" w:hint="eastAsia"/>
          <w:kern w:val="2"/>
          <w:lang w:eastAsia="zh-CN"/>
        </w:rPr>
        <w:t>（3）</w:t>
      </w:r>
      <w:r>
        <w:rPr>
          <w:rFonts w:ascii="宋体" w:eastAsia="宋体" w:hAnsi="宋体" w:cs="宋体"/>
          <w:kern w:val="2"/>
          <w:lang w:eastAsia="zh-CN"/>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lang w:eastAsia="zh-CN"/>
        </w:rPr>
        <w:t>《中小企业声明函》中相关企业所属行业应当与采购标的所属行业相一致。</w:t>
      </w:r>
      <w:r>
        <w:rPr>
          <w:rFonts w:ascii="宋体" w:eastAsia="宋体" w:hAnsi="宋体" w:hint="eastAsia"/>
          <w:b/>
          <w:bCs/>
          <w:color w:val="FF0000"/>
          <w:kern w:val="2"/>
          <w:lang w:eastAsia="zh-CN"/>
        </w:rPr>
        <w:t>本项目采购标的（服务需求）对应的中小企业划分标准所属行业为</w:t>
      </w:r>
      <w:r>
        <w:rPr>
          <w:rFonts w:ascii="宋体" w:eastAsia="宋体" w:hAnsi="宋体" w:hint="eastAsia"/>
          <w:b/>
          <w:bCs/>
          <w:color w:val="FF0000"/>
          <w:kern w:val="2"/>
          <w:u w:val="single"/>
          <w:lang w:eastAsia="zh-CN"/>
        </w:rPr>
        <w:t>其他未列明行</w:t>
      </w:r>
      <w:r>
        <w:rPr>
          <w:rFonts w:ascii="宋体" w:eastAsia="宋体" w:hAnsi="宋体" w:hint="eastAsia"/>
          <w:b/>
          <w:bCs/>
          <w:color w:val="FF0000"/>
          <w:kern w:val="2"/>
          <w:u w:val="single"/>
          <w:lang w:eastAsia="zh-CN"/>
        </w:rPr>
        <w:t>业</w:t>
      </w:r>
      <w:r>
        <w:rPr>
          <w:rFonts w:ascii="宋体" w:eastAsia="宋体" w:hAnsi="宋体" w:hint="eastAsia"/>
          <w:b/>
          <w:bCs/>
          <w:color w:val="FF0000"/>
          <w:kern w:val="2"/>
          <w:lang w:eastAsia="zh-CN"/>
        </w:rPr>
        <w:t>。</w:t>
      </w:r>
    </w:p>
    <w:p>
      <w:pPr>
        <w:widowControl w:val="0"/>
        <w:adjustRightInd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及资格证明文件”章节提供的格式）。</w:t>
      </w:r>
    </w:p>
    <w:p>
      <w:pPr>
        <w:widowControl w:val="0"/>
        <w:adjustRightInd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（5）享受价格扣除获得政府采购合同的，小微企业不得将合同分包给大中型企业。</w:t>
      </w:r>
    </w:p>
    <w:p>
      <w:pPr>
        <w:widowControl w:val="0"/>
        <w:adjustRightInd w:val="0"/>
        <w:spacing w:line="276" w:lineRule="auto"/>
        <w:ind w:firstLine="480" w:firstLineChars="200"/>
        <w:jc w:val="both"/>
        <w:rPr>
          <w:rFonts w:ascii="宋体" w:eastAsia="宋体" w:hAnsi="宋体" w:cs="宋体"/>
          <w:b/>
          <w:bCs/>
          <w:kern w:val="2"/>
          <w:lang w:eastAsia="zh-CN"/>
        </w:rPr>
      </w:pPr>
      <w:r>
        <w:rPr>
          <w:rFonts w:ascii="宋体" w:eastAsia="宋体" w:hAnsi="宋体" w:cs="宋体" w:hint="eastAsia"/>
          <w:b/>
          <w:bCs/>
          <w:kern w:val="2"/>
          <w:lang w:eastAsia="zh-CN"/>
        </w:rPr>
        <w:t>2</w:t>
      </w:r>
      <w:r>
        <w:rPr>
          <w:rFonts w:ascii="宋体" w:eastAsia="宋体" w:hAnsi="宋体" w:cs="宋体" w:hint="eastAsia"/>
          <w:b/>
          <w:bCs/>
          <w:kern w:val="2"/>
          <w:lang w:eastAsia="zh-CN"/>
        </w:rPr>
        <w:t>.长期服务采购项目</w:t>
      </w:r>
    </w:p>
    <w:p>
      <w:pPr>
        <w:widowControl w:val="0"/>
        <w:adjustRightInd w:val="0"/>
        <w:spacing w:line="360" w:lineRule="auto"/>
        <w:ind w:firstLine="480" w:firstLineChars="200"/>
        <w:jc w:val="both"/>
        <w:rPr>
          <w:rFonts w:ascii="宋体" w:eastAsia="宋体" w:hAnsi="宋体" w:hint="eastAsia"/>
          <w:kern w:val="2"/>
          <w:lang w:eastAsia="zh-CN"/>
        </w:rPr>
      </w:pPr>
      <w:r>
        <w:rPr>
          <w:rFonts w:ascii="宋体" w:eastAsia="宋体" w:hAnsi="宋体" w:hint="eastAsia"/>
          <w:kern w:val="2"/>
          <w:lang w:eastAsia="zh-CN"/>
        </w:rPr>
        <w:t>本项目为长期服务项目，合同期满可以续签，但合同履行期限最长不得超过三十六个月。如甲方对履约情况不满意，甲方不再续约。</w:t>
      </w:r>
    </w:p>
    <w:p>
      <w:pPr>
        <w:widowControl/>
        <w:spacing w:after="120"/>
        <w:jc w:val="left"/>
        <w:rPr>
          <w:rFonts w:ascii="Calibri" w:eastAsia="宋体" w:hAnsi="Calibri"/>
          <w:sz w:val="20"/>
          <w:szCs w:val="20"/>
          <w:lang w:eastAsia="zh-CN"/>
        </w:rPr>
      </w:pPr>
    </w:p>
    <w:p>
      <w:pPr>
        <w:widowControl/>
        <w:spacing w:line="360" w:lineRule="auto"/>
        <w:ind w:firstLine="480" w:firstLineChars="200"/>
        <w:jc w:val="left"/>
        <w:rPr>
          <w:rFonts w:ascii="宋体" w:eastAsia="宋体" w:hAnsi="宋体"/>
          <w:b/>
          <w:lang w:eastAsia="zh-CN"/>
        </w:rPr>
      </w:pPr>
      <w:r>
        <w:rPr>
          <w:rFonts w:ascii="宋体" w:eastAsia="宋体" w:hAnsi="宋体" w:hint="eastAsia"/>
          <w:b/>
          <w:lang w:eastAsia="zh-CN"/>
        </w:rPr>
        <w:t>3.代理服务费</w:t>
      </w:r>
    </w:p>
    <w:p>
      <w:pPr>
        <w:widowControl w:val="0"/>
        <w:tabs>
          <w:tab w:val="left" w:pos="1182"/>
        </w:tabs>
        <w:spacing w:line="360" w:lineRule="auto"/>
        <w:ind w:right="-362" w:firstLine="480" w:rightChars="-151" w:firstLineChars="200"/>
        <w:jc w:val="both"/>
        <w:rPr>
          <w:rFonts w:ascii="宋体" w:eastAsia="宋体" w:hAnsi="宋体" w:cs="宋体"/>
          <w:b/>
          <w:bCs/>
          <w:spacing w:val="-4"/>
          <w:kern w:val="2"/>
          <w:lang w:eastAsia="zh-CN"/>
        </w:rPr>
      </w:pPr>
      <w:r>
        <w:rPr>
          <w:rFonts w:ascii="宋体" w:eastAsia="宋体" w:hAnsi="宋体" w:cs="宋体" w:hint="eastAsia"/>
          <w:b/>
          <w:bCs/>
          <w:spacing w:val="-4"/>
          <w:kern w:val="2"/>
          <w:lang w:eastAsia="zh-CN"/>
        </w:rPr>
        <w:t>本项目为代理服务项目，将向中标供应商收取代理服务费。</w:t>
      </w:r>
    </w:p>
    <w:p>
      <w:pPr>
        <w:widowControl w:val="0"/>
        <w:spacing w:line="360" w:lineRule="auto"/>
        <w:ind w:firstLine="480" w:firstLineChars="200"/>
        <w:jc w:val="both"/>
        <w:rPr>
          <w:rFonts w:ascii="宋体" w:eastAsia="宋体" w:hAnsi="宋体"/>
          <w:kern w:val="2"/>
          <w:lang w:eastAsia="zh-CN"/>
        </w:rPr>
      </w:pPr>
      <w:r>
        <w:rPr>
          <w:rFonts w:ascii="宋体" w:eastAsia="宋体" w:hAnsi="宋体" w:cstheme="minorBidi" w:hint="eastAsia"/>
          <w:kern w:val="2"/>
          <w:lang w:eastAsia="zh-CN"/>
        </w:rPr>
        <w:t>中标（成交）供应商在领取《中标（成交）通知书》之前须向深圳公共资源交易中心（深圳交易集团有限公司南山分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theme="minorBidi" w:hint="eastAsia"/>
          <w:b/>
          <w:kern w:val="2"/>
          <w:u w:val="single"/>
          <w:lang w:eastAsia="zh-CN"/>
        </w:rPr>
        <w:t>服务采购</w:t>
      </w:r>
      <w:r>
        <w:rPr>
          <w:rFonts w:ascii="宋体" w:eastAsia="宋体" w:hAnsi="宋体" w:cstheme="minorBidi" w:hint="eastAsia"/>
          <w:kern w:val="2"/>
          <w:lang w:eastAsia="zh-CN"/>
        </w:rPr>
        <w:t>：</w:t>
      </w:r>
    </w:p>
    <w:p>
      <w:pPr>
        <w:widowControl w:val="0"/>
        <w:spacing w:line="360" w:lineRule="auto"/>
        <w:ind w:firstLine="480" w:firstLineChars="200"/>
        <w:jc w:val="both"/>
        <w:rPr>
          <w:rFonts w:ascii="宋体" w:eastAsia="宋体" w:hAnsi="宋体"/>
          <w:kern w:val="2"/>
          <w:lang w:eastAsia="zh-CN"/>
        </w:rPr>
      </w:pPr>
      <w:r>
        <w:rPr>
          <w:rFonts w:ascii="宋体" w:eastAsia="宋体" w:hAnsi="宋体" w:cstheme="minorBidi" w:hint="eastAsia"/>
          <w:kern w:val="2"/>
          <w:lang w:eastAsia="zh-CN"/>
        </w:rPr>
        <w:t>（一）代理服务费以《中标（成交）通知书》确定的中标（成交）金额作为计算基数，按差额定率累进法计算。</w:t>
      </w:r>
    </w:p>
    <w:p>
      <w:pPr>
        <w:widowControl w:val="0"/>
        <w:spacing w:line="360" w:lineRule="auto"/>
        <w:ind w:firstLine="480" w:firstLineChars="200"/>
        <w:jc w:val="both"/>
        <w:rPr>
          <w:rFonts w:ascii="宋体" w:eastAsia="宋体" w:hAnsi="宋体"/>
          <w:kern w:val="2"/>
          <w:lang w:eastAsia="zh-CN"/>
        </w:rPr>
      </w:pPr>
      <w:r>
        <w:rPr>
          <w:rFonts w:ascii="宋体" w:eastAsia="宋体" w:hAnsi="宋体" w:cstheme="minorBidi" w:hint="eastAsia"/>
          <w:kern w:val="2"/>
          <w:lang w:eastAsia="zh-CN"/>
        </w:rPr>
        <w:t>（二）中标（成交）金额的各部分费率如下表：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38"/>
        <w:gridCol w:w="1910"/>
        <w:gridCol w:w="1763"/>
        <w:gridCol w:w="181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jc w:val="center"/>
        </w:trPr>
        <w:tc>
          <w:tcPr>
            <w:tcW w:w="2932"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中标金额</w:t>
            </w:r>
          </w:p>
        </w:tc>
        <w:tc>
          <w:tcPr>
            <w:tcW w:w="1843"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货物采购</w:t>
            </w:r>
          </w:p>
        </w:tc>
        <w:tc>
          <w:tcPr>
            <w:tcW w:w="1701"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服务采购</w:t>
            </w:r>
          </w:p>
        </w:tc>
        <w:tc>
          <w:tcPr>
            <w:tcW w:w="1747"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工程采购</w:t>
            </w:r>
          </w:p>
        </w:tc>
      </w:tr>
      <w:tr>
        <w:tblPrEx>
          <w:tblW w:w="5000" w:type="pct"/>
          <w:jc w:val="center"/>
          <w:tblLayout w:type="fixed"/>
          <w:tblCellMar>
            <w:top w:w="0" w:type="dxa"/>
            <w:left w:w="108" w:type="dxa"/>
            <w:bottom w:w="0" w:type="dxa"/>
            <w:right w:w="108" w:type="dxa"/>
          </w:tblCellMar>
        </w:tblPrEx>
        <w:trPr>
          <w:trHeight w:val="345"/>
          <w:jc w:val="center"/>
        </w:trPr>
        <w:tc>
          <w:tcPr>
            <w:tcW w:w="2932"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100万元以下</w:t>
            </w:r>
          </w:p>
        </w:tc>
        <w:tc>
          <w:tcPr>
            <w:tcW w:w="1843"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1.5%</w:t>
            </w:r>
          </w:p>
        </w:tc>
        <w:tc>
          <w:tcPr>
            <w:tcW w:w="1701"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1.5%</w:t>
            </w:r>
          </w:p>
        </w:tc>
        <w:tc>
          <w:tcPr>
            <w:tcW w:w="1747"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1.0%</w:t>
            </w:r>
          </w:p>
        </w:tc>
      </w:tr>
      <w:tr>
        <w:tblPrEx>
          <w:tblW w:w="5000" w:type="pct"/>
          <w:jc w:val="center"/>
          <w:tblLayout w:type="fixed"/>
          <w:tblCellMar>
            <w:top w:w="0" w:type="dxa"/>
            <w:left w:w="108" w:type="dxa"/>
            <w:bottom w:w="0" w:type="dxa"/>
            <w:right w:w="108" w:type="dxa"/>
          </w:tblCellMar>
        </w:tblPrEx>
        <w:trPr>
          <w:trHeight w:val="345"/>
          <w:jc w:val="center"/>
        </w:trPr>
        <w:tc>
          <w:tcPr>
            <w:tcW w:w="2932"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100万元（含）-500万元</w:t>
            </w:r>
          </w:p>
        </w:tc>
        <w:tc>
          <w:tcPr>
            <w:tcW w:w="1843"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1.1%</w:t>
            </w:r>
          </w:p>
        </w:tc>
        <w:tc>
          <w:tcPr>
            <w:tcW w:w="1701"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0.8%</w:t>
            </w:r>
          </w:p>
        </w:tc>
        <w:tc>
          <w:tcPr>
            <w:tcW w:w="1747"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0.7%</w:t>
            </w:r>
          </w:p>
        </w:tc>
      </w:tr>
      <w:tr>
        <w:tblPrEx>
          <w:tblW w:w="5000" w:type="pct"/>
          <w:jc w:val="center"/>
          <w:tblLayout w:type="fixed"/>
          <w:tblCellMar>
            <w:top w:w="0" w:type="dxa"/>
            <w:left w:w="108" w:type="dxa"/>
            <w:bottom w:w="0" w:type="dxa"/>
            <w:right w:w="108" w:type="dxa"/>
          </w:tblCellMar>
        </w:tblPrEx>
        <w:trPr>
          <w:trHeight w:val="345"/>
          <w:jc w:val="center"/>
        </w:trPr>
        <w:tc>
          <w:tcPr>
            <w:tcW w:w="2932"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500万元（含）-1000万元</w:t>
            </w:r>
          </w:p>
        </w:tc>
        <w:tc>
          <w:tcPr>
            <w:tcW w:w="1843"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0.8%</w:t>
            </w:r>
          </w:p>
        </w:tc>
        <w:tc>
          <w:tcPr>
            <w:tcW w:w="1701"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0.45%</w:t>
            </w:r>
          </w:p>
        </w:tc>
        <w:tc>
          <w:tcPr>
            <w:tcW w:w="1747"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0.55%</w:t>
            </w:r>
          </w:p>
        </w:tc>
      </w:tr>
      <w:tr>
        <w:tblPrEx>
          <w:tblW w:w="5000" w:type="pct"/>
          <w:jc w:val="center"/>
          <w:tblLayout w:type="fixed"/>
          <w:tblCellMar>
            <w:top w:w="0" w:type="dxa"/>
            <w:left w:w="108" w:type="dxa"/>
            <w:bottom w:w="0" w:type="dxa"/>
            <w:right w:w="108" w:type="dxa"/>
          </w:tblCellMar>
        </w:tblPrEx>
        <w:trPr>
          <w:trHeight w:val="345"/>
          <w:jc w:val="center"/>
        </w:trPr>
        <w:tc>
          <w:tcPr>
            <w:tcW w:w="2932"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1000万元（含）-5000万元</w:t>
            </w:r>
          </w:p>
        </w:tc>
        <w:tc>
          <w:tcPr>
            <w:tcW w:w="1843"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0.5%</w:t>
            </w:r>
          </w:p>
        </w:tc>
        <w:tc>
          <w:tcPr>
            <w:tcW w:w="1701"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0.25%</w:t>
            </w:r>
          </w:p>
        </w:tc>
        <w:tc>
          <w:tcPr>
            <w:tcW w:w="1747"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0.35%</w:t>
            </w:r>
          </w:p>
        </w:tc>
      </w:tr>
      <w:tr>
        <w:tblPrEx>
          <w:tblW w:w="5000" w:type="pct"/>
          <w:jc w:val="center"/>
          <w:tblLayout w:type="fixed"/>
          <w:tblCellMar>
            <w:top w:w="0" w:type="dxa"/>
            <w:left w:w="108" w:type="dxa"/>
            <w:bottom w:w="0" w:type="dxa"/>
            <w:right w:w="108" w:type="dxa"/>
          </w:tblCellMar>
        </w:tblPrEx>
        <w:trPr>
          <w:trHeight w:val="345"/>
          <w:jc w:val="center"/>
        </w:trPr>
        <w:tc>
          <w:tcPr>
            <w:tcW w:w="2932"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5000万元（含）-1亿元</w:t>
            </w:r>
          </w:p>
        </w:tc>
        <w:tc>
          <w:tcPr>
            <w:tcW w:w="1843"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0.25%</w:t>
            </w:r>
          </w:p>
        </w:tc>
        <w:tc>
          <w:tcPr>
            <w:tcW w:w="1701"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0.1%</w:t>
            </w:r>
          </w:p>
        </w:tc>
        <w:tc>
          <w:tcPr>
            <w:tcW w:w="1747"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0.2%</w:t>
            </w:r>
          </w:p>
        </w:tc>
      </w:tr>
      <w:tr>
        <w:tblPrEx>
          <w:tblW w:w="5000" w:type="pct"/>
          <w:jc w:val="center"/>
          <w:tblLayout w:type="fixed"/>
          <w:tblCellMar>
            <w:top w:w="0" w:type="dxa"/>
            <w:left w:w="108" w:type="dxa"/>
            <w:bottom w:w="0" w:type="dxa"/>
            <w:right w:w="108" w:type="dxa"/>
          </w:tblCellMar>
        </w:tblPrEx>
        <w:trPr>
          <w:trHeight w:val="345"/>
          <w:jc w:val="center"/>
        </w:trPr>
        <w:tc>
          <w:tcPr>
            <w:tcW w:w="2932"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1亿元（含）-5亿元</w:t>
            </w:r>
          </w:p>
        </w:tc>
        <w:tc>
          <w:tcPr>
            <w:tcW w:w="1843"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0.05%</w:t>
            </w:r>
          </w:p>
        </w:tc>
        <w:tc>
          <w:tcPr>
            <w:tcW w:w="1701"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0.05%</w:t>
            </w:r>
          </w:p>
        </w:tc>
        <w:tc>
          <w:tcPr>
            <w:tcW w:w="1747"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0.05%</w:t>
            </w:r>
          </w:p>
        </w:tc>
      </w:tr>
      <w:tr>
        <w:tblPrEx>
          <w:tblW w:w="5000" w:type="pct"/>
          <w:jc w:val="center"/>
          <w:tblLayout w:type="fixed"/>
          <w:tblCellMar>
            <w:top w:w="0" w:type="dxa"/>
            <w:left w:w="108" w:type="dxa"/>
            <w:bottom w:w="0" w:type="dxa"/>
            <w:right w:w="108" w:type="dxa"/>
          </w:tblCellMar>
        </w:tblPrEx>
        <w:trPr>
          <w:trHeight w:val="345"/>
          <w:jc w:val="center"/>
        </w:trPr>
        <w:tc>
          <w:tcPr>
            <w:tcW w:w="2932"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5亿元（含）-10亿元</w:t>
            </w:r>
          </w:p>
        </w:tc>
        <w:tc>
          <w:tcPr>
            <w:tcW w:w="1843"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0.035%</w:t>
            </w:r>
          </w:p>
        </w:tc>
        <w:tc>
          <w:tcPr>
            <w:tcW w:w="1701"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0.035%</w:t>
            </w:r>
          </w:p>
        </w:tc>
        <w:tc>
          <w:tcPr>
            <w:tcW w:w="1747"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0.035%</w:t>
            </w:r>
          </w:p>
        </w:tc>
      </w:tr>
      <w:tr>
        <w:tblPrEx>
          <w:tblW w:w="5000" w:type="pct"/>
          <w:jc w:val="center"/>
          <w:tblLayout w:type="fixed"/>
          <w:tblCellMar>
            <w:top w:w="0" w:type="dxa"/>
            <w:left w:w="108" w:type="dxa"/>
            <w:bottom w:w="0" w:type="dxa"/>
            <w:right w:w="108" w:type="dxa"/>
          </w:tblCellMar>
        </w:tblPrEx>
        <w:trPr>
          <w:trHeight w:val="345"/>
          <w:jc w:val="center"/>
        </w:trPr>
        <w:tc>
          <w:tcPr>
            <w:tcW w:w="2932"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10亿元（含）-50亿元</w:t>
            </w:r>
          </w:p>
        </w:tc>
        <w:tc>
          <w:tcPr>
            <w:tcW w:w="1843"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0.008%</w:t>
            </w:r>
          </w:p>
        </w:tc>
        <w:tc>
          <w:tcPr>
            <w:tcW w:w="1701"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0.008%</w:t>
            </w:r>
          </w:p>
        </w:tc>
        <w:tc>
          <w:tcPr>
            <w:tcW w:w="1747"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0.008%</w:t>
            </w:r>
          </w:p>
        </w:tc>
      </w:tr>
      <w:tr>
        <w:tblPrEx>
          <w:tblW w:w="5000" w:type="pct"/>
          <w:jc w:val="center"/>
          <w:tblLayout w:type="fixed"/>
          <w:tblCellMar>
            <w:top w:w="0" w:type="dxa"/>
            <w:left w:w="108" w:type="dxa"/>
            <w:bottom w:w="0" w:type="dxa"/>
            <w:right w:w="108" w:type="dxa"/>
          </w:tblCellMar>
        </w:tblPrEx>
        <w:trPr>
          <w:trHeight w:val="345"/>
          <w:jc w:val="center"/>
        </w:trPr>
        <w:tc>
          <w:tcPr>
            <w:tcW w:w="2932"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50亿元（含）-100亿元</w:t>
            </w:r>
          </w:p>
        </w:tc>
        <w:tc>
          <w:tcPr>
            <w:tcW w:w="1843"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0.006%</w:t>
            </w:r>
          </w:p>
        </w:tc>
        <w:tc>
          <w:tcPr>
            <w:tcW w:w="1701"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0.006%</w:t>
            </w:r>
          </w:p>
        </w:tc>
        <w:tc>
          <w:tcPr>
            <w:tcW w:w="1747"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0.006%</w:t>
            </w:r>
          </w:p>
        </w:tc>
      </w:tr>
      <w:tr>
        <w:tblPrEx>
          <w:tblW w:w="5000" w:type="pct"/>
          <w:jc w:val="center"/>
          <w:tblLayout w:type="fixed"/>
          <w:tblCellMar>
            <w:top w:w="0" w:type="dxa"/>
            <w:left w:w="108" w:type="dxa"/>
            <w:bottom w:w="0" w:type="dxa"/>
            <w:right w:w="108" w:type="dxa"/>
          </w:tblCellMar>
        </w:tblPrEx>
        <w:trPr>
          <w:trHeight w:val="345"/>
          <w:jc w:val="center"/>
        </w:trPr>
        <w:tc>
          <w:tcPr>
            <w:tcW w:w="2932"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100亿元（含）以上</w:t>
            </w:r>
          </w:p>
        </w:tc>
        <w:tc>
          <w:tcPr>
            <w:tcW w:w="1843"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0.004%</w:t>
            </w:r>
          </w:p>
        </w:tc>
        <w:tc>
          <w:tcPr>
            <w:tcW w:w="1701"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0.004%</w:t>
            </w:r>
          </w:p>
        </w:tc>
        <w:tc>
          <w:tcPr>
            <w:tcW w:w="1747" w:type="dxa"/>
            <w:vAlign w:val="center"/>
          </w:tcPr>
          <w:p>
            <w:pPr>
              <w:widowControl/>
              <w:spacing w:line="360" w:lineRule="auto"/>
              <w:jc w:val="center"/>
              <w:rPr>
                <w:rFonts w:ascii="宋体" w:eastAsia="宋体" w:hAnsi="宋体" w:cs="宋体"/>
                <w:kern w:val="2"/>
                <w:lang w:eastAsia="zh-CN"/>
              </w:rPr>
            </w:pPr>
            <w:r>
              <w:rPr>
                <w:rFonts w:ascii="宋体" w:eastAsia="宋体" w:hAnsi="宋体" w:cs="宋体" w:hint="eastAsia"/>
                <w:kern w:val="2"/>
                <w:lang w:eastAsia="zh-CN"/>
              </w:rPr>
              <w:t>0.004%</w:t>
            </w:r>
          </w:p>
        </w:tc>
      </w:tr>
    </w:tbl>
    <w:p>
      <w:pPr>
        <w:widowControl w:val="0"/>
        <w:spacing w:line="360" w:lineRule="auto"/>
        <w:ind w:firstLine="480" w:firstLineChars="200"/>
        <w:jc w:val="both"/>
        <w:rPr>
          <w:rFonts w:ascii="宋体" w:eastAsia="宋体" w:hAnsi="宋体" w:cs="宋体"/>
          <w:kern w:val="2"/>
          <w:lang w:eastAsia="zh-CN"/>
        </w:rPr>
      </w:pPr>
      <w:r>
        <w:rPr>
          <w:rFonts w:ascii="宋体" w:eastAsia="宋体" w:hAnsi="宋体" w:cs="宋体" w:hint="eastAsia"/>
          <w:kern w:val="2"/>
          <w:lang w:eastAsia="zh-CN"/>
        </w:rPr>
        <w:t>备注：</w:t>
      </w:r>
    </w:p>
    <w:p>
      <w:pPr>
        <w:widowControl w:val="0"/>
        <w:spacing w:line="360" w:lineRule="auto"/>
        <w:ind w:firstLine="480" w:firstLineChars="200"/>
        <w:jc w:val="both"/>
        <w:rPr>
          <w:rFonts w:ascii="宋体" w:eastAsia="宋体" w:hAnsi="宋体" w:cs="宋体"/>
          <w:kern w:val="2"/>
          <w:lang w:eastAsia="zh-CN"/>
        </w:rPr>
      </w:pPr>
      <w:r>
        <w:rPr>
          <w:rFonts w:ascii="宋体" w:eastAsia="宋体" w:hAnsi="宋体" w:cs="宋体" w:hint="eastAsia"/>
          <w:kern w:val="2"/>
          <w:lang w:eastAsia="zh-CN"/>
        </w:rPr>
        <w:t>1.每宗交易代理服务费不低于5000元；</w:t>
      </w:r>
    </w:p>
    <w:p>
      <w:pPr>
        <w:widowControl w:val="0"/>
        <w:spacing w:line="360" w:lineRule="auto"/>
        <w:ind w:firstLine="480" w:firstLineChars="200"/>
        <w:jc w:val="both"/>
        <w:rPr>
          <w:rFonts w:ascii="宋体" w:eastAsia="宋体" w:hAnsi="宋体" w:cs="宋体"/>
          <w:kern w:val="2"/>
          <w:lang w:eastAsia="zh-CN"/>
        </w:rPr>
      </w:pPr>
      <w:r>
        <w:rPr>
          <w:rFonts w:ascii="宋体" w:eastAsia="宋体" w:hAnsi="宋体" w:cs="宋体" w:hint="eastAsia"/>
          <w:kern w:val="2"/>
          <w:lang w:eastAsia="zh-CN"/>
        </w:rPr>
        <w:t>2.对于报总价的采购类项目，中标价为中标金额；对于报单价或折扣或费率的采购类项目，中标价为预算上限金额或经委托方与代理方确定的支付上限金额。</w:t>
      </w:r>
    </w:p>
    <w:p>
      <w:pPr>
        <w:widowControl w:val="0"/>
        <w:spacing w:line="360" w:lineRule="auto"/>
        <w:ind w:firstLine="480" w:firstLineChars="200"/>
        <w:jc w:val="both"/>
        <w:rPr>
          <w:rFonts w:ascii="宋体" w:eastAsia="宋体" w:hAnsi="宋体" w:cs="宋体"/>
          <w:kern w:val="2"/>
          <w:lang w:eastAsia="zh-CN"/>
        </w:rPr>
      </w:pPr>
      <w:r>
        <w:rPr>
          <w:rFonts w:ascii="宋体" w:eastAsia="宋体" w:hAnsi="宋体" w:cs="宋体" w:hint="eastAsia"/>
          <w:kern w:val="2"/>
          <w:lang w:eastAsia="zh-CN"/>
        </w:rPr>
        <w:t>3.如某货物招标项目，中标金额为600万元，需交纳的代理服务费具体计算如下：</w:t>
      </w:r>
    </w:p>
    <w:p>
      <w:pPr>
        <w:widowControl w:val="0"/>
        <w:spacing w:line="360" w:lineRule="auto"/>
        <w:ind w:firstLine="480" w:firstLineChars="200"/>
        <w:jc w:val="both"/>
        <w:rPr>
          <w:rFonts w:ascii="宋体" w:eastAsia="宋体" w:hAnsi="宋体" w:cs="宋体"/>
          <w:kern w:val="2"/>
          <w:lang w:eastAsia="zh-CN"/>
        </w:rPr>
      </w:pPr>
      <w:r>
        <w:rPr>
          <w:rFonts w:ascii="宋体" w:eastAsia="宋体" w:hAnsi="宋体" w:cs="宋体" w:hint="eastAsia"/>
          <w:kern w:val="2"/>
          <w:lang w:eastAsia="zh-CN"/>
        </w:rPr>
        <w:t>代理服务费＝（100万元以下部分的代理服务费）+（100万元～500万元部分的代理服务费）+（500万元～600万元部分的代理服务费）＝100万元×1.5%+（500-100）万元×1.1%+（600-500）万元×0.8%=1.5万元+4.4万元+0.8万元＝6.7万元</w:t>
      </w:r>
    </w:p>
    <w:p>
      <w:pPr>
        <w:widowControl w:val="0"/>
        <w:spacing w:line="360" w:lineRule="auto"/>
        <w:ind w:firstLine="480" w:firstLineChars="200"/>
        <w:jc w:val="both"/>
        <w:rPr>
          <w:rFonts w:ascii="宋体" w:eastAsia="宋体" w:hAnsi="宋体" w:cs="宋体"/>
          <w:b/>
          <w:kern w:val="2"/>
          <w:lang w:eastAsia="zh-CN"/>
        </w:rPr>
      </w:pPr>
      <w:r>
        <w:rPr>
          <w:rFonts w:ascii="宋体" w:eastAsia="宋体" w:hAnsi="宋体" w:cs="宋体" w:hint="eastAsia"/>
          <w:kern w:val="2"/>
          <w:lang w:eastAsia="zh-CN"/>
        </w:rPr>
        <w:t>（三）中标供应商中标后，必须按规定采用银行对公转账方式向深圳交易集团有限公司直接交纳代理服务费，交纳信息及要求以相关通知书为准。</w:t>
      </w:r>
    </w:p>
    <w:p>
      <w:pPr>
        <w:widowControl/>
        <w:spacing w:line="360" w:lineRule="auto"/>
        <w:ind w:firstLine="480" w:firstLineChars="200"/>
        <w:jc w:val="left"/>
        <w:rPr>
          <w:rFonts w:ascii="宋体" w:eastAsia="宋体" w:hAnsi="宋体"/>
          <w:bCs/>
          <w:lang w:eastAsia="zh-CN"/>
        </w:rPr>
      </w:pPr>
      <w:r>
        <w:rPr>
          <w:rFonts w:ascii="宋体" w:eastAsia="宋体" w:hAnsi="宋体" w:hint="eastAsia"/>
          <w:bCs/>
          <w:lang w:eastAsia="zh-CN"/>
        </w:rPr>
        <w:t>4.其他说明</w:t>
      </w:r>
    </w:p>
    <w:p>
      <w:pPr>
        <w:widowControl/>
        <w:spacing w:line="360" w:lineRule="auto"/>
        <w:ind w:firstLine="480" w:firstLineChars="200"/>
        <w:jc w:val="left"/>
        <w:rPr>
          <w:rFonts w:ascii="宋体" w:eastAsia="宋体" w:hAnsi="宋体"/>
          <w:bCs/>
          <w:lang w:eastAsia="zh-CN"/>
        </w:rPr>
      </w:pPr>
      <w:r>
        <w:rPr>
          <w:rFonts w:ascii="宋体" w:eastAsia="宋体" w:hAnsi="宋体" w:hint="eastAsia"/>
          <w:bCs/>
          <w:lang w:eastAsia="zh-CN"/>
        </w:rP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pPr>
        <w:widowControl/>
        <w:spacing w:line="360" w:lineRule="auto"/>
        <w:ind w:firstLine="480" w:firstLineChars="200"/>
        <w:jc w:val="left"/>
        <w:rPr>
          <w:rFonts w:ascii="宋体" w:eastAsia="宋体" w:hAnsi="宋体"/>
          <w:bCs/>
          <w:lang w:eastAsia="zh-CN"/>
        </w:rPr>
      </w:pPr>
      <w:r>
        <w:rPr>
          <w:rFonts w:ascii="宋体" w:eastAsia="宋体" w:hAnsi="宋体" w:hint="eastAsia"/>
          <w:bCs/>
          <w:lang w:eastAsia="zh-CN"/>
        </w:rPr>
        <w:t>重要提示：</w:t>
      </w:r>
    </w:p>
    <w:p>
      <w:pPr>
        <w:widowControl/>
        <w:spacing w:line="360" w:lineRule="auto"/>
        <w:ind w:firstLine="480" w:firstLineChars="200"/>
        <w:jc w:val="left"/>
        <w:rPr>
          <w:rFonts w:ascii="宋体" w:eastAsia="宋体" w:hAnsi="宋体"/>
          <w:bCs/>
          <w:lang w:eastAsia="zh-CN"/>
        </w:rPr>
      </w:pPr>
      <w:r>
        <w:rPr>
          <w:rFonts w:ascii="宋体" w:eastAsia="宋体" w:hAnsi="宋体" w:hint="eastAsia"/>
          <w:bCs/>
          <w:lang w:eastAsia="zh-CN"/>
        </w:rPr>
        <w:t>（1）使用电子营业执照功能时，请确保已经在手机微信安装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pPr>
        <w:widowControl/>
        <w:spacing w:line="360" w:lineRule="auto"/>
        <w:ind w:firstLine="480" w:firstLineChars="200"/>
        <w:jc w:val="left"/>
        <w:rPr>
          <w:rFonts w:ascii="宋体" w:eastAsia="宋体" w:hAnsi="宋体"/>
          <w:bCs/>
          <w:lang w:eastAsia="zh-CN"/>
        </w:rPr>
      </w:pPr>
      <w:r>
        <w:rPr>
          <w:rFonts w:ascii="宋体" w:eastAsia="宋体" w:hAnsi="宋体" w:hint="eastAsia"/>
          <w:bCs/>
          <w:lang w:eastAsia="zh-CN"/>
        </w:rPr>
        <w:t>（2）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pPr>
        <w:widowControl/>
        <w:spacing w:line="360" w:lineRule="auto"/>
        <w:ind w:firstLine="480" w:firstLineChars="200"/>
        <w:jc w:val="left"/>
        <w:rPr>
          <w:rFonts w:ascii="宋体" w:eastAsia="宋体" w:hAnsi="宋体"/>
          <w:bCs/>
          <w:lang w:eastAsia="zh-CN"/>
        </w:rPr>
      </w:pPr>
      <w:r>
        <w:rPr>
          <w:rFonts w:ascii="宋体" w:eastAsia="宋体" w:hAnsi="宋体" w:hint="eastAsia"/>
          <w:bCs/>
          <w:lang w:eastAsia="zh-CN"/>
        </w:rPr>
        <w:t>（3）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pPr>
        <w:widowControl/>
        <w:spacing w:line="360" w:lineRule="auto"/>
        <w:jc w:val="left"/>
        <w:rPr>
          <w:rFonts w:eastAsia="宋体"/>
          <w:bCs/>
          <w:szCs w:val="21"/>
          <w:lang w:eastAsia="zh-CN"/>
        </w:rPr>
      </w:pPr>
    </w:p>
    <w:p>
      <w:pPr>
        <w:widowControl/>
        <w:jc w:val="left"/>
        <w:rPr>
          <w:rFonts w:eastAsia="宋体"/>
          <w:kern w:val="2"/>
          <w:sz w:val="21"/>
          <w:lang w:eastAsia="zh-CN"/>
        </w:rPr>
      </w:pPr>
      <w:r>
        <w:rPr>
          <w:rFonts w:eastAsia="宋体"/>
          <w:kern w:val="2"/>
          <w:sz w:val="21"/>
          <w:lang w:eastAsia="zh-CN"/>
        </w:rPr>
        <w:br w:type="page"/>
      </w:r>
    </w:p>
    <w:p>
      <w:pPr>
        <w:keepNext/>
        <w:keepLines/>
        <w:widowControl/>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pPr>
        <w:keepNext/>
        <w:keepLines/>
        <w:widowControl/>
        <w:adjustRightInd w:val="0"/>
        <w:spacing w:before="156" w:beforeLines="50" w:after="156" w:afterLines="50"/>
        <w:jc w:val="center"/>
        <w:textAlignment w:val="baseline"/>
        <w:outlineLvl w:val="1"/>
        <w:rPr>
          <w:rFonts w:ascii="宋体" w:eastAsia="宋体" w:hAnsi="宋体"/>
          <w:b/>
          <w:bCs/>
          <w:lang w:eastAsia="zh-CN"/>
        </w:rPr>
      </w:pPr>
      <w:r>
        <w:rPr>
          <w:rFonts w:ascii="宋体" w:eastAsia="宋体" w:hAnsi="宋体" w:hint="eastAsia"/>
          <w:b/>
          <w:bCs/>
          <w:lang w:eastAsia="zh-CN"/>
        </w:rPr>
        <w:t>一、项目基本信息</w:t>
      </w:r>
    </w:p>
    <w:tbl>
      <w:tblPr>
        <w:tblStyle w:val="TableNormal"/>
        <w:tblpPr w:leftFromText="180" w:rightFromText="180" w:vertAnchor="text" w:horzAnchor="margin" w:tblpX="-318"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9"/>
        <w:gridCol w:w="2484"/>
        <w:gridCol w:w="3516"/>
        <w:gridCol w:w="182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704" w:type="dxa"/>
            <w:vAlign w:val="center"/>
          </w:tcPr>
          <w:p>
            <w:pPr>
              <w:widowControl/>
              <w:jc w:val="center"/>
              <w:rPr>
                <w:rFonts w:eastAsia="宋体"/>
                <w:b/>
                <w:lang w:eastAsia="zh-CN"/>
              </w:rPr>
            </w:pPr>
            <w:r>
              <w:rPr>
                <w:rFonts w:eastAsia="宋体" w:hint="eastAsia"/>
                <w:b/>
                <w:lang w:eastAsia="zh-CN"/>
              </w:rPr>
              <w:t>序号</w:t>
            </w:r>
          </w:p>
        </w:tc>
        <w:tc>
          <w:tcPr>
            <w:tcW w:w="2511" w:type="dxa"/>
            <w:vAlign w:val="center"/>
          </w:tcPr>
          <w:p>
            <w:pPr>
              <w:widowControl/>
              <w:jc w:val="center"/>
              <w:rPr>
                <w:rFonts w:eastAsia="宋体"/>
                <w:b/>
                <w:highlight w:val="yellow"/>
                <w:lang w:eastAsia="zh-CN"/>
              </w:rPr>
            </w:pPr>
            <w:r>
              <w:rPr>
                <w:rFonts w:eastAsia="宋体" w:hint="eastAsia"/>
                <w:b/>
                <w:lang w:eastAsia="zh-CN"/>
              </w:rPr>
              <w:t>采购计划编号</w:t>
            </w:r>
          </w:p>
        </w:tc>
        <w:tc>
          <w:tcPr>
            <w:tcW w:w="3555" w:type="dxa"/>
            <w:vAlign w:val="center"/>
          </w:tcPr>
          <w:p>
            <w:pPr>
              <w:widowControl/>
              <w:jc w:val="center"/>
              <w:rPr>
                <w:rFonts w:eastAsia="宋体"/>
                <w:b/>
                <w:lang w:eastAsia="zh-CN"/>
              </w:rPr>
            </w:pPr>
            <w:r>
              <w:rPr>
                <w:rFonts w:eastAsia="宋体" w:hint="eastAsia"/>
                <w:b/>
                <w:lang w:eastAsia="zh-CN"/>
              </w:rPr>
              <w:t>采购项目名称</w:t>
            </w:r>
          </w:p>
        </w:tc>
        <w:tc>
          <w:tcPr>
            <w:tcW w:w="1842" w:type="dxa"/>
            <w:vAlign w:val="center"/>
          </w:tcPr>
          <w:p>
            <w:pPr>
              <w:widowControl/>
              <w:jc w:val="center"/>
              <w:rPr>
                <w:rFonts w:eastAsia="宋体"/>
                <w:b/>
                <w:bCs/>
                <w:color w:val="FF0000"/>
                <w:lang w:eastAsia="zh-CN"/>
              </w:rPr>
            </w:pPr>
            <w:r>
              <w:rPr>
                <w:rFonts w:eastAsia="宋体" w:hint="eastAsia"/>
                <w:b/>
                <w:bCs/>
                <w:color w:val="FF0000"/>
                <w:lang w:eastAsia="zh-CN"/>
              </w:rPr>
              <w:t>财政预算限额（元）</w:t>
            </w:r>
          </w:p>
        </w:tc>
      </w:tr>
      <w:tr>
        <w:tblPrEx>
          <w:tblW w:w="5000" w:type="pct"/>
          <w:tblInd w:w="0" w:type="dxa"/>
          <w:tblLayout w:type="fixed"/>
          <w:tblCellMar>
            <w:top w:w="0" w:type="dxa"/>
            <w:left w:w="108" w:type="dxa"/>
            <w:bottom w:w="0" w:type="dxa"/>
            <w:right w:w="108" w:type="dxa"/>
          </w:tblCellMar>
        </w:tblPrEx>
        <w:trPr>
          <w:trHeight w:val="1035"/>
        </w:trPr>
        <w:tc>
          <w:tcPr>
            <w:tcW w:w="704" w:type="dxa"/>
            <w:vAlign w:val="center"/>
          </w:tcPr>
          <w:p>
            <w:pPr>
              <w:widowControl/>
              <w:jc w:val="center"/>
              <w:rPr>
                <w:rFonts w:ascii="宋体" w:eastAsia="宋体" w:hAnsi="宋体"/>
                <w:bCs/>
                <w:lang w:eastAsia="zh-CN"/>
              </w:rPr>
            </w:pPr>
            <w:r>
              <w:rPr>
                <w:rFonts w:ascii="宋体" w:eastAsia="宋体" w:hAnsi="宋体" w:hint="eastAsia"/>
                <w:bCs/>
                <w:lang w:eastAsia="zh-CN"/>
              </w:rPr>
              <w:t>1</w:t>
            </w:r>
          </w:p>
        </w:tc>
        <w:tc>
          <w:tcPr>
            <w:tcW w:w="2511" w:type="dxa"/>
            <w:vAlign w:val="center"/>
          </w:tcPr>
          <w:p>
            <w:pPr>
              <w:widowControl/>
              <w:jc w:val="center"/>
              <w:rPr>
                <w:rFonts w:ascii="宋体" w:eastAsia="宋体" w:hAnsi="宋体"/>
                <w:bCs/>
                <w:highlight w:val="yellow"/>
                <w:lang w:eastAsia="zh-CN"/>
              </w:rPr>
            </w:pPr>
            <w:r>
              <w:rPr>
                <w:rFonts w:ascii="宋体" w:eastAsia="宋体" w:hAnsi="宋体" w:hint="eastAsia"/>
                <w:bCs/>
                <w:lang w:eastAsia="zh-CN"/>
              </w:rPr>
              <w:t>JYCG-DECL-2025-4023</w:t>
            </w:r>
          </w:p>
        </w:tc>
        <w:tc>
          <w:tcPr>
            <w:tcW w:w="3555" w:type="dxa"/>
            <w:vAlign w:val="center"/>
          </w:tcPr>
          <w:p>
            <w:pPr>
              <w:widowControl/>
              <w:jc w:val="center"/>
              <w:rPr>
                <w:rFonts w:ascii="宋体" w:eastAsia="宋体" w:hAnsi="宋体" w:hint="eastAsia"/>
                <w:b/>
                <w:bCs/>
                <w:lang w:eastAsia="zh-CN"/>
              </w:rPr>
            </w:pPr>
            <w:r>
              <w:rPr>
                <w:rFonts w:ascii="宋体" w:eastAsia="宋体" w:hAnsi="宋体" w:hint="eastAsia"/>
                <w:b/>
                <w:bCs/>
                <w:lang w:eastAsia="zh-CN"/>
              </w:rPr>
              <w:t>深圳市医疗保障局南山分局医疗保障综合管理服务项目</w:t>
            </w:r>
          </w:p>
        </w:tc>
        <w:tc>
          <w:tcPr>
            <w:tcW w:w="1842" w:type="dxa"/>
            <w:vAlign w:val="center"/>
          </w:tcPr>
          <w:p>
            <w:pPr>
              <w:widowControl w:val="0"/>
              <w:jc w:val="center"/>
              <w:rPr>
                <w:rFonts w:ascii="宋体" w:eastAsia="宋体" w:hAnsi="宋体" w:cs="宋体"/>
                <w:b/>
                <w:bCs/>
                <w:color w:val="FF0000"/>
                <w:kern w:val="2"/>
                <w:lang w:eastAsia="zh-CN"/>
              </w:rPr>
            </w:pPr>
            <w:r>
              <w:rPr>
                <w:rFonts w:ascii="宋体" w:eastAsia="宋体" w:hAnsi="宋体" w:cs="宋体" w:hint="eastAsia"/>
                <w:b/>
                <w:bCs/>
                <w:color w:val="FF0000"/>
                <w:kern w:val="2"/>
                <w:lang w:eastAsia="zh-CN"/>
              </w:rPr>
              <w:t>48</w:t>
            </w:r>
            <w:r>
              <w:rPr>
                <w:rFonts w:ascii="宋体" w:eastAsia="宋体" w:hAnsi="宋体" w:cs="宋体" w:hint="eastAsia"/>
                <w:b/>
                <w:bCs/>
                <w:color w:val="FF0000"/>
                <w:kern w:val="2"/>
                <w:lang w:eastAsia="zh-CN"/>
              </w:rPr>
              <w:t>0,000.00</w:t>
            </w:r>
          </w:p>
        </w:tc>
      </w:tr>
    </w:tbl>
    <w:p>
      <w:pPr>
        <w:widowControl w:val="0"/>
        <w:ind w:firstLine="480" w:firstLineChars="200"/>
        <w:jc w:val="both"/>
        <w:rPr>
          <w:rFonts w:ascii="Calibri" w:eastAsia="宋体" w:hAnsi="Calibri"/>
          <w:b/>
          <w:kern w:val="2"/>
          <w:lang w:eastAsia="zh-CN"/>
        </w:rPr>
      </w:pPr>
    </w:p>
    <w:p>
      <w:pPr>
        <w:widowControl/>
        <w:adjustRightInd w:val="0"/>
        <w:spacing w:before="156" w:beforeLines="50" w:after="156" w:afterLines="50"/>
        <w:jc w:val="center"/>
        <w:textAlignment w:val="baseline"/>
        <w:outlineLvl w:val="1"/>
        <w:rPr>
          <w:rFonts w:eastAsia="宋体"/>
          <w:b/>
          <w:lang w:eastAsia="zh-CN"/>
        </w:rPr>
      </w:pPr>
      <w:r>
        <w:rPr>
          <w:rFonts w:eastAsia="宋体"/>
          <w:b/>
          <w:lang w:eastAsia="zh-CN"/>
        </w:rPr>
        <w:t>二、项目概况</w:t>
      </w:r>
    </w:p>
    <w:p>
      <w:pPr>
        <w:widowControl w:val="0"/>
        <w:ind w:firstLine="480" w:firstLineChars="200"/>
        <w:jc w:val="both"/>
        <w:rPr>
          <w:rFonts w:ascii="宋体" w:eastAsia="宋体" w:hAnsi="宋体" w:hint="eastAsia"/>
          <w:kern w:val="2"/>
          <w:lang w:eastAsia="zh-CN"/>
        </w:rPr>
      </w:pPr>
      <w:r>
        <w:rPr>
          <w:rFonts w:ascii="宋体" w:eastAsia="宋体" w:hAnsi="宋体" w:cstheme="minorBidi" w:hint="eastAsia"/>
          <w:kern w:val="2"/>
          <w:lang w:eastAsia="zh-CN"/>
        </w:rPr>
        <w:t>为积极响应国家关于提升医疗保障服务水平的号召，继续做好</w:t>
      </w:r>
      <w:r>
        <w:rPr>
          <w:rFonts w:ascii="宋体" w:eastAsia="宋体" w:hAnsi="宋体" w:cstheme="minorBidi" w:hint="eastAsia"/>
          <w:kern w:val="2"/>
          <w:lang w:eastAsia="zh-CN"/>
        </w:rPr>
        <w:t>南山区</w:t>
      </w:r>
      <w:r>
        <w:rPr>
          <w:rFonts w:ascii="宋体" w:eastAsia="宋体" w:hAnsi="宋体" w:cstheme="minorBidi" w:hint="eastAsia"/>
          <w:kern w:val="2"/>
          <w:lang w:eastAsia="zh-CN"/>
        </w:rPr>
        <w:t>医疗保障服务工作，提高参保群体的满意度和获得感。根据实际需求，深圳市医疗保障局南山分局启动医疗保障综合管理服务项目采购工作。服务期内，中标供应商需指定4名专职人员开展相关医保业务的参保、报销、管理、服务</w:t>
      </w:r>
      <w:r>
        <w:rPr>
          <w:rFonts w:ascii="宋体" w:eastAsia="宋体" w:hAnsi="宋体" w:cstheme="minorBidi" w:hint="eastAsia"/>
          <w:kern w:val="2"/>
          <w:lang w:eastAsia="zh-CN"/>
        </w:rPr>
        <w:t>、宣传</w:t>
      </w:r>
      <w:r>
        <w:rPr>
          <w:rFonts w:ascii="宋体" w:eastAsia="宋体" w:hAnsi="宋体" w:cstheme="minorBidi" w:hint="eastAsia"/>
          <w:kern w:val="2"/>
          <w:lang w:eastAsia="zh-CN"/>
        </w:rPr>
        <w:t>等工作，进一步强化服务专业性和高效性，从而为群众提供更加优质、便捷的医保服务，该项目总预算金额上限为人民币480000元。</w:t>
      </w:r>
    </w:p>
    <w:p>
      <w:pPr>
        <w:widowControl w:val="0"/>
        <w:jc w:val="both"/>
        <w:rPr>
          <w:rFonts w:ascii="Calibri" w:eastAsia="宋体" w:hAnsi="Calibri"/>
          <w:kern w:val="2"/>
          <w:sz w:val="21"/>
          <w:szCs w:val="22"/>
          <w:lang w:eastAsia="zh-CN"/>
        </w:rPr>
      </w:pPr>
    </w:p>
    <w:p>
      <w:pPr>
        <w:keepNext/>
        <w:keepLines/>
        <w:widowControl/>
        <w:adjustRightInd w:val="0"/>
        <w:spacing w:before="156" w:beforeLines="50" w:after="156" w:afterLines="50"/>
        <w:jc w:val="center"/>
        <w:textAlignment w:val="baseline"/>
        <w:outlineLvl w:val="1"/>
        <w:rPr>
          <w:rFonts w:eastAsia="宋体"/>
          <w:b/>
          <w:bCs/>
          <w:lang w:eastAsia="zh-CN"/>
        </w:rPr>
      </w:pPr>
      <w:r>
        <w:rPr>
          <w:rFonts w:eastAsia="宋体" w:hint="eastAsia"/>
          <w:b/>
          <w:bCs/>
          <w:lang w:eastAsia="zh-CN"/>
        </w:rPr>
        <w:t>三</w:t>
      </w:r>
      <w:r>
        <w:rPr>
          <w:rFonts w:eastAsia="宋体"/>
          <w:b/>
          <w:bCs/>
          <w:lang w:eastAsia="zh-CN"/>
        </w:rPr>
        <w:t>、服务需求明细</w:t>
      </w:r>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53"/>
        <w:gridCol w:w="2439"/>
        <w:gridCol w:w="3518"/>
        <w:gridCol w:w="1001"/>
        <w:gridCol w:w="91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0"/>
        </w:trPr>
        <w:tc>
          <w:tcPr>
            <w:tcW w:w="675" w:type="dxa"/>
            <w:vAlign w:val="center"/>
          </w:tcPr>
          <w:p>
            <w:pPr>
              <w:widowControl/>
              <w:spacing w:line="360" w:lineRule="auto"/>
              <w:jc w:val="center"/>
              <w:rPr>
                <w:rFonts w:ascii="宋体" w:eastAsia="宋体" w:hAnsi="宋体"/>
                <w:b/>
                <w:bCs/>
                <w:lang w:eastAsia="zh-CN"/>
              </w:rPr>
            </w:pPr>
            <w:r>
              <w:rPr>
                <w:rFonts w:ascii="宋体" w:eastAsia="宋体" w:hAnsi="宋体"/>
                <w:b/>
                <w:bCs/>
                <w:lang w:eastAsia="zh-CN"/>
              </w:rPr>
              <w:t>序号</w:t>
            </w:r>
          </w:p>
        </w:tc>
        <w:tc>
          <w:tcPr>
            <w:tcW w:w="2551" w:type="dxa"/>
            <w:vAlign w:val="center"/>
          </w:tcPr>
          <w:p>
            <w:pPr>
              <w:widowControl/>
              <w:spacing w:line="360" w:lineRule="auto"/>
              <w:jc w:val="center"/>
              <w:rPr>
                <w:rFonts w:ascii="宋体" w:eastAsia="宋体" w:hAnsi="宋体"/>
                <w:b/>
                <w:bCs/>
                <w:lang w:eastAsia="zh-CN"/>
              </w:rPr>
            </w:pPr>
            <w:r>
              <w:rPr>
                <w:rFonts w:ascii="宋体" w:eastAsia="宋体" w:hAnsi="宋体"/>
                <w:b/>
                <w:lang w:eastAsia="zh-CN"/>
              </w:rPr>
              <w:t>采购计划编号</w:t>
            </w:r>
          </w:p>
        </w:tc>
        <w:tc>
          <w:tcPr>
            <w:tcW w:w="3685" w:type="dxa"/>
            <w:vAlign w:val="center"/>
          </w:tcPr>
          <w:p>
            <w:pPr>
              <w:widowControl/>
              <w:spacing w:line="360" w:lineRule="auto"/>
              <w:jc w:val="center"/>
              <w:rPr>
                <w:rFonts w:ascii="宋体" w:eastAsia="宋体" w:hAnsi="宋体"/>
                <w:b/>
                <w:bCs/>
                <w:lang w:eastAsia="zh-CN"/>
              </w:rPr>
            </w:pPr>
            <w:r>
              <w:rPr>
                <w:rFonts w:ascii="宋体" w:eastAsia="宋体" w:hAnsi="宋体"/>
                <w:b/>
                <w:bCs/>
                <w:lang w:eastAsia="zh-CN"/>
              </w:rPr>
              <w:t>服务需求名称（标的名称）</w:t>
            </w:r>
          </w:p>
        </w:tc>
        <w:tc>
          <w:tcPr>
            <w:tcW w:w="1040" w:type="dxa"/>
            <w:vAlign w:val="center"/>
          </w:tcPr>
          <w:p>
            <w:pPr>
              <w:widowControl/>
              <w:spacing w:line="360" w:lineRule="auto"/>
              <w:jc w:val="center"/>
              <w:rPr>
                <w:rFonts w:ascii="宋体" w:eastAsia="宋体" w:hAnsi="宋体"/>
                <w:b/>
                <w:bCs/>
                <w:lang w:eastAsia="zh-CN"/>
              </w:rPr>
            </w:pPr>
            <w:r>
              <w:rPr>
                <w:rFonts w:ascii="宋体" w:eastAsia="宋体" w:hAnsi="宋体"/>
                <w:b/>
                <w:bCs/>
                <w:lang w:eastAsia="zh-CN"/>
              </w:rPr>
              <w:t>数量</w:t>
            </w:r>
          </w:p>
        </w:tc>
        <w:tc>
          <w:tcPr>
            <w:tcW w:w="945" w:type="dxa"/>
            <w:vAlign w:val="center"/>
          </w:tcPr>
          <w:p>
            <w:pPr>
              <w:widowControl/>
              <w:spacing w:line="360" w:lineRule="auto"/>
              <w:jc w:val="center"/>
              <w:rPr>
                <w:rFonts w:ascii="宋体" w:eastAsia="宋体" w:hAnsi="宋体"/>
                <w:b/>
                <w:bCs/>
                <w:lang w:eastAsia="zh-CN"/>
              </w:rPr>
            </w:pPr>
            <w:r>
              <w:rPr>
                <w:rFonts w:ascii="宋体" w:eastAsia="宋体" w:hAnsi="宋体"/>
                <w:b/>
                <w:bCs/>
                <w:lang w:eastAsia="zh-CN"/>
              </w:rPr>
              <w:t>单位</w:t>
            </w:r>
          </w:p>
        </w:tc>
      </w:tr>
      <w:tr>
        <w:tblPrEx>
          <w:tblW w:w="5000" w:type="pct"/>
          <w:tblInd w:w="0" w:type="dxa"/>
          <w:tblLayout w:type="fixed"/>
          <w:tblCellMar>
            <w:top w:w="0" w:type="dxa"/>
            <w:left w:w="108" w:type="dxa"/>
            <w:bottom w:w="0" w:type="dxa"/>
            <w:right w:w="108" w:type="dxa"/>
          </w:tblCellMar>
        </w:tblPrEx>
        <w:trPr>
          <w:trHeight w:val="1247"/>
        </w:trPr>
        <w:tc>
          <w:tcPr>
            <w:tcW w:w="675" w:type="dxa"/>
            <w:vAlign w:val="center"/>
          </w:tcPr>
          <w:p>
            <w:pPr>
              <w:widowControl/>
              <w:spacing w:line="360" w:lineRule="auto"/>
              <w:jc w:val="center"/>
              <w:rPr>
                <w:rFonts w:ascii="宋体" w:eastAsia="宋体" w:hAnsi="宋体"/>
                <w:bCs/>
                <w:lang w:eastAsia="zh-CN"/>
              </w:rPr>
            </w:pPr>
            <w:r>
              <w:rPr>
                <w:rFonts w:ascii="宋体" w:eastAsia="宋体" w:hAnsi="宋体"/>
                <w:bCs/>
                <w:lang w:eastAsia="zh-CN"/>
              </w:rPr>
              <w:t>1</w:t>
            </w:r>
          </w:p>
        </w:tc>
        <w:tc>
          <w:tcPr>
            <w:tcW w:w="2551" w:type="dxa"/>
            <w:vAlign w:val="center"/>
          </w:tcPr>
          <w:p>
            <w:pPr>
              <w:widowControl/>
              <w:spacing w:line="360" w:lineRule="auto"/>
              <w:jc w:val="center"/>
              <w:rPr>
                <w:rFonts w:ascii="宋体" w:eastAsia="宋体" w:hAnsi="宋体"/>
                <w:bCs/>
                <w:lang w:eastAsia="zh-CN"/>
              </w:rPr>
            </w:pPr>
            <w:r>
              <w:rPr>
                <w:rFonts w:ascii="宋体" w:eastAsia="宋体" w:hAnsi="宋体" w:hint="eastAsia"/>
                <w:bCs/>
                <w:lang w:eastAsia="zh-CN"/>
              </w:rPr>
              <w:t>JYCG-DECL-2025-4023</w:t>
            </w:r>
          </w:p>
        </w:tc>
        <w:tc>
          <w:tcPr>
            <w:tcW w:w="3685" w:type="dxa"/>
            <w:vAlign w:val="center"/>
          </w:tcPr>
          <w:p>
            <w:pPr>
              <w:widowControl/>
              <w:spacing w:line="360" w:lineRule="auto"/>
              <w:jc w:val="center"/>
              <w:rPr>
                <w:rFonts w:ascii="宋体" w:eastAsia="宋体" w:hAnsi="宋体" w:hint="eastAsia"/>
                <w:bCs/>
                <w:lang w:eastAsia="zh-CN"/>
              </w:rPr>
            </w:pPr>
            <w:r>
              <w:rPr>
                <w:rFonts w:ascii="宋体" w:eastAsia="宋体" w:hAnsi="宋体" w:hint="eastAsia"/>
                <w:b/>
                <w:bCs/>
                <w:color w:val="FF0000"/>
                <w:lang w:eastAsia="zh-CN"/>
              </w:rPr>
              <w:t>深圳市医疗保障局南山分局医疗保障综合管理服务项目</w:t>
            </w:r>
          </w:p>
        </w:tc>
        <w:tc>
          <w:tcPr>
            <w:tcW w:w="1040" w:type="dxa"/>
            <w:vAlign w:val="center"/>
          </w:tcPr>
          <w:p>
            <w:pPr>
              <w:widowControl/>
              <w:spacing w:line="360" w:lineRule="auto"/>
              <w:jc w:val="center"/>
              <w:rPr>
                <w:rFonts w:ascii="宋体" w:eastAsia="宋体" w:hAnsi="宋体"/>
                <w:b/>
                <w:lang w:eastAsia="zh-CN"/>
              </w:rPr>
            </w:pPr>
            <w:r>
              <w:rPr>
                <w:rFonts w:ascii="宋体" w:eastAsia="宋体" w:hAnsi="宋体" w:hint="eastAsia"/>
                <w:b/>
                <w:lang w:eastAsia="zh-CN"/>
              </w:rPr>
              <w:t>1</w:t>
            </w:r>
          </w:p>
        </w:tc>
        <w:tc>
          <w:tcPr>
            <w:tcW w:w="945" w:type="dxa"/>
            <w:vAlign w:val="center"/>
          </w:tcPr>
          <w:p>
            <w:pPr>
              <w:widowControl/>
              <w:spacing w:line="360" w:lineRule="auto"/>
              <w:jc w:val="center"/>
              <w:rPr>
                <w:rFonts w:ascii="宋体" w:eastAsia="宋体" w:hAnsi="宋体"/>
                <w:b/>
                <w:lang w:eastAsia="zh-CN"/>
              </w:rPr>
            </w:pPr>
            <w:r>
              <w:rPr>
                <w:rFonts w:ascii="宋体" w:eastAsia="宋体" w:hAnsi="宋体" w:hint="eastAsia"/>
                <w:b/>
                <w:lang w:eastAsia="zh-CN"/>
              </w:rPr>
              <w:t>项</w:t>
            </w:r>
          </w:p>
        </w:tc>
      </w:tr>
    </w:tbl>
    <w:p>
      <w:pPr>
        <w:widowControl/>
        <w:spacing w:line="360" w:lineRule="auto"/>
        <w:jc w:val="left"/>
        <w:rPr>
          <w:rFonts w:eastAsia="宋体"/>
          <w:b/>
          <w:szCs w:val="21"/>
          <w:lang w:eastAsia="zh-CN"/>
        </w:rPr>
      </w:pPr>
    </w:p>
    <w:p>
      <w:pPr>
        <w:keepNext/>
        <w:keepLines/>
        <w:widowControl/>
        <w:adjustRightInd w:val="0"/>
        <w:spacing w:before="156" w:beforeLines="50" w:after="156" w:afterLines="50"/>
        <w:jc w:val="center"/>
        <w:textAlignment w:val="baseline"/>
        <w:outlineLvl w:val="1"/>
        <w:rPr>
          <w:rFonts w:eastAsia="宋体"/>
          <w:b/>
          <w:bCs/>
          <w:lang w:eastAsia="zh-CN"/>
        </w:rPr>
      </w:pPr>
      <w:r>
        <w:rPr>
          <w:rFonts w:eastAsia="宋体" w:hint="eastAsia"/>
          <w:b/>
          <w:bCs/>
          <w:lang w:eastAsia="zh-CN"/>
        </w:rPr>
        <w:t>四</w:t>
      </w:r>
      <w:r>
        <w:rPr>
          <w:rFonts w:eastAsia="宋体"/>
          <w:b/>
          <w:bCs/>
          <w:lang w:eastAsia="zh-CN"/>
        </w:rPr>
        <w:t>、实质性条款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9"/>
        <w:gridCol w:w="781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5"/>
        </w:trPr>
        <w:tc>
          <w:tcPr>
            <w:tcW w:w="73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eastAsia="宋体" w:hAnsi="宋体"/>
                <w:b/>
                <w:bCs/>
                <w:color w:val="FF0000"/>
                <w:szCs w:val="21"/>
                <w:lang w:eastAsia="zh-CN"/>
              </w:rPr>
            </w:pPr>
            <w:r>
              <w:rPr>
                <w:rFonts w:ascii="宋体" w:eastAsia="宋体" w:hAnsi="宋体"/>
                <w:b/>
                <w:bCs/>
                <w:color w:val="FF0000"/>
                <w:szCs w:val="21"/>
                <w:lang w:eastAsia="zh-CN"/>
              </w:rPr>
              <w:t>序号</w:t>
            </w:r>
          </w:p>
        </w:tc>
        <w:tc>
          <w:tcPr>
            <w:tcW w:w="82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eastAsia="宋体" w:hAnsi="宋体"/>
                <w:b/>
                <w:bCs/>
                <w:color w:val="FF0000"/>
                <w:szCs w:val="21"/>
                <w:lang w:eastAsia="zh-CN"/>
              </w:rPr>
            </w:pPr>
            <w:r>
              <w:rPr>
                <w:rFonts w:ascii="宋体" w:eastAsia="宋体" w:hAnsi="宋体"/>
                <w:b/>
                <w:bCs/>
                <w:color w:val="FF0000"/>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rPr>
          <w:trHeight w:val="698"/>
        </w:trPr>
        <w:tc>
          <w:tcPr>
            <w:tcW w:w="734"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0"/>
              <w:rPr>
                <w:rFonts w:ascii="宋体" w:eastAsia="宋体" w:hAnsi="宋体"/>
                <w:bCs/>
                <w:color w:val="FF0000"/>
                <w:szCs w:val="21"/>
                <w:highlight w:val="yellow"/>
                <w:lang w:eastAsia="zh-CN"/>
              </w:rPr>
            </w:pPr>
            <w:r>
              <w:rPr>
                <w:rFonts w:ascii="宋体" w:eastAsia="宋体" w:hAnsi="宋体"/>
                <w:bCs/>
                <w:color w:val="FF0000"/>
                <w:szCs w:val="21"/>
                <w:lang w:eastAsia="zh-CN"/>
              </w:rPr>
              <w:t>1</w:t>
            </w:r>
          </w:p>
        </w:tc>
        <w:tc>
          <w:tcPr>
            <w:tcW w:w="8206" w:type="dxa"/>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★（五）项目服务配备人员要求</w:t>
            </w:r>
          </w:p>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为保证项目服务质量，投标人需承诺，中标后配备的项目服务人员满足以下要求：（投标时需提供《承诺函》</w:t>
            </w:r>
            <w:r>
              <w:rPr>
                <w:rFonts w:ascii="宋体" w:eastAsia="宋体" w:hAnsi="宋体" w:hint="eastAsia"/>
                <w:bCs/>
                <w:color w:val="FF0000"/>
                <w:szCs w:val="21"/>
                <w:lang w:eastAsia="zh-CN"/>
              </w:rPr>
              <w:t>，具体内容见下文附件</w:t>
            </w:r>
            <w:r>
              <w:rPr>
                <w:rFonts w:ascii="宋体" w:eastAsia="宋体" w:hAnsi="宋体" w:hint="eastAsia"/>
                <w:bCs/>
                <w:color w:val="FF0000"/>
                <w:szCs w:val="21"/>
                <w:lang w:eastAsia="zh-CN"/>
              </w:rPr>
              <w:t>）</w:t>
            </w:r>
          </w:p>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1、配备的服务人员数量不少于4人。</w:t>
            </w:r>
          </w:p>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2、配备服务人员学历、职称、工作经验等要求：</w:t>
            </w:r>
          </w:p>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（1）具有良好的政治素质和道德品质，践行社会主义核心价值观，无违法犯罪记录；</w:t>
            </w:r>
          </w:p>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（2）具有从事医疗相关工作或机关事业单位工作经验优先；</w:t>
            </w:r>
          </w:p>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（3）具有大专及以上学历；</w:t>
            </w:r>
          </w:p>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（4）专业要求：医学类专业优先；</w:t>
            </w:r>
          </w:p>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（5）承诺身体健康，能按采购人要求履行相应工作职责；</w:t>
            </w:r>
          </w:p>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（6）具有良好的沟通组织协调能力；</w:t>
            </w:r>
          </w:p>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（7）具有较强的服务意识和工作责任感；</w:t>
            </w:r>
          </w:p>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（8）承诺满足采购单位规定的其他符合从事医疗保障服务工作的资质和条件。</w:t>
            </w:r>
          </w:p>
        </w:tc>
      </w:tr>
      <w:tr>
        <w:tblPrEx>
          <w:tblW w:w="5000" w:type="pct"/>
          <w:tblInd w:w="0" w:type="dxa"/>
          <w:tblLayout w:type="fixed"/>
          <w:tblCellMar>
            <w:top w:w="0" w:type="dxa"/>
            <w:left w:w="108" w:type="dxa"/>
            <w:bottom w:w="0" w:type="dxa"/>
            <w:right w:w="108" w:type="dxa"/>
          </w:tblCellMar>
        </w:tblPrEx>
        <w:trPr>
          <w:trHeight w:val="698"/>
        </w:trPr>
        <w:tc>
          <w:tcPr>
            <w:tcW w:w="734"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0"/>
              <w:rPr>
                <w:rFonts w:ascii="宋体" w:eastAsia="宋体" w:hAnsi="宋体" w:hint="eastAsia"/>
                <w:bCs/>
                <w:color w:val="FF0000"/>
                <w:szCs w:val="21"/>
                <w:lang w:eastAsia="zh-CN"/>
              </w:rPr>
            </w:pPr>
            <w:r>
              <w:rPr>
                <w:rFonts w:ascii="宋体" w:eastAsia="宋体" w:hAnsi="宋体" w:hint="eastAsia"/>
                <w:bCs/>
                <w:color w:val="FF0000"/>
                <w:szCs w:val="21"/>
                <w:lang w:eastAsia="zh-CN"/>
              </w:rPr>
              <w:t>2</w:t>
            </w:r>
          </w:p>
        </w:tc>
        <w:tc>
          <w:tcPr>
            <w:tcW w:w="8206" w:type="dxa"/>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cs="宋体" w:hint="eastAsia"/>
                <w:b/>
                <w:color w:val="FF0000"/>
                <w:sz w:val="21"/>
                <w:szCs w:val="21"/>
                <w:lang w:eastAsia="zh-CN"/>
              </w:rPr>
              <w:t>★</w:t>
            </w:r>
            <w:r>
              <w:rPr>
                <w:rFonts w:ascii="宋体" w:eastAsia="宋体" w:hAnsi="宋体" w:cs="宋体" w:hint="eastAsia"/>
                <w:b/>
                <w:color w:val="FF0000"/>
                <w:kern w:val="2"/>
                <w:lang w:eastAsia="zh-CN"/>
              </w:rPr>
              <w:t>服务期限：</w:t>
            </w:r>
            <w:r>
              <w:rPr>
                <w:rFonts w:ascii="宋体" w:eastAsia="宋体" w:hAnsi="宋体" w:cs="宋体" w:hint="eastAsia"/>
                <w:bCs/>
                <w:color w:val="FF0000"/>
                <w:kern w:val="2"/>
                <w:lang w:eastAsia="zh-CN"/>
              </w:rPr>
              <w:t>1年，自合同签订（或约定）之日起算（如果出现预算等政策变化可以调整）。</w:t>
            </w:r>
          </w:p>
        </w:tc>
      </w:tr>
    </w:tbl>
    <w:p>
      <w:pPr>
        <w:widowControl/>
        <w:spacing w:line="360" w:lineRule="auto"/>
        <w:jc w:val="left"/>
        <w:rPr>
          <w:rFonts w:eastAsia="宋体"/>
          <w:b/>
          <w:lang w:eastAsia="zh-CN"/>
        </w:rPr>
      </w:pPr>
      <w:r>
        <w:rPr>
          <w:rFonts w:eastAsia="宋体"/>
          <w:b/>
          <w:lang w:eastAsia="zh-CN"/>
        </w:rPr>
        <w:t>注：上表所列内容为不可负偏离条款，负偏离将视为未实质性满足招标文件要求作投标无效处理。</w:t>
      </w:r>
    </w:p>
    <w:p>
      <w:pPr>
        <w:widowControl w:val="0"/>
        <w:spacing w:line="360" w:lineRule="auto"/>
        <w:jc w:val="both"/>
        <w:rPr>
          <w:rFonts w:ascii="Calibri" w:eastAsia="宋体" w:hAnsi="Calibri"/>
          <w:kern w:val="2"/>
          <w:lang w:eastAsia="zh-CN"/>
        </w:rPr>
      </w:pPr>
    </w:p>
    <w:p>
      <w:pPr>
        <w:widowControl/>
        <w:adjustRightInd w:val="0"/>
        <w:spacing w:before="156" w:beforeLines="50" w:after="156" w:afterLines="50"/>
        <w:jc w:val="center"/>
        <w:textAlignment w:val="baseline"/>
        <w:outlineLvl w:val="1"/>
        <w:rPr>
          <w:rFonts w:eastAsia="宋体"/>
          <w:b/>
          <w:lang w:eastAsia="zh-CN"/>
        </w:rPr>
      </w:pPr>
      <w:r>
        <w:rPr>
          <w:rFonts w:eastAsia="宋体" w:hint="eastAsia"/>
          <w:b/>
          <w:lang w:eastAsia="zh-CN"/>
        </w:rPr>
        <w:t>五</w:t>
      </w:r>
      <w:r>
        <w:rPr>
          <w:rFonts w:eastAsia="宋体" w:hint="eastAsia"/>
          <w:b/>
          <w:lang w:eastAsia="zh-CN"/>
        </w:rPr>
        <w:t>、项目服务内容及要求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b/>
          <w:kern w:val="2"/>
          <w:szCs w:val="22"/>
          <w:lang w:eastAsia="zh-CN"/>
        </w:rPr>
      </w:pPr>
      <w:r>
        <w:rPr>
          <w:rFonts w:ascii="宋体" w:eastAsia="宋体" w:hAnsi="宋体" w:cs="宋体" w:hint="eastAsia"/>
          <w:b/>
          <w:kern w:val="2"/>
          <w:szCs w:val="22"/>
          <w:lang w:eastAsia="zh-CN"/>
        </w:rPr>
        <w:t>（一）合同订立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采购单位根据工作项目类别、名称、数量、条件等与中标单位签订合同。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b/>
          <w:kern w:val="2"/>
          <w:szCs w:val="22"/>
          <w:lang w:eastAsia="zh-CN"/>
        </w:rPr>
      </w:pPr>
      <w:r>
        <w:rPr>
          <w:rFonts w:ascii="宋体" w:eastAsia="宋体" w:hAnsi="宋体" w:cs="宋体" w:hint="eastAsia"/>
          <w:b/>
          <w:kern w:val="2"/>
          <w:szCs w:val="22"/>
          <w:lang w:eastAsia="zh-CN"/>
        </w:rPr>
        <w:t>（二）项目要求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1、为完成工作项目，项目服务中标单位应配备4人专职人员成立项目工作小组，中标单位须保证项目服务配备人员队伍的相对稳定，保证工作时效和质量。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2、项目服务配备人员采购单位不提供住宿，劳动工作时间依照《劳动法》及相关法规执行，社会保障由中标单位负责。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3、中标单位需保证项目服务配备人员不出现空缺，确保工作项目服务的连续性。具体岗位安排由采购单位根据工作需要设置。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4、中标单位根据采购单位的人员要求和数量，在规定的时间内完成人员的招聘，招聘服务包括招聘发布，进行初轮简历筛选、第一轮面试及基本技能测试，按1:3择优推送人员进行最终面试，最终面试由采购单位组织开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Calibri" w:eastAsia="宋体" w:hAnsi="Calibri"/>
          <w:kern w:val="2"/>
          <w:sz w:val="21"/>
          <w:szCs w:val="22"/>
          <w:lang w:eastAsia="zh-CN"/>
        </w:rPr>
      </w:pPr>
      <w:r>
        <w:rPr>
          <w:rFonts w:ascii="宋体" w:eastAsia="宋体" w:hAnsi="宋体" w:cs="宋体" w:hint="eastAsia"/>
          <w:kern w:val="2"/>
          <w:szCs w:val="22"/>
          <w:lang w:eastAsia="zh-CN"/>
        </w:rPr>
        <w:t>5、</w:t>
      </w:r>
      <w:r>
        <w:rPr>
          <w:rFonts w:ascii="宋体" w:eastAsia="宋体" w:hAnsi="宋体" w:cs="宋体" w:hint="eastAsia"/>
          <w:kern w:val="2"/>
          <w:szCs w:val="22"/>
          <w:lang w:eastAsia="zh-CN"/>
        </w:rPr>
        <w:t>为确保新入职员工能够快速适应岗位需求并高效开展工作，供应商需根据采购单位的要求，配合开展有关培训。供应商应依据教育服务认证标准，确保培训过程规范，为新员工提供高质量的入职培训支持。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eastAsia="宋体" w:hAnsi="Courier New"/>
          <w:kern w:val="2"/>
          <w:sz w:val="21"/>
          <w:szCs w:val="20"/>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b/>
          <w:kern w:val="2"/>
          <w:szCs w:val="22"/>
          <w:lang w:eastAsia="zh-CN"/>
        </w:rPr>
      </w:pPr>
      <w:r>
        <w:rPr>
          <w:rFonts w:ascii="宋体" w:eastAsia="宋体" w:hAnsi="宋体" w:cs="宋体" w:hint="eastAsia"/>
          <w:b/>
          <w:kern w:val="2"/>
          <w:szCs w:val="22"/>
          <w:lang w:eastAsia="zh-CN"/>
        </w:rPr>
        <w:t>（三）日常管理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1、项目服务配备人员与中标单位建立劳动关系，与采购单位不建立劳动关系。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2、中标单位须负责项目服务配备人员的人事、劳资、社会保险、计生等人事劳资管理工作，并提供为项目服务配备人员办理劳动用工手续、结算发放工资、缴纳社会保险及住房公积金、管理人事档案、发放经济补偿金、工会管理、健康体检等方面的管理服务，并负责处理合同服务期内所有劳资纠纷和调解管理纠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3、为保证项目服务配备人员的综合素质及保障队伍稳定性，中标单位须经采购单位同意后再与项目服务配备人员签订劳动合同。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4、中标单位须按月发放完成项目人员的工资，中标单位须按照合同约定的时间、经采购单位核定的标准，及时、足额向全体完成项目人员发放工资和其他福利。非经采购单位书面通知，不得扣发完成项目人员工资和其他福利，不得缩减或变更完成项目人员社会保险缴付金额和险种或公积金的缴存标准和比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5、中标单位应要求、教育服务配备人员服从采购单位的规章制度要求和工作安排。采购单位有权要求调换不适合相关工作的项目服务配备人员，中标单位调换项目服务配备人员须得到采购单位的同意。项目服务配备人员有以下情形之一的，采购单位可立即通知并退回中标单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①在用工期间不符合采购单位工作要求的；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②严重违反采购单位工作纪律、组织纪律、规章制度的；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③严重工作失职，营私舞弊，给采购单位造成重大损害的；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④被依法追究刑事责任的。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b/>
          <w:kern w:val="2"/>
          <w:szCs w:val="22"/>
          <w:lang w:eastAsia="zh-CN"/>
        </w:rPr>
      </w:pPr>
      <w:r>
        <w:rPr>
          <w:rFonts w:ascii="宋体" w:eastAsia="宋体" w:hAnsi="宋体" w:cs="宋体" w:hint="eastAsia"/>
          <w:b/>
          <w:kern w:val="2"/>
          <w:szCs w:val="22"/>
          <w:lang w:eastAsia="zh-CN"/>
        </w:rPr>
        <w:t>（四）服务责任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szCs w:val="22"/>
          <w:lang w:eastAsia="zh-CN"/>
        </w:rPr>
      </w:pPr>
      <w:r>
        <w:rPr>
          <w:rFonts w:ascii="宋体" w:eastAsia="宋体" w:hAnsi="宋体" w:cs="宋体" w:hint="eastAsia"/>
          <w:kern w:val="2"/>
          <w:szCs w:val="22"/>
          <w:lang w:eastAsia="zh-CN"/>
        </w:rPr>
        <w:t>因项目服务配备人员的工作失职或故意行为或违法犯罪行为造成采购单位重大损失的，中标单位应配合有关部门开展调查工作；因中标单位自身原因所引发的一切纠纷，由中标单位负完全责任；因中标单位自身原因导致纠纷扩大或未能减小采购单位相关损失的，由中标单位承担相应责任。中标单位不履行合同的或者履行合同不符合约定的，采购单位有权追究其违约责任。</w:t>
      </w:r>
    </w:p>
    <w:p>
      <w:pPr>
        <w:keepNext w:val="0"/>
        <w:keepLines w:val="0"/>
        <w:pageBreakBefore w:val="0"/>
        <w:widowControl w:val="0"/>
        <w:kinsoku/>
        <w:wordWrap/>
        <w:overflowPunct/>
        <w:topLinePunct w:val="0"/>
        <w:autoSpaceDE/>
        <w:autoSpaceDN/>
        <w:bidi w:val="0"/>
        <w:adjustRightInd/>
        <w:snapToGrid/>
        <w:spacing w:line="240" w:lineRule="auto"/>
        <w:ind w:left="547" w:leftChars="228"/>
        <w:jc w:val="left"/>
        <w:textAlignment w:val="auto"/>
        <w:rPr>
          <w:rFonts w:ascii="宋体" w:eastAsia="宋体" w:hAnsi="宋体" w:cs="宋体" w:hint="eastAsia"/>
          <w:b/>
          <w:color w:val="FF0000"/>
          <w:kern w:val="2"/>
          <w:szCs w:val="22"/>
          <w:lang w:eastAsia="zh-CN"/>
        </w:rPr>
      </w:pPr>
      <w:r>
        <w:rPr>
          <w:rFonts w:ascii="宋体" w:eastAsia="宋体" w:hAnsi="宋体" w:cs="宋体" w:hint="eastAsia"/>
          <w:b/>
          <w:color w:val="FF0000"/>
          <w:sz w:val="21"/>
          <w:szCs w:val="21"/>
          <w:lang w:eastAsia="zh-CN"/>
        </w:rPr>
        <w:t>★</w:t>
      </w:r>
      <w:r>
        <w:rPr>
          <w:rFonts w:ascii="宋体" w:eastAsia="宋体" w:hAnsi="宋体" w:cs="宋体" w:hint="eastAsia"/>
          <w:b/>
          <w:color w:val="FF0000"/>
          <w:kern w:val="2"/>
          <w:szCs w:val="22"/>
          <w:lang w:eastAsia="zh-CN"/>
        </w:rPr>
        <w:t>（五）项目服务配备人员要求</w:t>
      </w:r>
    </w:p>
    <w:p>
      <w:pPr>
        <w:keepNext w:val="0"/>
        <w:keepLines w:val="0"/>
        <w:pageBreakBefore w:val="0"/>
        <w:widowControl w:val="0"/>
        <w:kinsoku/>
        <w:wordWrap/>
        <w:overflowPunct/>
        <w:topLinePunct w:val="0"/>
        <w:autoSpaceDE/>
        <w:autoSpaceDN/>
        <w:bidi w:val="0"/>
        <w:adjustRightInd/>
        <w:snapToGrid/>
        <w:spacing w:line="240" w:lineRule="auto"/>
        <w:ind w:left="0" w:firstLine="480" w:leftChars="0" w:firstLineChars="200"/>
        <w:jc w:val="left"/>
        <w:textAlignment w:val="auto"/>
        <w:rPr>
          <w:rFonts w:ascii="宋体" w:eastAsia="宋体" w:hAnsi="宋体" w:cs="宋体" w:hint="eastAsia"/>
          <w:color w:val="FF0000"/>
          <w:kern w:val="2"/>
          <w:szCs w:val="22"/>
          <w:lang w:eastAsia="zh-CN"/>
        </w:rPr>
      </w:pPr>
      <w:r>
        <w:rPr>
          <w:rFonts w:ascii="宋体" w:eastAsia="宋体" w:hAnsi="宋体" w:cs="宋体" w:hint="eastAsia"/>
          <w:color w:val="FF0000"/>
          <w:kern w:val="2"/>
          <w:szCs w:val="22"/>
          <w:lang w:eastAsia="zh-CN"/>
        </w:rPr>
        <w:t>为保证项目服务质量，投标人需承诺，中标后配备的项目服务人员满足以下要求：</w:t>
      </w:r>
      <w:r>
        <w:rPr>
          <w:rFonts w:ascii="宋体" w:eastAsia="宋体" w:hAnsi="宋体" w:cs="宋体" w:hint="eastAsia"/>
          <w:b/>
          <w:bCs/>
          <w:color w:val="FF0000"/>
          <w:kern w:val="2"/>
          <w:szCs w:val="22"/>
          <w:lang w:eastAsia="zh-CN"/>
        </w:rPr>
        <w:t>（投标时需提供</w:t>
      </w:r>
      <w:r>
        <w:rPr>
          <w:rFonts w:ascii="宋体" w:eastAsia="宋体" w:hAnsi="宋体" w:cs="宋体" w:hint="eastAsia"/>
          <w:b/>
          <w:bCs/>
          <w:color w:val="FF0000"/>
          <w:kern w:val="2"/>
          <w:szCs w:val="22"/>
          <w:lang w:eastAsia="zh-CN"/>
        </w:rPr>
        <w:t>《</w:t>
      </w:r>
      <w:r>
        <w:rPr>
          <w:rFonts w:ascii="宋体" w:eastAsia="宋体" w:hAnsi="宋体" w:cs="宋体" w:hint="eastAsia"/>
          <w:b/>
          <w:bCs/>
          <w:color w:val="FF0000"/>
          <w:kern w:val="2"/>
          <w:szCs w:val="22"/>
          <w:lang w:eastAsia="zh-CN"/>
        </w:rPr>
        <w:t>承诺函</w:t>
      </w:r>
      <w:r>
        <w:rPr>
          <w:rFonts w:ascii="宋体" w:eastAsia="宋体" w:hAnsi="宋体" w:cs="宋体" w:hint="eastAsia"/>
          <w:b/>
          <w:bCs/>
          <w:color w:val="FF0000"/>
          <w:kern w:val="2"/>
          <w:szCs w:val="22"/>
          <w:lang w:eastAsia="zh-CN"/>
        </w:rPr>
        <w:t>》，具体内容见下文附件</w:t>
      </w:r>
      <w:r>
        <w:rPr>
          <w:rFonts w:ascii="宋体" w:eastAsia="宋体" w:hAnsi="宋体" w:cs="宋体" w:hint="eastAsia"/>
          <w:b/>
          <w:bCs/>
          <w:color w:val="FF0000"/>
          <w:kern w:val="2"/>
          <w:szCs w:val="22"/>
          <w:lang w:eastAsia="zh-CN"/>
        </w:rPr>
        <w:t>）</w:t>
      </w:r>
      <w:r>
        <w:rPr>
          <w:rFonts w:ascii="宋体" w:eastAsia="宋体" w:hAnsi="宋体" w:cs="宋体" w:hint="eastAsia"/>
          <w:color w:val="FF0000"/>
          <w:kern w:val="2"/>
          <w:szCs w:val="22"/>
          <w:lang w:eastAsia="zh-CN"/>
        </w:rPr>
        <w:br/>
      </w:r>
      <w:r>
        <w:rPr>
          <w:rFonts w:ascii="宋体" w:eastAsia="宋体" w:hAnsi="宋体" w:cs="宋体" w:hint="eastAsia"/>
          <w:color w:val="FF0000"/>
          <w:kern w:val="2"/>
          <w:szCs w:val="22"/>
          <w:lang w:eastAsia="zh-CN"/>
        </w:rPr>
        <w:t xml:space="preserve">    </w:t>
      </w:r>
      <w:r>
        <w:rPr>
          <w:rFonts w:ascii="宋体" w:eastAsia="宋体" w:hAnsi="宋体" w:cs="宋体" w:hint="eastAsia"/>
          <w:color w:val="FF0000"/>
          <w:kern w:val="2"/>
          <w:szCs w:val="22"/>
          <w:lang w:eastAsia="zh-CN"/>
        </w:rPr>
        <w:t>1、配备的服务人员数量不少于4人</w:t>
      </w:r>
      <w:r>
        <w:rPr>
          <w:rFonts w:ascii="宋体" w:eastAsia="宋体" w:hAnsi="宋体" w:cs="宋体" w:hint="eastAsia"/>
          <w:color w:val="FF0000"/>
          <w:kern w:val="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2、配备服务人员学历、职称、工作经验等要求：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（1）具有良好的政治素质和道德品质，践行社会主义核心价值观，无违法犯罪记录；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（2）具有从事医疗相关工作或机关事业单位工作经验</w:t>
      </w:r>
      <w:r>
        <w:rPr>
          <w:rFonts w:ascii="宋体" w:eastAsia="宋体" w:hAnsi="宋体" w:cs="宋体" w:hint="eastAsia"/>
          <w:color w:val="FF0000"/>
          <w:kern w:val="2"/>
          <w:szCs w:val="22"/>
          <w:lang w:eastAsia="zh-CN"/>
        </w:rPr>
        <w:t>优先</w:t>
      </w:r>
      <w:r>
        <w:rPr>
          <w:rFonts w:ascii="宋体" w:eastAsia="宋体" w:hAnsi="宋体" w:cs="宋体" w:hint="eastAsia"/>
          <w:color w:val="FF0000"/>
          <w:kern w:val="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（3）具有大专及以上学历；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（4）专业要求：医学类专业优先；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（5）承诺身体健康，能按采购人要求履行相应工作职责；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（6）具有良好的沟通组织协调能力；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（7）具有较强的服务意识和工作责任感；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hint="eastAsia"/>
          <w:color w:val="FF0000"/>
          <w:lang w:eastAsia="zh-CN"/>
        </w:rPr>
      </w:pPr>
      <w:r>
        <w:rPr>
          <w:rFonts w:ascii="宋体" w:eastAsia="宋体" w:hAnsi="宋体" w:cs="宋体" w:hint="eastAsia"/>
          <w:color w:val="FF0000"/>
          <w:kern w:val="2"/>
          <w:szCs w:val="22"/>
          <w:lang w:eastAsia="zh-CN"/>
        </w:rPr>
        <w:t>（8）承诺满足采购单位规定的其他符合从事医疗保障服务工作的资质和条件</w:t>
      </w:r>
      <w:r>
        <w:rPr>
          <w:rFonts w:ascii="宋体" w:eastAsia="宋体" w:hAnsi="宋体" w:cs="宋体" w:hint="eastAsia"/>
          <w:color w:val="FF0000"/>
          <w:kern w:val="2"/>
          <w:szCs w:val="22"/>
          <w:lang w:eastAsia="zh-CN"/>
        </w:rPr>
        <w:t>。</w:t>
      </w:r>
    </w:p>
    <w:p>
      <w:pPr>
        <w:widowControl/>
        <w:spacing w:after="120"/>
        <w:jc w:val="left"/>
        <w:rPr>
          <w:rFonts w:ascii="Calibri" w:eastAsia="宋体" w:hAnsi="Calibri"/>
          <w:sz w:val="20"/>
          <w:szCs w:val="20"/>
          <w:lang w:eastAsia="zh-CN"/>
        </w:rPr>
      </w:pPr>
    </w:p>
    <w:p>
      <w:pPr>
        <w:widowControl w:val="0"/>
        <w:jc w:val="both"/>
        <w:rPr>
          <w:rFonts w:ascii="宋体" w:eastAsia="宋体" w:hAnsi="宋体" w:cs="宋体" w:hint="eastAsia"/>
          <w:b/>
          <w:bCs/>
          <w:color w:val="FF0000"/>
          <w:kern w:val="2"/>
          <w:lang w:eastAsia="zh-CN"/>
        </w:rPr>
      </w:pPr>
      <w:r>
        <w:rPr>
          <w:rFonts w:ascii="宋体" w:eastAsia="宋体" w:hAnsi="宋体" w:cs="宋体" w:hint="eastAsia"/>
          <w:b/>
          <w:bCs/>
          <w:color w:val="FF0000"/>
          <w:lang w:eastAsia="zh-CN"/>
        </w:rPr>
        <w:t>附件：</w:t>
      </w:r>
    </w:p>
    <w:p>
      <w:pPr>
        <w:widowControl w:val="0"/>
        <w:numPr>
          <w:ilvl w:val="12"/>
          <w:numId w:val="0"/>
        </w:numPr>
        <w:adjustRightInd w:val="0"/>
        <w:ind w:left="0" w:firstLine="0"/>
        <w:jc w:val="center"/>
        <w:textAlignment w:val="baseline"/>
        <w:outlineLvl w:val="1"/>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承诺函</w:t>
      </w:r>
    </w:p>
    <w:p>
      <w:pPr>
        <w:widowControl w:val="0"/>
        <w:jc w:val="both"/>
        <w:rPr>
          <w:rFonts w:ascii="宋体" w:eastAsia="宋体" w:hAnsi="宋体" w:cs="宋体" w:hint="eastAsia"/>
          <w:bCs/>
          <w:color w:val="FF0000"/>
          <w:kern w:val="2"/>
          <w:lang w:eastAsia="zh-CN"/>
        </w:rPr>
      </w:pPr>
      <w:r>
        <w:rPr>
          <w:rFonts w:ascii="宋体" w:eastAsia="宋体" w:hAnsi="宋体" w:cs="宋体" w:hint="eastAsia"/>
          <w:bCs/>
          <w:color w:val="FF0000"/>
          <w:kern w:val="2"/>
          <w:lang w:eastAsia="zh-CN"/>
        </w:rPr>
        <w:t>致：深圳市医疗保障局南山分局</w:t>
      </w:r>
    </w:p>
    <w:p>
      <w:pPr>
        <w:widowControl w:val="0"/>
        <w:ind w:firstLine="480" w:firstLineChars="200"/>
        <w:jc w:val="both"/>
        <w:rPr>
          <w:rFonts w:ascii="宋体" w:eastAsia="宋体" w:hAnsi="宋体" w:cs="宋体" w:hint="eastAsia"/>
          <w:bCs/>
          <w:color w:val="FF0000"/>
          <w:kern w:val="2"/>
          <w:lang w:eastAsia="zh-CN"/>
        </w:rPr>
      </w:pPr>
      <w:r>
        <w:rPr>
          <w:rFonts w:ascii="宋体" w:eastAsia="宋体" w:hAnsi="宋体" w:cs="宋体" w:hint="eastAsia"/>
          <w:bCs/>
          <w:color w:val="FF0000"/>
          <w:kern w:val="2"/>
          <w:lang w:eastAsia="zh-CN"/>
        </w:rPr>
        <w:t>我单位参加深圳市医疗保障局南山分局医疗保障综合管理服务项目，</w:t>
      </w:r>
      <w:r>
        <w:rPr>
          <w:rFonts w:ascii="宋体" w:eastAsia="宋体" w:hAnsi="宋体" w:cs="宋体" w:hint="eastAsia"/>
          <w:bCs/>
          <w:color w:val="FF0000"/>
          <w:kern w:val="2"/>
          <w:lang w:eastAsia="zh-CN"/>
        </w:rPr>
        <w:t>承诺</w:t>
      </w:r>
      <w:r>
        <w:rPr>
          <w:rFonts w:ascii="宋体" w:eastAsia="宋体" w:hAnsi="宋体" w:cs="宋体" w:hint="eastAsia"/>
          <w:color w:val="FF0000"/>
          <w:kern w:val="2"/>
          <w:szCs w:val="22"/>
          <w:lang w:eastAsia="zh-CN"/>
        </w:rPr>
        <w:t>中标后配备的项目服务人员</w:t>
      </w:r>
      <w:r>
        <w:rPr>
          <w:rFonts w:ascii="宋体" w:eastAsia="宋体" w:hAnsi="宋体" w:cs="宋体" w:hint="eastAsia"/>
          <w:color w:val="FF0000"/>
          <w:kern w:val="2"/>
          <w:lang w:eastAsia="zh-CN"/>
        </w:rPr>
        <w:t>满足以下服务条款内容</w:t>
      </w:r>
      <w:r>
        <w:rPr>
          <w:rFonts w:ascii="宋体" w:eastAsia="宋体" w:hAnsi="宋体" w:cs="宋体" w:hint="eastAsia"/>
          <w:bCs/>
          <w:color w:val="FF0000"/>
          <w:kern w:val="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547" w:leftChars="228"/>
        <w:jc w:val="left"/>
        <w:textAlignment w:val="auto"/>
        <w:rPr>
          <w:rFonts w:ascii="宋体" w:eastAsia="宋体" w:hAnsi="宋体" w:cs="宋体" w:hint="eastAsia"/>
          <w:color w:val="FF0000"/>
          <w:kern w:val="2"/>
          <w:szCs w:val="22"/>
          <w:lang w:eastAsia="zh-CN"/>
        </w:rPr>
      </w:pPr>
      <w:r>
        <w:rPr>
          <w:rFonts w:ascii="宋体" w:eastAsia="宋体" w:hAnsi="宋体" w:cs="宋体" w:hint="eastAsia"/>
          <w:color w:val="FF0000"/>
          <w:kern w:val="2"/>
          <w:szCs w:val="22"/>
          <w:lang w:eastAsia="zh-CN"/>
        </w:rPr>
        <w:t>1、配备的服务人员数量不少于4人</w:t>
      </w:r>
      <w:r>
        <w:rPr>
          <w:rFonts w:ascii="宋体" w:eastAsia="宋体" w:hAnsi="宋体" w:cs="宋体" w:hint="eastAsia"/>
          <w:color w:val="FF0000"/>
          <w:kern w:val="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2、配备服务人员学历、职称、工作经验等要求：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（1）具有良好的政治素质和道德品质，践行社会主义核心价值观，无违法犯罪记录；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（2）具有从事医疗相关工作或机关事业单位工作经验</w:t>
      </w:r>
      <w:r>
        <w:rPr>
          <w:rFonts w:ascii="宋体" w:eastAsia="宋体" w:hAnsi="宋体" w:cs="宋体" w:hint="eastAsia"/>
          <w:color w:val="FF0000"/>
          <w:kern w:val="2"/>
          <w:szCs w:val="22"/>
          <w:lang w:eastAsia="zh-CN"/>
        </w:rPr>
        <w:t>优先</w:t>
      </w:r>
      <w:r>
        <w:rPr>
          <w:rFonts w:ascii="宋体" w:eastAsia="宋体" w:hAnsi="宋体" w:cs="宋体" w:hint="eastAsia"/>
          <w:color w:val="FF0000"/>
          <w:kern w:val="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（3）具有大专及以上学历；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（4）专业要求：医学类专业优先；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（5）承诺身体健康，能按采购人要求履行相应工作职责；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（6）具有良好的沟通组织协调能力；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（7）具有较强的服务意识和工作责任感；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hint="eastAsia"/>
          <w:color w:val="FF0000"/>
          <w:lang w:eastAsia="zh-CN"/>
        </w:rPr>
      </w:pPr>
      <w:r>
        <w:rPr>
          <w:rFonts w:ascii="宋体" w:eastAsia="宋体" w:hAnsi="宋体" w:cs="宋体" w:hint="eastAsia"/>
          <w:color w:val="FF0000"/>
          <w:kern w:val="2"/>
          <w:szCs w:val="22"/>
          <w:lang w:eastAsia="zh-CN"/>
        </w:rPr>
        <w:t>（8）承诺满足采购单位规定的其他符合从事医疗保障服务工作的资质和条件</w:t>
      </w:r>
      <w:r>
        <w:rPr>
          <w:rFonts w:ascii="宋体" w:eastAsia="宋体" w:hAnsi="宋体" w:cs="宋体" w:hint="eastAsia"/>
          <w:color w:val="FF0000"/>
          <w:kern w:val="2"/>
          <w:szCs w:val="22"/>
          <w:lang w:eastAsia="zh-CN"/>
        </w:rPr>
        <w:t>。</w:t>
      </w:r>
    </w:p>
    <w:p>
      <w:pPr>
        <w:widowControl w:val="0"/>
        <w:ind w:firstLine="480" w:firstLineChars="200"/>
        <w:jc w:val="both"/>
        <w:rPr>
          <w:rFonts w:ascii="宋体" w:eastAsia="宋体" w:hAnsi="宋体" w:cs="宋体" w:hint="eastAsia"/>
          <w:bCs/>
          <w:color w:val="FF0000"/>
          <w:kern w:val="2"/>
          <w:lang w:eastAsia="zh-CN"/>
        </w:rPr>
      </w:pPr>
      <w:r>
        <w:rPr>
          <w:rFonts w:ascii="宋体" w:eastAsia="宋体" w:hAnsi="宋体" w:cs="宋体" w:hint="eastAsia"/>
          <w:color w:val="FF0000"/>
          <w:lang w:eastAsia="zh-CN"/>
        </w:rPr>
        <w:t>我单位</w:t>
      </w:r>
      <w:r>
        <w:rPr>
          <w:rFonts w:ascii="宋体" w:eastAsia="宋体" w:hAnsi="宋体" w:cs="宋体" w:hint="eastAsia"/>
          <w:color w:val="FF0000"/>
          <w:lang w:eastAsia="zh-CN"/>
        </w:rPr>
        <w:t>如实承诺，并在中标后按要求提供</w:t>
      </w:r>
      <w:r>
        <w:rPr>
          <w:rFonts w:ascii="宋体" w:eastAsia="宋体" w:hAnsi="宋体" w:cs="宋体" w:hint="eastAsia"/>
          <w:color w:val="FF0000"/>
          <w:lang w:eastAsia="zh-CN"/>
        </w:rPr>
        <w:t>上述项目服务人员</w:t>
      </w:r>
      <w:r>
        <w:rPr>
          <w:rFonts w:ascii="宋体" w:eastAsia="宋体" w:hAnsi="宋体" w:cs="宋体" w:hint="eastAsia"/>
          <w:color w:val="FF0000"/>
          <w:lang w:eastAsia="zh-CN"/>
        </w:rPr>
        <w:t>，如发现</w:t>
      </w:r>
      <w:r>
        <w:rPr>
          <w:rFonts w:ascii="宋体" w:eastAsia="宋体" w:hAnsi="宋体" w:cs="宋体" w:hint="eastAsia"/>
          <w:color w:val="FF0000"/>
          <w:lang w:eastAsia="zh-CN"/>
        </w:rPr>
        <w:t>我单位</w:t>
      </w:r>
      <w:r>
        <w:rPr>
          <w:rFonts w:ascii="宋体" w:eastAsia="宋体" w:hAnsi="宋体" w:cs="宋体" w:hint="eastAsia"/>
          <w:color w:val="FF0000"/>
          <w:lang w:eastAsia="zh-CN"/>
        </w:rPr>
        <w:t>提供虚假材料的，采购人有权报行业主管部门及政府采购主管部门依法处理，由此可能产生的不利法律后果由</w:t>
      </w:r>
      <w:r>
        <w:rPr>
          <w:rFonts w:ascii="宋体" w:eastAsia="宋体" w:hAnsi="宋体" w:cs="宋体" w:hint="eastAsia"/>
          <w:color w:val="FF0000"/>
          <w:lang w:eastAsia="zh-CN"/>
        </w:rPr>
        <w:t>我单位</w:t>
      </w:r>
      <w:r>
        <w:rPr>
          <w:rFonts w:ascii="宋体" w:eastAsia="宋体" w:hAnsi="宋体" w:cs="宋体" w:hint="eastAsia"/>
          <w:color w:val="FF0000"/>
          <w:lang w:eastAsia="zh-CN"/>
        </w:rPr>
        <w:t>自行承担</w:t>
      </w:r>
      <w:r>
        <w:rPr>
          <w:rFonts w:ascii="宋体" w:eastAsia="宋体" w:hAnsi="宋体" w:cs="宋体" w:hint="eastAsia"/>
          <w:color w:val="FF0000"/>
          <w:lang w:eastAsia="zh-CN"/>
        </w:rPr>
        <w:t>。</w:t>
      </w:r>
    </w:p>
    <w:p>
      <w:pPr>
        <w:widowControl w:val="0"/>
        <w:wordWrap w:val="0"/>
        <w:spacing w:before="78" w:beforeLines="25" w:after="78" w:afterLines="25"/>
        <w:ind w:firstLine="6000" w:firstLineChars="2500"/>
        <w:jc w:val="right"/>
        <w:rPr>
          <w:rFonts w:ascii="宋体" w:eastAsia="宋体" w:hAnsi="宋体" w:cs="宋体" w:hint="eastAsia"/>
          <w:color w:val="FF0000"/>
          <w:kern w:val="2"/>
          <w:lang w:eastAsia="zh-CN"/>
        </w:rPr>
      </w:pPr>
      <w:r>
        <w:rPr>
          <w:rFonts w:ascii="宋体" w:eastAsia="宋体" w:hAnsi="宋体" w:cs="宋体" w:hint="eastAsia"/>
          <w:color w:val="FF0000"/>
          <w:kern w:val="2"/>
          <w:lang w:eastAsia="zh-CN"/>
        </w:rPr>
        <w:t xml:space="preserve">投标人：           </w:t>
      </w:r>
    </w:p>
    <w:p>
      <w:pPr>
        <w:widowControl w:val="0"/>
        <w:spacing w:after="160" w:line="240" w:lineRule="auto"/>
        <w:ind w:firstLine="480" w:firstLineChars="200"/>
        <w:jc w:val="right"/>
        <w:rPr>
          <w:rFonts w:ascii="宋体" w:eastAsia="宋体" w:hAnsi="宋体" w:cs="宋体" w:hint="eastAsia"/>
          <w:color w:val="FF0000"/>
          <w:lang w:eastAsia="zh-CN"/>
        </w:rPr>
      </w:pPr>
      <w:r>
        <w:rPr>
          <w:rFonts w:ascii="宋体" w:eastAsia="宋体" w:hAnsi="宋体" w:cs="宋体" w:hint="eastAsia"/>
          <w:color w:val="FF0000"/>
          <w:lang w:eastAsia="zh-CN"/>
        </w:rPr>
        <w:t>日期：  年  月  日</w:t>
      </w:r>
    </w:p>
    <w:p>
      <w:pPr>
        <w:widowControl w:val="0"/>
        <w:spacing w:after="160" w:line="240" w:lineRule="auto"/>
        <w:ind w:firstLine="480" w:firstLineChars="200"/>
        <w:jc w:val="right"/>
        <w:rPr>
          <w:rFonts w:ascii="宋体" w:eastAsia="宋体" w:hAnsi="宋体" w:cs="宋体" w:hint="eastAsia"/>
          <w:lang w:eastAsia="zh-CN"/>
        </w:rPr>
      </w:pPr>
    </w:p>
    <w:p>
      <w:pPr>
        <w:widowControl/>
        <w:spacing w:after="120"/>
        <w:ind w:firstLine="480" w:firstLineChars="200"/>
        <w:jc w:val="left"/>
        <w:rPr>
          <w:rFonts w:ascii="Calibri" w:eastAsia="宋体" w:hAnsi="Calibri"/>
          <w:sz w:val="20"/>
          <w:szCs w:val="20"/>
          <w:lang w:eastAsia="zh-CN"/>
        </w:rPr>
      </w:pPr>
      <w:r>
        <w:rPr>
          <w:rFonts w:ascii="宋体" w:eastAsia="宋体" w:hAnsi="宋体" w:cs="宋体" w:hint="eastAsia"/>
          <w:b/>
          <w:kern w:val="2"/>
          <w:szCs w:val="22"/>
          <w:lang w:eastAsia="zh-CN"/>
        </w:rPr>
        <w:t>（六）项目服务内容</w:t>
      </w:r>
    </w:p>
    <w:p>
      <w:pPr>
        <w:keepNext w:val="0"/>
        <w:keepLines w:val="0"/>
        <w:pageBreakBefore w:val="0"/>
        <w:widowControl/>
        <w:kinsoku/>
        <w:wordWrap/>
        <w:overflowPunct/>
        <w:topLinePunct w:val="0"/>
        <w:autoSpaceDE/>
        <w:autoSpaceDN/>
        <w:bidi w:val="0"/>
        <w:adjustRightInd/>
        <w:snapToGrid/>
        <w:spacing w:after="120" w:line="240" w:lineRule="auto"/>
        <w:ind w:firstLine="480" w:firstLineChars="200"/>
        <w:jc w:val="left"/>
        <w:textAlignment w:val="auto"/>
        <w:rPr>
          <w:rFonts w:ascii="宋体" w:eastAsia="宋体" w:hAnsi="宋体" w:cs="宋体" w:hint="eastAsia"/>
          <w:lang w:eastAsia="zh-CN"/>
        </w:rPr>
      </w:pPr>
      <w:r>
        <w:rPr>
          <w:rFonts w:ascii="宋体" w:eastAsia="宋体" w:hAnsi="宋体" w:cs="宋体" w:hint="eastAsia"/>
          <w:lang w:eastAsia="zh-CN"/>
        </w:rPr>
        <w:t>投标人配备的工作小组成员，需协助采购人完成南山区医疗保障服务，包括窗口服务、咨询解答、业务宣传培训；相关医保经办业务的申请准入、权益登记，报销费用受理、</w:t>
      </w:r>
      <w:r>
        <w:rPr>
          <w:rFonts w:ascii="宋体" w:eastAsia="宋体" w:hAnsi="宋体" w:cs="宋体" w:hint="eastAsia"/>
          <w:lang w:eastAsia="zh-CN"/>
        </w:rPr>
        <w:t>复</w:t>
      </w:r>
      <w:r>
        <w:rPr>
          <w:rFonts w:ascii="宋体" w:eastAsia="宋体" w:hAnsi="宋体" w:cs="宋体" w:hint="eastAsia"/>
          <w:lang w:eastAsia="zh-CN"/>
        </w:rPr>
        <w:t>核、支付；相关医保经办业务的参保登记、救助金发放、待遇一站式结算；相关医保经办业务的待遇协查、数据补录</w:t>
      </w:r>
      <w:r>
        <w:rPr>
          <w:rFonts w:ascii="宋体" w:eastAsia="宋体" w:hAnsi="宋体" w:cs="宋体" w:hint="eastAsia"/>
          <w:lang w:eastAsia="zh-CN"/>
        </w:rPr>
        <w:t>复</w:t>
      </w:r>
      <w:r>
        <w:rPr>
          <w:rFonts w:ascii="宋体" w:eastAsia="宋体" w:hAnsi="宋体" w:cs="宋体" w:hint="eastAsia"/>
          <w:lang w:eastAsia="zh-CN"/>
        </w:rPr>
        <w:t>核；档案资料整理、日常管理。服务内容及服务标准具体以深圳市医疗保障局南山分局与中标单位协商为准。</w:t>
      </w:r>
    </w:p>
    <w:p>
      <w:pPr>
        <w:keepNext/>
        <w:keepLines/>
        <w:widowControl w:val="0"/>
        <w:adjustRightInd w:val="0"/>
        <w:spacing w:before="156" w:beforeLines="50" w:after="156" w:afterLines="50"/>
        <w:jc w:val="center"/>
        <w:textAlignment w:val="baseline"/>
        <w:outlineLvl w:val="1"/>
        <w:rPr>
          <w:rFonts w:ascii="宋体" w:eastAsia="宋体" w:hAnsi="宋体"/>
          <w:b/>
          <w:bCs/>
          <w:lang w:eastAsia="zh-CN"/>
        </w:rPr>
      </w:pPr>
      <w:r>
        <w:rPr>
          <w:rFonts w:ascii="宋体" w:eastAsia="宋体" w:hAnsi="宋体" w:hint="eastAsia"/>
          <w:b/>
          <w:bCs/>
          <w:lang w:eastAsia="zh-CN"/>
        </w:rPr>
        <w:t>六、商务要求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bCs/>
          <w:color w:val="FF0000"/>
          <w:kern w:val="2"/>
          <w:lang w:eastAsia="zh-CN"/>
        </w:rPr>
      </w:pPr>
      <w:r>
        <w:rPr>
          <w:rFonts w:ascii="宋体" w:eastAsia="宋体" w:hAnsi="宋体" w:cs="宋体" w:hint="eastAsia"/>
          <w:b/>
          <w:color w:val="FF0000"/>
          <w:kern w:val="2"/>
          <w:lang w:eastAsia="zh-CN"/>
        </w:rPr>
        <w:t>（一）</w:t>
      </w:r>
      <w:r>
        <w:rPr>
          <w:rFonts w:ascii="宋体" w:eastAsia="宋体" w:hAnsi="宋体" w:cs="宋体" w:hint="eastAsia"/>
          <w:b/>
          <w:color w:val="FF0000"/>
          <w:sz w:val="21"/>
          <w:szCs w:val="21"/>
          <w:lang w:eastAsia="zh-CN"/>
        </w:rPr>
        <w:t>★</w:t>
      </w:r>
      <w:r>
        <w:rPr>
          <w:rFonts w:ascii="宋体" w:eastAsia="宋体" w:hAnsi="宋体" w:cs="宋体" w:hint="eastAsia"/>
          <w:b/>
          <w:color w:val="FF0000"/>
          <w:kern w:val="2"/>
          <w:lang w:eastAsia="zh-CN"/>
        </w:rPr>
        <w:t>服务期限：</w:t>
      </w:r>
      <w:r>
        <w:rPr>
          <w:rFonts w:ascii="宋体" w:eastAsia="宋体" w:hAnsi="宋体" w:cs="宋体" w:hint="eastAsia"/>
          <w:bCs/>
          <w:color w:val="FF0000"/>
          <w:kern w:val="2"/>
          <w:lang w:eastAsia="zh-CN"/>
        </w:rPr>
        <w:t>1年，自合同签订（或约定）之日起算（如果出现预算等政策变化可以调整）。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b/>
          <w:kern w:val="2"/>
          <w:lang w:eastAsia="zh-CN"/>
        </w:rPr>
      </w:pPr>
      <w:r>
        <w:rPr>
          <w:rFonts w:ascii="宋体" w:eastAsia="宋体" w:hAnsi="宋体" w:cs="宋体" w:hint="eastAsia"/>
          <w:b/>
          <w:kern w:val="2"/>
          <w:lang w:eastAsia="zh-CN"/>
        </w:rPr>
        <w:t>（二）付款方式：</w:t>
      </w:r>
    </w:p>
    <w:p>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before="0" w:beforeAutospacing="0" w:after="0" w:afterAutospacing="0"/>
        <w:ind w:left="0" w:right="0" w:firstLine="480" w:firstLineChars="200"/>
        <w:jc w:val="left"/>
        <w:rPr>
          <w:rFonts w:ascii="宋体" w:eastAsia="宋体" w:hAnsi="宋体" w:cs="宋体" w:hint="eastAsia"/>
          <w:kern w:val="2"/>
          <w:lang w:eastAsia="zh-CN"/>
        </w:rPr>
      </w:pPr>
      <w:r>
        <w:rPr>
          <w:rFonts w:ascii="宋体" w:eastAsia="宋体" w:hAnsi="宋体" w:cs="宋体" w:hint="eastAsia"/>
          <w:kern w:val="2"/>
          <w:lang w:eastAsia="zh-CN"/>
        </w:rPr>
        <w:t>1、合同签订后，在收到乙方发票后，甲方向乙方支付服务费总额的50%作为首期款；</w:t>
      </w:r>
      <w:r>
        <w:rPr>
          <w:rFonts w:ascii="宋体" w:eastAsia="宋体" w:hAnsi="宋体" w:cs="宋体" w:hint="eastAsia"/>
          <w:kern w:val="2"/>
          <w:lang w:eastAsia="zh-CN"/>
        </w:rPr>
        <w:br/>
      </w:r>
      <w:r>
        <w:rPr>
          <w:rFonts w:ascii="宋体" w:eastAsia="宋体" w:hAnsi="宋体" w:cs="宋体" w:hint="eastAsia"/>
          <w:kern w:val="2"/>
          <w:lang w:eastAsia="zh-CN"/>
        </w:rPr>
        <w:t xml:space="preserve">   </w:t>
      </w:r>
      <w:r>
        <w:rPr>
          <w:rFonts w:ascii="宋体" w:eastAsia="宋体" w:hAnsi="宋体" w:cs="宋体" w:hint="eastAsia"/>
          <w:kern w:val="2"/>
          <w:lang w:eastAsia="zh-CN"/>
        </w:rPr>
        <w:t xml:space="preserve"> </w:t>
      </w:r>
      <w:r>
        <w:rPr>
          <w:rFonts w:ascii="宋体" w:eastAsia="宋体" w:hAnsi="宋体" w:cs="宋体" w:hint="eastAsia"/>
          <w:kern w:val="2"/>
          <w:lang w:eastAsia="zh-CN"/>
        </w:rPr>
        <w:t>2、项目实施6个月后，甲方在收到乙方发票后，向乙方支付服务费总额的20%作为第二期款；</w:t>
      </w:r>
      <w:r>
        <w:rPr>
          <w:rFonts w:ascii="宋体" w:eastAsia="宋体" w:hAnsi="宋体" w:cs="宋体" w:hint="eastAsia"/>
          <w:kern w:val="2"/>
          <w:lang w:eastAsia="zh-CN"/>
        </w:rPr>
        <w:br/>
      </w:r>
      <w:r>
        <w:rPr>
          <w:rFonts w:ascii="宋体" w:eastAsia="宋体" w:hAnsi="宋体" w:cs="宋体" w:hint="eastAsia"/>
          <w:kern w:val="2"/>
          <w:lang w:eastAsia="zh-CN"/>
        </w:rPr>
        <w:t xml:space="preserve">   </w:t>
      </w:r>
      <w:r>
        <w:rPr>
          <w:rFonts w:ascii="宋体" w:eastAsia="宋体" w:hAnsi="宋体" w:cs="宋体" w:hint="eastAsia"/>
          <w:kern w:val="2"/>
          <w:lang w:eastAsia="zh-CN"/>
        </w:rPr>
        <w:t xml:space="preserve"> </w:t>
      </w:r>
      <w:r>
        <w:rPr>
          <w:rFonts w:ascii="宋体" w:eastAsia="宋体" w:hAnsi="宋体" w:cs="宋体" w:hint="eastAsia"/>
          <w:kern w:val="2"/>
          <w:lang w:eastAsia="zh-CN"/>
        </w:rPr>
        <w:t>3、项目实施9个月后，甲方在收到乙方发票后，向乙方支付服务费总额的20%作为第三期款；</w:t>
      </w:r>
      <w:r>
        <w:rPr>
          <w:rFonts w:ascii="宋体" w:eastAsia="宋体" w:hAnsi="宋体" w:cs="宋体" w:hint="eastAsia"/>
          <w:kern w:val="2"/>
          <w:lang w:eastAsia="zh-CN"/>
        </w:rPr>
        <w:br/>
      </w:r>
      <w:r>
        <w:rPr>
          <w:rFonts w:ascii="宋体" w:eastAsia="宋体" w:hAnsi="宋体" w:cs="宋体" w:hint="eastAsia"/>
          <w:kern w:val="2"/>
          <w:lang w:eastAsia="zh-CN"/>
        </w:rPr>
        <w:t xml:space="preserve">   </w:t>
      </w:r>
      <w:r>
        <w:rPr>
          <w:rFonts w:ascii="宋体" w:eastAsia="宋体" w:hAnsi="宋体" w:cs="宋体" w:hint="eastAsia"/>
          <w:kern w:val="2"/>
          <w:lang w:eastAsia="zh-CN"/>
        </w:rPr>
        <w:t xml:space="preserve"> </w:t>
      </w:r>
      <w:r>
        <w:rPr>
          <w:rFonts w:ascii="宋体" w:eastAsia="宋体" w:hAnsi="宋体" w:cs="宋体" w:hint="eastAsia"/>
          <w:kern w:val="2"/>
          <w:lang w:eastAsia="zh-CN"/>
        </w:rPr>
        <w:t>4、项目结束经甲方验收合格后，甲方在收到乙方发票后，向乙方支付剩余10%尾款。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5、以上支付方式可根据采购人实际需要与中标人协商后进行适当调整。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b/>
          <w:kern w:val="2"/>
          <w:lang w:eastAsia="zh-CN"/>
        </w:rPr>
      </w:pPr>
      <w:r>
        <w:rPr>
          <w:rFonts w:ascii="宋体" w:eastAsia="宋体" w:hAnsi="宋体" w:cs="宋体" w:hint="eastAsia"/>
          <w:b/>
          <w:kern w:val="2"/>
          <w:lang w:eastAsia="zh-CN"/>
        </w:rPr>
        <w:t>（三）质量考核验收标准及违约金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b/>
          <w:kern w:val="2"/>
          <w:lang w:eastAsia="zh-CN"/>
        </w:rPr>
      </w:pPr>
      <w:r>
        <w:rPr>
          <w:rFonts w:ascii="宋体" w:eastAsia="宋体" w:hAnsi="宋体" w:cs="宋体" w:hint="eastAsia"/>
          <w:b/>
          <w:kern w:val="2"/>
          <w:lang w:eastAsia="zh-CN"/>
        </w:rPr>
        <w:t>1、质量考核验收标准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lang w:eastAsia="zh-CN"/>
        </w:rPr>
      </w:pPr>
      <w:r>
        <w:rPr>
          <w:rFonts w:ascii="宋体" w:eastAsia="宋体" w:hAnsi="宋体" w:cs="宋体" w:hint="eastAsia"/>
          <w:kern w:val="2"/>
          <w:lang w:eastAsia="zh-CN"/>
        </w:rPr>
        <w:t>（1）服务经过双方检验认可后，签署验收报告。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lang w:eastAsia="zh-CN"/>
        </w:rPr>
      </w:pPr>
      <w:r>
        <w:rPr>
          <w:rFonts w:ascii="宋体" w:eastAsia="宋体" w:hAnsi="宋体" w:cs="宋体" w:hint="eastAsia"/>
          <w:kern w:val="2"/>
          <w:lang w:eastAsia="zh-CN"/>
        </w:rPr>
        <w:t>（2）当满足以下条件时，采购单位才向中标单位签发验收报告：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lang w:eastAsia="zh-CN"/>
        </w:rPr>
      </w:pPr>
      <w:r>
        <w:rPr>
          <w:rFonts w:ascii="宋体" w:eastAsia="宋体" w:hAnsi="宋体" w:cs="宋体" w:hint="eastAsia"/>
          <w:kern w:val="2"/>
          <w:lang w:eastAsia="zh-CN"/>
        </w:rPr>
        <w:t>①中标单位已按照合同规定提供了全部技术资料。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lang w:eastAsia="zh-CN"/>
        </w:rPr>
      </w:pPr>
      <w:r>
        <w:rPr>
          <w:rFonts w:ascii="宋体" w:eastAsia="宋体" w:hAnsi="宋体" w:cs="宋体" w:hint="eastAsia"/>
          <w:kern w:val="2"/>
          <w:lang w:eastAsia="zh-CN"/>
        </w:rPr>
        <w:t>②服务项目符合招标文件的服务要求。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b/>
          <w:kern w:val="2"/>
          <w:lang w:eastAsia="zh-CN"/>
        </w:rPr>
      </w:pPr>
      <w:r>
        <w:rPr>
          <w:rFonts w:ascii="宋体" w:eastAsia="宋体" w:hAnsi="宋体" w:cs="宋体" w:hint="eastAsia"/>
          <w:b/>
          <w:kern w:val="2"/>
          <w:lang w:eastAsia="zh-CN"/>
        </w:rPr>
        <w:t>2、违约金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lang w:eastAsia="zh-CN"/>
        </w:rPr>
      </w:pPr>
      <w:r>
        <w:rPr>
          <w:rFonts w:ascii="宋体" w:eastAsia="宋体" w:hAnsi="宋体" w:cs="宋体" w:hint="eastAsia"/>
          <w:kern w:val="2"/>
          <w:lang w:eastAsia="zh-CN"/>
        </w:rPr>
        <w:t>（1）有下列情况的，由采购单位按照有关规定给予处罚：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lang w:eastAsia="zh-CN"/>
        </w:rPr>
      </w:pPr>
      <w:r>
        <w:rPr>
          <w:rFonts w:ascii="宋体" w:eastAsia="宋体" w:hAnsi="宋体" w:cs="宋体" w:hint="eastAsia"/>
          <w:kern w:val="2"/>
          <w:lang w:eastAsia="zh-CN"/>
        </w:rPr>
        <w:t>（2）逾期发放完成项目人员工资的，采购单位有权收取相应的滞纳金。每逾期1天，收取完成项目人员工资总额的0.3%；逾期15天以上的，采购单位有权终止合同。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lang w:eastAsia="zh-CN"/>
        </w:rPr>
      </w:pPr>
      <w:r>
        <w:rPr>
          <w:rFonts w:ascii="宋体" w:eastAsia="宋体" w:hAnsi="宋体" w:cs="宋体" w:hint="eastAsia"/>
          <w:kern w:val="2"/>
          <w:lang w:eastAsia="zh-CN"/>
        </w:rPr>
        <w:t>对于无故克扣完成项目人员工资的，采购单位有权责令中标单位在2个工作日内返还，并保证不再发生类似事件。多次发生的，采购单位有权终止合同。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b/>
          <w:kern w:val="2"/>
          <w:lang w:eastAsia="zh-CN"/>
        </w:rPr>
      </w:pPr>
      <w:r>
        <w:rPr>
          <w:rFonts w:ascii="宋体" w:eastAsia="宋体" w:hAnsi="宋体" w:cs="宋体" w:hint="eastAsia"/>
          <w:b/>
          <w:kern w:val="2"/>
          <w:lang w:eastAsia="zh-CN"/>
        </w:rPr>
        <w:t>（四）注意事项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lang w:eastAsia="zh-CN"/>
        </w:rPr>
      </w:pPr>
      <w:r>
        <w:rPr>
          <w:rFonts w:ascii="宋体" w:eastAsia="宋体" w:hAnsi="宋体" w:cs="宋体" w:hint="eastAsia"/>
          <w:kern w:val="2"/>
          <w:lang w:eastAsia="zh-CN"/>
        </w:rPr>
        <w:t>1、中标人不得将项目非法分包或转包给任何单位和个人。否则，采购单位有权即刻终止合同，并要求中标人赔偿相应损失。</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lang w:eastAsia="zh-CN"/>
        </w:rPr>
      </w:pPr>
      <w:r>
        <w:rPr>
          <w:rFonts w:ascii="宋体" w:eastAsia="宋体" w:hAnsi="宋体" w:cs="宋体" w:hint="eastAsia"/>
          <w:kern w:val="2"/>
          <w:lang w:eastAsia="zh-CN"/>
        </w:rPr>
        <w:t>2、投标人若认为招标文件的技术要求或其他要求有倾向性或不公正性，可在招标答疑阶段提出，以维护招标行为的公平、公正。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kern w:val="2"/>
          <w:lang w:eastAsia="zh-CN"/>
        </w:rPr>
      </w:pPr>
      <w:r>
        <w:rPr>
          <w:rFonts w:ascii="宋体" w:eastAsia="宋体" w:hAnsi="宋体" w:cs="宋体" w:hint="eastAsia"/>
          <w:kern w:val="2"/>
          <w:lang w:eastAsia="zh-CN"/>
        </w:rPr>
        <w:t>3、投标人使用的标准必须是国际公认或国家、或地方政府颁布的同等或更高的标准，如投标人使用的标准低于上述标准,评标委员会将有权不予接受，投标人必须列表将明显的差异详细说明。</w:t>
      </w:r>
    </w:p>
    <w:p>
      <w:pPr>
        <w:widowControl w:val="0"/>
        <w:jc w:val="both"/>
        <w:rPr>
          <w:rFonts w:ascii="Calibri" w:eastAsia="宋体" w:hAnsi="Calibri"/>
          <w:kern w:val="2"/>
          <w:sz w:val="21"/>
          <w:szCs w:val="22"/>
          <w:lang w:eastAsia="zh-CN"/>
        </w:rPr>
      </w:pPr>
    </w:p>
    <w:p>
      <w:pPr>
        <w:keepNext/>
        <w:keepLines/>
        <w:widowControl/>
        <w:adjustRightInd w:val="0"/>
        <w:spacing w:before="156" w:beforeLines="50" w:after="156" w:afterLines="50"/>
        <w:jc w:val="center"/>
        <w:textAlignment w:val="baseline"/>
        <w:outlineLvl w:val="1"/>
        <w:rPr>
          <w:rFonts w:ascii="宋体" w:eastAsia="宋体" w:hAnsi="宋体"/>
          <w:b/>
          <w:bCs/>
          <w:lang w:eastAsia="zh-CN"/>
        </w:rPr>
      </w:pPr>
      <w:r>
        <w:rPr>
          <w:rFonts w:ascii="宋体" w:eastAsia="宋体" w:hAnsi="宋体" w:hint="eastAsia"/>
          <w:b/>
          <w:bCs/>
          <w:lang w:eastAsia="zh-CN"/>
        </w:rPr>
        <w:t>七、其他重要条款</w:t>
      </w:r>
    </w:p>
    <w:p>
      <w:pPr>
        <w:widowControl/>
        <w:ind w:firstLine="480" w:firstLineChars="200"/>
        <w:jc w:val="left"/>
        <w:rPr>
          <w:rFonts w:ascii="宋体" w:eastAsia="宋体" w:hAnsi="宋体" w:cs="宋体" w:hint="eastAsia"/>
          <w:bCs/>
          <w:lang w:eastAsia="zh-CN"/>
        </w:rPr>
      </w:pPr>
      <w:r>
        <w:rPr>
          <w:rFonts w:ascii="宋体" w:eastAsia="宋体" w:hAnsi="宋体" w:cs="宋体" w:hint="eastAsia"/>
          <w:bCs/>
          <w:lang w:eastAsia="zh-CN"/>
        </w:rPr>
        <w:t>1、本项目投标报价采用包干制，应包括本项目服务工作所涉及的人员工资、机械费、工具费、养老保险、医疗保险、失业保险、通胀风险、利润、管理费、税金等所涉及的一切费用，应涵盖本项目招标范围和招标文件所列的各项内容中所述的全部。由投标人根据招标需求自行测算投标报价；一经中标，投标报价即作为中标单位与采购人签订的合同金额。</w:t>
      </w:r>
    </w:p>
    <w:p>
      <w:pPr>
        <w:widowControl/>
        <w:ind w:firstLine="480" w:firstLineChars="200"/>
        <w:jc w:val="left"/>
        <w:rPr>
          <w:rFonts w:ascii="宋体" w:eastAsia="宋体" w:hAnsi="宋体" w:cs="宋体" w:hint="eastAsia"/>
          <w:bCs/>
          <w:lang w:eastAsia="zh-CN"/>
        </w:rPr>
      </w:pPr>
      <w:r>
        <w:rPr>
          <w:rFonts w:ascii="宋体" w:eastAsia="宋体" w:hAnsi="宋体" w:cs="宋体" w:hint="eastAsia"/>
          <w:bCs/>
          <w:lang w:eastAsia="zh-CN"/>
        </w:rPr>
        <w:t>2、投标人应充分了解项目的位置、情况、道路及任何其它足以影响投标报价的情况，任何因忽视或误解项目情况而导致的索赔或服务期限延长申请将不获批准。</w:t>
      </w:r>
    </w:p>
    <w:p>
      <w:pPr>
        <w:widowControl/>
        <w:ind w:firstLine="480" w:firstLineChars="200"/>
        <w:jc w:val="left"/>
        <w:rPr>
          <w:rFonts w:ascii="宋体" w:eastAsia="宋体" w:hAnsi="宋体" w:cs="宋体" w:hint="eastAsia"/>
          <w:bCs/>
          <w:lang w:eastAsia="zh-CN"/>
        </w:rPr>
      </w:pPr>
      <w:r>
        <w:rPr>
          <w:rFonts w:ascii="宋体" w:eastAsia="宋体" w:hAnsi="宋体" w:cs="宋体" w:hint="eastAsia"/>
          <w:bCs/>
          <w:lang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ind w:firstLine="480" w:firstLineChars="200"/>
        <w:jc w:val="left"/>
        <w:rPr>
          <w:rFonts w:ascii="宋体" w:eastAsia="宋体" w:hAnsi="宋体" w:cs="宋体" w:hint="eastAsia"/>
          <w:bCs/>
          <w:lang w:eastAsia="zh-CN"/>
        </w:rPr>
      </w:pPr>
      <w:r>
        <w:rPr>
          <w:rFonts w:ascii="宋体" w:eastAsia="宋体" w:hAnsi="宋体" w:cs="宋体" w:hint="eastAsia"/>
          <w:bCs/>
          <w:lang w:eastAsia="zh-CN"/>
        </w:rPr>
        <w:t>4、除政府采购合同继续履行将损害国家利益和社会公共利益外，双方当事人不得擅自变更、中止或者终止合同。</w:t>
      </w:r>
    </w:p>
    <w:p>
      <w:pPr>
        <w:widowControl/>
        <w:ind w:firstLine="480" w:firstLineChars="200"/>
        <w:jc w:val="left"/>
        <w:rPr>
          <w:rFonts w:ascii="宋体" w:eastAsia="宋体" w:hAnsi="宋体" w:cs="宋体" w:hint="eastAsia"/>
          <w:bCs/>
          <w:lang w:eastAsia="zh-CN"/>
        </w:rPr>
      </w:pPr>
      <w:r>
        <w:rPr>
          <w:rFonts w:ascii="宋体" w:eastAsia="宋体" w:hAnsi="宋体" w:cs="宋体" w:hint="eastAsia"/>
          <w:bCs/>
          <w:lang w:eastAsia="zh-CN"/>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widowControl w:val="0"/>
        <w:jc w:val="both"/>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pPr>
        <w:keepNext/>
        <w:keepLines/>
        <w:widowControl/>
        <w:adjustRightInd w:val="0"/>
        <w:spacing w:before="260" w:after="260"/>
        <w:jc w:val="center"/>
        <w:textAlignment w:val="baseline"/>
        <w:outlineLvl w:val="1"/>
        <w:rPr>
          <w:rFonts w:ascii="宋体" w:eastAsia="宋体" w:hAnsi="宋体"/>
          <w:b/>
          <w:bCs/>
          <w:kern w:val="2"/>
          <w:szCs w:val="20"/>
          <w:lang w:eastAsia="zh-CN"/>
        </w:rPr>
      </w:pPr>
      <w:r>
        <w:rPr>
          <w:rFonts w:ascii="宋体" w:eastAsia="宋体" w:hAnsi="宋体" w:hint="eastAsia"/>
          <w:b/>
          <w:bCs/>
          <w:kern w:val="2"/>
          <w:szCs w:val="20"/>
          <w:lang w:eastAsia="zh-CN"/>
        </w:rPr>
        <w:t>第四章 投标文件组成要求及格式</w:t>
      </w:r>
    </w:p>
    <w:p>
      <w:pPr>
        <w:widowControl w:val="0"/>
        <w:jc w:val="both"/>
        <w:rPr>
          <w:rFonts w:ascii="宋体" w:eastAsia="宋体" w:hAnsi="宋体"/>
          <w:b/>
          <w:bCs/>
          <w:kern w:val="2"/>
          <w:lang w:eastAsia="zh-CN"/>
        </w:rPr>
      </w:pPr>
      <w:r>
        <w:rPr>
          <w:rFonts w:ascii="宋体" w:eastAsia="宋体" w:hAnsi="宋体" w:hint="eastAsia"/>
          <w:b/>
          <w:bCs/>
          <w:kern w:val="2"/>
          <w:lang w:eastAsia="zh-CN"/>
        </w:rPr>
        <w:t>投标文件组成主要包括以下内容：</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一、投标函</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二、政府采购投标及履约承诺函</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三、投标人情况及资格证明文件</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四、项目详细报价</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五、法定代表人（负责人）证明书</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六、投标文件签署授权委托书</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七、实质性条款响应情况表</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八、综合实力部分、技术部分投标文件格式</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（一）</w:t>
      </w:r>
      <w:r>
        <w:rPr>
          <w:rFonts w:ascii="宋体" w:eastAsia="宋体" w:hAnsi="宋体" w:hint="eastAsia"/>
          <w:kern w:val="2"/>
          <w:lang w:eastAsia="zh-CN"/>
        </w:rPr>
        <w:t>服务</w:t>
      </w:r>
      <w:r>
        <w:rPr>
          <w:rFonts w:ascii="宋体" w:eastAsia="宋体" w:hAnsi="宋体" w:hint="eastAsia"/>
          <w:kern w:val="2"/>
          <w:lang w:eastAsia="zh-CN"/>
        </w:rPr>
        <w:t>方案</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（二）项目重点难点分析、应对措施及相关的合理化建议</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（三）质量（完成时间、安全、环保）保障措施及方案</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（四）拟安排的项目负责人情况（仅限一人）</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（五）拟安排的项目主要团队成员（主要技术人员）情况（项目负责人除外）</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（六）同类项目业绩</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（七）认证情况</w:t>
      </w:r>
    </w:p>
    <w:p>
      <w:pPr>
        <w:widowControl w:val="0"/>
        <w:ind w:firstLine="480" w:firstLineChars="200"/>
        <w:jc w:val="both"/>
        <w:rPr>
          <w:rFonts w:ascii="宋体" w:eastAsia="宋体" w:hAnsi="宋体"/>
          <w:b/>
          <w:bCs/>
          <w:kern w:val="2"/>
          <w:lang w:eastAsia="zh-CN"/>
        </w:rPr>
      </w:pPr>
      <w:r>
        <w:rPr>
          <w:rFonts w:ascii="宋体" w:eastAsia="宋体" w:hAnsi="宋体" w:hint="eastAsia"/>
          <w:kern w:val="2"/>
          <w:lang w:eastAsia="zh-CN"/>
        </w:rPr>
        <w:t>（八）自主知识产权产品（创新、设计）情况</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九、投标人认为需要加以说明的其他内容</w:t>
      </w:r>
    </w:p>
    <w:p>
      <w:pPr>
        <w:widowControl w:val="0"/>
        <w:jc w:val="both"/>
        <w:rPr>
          <w:rFonts w:ascii="仿宋_GB2312" w:eastAsia="仿宋_GB2312"/>
          <w:kern w:val="2"/>
          <w:lang w:eastAsia="zh-CN"/>
        </w:rPr>
      </w:pPr>
    </w:p>
    <w:p>
      <w:pPr>
        <w:widowControl w:val="0"/>
        <w:ind w:firstLine="485" w:firstLineChars="202"/>
        <w:jc w:val="both"/>
        <w:rPr>
          <w:rFonts w:ascii="宋体" w:eastAsia="宋体" w:hAnsi="宋体"/>
          <w:b/>
          <w:kern w:val="2"/>
          <w:lang w:eastAsia="zh-CN"/>
        </w:rPr>
      </w:pPr>
      <w:r>
        <w:rPr>
          <w:rFonts w:ascii="宋体" w:eastAsia="宋体" w:hAnsi="宋体" w:hint="eastAsia"/>
          <w:b/>
          <w:kern w:val="2"/>
          <w:lang w:eastAsia="zh-CN"/>
        </w:rPr>
        <w:t>备注：</w:t>
      </w:r>
    </w:p>
    <w:p>
      <w:pPr>
        <w:widowControl w:val="0"/>
        <w:ind w:firstLine="485" w:firstLineChars="202"/>
        <w:jc w:val="both"/>
        <w:rPr>
          <w:rFonts w:ascii="宋体" w:eastAsia="宋体" w:hAnsi="宋体"/>
          <w:b/>
          <w:kern w:val="2"/>
          <w:lang w:eastAsia="zh-CN"/>
        </w:rPr>
      </w:pPr>
      <w:r>
        <w:rPr>
          <w:rFonts w:ascii="宋体" w:eastAsia="宋体" w:hAnsi="宋体" w:hint="eastAsia"/>
          <w:b/>
          <w:kern w:val="2"/>
          <w:lang w:eastAsia="zh-CN"/>
        </w:rPr>
        <w:t>1.本项目为网上电子投标项目，投标文件不需法人或授权委托人另行签字，无需加盖单位公章，招标文件专用条款另有规定的除外。</w:t>
      </w:r>
    </w:p>
    <w:p>
      <w:pPr>
        <w:widowControl w:val="0"/>
        <w:ind w:firstLine="485" w:firstLineChars="202"/>
        <w:jc w:val="both"/>
        <w:rPr>
          <w:rFonts w:ascii="宋体" w:eastAsia="宋体" w:hAnsi="宋体"/>
          <w:b/>
          <w:kern w:val="2"/>
          <w:lang w:eastAsia="zh-CN"/>
        </w:rPr>
      </w:pPr>
      <w:r>
        <w:rPr>
          <w:rFonts w:ascii="宋体" w:eastAsia="宋体" w:hAnsi="宋体" w:hint="eastAsia"/>
          <w:b/>
          <w:kern w:val="2"/>
          <w:lang w:eastAsia="zh-CN"/>
        </w:rPr>
        <w:t>2.关于填写“开标一览表”的说明：“开标一览表”中除“投标报价”外，其他信息不作评审依据。</w:t>
      </w:r>
    </w:p>
    <w:p>
      <w:pPr>
        <w:widowControl w:val="0"/>
        <w:jc w:val="both"/>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pPr>
        <w:keepNext/>
        <w:keepLines/>
        <w:widowControl/>
        <w:spacing w:before="260" w:after="260" w:line="416" w:lineRule="auto"/>
        <w:jc w:val="center"/>
        <w:outlineLvl w:val="2"/>
        <w:rPr>
          <w:rFonts w:ascii="黑体" w:eastAsia="黑体"/>
          <w:bCs/>
          <w:szCs w:val="32"/>
          <w:lang w:eastAsia="zh-CN"/>
        </w:rPr>
      </w:pPr>
      <w:r>
        <w:rPr>
          <w:rFonts w:ascii="黑体" w:eastAsia="黑体" w:hint="eastAsia"/>
          <w:bCs/>
          <w:szCs w:val="32"/>
          <w:lang w:eastAsia="zh-CN"/>
        </w:rPr>
        <w:t>一、投标函</w:t>
      </w:r>
    </w:p>
    <w:p>
      <w:pPr>
        <w:widowControl/>
        <w:spacing w:line="360" w:lineRule="auto"/>
        <w:jc w:val="left"/>
        <w:rPr>
          <w:rFonts w:ascii="宋体" w:eastAsia="宋体" w:hAnsi="宋体"/>
          <w:color w:val="FF0000"/>
          <w:szCs w:val="21"/>
          <w:lang w:eastAsia="zh-CN"/>
        </w:rPr>
      </w:pPr>
      <w:r>
        <w:rPr>
          <w:rFonts w:ascii="宋体" w:eastAsia="宋体" w:hAnsi="宋体" w:hint="eastAsia"/>
          <w:color w:val="FF0000"/>
          <w:szCs w:val="21"/>
          <w:lang w:eastAsia="zh-CN"/>
        </w:rPr>
        <w:t>致：</w:t>
      </w:r>
      <w:r>
        <w:rPr>
          <w:rFonts w:ascii="宋体" w:eastAsia="宋体" w:hAnsi="宋体" w:hint="eastAsia"/>
          <w:color w:val="FF0000"/>
          <w:szCs w:val="21"/>
          <w:u w:val="single"/>
          <w:lang w:eastAsia="zh-CN"/>
        </w:rPr>
        <w:t>深圳公共资源交易中心</w:t>
      </w:r>
    </w:p>
    <w:p>
      <w:pPr>
        <w:widowControl/>
        <w:spacing w:line="360" w:lineRule="auto"/>
        <w:ind w:firstLine="480" w:firstLineChars="200"/>
        <w:jc w:val="left"/>
        <w:rPr>
          <w:rFonts w:ascii="宋体" w:eastAsia="宋体" w:hAnsi="宋体"/>
          <w:szCs w:val="21"/>
          <w:lang w:eastAsia="zh-CN"/>
        </w:rPr>
      </w:pPr>
      <w:bookmarkStart w:id="29" w:name="_Hlk73818812"/>
      <w:r>
        <w:rPr>
          <w:rFonts w:ascii="宋体" w:eastAsia="宋体" w:hAnsi="宋体" w:hint="eastAsia"/>
          <w:szCs w:val="21"/>
          <w:lang w:eastAsia="zh-CN"/>
        </w:rPr>
        <w:t>1、根据已收到贵单位的项目编号为</w:t>
      </w:r>
      <w:r>
        <w:rPr>
          <w:rFonts w:ascii="宋体" w:eastAsia="宋体" w:hAnsi="宋体" w:hint="eastAsia"/>
          <w:szCs w:val="21"/>
          <w:u w:val="single"/>
          <w:lang w:eastAsia="zh-CN"/>
        </w:rPr>
        <w:t xml:space="preserve">        </w:t>
      </w:r>
      <w:r>
        <w:rPr>
          <w:rFonts w:ascii="宋体" w:eastAsia="宋体" w:hAnsi="宋体" w:hint="eastAsia"/>
          <w:szCs w:val="21"/>
          <w:lang w:eastAsia="zh-CN"/>
        </w:rPr>
        <w:t>的</w:t>
      </w:r>
      <w:r>
        <w:rPr>
          <w:rFonts w:ascii="宋体" w:eastAsia="宋体" w:hAnsi="宋体" w:hint="eastAsia"/>
          <w:szCs w:val="21"/>
          <w:u w:val="single"/>
          <w:lang w:eastAsia="zh-CN"/>
        </w:rPr>
        <w:t xml:space="preserve">               </w:t>
      </w:r>
      <w:r>
        <w:rPr>
          <w:rFonts w:ascii="宋体" w:eastAsia="宋体" w:hAnsi="宋体" w:hint="eastAsia"/>
          <w:szCs w:val="21"/>
          <w:lang w:eastAsia="zh-CN"/>
        </w:rPr>
        <w:t>项目的招标文件，遵照《深圳经济特区政府采购条例》和《深圳网上政府采购管理暂行办法》等有关规定，我单位经研究上述招标文件的专用条款及通用条款后，</w:t>
      </w:r>
      <w:bookmarkStart w:id="30" w:name="_Hlk72263588"/>
      <w:r>
        <w:rPr>
          <w:rFonts w:ascii="宋体" w:eastAsia="宋体" w:hAnsi="宋体" w:hint="eastAsia"/>
          <w:szCs w:val="21"/>
          <w:lang w:eastAsia="zh-CN"/>
        </w:rPr>
        <w:t>愿意按照招标文件要求承包上述项目并修补其任何缺陷。</w:t>
      </w:r>
      <w:bookmarkEnd w:id="30"/>
    </w:p>
    <w:p>
      <w:pPr>
        <w:widowControl/>
        <w:spacing w:line="360" w:lineRule="auto"/>
        <w:ind w:firstLine="480" w:firstLineChars="200"/>
        <w:jc w:val="left"/>
        <w:rPr>
          <w:rFonts w:ascii="宋体" w:eastAsia="宋体" w:hAnsi="宋体"/>
          <w:szCs w:val="21"/>
          <w:lang w:eastAsia="zh-CN"/>
        </w:rPr>
      </w:pPr>
      <w:r>
        <w:rPr>
          <w:rFonts w:ascii="宋体" w:eastAsia="宋体" w:hAnsi="宋体"/>
          <w:szCs w:val="21"/>
          <w:lang w:eastAsia="zh-CN"/>
        </w:rPr>
        <w:t>2</w:t>
      </w:r>
      <w:r>
        <w:rPr>
          <w:rFonts w:ascii="宋体" w:eastAsia="宋体" w:hAnsi="宋体" w:hint="eastAsia"/>
          <w:szCs w:val="21"/>
          <w:lang w:eastAsia="zh-CN"/>
        </w:rPr>
        <w:t>、投标价格见投标书编制软件中《开标一览表》中填写的投标报价。</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3、如果我单位中标，我单位将按照招标文件的要求足额提交履约担保。</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4、我单位同意所递交的投标文件在“对通用条款的补充内容”中明确的投标有效期内有效，在此期间内我单位的投标有可能中标，我方将受此约束。</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5、除非另外达成协议并生效，贵单位的中标通知书和本投标文件将构成合同的重要内容。</w:t>
      </w:r>
    </w:p>
    <w:p>
      <w:pPr>
        <w:widowControl/>
        <w:ind w:firstLine="480" w:firstLineChars="200"/>
        <w:jc w:val="left"/>
        <w:rPr>
          <w:rFonts w:ascii="宋体" w:eastAsia="宋体" w:hAnsi="宋体"/>
          <w:szCs w:val="21"/>
          <w:lang w:eastAsia="zh-CN"/>
        </w:rPr>
      </w:pPr>
      <w:r>
        <w:rPr>
          <w:rFonts w:ascii="宋体" w:eastAsia="宋体" w:hAnsi="宋体" w:hint="eastAsia"/>
          <w:szCs w:val="21"/>
          <w:lang w:eastAsia="zh-CN"/>
        </w:rPr>
        <w:t>6、我单位理解贵单位将不受必须接受所收到的最低报价或其它任何投标文件的约束。</w:t>
      </w:r>
      <w:bookmarkEnd w:id="29"/>
    </w:p>
    <w:p>
      <w:pPr>
        <w:widowControl/>
        <w:ind w:firstLine="480" w:firstLineChars="200"/>
        <w:jc w:val="left"/>
        <w:rPr>
          <w:rFonts w:ascii="宋体" w:eastAsia="宋体" w:hAnsi="宋体"/>
          <w:szCs w:val="21"/>
          <w:lang w:eastAsia="zh-CN"/>
        </w:rPr>
      </w:pPr>
      <w:r>
        <w:rPr>
          <w:rFonts w:ascii="宋体" w:eastAsia="宋体" w:hAnsi="宋体" w:hint="eastAsia"/>
          <w:szCs w:val="21"/>
          <w:lang w:eastAsia="zh-CN"/>
        </w:rPr>
        <w:t>7、如我单位提交样品，且未在规定时间内取回样品的，视同放弃取回，同意深圳公共资源交易中心对我单位提交的样品进行清理。</w:t>
      </w:r>
    </w:p>
    <w:p>
      <w:pPr>
        <w:widowControl/>
        <w:spacing w:line="360" w:lineRule="auto"/>
        <w:ind w:left="480" w:leftChars="200"/>
        <w:jc w:val="left"/>
        <w:rPr>
          <w:rFonts w:eastAsia="宋体"/>
          <w:szCs w:val="21"/>
          <w:u w:val="single"/>
          <w:lang w:eastAsia="zh-CN"/>
        </w:rPr>
      </w:pPr>
      <w:r>
        <w:rPr>
          <w:rFonts w:eastAsia="宋体" w:hint="eastAsia"/>
          <w:szCs w:val="21"/>
          <w:lang w:eastAsia="zh-CN"/>
        </w:rPr>
        <w:t>投标人：</w:t>
      </w:r>
      <w:r>
        <w:rPr>
          <w:rFonts w:eastAsia="宋体" w:hint="eastAsia"/>
          <w:szCs w:val="21"/>
          <w:u w:val="single"/>
          <w:lang w:eastAsia="zh-CN"/>
        </w:rPr>
        <w:t xml:space="preserve">                   </w:t>
      </w:r>
      <w:r>
        <w:rPr>
          <w:rFonts w:eastAsia="宋体" w:hint="eastAsia"/>
          <w:szCs w:val="21"/>
          <w:lang w:eastAsia="zh-CN"/>
        </w:rPr>
        <w:t xml:space="preserve">    单位地址：</w:t>
      </w:r>
      <w:r>
        <w:rPr>
          <w:rFonts w:eastAsia="宋体" w:hint="eastAsia"/>
          <w:szCs w:val="21"/>
          <w:u w:val="single"/>
          <w:lang w:eastAsia="zh-CN"/>
        </w:rPr>
        <w:t xml:space="preserve">               </w:t>
      </w:r>
    </w:p>
    <w:p>
      <w:pPr>
        <w:widowControl/>
        <w:spacing w:line="360" w:lineRule="auto"/>
        <w:ind w:left="617" w:leftChars="257"/>
        <w:jc w:val="left"/>
        <w:rPr>
          <w:rFonts w:eastAsia="宋体"/>
          <w:szCs w:val="21"/>
          <w:u w:val="single"/>
          <w:lang w:eastAsia="zh-CN"/>
        </w:rPr>
      </w:pPr>
      <w:r>
        <w:rPr>
          <w:rFonts w:eastAsia="宋体" w:hint="eastAsia"/>
          <w:szCs w:val="21"/>
          <w:lang w:eastAsia="zh-CN"/>
        </w:rPr>
        <w:t>法定代表人（负责人）或其委托代理人：</w:t>
      </w:r>
      <w:r>
        <w:rPr>
          <w:rFonts w:eastAsia="宋体" w:hint="eastAsia"/>
          <w:szCs w:val="21"/>
          <w:u w:val="single"/>
          <w:lang w:eastAsia="zh-CN"/>
        </w:rPr>
        <w:t xml:space="preserve">                   </w:t>
      </w:r>
    </w:p>
    <w:p>
      <w:pPr>
        <w:widowControl/>
        <w:spacing w:line="360" w:lineRule="auto"/>
        <w:ind w:left="617" w:leftChars="257"/>
        <w:jc w:val="left"/>
        <w:rPr>
          <w:rFonts w:eastAsia="宋体"/>
          <w:szCs w:val="21"/>
          <w:u w:val="single"/>
          <w:lang w:eastAsia="zh-CN"/>
        </w:rPr>
      </w:pPr>
      <w:r>
        <w:rPr>
          <w:rFonts w:eastAsia="宋体" w:hint="eastAsia"/>
          <w:szCs w:val="21"/>
          <w:lang w:eastAsia="zh-CN"/>
        </w:rPr>
        <w:t>邮政编码：</w:t>
      </w:r>
      <w:r>
        <w:rPr>
          <w:rFonts w:eastAsia="宋体" w:hint="eastAsia"/>
          <w:szCs w:val="21"/>
          <w:u w:val="single"/>
          <w:lang w:eastAsia="zh-CN"/>
        </w:rPr>
        <w:t xml:space="preserve">          </w:t>
      </w:r>
      <w:r>
        <w:rPr>
          <w:rFonts w:eastAsia="宋体" w:hint="eastAsia"/>
          <w:szCs w:val="21"/>
          <w:lang w:eastAsia="zh-CN"/>
        </w:rPr>
        <w:t xml:space="preserve">  电话：</w:t>
      </w:r>
      <w:r>
        <w:rPr>
          <w:rFonts w:eastAsia="宋体" w:hint="eastAsia"/>
          <w:szCs w:val="21"/>
          <w:u w:val="single"/>
          <w:lang w:eastAsia="zh-CN"/>
        </w:rPr>
        <w:t xml:space="preserve">          </w:t>
      </w:r>
      <w:r>
        <w:rPr>
          <w:rFonts w:eastAsia="宋体" w:hint="eastAsia"/>
          <w:szCs w:val="21"/>
          <w:lang w:eastAsia="zh-CN"/>
        </w:rPr>
        <w:t xml:space="preserve">  传真：</w:t>
      </w:r>
      <w:r>
        <w:rPr>
          <w:rFonts w:eastAsia="宋体" w:hint="eastAsia"/>
          <w:szCs w:val="21"/>
          <w:u w:val="single"/>
          <w:lang w:eastAsia="zh-CN"/>
        </w:rPr>
        <w:t xml:space="preserve">            </w:t>
      </w:r>
    </w:p>
    <w:p>
      <w:pPr>
        <w:widowControl/>
        <w:spacing w:line="360" w:lineRule="auto"/>
        <w:ind w:firstLine="617" w:firstLineChars="257"/>
        <w:jc w:val="left"/>
        <w:rPr>
          <w:rFonts w:eastAsia="宋体"/>
          <w:lang w:eastAsia="zh-CN"/>
        </w:rPr>
      </w:pPr>
      <w:r>
        <w:rPr>
          <w:rFonts w:ascii="宋体" w:eastAsia="宋体" w:hAnsi="宋体" w:hint="eastAsia"/>
          <w:szCs w:val="21"/>
          <w:lang w:eastAsia="zh-CN"/>
        </w:rPr>
        <w:t>日期：</w:t>
      </w:r>
      <w:r>
        <w:rPr>
          <w:rFonts w:ascii="宋体" w:eastAsia="宋体" w:hAnsi="宋体" w:hint="eastAsia"/>
          <w:szCs w:val="21"/>
          <w:u w:val="single"/>
          <w:lang w:eastAsia="zh-CN"/>
        </w:rPr>
        <w:t xml:space="preserve">       </w:t>
      </w:r>
      <w:r>
        <w:rPr>
          <w:rFonts w:ascii="宋体" w:eastAsia="宋体" w:hAnsi="宋体" w:hint="eastAsia"/>
          <w:szCs w:val="21"/>
          <w:lang w:eastAsia="zh-CN"/>
        </w:rPr>
        <w:t>年</w:t>
      </w:r>
      <w:r>
        <w:rPr>
          <w:rFonts w:ascii="宋体" w:eastAsia="宋体" w:hAnsi="宋体" w:hint="eastAsia"/>
          <w:szCs w:val="21"/>
          <w:u w:val="single"/>
          <w:lang w:eastAsia="zh-CN"/>
        </w:rPr>
        <w:t xml:space="preserve">     </w:t>
      </w:r>
      <w:r>
        <w:rPr>
          <w:rFonts w:ascii="宋体" w:eastAsia="宋体" w:hAnsi="宋体" w:hint="eastAsia"/>
          <w:szCs w:val="21"/>
          <w:lang w:eastAsia="zh-CN"/>
        </w:rPr>
        <w:t>月</w:t>
      </w:r>
      <w:r>
        <w:rPr>
          <w:rFonts w:ascii="宋体" w:eastAsia="宋体" w:hAnsi="宋体" w:hint="eastAsia"/>
          <w:szCs w:val="21"/>
          <w:u w:val="single"/>
          <w:lang w:eastAsia="zh-CN"/>
        </w:rPr>
        <w:t xml:space="preserve">    </w:t>
      </w:r>
      <w:r>
        <w:rPr>
          <w:rFonts w:ascii="宋体" w:eastAsia="宋体" w:hAnsi="宋体" w:hint="eastAsia"/>
          <w:szCs w:val="21"/>
          <w:lang w:eastAsia="zh-CN"/>
        </w:rPr>
        <w:t>日</w:t>
      </w:r>
      <w:r>
        <w:rPr>
          <w:rFonts w:eastAsia="宋体" w:hint="eastAsia"/>
          <w:lang w:eastAsia="zh-CN"/>
        </w:rPr>
        <w:t xml:space="preserve">                                </w:t>
      </w:r>
    </w:p>
    <w:p>
      <w:pPr>
        <w:widowControl/>
        <w:jc w:val="left"/>
        <w:rPr>
          <w:rFonts w:ascii="黑体" w:eastAsia="黑体" w:hAnsi="宋体"/>
          <w:lang w:eastAsia="zh-CN"/>
        </w:rPr>
      </w:pPr>
    </w:p>
    <w:p>
      <w:pPr>
        <w:keepNext/>
        <w:keepLines/>
        <w:widowControl/>
        <w:spacing w:before="260" w:after="260" w:line="416" w:lineRule="auto"/>
        <w:jc w:val="center"/>
        <w:outlineLvl w:val="2"/>
        <w:rPr>
          <w:rFonts w:ascii="黑体" w:eastAsia="黑体"/>
          <w:bCs/>
          <w:szCs w:val="32"/>
          <w:lang w:eastAsia="zh-CN"/>
        </w:rPr>
      </w:pPr>
      <w:r>
        <w:rPr>
          <w:rFonts w:ascii="黑体" w:eastAsia="黑体" w:hint="eastAsia"/>
          <w:bCs/>
          <w:szCs w:val="32"/>
          <w:lang w:eastAsia="zh-CN"/>
        </w:rPr>
        <w:t>二、政府采购投标及履约承诺函</w:t>
      </w:r>
    </w:p>
    <w:p>
      <w:pPr>
        <w:widowControl/>
        <w:jc w:val="left"/>
        <w:rPr>
          <w:rFonts w:ascii="宋体" w:eastAsia="宋体" w:hAnsi="宋体"/>
          <w:color w:val="FF0000"/>
          <w:szCs w:val="21"/>
          <w:lang w:eastAsia="zh-CN"/>
        </w:rPr>
      </w:pPr>
      <w:bookmarkStart w:id="31" w:name="_Hlk72257530"/>
      <w:r>
        <w:rPr>
          <w:rFonts w:ascii="宋体" w:eastAsia="宋体" w:hAnsi="宋体" w:hint="eastAsia"/>
          <w:color w:val="FF0000"/>
          <w:szCs w:val="21"/>
          <w:lang w:eastAsia="zh-CN"/>
        </w:rPr>
        <w:t>致：</w:t>
      </w:r>
      <w:r>
        <w:rPr>
          <w:rFonts w:ascii="宋体" w:eastAsia="宋体" w:hAnsi="宋体" w:hint="eastAsia"/>
          <w:color w:val="FF0000"/>
          <w:szCs w:val="21"/>
          <w:u w:val="single"/>
          <w:lang w:eastAsia="zh-CN"/>
        </w:rPr>
        <w:t>深圳公共资源交易中心</w:t>
      </w:r>
    </w:p>
    <w:bookmarkEnd w:id="31"/>
    <w:p>
      <w:pPr>
        <w:widowControl/>
        <w:spacing w:line="360" w:lineRule="auto"/>
        <w:ind w:right="-815" w:firstLine="480" w:firstLineChars="200"/>
        <w:jc w:val="left"/>
        <w:rPr>
          <w:rFonts w:ascii="宋体" w:eastAsia="宋体" w:hAnsi="宋体"/>
          <w:szCs w:val="21"/>
          <w:lang w:eastAsia="zh-CN"/>
        </w:rPr>
      </w:pPr>
      <w:r>
        <w:rPr>
          <w:rFonts w:ascii="宋体" w:eastAsia="宋体" w:hAnsi="宋体" w:hint="eastAsia"/>
          <w:szCs w:val="21"/>
          <w:lang w:eastAsia="zh-CN"/>
        </w:rPr>
        <w:t>我单位承诺：</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1.我单位参与本项目所投标（响应）的货物、工程或服务，不存在侵犯知识产权的情况。</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2.我单位参与本项目政府采购活动时不存在被有关部门禁止参与政府采购活动且在有效期内的情况。</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3.我单位具备《中华人民共和国政府采购法》第二十二条第一款规定的六项条件。</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4.我单位未被列入失信被执行人、重大税收违法案件当事人名单、政府采购严重违法失信行为记录名单。</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5.我单位不存在《深圳市财政局政府采购供应商信用信息管理办法》（深财规〔2023〕3号）列明的严重违法失信行为。</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9.我单位承诺中标后项目不转包，未经采购人同意不进行分包。</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工业和信息化部关于印发&lt;绿色数据中心政府采购需求标准（试行）&gt;的通知》（财库〔2023〕7号）要求。若所投产品涉及国家强制性标准的，所投产品应符合国家强制性标准相关要求。</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12.我单位已知悉并同意中标（成交）结果信息公示（公开）的内容。</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14.我单位清楚，如存在违反投标承诺行为情节严重的，将根据《深圳市财政局关于印发&lt;深圳市财政局政府采购供应商信用信息管理办法&gt;的通知》，依法被列入失信信息。</w:t>
      </w:r>
    </w:p>
    <w:p>
      <w:pPr>
        <w:widowControl/>
        <w:spacing w:line="360" w:lineRule="auto"/>
        <w:ind w:firstLine="480" w:firstLineChars="200"/>
        <w:jc w:val="left"/>
        <w:rPr>
          <w:rFonts w:ascii="宋体" w:eastAsia="宋体" w:hAnsi="宋体"/>
          <w:szCs w:val="21"/>
          <w:lang w:eastAsia="zh-CN"/>
        </w:rPr>
      </w:pPr>
      <w:r>
        <w:rPr>
          <w:rFonts w:ascii="宋体" w:eastAsia="宋体" w:hAnsi="宋体" w:hint="eastAsia"/>
          <w:szCs w:val="21"/>
          <w:lang w:eastAsia="zh-CN"/>
        </w:rPr>
        <w:t>以上承诺，如有违反，愿依照国家相关法律法规处理，并承担由此给采购人带来的损失。</w:t>
      </w:r>
    </w:p>
    <w:p>
      <w:pPr>
        <w:widowControl/>
        <w:spacing w:before="78" w:beforeLines="25" w:after="78" w:afterLines="25" w:line="360" w:lineRule="auto"/>
        <w:ind w:firstLine="6240" w:firstLineChars="2600"/>
        <w:jc w:val="left"/>
        <w:rPr>
          <w:rFonts w:ascii="宋体" w:eastAsia="宋体" w:hAnsi="宋体"/>
          <w:szCs w:val="21"/>
          <w:lang w:eastAsia="zh-CN"/>
        </w:rPr>
      </w:pPr>
      <w:r>
        <w:rPr>
          <w:rFonts w:ascii="宋体" w:eastAsia="宋体" w:hAnsi="宋体" w:hint="eastAsia"/>
          <w:szCs w:val="21"/>
          <w:lang w:eastAsia="zh-CN"/>
        </w:rPr>
        <w:t xml:space="preserve">                                    </w:t>
      </w:r>
    </w:p>
    <w:p>
      <w:pPr>
        <w:widowControl/>
        <w:spacing w:before="78" w:beforeLines="25" w:after="78" w:afterLines="25" w:line="360" w:lineRule="auto"/>
        <w:ind w:firstLine="5520" w:firstLineChars="2300"/>
        <w:jc w:val="left"/>
        <w:rPr>
          <w:rFonts w:eastAsia="宋体"/>
          <w:lang w:eastAsia="zh-CN"/>
        </w:rPr>
      </w:pPr>
      <w:r>
        <w:rPr>
          <w:rFonts w:eastAsia="宋体" w:hint="eastAsia"/>
          <w:szCs w:val="21"/>
          <w:lang w:eastAsia="zh-CN"/>
        </w:rPr>
        <w:t>投标人：</w:t>
      </w:r>
      <w:r>
        <w:rPr>
          <w:rFonts w:eastAsia="宋体" w:hint="eastAsia"/>
          <w:szCs w:val="21"/>
          <w:u w:val="single"/>
          <w:lang w:eastAsia="zh-CN"/>
        </w:rPr>
        <w:t xml:space="preserve">              </w:t>
      </w:r>
    </w:p>
    <w:p>
      <w:pPr>
        <w:widowControl/>
        <w:spacing w:line="360" w:lineRule="auto"/>
        <w:ind w:firstLine="645"/>
        <w:jc w:val="left"/>
        <w:rPr>
          <w:rFonts w:ascii="宋体" w:eastAsia="宋体" w:hAnsi="宋体"/>
          <w:szCs w:val="21"/>
          <w:lang w:eastAsia="zh-CN"/>
        </w:rPr>
      </w:pPr>
      <w:r>
        <w:rPr>
          <w:rFonts w:ascii="宋体" w:eastAsia="宋体" w:hAnsi="宋体" w:hint="eastAsia"/>
          <w:szCs w:val="21"/>
          <w:lang w:eastAsia="zh-CN"/>
        </w:rPr>
        <w:t xml:space="preserve">                                          日期：</w:t>
      </w:r>
      <w:r>
        <w:rPr>
          <w:rFonts w:ascii="宋体" w:eastAsia="宋体" w:hAnsi="宋体" w:hint="eastAsia"/>
          <w:szCs w:val="21"/>
          <w:u w:val="single"/>
          <w:lang w:eastAsia="zh-CN"/>
        </w:rPr>
        <w:t xml:space="preserve">    </w:t>
      </w:r>
      <w:r>
        <w:rPr>
          <w:rFonts w:ascii="宋体" w:eastAsia="宋体" w:hAnsi="宋体" w:hint="eastAsia"/>
          <w:szCs w:val="21"/>
          <w:lang w:eastAsia="zh-CN"/>
        </w:rPr>
        <w:t>年</w:t>
      </w:r>
      <w:r>
        <w:rPr>
          <w:rFonts w:ascii="宋体" w:eastAsia="宋体" w:hAnsi="宋体" w:hint="eastAsia"/>
          <w:szCs w:val="21"/>
          <w:u w:val="single"/>
          <w:lang w:eastAsia="zh-CN"/>
        </w:rPr>
        <w:t xml:space="preserve">   </w:t>
      </w:r>
      <w:r>
        <w:rPr>
          <w:rFonts w:ascii="宋体" w:eastAsia="宋体" w:hAnsi="宋体" w:hint="eastAsia"/>
          <w:szCs w:val="21"/>
          <w:lang w:eastAsia="zh-CN"/>
        </w:rPr>
        <w:t>月</w:t>
      </w:r>
      <w:r>
        <w:rPr>
          <w:rFonts w:ascii="宋体" w:eastAsia="宋体" w:hAnsi="宋体" w:hint="eastAsia"/>
          <w:szCs w:val="21"/>
          <w:u w:val="single"/>
          <w:lang w:eastAsia="zh-CN"/>
        </w:rPr>
        <w:t xml:space="preserve">   </w:t>
      </w:r>
      <w:r>
        <w:rPr>
          <w:rFonts w:ascii="宋体" w:eastAsia="宋体" w:hAnsi="宋体" w:hint="eastAsia"/>
          <w:szCs w:val="21"/>
          <w:lang w:eastAsia="zh-CN"/>
        </w:rPr>
        <w:t>日</w:t>
      </w:r>
    </w:p>
    <w:p>
      <w:pPr>
        <w:widowControl/>
        <w:jc w:val="left"/>
        <w:rPr>
          <w:rFonts w:eastAsia="宋体"/>
          <w:lang w:eastAsia="zh-CN"/>
        </w:rPr>
      </w:pPr>
    </w:p>
    <w:p>
      <w:pPr>
        <w:keepNext/>
        <w:keepLines/>
        <w:widowControl/>
        <w:spacing w:before="120" w:after="120" w:line="360" w:lineRule="auto"/>
        <w:jc w:val="center"/>
        <w:outlineLvl w:val="2"/>
        <w:rPr>
          <w:rFonts w:ascii="黑体" w:eastAsia="黑体"/>
          <w:bCs/>
          <w:szCs w:val="32"/>
          <w:lang w:eastAsia="zh-CN"/>
        </w:rPr>
      </w:pPr>
      <w:r>
        <w:rPr>
          <w:rFonts w:ascii="黑体" w:eastAsia="黑体" w:hint="eastAsia"/>
          <w:bCs/>
          <w:szCs w:val="32"/>
          <w:lang w:eastAsia="zh-CN"/>
        </w:rPr>
        <w:t>三、投标人情况及资格证明文件</w:t>
      </w:r>
    </w:p>
    <w:p>
      <w:pPr>
        <w:widowControl/>
        <w:spacing w:line="360" w:lineRule="auto"/>
        <w:ind w:firstLine="2640" w:firstLineChars="1100"/>
        <w:jc w:val="left"/>
        <w:outlineLvl w:val="3"/>
        <w:rPr>
          <w:rFonts w:ascii="黑体" w:eastAsia="黑体" w:hAnsi="宋体"/>
          <w:bCs/>
          <w:szCs w:val="32"/>
          <w:lang w:eastAsia="zh-CN"/>
        </w:rPr>
      </w:pPr>
      <w:r>
        <w:rPr>
          <w:rFonts w:ascii="黑体" w:eastAsia="黑体" w:hAnsi="宋体" w:hint="eastAsia"/>
          <w:bCs/>
          <w:szCs w:val="32"/>
          <w:lang w:eastAsia="zh-CN"/>
        </w:rPr>
        <w:t>（一）投标人资格证明文件</w:t>
      </w:r>
    </w:p>
    <w:p>
      <w:pPr>
        <w:widowControl w:val="0"/>
        <w:spacing w:before="156" w:beforeLines="50" w:line="360" w:lineRule="auto"/>
        <w:ind w:firstLine="480" w:firstLineChars="200"/>
        <w:jc w:val="both"/>
        <w:rPr>
          <w:rFonts w:eastAsia="宋体"/>
          <w:bCs/>
          <w:color w:val="FF0000"/>
          <w:kern w:val="2"/>
          <w:lang w:eastAsia="zh-CN"/>
        </w:rPr>
      </w:pPr>
      <w:r>
        <w:rPr>
          <w:rFonts w:eastAsia="宋体" w:hint="eastAsia"/>
          <w:bCs/>
          <w:color w:val="FF0000"/>
          <w:kern w:val="2"/>
          <w:lang w:eastAsia="zh-CN"/>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供应商基本情况表》且已在规定章节中提供了，此处可不重复提供。）</w:t>
      </w:r>
    </w:p>
    <w:p>
      <w:pPr>
        <w:widowControl w:val="0"/>
        <w:ind w:firstLine="480" w:firstLineChars="200"/>
        <w:jc w:val="both"/>
        <w:rPr>
          <w:rFonts w:eastAsia="宋体"/>
          <w:b/>
          <w:kern w:val="2"/>
          <w:lang w:eastAsia="zh-CN"/>
        </w:rPr>
      </w:pPr>
    </w:p>
    <w:p>
      <w:pPr>
        <w:widowControl w:val="0"/>
        <w:ind w:firstLine="480" w:firstLineChars="200"/>
        <w:jc w:val="both"/>
        <w:outlineLvl w:val="3"/>
        <w:rPr>
          <w:rFonts w:ascii="黑体" w:eastAsia="黑体" w:hAnsi="宋体"/>
          <w:bCs/>
          <w:szCs w:val="32"/>
          <w:lang w:eastAsia="zh-CN"/>
        </w:rPr>
      </w:pPr>
      <w:r>
        <w:rPr>
          <w:rFonts w:ascii="黑体" w:eastAsia="黑体" w:hAnsi="宋体" w:hint="eastAsia"/>
          <w:bCs/>
          <w:szCs w:val="32"/>
          <w:lang w:eastAsia="zh-CN"/>
        </w:rPr>
        <w:t>（二）中小企业声明函、残疾人福利性单位声明函及监狱企业声明函</w:t>
      </w:r>
    </w:p>
    <w:p>
      <w:pPr>
        <w:widowControl w:val="0"/>
        <w:jc w:val="both"/>
        <w:rPr>
          <w:rFonts w:ascii="Calibri" w:eastAsia="宋体" w:hAnsi="Calibri"/>
          <w:kern w:val="2"/>
          <w:sz w:val="21"/>
          <w:szCs w:val="22"/>
          <w:lang w:eastAsia="zh-CN"/>
        </w:rPr>
      </w:pP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填写指引：</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2、该部分内容填写需要参考的相关文件：</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w:t>
      </w:r>
      <w:r>
        <w:rPr>
          <w:rFonts w:ascii="宋体" w:eastAsia="宋体" w:hAnsi="宋体" w:cs="宋体"/>
          <w:color w:val="0000FF"/>
          <w:kern w:val="2"/>
          <w:lang w:eastAsia="zh-CN"/>
        </w:rPr>
        <w:t>1</w:t>
      </w:r>
      <w:r>
        <w:rPr>
          <w:rFonts w:ascii="宋体" w:eastAsia="宋体" w:hAnsi="宋体" w:cs="宋体" w:hint="eastAsia"/>
          <w:color w:val="0000FF"/>
          <w:kern w:val="2"/>
          <w:lang w:eastAsia="zh-CN"/>
        </w:rPr>
        <w:t>)财政部《政府采购促进中小企业发展管理办法》（财库〔2020〕46号）；</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w:t>
      </w:r>
      <w:r>
        <w:rPr>
          <w:rFonts w:ascii="宋体" w:eastAsia="宋体" w:hAnsi="宋体" w:cs="宋体"/>
          <w:color w:val="0000FF"/>
          <w:kern w:val="2"/>
          <w:lang w:eastAsia="zh-CN"/>
        </w:rPr>
        <w:t>2</w:t>
      </w:r>
      <w:r>
        <w:rPr>
          <w:rFonts w:ascii="宋体" w:eastAsia="宋体" w:hAnsi="宋体" w:cs="宋体" w:hint="eastAsia"/>
          <w:color w:val="0000FF"/>
          <w:kern w:val="2"/>
          <w:lang w:eastAsia="zh-CN"/>
        </w:rPr>
        <w:t>)</w:t>
      </w:r>
      <w:bookmarkStart w:id="32" w:name="_Hlk71925120"/>
      <w:r>
        <w:rPr>
          <w:rFonts w:ascii="宋体" w:eastAsia="宋体" w:hAnsi="宋体" w:cs="宋体" w:hint="eastAsia"/>
          <w:color w:val="0000FF"/>
          <w:kern w:val="2"/>
          <w:lang w:eastAsia="zh-CN"/>
        </w:rPr>
        <w:t>《工业和信息化部、国家统计局、国家发展和改革委员会、财政部关于印发中小企业划型标准规定的通知》（工信部联企业〔2011〕300 号</w:t>
      </w:r>
      <w:bookmarkEnd w:id="32"/>
      <w:r>
        <w:rPr>
          <w:rFonts w:ascii="宋体" w:eastAsia="宋体" w:hAnsi="宋体" w:cs="宋体" w:hint="eastAsia"/>
          <w:color w:val="0000FF"/>
          <w:kern w:val="2"/>
          <w:lang w:eastAsia="zh-CN"/>
        </w:rPr>
        <w:t>，以下简称3</w:t>
      </w:r>
      <w:r>
        <w:rPr>
          <w:rFonts w:ascii="宋体" w:eastAsia="宋体" w:hAnsi="宋体" w:cs="宋体"/>
          <w:color w:val="0000FF"/>
          <w:kern w:val="2"/>
          <w:lang w:eastAsia="zh-CN"/>
        </w:rPr>
        <w:t>00</w:t>
      </w:r>
      <w:r>
        <w:rPr>
          <w:rFonts w:ascii="宋体" w:eastAsia="宋体" w:hAnsi="宋体" w:cs="宋体" w:hint="eastAsia"/>
          <w:color w:val="0000FF"/>
          <w:kern w:val="2"/>
          <w:lang w:eastAsia="zh-CN"/>
        </w:rPr>
        <w:t>号文）</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(3)《统计上大中小微型企业划分办法(2017)》（国统字〔2017〕213 号）</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(4)《关于促进残疾人就业政府采购政策的通知》（财库〔2017〕141号）</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(5)《关于政府采购支持监狱企业发展有关问题的通知》（财库〔2014〕68号）</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3、请依照提供的格式和内容填写声明函，不要随意变更格式；声明函不需要盖章或签字；满足多项优惠政策的投标人，不重复享受多项价格扣除政策。</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4、声明函具体填写要求：</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（1）声明是中小企业须填写《中小企业声明函》的以下内容：</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第一处，在“单位名称”下划线处如实填写采购人名称（深圳公共资源交易中心不是本项目的采购人，而是组织实施机构）；</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第二处，在“项目名称”下划线处如实填写采购项目名称；</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第三处，在“标的名称”下划线处填写所采购服务（标的）的具体名称（以</w:t>
      </w:r>
      <w:bookmarkStart w:id="33" w:name="_Hlk72259001"/>
      <w:r>
        <w:rPr>
          <w:rFonts w:ascii="宋体" w:eastAsia="宋体" w:hAnsi="宋体" w:cs="宋体" w:hint="eastAsia"/>
          <w:color w:val="0000FF"/>
          <w:kern w:val="2"/>
          <w:lang w:eastAsia="zh-CN"/>
        </w:rPr>
        <w:t>招标文件第一册第三章</w:t>
      </w:r>
      <w:bookmarkEnd w:id="33"/>
      <w:r>
        <w:rPr>
          <w:rFonts w:ascii="宋体" w:eastAsia="宋体" w:hAnsi="宋体" w:cs="宋体" w:hint="eastAsia"/>
          <w:color w:val="0000FF"/>
          <w:kern w:val="2"/>
          <w:lang w:eastAsia="zh-CN"/>
        </w:rPr>
        <w:t>用户需求书“服务需求明细”的“服务需求名称”一栏为准）；如果涉及多个服务需求（标的）由同一企业承接，“标的名称”下划线处可以如实填写多个服务需求（标的）；</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第四处，在“招标文件中明确的所属行业”下划线处填写采购标的对应的中小企业划分标准所属行业（所属行业可在招标文件第一册第二章“对通用条款的补充内容”及“其他关键信息”章节查看）；</w:t>
      </w:r>
      <w:r>
        <w:rPr>
          <w:rFonts w:ascii="宋体" w:eastAsia="宋体" w:hAnsi="宋体" w:cs="宋体"/>
          <w:color w:val="0000FF"/>
          <w:kern w:val="2"/>
          <w:lang w:eastAsia="zh-CN"/>
        </w:rPr>
        <w:t xml:space="preserve"> </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承接/承建企业所属行业应当与招标文件要求的行业相一致，供应商如有疑问，可根据《国民经济行业分类》（</w:t>
      </w:r>
      <w:r>
        <w:rPr>
          <w:rFonts w:ascii="宋体" w:eastAsia="宋体" w:hAnsi="宋体" w:cs="宋体"/>
          <w:color w:val="0000FF"/>
          <w:kern w:val="2"/>
          <w:lang w:eastAsia="zh-CN"/>
        </w:rPr>
        <w:t>GB/T 4754-2017</w:t>
      </w:r>
      <w:r>
        <w:rPr>
          <w:rFonts w:ascii="宋体" w:eastAsia="宋体" w:hAnsi="宋体" w:cs="宋体" w:hint="eastAsia"/>
          <w:color w:val="0000FF"/>
          <w:kern w:val="2"/>
          <w:lang w:eastAsia="zh-CN"/>
        </w:rPr>
        <w:t>），结合《关于印发中小企业划型标准规定的通知》（工信部联企业〔2011〕300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（2）声明是残疾人福利性单位须填写《残疾人福利性单位声明函》的相关内容（填写位置的字体已加粗），具体参照以上《中小企业声明函》填写要求执行。</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（3）声明是监狱企业须填写《监狱企业声明函》的相关内容（填写位置的字体已加粗），具体参照以上《中小企业声明函》填写要求执行。</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供应商应严格按照“填写指引”的要求进行填写，否则可能被判定无效。</w:t>
      </w:r>
    </w:p>
    <w:p>
      <w:pPr>
        <w:widowControl w:val="0"/>
        <w:spacing w:line="276" w:lineRule="auto"/>
        <w:ind w:firstLine="480" w:firstLineChars="200"/>
        <w:jc w:val="both"/>
        <w:rPr>
          <w:rFonts w:ascii="宋体" w:eastAsia="宋体" w:hAnsi="宋体" w:cs="宋体"/>
          <w:color w:val="0000FF"/>
          <w:kern w:val="2"/>
          <w:lang w:eastAsia="zh-CN"/>
        </w:rPr>
      </w:pPr>
      <w:r>
        <w:rPr>
          <w:rFonts w:ascii="宋体" w:eastAsia="宋体" w:hAnsi="宋体" w:cs="宋体" w:hint="eastAsia"/>
          <w:color w:val="0000FF"/>
          <w:kern w:val="2"/>
          <w:lang w:eastAsia="zh-CN"/>
        </w:rPr>
        <w:t>6、本项目属于服务类项目，相关服务的承接商应当为中小企业或残疾人福利性单位或监狱企业，如包含硬件设备、产品等货物采购的，不再对其中涉及的货物的制造商作出要求。</w:t>
      </w:r>
    </w:p>
    <w:p>
      <w:pPr>
        <w:widowControl w:val="0"/>
        <w:spacing w:line="360" w:lineRule="auto"/>
        <w:ind w:firstLine="480" w:firstLineChars="200"/>
        <w:jc w:val="both"/>
        <w:rPr>
          <w:rFonts w:ascii="宋体" w:eastAsia="宋体" w:hAnsi="宋体"/>
          <w:color w:val="0000FF"/>
          <w:kern w:val="2"/>
          <w:lang w:eastAsia="zh-CN"/>
        </w:rPr>
      </w:pPr>
    </w:p>
    <w:p>
      <w:pPr>
        <w:widowControl w:val="0"/>
        <w:spacing w:line="300" w:lineRule="exact"/>
        <w:jc w:val="center"/>
        <w:rPr>
          <w:rFonts w:ascii="宋体" w:eastAsia="宋体" w:hAnsi="宋体" w:cs="宋体"/>
          <w:b/>
          <w:bCs/>
          <w:kern w:val="2"/>
          <w:lang w:eastAsia="zh-CN"/>
        </w:rPr>
      </w:pPr>
      <w:r>
        <w:rPr>
          <w:rFonts w:ascii="宋体" w:eastAsia="宋体" w:hAnsi="宋体" w:cs="宋体" w:hint="eastAsia"/>
          <w:b/>
          <w:bCs/>
          <w:kern w:val="2"/>
          <w:lang w:eastAsia="zh-CN"/>
        </w:rPr>
        <w:t>1.中小企业声明函（服务）</w:t>
      </w:r>
    </w:p>
    <w:p>
      <w:pPr>
        <w:widowControl w:val="0"/>
        <w:adjustRightInd w:val="0"/>
        <w:spacing w:line="300" w:lineRule="exact"/>
        <w:ind w:firstLine="480" w:firstLineChars="200"/>
        <w:jc w:val="both"/>
        <w:rPr>
          <w:rFonts w:ascii="宋体" w:eastAsia="宋体" w:hAnsi="宋体" w:cs="宋体"/>
          <w:kern w:val="2"/>
          <w:lang w:eastAsia="zh-CN"/>
        </w:rPr>
      </w:pPr>
      <w:r>
        <w:rPr>
          <w:rFonts w:ascii="宋体" w:eastAsia="宋体" w:hAnsi="宋体" w:cs="宋体" w:hint="eastAsia"/>
          <w:kern w:val="2"/>
          <w:lang w:eastAsia="zh-CN"/>
        </w:rPr>
        <w:t>本投标人郑重声明，根据《政府采购促进中小企业发展管理办法》（财库﹝2020﹞46号）的规定，本投标人参加</w:t>
      </w:r>
      <w:r>
        <w:rPr>
          <w:rFonts w:ascii="宋体" w:eastAsia="宋体" w:hAnsi="宋体" w:cs="宋体" w:hint="eastAsia"/>
          <w:b/>
          <w:bCs/>
          <w:kern w:val="2"/>
          <w:u w:val="single"/>
          <w:lang w:eastAsia="zh-CN"/>
        </w:rPr>
        <w:t>（单位名称）</w:t>
      </w:r>
      <w:r>
        <w:rPr>
          <w:rFonts w:ascii="宋体" w:eastAsia="宋体" w:hAnsi="宋体" w:cs="宋体" w:hint="eastAsia"/>
          <w:kern w:val="2"/>
          <w:lang w:eastAsia="zh-CN"/>
        </w:rPr>
        <w:t>的</w:t>
      </w:r>
      <w:r>
        <w:rPr>
          <w:rFonts w:ascii="宋体" w:eastAsia="宋体" w:hAnsi="宋体" w:cs="宋体" w:hint="eastAsia"/>
          <w:b/>
          <w:bCs/>
          <w:kern w:val="2"/>
          <w:u w:val="single"/>
          <w:lang w:eastAsia="zh-CN"/>
        </w:rPr>
        <w:t>（项目名称）</w:t>
      </w:r>
      <w:r>
        <w:rPr>
          <w:rFonts w:ascii="宋体" w:eastAsia="宋体" w:hAnsi="宋体" w:cs="宋体" w:hint="eastAsia"/>
          <w:kern w:val="2"/>
          <w:lang w:eastAsia="zh-CN"/>
        </w:rPr>
        <w:t>采购活动，服务全部由符合政策要求的中小企业承接。相关企业的具体情况如下：</w:t>
      </w:r>
    </w:p>
    <w:p>
      <w:pPr>
        <w:widowControl w:val="0"/>
        <w:adjustRightInd w:val="0"/>
        <w:spacing w:line="300" w:lineRule="exact"/>
        <w:ind w:firstLine="480" w:firstLineChars="200"/>
        <w:jc w:val="both"/>
        <w:rPr>
          <w:rFonts w:ascii="宋体" w:eastAsia="宋体" w:hAnsi="宋体" w:cs="宋体"/>
          <w:kern w:val="2"/>
          <w:lang w:eastAsia="zh-CN"/>
        </w:rPr>
      </w:pPr>
      <w:r>
        <w:rPr>
          <w:rFonts w:ascii="宋体" w:eastAsia="宋体" w:hAnsi="宋体" w:cs="宋体" w:hint="eastAsia"/>
          <w:kern w:val="2"/>
          <w:lang w:eastAsia="zh-CN"/>
        </w:rPr>
        <w:t>1.</w:t>
      </w:r>
      <w:r>
        <w:rPr>
          <w:rFonts w:ascii="宋体" w:eastAsia="宋体" w:hAnsi="宋体" w:cs="宋体" w:hint="eastAsia"/>
          <w:b/>
          <w:bCs/>
          <w:kern w:val="2"/>
          <w:u w:val="single"/>
          <w:lang w:eastAsia="zh-CN"/>
        </w:rPr>
        <w:t xml:space="preserve"> （标的名称）</w:t>
      </w:r>
      <w:r>
        <w:rPr>
          <w:rFonts w:ascii="宋体" w:eastAsia="宋体" w:hAnsi="宋体" w:cs="宋体" w:hint="eastAsia"/>
          <w:kern w:val="2"/>
          <w:lang w:eastAsia="zh-CN"/>
        </w:rPr>
        <w:t xml:space="preserve"> ，属于</w:t>
      </w:r>
      <w:r>
        <w:rPr>
          <w:rFonts w:ascii="宋体" w:eastAsia="宋体" w:hAnsi="宋体" w:cs="宋体" w:hint="eastAsia"/>
          <w:b/>
          <w:bCs/>
          <w:kern w:val="2"/>
          <w:u w:val="single"/>
          <w:lang w:eastAsia="zh-CN"/>
        </w:rPr>
        <w:t>（</w:t>
      </w:r>
      <w:r>
        <w:rPr>
          <w:rFonts w:ascii="宋体" w:eastAsia="宋体" w:hAnsi="宋体" w:cs="宋体" w:hint="eastAsia"/>
          <w:b/>
          <w:bCs/>
          <w:kern w:val="2"/>
          <w:u w:val="single"/>
          <w:lang w:eastAsia="zh-CN"/>
        </w:rPr>
        <w:t>采购</w:t>
      </w:r>
      <w:r>
        <w:rPr>
          <w:rFonts w:ascii="宋体" w:eastAsia="宋体" w:hAnsi="宋体" w:cs="宋体" w:hint="eastAsia"/>
          <w:b/>
          <w:bCs/>
          <w:kern w:val="2"/>
          <w:u w:val="single"/>
          <w:lang w:eastAsia="zh-CN"/>
        </w:rPr>
        <w:t xml:space="preserve">文件中明确的所属行业） </w:t>
      </w:r>
      <w:r>
        <w:rPr>
          <w:rFonts w:ascii="宋体" w:eastAsia="宋体" w:hAnsi="宋体" w:cs="宋体" w:hint="eastAsia"/>
          <w:kern w:val="2"/>
          <w:lang w:eastAsia="zh-CN"/>
        </w:rPr>
        <w:t>行业；承接企业为</w:t>
      </w:r>
      <w:r>
        <w:rPr>
          <w:rFonts w:ascii="宋体" w:eastAsia="宋体" w:hAnsi="宋体" w:cs="宋体" w:hint="eastAsia"/>
          <w:b/>
          <w:bCs/>
          <w:kern w:val="2"/>
          <w:u w:val="single"/>
          <w:lang w:eastAsia="zh-CN"/>
        </w:rPr>
        <w:t>（企业名称，要求承接企业本身所属行业应当与招标文件要求的行业相一致）</w:t>
      </w:r>
      <w:r>
        <w:rPr>
          <w:rFonts w:ascii="宋体" w:eastAsia="宋体" w:hAnsi="宋体" w:cs="宋体" w:hint="eastAsia"/>
          <w:kern w:val="2"/>
          <w:lang w:eastAsia="zh-CN"/>
        </w:rPr>
        <w:t>，从业人员</w:t>
      </w:r>
      <w:r>
        <w:rPr>
          <w:rFonts w:ascii="宋体" w:eastAsia="宋体" w:hAnsi="宋体" w:cs="宋体" w:hint="eastAsia"/>
          <w:b/>
          <w:bCs/>
          <w:kern w:val="2"/>
          <w:u w:val="single"/>
          <w:lang w:eastAsia="zh-CN"/>
        </w:rPr>
        <w:t xml:space="preserve">  </w:t>
      </w:r>
      <w:r>
        <w:rPr>
          <w:rFonts w:ascii="宋体" w:eastAsia="宋体" w:hAnsi="宋体" w:cs="宋体" w:hint="eastAsia"/>
          <w:kern w:val="2"/>
          <w:lang w:eastAsia="zh-CN"/>
        </w:rPr>
        <w:t>人，营业收入为</w:t>
      </w:r>
      <w:r>
        <w:rPr>
          <w:rFonts w:ascii="宋体" w:eastAsia="宋体" w:hAnsi="宋体" w:cs="宋体" w:hint="eastAsia"/>
          <w:b/>
          <w:bCs/>
          <w:kern w:val="2"/>
          <w:u w:val="single"/>
          <w:lang w:eastAsia="zh-CN"/>
        </w:rPr>
        <w:t xml:space="preserve">   </w:t>
      </w:r>
      <w:r>
        <w:rPr>
          <w:rFonts w:ascii="宋体" w:eastAsia="宋体" w:hAnsi="宋体" w:cs="宋体" w:hint="eastAsia"/>
          <w:kern w:val="2"/>
          <w:lang w:eastAsia="zh-CN"/>
        </w:rPr>
        <w:t>万元，资产总额为</w:t>
      </w:r>
      <w:r>
        <w:rPr>
          <w:rFonts w:ascii="宋体" w:eastAsia="宋体" w:hAnsi="宋体" w:cs="宋体" w:hint="eastAsia"/>
          <w:b/>
          <w:bCs/>
          <w:kern w:val="2"/>
          <w:u w:val="single"/>
          <w:lang w:eastAsia="zh-CN"/>
        </w:rPr>
        <w:t xml:space="preserve">   </w:t>
      </w:r>
      <w:r>
        <w:rPr>
          <w:rFonts w:ascii="宋体" w:eastAsia="宋体" w:hAnsi="宋体" w:cs="宋体" w:hint="eastAsia"/>
          <w:kern w:val="2"/>
          <w:lang w:eastAsia="zh-CN"/>
        </w:rPr>
        <w:t>万元 ，属于</w:t>
      </w:r>
      <w:r>
        <w:rPr>
          <w:rFonts w:ascii="宋体" w:eastAsia="宋体" w:hAnsi="宋体" w:cs="宋体" w:hint="eastAsia"/>
          <w:b/>
          <w:bCs/>
          <w:kern w:val="2"/>
          <w:u w:val="single"/>
          <w:lang w:eastAsia="zh-CN"/>
        </w:rPr>
        <w:t>（中型企业、小型企业、微型企业）</w:t>
      </w:r>
      <w:r>
        <w:rPr>
          <w:rFonts w:ascii="宋体" w:eastAsia="宋体" w:hAnsi="宋体" w:cs="宋体" w:hint="eastAsia"/>
          <w:kern w:val="2"/>
          <w:lang w:eastAsia="zh-CN"/>
        </w:rPr>
        <w:t xml:space="preserve">； </w:t>
      </w:r>
    </w:p>
    <w:p>
      <w:pPr>
        <w:widowControl w:val="0"/>
        <w:adjustRightInd w:val="0"/>
        <w:spacing w:line="300" w:lineRule="exact"/>
        <w:ind w:firstLine="480" w:firstLineChars="200"/>
        <w:jc w:val="both"/>
        <w:rPr>
          <w:rFonts w:ascii="宋体" w:eastAsia="宋体" w:hAnsi="宋体" w:cs="宋体"/>
          <w:kern w:val="2"/>
          <w:u w:val="single"/>
          <w:lang w:eastAsia="zh-CN"/>
        </w:rPr>
      </w:pPr>
      <w:r>
        <w:rPr>
          <w:rFonts w:ascii="宋体" w:eastAsia="宋体" w:hAnsi="宋体" w:cs="宋体" w:hint="eastAsia"/>
          <w:kern w:val="2"/>
          <w:lang w:eastAsia="zh-CN"/>
        </w:rPr>
        <w:t>2.</w:t>
      </w:r>
      <w:r>
        <w:rPr>
          <w:rFonts w:ascii="宋体" w:eastAsia="宋体" w:hAnsi="宋体" w:cs="宋体" w:hint="eastAsia"/>
          <w:b/>
          <w:bCs/>
          <w:kern w:val="2"/>
          <w:u w:val="single"/>
          <w:lang w:eastAsia="zh-CN"/>
        </w:rPr>
        <w:t xml:space="preserve"> （标的名称）</w:t>
      </w:r>
      <w:r>
        <w:rPr>
          <w:rFonts w:ascii="宋体" w:eastAsia="宋体" w:hAnsi="宋体" w:cs="宋体" w:hint="eastAsia"/>
          <w:kern w:val="2"/>
          <w:lang w:eastAsia="zh-CN"/>
        </w:rPr>
        <w:t xml:space="preserve"> ，属于</w:t>
      </w:r>
      <w:r>
        <w:rPr>
          <w:rFonts w:ascii="宋体" w:eastAsia="宋体" w:hAnsi="宋体" w:cs="宋体" w:hint="eastAsia"/>
          <w:b/>
          <w:bCs/>
          <w:kern w:val="2"/>
          <w:u w:val="single"/>
          <w:lang w:eastAsia="zh-CN"/>
        </w:rPr>
        <w:t>（</w:t>
      </w:r>
      <w:r>
        <w:rPr>
          <w:rFonts w:ascii="宋体" w:eastAsia="宋体" w:hAnsi="宋体" w:cs="宋体" w:hint="eastAsia"/>
          <w:b/>
          <w:bCs/>
          <w:kern w:val="2"/>
          <w:u w:val="single"/>
          <w:lang w:eastAsia="zh-CN"/>
        </w:rPr>
        <w:t>采购</w:t>
      </w:r>
      <w:r>
        <w:rPr>
          <w:rFonts w:ascii="宋体" w:eastAsia="宋体" w:hAnsi="宋体" w:cs="宋体" w:hint="eastAsia"/>
          <w:b/>
          <w:bCs/>
          <w:kern w:val="2"/>
          <w:u w:val="single"/>
          <w:lang w:eastAsia="zh-CN"/>
        </w:rPr>
        <w:t xml:space="preserve">文件中明确的所属行业） </w:t>
      </w:r>
      <w:r>
        <w:rPr>
          <w:rFonts w:ascii="宋体" w:eastAsia="宋体" w:hAnsi="宋体" w:cs="宋体" w:hint="eastAsia"/>
          <w:kern w:val="2"/>
          <w:lang w:eastAsia="zh-CN"/>
        </w:rPr>
        <w:t>行业；承接企业为</w:t>
      </w:r>
      <w:r>
        <w:rPr>
          <w:rFonts w:ascii="宋体" w:eastAsia="宋体" w:hAnsi="宋体" w:cs="宋体" w:hint="eastAsia"/>
          <w:b/>
          <w:bCs/>
          <w:kern w:val="2"/>
          <w:u w:val="single"/>
          <w:lang w:eastAsia="zh-CN"/>
        </w:rPr>
        <w:t>（企业名称，要求承接企业本身所属行业应当与招标文件要求的行业相一致）</w:t>
      </w:r>
      <w:r>
        <w:rPr>
          <w:rFonts w:ascii="宋体" w:eastAsia="宋体" w:hAnsi="宋体" w:cs="宋体" w:hint="eastAsia"/>
          <w:kern w:val="2"/>
          <w:lang w:eastAsia="zh-CN"/>
        </w:rPr>
        <w:t>，从业人员</w:t>
      </w:r>
      <w:r>
        <w:rPr>
          <w:rFonts w:ascii="宋体" w:eastAsia="宋体" w:hAnsi="宋体" w:cs="宋体" w:hint="eastAsia"/>
          <w:b/>
          <w:bCs/>
          <w:kern w:val="2"/>
          <w:u w:val="single"/>
          <w:lang w:eastAsia="zh-CN"/>
        </w:rPr>
        <w:t xml:space="preserve">  </w:t>
      </w:r>
      <w:r>
        <w:rPr>
          <w:rFonts w:ascii="宋体" w:eastAsia="宋体" w:hAnsi="宋体" w:cs="宋体" w:hint="eastAsia"/>
          <w:kern w:val="2"/>
          <w:lang w:eastAsia="zh-CN"/>
        </w:rPr>
        <w:t>人，营业收入为</w:t>
      </w:r>
      <w:r>
        <w:rPr>
          <w:rFonts w:ascii="宋体" w:eastAsia="宋体" w:hAnsi="宋体" w:cs="宋体" w:hint="eastAsia"/>
          <w:b/>
          <w:bCs/>
          <w:kern w:val="2"/>
          <w:u w:val="single"/>
          <w:lang w:eastAsia="zh-CN"/>
        </w:rPr>
        <w:t xml:space="preserve">   </w:t>
      </w:r>
      <w:r>
        <w:rPr>
          <w:rFonts w:ascii="宋体" w:eastAsia="宋体" w:hAnsi="宋体" w:cs="宋体" w:hint="eastAsia"/>
          <w:kern w:val="2"/>
          <w:lang w:eastAsia="zh-CN"/>
        </w:rPr>
        <w:t>万元，资产总额为</w:t>
      </w:r>
      <w:r>
        <w:rPr>
          <w:rFonts w:ascii="宋体" w:eastAsia="宋体" w:hAnsi="宋体" w:cs="宋体" w:hint="eastAsia"/>
          <w:b/>
          <w:bCs/>
          <w:kern w:val="2"/>
          <w:u w:val="single"/>
          <w:lang w:eastAsia="zh-CN"/>
        </w:rPr>
        <w:t xml:space="preserve">   </w:t>
      </w:r>
      <w:r>
        <w:rPr>
          <w:rFonts w:ascii="宋体" w:eastAsia="宋体" w:hAnsi="宋体" w:cs="宋体" w:hint="eastAsia"/>
          <w:kern w:val="2"/>
          <w:lang w:eastAsia="zh-CN"/>
        </w:rPr>
        <w:t>万元 ，属于</w:t>
      </w:r>
      <w:r>
        <w:rPr>
          <w:rFonts w:ascii="宋体" w:eastAsia="宋体" w:hAnsi="宋体" w:cs="宋体" w:hint="eastAsia"/>
          <w:b/>
          <w:bCs/>
          <w:kern w:val="2"/>
          <w:u w:val="single"/>
          <w:lang w:eastAsia="zh-CN"/>
        </w:rPr>
        <w:t>（中型企业、小型企业、微型企业）</w:t>
      </w:r>
      <w:r>
        <w:rPr>
          <w:rFonts w:ascii="宋体" w:eastAsia="宋体" w:hAnsi="宋体" w:cs="宋体" w:hint="eastAsia"/>
          <w:kern w:val="2"/>
          <w:lang w:eastAsia="zh-CN"/>
        </w:rPr>
        <w:t>；</w:t>
      </w:r>
    </w:p>
    <w:p>
      <w:pPr>
        <w:widowControl w:val="0"/>
        <w:adjustRightInd w:val="0"/>
        <w:spacing w:line="300" w:lineRule="exact"/>
        <w:ind w:firstLine="480" w:firstLineChars="200"/>
        <w:jc w:val="both"/>
        <w:rPr>
          <w:rFonts w:ascii="宋体" w:eastAsia="宋体" w:hAnsi="宋体" w:cs="宋体"/>
          <w:kern w:val="2"/>
          <w:lang w:eastAsia="zh-CN"/>
        </w:rPr>
      </w:pPr>
      <w:r>
        <w:rPr>
          <w:rFonts w:ascii="宋体" w:eastAsia="宋体" w:hAnsi="宋体" w:cs="宋体" w:hint="eastAsia"/>
          <w:kern w:val="2"/>
          <w:lang w:eastAsia="zh-CN"/>
        </w:rPr>
        <w:t xml:space="preserve">…… </w:t>
      </w:r>
    </w:p>
    <w:p>
      <w:pPr>
        <w:widowControl w:val="0"/>
        <w:adjustRightInd w:val="0"/>
        <w:ind w:firstLine="480" w:firstLineChars="200"/>
        <w:jc w:val="both"/>
        <w:rPr>
          <w:rFonts w:ascii="宋体" w:eastAsia="宋体" w:hAnsi="宋体" w:cs="宋体"/>
          <w:kern w:val="2"/>
          <w:lang w:eastAsia="zh-CN"/>
        </w:rPr>
      </w:pPr>
      <w:r>
        <w:rPr>
          <w:rFonts w:ascii="宋体" w:eastAsia="宋体" w:hAnsi="宋体" w:cs="宋体" w:hint="eastAsia"/>
          <w:kern w:val="2"/>
          <w:lang w:eastAsia="zh-CN"/>
        </w:rPr>
        <w:t>以上企业，不属于大企业的分支机构，不存在控股股东为大企业的情形，也不存在与大企业的负责人为同一人的情形。</w:t>
      </w:r>
    </w:p>
    <w:p>
      <w:pPr>
        <w:widowControl w:val="0"/>
        <w:ind w:firstLine="480" w:firstLineChars="200"/>
        <w:jc w:val="both"/>
        <w:rPr>
          <w:rFonts w:ascii="宋体" w:eastAsia="宋体" w:hAnsi="宋体"/>
          <w:kern w:val="2"/>
          <w:lang w:eastAsia="zh-CN"/>
        </w:rPr>
      </w:pPr>
      <w:r>
        <w:rPr>
          <w:rFonts w:ascii="宋体" w:eastAsia="宋体" w:hAnsi="宋体" w:hint="eastAsia"/>
          <w:kern w:val="2"/>
          <w:lang w:eastAsia="zh-CN"/>
        </w:rPr>
        <w:t>本企业对上述声明内容的真实性负责。如有虚假，将依法承担相应责任。</w:t>
      </w:r>
    </w:p>
    <w:p>
      <w:pPr>
        <w:widowControl w:val="0"/>
        <w:adjustRightInd w:val="0"/>
        <w:ind w:firstLine="480" w:firstLineChars="200"/>
        <w:jc w:val="both"/>
        <w:rPr>
          <w:rFonts w:ascii="宋体" w:eastAsia="宋体" w:hAnsi="宋体" w:cs="宋体"/>
          <w:kern w:val="2"/>
          <w:lang w:eastAsia="zh-CN"/>
        </w:rPr>
      </w:pPr>
      <w:r>
        <w:rPr>
          <w:rFonts w:ascii="宋体" w:eastAsia="宋体" w:hAnsi="宋体" w:cs="宋体" w:hint="eastAsia"/>
          <w:kern w:val="2"/>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widowControl w:val="0"/>
        <w:wordWrap w:val="0"/>
        <w:adjustRightInd w:val="0"/>
        <w:spacing w:line="300" w:lineRule="exact"/>
        <w:ind w:firstLine="480" w:firstLineChars="200"/>
        <w:jc w:val="right"/>
        <w:rPr>
          <w:rFonts w:ascii="宋体" w:eastAsia="宋体" w:hAnsi="宋体" w:cs="宋体"/>
          <w:kern w:val="2"/>
          <w:lang w:eastAsia="zh-CN"/>
        </w:rPr>
      </w:pPr>
      <w:r>
        <w:rPr>
          <w:rFonts w:ascii="宋体" w:eastAsia="宋体" w:hAnsi="宋体" w:cs="宋体" w:hint="eastAsia"/>
          <w:kern w:val="2"/>
          <w:lang w:eastAsia="zh-CN"/>
        </w:rPr>
        <w:t xml:space="preserve">                </w:t>
      </w:r>
    </w:p>
    <w:p>
      <w:pPr>
        <w:widowControl w:val="0"/>
        <w:adjustRightInd w:val="0"/>
        <w:spacing w:line="300" w:lineRule="exact"/>
        <w:ind w:firstLine="480" w:firstLineChars="200"/>
        <w:jc w:val="both"/>
        <w:rPr>
          <w:rFonts w:ascii="宋体" w:eastAsia="宋体" w:hAnsi="宋体"/>
          <w:kern w:val="2"/>
          <w:lang w:eastAsia="zh-CN"/>
        </w:rPr>
      </w:pPr>
    </w:p>
    <w:p>
      <w:pPr>
        <w:widowControl w:val="0"/>
        <w:adjustRightInd w:val="0"/>
        <w:spacing w:line="300" w:lineRule="exact"/>
        <w:jc w:val="center"/>
        <w:rPr>
          <w:rFonts w:ascii="宋体" w:eastAsia="宋体" w:hAnsi="宋体" w:cs="宋体"/>
          <w:b/>
          <w:kern w:val="2"/>
          <w:lang w:eastAsia="zh-CN"/>
        </w:rPr>
      </w:pPr>
      <w:r>
        <w:rPr>
          <w:rFonts w:ascii="宋体" w:eastAsia="宋体" w:hAnsi="宋体" w:cs="宋体" w:hint="eastAsia"/>
          <w:b/>
          <w:kern w:val="2"/>
          <w:lang w:eastAsia="zh-CN"/>
        </w:rPr>
        <w:t>2.残疾人福利性单位声明函（服务类）</w:t>
      </w:r>
    </w:p>
    <w:p>
      <w:pPr>
        <w:widowControl w:val="0"/>
        <w:adjustRightInd w:val="0"/>
        <w:spacing w:line="360" w:lineRule="auto"/>
        <w:ind w:firstLine="480" w:firstLineChars="200"/>
        <w:jc w:val="left"/>
        <w:rPr>
          <w:rFonts w:ascii="宋体" w:eastAsia="宋体" w:hAnsi="宋体" w:cs="宋体"/>
          <w:kern w:val="2"/>
          <w:lang w:eastAsia="zh-CN"/>
        </w:rPr>
      </w:pPr>
      <w:r>
        <w:rPr>
          <w:rFonts w:ascii="宋体" w:eastAsia="宋体" w:hAnsi="宋体" w:cs="宋体" w:hint="eastAsia"/>
          <w:kern w:val="2"/>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kern w:val="2"/>
          <w:u w:val="single"/>
          <w:lang w:eastAsia="zh-CN"/>
        </w:rPr>
        <w:t xml:space="preserve">    （单位名称）    </w:t>
      </w:r>
      <w:r>
        <w:rPr>
          <w:rFonts w:ascii="宋体" w:eastAsia="宋体" w:hAnsi="宋体" w:cs="宋体" w:hint="eastAsia"/>
          <w:kern w:val="2"/>
          <w:lang w:eastAsia="zh-CN"/>
        </w:rPr>
        <w:t>单位的</w:t>
      </w:r>
      <w:r>
        <w:rPr>
          <w:rFonts w:ascii="宋体" w:eastAsia="宋体" w:hAnsi="宋体" w:cs="宋体" w:hint="eastAsia"/>
          <w:b/>
          <w:bCs/>
          <w:kern w:val="2"/>
          <w:u w:val="single"/>
          <w:lang w:eastAsia="zh-CN"/>
        </w:rPr>
        <w:t xml:space="preserve">    （项目名称）    </w:t>
      </w:r>
      <w:r>
        <w:rPr>
          <w:rFonts w:ascii="宋体" w:eastAsia="宋体" w:hAnsi="宋体" w:cs="宋体" w:hint="eastAsia"/>
          <w:kern w:val="2"/>
          <w:lang w:eastAsia="zh-CN"/>
        </w:rPr>
        <w:t>项目采购活动由本单位提供服务。</w:t>
      </w:r>
    </w:p>
    <w:p>
      <w:pPr>
        <w:widowControl w:val="0"/>
        <w:adjustRightInd w:val="0"/>
        <w:spacing w:line="360" w:lineRule="auto"/>
        <w:ind w:firstLine="480" w:firstLineChars="200"/>
        <w:jc w:val="left"/>
        <w:rPr>
          <w:rFonts w:ascii="宋体" w:eastAsia="宋体" w:hAnsi="宋体" w:cs="宋体"/>
          <w:kern w:val="2"/>
          <w:lang w:eastAsia="zh-CN"/>
        </w:rPr>
      </w:pPr>
      <w:r>
        <w:rPr>
          <w:rFonts w:ascii="宋体" w:eastAsia="宋体" w:hAnsi="宋体" w:cs="宋体" w:hint="eastAsia"/>
          <w:kern w:val="2"/>
          <w:lang w:eastAsia="zh-CN"/>
        </w:rPr>
        <w:t>本单位对上述声明的真实性负责。如有虚假，将依法承担相应责任。</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wordWrap w:val="0"/>
        <w:adjustRightInd w:val="0"/>
        <w:spacing w:line="300" w:lineRule="exact"/>
        <w:ind w:firstLine="420" w:firstLineChars="200"/>
        <w:jc w:val="right"/>
        <w:rPr>
          <w:rFonts w:ascii="宋体" w:eastAsia="宋体" w:hAnsi="宋体" w:cs="宋体"/>
          <w:kern w:val="2"/>
          <w:sz w:val="21"/>
          <w:szCs w:val="21"/>
          <w:lang w:eastAsia="zh-CN"/>
        </w:rPr>
      </w:pPr>
    </w:p>
    <w:p>
      <w:pPr>
        <w:widowControl w:val="0"/>
        <w:wordWrap w:val="0"/>
        <w:adjustRightInd w:val="0"/>
        <w:spacing w:line="300" w:lineRule="exact"/>
        <w:ind w:firstLine="420" w:firstLineChars="200"/>
        <w:jc w:val="right"/>
        <w:rPr>
          <w:rFonts w:ascii="宋体" w:eastAsia="宋体" w:hAnsi="宋体"/>
          <w:kern w:val="2"/>
          <w:sz w:val="21"/>
          <w:szCs w:val="21"/>
          <w:lang w:eastAsia="zh-CN"/>
        </w:rPr>
      </w:pPr>
      <w:r>
        <w:rPr>
          <w:rFonts w:ascii="宋体" w:eastAsia="宋体" w:hAnsi="宋体" w:cs="宋体" w:hint="eastAsia"/>
          <w:kern w:val="2"/>
          <w:sz w:val="21"/>
          <w:szCs w:val="21"/>
          <w:lang w:eastAsia="zh-CN"/>
        </w:rPr>
        <w:t xml:space="preserve">           </w:t>
      </w:r>
    </w:p>
    <w:p>
      <w:pPr>
        <w:widowControl w:val="0"/>
        <w:adjustRightInd w:val="0"/>
        <w:spacing w:line="300" w:lineRule="exact"/>
        <w:ind w:firstLine="420" w:firstLineChars="200"/>
        <w:jc w:val="both"/>
        <w:rPr>
          <w:rFonts w:ascii="宋体" w:eastAsia="宋体" w:hAnsi="宋体"/>
          <w:kern w:val="2"/>
          <w:sz w:val="21"/>
          <w:szCs w:val="21"/>
          <w:lang w:eastAsia="zh-CN"/>
        </w:rPr>
      </w:pPr>
    </w:p>
    <w:p>
      <w:pPr>
        <w:widowControl w:val="0"/>
        <w:adjustRightInd w:val="0"/>
        <w:spacing w:line="300" w:lineRule="exact"/>
        <w:jc w:val="left"/>
        <w:rPr>
          <w:rFonts w:ascii="宋体" w:eastAsia="宋体" w:hAnsi="宋体" w:cs="宋体"/>
          <w:b/>
          <w:kern w:val="2"/>
          <w:lang w:eastAsia="zh-CN"/>
        </w:rPr>
      </w:pPr>
      <w:r>
        <w:rPr>
          <w:rFonts w:ascii="宋体" w:eastAsia="宋体" w:hAnsi="宋体" w:cs="宋体" w:hint="eastAsia"/>
          <w:b/>
          <w:kern w:val="2"/>
          <w:lang w:eastAsia="zh-CN"/>
        </w:rPr>
        <w:t>3.监狱企业声明函【服务类，监狱企业如需享受优惠政策，还须另行提供省级以上监狱管理局、戒毒管理局（含新疆生产建设兵团）出具的监狱企业证明文件】</w:t>
      </w:r>
    </w:p>
    <w:p>
      <w:pPr>
        <w:widowControl w:val="0"/>
        <w:adjustRightInd w:val="0"/>
        <w:spacing w:line="300" w:lineRule="exact"/>
        <w:ind w:firstLine="480" w:firstLineChars="200"/>
        <w:jc w:val="left"/>
        <w:rPr>
          <w:rFonts w:ascii="宋体" w:eastAsia="宋体" w:hAnsi="宋体" w:cs="宋体"/>
          <w:kern w:val="2"/>
          <w:lang w:eastAsia="zh-CN"/>
        </w:rPr>
      </w:pPr>
      <w:r>
        <w:rPr>
          <w:rFonts w:ascii="宋体" w:eastAsia="宋体" w:hAnsi="宋体" w:cs="宋体" w:hint="eastAsia"/>
          <w:kern w:val="2"/>
          <w:lang w:eastAsia="zh-CN"/>
        </w:rPr>
        <w:t>本投标人郑重声明，根据《财政部司法部关于政府采购支持监狱企业发展有关问题的通知》（财库〔2014〕68号）的规定，本投标人参加</w:t>
      </w:r>
      <w:r>
        <w:rPr>
          <w:rFonts w:ascii="宋体" w:eastAsia="宋体" w:hAnsi="宋体" w:cs="宋体" w:hint="eastAsia"/>
          <w:b/>
          <w:bCs/>
          <w:kern w:val="2"/>
          <w:u w:val="single"/>
          <w:lang w:eastAsia="zh-CN"/>
        </w:rPr>
        <w:t>（单位名称）</w:t>
      </w:r>
      <w:r>
        <w:rPr>
          <w:rFonts w:ascii="宋体" w:eastAsia="宋体" w:hAnsi="宋体" w:cs="宋体" w:hint="eastAsia"/>
          <w:kern w:val="2"/>
          <w:lang w:eastAsia="zh-CN"/>
        </w:rPr>
        <w:t>的</w:t>
      </w:r>
      <w:r>
        <w:rPr>
          <w:rFonts w:ascii="宋体" w:eastAsia="宋体" w:hAnsi="宋体" w:cs="宋体" w:hint="eastAsia"/>
          <w:b/>
          <w:bCs/>
          <w:kern w:val="2"/>
          <w:u w:val="single"/>
          <w:lang w:eastAsia="zh-CN"/>
        </w:rPr>
        <w:t>（项目名称）</w:t>
      </w:r>
      <w:r>
        <w:rPr>
          <w:rFonts w:ascii="宋体" w:eastAsia="宋体" w:hAnsi="宋体" w:cs="宋体" w:hint="eastAsia"/>
          <w:kern w:val="2"/>
          <w:lang w:eastAsia="zh-CN"/>
        </w:rPr>
        <w:t>采购活动，服务全部由符合政策要求的监狱企业承接。相关监狱企业的具体情况如下：</w:t>
      </w:r>
    </w:p>
    <w:p>
      <w:pPr>
        <w:widowControl w:val="0"/>
        <w:adjustRightInd w:val="0"/>
        <w:spacing w:line="300" w:lineRule="exact"/>
        <w:ind w:firstLine="480" w:firstLineChars="200"/>
        <w:jc w:val="left"/>
        <w:rPr>
          <w:rFonts w:ascii="宋体" w:eastAsia="宋体" w:hAnsi="宋体" w:cs="宋体"/>
          <w:kern w:val="2"/>
          <w:lang w:eastAsia="zh-CN"/>
        </w:rPr>
      </w:pPr>
      <w:r>
        <w:rPr>
          <w:rFonts w:ascii="宋体" w:eastAsia="宋体" w:hAnsi="宋体" w:cs="宋体" w:hint="eastAsia"/>
          <w:kern w:val="2"/>
          <w:lang w:eastAsia="zh-CN"/>
        </w:rPr>
        <w:t>1.</w:t>
      </w:r>
      <w:r>
        <w:rPr>
          <w:rFonts w:ascii="宋体" w:eastAsia="宋体" w:hAnsi="宋体" w:cs="宋体" w:hint="eastAsia"/>
          <w:b/>
          <w:bCs/>
          <w:kern w:val="2"/>
          <w:u w:val="single"/>
          <w:lang w:eastAsia="zh-CN"/>
        </w:rPr>
        <w:t xml:space="preserve"> （标的名称）</w:t>
      </w:r>
      <w:r>
        <w:rPr>
          <w:rFonts w:ascii="宋体" w:eastAsia="宋体" w:hAnsi="宋体" w:cs="宋体" w:hint="eastAsia"/>
          <w:kern w:val="2"/>
          <w:lang w:eastAsia="zh-CN"/>
        </w:rPr>
        <w:t xml:space="preserve"> ，承接单位为</w:t>
      </w:r>
      <w:r>
        <w:rPr>
          <w:rFonts w:ascii="宋体" w:eastAsia="宋体" w:hAnsi="宋体" w:cs="宋体" w:hint="eastAsia"/>
          <w:b/>
          <w:bCs/>
          <w:kern w:val="2"/>
          <w:u w:val="single"/>
          <w:lang w:eastAsia="zh-CN"/>
        </w:rPr>
        <w:t>（企业名称）</w:t>
      </w:r>
      <w:r>
        <w:rPr>
          <w:rFonts w:ascii="宋体" w:eastAsia="宋体" w:hAnsi="宋体" w:cs="宋体" w:hint="eastAsia"/>
          <w:kern w:val="2"/>
          <w:lang w:eastAsia="zh-CN"/>
        </w:rPr>
        <w:t>，属于</w:t>
      </w:r>
      <w:r>
        <w:rPr>
          <w:rFonts w:ascii="宋体" w:eastAsia="宋体" w:hAnsi="宋体" w:cs="宋体" w:hint="eastAsia"/>
          <w:b/>
          <w:bCs/>
          <w:kern w:val="2"/>
          <w:u w:val="single"/>
          <w:lang w:eastAsia="zh-CN"/>
        </w:rPr>
        <w:t>监狱企业</w:t>
      </w:r>
      <w:r>
        <w:rPr>
          <w:rFonts w:ascii="宋体" w:eastAsia="宋体" w:hAnsi="宋体" w:cs="宋体" w:hint="eastAsia"/>
          <w:kern w:val="2"/>
          <w:lang w:eastAsia="zh-CN"/>
        </w:rPr>
        <w:t>；</w:t>
      </w:r>
    </w:p>
    <w:p>
      <w:pPr>
        <w:widowControl w:val="0"/>
        <w:adjustRightInd w:val="0"/>
        <w:spacing w:line="300" w:lineRule="exact"/>
        <w:ind w:firstLine="480" w:firstLineChars="200"/>
        <w:jc w:val="left"/>
        <w:rPr>
          <w:rFonts w:ascii="宋体" w:eastAsia="宋体" w:hAnsi="宋体" w:cs="宋体"/>
          <w:kern w:val="2"/>
          <w:lang w:eastAsia="zh-CN"/>
        </w:rPr>
      </w:pPr>
      <w:r>
        <w:rPr>
          <w:rFonts w:ascii="宋体" w:eastAsia="宋体" w:hAnsi="宋体" w:cs="宋体" w:hint="eastAsia"/>
          <w:kern w:val="2"/>
          <w:lang w:eastAsia="zh-CN"/>
        </w:rPr>
        <w:t>2.</w:t>
      </w:r>
      <w:r>
        <w:rPr>
          <w:rFonts w:ascii="宋体" w:eastAsia="宋体" w:hAnsi="宋体" w:cs="宋体" w:hint="eastAsia"/>
          <w:b/>
          <w:bCs/>
          <w:kern w:val="2"/>
          <w:u w:val="single"/>
          <w:lang w:eastAsia="zh-CN"/>
        </w:rPr>
        <w:t xml:space="preserve"> （标的名称）</w:t>
      </w:r>
      <w:r>
        <w:rPr>
          <w:rFonts w:ascii="宋体" w:eastAsia="宋体" w:hAnsi="宋体" w:cs="宋体" w:hint="eastAsia"/>
          <w:kern w:val="2"/>
          <w:lang w:eastAsia="zh-CN"/>
        </w:rPr>
        <w:t xml:space="preserve"> ，承接单位为</w:t>
      </w:r>
      <w:r>
        <w:rPr>
          <w:rFonts w:ascii="宋体" w:eastAsia="宋体" w:hAnsi="宋体" w:cs="宋体" w:hint="eastAsia"/>
          <w:b/>
          <w:bCs/>
          <w:kern w:val="2"/>
          <w:u w:val="single"/>
          <w:lang w:eastAsia="zh-CN"/>
        </w:rPr>
        <w:t>（企业名称）</w:t>
      </w:r>
      <w:r>
        <w:rPr>
          <w:rFonts w:ascii="宋体" w:eastAsia="宋体" w:hAnsi="宋体" w:cs="宋体" w:hint="eastAsia"/>
          <w:kern w:val="2"/>
          <w:lang w:eastAsia="zh-CN"/>
        </w:rPr>
        <w:t>，属于</w:t>
      </w:r>
      <w:r>
        <w:rPr>
          <w:rFonts w:ascii="宋体" w:eastAsia="宋体" w:hAnsi="宋体" w:cs="宋体" w:hint="eastAsia"/>
          <w:b/>
          <w:bCs/>
          <w:kern w:val="2"/>
          <w:u w:val="single"/>
          <w:lang w:eastAsia="zh-CN"/>
        </w:rPr>
        <w:t>监狱企业</w:t>
      </w:r>
      <w:r>
        <w:rPr>
          <w:rFonts w:ascii="宋体" w:eastAsia="宋体" w:hAnsi="宋体" w:cs="宋体" w:hint="eastAsia"/>
          <w:kern w:val="2"/>
          <w:lang w:eastAsia="zh-CN"/>
        </w:rPr>
        <w:t>。</w:t>
      </w:r>
    </w:p>
    <w:p>
      <w:pPr>
        <w:widowControl w:val="0"/>
        <w:adjustRightInd w:val="0"/>
        <w:spacing w:line="300" w:lineRule="exact"/>
        <w:ind w:firstLine="480" w:firstLineChars="200"/>
        <w:jc w:val="left"/>
        <w:rPr>
          <w:rFonts w:ascii="宋体" w:eastAsia="宋体" w:hAnsi="宋体" w:cs="宋体"/>
          <w:kern w:val="2"/>
          <w:lang w:eastAsia="zh-CN"/>
        </w:rPr>
      </w:pPr>
      <w:r>
        <w:rPr>
          <w:rFonts w:ascii="宋体" w:eastAsia="宋体" w:hAnsi="宋体" w:cs="宋体" w:hint="eastAsia"/>
          <w:kern w:val="2"/>
          <w:lang w:eastAsia="zh-CN"/>
        </w:rPr>
        <w:t xml:space="preserve">…… </w:t>
      </w:r>
    </w:p>
    <w:p>
      <w:pPr>
        <w:widowControl w:val="0"/>
        <w:adjustRightInd w:val="0"/>
        <w:spacing w:line="300" w:lineRule="exact"/>
        <w:ind w:firstLine="480" w:firstLineChars="200"/>
        <w:jc w:val="left"/>
        <w:rPr>
          <w:rFonts w:ascii="宋体" w:eastAsia="宋体" w:hAnsi="宋体" w:cs="宋体"/>
          <w:kern w:val="2"/>
          <w:lang w:eastAsia="zh-CN"/>
        </w:rPr>
      </w:pPr>
      <w:r>
        <w:rPr>
          <w:rFonts w:ascii="宋体" w:eastAsia="宋体" w:hAnsi="宋体" w:cs="宋体" w:hint="eastAsia"/>
          <w:kern w:val="2"/>
          <w:lang w:eastAsia="zh-CN"/>
        </w:rPr>
        <w:t>本投标人对上述声明内容的真实性负责。如有虚假，将依法承担相应责任。</w:t>
      </w:r>
    </w:p>
    <w:p>
      <w:pPr>
        <w:widowControl w:val="0"/>
        <w:adjustRightInd w:val="0"/>
        <w:spacing w:line="300" w:lineRule="exact"/>
        <w:ind w:firstLine="480" w:firstLineChars="200"/>
        <w:jc w:val="left"/>
        <w:rPr>
          <w:rFonts w:ascii="宋体" w:eastAsia="宋体" w:hAnsi="宋体" w:cs="宋体"/>
          <w:kern w:val="2"/>
          <w:lang w:eastAsia="zh-CN"/>
        </w:rPr>
      </w:pPr>
      <w:r>
        <w:rPr>
          <w:rFonts w:ascii="宋体" w:eastAsia="宋体" w:hAnsi="宋体" w:cs="宋体" w:hint="eastAsia"/>
          <w:kern w:val="2"/>
          <w:lang w:eastAsia="zh-CN"/>
        </w:rPr>
        <w:t>附：省级以上监狱管理局、戒毒管理局（含新疆生产建设兵团）出具的监狱企业证明文件。</w:t>
      </w:r>
    </w:p>
    <w:p>
      <w:pPr>
        <w:widowControl w:val="0"/>
        <w:spacing w:line="360" w:lineRule="auto"/>
        <w:ind w:firstLine="480" w:firstLineChars="200"/>
        <w:jc w:val="both"/>
        <w:rPr>
          <w:rFonts w:ascii="宋体" w:eastAsia="宋体" w:hAnsi="宋体"/>
          <w:kern w:val="2"/>
          <w:lang w:eastAsia="zh-CN"/>
        </w:rPr>
      </w:pPr>
    </w:p>
    <w:p>
      <w:pPr>
        <w:widowControl/>
        <w:spacing w:line="360" w:lineRule="auto"/>
        <w:ind w:firstLine="2640" w:firstLineChars="1100"/>
        <w:jc w:val="left"/>
        <w:outlineLvl w:val="3"/>
        <w:rPr>
          <w:rFonts w:ascii="黑体" w:eastAsia="黑体" w:hAnsi="宋体"/>
          <w:bCs/>
          <w:szCs w:val="32"/>
          <w:lang w:eastAsia="zh-CN"/>
        </w:rPr>
      </w:pPr>
      <w:r>
        <w:rPr>
          <w:rFonts w:ascii="黑体" w:eastAsia="黑体" w:hAnsi="宋体" w:hint="eastAsia"/>
          <w:bCs/>
          <w:szCs w:val="32"/>
          <w:lang w:eastAsia="zh-CN"/>
        </w:rPr>
        <w:t>（三）供应商基本情况表</w:t>
      </w:r>
    </w:p>
    <w:p>
      <w:pPr>
        <w:widowControl w:val="0"/>
        <w:jc w:val="both"/>
        <w:rPr>
          <w:rFonts w:ascii="方正仿宋_GBK" w:eastAsia="方正仿宋_GBK" w:hAnsi="方正仿宋_GBK" w:cs="方正仿宋_GBK"/>
          <w:kern w:val="2"/>
          <w:sz w:val="28"/>
          <w:szCs w:val="28"/>
          <w:lang w:eastAsia="zh-CN"/>
        </w:rPr>
      </w:pPr>
      <w:r>
        <w:rPr>
          <w:rFonts w:ascii="方正仿宋_GBK" w:eastAsia="方正仿宋_GBK" w:hAnsi="方正仿宋_GBK" w:cs="方正仿宋_GBK" w:hint="eastAsia"/>
          <w:kern w:val="2"/>
          <w:sz w:val="28"/>
          <w:szCs w:val="28"/>
          <w:lang w:eastAsia="zh-CN"/>
        </w:rPr>
        <w:t>填表单位：</w:t>
      </w:r>
      <w:r>
        <w:rPr>
          <w:rFonts w:ascii="方正仿宋_GBK" w:eastAsia="方正仿宋_GBK" w:hAnsi="方正仿宋_GBK" w:cs="方正仿宋_GBK" w:hint="eastAsia"/>
          <w:b/>
          <w:color w:val="FF0000"/>
          <w:kern w:val="2"/>
          <w:sz w:val="28"/>
          <w:szCs w:val="28"/>
          <w:lang w:eastAsia="zh-CN"/>
        </w:rPr>
        <w:t>（加盖单位公章）</w:t>
      </w:r>
      <w:r>
        <w:rPr>
          <w:rFonts w:ascii="方正仿宋_GBK" w:eastAsia="方正仿宋_GBK" w:hAnsi="方正仿宋_GBK" w:cs="方正仿宋_GBK" w:hint="eastAsia"/>
          <w:kern w:val="2"/>
          <w:sz w:val="28"/>
          <w:szCs w:val="28"/>
          <w:lang w:eastAsia="zh-CN"/>
        </w:rPr>
        <w:tab/>
      </w:r>
      <w:r>
        <w:rPr>
          <w:rFonts w:ascii="方正仿宋_GBK" w:eastAsia="方正仿宋_GBK" w:hAnsi="方正仿宋_GBK" w:cs="方正仿宋_GBK" w:hint="eastAsia"/>
          <w:kern w:val="2"/>
          <w:sz w:val="28"/>
          <w:szCs w:val="28"/>
          <w:lang w:eastAsia="zh-CN"/>
        </w:rPr>
        <w:tab/>
      </w:r>
      <w:r>
        <w:rPr>
          <w:rFonts w:ascii="方正仿宋_GBK" w:eastAsia="方正仿宋_GBK" w:hAnsi="方正仿宋_GBK" w:cs="方正仿宋_GBK" w:hint="eastAsia"/>
          <w:kern w:val="2"/>
          <w:sz w:val="28"/>
          <w:szCs w:val="28"/>
          <w:lang w:eastAsia="zh-CN"/>
        </w:rPr>
        <w:t xml:space="preserve">   填表日期：    年   月   日</w:t>
      </w:r>
    </w:p>
    <w:tbl>
      <w:tblPr>
        <w:tblStyle w:val="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9"/>
        <w:gridCol w:w="642"/>
        <w:gridCol w:w="1526"/>
        <w:gridCol w:w="907"/>
        <w:gridCol w:w="752"/>
        <w:gridCol w:w="1141"/>
        <w:gridCol w:w="1430"/>
        <w:gridCol w:w="141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412" w:type="dxa"/>
            <w:gridSpan w:val="2"/>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采购人</w:t>
            </w:r>
          </w:p>
        </w:tc>
        <w:tc>
          <w:tcPr>
            <w:tcW w:w="2553" w:type="dxa"/>
            <w:gridSpan w:val="2"/>
            <w:vAlign w:val="center"/>
          </w:tcPr>
          <w:p>
            <w:pPr>
              <w:jc w:val="left"/>
              <w:rPr>
                <w:rFonts w:ascii="方正仿宋_GBK" w:eastAsia="方正仿宋_GBK" w:hAnsi="方正仿宋_GBK" w:cs="方正仿宋_GBK"/>
                <w:sz w:val="22"/>
                <w:lang w:eastAsia="zh-CN"/>
              </w:rPr>
            </w:pPr>
          </w:p>
        </w:tc>
        <w:tc>
          <w:tcPr>
            <w:tcW w:w="1991" w:type="dxa"/>
            <w:gridSpan w:val="2"/>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项目名称</w:t>
            </w:r>
          </w:p>
        </w:tc>
        <w:tc>
          <w:tcPr>
            <w:tcW w:w="2985" w:type="dxa"/>
            <w:gridSpan w:val="2"/>
            <w:vAlign w:val="center"/>
          </w:tcPr>
          <w:p>
            <w:pPr>
              <w:rPr>
                <w:rFonts w:ascii="仿宋" w:eastAsia="仿宋" w:hAnsi="仿宋" w:cs="方正仿宋_GBK"/>
                <w:sz w:val="22"/>
                <w:lang w:eastAsia="zh-CN"/>
              </w:rPr>
            </w:pPr>
          </w:p>
        </w:tc>
      </w:tr>
      <w:tr>
        <w:tblPrEx>
          <w:tblW w:w="5000" w:type="pct"/>
          <w:tblInd w:w="0" w:type="dxa"/>
          <w:tblLayout w:type="fixed"/>
          <w:tblCellMar>
            <w:top w:w="0" w:type="dxa"/>
            <w:left w:w="108" w:type="dxa"/>
            <w:bottom w:w="0" w:type="dxa"/>
            <w:right w:w="108" w:type="dxa"/>
          </w:tblCellMar>
        </w:tblPrEx>
        <w:tc>
          <w:tcPr>
            <w:tcW w:w="1412" w:type="dxa"/>
            <w:gridSpan w:val="2"/>
            <w:vAlign w:val="center"/>
          </w:tcPr>
          <w:p>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投标（响应）供应商</w:t>
            </w:r>
          </w:p>
        </w:tc>
        <w:tc>
          <w:tcPr>
            <w:tcW w:w="2553" w:type="dxa"/>
            <w:gridSpan w:val="2"/>
            <w:vAlign w:val="center"/>
          </w:tcPr>
          <w:p>
            <w:pPr>
              <w:jc w:val="center"/>
              <w:rPr>
                <w:rFonts w:ascii="方正仿宋_GBK" w:eastAsia="方正仿宋_GBK" w:hAnsi="方正仿宋_GBK" w:cs="方正仿宋_GBK"/>
                <w:sz w:val="22"/>
              </w:rPr>
            </w:pPr>
          </w:p>
        </w:tc>
        <w:tc>
          <w:tcPr>
            <w:tcW w:w="1991" w:type="dxa"/>
            <w:gridSpan w:val="2"/>
            <w:vAlign w:val="center"/>
          </w:tcPr>
          <w:p>
            <w:pPr>
              <w:snapToGrid w:val="0"/>
              <w:jc w:val="center"/>
              <w:rPr>
                <w:rFonts w:ascii="方正仿宋_GBK" w:eastAsia="方正仿宋_GBK" w:hAnsi="方正仿宋_GBK" w:cs="方正仿宋_GBK"/>
                <w:sz w:val="22"/>
                <w:lang w:eastAsia="zh-CN"/>
              </w:rPr>
            </w:pPr>
            <w:r>
              <w:rPr>
                <w:rFonts w:ascii="方正仿宋_GBK" w:eastAsia="方正仿宋_GBK" w:hAnsi="方正仿宋_GBK" w:cs="方正仿宋_GBK" w:hint="eastAsia"/>
                <w:sz w:val="22"/>
                <w:lang w:eastAsia="zh-CN"/>
              </w:rPr>
              <w:t>供应商统一社会信用代码</w:t>
            </w:r>
          </w:p>
        </w:tc>
        <w:tc>
          <w:tcPr>
            <w:tcW w:w="2985" w:type="dxa"/>
            <w:gridSpan w:val="2"/>
            <w:vAlign w:val="center"/>
          </w:tcPr>
          <w:p>
            <w:pPr>
              <w:jc w:val="center"/>
              <w:rPr>
                <w:rFonts w:ascii="方正仿宋_GBK" w:eastAsia="方正仿宋_GBK" w:hAnsi="方正仿宋_GBK" w:cs="方正仿宋_GBK"/>
                <w:sz w:val="22"/>
                <w:lang w:eastAsia="zh-CN"/>
              </w:rPr>
            </w:pPr>
          </w:p>
        </w:tc>
      </w:tr>
      <w:tr>
        <w:tblPrEx>
          <w:tblW w:w="5000" w:type="pct"/>
          <w:tblInd w:w="0" w:type="dxa"/>
          <w:tblLayout w:type="fixed"/>
          <w:tblCellMar>
            <w:top w:w="0" w:type="dxa"/>
            <w:left w:w="108" w:type="dxa"/>
            <w:bottom w:w="0" w:type="dxa"/>
            <w:right w:w="108" w:type="dxa"/>
          </w:tblCellMar>
        </w:tblPrEx>
        <w:tc>
          <w:tcPr>
            <w:tcW w:w="8941" w:type="dxa"/>
            <w:gridSpan w:val="8"/>
            <w:vAlign w:val="center"/>
          </w:tcPr>
          <w:p>
            <w:pPr>
              <w:jc w:val="center"/>
              <w:rPr>
                <w:rFonts w:ascii="方正仿宋_GBK" w:eastAsia="方正仿宋_GBK" w:hAnsi="方正仿宋_GBK" w:cs="方正仿宋_GBK"/>
                <w:sz w:val="22"/>
                <w:lang w:eastAsia="zh-CN"/>
              </w:rPr>
            </w:pPr>
            <w:r>
              <w:rPr>
                <w:rFonts w:ascii="方正仿宋_GBK" w:eastAsia="方正仿宋_GBK" w:hAnsi="方正仿宋_GBK" w:cs="方正仿宋_GBK" w:hint="eastAsia"/>
                <w:b/>
                <w:bCs/>
                <w:sz w:val="22"/>
                <w:lang w:eastAsia="zh-CN"/>
              </w:rPr>
              <w:t>投标（响应）供应商相关人员情况</w:t>
            </w:r>
          </w:p>
        </w:tc>
      </w:tr>
      <w:tr>
        <w:tblPrEx>
          <w:tblW w:w="5000" w:type="pct"/>
          <w:tblInd w:w="0" w:type="dxa"/>
          <w:tblLayout w:type="fixed"/>
          <w:tblCellMar>
            <w:top w:w="0" w:type="dxa"/>
            <w:left w:w="108" w:type="dxa"/>
            <w:bottom w:w="0" w:type="dxa"/>
            <w:right w:w="108" w:type="dxa"/>
          </w:tblCellMar>
        </w:tblPrEx>
        <w:tc>
          <w:tcPr>
            <w:tcW w:w="736" w:type="dxa"/>
            <w:tcBorders>
              <w:bottom w:val="single" w:sz="4" w:space="0" w:color="auto"/>
            </w:tcBorders>
            <w:vAlign w:val="center"/>
          </w:tcPr>
          <w:p>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序号</w:t>
            </w:r>
          </w:p>
        </w:tc>
        <w:tc>
          <w:tcPr>
            <w:tcW w:w="2282" w:type="dxa"/>
            <w:gridSpan w:val="2"/>
            <w:tcBorders>
              <w:bottom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职务</w:t>
            </w:r>
          </w:p>
        </w:tc>
        <w:tc>
          <w:tcPr>
            <w:tcW w:w="947" w:type="dxa"/>
            <w:tcBorders>
              <w:bottom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姓名</w:t>
            </w:r>
          </w:p>
        </w:tc>
        <w:tc>
          <w:tcPr>
            <w:tcW w:w="1991" w:type="dxa"/>
            <w:gridSpan w:val="2"/>
            <w:tcBorders>
              <w:bottom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身份证号码</w:t>
            </w:r>
          </w:p>
        </w:tc>
        <w:tc>
          <w:tcPr>
            <w:tcW w:w="1500" w:type="dxa"/>
            <w:tcBorders>
              <w:bottom w:val="single" w:sz="4" w:space="0" w:color="auto"/>
            </w:tcBorders>
            <w:vAlign w:val="center"/>
          </w:tcPr>
          <w:p>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劳动合同</w:t>
            </w:r>
          </w:p>
          <w:p>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关系单位</w:t>
            </w:r>
          </w:p>
        </w:tc>
        <w:tc>
          <w:tcPr>
            <w:tcW w:w="1485" w:type="dxa"/>
            <w:tcBorders>
              <w:bottom w:val="single" w:sz="4" w:space="0" w:color="auto"/>
            </w:tcBorders>
            <w:vAlign w:val="center"/>
          </w:tcPr>
          <w:p>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缴纳社会</w:t>
            </w:r>
          </w:p>
          <w:p>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保险单位</w:t>
            </w: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pPr>
              <w:spacing w:line="460" w:lineRule="exact"/>
              <w:jc w:val="center"/>
              <w:rPr>
                <w:rFonts w:ascii="方正仿宋_GBK" w:eastAsia="方正仿宋_GBK" w:hAnsi="方正仿宋_GBK" w:cs="方正仿宋_GBK"/>
                <w:sz w:val="22"/>
                <w:lang w:eastAsia="zh-CN"/>
              </w:rPr>
            </w:pPr>
            <w:r>
              <w:rPr>
                <w:rFonts w:ascii="方正仿宋_GBK" w:eastAsia="方正仿宋_GBK" w:hAnsi="方正仿宋_GBK" w:cs="方正仿宋_GBK" w:hint="eastAsia"/>
                <w:sz w:val="22"/>
                <w:szCs w:val="20"/>
                <w:lang w:eastAsia="zh-CN"/>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lang w:eastAsia="zh-CN"/>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lang w:eastAsia="zh-CN"/>
              </w:rPr>
            </w:pPr>
          </w:p>
        </w:tc>
        <w:tc>
          <w:tcPr>
            <w:tcW w:w="1500"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lang w:eastAsia="zh-CN"/>
              </w:rPr>
            </w:pPr>
          </w:p>
        </w:tc>
        <w:tc>
          <w:tcPr>
            <w:tcW w:w="1485"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lang w:eastAsia="zh-CN"/>
              </w:rPr>
            </w:pP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szCs w:val="20"/>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rPr>
            </w:pPr>
          </w:p>
        </w:tc>
        <w:tc>
          <w:tcPr>
            <w:tcW w:w="1500"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rPr>
            </w:pPr>
          </w:p>
        </w:tc>
        <w:tc>
          <w:tcPr>
            <w:tcW w:w="1485"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rPr>
            </w:pP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3</w:t>
            </w:r>
          </w:p>
        </w:tc>
        <w:tc>
          <w:tcPr>
            <w:tcW w:w="2282" w:type="dxa"/>
            <w:gridSpan w:val="2"/>
            <w:tcBorders>
              <w:top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项目负责人</w:t>
            </w:r>
          </w:p>
        </w:tc>
        <w:tc>
          <w:tcPr>
            <w:tcW w:w="947" w:type="dxa"/>
            <w:tcBorders>
              <w:top w:val="single" w:sz="4" w:space="0" w:color="auto"/>
            </w:tcBorders>
            <w:vAlign w:val="center"/>
          </w:tcPr>
          <w:p>
            <w:pPr>
              <w:jc w:val="center"/>
              <w:rPr>
                <w:rFonts w:ascii="方正仿宋_GBK" w:eastAsia="方正仿宋_GBK" w:hAnsi="方正仿宋_GBK" w:cs="方正仿宋_GBK"/>
                <w:sz w:val="22"/>
              </w:rPr>
            </w:pPr>
          </w:p>
        </w:tc>
        <w:tc>
          <w:tcPr>
            <w:tcW w:w="1991" w:type="dxa"/>
            <w:gridSpan w:val="2"/>
            <w:tcBorders>
              <w:top w:val="single" w:sz="4" w:space="0" w:color="auto"/>
            </w:tcBorders>
            <w:vAlign w:val="center"/>
          </w:tcPr>
          <w:p>
            <w:pPr>
              <w:jc w:val="center"/>
              <w:rPr>
                <w:rFonts w:ascii="方正仿宋_GBK" w:eastAsia="方正仿宋_GBK" w:hAnsi="方正仿宋_GBK" w:cs="方正仿宋_GBK"/>
                <w:sz w:val="22"/>
              </w:rPr>
            </w:pPr>
          </w:p>
        </w:tc>
        <w:tc>
          <w:tcPr>
            <w:tcW w:w="1500" w:type="dxa"/>
            <w:tcBorders>
              <w:top w:val="single" w:sz="4" w:space="0" w:color="auto"/>
            </w:tcBorders>
            <w:vAlign w:val="center"/>
          </w:tcPr>
          <w:p>
            <w:pPr>
              <w:jc w:val="center"/>
              <w:rPr>
                <w:rFonts w:ascii="方正仿宋_GBK" w:eastAsia="方正仿宋_GBK" w:hAnsi="方正仿宋_GBK" w:cs="方正仿宋_GBK"/>
                <w:sz w:val="22"/>
              </w:rPr>
            </w:pPr>
          </w:p>
        </w:tc>
        <w:tc>
          <w:tcPr>
            <w:tcW w:w="1485" w:type="dxa"/>
            <w:tcBorders>
              <w:top w:val="single" w:sz="4" w:space="0" w:color="auto"/>
            </w:tcBorders>
            <w:vAlign w:val="center"/>
          </w:tcPr>
          <w:p>
            <w:pPr>
              <w:jc w:val="center"/>
              <w:rPr>
                <w:rFonts w:ascii="方正仿宋_GBK" w:eastAsia="方正仿宋_GBK" w:hAnsi="方正仿宋_GBK" w:cs="方正仿宋_GBK"/>
                <w:sz w:val="22"/>
              </w:rPr>
            </w:pPr>
          </w:p>
        </w:tc>
      </w:tr>
      <w:tr>
        <w:tblPrEx>
          <w:tblW w:w="5000" w:type="pct"/>
          <w:tblInd w:w="0" w:type="dxa"/>
          <w:tblLayout w:type="fixed"/>
          <w:tblCellMar>
            <w:top w:w="0" w:type="dxa"/>
            <w:left w:w="108" w:type="dxa"/>
            <w:bottom w:w="0" w:type="dxa"/>
            <w:right w:w="108" w:type="dxa"/>
          </w:tblCellMar>
        </w:tblPrEx>
        <w:tc>
          <w:tcPr>
            <w:tcW w:w="736" w:type="dxa"/>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4</w:t>
            </w:r>
          </w:p>
        </w:tc>
        <w:tc>
          <w:tcPr>
            <w:tcW w:w="2282" w:type="dxa"/>
            <w:gridSpan w:val="2"/>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主要技术人员</w:t>
            </w:r>
          </w:p>
        </w:tc>
        <w:tc>
          <w:tcPr>
            <w:tcW w:w="947" w:type="dxa"/>
            <w:vAlign w:val="center"/>
          </w:tcPr>
          <w:p>
            <w:pPr>
              <w:jc w:val="center"/>
              <w:rPr>
                <w:rFonts w:ascii="方正仿宋_GBK" w:eastAsia="方正仿宋_GBK" w:hAnsi="方正仿宋_GBK" w:cs="方正仿宋_GBK"/>
                <w:sz w:val="22"/>
              </w:rPr>
            </w:pPr>
          </w:p>
        </w:tc>
        <w:tc>
          <w:tcPr>
            <w:tcW w:w="1991" w:type="dxa"/>
            <w:gridSpan w:val="2"/>
            <w:vAlign w:val="center"/>
          </w:tcPr>
          <w:p>
            <w:pPr>
              <w:jc w:val="center"/>
              <w:rPr>
                <w:rFonts w:ascii="方正仿宋_GBK" w:eastAsia="方正仿宋_GBK" w:hAnsi="方正仿宋_GBK" w:cs="方正仿宋_GBK"/>
                <w:sz w:val="22"/>
              </w:rPr>
            </w:pPr>
          </w:p>
        </w:tc>
        <w:tc>
          <w:tcPr>
            <w:tcW w:w="1500" w:type="dxa"/>
            <w:vAlign w:val="center"/>
          </w:tcPr>
          <w:p>
            <w:pPr>
              <w:jc w:val="center"/>
              <w:rPr>
                <w:rFonts w:ascii="方正仿宋_GBK" w:eastAsia="方正仿宋_GBK" w:hAnsi="方正仿宋_GBK" w:cs="方正仿宋_GBK"/>
                <w:sz w:val="22"/>
              </w:rPr>
            </w:pPr>
          </w:p>
        </w:tc>
        <w:tc>
          <w:tcPr>
            <w:tcW w:w="1485" w:type="dxa"/>
            <w:vAlign w:val="center"/>
          </w:tcPr>
          <w:p>
            <w:pPr>
              <w:jc w:val="center"/>
              <w:rPr>
                <w:rFonts w:ascii="方正仿宋_GBK" w:eastAsia="方正仿宋_GBK" w:hAnsi="方正仿宋_GBK" w:cs="方正仿宋_GBK"/>
                <w:sz w:val="22"/>
              </w:rPr>
            </w:pPr>
          </w:p>
        </w:tc>
      </w:tr>
      <w:tr>
        <w:tblPrEx>
          <w:tblW w:w="5000" w:type="pct"/>
          <w:tblInd w:w="0" w:type="dxa"/>
          <w:tblLayout w:type="fixed"/>
          <w:tblCellMar>
            <w:top w:w="0" w:type="dxa"/>
            <w:left w:w="108" w:type="dxa"/>
            <w:bottom w:w="0" w:type="dxa"/>
            <w:right w:w="108" w:type="dxa"/>
          </w:tblCellMar>
        </w:tblPrEx>
        <w:tc>
          <w:tcPr>
            <w:tcW w:w="736" w:type="dxa"/>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lang w:bidi="ar"/>
              </w:rPr>
              <w:t>5</w:t>
            </w:r>
          </w:p>
        </w:tc>
        <w:tc>
          <w:tcPr>
            <w:tcW w:w="2282" w:type="dxa"/>
            <w:gridSpan w:val="2"/>
            <w:vAlign w:val="center"/>
          </w:tcPr>
          <w:p>
            <w:pPr>
              <w:snapToGrid w:val="0"/>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投标文件编制人员</w:t>
            </w:r>
          </w:p>
        </w:tc>
        <w:tc>
          <w:tcPr>
            <w:tcW w:w="947" w:type="dxa"/>
            <w:vAlign w:val="center"/>
          </w:tcPr>
          <w:p>
            <w:pPr>
              <w:jc w:val="center"/>
              <w:rPr>
                <w:rFonts w:ascii="方正仿宋_GBK" w:eastAsia="方正仿宋_GBK" w:hAnsi="方正仿宋_GBK" w:cs="方正仿宋_GBK"/>
                <w:sz w:val="22"/>
              </w:rPr>
            </w:pPr>
          </w:p>
        </w:tc>
        <w:tc>
          <w:tcPr>
            <w:tcW w:w="1991" w:type="dxa"/>
            <w:gridSpan w:val="2"/>
            <w:vAlign w:val="center"/>
          </w:tcPr>
          <w:p>
            <w:pPr>
              <w:jc w:val="center"/>
              <w:rPr>
                <w:rFonts w:ascii="方正仿宋_GBK" w:eastAsia="方正仿宋_GBK" w:hAnsi="方正仿宋_GBK" w:cs="方正仿宋_GBK"/>
                <w:sz w:val="22"/>
              </w:rPr>
            </w:pPr>
          </w:p>
        </w:tc>
        <w:tc>
          <w:tcPr>
            <w:tcW w:w="1500" w:type="dxa"/>
            <w:vAlign w:val="center"/>
          </w:tcPr>
          <w:p>
            <w:pPr>
              <w:jc w:val="center"/>
              <w:rPr>
                <w:rFonts w:ascii="方正仿宋_GBK" w:eastAsia="方正仿宋_GBK" w:hAnsi="方正仿宋_GBK" w:cs="方正仿宋_GBK"/>
                <w:sz w:val="22"/>
              </w:rPr>
            </w:pPr>
          </w:p>
        </w:tc>
        <w:tc>
          <w:tcPr>
            <w:tcW w:w="1485" w:type="dxa"/>
            <w:vAlign w:val="center"/>
          </w:tcPr>
          <w:p>
            <w:pPr>
              <w:jc w:val="center"/>
              <w:rPr>
                <w:rFonts w:ascii="方正仿宋_GBK" w:eastAsia="方正仿宋_GBK" w:hAnsi="方正仿宋_GBK" w:cs="方正仿宋_GBK"/>
                <w:sz w:val="22"/>
              </w:rPr>
            </w:pPr>
          </w:p>
        </w:tc>
      </w:tr>
      <w:tr>
        <w:tblPrEx>
          <w:tblW w:w="5000" w:type="pct"/>
          <w:tblInd w:w="0" w:type="dxa"/>
          <w:tblLayout w:type="fixed"/>
          <w:tblCellMar>
            <w:top w:w="0" w:type="dxa"/>
            <w:left w:w="108" w:type="dxa"/>
            <w:bottom w:w="0" w:type="dxa"/>
            <w:right w:w="108" w:type="dxa"/>
          </w:tblCellMar>
        </w:tblPrEx>
        <w:tc>
          <w:tcPr>
            <w:tcW w:w="8941" w:type="dxa"/>
            <w:gridSpan w:val="8"/>
            <w:vAlign w:val="center"/>
          </w:tcPr>
          <w:p>
            <w:pPr>
              <w:jc w:val="left"/>
              <w:rPr>
                <w:rFonts w:ascii="方正仿宋_GBK" w:eastAsia="方正仿宋_GBK" w:hAnsi="方正仿宋_GBK" w:cs="方正仿宋_GBK"/>
                <w:sz w:val="22"/>
                <w:lang w:eastAsia="zh-CN"/>
              </w:rPr>
            </w:pPr>
            <w:r>
              <w:rPr>
                <w:rFonts w:ascii="方正仿宋_GBK" w:eastAsia="方正仿宋_GBK" w:hAnsi="方正仿宋_GBK" w:cs="方正仿宋_GBK" w:hint="eastAsia"/>
                <w:b/>
                <w:bCs/>
                <w:sz w:val="22"/>
                <w:lang w:eastAsia="zh-CN"/>
              </w:rPr>
              <w:t>说明：同一职务有多人担任（如主要技术人员），应分行填写。</w:t>
            </w:r>
          </w:p>
        </w:tc>
      </w:tr>
      <w:tr>
        <w:tblPrEx>
          <w:tblW w:w="5000" w:type="pct"/>
          <w:tblInd w:w="0" w:type="dxa"/>
          <w:tblLayout w:type="fixed"/>
          <w:tblCellMar>
            <w:top w:w="0" w:type="dxa"/>
            <w:left w:w="108" w:type="dxa"/>
            <w:bottom w:w="0" w:type="dxa"/>
            <w:right w:w="108" w:type="dxa"/>
          </w:tblCellMar>
        </w:tblPrEx>
        <w:trPr>
          <w:trHeight w:val="539"/>
        </w:trPr>
        <w:tc>
          <w:tcPr>
            <w:tcW w:w="8941" w:type="dxa"/>
            <w:gridSpan w:val="8"/>
            <w:vAlign w:val="center"/>
          </w:tcPr>
          <w:p>
            <w:pPr>
              <w:jc w:val="center"/>
              <w:rPr>
                <w:rFonts w:ascii="方正仿宋_GBK" w:eastAsia="方正仿宋_GBK" w:hAnsi="方正仿宋_GBK" w:cs="方正仿宋_GBK"/>
                <w:b/>
                <w:bCs/>
                <w:sz w:val="22"/>
                <w:lang w:eastAsia="zh-CN"/>
              </w:rPr>
            </w:pPr>
            <w:r>
              <w:rPr>
                <w:rFonts w:ascii="方正仿宋_GBK" w:eastAsia="方正仿宋_GBK" w:hAnsi="方正仿宋_GBK" w:cs="方正仿宋_GBK" w:hint="eastAsia"/>
                <w:b/>
                <w:bCs/>
                <w:sz w:val="22"/>
                <w:lang w:eastAsia="zh-CN"/>
              </w:rPr>
              <w:t>投标（响应）供应商关联关系情况</w:t>
            </w:r>
          </w:p>
        </w:tc>
      </w:tr>
      <w:tr>
        <w:tblPrEx>
          <w:tblW w:w="5000" w:type="pct"/>
          <w:tblInd w:w="0" w:type="dxa"/>
          <w:tblLayout w:type="fixed"/>
          <w:tblCellMar>
            <w:top w:w="0" w:type="dxa"/>
            <w:left w:w="108" w:type="dxa"/>
            <w:bottom w:w="0" w:type="dxa"/>
            <w:right w:w="108" w:type="dxa"/>
          </w:tblCellMar>
        </w:tblPrEx>
        <w:tc>
          <w:tcPr>
            <w:tcW w:w="736" w:type="dxa"/>
            <w:tcBorders>
              <w:bottom w:val="single" w:sz="4" w:space="0" w:color="auto"/>
            </w:tcBorders>
            <w:vAlign w:val="center"/>
          </w:tcPr>
          <w:p>
            <w:pPr>
              <w:jc w:val="center"/>
              <w:rPr>
                <w:rFonts w:ascii="方正仿宋_GBK" w:eastAsia="方正仿宋_GBK" w:hAnsi="方正仿宋_GBK" w:cs="方正仿宋_GBK"/>
                <w:sz w:val="22"/>
                <w:lang w:bidi="ar"/>
              </w:rPr>
            </w:pPr>
            <w:r>
              <w:rPr>
                <w:rFonts w:ascii="方正仿宋_GBK" w:eastAsia="方正仿宋_GBK" w:hAnsi="方正仿宋_GBK" w:cs="方正仿宋_GBK" w:hint="eastAsia"/>
                <w:sz w:val="22"/>
                <w:lang w:bidi="ar"/>
              </w:rPr>
              <w:t>序号</w:t>
            </w:r>
          </w:p>
        </w:tc>
        <w:tc>
          <w:tcPr>
            <w:tcW w:w="2282" w:type="dxa"/>
            <w:gridSpan w:val="2"/>
            <w:tcBorders>
              <w:bottom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关联关系类型</w:t>
            </w:r>
          </w:p>
        </w:tc>
        <w:tc>
          <w:tcPr>
            <w:tcW w:w="1738" w:type="dxa"/>
            <w:gridSpan w:val="2"/>
            <w:tcBorders>
              <w:bottom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关联主体名称</w:t>
            </w:r>
          </w:p>
        </w:tc>
        <w:tc>
          <w:tcPr>
            <w:tcW w:w="4185" w:type="dxa"/>
            <w:gridSpan w:val="3"/>
            <w:tcBorders>
              <w:bottom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备注</w:t>
            </w: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lang w:bidi="ar"/>
              </w:rPr>
            </w:pPr>
            <w:r>
              <w:rPr>
                <w:rFonts w:ascii="方正仿宋_GBK" w:eastAsia="方正仿宋_GBK" w:hAnsi="方正仿宋_GBK" w:cs="方正仿宋_GBK" w:hint="eastAsia"/>
                <w:sz w:val="22"/>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pPr>
              <w:snapToGrid w:val="0"/>
              <w:jc w:val="left"/>
              <w:rPr>
                <w:rFonts w:ascii="方正仿宋_GBK" w:eastAsia="方正仿宋_GBK" w:hAnsi="方正仿宋_GBK" w:cs="方正仿宋_GBK"/>
                <w:sz w:val="22"/>
                <w:szCs w:val="28"/>
                <w:lang w:eastAsia="zh-CN"/>
              </w:rPr>
            </w:pPr>
            <w:r>
              <w:rPr>
                <w:rFonts w:ascii="方正仿宋_GBK" w:eastAsia="方正仿宋_GBK" w:hAnsi="方正仿宋_GBK" w:cs="方正仿宋_GBK" w:hint="eastAsia"/>
                <w:sz w:val="22"/>
                <w:szCs w:val="20"/>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W w:w="5000" w:type="pct"/>
          <w:tblInd w:w="0" w:type="dxa"/>
          <w:tblLayout w:type="fixed"/>
          <w:tblCellMar>
            <w:top w:w="0" w:type="dxa"/>
            <w:left w:w="108" w:type="dxa"/>
            <w:bottom w:w="0" w:type="dxa"/>
            <w:right w:w="108" w:type="dxa"/>
          </w:tblCellMar>
        </w:tblPrEx>
        <w:tc>
          <w:tcPr>
            <w:tcW w:w="736"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lang w:bidi="ar"/>
              </w:rPr>
            </w:pPr>
            <w:r>
              <w:rPr>
                <w:rFonts w:ascii="方正仿宋_GBK" w:eastAsia="方正仿宋_GBK" w:hAnsi="方正仿宋_GBK" w:cs="方正仿宋_GBK" w:hint="eastAsia"/>
                <w:sz w:val="22"/>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方正仿宋_GBK" w:cs="方正仿宋_GBK"/>
                <w:sz w:val="22"/>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pPr>
              <w:snapToGrid w:val="0"/>
              <w:jc w:val="left"/>
              <w:rPr>
                <w:rFonts w:ascii="方正仿宋_GBK" w:eastAsia="方正仿宋_GBK" w:hAnsi="方正仿宋_GBK" w:cs="方正仿宋_GBK"/>
                <w:sz w:val="22"/>
                <w:lang w:eastAsia="zh-CN"/>
              </w:rPr>
            </w:pPr>
            <w:r>
              <w:rPr>
                <w:rFonts w:ascii="方正仿宋_GBK" w:eastAsia="方正仿宋_GBK" w:hAnsi="方正仿宋_GBK" w:cs="方正仿宋_GBK" w:hint="eastAsia"/>
                <w:sz w:val="22"/>
                <w:lang w:eastAsia="zh-CN"/>
              </w:rPr>
              <w:t>指对投标（响应）供应商不具有出资持股关系，但对其存在管理关系的主体。</w:t>
            </w:r>
          </w:p>
        </w:tc>
      </w:tr>
      <w:tr>
        <w:tblPrEx>
          <w:tblW w:w="5000" w:type="pct"/>
          <w:tblInd w:w="0" w:type="dxa"/>
          <w:tblLayout w:type="fixed"/>
          <w:tblCellMar>
            <w:top w:w="0" w:type="dxa"/>
            <w:left w:w="108" w:type="dxa"/>
            <w:bottom w:w="0" w:type="dxa"/>
            <w:right w:w="108" w:type="dxa"/>
          </w:tblCellMar>
        </w:tblPrEx>
        <w:tc>
          <w:tcPr>
            <w:tcW w:w="8941" w:type="dxa"/>
            <w:gridSpan w:val="8"/>
            <w:tcBorders>
              <w:top w:val="single" w:sz="4" w:space="0" w:color="auto"/>
              <w:left w:val="single" w:sz="4" w:space="0" w:color="auto"/>
              <w:bottom w:val="single" w:sz="4" w:space="0" w:color="auto"/>
              <w:right w:val="single" w:sz="4" w:space="0" w:color="auto"/>
            </w:tcBorders>
            <w:vAlign w:val="center"/>
          </w:tcPr>
          <w:p>
            <w:pPr>
              <w:snapToGrid w:val="0"/>
              <w:jc w:val="left"/>
              <w:rPr>
                <w:rFonts w:ascii="方正仿宋_GBK" w:eastAsia="方正仿宋_GBK" w:hAnsi="方正仿宋_GBK" w:cs="方正仿宋_GBK"/>
                <w:sz w:val="22"/>
                <w:lang w:eastAsia="zh-CN"/>
              </w:rPr>
            </w:pPr>
            <w:r>
              <w:rPr>
                <w:rFonts w:ascii="方正仿宋_GBK" w:eastAsia="方正仿宋_GBK" w:hAnsi="方正仿宋_GBK" w:cs="方正仿宋_GBK" w:hint="eastAsia"/>
                <w:b/>
                <w:bCs/>
                <w:sz w:val="22"/>
                <w:lang w:eastAsia="zh-CN"/>
              </w:rPr>
              <w:t>说明：同一关联关系类型有多个主体的，应分行填写。</w:t>
            </w:r>
          </w:p>
        </w:tc>
      </w:tr>
    </w:tbl>
    <w:p>
      <w:pPr>
        <w:widowControl/>
        <w:spacing w:line="360" w:lineRule="auto"/>
        <w:jc w:val="left"/>
        <w:rPr>
          <w:rFonts w:eastAsia="宋体"/>
          <w:b/>
          <w:lang w:eastAsia="zh-CN"/>
        </w:rPr>
      </w:pPr>
    </w:p>
    <w:p>
      <w:pPr>
        <w:keepNext/>
        <w:keepLines/>
        <w:widowControl/>
        <w:spacing w:before="260" w:after="260" w:line="416" w:lineRule="auto"/>
        <w:jc w:val="center"/>
        <w:outlineLvl w:val="2"/>
        <w:rPr>
          <w:rFonts w:ascii="黑体" w:eastAsia="黑体"/>
          <w:bCs/>
          <w:lang w:eastAsia="zh-CN"/>
        </w:rPr>
      </w:pPr>
      <w:r>
        <w:rPr>
          <w:rFonts w:ascii="黑体" w:eastAsia="黑体" w:hint="eastAsia"/>
          <w:bCs/>
          <w:lang w:eastAsia="zh-CN"/>
        </w:rPr>
        <w:t>四、</w:t>
      </w:r>
      <w:r>
        <w:rPr>
          <w:rFonts w:ascii="黑体" w:eastAsia="黑体" w:hint="eastAsia"/>
          <w:bCs/>
          <w:szCs w:val="32"/>
          <w:lang w:eastAsia="zh-CN"/>
        </w:rPr>
        <w:t>项目详细报价</w:t>
      </w:r>
    </w:p>
    <w:p>
      <w:pPr>
        <w:widowControl w:val="0"/>
        <w:tabs>
          <w:tab w:val="left" w:pos="720"/>
        </w:tabs>
        <w:adjustRightInd w:val="0"/>
        <w:snapToGrid w:val="0"/>
        <w:spacing w:line="276" w:lineRule="auto"/>
        <w:ind w:firstLine="3120" w:firstLineChars="1300"/>
        <w:jc w:val="both"/>
        <w:rPr>
          <w:rFonts w:eastAsia="宋体"/>
          <w:b/>
          <w:kern w:val="2"/>
          <w:lang w:eastAsia="zh-CN"/>
        </w:rPr>
      </w:pPr>
      <w:r>
        <w:rPr>
          <w:rFonts w:eastAsia="宋体" w:hint="eastAsia"/>
          <w:b/>
          <w:kern w:val="2"/>
          <w:lang w:eastAsia="zh-CN"/>
        </w:rPr>
        <w:t>（一）分项报价表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2"/>
        <w:gridCol w:w="958"/>
        <w:gridCol w:w="3339"/>
        <w:gridCol w:w="1420"/>
        <w:gridCol w:w="208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746" w:type="dxa"/>
            <w:shd w:val="clear" w:color="000000" w:fill="E7E6E6"/>
            <w:vAlign w:val="center"/>
          </w:tcPr>
          <w:p>
            <w:pPr>
              <w:widowControl/>
              <w:spacing w:line="276"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序号</w:t>
            </w:r>
          </w:p>
        </w:tc>
        <w:tc>
          <w:tcPr>
            <w:tcW w:w="4493" w:type="dxa"/>
            <w:gridSpan w:val="2"/>
            <w:shd w:val="clear" w:color="000000" w:fill="E7E6E6"/>
            <w:vAlign w:val="center"/>
          </w:tcPr>
          <w:p>
            <w:pPr>
              <w:widowControl/>
              <w:spacing w:line="276"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需求名称</w:t>
            </w:r>
          </w:p>
        </w:tc>
        <w:tc>
          <w:tcPr>
            <w:tcW w:w="1481" w:type="dxa"/>
            <w:shd w:val="clear" w:color="000000" w:fill="E7E6E6"/>
            <w:vAlign w:val="center"/>
          </w:tcPr>
          <w:p>
            <w:pPr>
              <w:widowControl/>
              <w:spacing w:line="276"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金额（元）</w:t>
            </w:r>
          </w:p>
        </w:tc>
        <w:tc>
          <w:tcPr>
            <w:tcW w:w="2178" w:type="dxa"/>
            <w:shd w:val="clear" w:color="000000" w:fill="E7E6E6"/>
            <w:vAlign w:val="center"/>
          </w:tcPr>
          <w:p>
            <w:pPr>
              <w:widowControl/>
              <w:spacing w:line="276" w:lineRule="auto"/>
              <w:jc w:val="center"/>
              <w:rPr>
                <w:rFonts w:ascii="宋体" w:eastAsia="宋体" w:hAnsi="宋体" w:cs="宋体"/>
                <w:b/>
                <w:bCs/>
                <w:sz w:val="21"/>
                <w:szCs w:val="21"/>
                <w:lang w:eastAsia="zh-CN"/>
              </w:rPr>
            </w:pPr>
            <w:r>
              <w:rPr>
                <w:rFonts w:ascii="宋体" w:eastAsia="宋体" w:hAnsi="宋体" w:cs="宋体" w:hint="eastAsia"/>
                <w:b/>
                <w:bCs/>
                <w:sz w:val="21"/>
                <w:szCs w:val="21"/>
                <w:lang w:eastAsia="zh-CN"/>
              </w:rPr>
              <w:t>说明</w:t>
            </w:r>
          </w:p>
        </w:tc>
      </w:tr>
      <w:tr>
        <w:tblPrEx>
          <w:tblW w:w="5000" w:type="pct"/>
          <w:tblInd w:w="0" w:type="dxa"/>
          <w:tblLayout w:type="fixed"/>
          <w:tblCellMar>
            <w:top w:w="0" w:type="dxa"/>
            <w:left w:w="108" w:type="dxa"/>
            <w:bottom w:w="0" w:type="dxa"/>
            <w:right w:w="108" w:type="dxa"/>
          </w:tblCellMar>
        </w:tblPrEx>
        <w:trPr>
          <w:trHeight w:val="321"/>
        </w:trPr>
        <w:tc>
          <w:tcPr>
            <w:tcW w:w="746" w:type="dxa"/>
            <w:shd w:val="clear" w:color="auto" w:fill="auto"/>
            <w:vAlign w:val="center"/>
          </w:tcPr>
          <w:p>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一</w:t>
            </w:r>
          </w:p>
        </w:tc>
        <w:tc>
          <w:tcPr>
            <w:tcW w:w="4493" w:type="dxa"/>
            <w:gridSpan w:val="2"/>
            <w:shd w:val="clear" w:color="auto" w:fill="auto"/>
            <w:vAlign w:val="center"/>
          </w:tcPr>
          <w:p>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w:t>
            </w:r>
          </w:p>
        </w:tc>
        <w:tc>
          <w:tcPr>
            <w:tcW w:w="1481" w:type="dxa"/>
            <w:shd w:val="clear" w:color="000000" w:fill="FFFFFF"/>
            <w:vAlign w:val="center"/>
          </w:tcPr>
          <w:p>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shd w:val="clear" w:color="auto" w:fill="auto"/>
            <w:vAlign w:val="center"/>
          </w:tcPr>
          <w:p>
            <w:pPr>
              <w:widowControl/>
              <w:spacing w:line="276" w:lineRule="auto"/>
              <w:jc w:val="left"/>
              <w:rPr>
                <w:rFonts w:ascii="宋体" w:eastAsia="宋体" w:hAnsi="宋体" w:cs="宋体"/>
                <w:sz w:val="21"/>
                <w:szCs w:val="21"/>
                <w:lang w:eastAsia="zh-CN"/>
              </w:rPr>
            </w:pPr>
          </w:p>
        </w:tc>
      </w:tr>
      <w:tr>
        <w:tblPrEx>
          <w:tblW w:w="5000" w:type="pct"/>
          <w:tblInd w:w="0" w:type="dxa"/>
          <w:tblLayout w:type="fixed"/>
          <w:tblCellMar>
            <w:top w:w="0" w:type="dxa"/>
            <w:left w:w="108" w:type="dxa"/>
            <w:bottom w:w="0" w:type="dxa"/>
            <w:right w:w="108" w:type="dxa"/>
          </w:tblCellMar>
        </w:tblPrEx>
        <w:trPr>
          <w:trHeight w:val="480"/>
        </w:trPr>
        <w:tc>
          <w:tcPr>
            <w:tcW w:w="746" w:type="dxa"/>
            <w:vMerge w:val="restart"/>
            <w:shd w:val="clear" w:color="auto" w:fill="auto"/>
            <w:vAlign w:val="center"/>
          </w:tcPr>
          <w:p>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二</w:t>
            </w:r>
          </w:p>
        </w:tc>
        <w:tc>
          <w:tcPr>
            <w:tcW w:w="995" w:type="dxa"/>
            <w:vMerge w:val="restart"/>
            <w:shd w:val="clear" w:color="auto" w:fill="auto"/>
            <w:vAlign w:val="center"/>
          </w:tcPr>
          <w:p>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**费用</w:t>
            </w:r>
          </w:p>
        </w:tc>
        <w:tc>
          <w:tcPr>
            <w:tcW w:w="3498" w:type="dxa"/>
            <w:shd w:val="clear" w:color="auto" w:fill="auto"/>
            <w:vAlign w:val="center"/>
          </w:tcPr>
          <w:p>
            <w:pPr>
              <w:widowControl/>
              <w:spacing w:line="276" w:lineRule="auto"/>
              <w:jc w:val="left"/>
              <w:rPr>
                <w:rFonts w:ascii="宋体" w:eastAsia="宋体" w:hAnsi="宋体" w:cs="宋体"/>
                <w:sz w:val="21"/>
                <w:szCs w:val="21"/>
                <w:lang w:eastAsia="zh-CN"/>
              </w:rPr>
            </w:pPr>
          </w:p>
        </w:tc>
        <w:tc>
          <w:tcPr>
            <w:tcW w:w="1481" w:type="dxa"/>
            <w:shd w:val="clear" w:color="auto" w:fill="auto"/>
            <w:vAlign w:val="center"/>
          </w:tcPr>
          <w:p>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val="restart"/>
            <w:shd w:val="clear" w:color="auto" w:fill="auto"/>
            <w:vAlign w:val="center"/>
          </w:tcPr>
          <w:p>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r>
      <w:tr>
        <w:tblPrEx>
          <w:tblW w:w="5000" w:type="pct"/>
          <w:tblInd w:w="0" w:type="dxa"/>
          <w:tblLayout w:type="fixed"/>
          <w:tblCellMar>
            <w:top w:w="0" w:type="dxa"/>
            <w:left w:w="108" w:type="dxa"/>
            <w:bottom w:w="0" w:type="dxa"/>
            <w:right w:w="108" w:type="dxa"/>
          </w:tblCellMar>
        </w:tblPrEx>
        <w:trPr>
          <w:trHeight w:val="320"/>
        </w:trPr>
        <w:tc>
          <w:tcPr>
            <w:tcW w:w="746" w:type="dxa"/>
            <w:vMerge/>
            <w:shd w:val="clear" w:color="auto" w:fill="auto"/>
            <w:vAlign w:val="center"/>
          </w:tcPr>
          <w:p>
            <w:pPr>
              <w:widowControl w:val="0"/>
              <w:spacing w:line="276" w:lineRule="auto"/>
              <w:jc w:val="center"/>
              <w:rPr>
                <w:rFonts w:ascii="宋体" w:eastAsia="宋体" w:hAnsi="宋体" w:cs="宋体"/>
                <w:sz w:val="21"/>
                <w:szCs w:val="21"/>
                <w:lang w:eastAsia="zh-CN"/>
              </w:rPr>
            </w:pPr>
          </w:p>
        </w:tc>
        <w:tc>
          <w:tcPr>
            <w:tcW w:w="995" w:type="dxa"/>
            <w:vMerge/>
            <w:vAlign w:val="center"/>
          </w:tcPr>
          <w:p>
            <w:pPr>
              <w:widowControl/>
              <w:spacing w:line="276" w:lineRule="auto"/>
              <w:jc w:val="left"/>
              <w:rPr>
                <w:rFonts w:ascii="宋体" w:eastAsia="宋体" w:hAnsi="宋体" w:cs="宋体"/>
                <w:sz w:val="21"/>
                <w:szCs w:val="21"/>
                <w:lang w:eastAsia="zh-CN"/>
              </w:rPr>
            </w:pPr>
          </w:p>
        </w:tc>
        <w:tc>
          <w:tcPr>
            <w:tcW w:w="3498" w:type="dxa"/>
            <w:shd w:val="clear" w:color="auto" w:fill="auto"/>
            <w:vAlign w:val="center"/>
          </w:tcPr>
          <w:p>
            <w:pPr>
              <w:widowControl/>
              <w:spacing w:line="276" w:lineRule="auto"/>
              <w:jc w:val="left"/>
              <w:rPr>
                <w:rFonts w:ascii="宋体" w:eastAsia="宋体" w:hAnsi="宋体" w:cs="宋体"/>
                <w:sz w:val="21"/>
                <w:szCs w:val="21"/>
                <w:lang w:eastAsia="zh-CN"/>
              </w:rPr>
            </w:pPr>
          </w:p>
        </w:tc>
        <w:tc>
          <w:tcPr>
            <w:tcW w:w="1481" w:type="dxa"/>
            <w:shd w:val="clear" w:color="auto" w:fill="auto"/>
            <w:vAlign w:val="center"/>
          </w:tcPr>
          <w:p>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shd w:val="clear" w:color="auto" w:fill="auto"/>
            <w:vAlign w:val="center"/>
          </w:tcPr>
          <w:p>
            <w:pPr>
              <w:widowControl w:val="0"/>
              <w:spacing w:line="276" w:lineRule="auto"/>
              <w:jc w:val="left"/>
              <w:rPr>
                <w:rFonts w:ascii="宋体" w:eastAsia="宋体" w:hAnsi="宋体" w:cs="宋体"/>
                <w:sz w:val="21"/>
                <w:szCs w:val="21"/>
                <w:lang w:eastAsia="zh-CN"/>
              </w:rPr>
            </w:pPr>
          </w:p>
        </w:tc>
      </w:tr>
      <w:tr>
        <w:tblPrEx>
          <w:tblW w:w="5000" w:type="pct"/>
          <w:tblInd w:w="0" w:type="dxa"/>
          <w:tblLayout w:type="fixed"/>
          <w:tblCellMar>
            <w:top w:w="0" w:type="dxa"/>
            <w:left w:w="108" w:type="dxa"/>
            <w:bottom w:w="0" w:type="dxa"/>
            <w:right w:w="108" w:type="dxa"/>
          </w:tblCellMar>
        </w:tblPrEx>
        <w:trPr>
          <w:trHeight w:val="320"/>
        </w:trPr>
        <w:tc>
          <w:tcPr>
            <w:tcW w:w="746" w:type="dxa"/>
            <w:vMerge/>
            <w:shd w:val="clear" w:color="auto" w:fill="auto"/>
            <w:vAlign w:val="center"/>
          </w:tcPr>
          <w:p>
            <w:pPr>
              <w:widowControl w:val="0"/>
              <w:spacing w:line="276" w:lineRule="auto"/>
              <w:jc w:val="center"/>
              <w:rPr>
                <w:rFonts w:ascii="宋体" w:eastAsia="宋体" w:hAnsi="宋体" w:cs="宋体"/>
                <w:sz w:val="21"/>
                <w:szCs w:val="21"/>
                <w:lang w:eastAsia="zh-CN"/>
              </w:rPr>
            </w:pPr>
          </w:p>
        </w:tc>
        <w:tc>
          <w:tcPr>
            <w:tcW w:w="995" w:type="dxa"/>
            <w:vMerge/>
            <w:vAlign w:val="center"/>
          </w:tcPr>
          <w:p>
            <w:pPr>
              <w:widowControl/>
              <w:spacing w:line="276" w:lineRule="auto"/>
              <w:jc w:val="left"/>
              <w:rPr>
                <w:rFonts w:ascii="宋体" w:eastAsia="宋体" w:hAnsi="宋体" w:cs="宋体"/>
                <w:sz w:val="21"/>
                <w:szCs w:val="21"/>
                <w:lang w:eastAsia="zh-CN"/>
              </w:rPr>
            </w:pPr>
          </w:p>
        </w:tc>
        <w:tc>
          <w:tcPr>
            <w:tcW w:w="3498" w:type="dxa"/>
            <w:shd w:val="clear" w:color="auto" w:fill="auto"/>
            <w:vAlign w:val="center"/>
          </w:tcPr>
          <w:p>
            <w:pPr>
              <w:widowControl/>
              <w:spacing w:line="276" w:lineRule="auto"/>
              <w:jc w:val="left"/>
              <w:rPr>
                <w:rFonts w:ascii="宋体" w:eastAsia="宋体" w:hAnsi="宋体" w:cs="宋体"/>
                <w:sz w:val="21"/>
                <w:szCs w:val="21"/>
                <w:lang w:eastAsia="zh-CN"/>
              </w:rPr>
            </w:pPr>
          </w:p>
        </w:tc>
        <w:tc>
          <w:tcPr>
            <w:tcW w:w="1481" w:type="dxa"/>
            <w:shd w:val="clear" w:color="auto" w:fill="auto"/>
            <w:vAlign w:val="center"/>
          </w:tcPr>
          <w:p>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shd w:val="clear" w:color="auto" w:fill="auto"/>
            <w:vAlign w:val="center"/>
          </w:tcPr>
          <w:p>
            <w:pPr>
              <w:widowControl w:val="0"/>
              <w:spacing w:line="276" w:lineRule="auto"/>
              <w:jc w:val="left"/>
              <w:rPr>
                <w:rFonts w:ascii="宋体" w:eastAsia="宋体" w:hAnsi="宋体" w:cs="宋体"/>
                <w:sz w:val="21"/>
                <w:szCs w:val="21"/>
                <w:lang w:eastAsia="zh-CN"/>
              </w:rPr>
            </w:pPr>
          </w:p>
        </w:tc>
      </w:tr>
      <w:tr>
        <w:tblPrEx>
          <w:tblW w:w="5000" w:type="pct"/>
          <w:tblInd w:w="0" w:type="dxa"/>
          <w:tblLayout w:type="fixed"/>
          <w:tblCellMar>
            <w:top w:w="0" w:type="dxa"/>
            <w:left w:w="108" w:type="dxa"/>
            <w:bottom w:w="0" w:type="dxa"/>
            <w:right w:w="108" w:type="dxa"/>
          </w:tblCellMar>
        </w:tblPrEx>
        <w:trPr>
          <w:trHeight w:val="320"/>
        </w:trPr>
        <w:tc>
          <w:tcPr>
            <w:tcW w:w="746" w:type="dxa"/>
            <w:vMerge/>
            <w:shd w:val="clear" w:color="auto" w:fill="auto"/>
            <w:vAlign w:val="center"/>
          </w:tcPr>
          <w:p>
            <w:pPr>
              <w:widowControl w:val="0"/>
              <w:spacing w:line="276" w:lineRule="auto"/>
              <w:jc w:val="center"/>
              <w:rPr>
                <w:rFonts w:ascii="宋体" w:eastAsia="宋体" w:hAnsi="宋体" w:cs="宋体"/>
                <w:sz w:val="21"/>
                <w:szCs w:val="21"/>
                <w:lang w:eastAsia="zh-CN"/>
              </w:rPr>
            </w:pPr>
          </w:p>
        </w:tc>
        <w:tc>
          <w:tcPr>
            <w:tcW w:w="995" w:type="dxa"/>
            <w:vMerge/>
            <w:vAlign w:val="center"/>
          </w:tcPr>
          <w:p>
            <w:pPr>
              <w:widowControl/>
              <w:spacing w:line="276" w:lineRule="auto"/>
              <w:jc w:val="left"/>
              <w:rPr>
                <w:rFonts w:ascii="宋体" w:eastAsia="宋体" w:hAnsi="宋体" w:cs="宋体"/>
                <w:sz w:val="21"/>
                <w:szCs w:val="21"/>
                <w:lang w:eastAsia="zh-CN"/>
              </w:rPr>
            </w:pPr>
          </w:p>
        </w:tc>
        <w:tc>
          <w:tcPr>
            <w:tcW w:w="3498" w:type="dxa"/>
            <w:shd w:val="clear" w:color="auto" w:fill="auto"/>
            <w:vAlign w:val="center"/>
          </w:tcPr>
          <w:p>
            <w:pPr>
              <w:widowControl/>
              <w:spacing w:line="276" w:lineRule="auto"/>
              <w:jc w:val="left"/>
              <w:rPr>
                <w:rFonts w:ascii="宋体" w:eastAsia="宋体" w:hAnsi="宋体" w:cs="宋体"/>
                <w:sz w:val="21"/>
                <w:szCs w:val="21"/>
                <w:lang w:eastAsia="zh-CN"/>
              </w:rPr>
            </w:pPr>
          </w:p>
        </w:tc>
        <w:tc>
          <w:tcPr>
            <w:tcW w:w="1481" w:type="dxa"/>
            <w:shd w:val="clear" w:color="auto" w:fill="auto"/>
            <w:vAlign w:val="center"/>
          </w:tcPr>
          <w:p>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shd w:val="clear" w:color="auto" w:fill="auto"/>
            <w:vAlign w:val="center"/>
          </w:tcPr>
          <w:p>
            <w:pPr>
              <w:widowControl w:val="0"/>
              <w:spacing w:line="276" w:lineRule="auto"/>
              <w:jc w:val="left"/>
              <w:rPr>
                <w:rFonts w:ascii="宋体" w:eastAsia="宋体" w:hAnsi="宋体" w:cs="宋体"/>
                <w:sz w:val="21"/>
                <w:szCs w:val="21"/>
                <w:lang w:eastAsia="zh-CN"/>
              </w:rPr>
            </w:pPr>
          </w:p>
        </w:tc>
      </w:tr>
      <w:tr>
        <w:tblPrEx>
          <w:tblW w:w="5000" w:type="pct"/>
          <w:tblInd w:w="0" w:type="dxa"/>
          <w:tblLayout w:type="fixed"/>
          <w:tblCellMar>
            <w:top w:w="0" w:type="dxa"/>
            <w:left w:w="108" w:type="dxa"/>
            <w:bottom w:w="0" w:type="dxa"/>
            <w:right w:w="108" w:type="dxa"/>
          </w:tblCellMar>
        </w:tblPrEx>
        <w:trPr>
          <w:trHeight w:val="320"/>
        </w:trPr>
        <w:tc>
          <w:tcPr>
            <w:tcW w:w="746" w:type="dxa"/>
            <w:vMerge/>
            <w:shd w:val="clear" w:color="auto" w:fill="auto"/>
            <w:vAlign w:val="center"/>
          </w:tcPr>
          <w:p>
            <w:pPr>
              <w:widowControl w:val="0"/>
              <w:spacing w:line="276" w:lineRule="auto"/>
              <w:jc w:val="center"/>
              <w:rPr>
                <w:rFonts w:ascii="宋体" w:eastAsia="宋体" w:hAnsi="宋体" w:cs="宋体"/>
                <w:sz w:val="21"/>
                <w:szCs w:val="21"/>
                <w:lang w:eastAsia="zh-CN"/>
              </w:rPr>
            </w:pPr>
          </w:p>
        </w:tc>
        <w:tc>
          <w:tcPr>
            <w:tcW w:w="995" w:type="dxa"/>
            <w:vMerge/>
            <w:vAlign w:val="center"/>
          </w:tcPr>
          <w:p>
            <w:pPr>
              <w:widowControl/>
              <w:spacing w:line="276" w:lineRule="auto"/>
              <w:jc w:val="left"/>
              <w:rPr>
                <w:rFonts w:ascii="宋体" w:eastAsia="宋体" w:hAnsi="宋体" w:cs="宋体"/>
                <w:sz w:val="21"/>
                <w:szCs w:val="21"/>
                <w:lang w:eastAsia="zh-CN"/>
              </w:rPr>
            </w:pPr>
          </w:p>
        </w:tc>
        <w:tc>
          <w:tcPr>
            <w:tcW w:w="3498" w:type="dxa"/>
            <w:shd w:val="clear" w:color="auto" w:fill="auto"/>
            <w:vAlign w:val="center"/>
          </w:tcPr>
          <w:p>
            <w:pPr>
              <w:widowControl/>
              <w:spacing w:line="276" w:lineRule="auto"/>
              <w:jc w:val="left"/>
              <w:rPr>
                <w:rFonts w:ascii="宋体" w:eastAsia="宋体" w:hAnsi="宋体" w:cs="宋体"/>
                <w:sz w:val="21"/>
                <w:szCs w:val="21"/>
                <w:lang w:eastAsia="zh-CN"/>
              </w:rPr>
            </w:pPr>
          </w:p>
        </w:tc>
        <w:tc>
          <w:tcPr>
            <w:tcW w:w="1481" w:type="dxa"/>
            <w:shd w:val="clear" w:color="auto" w:fill="auto"/>
            <w:vAlign w:val="center"/>
          </w:tcPr>
          <w:p>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shd w:val="clear" w:color="auto" w:fill="auto"/>
            <w:vAlign w:val="center"/>
          </w:tcPr>
          <w:p>
            <w:pPr>
              <w:widowControl w:val="0"/>
              <w:spacing w:line="276" w:lineRule="auto"/>
              <w:jc w:val="left"/>
              <w:rPr>
                <w:rFonts w:ascii="宋体" w:eastAsia="宋体" w:hAnsi="宋体" w:cs="宋体"/>
                <w:sz w:val="21"/>
                <w:szCs w:val="21"/>
                <w:lang w:eastAsia="zh-CN"/>
              </w:rPr>
            </w:pPr>
          </w:p>
        </w:tc>
      </w:tr>
      <w:tr>
        <w:tblPrEx>
          <w:tblW w:w="5000" w:type="pct"/>
          <w:tblInd w:w="0" w:type="dxa"/>
          <w:tblLayout w:type="fixed"/>
          <w:tblCellMar>
            <w:top w:w="0" w:type="dxa"/>
            <w:left w:w="108" w:type="dxa"/>
            <w:bottom w:w="0" w:type="dxa"/>
            <w:right w:w="108" w:type="dxa"/>
          </w:tblCellMar>
        </w:tblPrEx>
        <w:trPr>
          <w:trHeight w:val="320"/>
        </w:trPr>
        <w:tc>
          <w:tcPr>
            <w:tcW w:w="746" w:type="dxa"/>
            <w:vMerge/>
            <w:shd w:val="clear" w:color="auto" w:fill="auto"/>
            <w:vAlign w:val="center"/>
          </w:tcPr>
          <w:p>
            <w:pPr>
              <w:widowControl w:val="0"/>
              <w:spacing w:line="276" w:lineRule="auto"/>
              <w:jc w:val="center"/>
              <w:rPr>
                <w:rFonts w:ascii="宋体" w:eastAsia="宋体" w:hAnsi="宋体" w:cs="宋体"/>
                <w:sz w:val="21"/>
                <w:szCs w:val="21"/>
                <w:lang w:eastAsia="zh-CN"/>
              </w:rPr>
            </w:pPr>
          </w:p>
        </w:tc>
        <w:tc>
          <w:tcPr>
            <w:tcW w:w="995" w:type="dxa"/>
            <w:vMerge/>
            <w:vAlign w:val="center"/>
          </w:tcPr>
          <w:p>
            <w:pPr>
              <w:widowControl/>
              <w:spacing w:line="276" w:lineRule="auto"/>
              <w:jc w:val="left"/>
              <w:rPr>
                <w:rFonts w:ascii="宋体" w:eastAsia="宋体" w:hAnsi="宋体" w:cs="宋体"/>
                <w:sz w:val="21"/>
                <w:szCs w:val="21"/>
                <w:lang w:eastAsia="zh-CN"/>
              </w:rPr>
            </w:pPr>
          </w:p>
        </w:tc>
        <w:tc>
          <w:tcPr>
            <w:tcW w:w="3498" w:type="dxa"/>
            <w:shd w:val="clear" w:color="auto" w:fill="auto"/>
            <w:vAlign w:val="center"/>
          </w:tcPr>
          <w:p>
            <w:pPr>
              <w:widowControl/>
              <w:spacing w:line="276" w:lineRule="auto"/>
              <w:jc w:val="left"/>
              <w:rPr>
                <w:rFonts w:ascii="宋体" w:eastAsia="宋体" w:hAnsi="宋体" w:cs="宋体"/>
                <w:sz w:val="21"/>
                <w:szCs w:val="21"/>
                <w:lang w:eastAsia="zh-CN"/>
              </w:rPr>
            </w:pPr>
          </w:p>
        </w:tc>
        <w:tc>
          <w:tcPr>
            <w:tcW w:w="1481" w:type="dxa"/>
            <w:shd w:val="clear" w:color="auto" w:fill="auto"/>
            <w:vAlign w:val="center"/>
          </w:tcPr>
          <w:p>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vMerge/>
            <w:shd w:val="clear" w:color="auto" w:fill="auto"/>
            <w:vAlign w:val="center"/>
          </w:tcPr>
          <w:p>
            <w:pPr>
              <w:widowControl/>
              <w:spacing w:line="276" w:lineRule="auto"/>
              <w:jc w:val="left"/>
              <w:rPr>
                <w:rFonts w:ascii="宋体" w:eastAsia="宋体" w:hAnsi="宋体" w:cs="宋体"/>
                <w:sz w:val="21"/>
                <w:szCs w:val="21"/>
                <w:lang w:eastAsia="zh-CN"/>
              </w:rPr>
            </w:pPr>
          </w:p>
        </w:tc>
      </w:tr>
      <w:tr>
        <w:tblPrEx>
          <w:tblW w:w="5000" w:type="pct"/>
          <w:tblInd w:w="0" w:type="dxa"/>
          <w:tblLayout w:type="fixed"/>
          <w:tblCellMar>
            <w:top w:w="0" w:type="dxa"/>
            <w:left w:w="108" w:type="dxa"/>
            <w:bottom w:w="0" w:type="dxa"/>
            <w:right w:w="108" w:type="dxa"/>
          </w:tblCellMar>
        </w:tblPrEx>
        <w:trPr>
          <w:trHeight w:val="320"/>
        </w:trPr>
        <w:tc>
          <w:tcPr>
            <w:tcW w:w="746" w:type="dxa"/>
            <w:vMerge/>
            <w:shd w:val="clear" w:color="000000" w:fill="FFFFFF"/>
            <w:vAlign w:val="center"/>
          </w:tcPr>
          <w:p>
            <w:pPr>
              <w:widowControl/>
              <w:spacing w:line="276" w:lineRule="auto"/>
              <w:jc w:val="center"/>
              <w:rPr>
                <w:rFonts w:ascii="宋体" w:eastAsia="宋体" w:hAnsi="宋体" w:cs="宋体"/>
                <w:sz w:val="21"/>
                <w:szCs w:val="21"/>
                <w:lang w:eastAsia="zh-CN"/>
              </w:rPr>
            </w:pPr>
          </w:p>
        </w:tc>
        <w:tc>
          <w:tcPr>
            <w:tcW w:w="4493" w:type="dxa"/>
            <w:gridSpan w:val="2"/>
            <w:shd w:val="clear" w:color="000000" w:fill="FFFFFF"/>
            <w:vAlign w:val="center"/>
          </w:tcPr>
          <w:p>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**费用小计</w:t>
            </w:r>
          </w:p>
        </w:tc>
        <w:tc>
          <w:tcPr>
            <w:tcW w:w="1481" w:type="dxa"/>
            <w:shd w:val="clear" w:color="000000" w:fill="FFFFFF"/>
            <w:vAlign w:val="center"/>
          </w:tcPr>
          <w:p>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shd w:val="clear" w:color="000000" w:fill="FFFFFF"/>
            <w:vAlign w:val="center"/>
          </w:tcPr>
          <w:p>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r>
      <w:tr>
        <w:tblPrEx>
          <w:tblW w:w="5000" w:type="pct"/>
          <w:tblInd w:w="0" w:type="dxa"/>
          <w:tblLayout w:type="fixed"/>
          <w:tblCellMar>
            <w:top w:w="0" w:type="dxa"/>
            <w:left w:w="108" w:type="dxa"/>
            <w:bottom w:w="0" w:type="dxa"/>
            <w:right w:w="108" w:type="dxa"/>
          </w:tblCellMar>
        </w:tblPrEx>
        <w:trPr>
          <w:trHeight w:val="320"/>
        </w:trPr>
        <w:tc>
          <w:tcPr>
            <w:tcW w:w="746" w:type="dxa"/>
            <w:vMerge w:val="restart"/>
            <w:shd w:val="clear" w:color="000000" w:fill="FFFFFF"/>
            <w:vAlign w:val="center"/>
          </w:tcPr>
          <w:p>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三</w:t>
            </w:r>
          </w:p>
        </w:tc>
        <w:tc>
          <w:tcPr>
            <w:tcW w:w="995" w:type="dxa"/>
            <w:vMerge w:val="restart"/>
            <w:shd w:val="clear" w:color="000000" w:fill="FFFFFF"/>
            <w:vAlign w:val="center"/>
          </w:tcPr>
          <w:p>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其他费用</w:t>
            </w:r>
          </w:p>
        </w:tc>
        <w:tc>
          <w:tcPr>
            <w:tcW w:w="3498" w:type="dxa"/>
            <w:shd w:val="clear" w:color="000000" w:fill="FFFFFF"/>
            <w:vAlign w:val="center"/>
          </w:tcPr>
          <w:p>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w:t>
            </w:r>
          </w:p>
        </w:tc>
        <w:tc>
          <w:tcPr>
            <w:tcW w:w="1481" w:type="dxa"/>
            <w:shd w:val="clear" w:color="000000" w:fill="FFFFFF"/>
            <w:vAlign w:val="center"/>
          </w:tcPr>
          <w:p>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shd w:val="clear" w:color="000000" w:fill="FFFFFF"/>
            <w:vAlign w:val="center"/>
          </w:tcPr>
          <w:p>
            <w:pPr>
              <w:widowControl/>
              <w:spacing w:line="276" w:lineRule="auto"/>
              <w:jc w:val="left"/>
              <w:rPr>
                <w:rFonts w:ascii="宋体" w:eastAsia="宋体" w:hAnsi="宋体" w:cs="宋体"/>
                <w:sz w:val="21"/>
                <w:szCs w:val="21"/>
                <w:lang w:eastAsia="zh-CN"/>
              </w:rPr>
            </w:pPr>
          </w:p>
        </w:tc>
      </w:tr>
      <w:tr>
        <w:tblPrEx>
          <w:tblW w:w="5000" w:type="pct"/>
          <w:tblInd w:w="0" w:type="dxa"/>
          <w:tblLayout w:type="fixed"/>
          <w:tblCellMar>
            <w:top w:w="0" w:type="dxa"/>
            <w:left w:w="108" w:type="dxa"/>
            <w:bottom w:w="0" w:type="dxa"/>
            <w:right w:w="108" w:type="dxa"/>
          </w:tblCellMar>
        </w:tblPrEx>
        <w:trPr>
          <w:trHeight w:val="320"/>
        </w:trPr>
        <w:tc>
          <w:tcPr>
            <w:tcW w:w="746" w:type="dxa"/>
            <w:vMerge/>
            <w:shd w:val="clear" w:color="000000" w:fill="FFFFFF"/>
            <w:vAlign w:val="center"/>
          </w:tcPr>
          <w:p>
            <w:pPr>
              <w:widowControl w:val="0"/>
              <w:spacing w:line="276" w:lineRule="auto"/>
              <w:jc w:val="center"/>
              <w:rPr>
                <w:rFonts w:ascii="宋体" w:eastAsia="宋体" w:hAnsi="宋体" w:cs="宋体"/>
                <w:sz w:val="21"/>
                <w:szCs w:val="21"/>
                <w:lang w:eastAsia="zh-CN"/>
              </w:rPr>
            </w:pPr>
          </w:p>
        </w:tc>
        <w:tc>
          <w:tcPr>
            <w:tcW w:w="995" w:type="dxa"/>
            <w:vMerge/>
            <w:vAlign w:val="center"/>
          </w:tcPr>
          <w:p>
            <w:pPr>
              <w:widowControl/>
              <w:spacing w:line="276" w:lineRule="auto"/>
              <w:jc w:val="left"/>
              <w:rPr>
                <w:rFonts w:ascii="宋体" w:eastAsia="宋体" w:hAnsi="宋体" w:cs="宋体"/>
                <w:sz w:val="21"/>
                <w:szCs w:val="21"/>
                <w:lang w:eastAsia="zh-CN"/>
              </w:rPr>
            </w:pPr>
          </w:p>
        </w:tc>
        <w:tc>
          <w:tcPr>
            <w:tcW w:w="3498" w:type="dxa"/>
            <w:shd w:val="clear" w:color="000000" w:fill="FFFFFF"/>
            <w:vAlign w:val="center"/>
          </w:tcPr>
          <w:p>
            <w:pPr>
              <w:widowControl/>
              <w:spacing w:line="276" w:lineRule="auto"/>
              <w:jc w:val="left"/>
              <w:rPr>
                <w:rFonts w:ascii="宋体" w:eastAsia="宋体" w:hAnsi="宋体" w:cs="宋体"/>
                <w:sz w:val="21"/>
                <w:szCs w:val="21"/>
                <w:lang w:eastAsia="zh-CN"/>
              </w:rPr>
            </w:pPr>
          </w:p>
        </w:tc>
        <w:tc>
          <w:tcPr>
            <w:tcW w:w="1481" w:type="dxa"/>
            <w:shd w:val="clear" w:color="000000" w:fill="FFFFFF"/>
            <w:vAlign w:val="center"/>
          </w:tcPr>
          <w:p>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shd w:val="clear" w:color="000000" w:fill="FFFFFF"/>
            <w:vAlign w:val="center"/>
          </w:tcPr>
          <w:p>
            <w:pPr>
              <w:widowControl/>
              <w:spacing w:line="276" w:lineRule="auto"/>
              <w:jc w:val="left"/>
              <w:rPr>
                <w:rFonts w:ascii="宋体" w:eastAsia="宋体" w:hAnsi="宋体" w:cs="宋体"/>
                <w:sz w:val="21"/>
                <w:szCs w:val="21"/>
                <w:lang w:eastAsia="zh-CN"/>
              </w:rPr>
            </w:pPr>
          </w:p>
        </w:tc>
      </w:tr>
      <w:tr>
        <w:tblPrEx>
          <w:tblW w:w="5000" w:type="pct"/>
          <w:tblInd w:w="0" w:type="dxa"/>
          <w:tblLayout w:type="fixed"/>
          <w:tblCellMar>
            <w:top w:w="0" w:type="dxa"/>
            <w:left w:w="108" w:type="dxa"/>
            <w:bottom w:w="0" w:type="dxa"/>
            <w:right w:w="108" w:type="dxa"/>
          </w:tblCellMar>
        </w:tblPrEx>
        <w:trPr>
          <w:trHeight w:val="320"/>
        </w:trPr>
        <w:tc>
          <w:tcPr>
            <w:tcW w:w="746" w:type="dxa"/>
            <w:vMerge/>
            <w:shd w:val="clear" w:color="000000" w:fill="FFFFFF"/>
            <w:vAlign w:val="center"/>
          </w:tcPr>
          <w:p>
            <w:pPr>
              <w:widowControl/>
              <w:spacing w:line="276" w:lineRule="auto"/>
              <w:jc w:val="center"/>
              <w:rPr>
                <w:rFonts w:ascii="宋体" w:eastAsia="宋体" w:hAnsi="宋体" w:cs="宋体"/>
                <w:sz w:val="21"/>
                <w:szCs w:val="21"/>
                <w:lang w:eastAsia="zh-CN"/>
              </w:rPr>
            </w:pPr>
          </w:p>
        </w:tc>
        <w:tc>
          <w:tcPr>
            <w:tcW w:w="4493" w:type="dxa"/>
            <w:gridSpan w:val="2"/>
            <w:shd w:val="clear" w:color="000000" w:fill="FFFFFF"/>
            <w:vAlign w:val="center"/>
          </w:tcPr>
          <w:p>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其他费用小计</w:t>
            </w:r>
          </w:p>
        </w:tc>
        <w:tc>
          <w:tcPr>
            <w:tcW w:w="1481" w:type="dxa"/>
            <w:shd w:val="clear" w:color="000000" w:fill="FFFFFF"/>
            <w:vAlign w:val="center"/>
          </w:tcPr>
          <w:p>
            <w:pPr>
              <w:widowControl/>
              <w:spacing w:line="276" w:lineRule="auto"/>
              <w:jc w:val="righ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shd w:val="clear" w:color="000000" w:fill="FFFFFF"/>
            <w:vAlign w:val="center"/>
          </w:tcPr>
          <w:p>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r>
      <w:tr>
        <w:tblPrEx>
          <w:tblW w:w="5000" w:type="pct"/>
          <w:tblInd w:w="0" w:type="dxa"/>
          <w:tblLayout w:type="fixed"/>
          <w:tblCellMar>
            <w:top w:w="0" w:type="dxa"/>
            <w:left w:w="108" w:type="dxa"/>
            <w:bottom w:w="0" w:type="dxa"/>
            <w:right w:w="108" w:type="dxa"/>
          </w:tblCellMar>
        </w:tblPrEx>
        <w:trPr>
          <w:trHeight w:val="320"/>
        </w:trPr>
        <w:tc>
          <w:tcPr>
            <w:tcW w:w="746" w:type="dxa"/>
            <w:shd w:val="clear" w:color="000000" w:fill="FFFFFF"/>
            <w:vAlign w:val="center"/>
          </w:tcPr>
          <w:p>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四</w:t>
            </w:r>
          </w:p>
        </w:tc>
        <w:tc>
          <w:tcPr>
            <w:tcW w:w="4493" w:type="dxa"/>
            <w:gridSpan w:val="2"/>
            <w:shd w:val="clear" w:color="000000" w:fill="FFFFFF"/>
            <w:vAlign w:val="center"/>
          </w:tcPr>
          <w:p>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税金</w:t>
            </w:r>
          </w:p>
        </w:tc>
        <w:tc>
          <w:tcPr>
            <w:tcW w:w="1481" w:type="dxa"/>
            <w:shd w:val="clear" w:color="000000" w:fill="FFFFFF"/>
            <w:vAlign w:val="center"/>
          </w:tcPr>
          <w:p>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c>
          <w:tcPr>
            <w:tcW w:w="2178" w:type="dxa"/>
            <w:shd w:val="clear" w:color="000000" w:fill="FFFFFF"/>
            <w:vAlign w:val="center"/>
          </w:tcPr>
          <w:p>
            <w:pPr>
              <w:widowControl/>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w:t>
            </w:r>
          </w:p>
        </w:tc>
      </w:tr>
      <w:tr>
        <w:tblPrEx>
          <w:tblW w:w="5000" w:type="pct"/>
          <w:tblInd w:w="0" w:type="dxa"/>
          <w:tblLayout w:type="fixed"/>
          <w:tblCellMar>
            <w:top w:w="0" w:type="dxa"/>
            <w:left w:w="108" w:type="dxa"/>
            <w:bottom w:w="0" w:type="dxa"/>
            <w:right w:w="108" w:type="dxa"/>
          </w:tblCellMar>
        </w:tblPrEx>
        <w:trPr>
          <w:trHeight w:val="320"/>
        </w:trPr>
        <w:tc>
          <w:tcPr>
            <w:tcW w:w="746" w:type="dxa"/>
            <w:shd w:val="clear" w:color="000000" w:fill="FFFFFF"/>
            <w:vAlign w:val="center"/>
          </w:tcPr>
          <w:p>
            <w:pPr>
              <w:widowControl/>
              <w:spacing w:line="276" w:lineRule="auto"/>
              <w:jc w:val="center"/>
              <w:rPr>
                <w:rFonts w:ascii="宋体" w:eastAsia="宋体" w:hAnsi="宋体" w:cs="宋体"/>
                <w:sz w:val="21"/>
                <w:szCs w:val="21"/>
                <w:lang w:eastAsia="zh-CN"/>
              </w:rPr>
            </w:pPr>
          </w:p>
        </w:tc>
        <w:tc>
          <w:tcPr>
            <w:tcW w:w="4493" w:type="dxa"/>
            <w:gridSpan w:val="2"/>
            <w:shd w:val="clear" w:color="000000" w:fill="FFFFFF"/>
            <w:vAlign w:val="center"/>
          </w:tcPr>
          <w:p>
            <w:pPr>
              <w:widowControl/>
              <w:spacing w:line="276" w:lineRule="auto"/>
              <w:jc w:val="left"/>
              <w:rPr>
                <w:rFonts w:ascii="宋体" w:eastAsia="宋体" w:hAnsi="宋体" w:cs="宋体"/>
                <w:sz w:val="21"/>
                <w:szCs w:val="21"/>
                <w:lang w:eastAsia="zh-CN"/>
              </w:rPr>
            </w:pPr>
            <w:r>
              <w:rPr>
                <w:rFonts w:ascii="宋体" w:eastAsia="宋体" w:hAnsi="宋体" w:cs="宋体" w:hint="eastAsia"/>
                <w:b/>
                <w:bCs/>
                <w:sz w:val="21"/>
                <w:szCs w:val="21"/>
                <w:lang w:eastAsia="zh-CN"/>
              </w:rPr>
              <w:t>……</w:t>
            </w:r>
          </w:p>
        </w:tc>
        <w:tc>
          <w:tcPr>
            <w:tcW w:w="1481" w:type="dxa"/>
            <w:shd w:val="clear" w:color="000000" w:fill="FFFFFF"/>
            <w:vAlign w:val="center"/>
          </w:tcPr>
          <w:p>
            <w:pPr>
              <w:widowControl/>
              <w:spacing w:line="276" w:lineRule="auto"/>
              <w:jc w:val="left"/>
              <w:rPr>
                <w:rFonts w:ascii="宋体" w:eastAsia="宋体" w:hAnsi="宋体" w:cs="宋体"/>
                <w:sz w:val="21"/>
                <w:szCs w:val="21"/>
                <w:lang w:eastAsia="zh-CN"/>
              </w:rPr>
            </w:pPr>
          </w:p>
        </w:tc>
        <w:tc>
          <w:tcPr>
            <w:tcW w:w="2178" w:type="dxa"/>
            <w:shd w:val="clear" w:color="000000" w:fill="FFFFFF"/>
            <w:vAlign w:val="center"/>
          </w:tcPr>
          <w:p>
            <w:pPr>
              <w:widowControl/>
              <w:spacing w:line="276" w:lineRule="auto"/>
              <w:jc w:val="left"/>
              <w:rPr>
                <w:rFonts w:ascii="宋体" w:eastAsia="宋体" w:hAnsi="宋体" w:cs="宋体"/>
                <w:sz w:val="21"/>
                <w:szCs w:val="21"/>
                <w:lang w:eastAsia="zh-CN"/>
              </w:rPr>
            </w:pPr>
          </w:p>
        </w:tc>
      </w:tr>
      <w:tr>
        <w:tblPrEx>
          <w:tblW w:w="5000" w:type="pct"/>
          <w:tblInd w:w="0" w:type="dxa"/>
          <w:tblLayout w:type="fixed"/>
          <w:tblCellMar>
            <w:top w:w="0" w:type="dxa"/>
            <w:left w:w="108" w:type="dxa"/>
            <w:bottom w:w="0" w:type="dxa"/>
            <w:right w:w="108" w:type="dxa"/>
          </w:tblCellMar>
        </w:tblPrEx>
        <w:trPr>
          <w:trHeight w:val="340"/>
        </w:trPr>
        <w:tc>
          <w:tcPr>
            <w:tcW w:w="5239" w:type="dxa"/>
            <w:gridSpan w:val="3"/>
            <w:shd w:val="clear" w:color="000000" w:fill="FFFFFF"/>
            <w:vAlign w:val="center"/>
          </w:tcPr>
          <w:p>
            <w:pPr>
              <w:widowControl/>
              <w:spacing w:line="276" w:lineRule="auto"/>
              <w:jc w:val="center"/>
              <w:rPr>
                <w:rFonts w:ascii="宋体" w:eastAsia="宋体" w:hAnsi="宋体" w:cs="宋体"/>
                <w:b/>
                <w:bCs/>
                <w:sz w:val="21"/>
                <w:szCs w:val="21"/>
                <w:lang w:eastAsia="zh-CN"/>
              </w:rPr>
            </w:pPr>
            <w:r>
              <w:rPr>
                <w:rFonts w:ascii="宋体" w:eastAsia="宋体" w:hAnsi="宋体" w:cs="宋体" w:hint="eastAsia"/>
                <w:sz w:val="21"/>
                <w:szCs w:val="21"/>
                <w:lang w:eastAsia="zh-CN"/>
              </w:rPr>
              <w:t>合计（即投标总价：币种：人民币；单位：元）小写：</w:t>
            </w:r>
          </w:p>
        </w:tc>
        <w:tc>
          <w:tcPr>
            <w:tcW w:w="1481" w:type="dxa"/>
            <w:shd w:val="clear" w:color="000000" w:fill="FFFFFF"/>
            <w:vAlign w:val="center"/>
          </w:tcPr>
          <w:p>
            <w:pPr>
              <w:widowControl/>
              <w:spacing w:line="276" w:lineRule="auto"/>
              <w:jc w:val="right"/>
              <w:rPr>
                <w:rFonts w:ascii="宋体" w:eastAsia="宋体" w:hAnsi="宋体" w:cs="宋体"/>
                <w:b/>
                <w:bCs/>
                <w:sz w:val="21"/>
                <w:szCs w:val="21"/>
                <w:lang w:eastAsia="zh-CN"/>
              </w:rPr>
            </w:pPr>
            <w:r>
              <w:rPr>
                <w:rFonts w:ascii="宋体" w:eastAsia="宋体" w:hAnsi="宋体" w:cs="宋体" w:hint="eastAsia"/>
                <w:b/>
                <w:bCs/>
                <w:sz w:val="21"/>
                <w:szCs w:val="21"/>
                <w:lang w:eastAsia="zh-CN"/>
              </w:rPr>
              <w:t>　</w:t>
            </w:r>
          </w:p>
        </w:tc>
        <w:tc>
          <w:tcPr>
            <w:tcW w:w="2178" w:type="dxa"/>
            <w:shd w:val="clear" w:color="000000" w:fill="FFFFFF"/>
            <w:vAlign w:val="center"/>
          </w:tcPr>
          <w:p>
            <w:pPr>
              <w:widowControl/>
              <w:spacing w:line="276"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　以上各项之和</w:t>
            </w:r>
          </w:p>
        </w:tc>
      </w:tr>
    </w:tbl>
    <w:p>
      <w:pPr>
        <w:widowControl w:val="0"/>
        <w:spacing w:line="276" w:lineRule="auto"/>
        <w:jc w:val="both"/>
        <w:rPr>
          <w:rFonts w:ascii="宋体" w:eastAsia="宋体"/>
          <w:kern w:val="2"/>
          <w:sz w:val="21"/>
          <w:szCs w:val="21"/>
          <w:highlight w:val="yellow"/>
          <w:lang w:eastAsia="zh-CN"/>
        </w:rPr>
      </w:pPr>
      <w:r>
        <w:rPr>
          <w:rFonts w:ascii="宋体" w:eastAsia="宋体" w:hAnsi="宋体" w:hint="eastAsia"/>
          <w:kern w:val="2"/>
          <w:sz w:val="21"/>
          <w:szCs w:val="21"/>
          <w:lang w:eastAsia="zh-CN"/>
        </w:rPr>
        <w:t>备注：</w:t>
      </w:r>
    </w:p>
    <w:p>
      <w:pPr>
        <w:widowControl w:val="0"/>
        <w:spacing w:line="276" w:lineRule="auto"/>
        <w:ind w:firstLine="420" w:firstLineChars="200"/>
        <w:jc w:val="both"/>
        <w:rPr>
          <w:rFonts w:ascii="宋体" w:eastAsia="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所有价格应按“招标文件”中规定的货币单位填写；</w:t>
      </w:r>
    </w:p>
    <w:p>
      <w:pPr>
        <w:widowControl w:val="0"/>
        <w:spacing w:line="276" w:lineRule="auto"/>
        <w:ind w:firstLine="420" w:firstLineChars="200"/>
        <w:jc w:val="both"/>
        <w:rPr>
          <w:rFonts w:ascii="宋体" w:eastAsia="宋体"/>
          <w:kern w:val="2"/>
          <w:sz w:val="21"/>
          <w:szCs w:val="21"/>
          <w:lang w:eastAsia="zh-CN"/>
        </w:rPr>
      </w:pPr>
      <w:r>
        <w:rPr>
          <w:rFonts w:ascii="宋体" w:eastAsia="宋体" w:hAnsi="宋体"/>
          <w:kern w:val="2"/>
          <w:sz w:val="21"/>
          <w:szCs w:val="21"/>
          <w:lang w:eastAsia="zh-CN"/>
        </w:rPr>
        <w:t>2</w:t>
      </w:r>
      <w:r>
        <w:rPr>
          <w:rFonts w:ascii="宋体" w:eastAsia="宋体"/>
          <w:kern w:val="2"/>
          <w:sz w:val="21"/>
          <w:szCs w:val="21"/>
          <w:lang w:eastAsia="zh-CN"/>
        </w:rPr>
        <w:t>.</w:t>
      </w:r>
      <w:r>
        <w:rPr>
          <w:rFonts w:ascii="宋体" w:eastAsia="宋体" w:hAnsi="宋体" w:hint="eastAsia"/>
          <w:kern w:val="2"/>
          <w:sz w:val="21"/>
          <w:szCs w:val="21"/>
          <w:lang w:eastAsia="zh-CN"/>
        </w:rPr>
        <w:t>投标总价应为以上各分项价格之和；</w:t>
      </w:r>
    </w:p>
    <w:p>
      <w:pPr>
        <w:widowControl w:val="0"/>
        <w:spacing w:line="276" w:lineRule="auto"/>
        <w:ind w:firstLine="420" w:firstLineChars="200"/>
        <w:jc w:val="both"/>
        <w:rPr>
          <w:rFonts w:ascii="宋体" w:eastAsia="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本表格式为参考格式可根据项目具体情况进行修改；</w:t>
      </w:r>
    </w:p>
    <w:p>
      <w:pPr>
        <w:widowControl w:val="0"/>
        <w:spacing w:line="276" w:lineRule="auto"/>
        <w:ind w:firstLine="412" w:firstLineChars="196"/>
        <w:jc w:val="both"/>
        <w:rPr>
          <w:rFonts w:ascii="宋体" w:eastAsia="宋体" w:hAnsi="宋体"/>
          <w:b/>
          <w:kern w:val="2"/>
          <w:sz w:val="21"/>
          <w:szCs w:val="21"/>
          <w:lang w:eastAsia="zh-CN"/>
        </w:rPr>
      </w:pPr>
      <w:r>
        <w:rPr>
          <w:rFonts w:ascii="宋体" w:eastAsia="宋体" w:hAnsi="宋体"/>
          <w:b/>
          <w:kern w:val="2"/>
          <w:sz w:val="21"/>
          <w:szCs w:val="21"/>
          <w:lang w:eastAsia="zh-CN"/>
        </w:rPr>
        <w:t>4.</w:t>
      </w:r>
      <w:r>
        <w:rPr>
          <w:rFonts w:ascii="宋体" w:eastAsia="宋体" w:hAnsi="宋体" w:hint="eastAsia"/>
          <w:b/>
          <w:kern w:val="2"/>
          <w:sz w:val="21"/>
          <w:szCs w:val="21"/>
          <w:lang w:eastAsia="zh-CN"/>
        </w:rPr>
        <w:t>投标总价和项目报价表中单个采购预算条目报价均不得超过对应的财政预算限额，否则</w:t>
      </w:r>
    </w:p>
    <w:p>
      <w:pPr>
        <w:widowControl w:val="0"/>
        <w:spacing w:line="276" w:lineRule="auto"/>
        <w:ind w:firstLine="622" w:firstLineChars="296"/>
        <w:jc w:val="both"/>
        <w:rPr>
          <w:rFonts w:ascii="宋体" w:eastAsia="宋体"/>
          <w:b/>
          <w:kern w:val="2"/>
          <w:sz w:val="21"/>
          <w:szCs w:val="21"/>
          <w:lang w:eastAsia="zh-CN"/>
        </w:rPr>
      </w:pPr>
      <w:r>
        <w:rPr>
          <w:rFonts w:ascii="宋体" w:eastAsia="宋体" w:hAnsi="宋体" w:hint="eastAsia"/>
          <w:b/>
          <w:kern w:val="2"/>
          <w:sz w:val="21"/>
          <w:szCs w:val="21"/>
          <w:lang w:eastAsia="zh-CN"/>
        </w:rPr>
        <w:t>将导致投标无效。</w:t>
      </w:r>
    </w:p>
    <w:p>
      <w:pPr>
        <w:widowControl w:val="0"/>
        <w:spacing w:line="276" w:lineRule="auto"/>
        <w:ind w:firstLine="412" w:firstLineChars="196"/>
        <w:jc w:val="both"/>
        <w:rPr>
          <w:rFonts w:ascii="宋体" w:eastAsia="宋体"/>
          <w:kern w:val="2"/>
          <w:sz w:val="21"/>
          <w:szCs w:val="21"/>
          <w:lang w:eastAsia="zh-CN"/>
        </w:rPr>
      </w:pPr>
      <w:r>
        <w:rPr>
          <w:rFonts w:ascii="宋体" w:eastAsia="宋体" w:hAnsi="宋体"/>
          <w:kern w:val="2"/>
          <w:sz w:val="21"/>
          <w:szCs w:val="21"/>
          <w:lang w:eastAsia="zh-CN"/>
        </w:rPr>
        <w:t>5.</w:t>
      </w:r>
      <w:r>
        <w:rPr>
          <w:rFonts w:ascii="宋体" w:eastAsia="宋体" w:hAnsi="宋体" w:hint="eastAsia"/>
          <w:kern w:val="2"/>
          <w:sz w:val="21"/>
          <w:szCs w:val="21"/>
          <w:lang w:eastAsia="zh-CN"/>
        </w:rPr>
        <w:t>《分项报价表》的投标总价应与开标一览表的投标报价一致。</w:t>
      </w:r>
    </w:p>
    <w:p>
      <w:pPr>
        <w:widowControl/>
        <w:spacing w:after="120"/>
        <w:jc w:val="left"/>
        <w:rPr>
          <w:rFonts w:ascii="Calibri" w:eastAsia="宋体" w:hAnsi="Calibri"/>
          <w:sz w:val="20"/>
          <w:szCs w:val="20"/>
          <w:lang w:eastAsia="zh-CN"/>
        </w:rPr>
      </w:pPr>
    </w:p>
    <w:p>
      <w:pPr>
        <w:widowControl w:val="0"/>
        <w:tabs>
          <w:tab w:val="left" w:pos="720"/>
        </w:tabs>
        <w:jc w:val="center"/>
        <w:rPr>
          <w:rFonts w:eastAsia="宋体"/>
          <w:b/>
          <w:kern w:val="2"/>
          <w:lang w:eastAsia="zh-CN"/>
        </w:rPr>
      </w:pPr>
      <w:bookmarkStart w:id="34" w:name="_Hlk72073235"/>
      <w:r>
        <w:rPr>
          <w:rFonts w:eastAsia="宋体" w:hint="eastAsia"/>
          <w:b/>
          <w:kern w:val="2"/>
          <w:lang w:eastAsia="zh-CN"/>
        </w:rPr>
        <w:t>（二）投标人认为需要涉及的其他内容报价清单</w:t>
      </w:r>
      <w:bookmarkEnd w:id="34"/>
    </w:p>
    <w:p>
      <w:pPr>
        <w:widowControl w:val="0"/>
        <w:numPr>
          <w:ilvl w:val="0"/>
          <w:numId w:val="0"/>
        </w:numPr>
        <w:tabs>
          <w:tab w:val="left" w:pos="720"/>
        </w:tabs>
        <w:ind w:left="0" w:firstLine="0"/>
        <w:jc w:val="both"/>
        <w:rPr>
          <w:rFonts w:eastAsia="宋体" w:hint="eastAsia"/>
          <w:b/>
          <w:kern w:val="2"/>
          <w:lang w:eastAsia="zh-CN"/>
        </w:rPr>
      </w:pPr>
    </w:p>
    <w:p>
      <w:pPr>
        <w:keepNext/>
        <w:keepLines/>
        <w:widowControl/>
        <w:spacing w:before="260" w:after="260" w:line="360" w:lineRule="auto"/>
        <w:jc w:val="center"/>
        <w:outlineLvl w:val="2"/>
        <w:rPr>
          <w:rFonts w:ascii="黑体" w:eastAsia="黑体"/>
          <w:bCs/>
          <w:szCs w:val="32"/>
          <w:lang w:eastAsia="zh-CN"/>
        </w:rPr>
      </w:pPr>
      <w:r>
        <w:rPr>
          <w:rFonts w:ascii="黑体" w:eastAsia="黑体" w:hint="eastAsia"/>
          <w:bCs/>
          <w:szCs w:val="32"/>
          <w:lang w:eastAsia="zh-CN"/>
        </w:rPr>
        <w:t>五、</w:t>
      </w:r>
      <w:bookmarkStart w:id="35" w:name="_Hlk72092499"/>
      <w:r>
        <w:rPr>
          <w:rFonts w:ascii="黑体" w:eastAsia="黑体" w:hint="eastAsia"/>
          <w:bCs/>
          <w:szCs w:val="32"/>
          <w:lang w:eastAsia="zh-CN"/>
        </w:rPr>
        <w:t>法定代表人（负责人）证明书</w:t>
      </w:r>
      <w:bookmarkEnd w:id="35"/>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u w:val="single"/>
          <w:lang w:eastAsia="zh-CN"/>
        </w:rPr>
        <w:t xml:space="preserve">         </w:t>
      </w:r>
      <w:r>
        <w:rPr>
          <w:rFonts w:ascii="宋体" w:eastAsia="宋体" w:hAnsi="宋体" w:hint="eastAsia"/>
          <w:kern w:val="2"/>
          <w:lang w:eastAsia="zh-CN"/>
        </w:rPr>
        <w:t>同志，现任我单位</w:t>
      </w:r>
      <w:r>
        <w:rPr>
          <w:rFonts w:ascii="宋体" w:eastAsia="宋体" w:hAnsi="宋体" w:hint="eastAsia"/>
          <w:kern w:val="2"/>
          <w:u w:val="single"/>
          <w:lang w:eastAsia="zh-CN"/>
        </w:rPr>
        <w:t xml:space="preserve">         </w:t>
      </w:r>
      <w:r>
        <w:rPr>
          <w:rFonts w:ascii="宋体" w:eastAsia="宋体" w:hAnsi="宋体" w:hint="eastAsia"/>
          <w:kern w:val="2"/>
          <w:lang w:eastAsia="zh-CN"/>
        </w:rPr>
        <w:t xml:space="preserve">职务，为法定代表人（负责人），身份证号： </w:t>
      </w:r>
      <w:r>
        <w:rPr>
          <w:rFonts w:ascii="宋体" w:eastAsia="宋体" w:hAnsi="宋体" w:hint="eastAsia"/>
          <w:kern w:val="2"/>
          <w:u w:val="single"/>
          <w:lang w:eastAsia="zh-CN"/>
        </w:rPr>
        <w:t xml:space="preserve">                </w:t>
      </w:r>
      <w:r>
        <w:rPr>
          <w:rFonts w:ascii="宋体" w:eastAsia="宋体" w:hAnsi="宋体" w:hint="eastAsia"/>
          <w:kern w:val="2"/>
          <w:lang w:eastAsia="zh-CN"/>
        </w:rPr>
        <w:t>联系电话：</w:t>
      </w:r>
      <w:r>
        <w:rPr>
          <w:rFonts w:ascii="宋体" w:eastAsia="宋体" w:hAnsi="宋体" w:hint="eastAsia"/>
          <w:kern w:val="2"/>
          <w:u w:val="single"/>
          <w:lang w:eastAsia="zh-CN"/>
        </w:rPr>
        <w:t xml:space="preserve">         </w:t>
      </w:r>
      <w:r>
        <w:rPr>
          <w:rFonts w:ascii="宋体" w:eastAsia="宋体" w:hAnsi="宋体" w:hint="eastAsia"/>
          <w:kern w:val="2"/>
          <w:lang w:eastAsia="zh-CN"/>
        </w:rPr>
        <w:t>特此证明。</w:t>
      </w:r>
    </w:p>
    <w:p>
      <w:pPr>
        <w:widowControl w:val="0"/>
        <w:spacing w:line="360" w:lineRule="auto"/>
        <w:jc w:val="both"/>
        <w:rPr>
          <w:rFonts w:ascii="宋体" w:eastAsia="宋体" w:hAnsi="宋体"/>
          <w:kern w:val="2"/>
          <w:lang w:eastAsia="zh-CN"/>
        </w:rPr>
      </w:pPr>
      <w:r>
        <w:rPr>
          <w:rFonts w:ascii="宋体" w:eastAsia="宋体" w:hAnsi="宋体" w:hint="eastAsia"/>
          <w:kern w:val="2"/>
          <w:lang w:eastAsia="zh-CN"/>
        </w:rPr>
        <w:t xml:space="preserve">         </w:t>
      </w:r>
    </w:p>
    <w:p>
      <w:pPr>
        <w:widowControl w:val="0"/>
        <w:spacing w:line="360" w:lineRule="auto"/>
        <w:jc w:val="both"/>
        <w:rPr>
          <w:rFonts w:ascii="宋体" w:eastAsia="宋体" w:hAnsi="宋体"/>
          <w:kern w:val="2"/>
          <w:lang w:eastAsia="zh-CN"/>
        </w:rPr>
      </w:pPr>
      <w:r>
        <w:rPr>
          <w:rFonts w:ascii="宋体" w:eastAsia="宋体" w:hAnsi="宋体" w:hint="eastAsia"/>
          <w:kern w:val="2"/>
          <w:lang w:eastAsia="zh-CN"/>
        </w:rPr>
        <w:t>说明：1、法定代表人为投标人（企业事业单位、国家机关、社会团体）的主要行政负责人。</w:t>
      </w:r>
    </w:p>
    <w:p>
      <w:pPr>
        <w:widowControl w:val="0"/>
        <w:spacing w:line="360" w:lineRule="auto"/>
        <w:jc w:val="both"/>
        <w:rPr>
          <w:rFonts w:ascii="宋体" w:eastAsia="宋体" w:hAnsi="宋体"/>
          <w:b/>
          <w:kern w:val="2"/>
          <w:lang w:eastAsia="zh-CN"/>
        </w:rPr>
      </w:pPr>
      <w:r>
        <w:rPr>
          <w:rFonts w:ascii="宋体" w:eastAsia="宋体" w:hAnsi="宋体" w:hint="eastAsia"/>
          <w:kern w:val="2"/>
          <w:lang w:eastAsia="zh-CN"/>
        </w:rPr>
        <w:t xml:space="preserve"> </w:t>
      </w:r>
      <w:r>
        <w:rPr>
          <w:rFonts w:ascii="宋体" w:eastAsia="宋体" w:hAnsi="宋体" w:hint="eastAsia"/>
          <w:color w:val="FF0000"/>
          <w:kern w:val="2"/>
          <w:lang w:eastAsia="zh-CN"/>
        </w:rPr>
        <w:t xml:space="preserve">     </w:t>
      </w:r>
      <w:r>
        <w:rPr>
          <w:rFonts w:ascii="宋体" w:eastAsia="宋体" w:hAnsi="宋体" w:hint="eastAsia"/>
          <w:b/>
          <w:color w:val="FF0000"/>
          <w:kern w:val="2"/>
          <w:lang w:eastAsia="zh-CN"/>
        </w:rPr>
        <w:t xml:space="preserve">2、本证明书要求投标供应商同时提供法定代表人（负责人）的身份证扫描件（正反两面）作为附件方为有效；港澳台居民可提供来往通行证扫描件；非中国国籍管辖范围人员，可提供公安部门认可的身份证明材料扫描件。  </w:t>
      </w:r>
      <w:r>
        <w:rPr>
          <w:rFonts w:ascii="宋体" w:eastAsia="宋体" w:hAnsi="宋体" w:hint="eastAsia"/>
          <w:b/>
          <w:kern w:val="2"/>
          <w:lang w:eastAsia="zh-CN"/>
        </w:rPr>
        <w:t xml:space="preserve">  </w:t>
      </w:r>
    </w:p>
    <w:p>
      <w:pPr>
        <w:widowControl w:val="0"/>
        <w:spacing w:line="360" w:lineRule="auto"/>
        <w:ind w:firstLine="720" w:firstLineChars="300"/>
        <w:jc w:val="both"/>
        <w:rPr>
          <w:rFonts w:ascii="宋体" w:eastAsia="宋体" w:hAnsi="宋体"/>
          <w:kern w:val="2"/>
          <w:lang w:eastAsia="zh-CN"/>
        </w:rPr>
      </w:pPr>
      <w:r>
        <w:rPr>
          <w:rFonts w:ascii="宋体" w:eastAsia="宋体" w:hAnsi="宋体" w:hint="eastAsia"/>
          <w:kern w:val="2"/>
          <w:lang w:eastAsia="zh-CN"/>
        </w:rPr>
        <w:t>3、本项目投标授权代表为法定代表人（负责人）的，无需提供《投标文件签署授权委托书》。</w:t>
      </w:r>
    </w:p>
    <w:p>
      <w:pPr>
        <w:widowControl w:val="0"/>
        <w:spacing w:line="360" w:lineRule="auto"/>
        <w:ind w:firstLine="720" w:firstLineChars="300"/>
        <w:jc w:val="both"/>
        <w:rPr>
          <w:rFonts w:ascii="宋体" w:eastAsia="宋体" w:hAnsi="宋体"/>
          <w:kern w:val="2"/>
          <w:lang w:eastAsia="zh-CN"/>
        </w:rPr>
      </w:pPr>
      <w:r>
        <w:rPr>
          <w:rFonts w:ascii="宋体" w:eastAsia="宋体" w:hAnsi="宋体" w:hint="eastAsia"/>
          <w:kern w:val="2"/>
          <w:lang w:eastAsia="zh-CN"/>
        </w:rPr>
        <w:t>4、内容必须填写真实、清楚，涂改无效，不得转让、买卖。</w:t>
      </w:r>
    </w:p>
    <w:tbl>
      <w:tblPr>
        <w:tblStyle w:val="7"/>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59"/>
        <w:gridCol w:w="426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58" w:type="dxa"/>
          </w:tcPr>
          <w:p>
            <w:pPr>
              <w:jc w:val="center"/>
              <w:rPr>
                <w:sz w:val="20"/>
                <w:szCs w:val="20"/>
                <w:lang w:eastAsia="zh-CN"/>
              </w:rPr>
            </w:pPr>
            <w:r>
              <w:rPr>
                <w:rFonts w:hint="eastAsia"/>
                <w:sz w:val="20"/>
                <w:szCs w:val="20"/>
                <w:lang w:eastAsia="zh-CN"/>
              </w:rPr>
              <w:t>证件扫描件正面</w:t>
            </w:r>
          </w:p>
          <w:p>
            <w:pPr>
              <w:spacing w:line="360" w:lineRule="auto"/>
              <w:rPr>
                <w:sz w:val="20"/>
                <w:szCs w:val="20"/>
                <w:lang w:eastAsia="zh-CN"/>
              </w:rPr>
            </w:pPr>
          </w:p>
        </w:tc>
        <w:tc>
          <w:tcPr>
            <w:tcW w:w="4262" w:type="dxa"/>
          </w:tcPr>
          <w:p>
            <w:pPr>
              <w:jc w:val="center"/>
              <w:rPr>
                <w:sz w:val="20"/>
                <w:szCs w:val="20"/>
                <w:lang w:eastAsia="zh-CN"/>
              </w:rPr>
            </w:pPr>
            <w:r>
              <w:rPr>
                <w:rFonts w:hint="eastAsia"/>
                <w:sz w:val="20"/>
                <w:szCs w:val="20"/>
                <w:lang w:eastAsia="zh-CN"/>
              </w:rPr>
              <w:t>证件扫描件反面</w:t>
            </w:r>
          </w:p>
          <w:p>
            <w:pPr>
              <w:spacing w:line="360" w:lineRule="auto"/>
              <w:rPr>
                <w:sz w:val="20"/>
                <w:szCs w:val="20"/>
                <w:lang w:eastAsia="zh-CN"/>
              </w:rPr>
            </w:pPr>
          </w:p>
        </w:tc>
      </w:tr>
    </w:tbl>
    <w:p>
      <w:pPr>
        <w:widowControl/>
        <w:spacing w:line="360" w:lineRule="auto"/>
        <w:jc w:val="left"/>
        <w:rPr>
          <w:rFonts w:eastAsia="宋体"/>
          <w:b/>
          <w:bCs/>
          <w:lang w:eastAsia="zh-CN"/>
        </w:rPr>
      </w:pPr>
    </w:p>
    <w:p>
      <w:pPr>
        <w:keepNext/>
        <w:keepLines/>
        <w:widowControl/>
        <w:spacing w:before="120" w:after="120" w:line="360" w:lineRule="auto"/>
        <w:jc w:val="center"/>
        <w:outlineLvl w:val="2"/>
        <w:rPr>
          <w:rFonts w:ascii="黑体" w:eastAsia="黑体"/>
          <w:bCs/>
          <w:szCs w:val="32"/>
          <w:lang w:eastAsia="zh-CN"/>
        </w:rPr>
      </w:pPr>
      <w:r>
        <w:rPr>
          <w:rFonts w:ascii="黑体" w:eastAsia="黑体" w:hint="eastAsia"/>
          <w:bCs/>
          <w:szCs w:val="32"/>
          <w:lang w:eastAsia="zh-CN"/>
        </w:rPr>
        <w:t>六、投标文件签署授权委托书</w:t>
      </w:r>
    </w:p>
    <w:p>
      <w:pPr>
        <w:widowControl/>
        <w:spacing w:line="360" w:lineRule="auto"/>
        <w:ind w:firstLine="480" w:firstLineChars="200"/>
        <w:jc w:val="left"/>
        <w:rPr>
          <w:rFonts w:eastAsia="宋体"/>
          <w:szCs w:val="21"/>
          <w:lang w:eastAsia="zh-CN"/>
        </w:rPr>
      </w:pPr>
      <w:r>
        <w:rPr>
          <w:rFonts w:eastAsia="宋体" w:hint="eastAsia"/>
          <w:szCs w:val="21"/>
          <w:lang w:eastAsia="zh-CN"/>
        </w:rPr>
        <w:t>本授权委托书声明：我</w:t>
      </w:r>
      <w:r>
        <w:rPr>
          <w:rFonts w:eastAsia="宋体" w:hint="eastAsia"/>
          <w:szCs w:val="21"/>
          <w:u w:val="single"/>
          <w:lang w:eastAsia="zh-CN"/>
        </w:rPr>
        <w:t xml:space="preserve">           </w:t>
      </w:r>
      <w:r>
        <w:rPr>
          <w:rFonts w:eastAsia="宋体" w:hint="eastAsia"/>
          <w:szCs w:val="21"/>
          <w:lang w:eastAsia="zh-CN"/>
        </w:rPr>
        <w:t>（姓名）系</w:t>
      </w:r>
      <w:r>
        <w:rPr>
          <w:rFonts w:eastAsia="宋体" w:hint="eastAsia"/>
          <w:szCs w:val="21"/>
          <w:u w:val="single"/>
          <w:lang w:eastAsia="zh-CN"/>
        </w:rPr>
        <w:t xml:space="preserve">             </w:t>
      </w:r>
      <w:r>
        <w:rPr>
          <w:rFonts w:eastAsia="宋体" w:hint="eastAsia"/>
          <w:szCs w:val="21"/>
          <w:lang w:eastAsia="zh-CN"/>
        </w:rPr>
        <w:t>（投标人名称）的法定代表人（负责人），现授权委托</w:t>
      </w:r>
      <w:r>
        <w:rPr>
          <w:rFonts w:eastAsia="宋体" w:hint="eastAsia"/>
          <w:szCs w:val="21"/>
          <w:u w:val="single"/>
          <w:lang w:eastAsia="zh-CN"/>
        </w:rPr>
        <w:t xml:space="preserve">            </w:t>
      </w:r>
      <w:r>
        <w:rPr>
          <w:rFonts w:eastAsia="宋体" w:hint="eastAsia"/>
          <w:szCs w:val="21"/>
          <w:lang w:eastAsia="zh-CN"/>
        </w:rPr>
        <w:t>（姓名）为我单位签署本项目已递交的投标文件的法定代表人（负责人）的授权委托代理人，代理人全权代表我所签署的本项目已递交的投标文件内容我均承认。</w:t>
      </w:r>
    </w:p>
    <w:p>
      <w:pPr>
        <w:widowControl/>
        <w:spacing w:line="360" w:lineRule="auto"/>
        <w:ind w:firstLine="420"/>
        <w:jc w:val="left"/>
        <w:rPr>
          <w:rFonts w:eastAsia="宋体"/>
          <w:szCs w:val="21"/>
          <w:lang w:eastAsia="zh-CN"/>
        </w:rPr>
      </w:pPr>
      <w:r>
        <w:rPr>
          <w:rFonts w:eastAsia="宋体" w:hint="eastAsia"/>
          <w:szCs w:val="21"/>
          <w:lang w:eastAsia="zh-CN"/>
        </w:rPr>
        <w:t>代理人无转委托权，特此委托。</w:t>
      </w:r>
    </w:p>
    <w:p>
      <w:pPr>
        <w:widowControl/>
        <w:spacing w:line="360" w:lineRule="auto"/>
        <w:ind w:firstLine="420"/>
        <w:jc w:val="left"/>
        <w:rPr>
          <w:rFonts w:eastAsia="宋体"/>
          <w:szCs w:val="21"/>
          <w:lang w:eastAsia="zh-CN"/>
        </w:rPr>
      </w:pPr>
    </w:p>
    <w:p>
      <w:pPr>
        <w:widowControl/>
        <w:spacing w:line="360" w:lineRule="auto"/>
        <w:ind w:left="617" w:leftChars="257"/>
        <w:jc w:val="left"/>
        <w:rPr>
          <w:rFonts w:eastAsia="宋体"/>
          <w:szCs w:val="21"/>
          <w:u w:val="single"/>
          <w:lang w:eastAsia="zh-CN"/>
        </w:rPr>
      </w:pPr>
      <w:r>
        <w:rPr>
          <w:rFonts w:eastAsia="宋体" w:hint="eastAsia"/>
          <w:szCs w:val="21"/>
          <w:lang w:eastAsia="zh-CN"/>
        </w:rPr>
        <w:t>代理人：</w:t>
      </w:r>
      <w:r>
        <w:rPr>
          <w:rFonts w:eastAsia="宋体" w:hint="eastAsia"/>
          <w:szCs w:val="21"/>
          <w:u w:val="single"/>
          <w:lang w:eastAsia="zh-CN"/>
        </w:rPr>
        <w:t xml:space="preserve">             </w:t>
      </w:r>
    </w:p>
    <w:p>
      <w:pPr>
        <w:widowControl/>
        <w:spacing w:line="360" w:lineRule="auto"/>
        <w:ind w:left="617" w:leftChars="257"/>
        <w:jc w:val="left"/>
        <w:rPr>
          <w:rFonts w:eastAsia="宋体"/>
          <w:szCs w:val="21"/>
          <w:u w:val="single"/>
          <w:lang w:eastAsia="zh-CN"/>
        </w:rPr>
      </w:pPr>
      <w:r>
        <w:rPr>
          <w:rFonts w:eastAsia="宋体" w:hint="eastAsia"/>
          <w:szCs w:val="21"/>
          <w:lang w:eastAsia="zh-CN"/>
        </w:rPr>
        <w:t>联系电话：</w:t>
      </w:r>
      <w:r>
        <w:rPr>
          <w:rFonts w:eastAsia="宋体" w:hint="eastAsia"/>
          <w:szCs w:val="21"/>
          <w:u w:val="single"/>
          <w:lang w:eastAsia="zh-CN"/>
        </w:rPr>
        <w:t xml:space="preserve">            </w:t>
      </w:r>
      <w:r>
        <w:rPr>
          <w:rFonts w:eastAsia="宋体" w:hint="eastAsia"/>
          <w:szCs w:val="21"/>
          <w:lang w:eastAsia="zh-CN"/>
        </w:rPr>
        <w:t xml:space="preserve">  手机：</w:t>
      </w:r>
      <w:r>
        <w:rPr>
          <w:rFonts w:eastAsia="宋体" w:hint="eastAsia"/>
          <w:szCs w:val="21"/>
          <w:u w:val="single"/>
          <w:lang w:eastAsia="zh-CN"/>
        </w:rPr>
        <w:t xml:space="preserve">                   </w:t>
      </w:r>
    </w:p>
    <w:p>
      <w:pPr>
        <w:widowControl w:val="0"/>
        <w:spacing w:line="360" w:lineRule="auto"/>
        <w:ind w:firstLine="480" w:firstLineChars="200"/>
        <w:jc w:val="both"/>
        <w:rPr>
          <w:rFonts w:ascii="宋体" w:eastAsia="宋体" w:hAnsi="宋体" w:cs="宋体"/>
          <w:kern w:val="2"/>
          <w:lang w:eastAsia="zh-CN"/>
        </w:rPr>
      </w:pPr>
      <w:r>
        <w:rPr>
          <w:rFonts w:ascii="Calibri" w:eastAsia="宋体" w:hAnsi="Calibri" w:cstheme="minorBidi" w:hint="eastAsia"/>
          <w:kern w:val="2"/>
          <w:lang w:eastAsia="zh-CN"/>
        </w:rPr>
        <w:t>电子邮箱：</w:t>
      </w:r>
      <w:r>
        <w:rPr>
          <w:rFonts w:eastAsia="宋体" w:hint="eastAsia"/>
          <w:szCs w:val="21"/>
          <w:u w:val="single"/>
          <w:lang w:eastAsia="zh-CN"/>
        </w:rPr>
        <w:t xml:space="preserve">                        </w:t>
      </w:r>
    </w:p>
    <w:p>
      <w:pPr>
        <w:widowControl/>
        <w:spacing w:line="360" w:lineRule="auto"/>
        <w:ind w:firstLine="480" w:firstLineChars="200"/>
        <w:jc w:val="left"/>
        <w:rPr>
          <w:rFonts w:eastAsia="宋体"/>
          <w:szCs w:val="21"/>
          <w:u w:val="single"/>
          <w:lang w:eastAsia="zh-CN"/>
        </w:rPr>
      </w:pPr>
      <w:r>
        <w:rPr>
          <w:rFonts w:eastAsia="宋体" w:hint="eastAsia"/>
          <w:szCs w:val="21"/>
          <w:lang w:eastAsia="zh-CN"/>
        </w:rPr>
        <w:t>身份证号码：</w:t>
      </w:r>
      <w:r>
        <w:rPr>
          <w:rFonts w:eastAsia="宋体" w:hint="eastAsia"/>
          <w:szCs w:val="21"/>
          <w:u w:val="single"/>
          <w:lang w:eastAsia="zh-CN"/>
        </w:rPr>
        <w:t xml:space="preserve">                        </w:t>
      </w:r>
      <w:r>
        <w:rPr>
          <w:rFonts w:eastAsia="宋体" w:hint="eastAsia"/>
          <w:szCs w:val="21"/>
          <w:lang w:eastAsia="zh-CN"/>
        </w:rPr>
        <w:t>职务：</w:t>
      </w:r>
      <w:r>
        <w:rPr>
          <w:rFonts w:eastAsia="宋体" w:hint="eastAsia"/>
          <w:szCs w:val="21"/>
          <w:u w:val="single"/>
          <w:lang w:eastAsia="zh-CN"/>
        </w:rPr>
        <w:t xml:space="preserve">       </w:t>
      </w:r>
    </w:p>
    <w:p>
      <w:pPr>
        <w:widowControl/>
        <w:spacing w:line="360" w:lineRule="auto"/>
        <w:ind w:left="617" w:leftChars="257"/>
        <w:jc w:val="left"/>
        <w:rPr>
          <w:rFonts w:eastAsia="宋体"/>
          <w:szCs w:val="21"/>
          <w:lang w:eastAsia="zh-CN"/>
        </w:rPr>
      </w:pPr>
      <w:r>
        <w:rPr>
          <w:rFonts w:eastAsia="宋体" w:hint="eastAsia"/>
          <w:szCs w:val="21"/>
          <w:lang w:eastAsia="zh-CN"/>
        </w:rPr>
        <w:t>授权委托日期：</w:t>
      </w:r>
      <w:r>
        <w:rPr>
          <w:rFonts w:eastAsia="宋体" w:hint="eastAsia"/>
          <w:szCs w:val="21"/>
          <w:u w:val="single"/>
          <w:lang w:eastAsia="zh-CN"/>
        </w:rPr>
        <w:t xml:space="preserve">         </w:t>
      </w:r>
      <w:r>
        <w:rPr>
          <w:rFonts w:eastAsia="宋体" w:hint="eastAsia"/>
          <w:szCs w:val="21"/>
          <w:lang w:eastAsia="zh-CN"/>
        </w:rPr>
        <w:t>年</w:t>
      </w:r>
      <w:r>
        <w:rPr>
          <w:rFonts w:eastAsia="宋体" w:hint="eastAsia"/>
          <w:szCs w:val="21"/>
          <w:u w:val="single"/>
          <w:lang w:eastAsia="zh-CN"/>
        </w:rPr>
        <w:t xml:space="preserve">     </w:t>
      </w:r>
      <w:r>
        <w:rPr>
          <w:rFonts w:eastAsia="宋体" w:hint="eastAsia"/>
          <w:szCs w:val="21"/>
          <w:lang w:eastAsia="zh-CN"/>
        </w:rPr>
        <w:t xml:space="preserve">月 </w:t>
      </w:r>
      <w:r>
        <w:rPr>
          <w:rFonts w:eastAsia="宋体" w:hint="eastAsia"/>
          <w:szCs w:val="21"/>
          <w:u w:val="single"/>
          <w:lang w:eastAsia="zh-CN"/>
        </w:rPr>
        <w:t xml:space="preserve">      </w:t>
      </w:r>
      <w:r>
        <w:rPr>
          <w:rFonts w:eastAsia="宋体" w:hint="eastAsia"/>
          <w:szCs w:val="21"/>
          <w:lang w:eastAsia="zh-CN"/>
        </w:rPr>
        <w:t>日</w:t>
      </w:r>
    </w:p>
    <w:p>
      <w:pPr>
        <w:widowControl/>
        <w:spacing w:line="360" w:lineRule="auto"/>
        <w:jc w:val="left"/>
        <w:rPr>
          <w:rFonts w:eastAsia="宋体"/>
          <w:lang w:eastAsia="zh-CN"/>
        </w:rPr>
      </w:pPr>
    </w:p>
    <w:p>
      <w:pPr>
        <w:widowControl/>
        <w:spacing w:line="360" w:lineRule="auto"/>
        <w:ind w:firstLine="480" w:firstLineChars="200"/>
        <w:jc w:val="left"/>
        <w:rPr>
          <w:rFonts w:eastAsia="宋体"/>
          <w:b/>
          <w:color w:val="FF0000"/>
          <w:szCs w:val="21"/>
          <w:lang w:eastAsia="zh-CN"/>
        </w:rPr>
      </w:pPr>
      <w:r>
        <w:rPr>
          <w:rFonts w:eastAsia="宋体" w:hint="eastAsia"/>
          <w:b/>
          <w:color w:val="FF0000"/>
          <w:szCs w:val="21"/>
          <w:lang w:eastAsia="zh-CN"/>
        </w:rPr>
        <w:t>附：请提供代理人身份证扫描件（正反两面）；港澳台居民可提供来往通行证扫描件；非中国国籍管辖范围人员，可提供公安部门认可的身份证明材料扫描件。</w:t>
      </w:r>
    </w:p>
    <w:tbl>
      <w:tblPr>
        <w:tblStyle w:val="7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59"/>
        <w:gridCol w:w="426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58" w:type="dxa"/>
          </w:tcPr>
          <w:p>
            <w:pPr>
              <w:jc w:val="center"/>
              <w:rPr>
                <w:sz w:val="20"/>
                <w:szCs w:val="20"/>
                <w:lang w:eastAsia="zh-CN"/>
              </w:rPr>
            </w:pPr>
            <w:r>
              <w:rPr>
                <w:rFonts w:hint="eastAsia"/>
                <w:sz w:val="20"/>
                <w:szCs w:val="20"/>
                <w:lang w:eastAsia="zh-CN"/>
              </w:rPr>
              <w:t>证件扫描件正面</w:t>
            </w:r>
          </w:p>
        </w:tc>
        <w:tc>
          <w:tcPr>
            <w:tcW w:w="4262" w:type="dxa"/>
          </w:tcPr>
          <w:p>
            <w:pPr>
              <w:jc w:val="center"/>
              <w:rPr>
                <w:sz w:val="20"/>
                <w:szCs w:val="20"/>
                <w:lang w:eastAsia="zh-CN"/>
              </w:rPr>
            </w:pPr>
            <w:r>
              <w:rPr>
                <w:rFonts w:hint="eastAsia"/>
                <w:sz w:val="20"/>
                <w:szCs w:val="20"/>
                <w:lang w:eastAsia="zh-CN"/>
              </w:rPr>
              <w:t>证件扫描件反面</w:t>
            </w:r>
          </w:p>
          <w:p>
            <w:pPr>
              <w:spacing w:line="360" w:lineRule="auto"/>
              <w:rPr>
                <w:sz w:val="20"/>
                <w:szCs w:val="20"/>
                <w:lang w:eastAsia="zh-CN"/>
              </w:rPr>
            </w:pPr>
          </w:p>
        </w:tc>
      </w:tr>
    </w:tbl>
    <w:p>
      <w:pPr>
        <w:widowControl/>
        <w:jc w:val="left"/>
        <w:rPr>
          <w:rFonts w:eastAsia="宋体"/>
          <w:lang w:eastAsia="zh-CN"/>
        </w:rPr>
      </w:pPr>
    </w:p>
    <w:p>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七、</w:t>
      </w:r>
      <w:bookmarkStart w:id="36" w:name="_Hlk72092634"/>
      <w:r>
        <w:rPr>
          <w:rFonts w:ascii="黑体" w:eastAsia="黑体" w:hAnsi="宋体" w:hint="eastAsia"/>
          <w:bCs/>
          <w:lang w:eastAsia="zh-CN"/>
        </w:rPr>
        <w:t>实质性条款响应情况表</w:t>
      </w:r>
      <w:bookmarkEnd w:id="36"/>
    </w:p>
    <w:tbl>
      <w:tblPr>
        <w:tblStyle w:val="TableNormal"/>
        <w:tblpPr w:leftFromText="180" w:rightFromText="180" w:vertAnchor="text" w:tblpY="1"/>
        <w:tblOverlap w:val="nev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1"/>
        <w:gridCol w:w="2763"/>
        <w:gridCol w:w="1647"/>
        <w:gridCol w:w="1910"/>
        <w:gridCol w:w="147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eastAsia="宋体" w:hAnsi="宋体"/>
                <w:sz w:val="21"/>
                <w:szCs w:val="21"/>
                <w:lang w:eastAsia="zh-CN"/>
              </w:rPr>
            </w:pPr>
            <w:bookmarkStart w:id="37" w:name="_Hlk72092651"/>
            <w:r>
              <w:rPr>
                <w:rFonts w:ascii="宋体" w:eastAsia="宋体" w:hAnsi="宋体" w:hint="eastAsia"/>
                <w:sz w:val="21"/>
                <w:szCs w:val="21"/>
                <w:lang w:eastAsia="zh-CN"/>
              </w:rPr>
              <w:t>序号</w:t>
            </w:r>
          </w:p>
        </w:tc>
        <w:tc>
          <w:tcPr>
            <w:tcW w:w="26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eastAsia="宋体" w:hAnsi="宋体"/>
                <w:sz w:val="21"/>
                <w:szCs w:val="21"/>
                <w:highlight w:val="yellow"/>
                <w:lang w:eastAsia="zh-CN"/>
              </w:rPr>
            </w:pPr>
            <w:r>
              <w:rPr>
                <w:rFonts w:ascii="宋体" w:eastAsia="宋体" w:hAnsi="宋体" w:hint="eastAsia"/>
                <w:sz w:val="21"/>
                <w:szCs w:val="21"/>
                <w:lang w:eastAsia="zh-CN"/>
              </w:rPr>
              <w:t>实质性条款具体内容</w:t>
            </w:r>
          </w:p>
        </w:tc>
        <w:tc>
          <w:tcPr>
            <w:tcW w:w="1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eastAsia="宋体" w:hAnsi="宋体"/>
                <w:sz w:val="21"/>
                <w:szCs w:val="21"/>
                <w:lang w:eastAsia="zh-CN"/>
              </w:rPr>
            </w:pPr>
            <w:r>
              <w:rPr>
                <w:rFonts w:eastAsia="宋体" w:hint="eastAsia"/>
                <w:kern w:val="2"/>
                <w:sz w:val="21"/>
                <w:lang w:eastAsia="zh-CN"/>
              </w:rPr>
              <w:t>投标响应</w:t>
            </w:r>
          </w:p>
        </w:tc>
        <w:tc>
          <w:tcPr>
            <w:tcW w:w="1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eastAsia="宋体" w:hAnsi="宋体"/>
                <w:sz w:val="21"/>
                <w:szCs w:val="21"/>
                <w:lang w:eastAsia="zh-CN"/>
              </w:rPr>
            </w:pPr>
            <w:r>
              <w:rPr>
                <w:rFonts w:eastAsia="宋体" w:hint="eastAsia"/>
                <w:kern w:val="2"/>
                <w:sz w:val="21"/>
                <w:lang w:eastAsia="zh-CN"/>
              </w:rPr>
              <w:t>偏离情况</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eastAsia="宋体" w:hAnsi="宋体"/>
                <w:sz w:val="21"/>
                <w:szCs w:val="21"/>
                <w:lang w:eastAsia="zh-CN"/>
              </w:rPr>
            </w:pPr>
            <w:r>
              <w:rPr>
                <w:rFonts w:eastAsia="宋体" w:hint="eastAsia"/>
                <w:kern w:val="2"/>
                <w:sz w:val="21"/>
                <w:lang w:eastAsia="zh-CN"/>
              </w:rPr>
              <w:t>说明</w:t>
            </w:r>
          </w:p>
        </w:tc>
      </w:tr>
      <w:bookmarkEnd w:id="37"/>
      <w:tr>
        <w:tblPrEx>
          <w:tblW w:w="5000" w:type="pct"/>
          <w:tblInd w:w="0" w:type="dxa"/>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0"/>
              <w:rPr>
                <w:rFonts w:ascii="宋体" w:eastAsia="宋体" w:hAnsi="宋体"/>
                <w:b/>
                <w:bCs/>
                <w:szCs w:val="21"/>
                <w:lang w:eastAsia="zh-CN"/>
              </w:rPr>
            </w:pPr>
            <w:r>
              <w:rPr>
                <w:rFonts w:ascii="宋体" w:eastAsia="宋体" w:hAnsi="宋体" w:hint="eastAsia"/>
                <w:b/>
                <w:bCs/>
                <w:szCs w:val="21"/>
                <w:lang w:eastAsia="zh-CN"/>
              </w:rPr>
              <w:t>1</w:t>
            </w:r>
          </w:p>
        </w:tc>
        <w:tc>
          <w:tcPr>
            <w:tcW w:w="2664" w:type="dxa"/>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hint="eastAsia"/>
                <w:bCs/>
                <w:color w:val="FF0000"/>
                <w:szCs w:val="21"/>
                <w:lang w:eastAsia="zh-CN"/>
              </w:rPr>
              <w:t>★（五）项目服务配备人员要求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hint="eastAsia"/>
                <w:b/>
                <w:bCs/>
                <w:color w:val="FF0000"/>
                <w:kern w:val="2"/>
                <w:szCs w:val="22"/>
                <w:lang w:eastAsia="zh-CN"/>
              </w:rPr>
            </w:pPr>
            <w:r>
              <w:rPr>
                <w:rFonts w:ascii="宋体" w:eastAsia="宋体" w:hAnsi="宋体" w:cs="宋体" w:hint="eastAsia"/>
                <w:color w:val="FF0000"/>
                <w:kern w:val="2"/>
                <w:szCs w:val="22"/>
                <w:lang w:eastAsia="zh-CN"/>
              </w:rPr>
              <w:t>为保证项目服务质量，投标人需承诺，中标后配备的项目服务人员满足以下要求：</w:t>
            </w:r>
            <w:r>
              <w:rPr>
                <w:rFonts w:ascii="宋体" w:eastAsia="宋体" w:hAnsi="宋体" w:cs="宋体" w:hint="eastAsia"/>
                <w:color w:val="FF0000"/>
                <w:kern w:val="2"/>
                <w:szCs w:val="22"/>
                <w:lang w:eastAsia="zh-CN"/>
              </w:rPr>
              <w:t>（投标时需提供</w:t>
            </w:r>
            <w:r>
              <w:rPr>
                <w:rFonts w:ascii="宋体" w:eastAsia="宋体" w:hAnsi="宋体" w:cs="宋体" w:hint="eastAsia"/>
                <w:color w:val="FF0000"/>
                <w:kern w:val="2"/>
                <w:szCs w:val="22"/>
                <w:lang w:eastAsia="zh-CN"/>
              </w:rPr>
              <w:t>《</w:t>
            </w:r>
            <w:r>
              <w:rPr>
                <w:rFonts w:ascii="宋体" w:eastAsia="宋体" w:hAnsi="宋体" w:cs="宋体" w:hint="eastAsia"/>
                <w:color w:val="FF0000"/>
                <w:kern w:val="2"/>
                <w:szCs w:val="22"/>
                <w:lang w:eastAsia="zh-CN"/>
              </w:rPr>
              <w:t>承诺函</w:t>
            </w:r>
            <w:r>
              <w:rPr>
                <w:rFonts w:ascii="宋体" w:eastAsia="宋体" w:hAnsi="宋体" w:cs="宋体" w:hint="eastAsia"/>
                <w:color w:val="FF0000"/>
                <w:kern w:val="2"/>
                <w:szCs w:val="22"/>
                <w:lang w:eastAsia="zh-CN"/>
              </w:rPr>
              <w:t>》，具体内容见下文附件</w:t>
            </w:r>
            <w:r>
              <w:rPr>
                <w:rFonts w:ascii="宋体" w:eastAsia="宋体" w:hAnsi="宋体" w:cs="宋体" w:hint="eastAsia"/>
                <w:color w:val="FF0000"/>
                <w:kern w:val="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FF0000"/>
                <w:kern w:val="2"/>
                <w:szCs w:val="22"/>
                <w:lang w:eastAsia="zh-CN"/>
              </w:rPr>
            </w:pPr>
            <w:r>
              <w:rPr>
                <w:rFonts w:ascii="宋体" w:eastAsia="宋体" w:hAnsi="宋体" w:cs="宋体" w:hint="eastAsia"/>
                <w:color w:val="FF0000"/>
                <w:kern w:val="2"/>
                <w:szCs w:val="22"/>
                <w:lang w:eastAsia="zh-CN"/>
              </w:rPr>
              <w:t>1、配备的服务人员数量不少于4人</w:t>
            </w:r>
            <w:r>
              <w:rPr>
                <w:rFonts w:ascii="宋体" w:eastAsia="宋体" w:hAnsi="宋体" w:cs="宋体" w:hint="eastAsia"/>
                <w:color w:val="FF0000"/>
                <w:kern w:val="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2、配备服务人员学历、职称、工作经验等要求：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（1）具有良好的政治素质和道德品质，践行社会主义核心价值观，无违法犯罪记录；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（2）具有从事医疗相关工作或机关事业单位工作经验</w:t>
            </w:r>
            <w:r>
              <w:rPr>
                <w:rFonts w:ascii="宋体" w:eastAsia="宋体" w:hAnsi="宋体" w:cs="宋体" w:hint="eastAsia"/>
                <w:color w:val="FF0000"/>
                <w:kern w:val="2"/>
                <w:szCs w:val="22"/>
                <w:lang w:eastAsia="zh-CN"/>
              </w:rPr>
              <w:t>优先</w:t>
            </w:r>
            <w:r>
              <w:rPr>
                <w:rFonts w:ascii="宋体" w:eastAsia="宋体" w:hAnsi="宋体" w:cs="宋体" w:hint="eastAsia"/>
                <w:color w:val="FF0000"/>
                <w:kern w:val="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（3）具有大专及以上学历；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（4）专业要求：医学类专业优先；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（5）承诺身体健康，能按采购人要求履行相应工作职责；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（6）具有良好的沟通组织协调能力；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（7）具有较强的服务意识和工作责任感；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bCs/>
                <w:color w:val="FF0000"/>
                <w:szCs w:val="21"/>
                <w:lang w:eastAsia="zh-CN"/>
              </w:rPr>
            </w:pPr>
            <w:r>
              <w:rPr>
                <w:rFonts w:ascii="宋体" w:eastAsia="宋体" w:hAnsi="宋体" w:cs="宋体" w:hint="eastAsia"/>
                <w:color w:val="FF0000"/>
                <w:kern w:val="2"/>
                <w:szCs w:val="22"/>
                <w:lang w:eastAsia="zh-CN"/>
              </w:rPr>
              <w:t>（8）承诺满足采购单位规定的其他符合从事医疗保障服务工作的资质和条件</w:t>
            </w:r>
            <w:r>
              <w:rPr>
                <w:rFonts w:ascii="宋体" w:eastAsia="宋体" w:hAnsi="宋体" w:cs="宋体" w:hint="eastAsia"/>
                <w:color w:val="FF0000"/>
                <w:kern w:val="2"/>
                <w:szCs w:val="22"/>
                <w:lang w:eastAsia="zh-CN"/>
              </w:rPr>
              <w:t>。</w:t>
            </w:r>
          </w:p>
        </w:tc>
        <w:tc>
          <w:tcPr>
            <w:tcW w:w="1588" w:type="dxa"/>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eastAsia="宋体" w:hAnsi="宋体"/>
                <w:sz w:val="21"/>
                <w:szCs w:val="21"/>
                <w:lang w:eastAsia="zh-CN"/>
              </w:rPr>
            </w:pPr>
          </w:p>
        </w:tc>
        <w:tc>
          <w:tcPr>
            <w:tcW w:w="1842" w:type="dxa"/>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eastAsia="宋体" w:hAnsi="宋体"/>
                <w:sz w:val="21"/>
                <w:szCs w:val="21"/>
                <w:lang w:eastAsia="zh-CN"/>
              </w:rPr>
            </w:pPr>
          </w:p>
        </w:tc>
        <w:tc>
          <w:tcPr>
            <w:tcW w:w="1418" w:type="dxa"/>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eastAsia="宋体" w:hAnsi="宋体"/>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593"/>
        </w:trPr>
        <w:tc>
          <w:tcPr>
            <w:tcW w:w="705" w:type="dxa"/>
            <w:vAlign w:val="center"/>
          </w:tcPr>
          <w:p>
            <w:pPr>
              <w:keepNext w:val="0"/>
              <w:keepLines w:val="0"/>
              <w:pageBreakBefore w:val="0"/>
              <w:widowControl/>
              <w:kinsoku/>
              <w:wordWrap/>
              <w:overflowPunct/>
              <w:topLinePunct w:val="0"/>
              <w:autoSpaceDE/>
              <w:autoSpaceDN/>
              <w:bidi w:val="0"/>
              <w:spacing w:line="240" w:lineRule="auto"/>
              <w:jc w:val="center"/>
              <w:textAlignment w:val="auto"/>
              <w:outlineLvl w:val="0"/>
              <w:rPr>
                <w:rFonts w:ascii="宋体" w:eastAsia="宋体" w:hAnsi="宋体" w:hint="eastAsia"/>
                <w:b/>
                <w:bCs/>
                <w:szCs w:val="21"/>
                <w:lang w:eastAsia="zh-CN"/>
              </w:rPr>
            </w:pPr>
          </w:p>
        </w:tc>
        <w:tc>
          <w:tcPr>
            <w:tcW w:w="2664" w:type="dxa"/>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宋体" w:eastAsia="宋体" w:hAnsi="宋体" w:hint="eastAsia"/>
                <w:bCs/>
                <w:color w:val="FF0000"/>
                <w:szCs w:val="21"/>
                <w:lang w:eastAsia="zh-CN"/>
              </w:rPr>
            </w:pPr>
            <w:r>
              <w:rPr>
                <w:rFonts w:ascii="宋体" w:eastAsia="宋体" w:hAnsi="宋体" w:cs="宋体" w:hint="eastAsia"/>
                <w:b/>
                <w:color w:val="FF0000"/>
                <w:sz w:val="21"/>
                <w:szCs w:val="21"/>
                <w:lang w:eastAsia="zh-CN"/>
              </w:rPr>
              <w:t>★</w:t>
            </w:r>
            <w:r>
              <w:rPr>
                <w:rFonts w:ascii="宋体" w:eastAsia="宋体" w:hAnsi="宋体" w:cs="宋体" w:hint="eastAsia"/>
                <w:b/>
                <w:color w:val="FF0000"/>
                <w:kern w:val="2"/>
                <w:lang w:eastAsia="zh-CN"/>
              </w:rPr>
              <w:t>服务期限：</w:t>
            </w:r>
            <w:r>
              <w:rPr>
                <w:rFonts w:ascii="宋体" w:eastAsia="宋体" w:hAnsi="宋体" w:cs="宋体" w:hint="eastAsia"/>
                <w:bCs/>
                <w:color w:val="FF0000"/>
                <w:kern w:val="2"/>
                <w:lang w:eastAsia="zh-CN"/>
              </w:rPr>
              <w:t>1年，自合同签订（或约定）之日起算（如果出现预算等政策变化可以调整）。</w:t>
            </w:r>
          </w:p>
        </w:tc>
        <w:tc>
          <w:tcPr>
            <w:tcW w:w="1588" w:type="dxa"/>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eastAsia="宋体" w:hAnsi="宋体"/>
                <w:sz w:val="21"/>
                <w:szCs w:val="21"/>
                <w:lang w:eastAsia="zh-CN"/>
              </w:rPr>
            </w:pPr>
          </w:p>
        </w:tc>
        <w:tc>
          <w:tcPr>
            <w:tcW w:w="1842" w:type="dxa"/>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eastAsia="宋体" w:hAnsi="宋体"/>
                <w:sz w:val="21"/>
                <w:szCs w:val="21"/>
                <w:lang w:eastAsia="zh-CN"/>
              </w:rPr>
            </w:pPr>
          </w:p>
        </w:tc>
        <w:tc>
          <w:tcPr>
            <w:tcW w:w="1418" w:type="dxa"/>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eastAsia="宋体" w:hAnsi="宋体"/>
                <w:sz w:val="21"/>
                <w:szCs w:val="21"/>
                <w:lang w:eastAsia="zh-CN"/>
              </w:rPr>
            </w:pPr>
          </w:p>
        </w:tc>
      </w:tr>
    </w:tbl>
    <w:p>
      <w:pPr>
        <w:widowControl w:val="0"/>
        <w:jc w:val="both"/>
        <w:rPr>
          <w:rFonts w:eastAsia="宋体"/>
          <w:b/>
          <w:kern w:val="2"/>
          <w:szCs w:val="22"/>
          <w:lang w:eastAsia="zh-CN"/>
        </w:rPr>
      </w:pPr>
      <w:r>
        <w:rPr>
          <w:rFonts w:eastAsia="宋体" w:hint="eastAsia"/>
          <w:b/>
          <w:kern w:val="2"/>
          <w:szCs w:val="22"/>
          <w:lang w:eastAsia="zh-CN"/>
        </w:rPr>
        <w:t>注：1. 上表所列各项均为不可负偏离条款。</w:t>
      </w:r>
    </w:p>
    <w:p>
      <w:pPr>
        <w:widowControl w:val="0"/>
        <w:ind w:firstLine="480" w:firstLineChars="200"/>
        <w:jc w:val="both"/>
        <w:rPr>
          <w:rFonts w:eastAsia="宋体"/>
          <w:b/>
          <w:kern w:val="2"/>
          <w:szCs w:val="22"/>
          <w:lang w:eastAsia="zh-CN"/>
        </w:rPr>
      </w:pPr>
      <w:r>
        <w:rPr>
          <w:rFonts w:eastAsia="宋体" w:hint="eastAsia"/>
          <w:b/>
          <w:kern w:val="2"/>
          <w:szCs w:val="22"/>
          <w:lang w:eastAsia="zh-CN"/>
        </w:rPr>
        <w:t>2.“投标响应”一栏应当详细填写投标人自身响应情况。</w:t>
      </w:r>
    </w:p>
    <w:p>
      <w:pPr>
        <w:widowControl w:val="0"/>
        <w:ind w:firstLine="480" w:firstLineChars="200"/>
        <w:jc w:val="both"/>
        <w:rPr>
          <w:rFonts w:eastAsia="宋体"/>
          <w:b/>
          <w:kern w:val="2"/>
          <w:szCs w:val="22"/>
          <w:lang w:eastAsia="zh-CN"/>
        </w:rPr>
      </w:pPr>
      <w:r>
        <w:rPr>
          <w:rFonts w:eastAsia="宋体" w:hint="eastAsia"/>
          <w:b/>
          <w:kern w:val="2"/>
          <w:szCs w:val="22"/>
          <w:lang w:eastAsia="zh-CN"/>
        </w:rPr>
        <w:t>3</w:t>
      </w:r>
      <w:r>
        <w:rPr>
          <w:rFonts w:eastAsia="宋体"/>
          <w:b/>
          <w:kern w:val="2"/>
          <w:szCs w:val="22"/>
          <w:lang w:eastAsia="zh-CN"/>
        </w:rPr>
        <w:t>.</w:t>
      </w:r>
      <w:r>
        <w:rPr>
          <w:rFonts w:eastAsia="宋体" w:hint="eastAsia"/>
          <w:b/>
          <w:kern w:val="2"/>
          <w:szCs w:val="22"/>
          <w:lang w:eastAsia="zh-CN"/>
        </w:rPr>
        <w:t>“偏离情况”一栏应填写“正偏离”、“负偏离”或“无偏离”，</w:t>
      </w:r>
      <w:r>
        <w:rPr>
          <w:rFonts w:eastAsia="宋体" w:hint="eastAsia"/>
          <w:b/>
          <w:kern w:val="2"/>
          <w:lang w:eastAsia="zh-CN"/>
        </w:rPr>
        <w:t>“正偏离”表示“投标响应优于实质性条款具体内容要求”，“负偏离”表示“投标响应不满足实质性条款具体内容要求”，“无偏离”表示“投标响应与实质性条款具体内容要求一致”。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eastAsia="宋体"/>
          <w:b/>
          <w:kern w:val="2"/>
          <w:lang w:eastAsia="zh-CN"/>
        </w:rPr>
      </w:pPr>
      <w:r>
        <w:rPr>
          <w:rFonts w:eastAsia="宋体"/>
          <w:b/>
          <w:kern w:val="2"/>
          <w:lang w:eastAsia="zh-CN"/>
        </w:rPr>
        <w:t>4.</w:t>
      </w:r>
      <w:r>
        <w:rPr>
          <w:rFonts w:eastAsia="宋体" w:hint="eastAsia"/>
          <w:b/>
          <w:kern w:val="2"/>
          <w:lang w:eastAsia="zh-CN"/>
        </w:rPr>
        <w:t>评审委员会有权对投标响应情况作出判断（作出评审结论）。</w:t>
      </w:r>
    </w:p>
    <w:p>
      <w:pPr>
        <w:widowControl w:val="0"/>
        <w:ind w:firstLine="480" w:firstLineChars="200"/>
        <w:jc w:val="both"/>
        <w:rPr>
          <w:rFonts w:eastAsia="宋体"/>
          <w:kern w:val="2"/>
          <w:sz w:val="21"/>
          <w:lang w:eastAsia="zh-CN"/>
        </w:rPr>
      </w:pPr>
      <w:r>
        <w:rPr>
          <w:rFonts w:eastAsia="宋体"/>
          <w:b/>
          <w:kern w:val="2"/>
          <w:szCs w:val="22"/>
          <w:lang w:eastAsia="zh-CN"/>
        </w:rPr>
        <w:t>5</w:t>
      </w:r>
      <w:r>
        <w:rPr>
          <w:rFonts w:eastAsia="宋体" w:hint="eastAsia"/>
          <w:b/>
          <w:kern w:val="2"/>
          <w:szCs w:val="22"/>
          <w:lang w:eastAsia="zh-CN"/>
        </w:rPr>
        <w:t>.实质性响应条款“投标响应情况”与投标文件其它内容冲突的，以实质性响应条款“投标响应情况”为准。</w:t>
      </w:r>
    </w:p>
    <w:p>
      <w:pPr>
        <w:widowControl w:val="0"/>
        <w:ind w:firstLine="480" w:firstLineChars="200"/>
        <w:jc w:val="both"/>
        <w:rPr>
          <w:rFonts w:eastAsia="宋体"/>
          <w:kern w:val="2"/>
          <w:sz w:val="21"/>
          <w:lang w:eastAsia="zh-CN"/>
        </w:rPr>
      </w:pPr>
      <w:r>
        <w:rPr>
          <w:rFonts w:eastAsia="宋体" w:hint="eastAsia"/>
          <w:b/>
          <w:kern w:val="2"/>
          <w:szCs w:val="22"/>
          <w:lang w:eastAsia="zh-CN"/>
        </w:rPr>
        <w:t>6.以上实质性条款中要求提供证明资料，需如实提供证明材料扫描件，在“说明”一栏中列明证明资料的位置,以便评审；未要求提供证明材料的，投标人可以不提供。</w:t>
      </w:r>
    </w:p>
    <w:p>
      <w:pPr>
        <w:widowControl w:val="0"/>
        <w:jc w:val="both"/>
        <w:rPr>
          <w:rFonts w:ascii="Calibri" w:eastAsia="宋体" w:hAnsi="Calibri"/>
          <w:kern w:val="2"/>
          <w:sz w:val="21"/>
          <w:szCs w:val="22"/>
          <w:lang w:eastAsia="zh-CN"/>
        </w:rPr>
      </w:pPr>
    </w:p>
    <w:p>
      <w:pPr>
        <w:widowControl w:val="0"/>
        <w:spacing w:after="160" w:line="360" w:lineRule="auto"/>
        <w:ind w:left="0" w:firstLine="0" w:leftChars="0" w:firstLineChars="0"/>
        <w:jc w:val="both"/>
        <w:rPr>
          <w:rFonts w:eastAsia="宋体"/>
          <w:color w:val="FF0000"/>
          <w:lang w:eastAsia="zh-CN"/>
        </w:rPr>
      </w:pPr>
    </w:p>
    <w:p>
      <w:pPr>
        <w:widowControl w:val="0"/>
        <w:jc w:val="both"/>
        <w:rPr>
          <w:rFonts w:ascii="Calibri" w:eastAsia="宋体" w:hAnsi="Calibri" w:hint="eastAsia"/>
          <w:color w:val="FF0000"/>
          <w:kern w:val="2"/>
          <w:sz w:val="21"/>
          <w:szCs w:val="22"/>
          <w:lang w:eastAsia="zh-CN"/>
        </w:rPr>
      </w:pPr>
      <w:r>
        <w:rPr>
          <w:rFonts w:ascii="宋体" w:eastAsia="宋体" w:hAnsi="宋体" w:cs="宋体" w:hint="eastAsia"/>
          <w:b/>
          <w:bCs/>
          <w:color w:val="FF0000"/>
          <w:lang w:eastAsia="zh-CN"/>
        </w:rPr>
        <w:t>附件：</w:t>
      </w:r>
    </w:p>
    <w:p>
      <w:pPr>
        <w:widowControl w:val="0"/>
        <w:numPr>
          <w:ilvl w:val="12"/>
          <w:numId w:val="0"/>
        </w:numPr>
        <w:adjustRightInd w:val="0"/>
        <w:ind w:left="0" w:firstLine="0"/>
        <w:jc w:val="center"/>
        <w:textAlignment w:val="baseline"/>
        <w:outlineLvl w:val="1"/>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承诺函</w:t>
      </w:r>
    </w:p>
    <w:p>
      <w:pPr>
        <w:widowControl w:val="0"/>
        <w:jc w:val="both"/>
        <w:rPr>
          <w:rFonts w:ascii="宋体" w:eastAsia="宋体" w:hAnsi="宋体" w:cs="宋体" w:hint="eastAsia"/>
          <w:bCs/>
          <w:color w:val="FF0000"/>
          <w:kern w:val="2"/>
          <w:lang w:eastAsia="zh-CN"/>
        </w:rPr>
      </w:pPr>
      <w:r>
        <w:rPr>
          <w:rFonts w:ascii="宋体" w:eastAsia="宋体" w:hAnsi="宋体" w:cs="宋体" w:hint="eastAsia"/>
          <w:bCs/>
          <w:color w:val="FF0000"/>
          <w:kern w:val="2"/>
          <w:lang w:eastAsia="zh-CN"/>
        </w:rPr>
        <w:t>致：深圳市医疗保障局南山分局</w:t>
      </w:r>
    </w:p>
    <w:p>
      <w:pPr>
        <w:widowControl w:val="0"/>
        <w:ind w:firstLine="480" w:firstLineChars="200"/>
        <w:jc w:val="both"/>
        <w:rPr>
          <w:rFonts w:ascii="宋体" w:eastAsia="宋体" w:hAnsi="宋体" w:cs="宋体" w:hint="eastAsia"/>
          <w:bCs/>
          <w:color w:val="FF0000"/>
          <w:kern w:val="2"/>
          <w:lang w:eastAsia="zh-CN"/>
        </w:rPr>
      </w:pPr>
      <w:r>
        <w:rPr>
          <w:rFonts w:ascii="宋体" w:eastAsia="宋体" w:hAnsi="宋体" w:cs="宋体" w:hint="eastAsia"/>
          <w:bCs/>
          <w:color w:val="FF0000"/>
          <w:kern w:val="2"/>
          <w:lang w:eastAsia="zh-CN"/>
        </w:rPr>
        <w:t>我单位参加深圳市医疗保障局南山分局医疗保障综合管理服务项目，</w:t>
      </w:r>
      <w:r>
        <w:rPr>
          <w:rFonts w:ascii="宋体" w:eastAsia="宋体" w:hAnsi="宋体" w:cs="宋体" w:hint="eastAsia"/>
          <w:bCs/>
          <w:color w:val="FF0000"/>
          <w:kern w:val="2"/>
          <w:lang w:eastAsia="zh-CN"/>
        </w:rPr>
        <w:t>承诺</w:t>
      </w:r>
      <w:r>
        <w:rPr>
          <w:rFonts w:ascii="宋体" w:eastAsia="宋体" w:hAnsi="宋体" w:cs="宋体" w:hint="eastAsia"/>
          <w:color w:val="FF0000"/>
          <w:kern w:val="2"/>
          <w:szCs w:val="22"/>
          <w:lang w:eastAsia="zh-CN"/>
        </w:rPr>
        <w:t>中标后配备的项目服务人员</w:t>
      </w:r>
      <w:r>
        <w:rPr>
          <w:rFonts w:ascii="宋体" w:eastAsia="宋体" w:hAnsi="宋体" w:cs="宋体" w:hint="eastAsia"/>
          <w:color w:val="FF0000"/>
          <w:kern w:val="2"/>
          <w:lang w:eastAsia="zh-CN"/>
        </w:rPr>
        <w:t>满足以下服务条款内容</w:t>
      </w:r>
      <w:r>
        <w:rPr>
          <w:rFonts w:ascii="宋体" w:eastAsia="宋体" w:hAnsi="宋体" w:cs="宋体" w:hint="eastAsia"/>
          <w:bCs/>
          <w:color w:val="FF0000"/>
          <w:kern w:val="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547" w:leftChars="228"/>
        <w:jc w:val="left"/>
        <w:textAlignment w:val="auto"/>
        <w:rPr>
          <w:rFonts w:ascii="宋体" w:eastAsia="宋体" w:hAnsi="宋体" w:cs="宋体" w:hint="eastAsia"/>
          <w:color w:val="FF0000"/>
          <w:kern w:val="2"/>
          <w:szCs w:val="22"/>
          <w:lang w:eastAsia="zh-CN"/>
        </w:rPr>
      </w:pPr>
      <w:r>
        <w:rPr>
          <w:rFonts w:ascii="宋体" w:eastAsia="宋体" w:hAnsi="宋体" w:cs="宋体" w:hint="eastAsia"/>
          <w:color w:val="FF0000"/>
          <w:kern w:val="2"/>
          <w:szCs w:val="22"/>
          <w:lang w:eastAsia="zh-CN"/>
        </w:rPr>
        <w:t>1、配备的服务人员数量不少于4人</w:t>
      </w:r>
      <w:r>
        <w:rPr>
          <w:rFonts w:ascii="宋体" w:eastAsia="宋体" w:hAnsi="宋体" w:cs="宋体" w:hint="eastAsia"/>
          <w:color w:val="FF0000"/>
          <w:kern w:val="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2、配备服务人员学历、职称、工作经验等要求：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（1）具有良好的政治素质和道德品质，践行社会主义核心价值观，无违法犯罪记录；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（2）具有从事医疗相关工作或机关事业单位工作经验</w:t>
      </w:r>
      <w:r>
        <w:rPr>
          <w:rFonts w:ascii="宋体" w:eastAsia="宋体" w:hAnsi="宋体" w:cs="宋体" w:hint="eastAsia"/>
          <w:color w:val="FF0000"/>
          <w:kern w:val="2"/>
          <w:szCs w:val="22"/>
          <w:lang w:eastAsia="zh-CN"/>
        </w:rPr>
        <w:t>优先</w:t>
      </w:r>
      <w:r>
        <w:rPr>
          <w:rFonts w:ascii="宋体" w:eastAsia="宋体" w:hAnsi="宋体" w:cs="宋体" w:hint="eastAsia"/>
          <w:color w:val="FF0000"/>
          <w:kern w:val="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（3）具有大专及以上学历；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（4）专业要求：医学类专业优先；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（5）承诺身体健康，能按采购人要求履行相应工作职责；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（6）具有良好的沟通组织协调能力；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color w:val="FF0000"/>
          <w:kern w:val="2"/>
          <w:szCs w:val="22"/>
          <w:lang w:eastAsia="zh-CN"/>
        </w:rPr>
      </w:pPr>
      <w:r>
        <w:rPr>
          <w:rFonts w:ascii="宋体" w:eastAsia="宋体" w:hAnsi="宋体" w:cs="宋体" w:hint="eastAsia"/>
          <w:color w:val="FF0000"/>
          <w:kern w:val="2"/>
          <w:szCs w:val="22"/>
          <w:lang w:eastAsia="zh-CN"/>
        </w:rPr>
        <w:t>（7）具有较强的服务意识和工作责任感；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eastAsia="宋体" w:hAnsi="宋体" w:cs="宋体" w:hint="eastAsia"/>
          <w:color w:val="FF0000"/>
          <w:lang w:eastAsia="zh-CN"/>
        </w:rPr>
      </w:pPr>
      <w:r>
        <w:rPr>
          <w:rFonts w:ascii="宋体" w:eastAsia="宋体" w:hAnsi="宋体" w:cs="宋体" w:hint="eastAsia"/>
          <w:color w:val="FF0000"/>
          <w:kern w:val="2"/>
          <w:szCs w:val="22"/>
          <w:lang w:eastAsia="zh-CN"/>
        </w:rPr>
        <w:t>（8）承诺满足采购单位规定的其他符合从事医疗保障服务工作的资质和条件</w:t>
      </w:r>
      <w:r>
        <w:rPr>
          <w:rFonts w:ascii="宋体" w:eastAsia="宋体" w:hAnsi="宋体" w:cs="宋体" w:hint="eastAsia"/>
          <w:color w:val="FF0000"/>
          <w:kern w:val="2"/>
          <w:szCs w:val="22"/>
          <w:lang w:eastAsia="zh-CN"/>
        </w:rPr>
        <w:t>。</w:t>
      </w:r>
    </w:p>
    <w:p>
      <w:pPr>
        <w:widowControl w:val="0"/>
        <w:ind w:firstLine="480" w:firstLineChars="200"/>
        <w:jc w:val="both"/>
        <w:rPr>
          <w:rFonts w:ascii="宋体" w:eastAsia="宋体" w:hAnsi="宋体" w:cs="宋体" w:hint="eastAsia"/>
          <w:color w:val="FF0000"/>
          <w:lang w:eastAsia="zh-CN"/>
        </w:rPr>
      </w:pPr>
    </w:p>
    <w:p>
      <w:pPr>
        <w:widowControl w:val="0"/>
        <w:ind w:firstLine="480" w:firstLineChars="200"/>
        <w:jc w:val="both"/>
        <w:rPr>
          <w:rFonts w:ascii="宋体" w:eastAsia="宋体" w:hAnsi="宋体" w:cs="宋体" w:hint="eastAsia"/>
          <w:bCs/>
          <w:color w:val="FF0000"/>
          <w:kern w:val="2"/>
          <w:lang w:eastAsia="zh-CN"/>
        </w:rPr>
      </w:pPr>
      <w:r>
        <w:rPr>
          <w:rFonts w:ascii="宋体" w:eastAsia="宋体" w:hAnsi="宋体" w:cs="宋体" w:hint="eastAsia"/>
          <w:color w:val="FF0000"/>
          <w:lang w:eastAsia="zh-CN"/>
        </w:rPr>
        <w:t>我单位</w:t>
      </w:r>
      <w:r>
        <w:rPr>
          <w:rFonts w:ascii="宋体" w:eastAsia="宋体" w:hAnsi="宋体" w:cs="宋体" w:hint="eastAsia"/>
          <w:color w:val="FF0000"/>
          <w:lang w:eastAsia="zh-CN"/>
        </w:rPr>
        <w:t>如实承诺，并在中标后按要求提供</w:t>
      </w:r>
      <w:r>
        <w:rPr>
          <w:rFonts w:ascii="宋体" w:eastAsia="宋体" w:hAnsi="宋体" w:cs="宋体" w:hint="eastAsia"/>
          <w:color w:val="FF0000"/>
          <w:lang w:eastAsia="zh-CN"/>
        </w:rPr>
        <w:t>上述项目服务人员</w:t>
      </w:r>
      <w:r>
        <w:rPr>
          <w:rFonts w:ascii="宋体" w:eastAsia="宋体" w:hAnsi="宋体" w:cs="宋体" w:hint="eastAsia"/>
          <w:color w:val="FF0000"/>
          <w:lang w:eastAsia="zh-CN"/>
        </w:rPr>
        <w:t>，如发现</w:t>
      </w:r>
      <w:r>
        <w:rPr>
          <w:rFonts w:ascii="宋体" w:eastAsia="宋体" w:hAnsi="宋体" w:cs="宋体" w:hint="eastAsia"/>
          <w:color w:val="FF0000"/>
          <w:lang w:eastAsia="zh-CN"/>
        </w:rPr>
        <w:t>我单位</w:t>
      </w:r>
      <w:r>
        <w:rPr>
          <w:rFonts w:ascii="宋体" w:eastAsia="宋体" w:hAnsi="宋体" w:cs="宋体" w:hint="eastAsia"/>
          <w:color w:val="FF0000"/>
          <w:lang w:eastAsia="zh-CN"/>
        </w:rPr>
        <w:t>提供虚假材料的，采购人有权报行业主管部门及政府采购主管部门依法处理，由此可能产生的不利法律后果由</w:t>
      </w:r>
      <w:r>
        <w:rPr>
          <w:rFonts w:ascii="宋体" w:eastAsia="宋体" w:hAnsi="宋体" w:cs="宋体" w:hint="eastAsia"/>
          <w:color w:val="FF0000"/>
          <w:lang w:eastAsia="zh-CN"/>
        </w:rPr>
        <w:t>我单位</w:t>
      </w:r>
      <w:r>
        <w:rPr>
          <w:rFonts w:ascii="宋体" w:eastAsia="宋体" w:hAnsi="宋体" w:cs="宋体" w:hint="eastAsia"/>
          <w:color w:val="FF0000"/>
          <w:lang w:eastAsia="zh-CN"/>
        </w:rPr>
        <w:t>自行承担</w:t>
      </w:r>
      <w:r>
        <w:rPr>
          <w:rFonts w:ascii="宋体" w:eastAsia="宋体" w:hAnsi="宋体" w:cs="宋体" w:hint="eastAsia"/>
          <w:color w:val="FF0000"/>
          <w:lang w:eastAsia="zh-CN"/>
        </w:rPr>
        <w:t>。</w:t>
      </w:r>
    </w:p>
    <w:p>
      <w:pPr>
        <w:widowControl w:val="0"/>
        <w:wordWrap w:val="0"/>
        <w:spacing w:before="78" w:beforeLines="25" w:after="78" w:afterLines="25"/>
        <w:ind w:firstLine="6000" w:firstLineChars="2500"/>
        <w:jc w:val="right"/>
        <w:rPr>
          <w:rFonts w:ascii="宋体" w:eastAsia="宋体" w:hAnsi="宋体" w:cs="宋体" w:hint="eastAsia"/>
          <w:color w:val="FF0000"/>
          <w:kern w:val="2"/>
          <w:lang w:eastAsia="zh-CN"/>
        </w:rPr>
      </w:pPr>
      <w:r>
        <w:rPr>
          <w:rFonts w:ascii="宋体" w:eastAsia="宋体" w:hAnsi="宋体" w:cs="宋体" w:hint="eastAsia"/>
          <w:color w:val="FF0000"/>
          <w:kern w:val="2"/>
          <w:lang w:eastAsia="zh-CN"/>
        </w:rPr>
        <w:t xml:space="preserve">投标人：           </w:t>
      </w:r>
    </w:p>
    <w:p>
      <w:pPr>
        <w:widowControl w:val="0"/>
        <w:spacing w:after="160" w:line="240" w:lineRule="auto"/>
        <w:ind w:firstLine="480" w:firstLineChars="200"/>
        <w:jc w:val="right"/>
        <w:rPr>
          <w:rFonts w:ascii="宋体" w:eastAsia="宋体" w:hAnsi="宋体" w:cs="宋体" w:hint="eastAsia"/>
          <w:color w:val="FF0000"/>
          <w:lang w:eastAsia="zh-CN"/>
        </w:rPr>
      </w:pPr>
      <w:r>
        <w:rPr>
          <w:rFonts w:ascii="宋体" w:eastAsia="宋体" w:hAnsi="宋体" w:cs="宋体" w:hint="eastAsia"/>
          <w:color w:val="FF0000"/>
          <w:lang w:eastAsia="zh-CN"/>
        </w:rPr>
        <w:t>日期：  年  月  日</w:t>
      </w:r>
    </w:p>
    <w:p>
      <w:pPr>
        <w:widowControl/>
        <w:spacing w:after="120"/>
        <w:jc w:val="left"/>
        <w:rPr>
          <w:rFonts w:ascii="Calibri" w:eastAsia="宋体" w:hAnsi="Calibri"/>
          <w:sz w:val="20"/>
          <w:szCs w:val="20"/>
          <w:lang w:eastAsia="zh-CN"/>
        </w:rPr>
      </w:pPr>
    </w:p>
    <w:p>
      <w:pPr>
        <w:keepNext/>
        <w:keepLines/>
        <w:widowControl w:val="0"/>
        <w:spacing w:before="260" w:after="260"/>
        <w:jc w:val="center"/>
        <w:outlineLvl w:val="2"/>
        <w:rPr>
          <w:rFonts w:ascii="黑体" w:eastAsia="黑体" w:hAnsi="宋体"/>
          <w:bCs/>
          <w:lang w:eastAsia="zh-CN"/>
        </w:rPr>
      </w:pPr>
      <w:r>
        <w:rPr>
          <w:rFonts w:ascii="黑体" w:eastAsia="黑体" w:hAnsi="宋体" w:hint="eastAsia"/>
          <w:bCs/>
          <w:lang w:eastAsia="zh-CN"/>
        </w:rPr>
        <w:t>八、综合实力部分、技术部分投标文件格式</w:t>
      </w:r>
    </w:p>
    <w:p>
      <w:pPr>
        <w:widowControl/>
        <w:shd w:val="clear" w:color="auto" w:fill="FFFFFF"/>
        <w:spacing w:line="360" w:lineRule="auto"/>
        <w:jc w:val="left"/>
        <w:outlineLvl w:val="2"/>
        <w:rPr>
          <w:rFonts w:ascii="宋体" w:eastAsia="宋体" w:hAnsi="宋体" w:cs="宋体"/>
          <w:b/>
          <w:shd w:val="clear" w:color="auto" w:fill="FFFFFF"/>
          <w:lang w:eastAsia="zh-CN"/>
        </w:rPr>
      </w:pPr>
      <w:r>
        <w:rPr>
          <w:rFonts w:ascii="宋体" w:eastAsia="宋体" w:hAnsi="宋体" w:cs="宋体" w:hint="eastAsia"/>
          <w:b/>
          <w:shd w:val="clear" w:color="auto" w:fill="FFFFFF"/>
          <w:lang w:eastAsia="zh-CN"/>
        </w:rPr>
        <w:t>（一）服务方案</w:t>
      </w:r>
    </w:p>
    <w:p>
      <w:pPr>
        <w:widowControl w:val="0"/>
        <w:adjustRightInd w:val="0"/>
        <w:snapToGrid w:val="0"/>
        <w:spacing w:after="120" w:line="276" w:lineRule="auto"/>
        <w:jc w:val="both"/>
        <w:rPr>
          <w:rFonts w:ascii="宋体" w:eastAsia="宋体" w:hAnsi="宋体" w:cs="宋体" w:hint="eastAsia"/>
          <w:b/>
          <w:shd w:val="clear" w:color="auto" w:fill="FFFFFF"/>
          <w:lang w:eastAsia="zh-CN"/>
        </w:rPr>
      </w:pPr>
      <w:r>
        <w:rPr>
          <w:rFonts w:eastAsia="宋体" w:hint="eastAsia"/>
          <w:kern w:val="2"/>
          <w:sz w:val="21"/>
          <w:szCs w:val="21"/>
          <w:lang w:eastAsia="zh-CN"/>
        </w:rPr>
        <w:t>（特别提示：投标人须按本招标文件评标信息中“</w:t>
      </w:r>
      <w:r>
        <w:rPr>
          <w:rFonts w:ascii="Calibri" w:eastAsia="宋体" w:hAnsi="Calibri" w:cstheme="minorBidi" w:hint="eastAsia"/>
          <w:kern w:val="2"/>
          <w:sz w:val="21"/>
          <w:szCs w:val="21"/>
          <w:lang w:eastAsia="zh-CN"/>
        </w:rPr>
        <w:t>服务</w:t>
      </w:r>
      <w:r>
        <w:rPr>
          <w:rFonts w:ascii="Calibri" w:eastAsia="宋体" w:hAnsi="Calibri" w:cstheme="minorBidi" w:hint="eastAsia"/>
          <w:kern w:val="2"/>
          <w:sz w:val="21"/>
          <w:szCs w:val="21"/>
          <w:lang w:eastAsia="zh-CN"/>
        </w:rPr>
        <w:t>方案</w:t>
      </w:r>
      <w:r>
        <w:rPr>
          <w:rFonts w:eastAsia="宋体" w:hint="eastAsia"/>
          <w:kern w:val="2"/>
          <w:sz w:val="21"/>
          <w:szCs w:val="21"/>
          <w:lang w:eastAsia="zh-CN"/>
        </w:rPr>
        <w:t>”这一评分因素要求，提供证明资料）</w:t>
      </w:r>
    </w:p>
    <w:p>
      <w:pPr>
        <w:widowControl/>
        <w:numPr>
          <w:ilvl w:val="0"/>
          <w:numId w:val="0"/>
        </w:numPr>
        <w:shd w:val="clear" w:color="auto" w:fill="FFFFFF"/>
        <w:spacing w:line="360" w:lineRule="auto"/>
        <w:ind w:left="0" w:firstLine="0" w:leftChars="0"/>
        <w:jc w:val="left"/>
        <w:outlineLvl w:val="2"/>
        <w:rPr>
          <w:rFonts w:ascii="宋体" w:eastAsia="宋体" w:hAnsi="宋体" w:cs="宋体" w:hint="eastAsia"/>
          <w:b/>
          <w:shd w:val="clear" w:color="auto" w:fill="FFFFFF"/>
          <w:lang w:eastAsia="zh-CN"/>
        </w:rPr>
      </w:pPr>
      <w:r>
        <w:rPr>
          <w:rFonts w:ascii="宋体" w:eastAsia="宋体" w:hAnsi="宋体" w:cs="宋体" w:hint="eastAsia"/>
          <w:b/>
          <w:shd w:val="clear" w:color="auto" w:fill="FFFFFF"/>
          <w:lang w:eastAsia="zh-CN"/>
        </w:rPr>
        <w:t>（二）项目重点难点分析、应对措施及相关的合理化建议</w:t>
      </w:r>
    </w:p>
    <w:p>
      <w:pPr>
        <w:widowControl w:val="0"/>
        <w:adjustRightInd w:val="0"/>
        <w:snapToGrid w:val="0"/>
        <w:spacing w:after="120" w:line="276" w:lineRule="auto"/>
        <w:jc w:val="both"/>
        <w:rPr>
          <w:rFonts w:ascii="宋体" w:eastAsia="宋体" w:hAnsi="宋体" w:cs="宋体" w:hint="eastAsia"/>
          <w:b/>
          <w:shd w:val="clear" w:color="auto" w:fill="FFFFFF"/>
          <w:lang w:eastAsia="zh-CN"/>
        </w:rPr>
      </w:pPr>
      <w:r>
        <w:rPr>
          <w:rFonts w:eastAsia="宋体" w:hint="eastAsia"/>
          <w:kern w:val="2"/>
          <w:sz w:val="21"/>
          <w:szCs w:val="21"/>
          <w:lang w:eastAsia="zh-CN"/>
        </w:rPr>
        <w:t>（特别提示：投标人须按本招标文件评标信息中“项目重点难点分析、应对措施及相关的合理化建议”这一评分因素要求，提供证明资料）</w:t>
      </w:r>
    </w:p>
    <w:p>
      <w:pPr>
        <w:widowControl/>
        <w:numPr>
          <w:ilvl w:val="0"/>
          <w:numId w:val="0"/>
        </w:numPr>
        <w:shd w:val="clear" w:color="auto" w:fill="FFFFFF"/>
        <w:spacing w:line="360" w:lineRule="auto"/>
        <w:ind w:left="0" w:firstLine="0" w:leftChars="0" w:firstLineChars="0"/>
        <w:jc w:val="left"/>
        <w:outlineLvl w:val="2"/>
        <w:rPr>
          <w:rFonts w:ascii="宋体" w:eastAsia="宋体" w:hAnsi="宋体" w:cs="宋体" w:hint="eastAsia"/>
          <w:b/>
          <w:shd w:val="clear" w:color="auto" w:fill="FFFFFF"/>
          <w:lang w:eastAsia="zh-CN"/>
        </w:rPr>
      </w:pPr>
      <w:r>
        <w:rPr>
          <w:rFonts w:ascii="宋体" w:eastAsia="宋体" w:hAnsi="宋体" w:cs="宋体" w:hint="eastAsia"/>
          <w:b/>
          <w:shd w:val="clear" w:color="auto" w:fill="FFFFFF"/>
          <w:lang w:eastAsia="zh-CN"/>
        </w:rPr>
        <w:t>（</w:t>
      </w:r>
      <w:r>
        <w:rPr>
          <w:rFonts w:ascii="宋体" w:eastAsia="宋体" w:hAnsi="宋体" w:cs="宋体" w:hint="eastAsia"/>
          <w:b/>
          <w:shd w:val="clear" w:color="auto" w:fill="FFFFFF"/>
          <w:lang w:eastAsia="zh-CN"/>
        </w:rPr>
        <w:t>三</w:t>
      </w:r>
      <w:r>
        <w:rPr>
          <w:rFonts w:ascii="宋体" w:eastAsia="宋体" w:hAnsi="宋体" w:cs="宋体" w:hint="eastAsia"/>
          <w:b/>
          <w:shd w:val="clear" w:color="auto" w:fill="FFFFFF"/>
          <w:lang w:eastAsia="zh-CN"/>
        </w:rPr>
        <w:t>）</w:t>
      </w:r>
      <w:r>
        <w:rPr>
          <w:rFonts w:ascii="宋体" w:eastAsia="宋体" w:hAnsi="宋体" w:cs="宋体" w:hint="eastAsia"/>
          <w:b/>
          <w:shd w:val="clear" w:color="auto" w:fill="FFFFFF"/>
          <w:lang w:eastAsia="zh-CN"/>
        </w:rPr>
        <w:t>质量（完成时间、安全、环保）保障措施及方案项</w:t>
      </w:r>
    </w:p>
    <w:p>
      <w:pPr>
        <w:widowControl w:val="0"/>
        <w:adjustRightInd w:val="0"/>
        <w:snapToGrid w:val="0"/>
        <w:spacing w:after="120" w:line="276" w:lineRule="auto"/>
        <w:jc w:val="both"/>
        <w:rPr>
          <w:rFonts w:ascii="宋体" w:eastAsia="宋体" w:hAnsi="宋体" w:cs="宋体" w:hint="eastAsia"/>
          <w:b/>
          <w:shd w:val="clear" w:color="auto" w:fill="FFFFFF"/>
          <w:lang w:eastAsia="zh-CN"/>
        </w:rPr>
      </w:pPr>
      <w:r>
        <w:rPr>
          <w:rFonts w:eastAsia="宋体" w:hint="eastAsia"/>
          <w:kern w:val="2"/>
          <w:sz w:val="21"/>
          <w:szCs w:val="21"/>
          <w:lang w:eastAsia="zh-CN"/>
        </w:rPr>
        <w:t>（特别提示：投标人须按本招标文件评标信息中“质量（完成时间、安全、环保）保障措施及方案”这一评分因素要求，提供证明资料）</w:t>
      </w:r>
    </w:p>
    <w:p>
      <w:pPr>
        <w:widowControl/>
        <w:numPr>
          <w:ilvl w:val="0"/>
          <w:numId w:val="0"/>
        </w:numPr>
        <w:shd w:val="clear" w:color="auto" w:fill="FFFFFF"/>
        <w:spacing w:line="360" w:lineRule="auto"/>
        <w:ind w:left="0" w:firstLine="0" w:leftChars="0" w:firstLineChars="0"/>
        <w:jc w:val="left"/>
        <w:outlineLvl w:val="2"/>
        <w:rPr>
          <w:rFonts w:ascii="宋体" w:eastAsia="宋体" w:hAnsi="宋体" w:cs="宋体" w:hint="eastAsia"/>
          <w:b/>
          <w:shd w:val="clear" w:color="auto" w:fill="FFFFFF"/>
          <w:lang w:eastAsia="zh-CN"/>
        </w:rPr>
      </w:pPr>
      <w:r>
        <w:rPr>
          <w:rFonts w:ascii="宋体" w:eastAsia="宋体" w:hAnsi="宋体" w:cs="宋体" w:hint="eastAsia"/>
          <w:b/>
          <w:shd w:val="clear" w:color="auto" w:fill="FFFFFF"/>
          <w:lang w:eastAsia="zh-CN"/>
        </w:rPr>
        <w:t>（</w:t>
      </w:r>
      <w:r>
        <w:rPr>
          <w:rFonts w:ascii="宋体" w:eastAsia="宋体" w:hAnsi="宋体" w:cs="宋体" w:hint="eastAsia"/>
          <w:b/>
          <w:shd w:val="clear" w:color="auto" w:fill="FFFFFF"/>
          <w:lang w:eastAsia="zh-CN"/>
        </w:rPr>
        <w:t>四</w:t>
      </w:r>
      <w:r>
        <w:rPr>
          <w:rFonts w:ascii="宋体" w:eastAsia="宋体" w:hAnsi="宋体" w:cs="宋体" w:hint="eastAsia"/>
          <w:b/>
          <w:shd w:val="clear" w:color="auto" w:fill="FFFFFF"/>
          <w:lang w:eastAsia="zh-CN"/>
        </w:rPr>
        <w:t>）拟安排的项目负责人情况（仅限一人）</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5"/>
        <w:gridCol w:w="1288"/>
        <w:gridCol w:w="894"/>
        <w:gridCol w:w="894"/>
        <w:gridCol w:w="1170"/>
        <w:gridCol w:w="951"/>
        <w:gridCol w:w="1120"/>
        <w:gridCol w:w="1100"/>
      </w:tblGrid>
      <w:tr>
        <w:tblPrEx>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27"/>
          <w:jc w:val="center"/>
        </w:trPr>
        <w:tc>
          <w:tcPr>
            <w:tcW w:w="1154" w:type="dxa"/>
            <w:vMerge w:val="restart"/>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类别</w:t>
            </w:r>
          </w:p>
        </w:tc>
        <w:tc>
          <w:tcPr>
            <w:tcW w:w="1348" w:type="dxa"/>
            <w:vMerge w:val="restart"/>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姓名</w:t>
            </w:r>
          </w:p>
        </w:tc>
        <w:tc>
          <w:tcPr>
            <w:tcW w:w="932" w:type="dxa"/>
            <w:vMerge w:val="restart"/>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职称</w:t>
            </w:r>
          </w:p>
        </w:tc>
        <w:tc>
          <w:tcPr>
            <w:tcW w:w="932" w:type="dxa"/>
            <w:vMerge w:val="restart"/>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学历</w:t>
            </w:r>
          </w:p>
        </w:tc>
        <w:tc>
          <w:tcPr>
            <w:tcW w:w="4536" w:type="dxa"/>
            <w:gridSpan w:val="4"/>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上岗资格证明</w:t>
            </w:r>
          </w:p>
        </w:tc>
      </w:tr>
      <w:tr>
        <w:tblPrEx>
          <w:tblW w:w="5000" w:type="pct"/>
          <w:jc w:val="center"/>
          <w:tblLayout w:type="fixed"/>
          <w:tblCellMar>
            <w:top w:w="0" w:type="dxa"/>
            <w:left w:w="108" w:type="dxa"/>
            <w:bottom w:w="0" w:type="dxa"/>
            <w:right w:w="108" w:type="dxa"/>
          </w:tblCellMar>
        </w:tblPrEx>
        <w:trPr>
          <w:cantSplit/>
          <w:trHeight w:val="320"/>
          <w:jc w:val="center"/>
        </w:trPr>
        <w:tc>
          <w:tcPr>
            <w:tcW w:w="1154" w:type="dxa"/>
            <w:vMerge/>
            <w:vAlign w:val="center"/>
          </w:tcPr>
          <w:p>
            <w:pPr>
              <w:widowControl w:val="0"/>
              <w:spacing w:line="276" w:lineRule="auto"/>
              <w:jc w:val="center"/>
              <w:rPr>
                <w:rFonts w:ascii="宋体" w:eastAsia="宋体" w:hAnsi="宋体"/>
                <w:kern w:val="2"/>
                <w:sz w:val="21"/>
                <w:szCs w:val="21"/>
                <w:lang w:eastAsia="zh-CN"/>
              </w:rPr>
            </w:pPr>
          </w:p>
        </w:tc>
        <w:tc>
          <w:tcPr>
            <w:tcW w:w="1348" w:type="dxa"/>
            <w:vMerge/>
            <w:vAlign w:val="center"/>
          </w:tcPr>
          <w:p>
            <w:pPr>
              <w:widowControl w:val="0"/>
              <w:spacing w:line="276" w:lineRule="auto"/>
              <w:jc w:val="center"/>
              <w:rPr>
                <w:rFonts w:ascii="宋体" w:eastAsia="宋体" w:hAnsi="宋体"/>
                <w:kern w:val="2"/>
                <w:sz w:val="21"/>
                <w:szCs w:val="21"/>
                <w:lang w:eastAsia="zh-CN"/>
              </w:rPr>
            </w:pPr>
          </w:p>
        </w:tc>
        <w:tc>
          <w:tcPr>
            <w:tcW w:w="932" w:type="dxa"/>
            <w:vMerge/>
          </w:tcPr>
          <w:p>
            <w:pPr>
              <w:widowControl w:val="0"/>
              <w:spacing w:line="276" w:lineRule="auto"/>
              <w:jc w:val="center"/>
              <w:rPr>
                <w:rFonts w:ascii="宋体" w:eastAsia="宋体" w:hAnsi="宋体"/>
                <w:kern w:val="2"/>
                <w:sz w:val="21"/>
                <w:szCs w:val="21"/>
                <w:lang w:eastAsia="zh-CN"/>
              </w:rPr>
            </w:pPr>
          </w:p>
        </w:tc>
        <w:tc>
          <w:tcPr>
            <w:tcW w:w="932" w:type="dxa"/>
            <w:vMerge/>
            <w:vAlign w:val="center"/>
          </w:tcPr>
          <w:p>
            <w:pPr>
              <w:widowControl w:val="0"/>
              <w:spacing w:line="276" w:lineRule="auto"/>
              <w:jc w:val="center"/>
              <w:rPr>
                <w:rFonts w:ascii="宋体" w:eastAsia="宋体" w:hAnsi="宋体"/>
                <w:kern w:val="2"/>
                <w:sz w:val="21"/>
                <w:szCs w:val="21"/>
                <w:lang w:eastAsia="zh-CN"/>
              </w:rPr>
            </w:pPr>
          </w:p>
        </w:tc>
        <w:tc>
          <w:tcPr>
            <w:tcW w:w="1224" w:type="dxa"/>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证书名称</w:t>
            </w:r>
          </w:p>
        </w:tc>
        <w:tc>
          <w:tcPr>
            <w:tcW w:w="992" w:type="dxa"/>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级别</w:t>
            </w:r>
          </w:p>
        </w:tc>
        <w:tc>
          <w:tcPr>
            <w:tcW w:w="1171" w:type="dxa"/>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证号</w:t>
            </w:r>
          </w:p>
        </w:tc>
        <w:tc>
          <w:tcPr>
            <w:tcW w:w="1149" w:type="dxa"/>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专业</w:t>
            </w:r>
          </w:p>
        </w:tc>
      </w:tr>
      <w:tr>
        <w:tblPrEx>
          <w:tblW w:w="5000" w:type="pct"/>
          <w:jc w:val="center"/>
          <w:tblLayout w:type="fixed"/>
          <w:tblCellMar>
            <w:top w:w="0" w:type="dxa"/>
            <w:left w:w="108" w:type="dxa"/>
            <w:bottom w:w="0" w:type="dxa"/>
            <w:right w:w="108" w:type="dxa"/>
          </w:tblCellMar>
        </w:tblPrEx>
        <w:trPr>
          <w:cantSplit/>
          <w:trHeight w:val="601"/>
          <w:jc w:val="center"/>
        </w:trPr>
        <w:tc>
          <w:tcPr>
            <w:tcW w:w="1154" w:type="dxa"/>
            <w:vAlign w:val="center"/>
          </w:tcPr>
          <w:p>
            <w:pPr>
              <w:widowControl w:val="0"/>
              <w:jc w:val="center"/>
              <w:rPr>
                <w:rFonts w:ascii="宋体" w:eastAsia="宋体" w:hAnsi="宋体"/>
                <w:kern w:val="2"/>
                <w:sz w:val="21"/>
                <w:szCs w:val="21"/>
                <w:lang w:eastAsia="zh-CN"/>
              </w:rPr>
            </w:pPr>
            <w:r>
              <w:rPr>
                <w:rFonts w:ascii="宋体" w:eastAsia="宋体" w:hAnsi="宋体" w:hint="eastAsia"/>
                <w:kern w:val="2"/>
                <w:sz w:val="21"/>
                <w:szCs w:val="21"/>
                <w:lang w:eastAsia="zh-CN"/>
              </w:rPr>
              <w:t>拟派项目负责人</w:t>
            </w:r>
          </w:p>
        </w:tc>
        <w:tc>
          <w:tcPr>
            <w:tcW w:w="1348" w:type="dxa"/>
            <w:vAlign w:val="center"/>
          </w:tcPr>
          <w:p>
            <w:pPr>
              <w:widowControl w:val="0"/>
              <w:jc w:val="center"/>
              <w:rPr>
                <w:rFonts w:ascii="宋体" w:eastAsia="宋体" w:hAnsi="宋体"/>
                <w:kern w:val="2"/>
                <w:sz w:val="21"/>
                <w:szCs w:val="21"/>
                <w:lang w:eastAsia="zh-CN"/>
              </w:rPr>
            </w:pPr>
          </w:p>
        </w:tc>
        <w:tc>
          <w:tcPr>
            <w:tcW w:w="932" w:type="dxa"/>
            <w:vAlign w:val="center"/>
          </w:tcPr>
          <w:p>
            <w:pPr>
              <w:widowControl w:val="0"/>
              <w:jc w:val="center"/>
              <w:rPr>
                <w:rFonts w:ascii="宋体" w:eastAsia="宋体" w:hAnsi="宋体"/>
                <w:kern w:val="2"/>
                <w:sz w:val="21"/>
                <w:szCs w:val="21"/>
                <w:lang w:eastAsia="zh-CN"/>
              </w:rPr>
            </w:pPr>
          </w:p>
        </w:tc>
        <w:tc>
          <w:tcPr>
            <w:tcW w:w="932" w:type="dxa"/>
            <w:vAlign w:val="center"/>
          </w:tcPr>
          <w:p>
            <w:pPr>
              <w:widowControl w:val="0"/>
              <w:jc w:val="center"/>
              <w:rPr>
                <w:rFonts w:ascii="宋体" w:eastAsia="宋体" w:hAnsi="宋体"/>
                <w:kern w:val="2"/>
                <w:sz w:val="21"/>
                <w:szCs w:val="21"/>
                <w:lang w:eastAsia="zh-CN"/>
              </w:rPr>
            </w:pPr>
          </w:p>
        </w:tc>
        <w:tc>
          <w:tcPr>
            <w:tcW w:w="1224" w:type="dxa"/>
            <w:vAlign w:val="center"/>
          </w:tcPr>
          <w:p>
            <w:pPr>
              <w:widowControl w:val="0"/>
              <w:jc w:val="center"/>
              <w:rPr>
                <w:rFonts w:ascii="宋体" w:eastAsia="宋体" w:hAnsi="宋体"/>
                <w:kern w:val="2"/>
                <w:sz w:val="21"/>
                <w:szCs w:val="21"/>
                <w:lang w:eastAsia="zh-CN"/>
              </w:rPr>
            </w:pPr>
          </w:p>
        </w:tc>
        <w:tc>
          <w:tcPr>
            <w:tcW w:w="992" w:type="dxa"/>
            <w:vAlign w:val="center"/>
          </w:tcPr>
          <w:p>
            <w:pPr>
              <w:widowControl w:val="0"/>
              <w:jc w:val="center"/>
              <w:rPr>
                <w:rFonts w:ascii="宋体" w:eastAsia="宋体" w:hAnsi="宋体"/>
                <w:kern w:val="2"/>
                <w:sz w:val="21"/>
                <w:szCs w:val="21"/>
                <w:lang w:eastAsia="zh-CN"/>
              </w:rPr>
            </w:pPr>
          </w:p>
        </w:tc>
        <w:tc>
          <w:tcPr>
            <w:tcW w:w="1171" w:type="dxa"/>
            <w:vAlign w:val="center"/>
          </w:tcPr>
          <w:p>
            <w:pPr>
              <w:widowControl w:val="0"/>
              <w:jc w:val="center"/>
              <w:rPr>
                <w:rFonts w:ascii="宋体" w:eastAsia="宋体" w:hAnsi="宋体"/>
                <w:kern w:val="2"/>
                <w:sz w:val="21"/>
                <w:szCs w:val="21"/>
                <w:lang w:eastAsia="zh-CN"/>
              </w:rPr>
            </w:pPr>
          </w:p>
        </w:tc>
        <w:tc>
          <w:tcPr>
            <w:tcW w:w="1149" w:type="dxa"/>
            <w:vAlign w:val="center"/>
          </w:tcPr>
          <w:p>
            <w:pPr>
              <w:widowControl w:val="0"/>
              <w:jc w:val="center"/>
              <w:rPr>
                <w:rFonts w:ascii="宋体" w:eastAsia="宋体" w:hAnsi="宋体"/>
                <w:kern w:val="2"/>
                <w:sz w:val="21"/>
                <w:szCs w:val="21"/>
                <w:lang w:eastAsia="zh-CN"/>
              </w:rPr>
            </w:pPr>
          </w:p>
        </w:tc>
      </w:tr>
    </w:tbl>
    <w:p>
      <w:pPr>
        <w:widowControl w:val="0"/>
        <w:spacing w:after="120" w:line="276" w:lineRule="auto"/>
        <w:jc w:val="both"/>
        <w:rPr>
          <w:rFonts w:ascii="宋体" w:eastAsia="宋体" w:hAnsi="宋体" w:cs="宋体" w:hint="eastAsia"/>
          <w:b/>
          <w:shd w:val="clear" w:color="auto" w:fill="FFFFFF"/>
          <w:lang w:eastAsia="zh-CN"/>
        </w:rPr>
      </w:pPr>
      <w:r>
        <w:rPr>
          <w:rFonts w:eastAsia="宋体" w:hint="eastAsia"/>
          <w:kern w:val="2"/>
          <w:sz w:val="21"/>
          <w:szCs w:val="21"/>
          <w:lang w:eastAsia="zh-CN"/>
        </w:rPr>
        <w:t>（特别提示：以上表格仅供参考。投标人须按本招标文件评标信息中“拟安排的项目负责人情况（仅限一人）”这一评分因素要求，提供证明资料）</w:t>
      </w:r>
    </w:p>
    <w:p>
      <w:pPr>
        <w:widowControl/>
        <w:shd w:val="clear" w:color="auto" w:fill="FFFFFF"/>
        <w:spacing w:line="360" w:lineRule="auto"/>
        <w:jc w:val="left"/>
        <w:outlineLvl w:val="2"/>
        <w:rPr>
          <w:rFonts w:ascii="宋体" w:eastAsia="宋体" w:hAnsi="宋体" w:cs="宋体"/>
          <w:b/>
          <w:shd w:val="clear" w:color="auto" w:fill="FFFFFF"/>
          <w:lang w:eastAsia="zh-CN"/>
        </w:rPr>
      </w:pPr>
      <w:r>
        <w:rPr>
          <w:rFonts w:ascii="宋体" w:eastAsia="宋体" w:hAnsi="宋体" w:cs="宋体" w:hint="eastAsia"/>
          <w:b/>
          <w:shd w:val="clear" w:color="auto" w:fill="FFFFFF"/>
          <w:lang w:eastAsia="zh-CN"/>
        </w:rPr>
        <w:t>（</w:t>
      </w:r>
      <w:r>
        <w:rPr>
          <w:rFonts w:ascii="宋体" w:eastAsia="宋体" w:hAnsi="宋体" w:cs="宋体" w:hint="eastAsia"/>
          <w:b/>
          <w:shd w:val="clear" w:color="auto" w:fill="FFFFFF"/>
          <w:lang w:eastAsia="zh-CN"/>
        </w:rPr>
        <w:t>五</w:t>
      </w:r>
      <w:r>
        <w:rPr>
          <w:rFonts w:ascii="宋体" w:eastAsia="宋体" w:hAnsi="宋体" w:cs="宋体" w:hint="eastAsia"/>
          <w:b/>
          <w:shd w:val="clear" w:color="auto" w:fill="FFFFFF"/>
          <w:lang w:eastAsia="zh-CN"/>
        </w:rPr>
        <w:t>）拟安排的项目主要团队成员（主要技术人员）情况（项目负责人除外）</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19"/>
        <w:gridCol w:w="847"/>
        <w:gridCol w:w="848"/>
        <w:gridCol w:w="848"/>
        <w:gridCol w:w="848"/>
        <w:gridCol w:w="1109"/>
        <w:gridCol w:w="901"/>
        <w:gridCol w:w="1061"/>
        <w:gridCol w:w="1041"/>
      </w:tblGrid>
      <w:tr>
        <w:tblPrEx>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jc w:val="center"/>
        </w:trPr>
        <w:tc>
          <w:tcPr>
            <w:tcW w:w="1058" w:type="dxa"/>
            <w:vMerge w:val="restart"/>
            <w:vAlign w:val="center"/>
          </w:tcPr>
          <w:p>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类别</w:t>
            </w:r>
          </w:p>
        </w:tc>
        <w:tc>
          <w:tcPr>
            <w:tcW w:w="876" w:type="dxa"/>
            <w:vMerge w:val="restart"/>
            <w:vAlign w:val="center"/>
          </w:tcPr>
          <w:p>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职务</w:t>
            </w:r>
          </w:p>
        </w:tc>
        <w:tc>
          <w:tcPr>
            <w:tcW w:w="877" w:type="dxa"/>
            <w:vMerge w:val="restart"/>
            <w:vAlign w:val="center"/>
          </w:tcPr>
          <w:p>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姓名</w:t>
            </w:r>
          </w:p>
        </w:tc>
        <w:tc>
          <w:tcPr>
            <w:tcW w:w="877" w:type="dxa"/>
            <w:vMerge w:val="restart"/>
            <w:vAlign w:val="center"/>
          </w:tcPr>
          <w:p>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职称</w:t>
            </w:r>
          </w:p>
        </w:tc>
        <w:tc>
          <w:tcPr>
            <w:tcW w:w="877" w:type="dxa"/>
            <w:vMerge w:val="restart"/>
            <w:vAlign w:val="center"/>
          </w:tcPr>
          <w:p>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学历</w:t>
            </w:r>
          </w:p>
        </w:tc>
        <w:tc>
          <w:tcPr>
            <w:tcW w:w="4265" w:type="dxa"/>
            <w:gridSpan w:val="4"/>
            <w:vAlign w:val="center"/>
          </w:tcPr>
          <w:p>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上岗资格证明</w:t>
            </w:r>
          </w:p>
        </w:tc>
      </w:tr>
      <w:tr>
        <w:tblPrEx>
          <w:tblW w:w="5000" w:type="pct"/>
          <w:jc w:val="center"/>
          <w:tblLayout w:type="fixed"/>
          <w:tblCellMar>
            <w:top w:w="0" w:type="dxa"/>
            <w:left w:w="108" w:type="dxa"/>
            <w:bottom w:w="0" w:type="dxa"/>
            <w:right w:w="108" w:type="dxa"/>
          </w:tblCellMar>
        </w:tblPrEx>
        <w:trPr>
          <w:cantSplit/>
          <w:trHeight w:val="285"/>
          <w:jc w:val="center"/>
        </w:trPr>
        <w:tc>
          <w:tcPr>
            <w:tcW w:w="1058" w:type="dxa"/>
            <w:vMerge/>
            <w:vAlign w:val="center"/>
          </w:tcPr>
          <w:p>
            <w:pPr>
              <w:widowControl w:val="0"/>
              <w:spacing w:line="276" w:lineRule="auto"/>
              <w:jc w:val="center"/>
              <w:rPr>
                <w:rFonts w:ascii="宋体" w:eastAsia="宋体" w:hAnsi="宋体" w:cs="宋体"/>
                <w:kern w:val="2"/>
                <w:sz w:val="21"/>
                <w:szCs w:val="21"/>
                <w:lang w:eastAsia="zh-CN"/>
              </w:rPr>
            </w:pPr>
          </w:p>
        </w:tc>
        <w:tc>
          <w:tcPr>
            <w:tcW w:w="876" w:type="dxa"/>
            <w:vMerge/>
            <w:vAlign w:val="center"/>
          </w:tcPr>
          <w:p>
            <w:pPr>
              <w:widowControl w:val="0"/>
              <w:spacing w:line="276" w:lineRule="auto"/>
              <w:jc w:val="center"/>
              <w:rPr>
                <w:rFonts w:ascii="宋体" w:eastAsia="宋体" w:hAnsi="宋体" w:cs="宋体"/>
                <w:kern w:val="2"/>
                <w:sz w:val="21"/>
                <w:szCs w:val="21"/>
                <w:lang w:eastAsia="zh-CN"/>
              </w:rPr>
            </w:pPr>
          </w:p>
        </w:tc>
        <w:tc>
          <w:tcPr>
            <w:tcW w:w="877" w:type="dxa"/>
            <w:vMerge/>
            <w:vAlign w:val="center"/>
          </w:tcPr>
          <w:p>
            <w:pPr>
              <w:widowControl w:val="0"/>
              <w:spacing w:line="276" w:lineRule="auto"/>
              <w:jc w:val="center"/>
              <w:rPr>
                <w:rFonts w:ascii="宋体" w:eastAsia="宋体" w:hAnsi="宋体" w:cs="宋体"/>
                <w:kern w:val="2"/>
                <w:sz w:val="21"/>
                <w:szCs w:val="21"/>
                <w:lang w:eastAsia="zh-CN"/>
              </w:rPr>
            </w:pPr>
          </w:p>
        </w:tc>
        <w:tc>
          <w:tcPr>
            <w:tcW w:w="877" w:type="dxa"/>
            <w:vMerge/>
          </w:tcPr>
          <w:p>
            <w:pPr>
              <w:widowControl w:val="0"/>
              <w:spacing w:line="276" w:lineRule="auto"/>
              <w:jc w:val="center"/>
              <w:rPr>
                <w:rFonts w:ascii="宋体" w:eastAsia="宋体" w:hAnsi="宋体" w:cs="宋体"/>
                <w:kern w:val="2"/>
                <w:sz w:val="21"/>
                <w:szCs w:val="21"/>
                <w:lang w:eastAsia="zh-CN"/>
              </w:rPr>
            </w:pPr>
          </w:p>
        </w:tc>
        <w:tc>
          <w:tcPr>
            <w:tcW w:w="877" w:type="dxa"/>
            <w:vMerge/>
            <w:vAlign w:val="center"/>
          </w:tcPr>
          <w:p>
            <w:pPr>
              <w:widowControl w:val="0"/>
              <w:spacing w:line="276" w:lineRule="auto"/>
              <w:jc w:val="center"/>
              <w:rPr>
                <w:rFonts w:ascii="宋体" w:eastAsia="宋体" w:hAnsi="宋体" w:cs="宋体"/>
                <w:kern w:val="2"/>
                <w:sz w:val="21"/>
                <w:szCs w:val="21"/>
                <w:lang w:eastAsia="zh-CN"/>
              </w:rPr>
            </w:pPr>
          </w:p>
        </w:tc>
        <w:tc>
          <w:tcPr>
            <w:tcW w:w="1151" w:type="dxa"/>
            <w:vAlign w:val="center"/>
          </w:tcPr>
          <w:p>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证书名称</w:t>
            </w:r>
          </w:p>
        </w:tc>
        <w:tc>
          <w:tcPr>
            <w:tcW w:w="933" w:type="dxa"/>
            <w:vAlign w:val="center"/>
          </w:tcPr>
          <w:p>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级别</w:t>
            </w:r>
          </w:p>
        </w:tc>
        <w:tc>
          <w:tcPr>
            <w:tcW w:w="1101" w:type="dxa"/>
            <w:vAlign w:val="center"/>
          </w:tcPr>
          <w:p>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证号</w:t>
            </w:r>
          </w:p>
        </w:tc>
        <w:tc>
          <w:tcPr>
            <w:tcW w:w="1080" w:type="dxa"/>
            <w:vAlign w:val="center"/>
          </w:tcPr>
          <w:p>
            <w:pPr>
              <w:widowControl w:val="0"/>
              <w:spacing w:line="276"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专业</w:t>
            </w:r>
          </w:p>
        </w:tc>
      </w:tr>
      <w:tr>
        <w:tblPrEx>
          <w:tblW w:w="5000" w:type="pct"/>
          <w:jc w:val="center"/>
          <w:tblLayout w:type="fixed"/>
          <w:tblCellMar>
            <w:top w:w="0" w:type="dxa"/>
            <w:left w:w="108" w:type="dxa"/>
            <w:bottom w:w="0" w:type="dxa"/>
            <w:right w:w="108" w:type="dxa"/>
          </w:tblCellMar>
        </w:tblPrEx>
        <w:trPr>
          <w:cantSplit/>
          <w:trHeight w:val="285"/>
          <w:jc w:val="center"/>
        </w:trPr>
        <w:tc>
          <w:tcPr>
            <w:tcW w:w="1058" w:type="dxa"/>
            <w:vMerge w:val="restart"/>
            <w:vAlign w:val="center"/>
          </w:tcPr>
          <w:p>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拟安排的项目团队成员</w:t>
            </w:r>
          </w:p>
        </w:tc>
        <w:tc>
          <w:tcPr>
            <w:tcW w:w="876"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1151" w:type="dxa"/>
            <w:vAlign w:val="center"/>
          </w:tcPr>
          <w:p>
            <w:pPr>
              <w:widowControl w:val="0"/>
              <w:jc w:val="center"/>
              <w:rPr>
                <w:rFonts w:ascii="宋体" w:eastAsia="宋体" w:hAnsi="宋体" w:cs="宋体"/>
                <w:kern w:val="2"/>
                <w:sz w:val="21"/>
                <w:szCs w:val="21"/>
                <w:lang w:eastAsia="zh-CN"/>
              </w:rPr>
            </w:pPr>
          </w:p>
        </w:tc>
        <w:tc>
          <w:tcPr>
            <w:tcW w:w="933" w:type="dxa"/>
            <w:vAlign w:val="center"/>
          </w:tcPr>
          <w:p>
            <w:pPr>
              <w:widowControl w:val="0"/>
              <w:jc w:val="center"/>
              <w:rPr>
                <w:rFonts w:ascii="宋体" w:eastAsia="宋体" w:hAnsi="宋体" w:cs="宋体"/>
                <w:kern w:val="2"/>
                <w:sz w:val="21"/>
                <w:szCs w:val="21"/>
                <w:lang w:eastAsia="zh-CN"/>
              </w:rPr>
            </w:pPr>
          </w:p>
        </w:tc>
        <w:tc>
          <w:tcPr>
            <w:tcW w:w="1101" w:type="dxa"/>
            <w:vAlign w:val="center"/>
          </w:tcPr>
          <w:p>
            <w:pPr>
              <w:widowControl w:val="0"/>
              <w:jc w:val="center"/>
              <w:rPr>
                <w:rFonts w:ascii="宋体" w:eastAsia="宋体" w:hAnsi="宋体" w:cs="宋体"/>
                <w:kern w:val="2"/>
                <w:sz w:val="21"/>
                <w:szCs w:val="21"/>
                <w:lang w:eastAsia="zh-CN"/>
              </w:rPr>
            </w:pPr>
          </w:p>
        </w:tc>
        <w:tc>
          <w:tcPr>
            <w:tcW w:w="1080" w:type="dxa"/>
            <w:vAlign w:val="center"/>
          </w:tcPr>
          <w:p>
            <w:pPr>
              <w:widowControl w:val="0"/>
              <w:jc w:val="center"/>
              <w:rPr>
                <w:rFonts w:ascii="宋体" w:eastAsia="宋体" w:hAnsi="宋体" w:cs="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285"/>
          <w:jc w:val="center"/>
        </w:trPr>
        <w:tc>
          <w:tcPr>
            <w:tcW w:w="1058" w:type="dxa"/>
            <w:vMerge/>
            <w:vAlign w:val="center"/>
          </w:tcPr>
          <w:p>
            <w:pPr>
              <w:widowControl w:val="0"/>
              <w:jc w:val="center"/>
              <w:rPr>
                <w:rFonts w:ascii="宋体" w:eastAsia="宋体" w:hAnsi="宋体" w:cs="宋体"/>
                <w:kern w:val="2"/>
                <w:sz w:val="21"/>
                <w:szCs w:val="21"/>
                <w:lang w:eastAsia="zh-CN"/>
              </w:rPr>
            </w:pPr>
          </w:p>
        </w:tc>
        <w:tc>
          <w:tcPr>
            <w:tcW w:w="876"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1151" w:type="dxa"/>
            <w:vAlign w:val="center"/>
          </w:tcPr>
          <w:p>
            <w:pPr>
              <w:widowControl w:val="0"/>
              <w:jc w:val="center"/>
              <w:rPr>
                <w:rFonts w:ascii="宋体" w:eastAsia="宋体" w:hAnsi="宋体" w:cs="宋体"/>
                <w:kern w:val="2"/>
                <w:sz w:val="21"/>
                <w:szCs w:val="21"/>
                <w:lang w:eastAsia="zh-CN"/>
              </w:rPr>
            </w:pPr>
          </w:p>
        </w:tc>
        <w:tc>
          <w:tcPr>
            <w:tcW w:w="933" w:type="dxa"/>
            <w:vAlign w:val="center"/>
          </w:tcPr>
          <w:p>
            <w:pPr>
              <w:widowControl w:val="0"/>
              <w:jc w:val="center"/>
              <w:rPr>
                <w:rFonts w:ascii="宋体" w:eastAsia="宋体" w:hAnsi="宋体" w:cs="宋体"/>
                <w:kern w:val="2"/>
                <w:sz w:val="21"/>
                <w:szCs w:val="21"/>
                <w:lang w:eastAsia="zh-CN"/>
              </w:rPr>
            </w:pPr>
          </w:p>
        </w:tc>
        <w:tc>
          <w:tcPr>
            <w:tcW w:w="1101" w:type="dxa"/>
            <w:vAlign w:val="center"/>
          </w:tcPr>
          <w:p>
            <w:pPr>
              <w:widowControl w:val="0"/>
              <w:jc w:val="center"/>
              <w:rPr>
                <w:rFonts w:ascii="宋体" w:eastAsia="宋体" w:hAnsi="宋体" w:cs="宋体"/>
                <w:kern w:val="2"/>
                <w:sz w:val="21"/>
                <w:szCs w:val="21"/>
                <w:lang w:eastAsia="zh-CN"/>
              </w:rPr>
            </w:pPr>
          </w:p>
        </w:tc>
        <w:tc>
          <w:tcPr>
            <w:tcW w:w="1080" w:type="dxa"/>
            <w:vAlign w:val="center"/>
          </w:tcPr>
          <w:p>
            <w:pPr>
              <w:widowControl w:val="0"/>
              <w:jc w:val="center"/>
              <w:rPr>
                <w:rFonts w:ascii="宋体" w:eastAsia="宋体" w:hAnsi="宋体" w:cs="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285"/>
          <w:jc w:val="center"/>
        </w:trPr>
        <w:tc>
          <w:tcPr>
            <w:tcW w:w="1058" w:type="dxa"/>
            <w:vMerge/>
            <w:vAlign w:val="center"/>
          </w:tcPr>
          <w:p>
            <w:pPr>
              <w:widowControl w:val="0"/>
              <w:jc w:val="center"/>
              <w:rPr>
                <w:rFonts w:ascii="宋体" w:eastAsia="宋体" w:hAnsi="宋体" w:cs="宋体"/>
                <w:kern w:val="2"/>
                <w:sz w:val="21"/>
                <w:szCs w:val="21"/>
                <w:lang w:eastAsia="zh-CN"/>
              </w:rPr>
            </w:pPr>
          </w:p>
        </w:tc>
        <w:tc>
          <w:tcPr>
            <w:tcW w:w="876"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1151" w:type="dxa"/>
            <w:vAlign w:val="center"/>
          </w:tcPr>
          <w:p>
            <w:pPr>
              <w:widowControl w:val="0"/>
              <w:jc w:val="center"/>
              <w:rPr>
                <w:rFonts w:ascii="宋体" w:eastAsia="宋体" w:hAnsi="宋体" w:cs="宋体"/>
                <w:kern w:val="2"/>
                <w:sz w:val="21"/>
                <w:szCs w:val="21"/>
                <w:lang w:eastAsia="zh-CN"/>
              </w:rPr>
            </w:pPr>
          </w:p>
        </w:tc>
        <w:tc>
          <w:tcPr>
            <w:tcW w:w="933" w:type="dxa"/>
            <w:vAlign w:val="center"/>
          </w:tcPr>
          <w:p>
            <w:pPr>
              <w:widowControl w:val="0"/>
              <w:jc w:val="center"/>
              <w:rPr>
                <w:rFonts w:ascii="宋体" w:eastAsia="宋体" w:hAnsi="宋体" w:cs="宋体"/>
                <w:kern w:val="2"/>
                <w:sz w:val="21"/>
                <w:szCs w:val="21"/>
                <w:lang w:eastAsia="zh-CN"/>
              </w:rPr>
            </w:pPr>
          </w:p>
        </w:tc>
        <w:tc>
          <w:tcPr>
            <w:tcW w:w="1101" w:type="dxa"/>
            <w:vAlign w:val="center"/>
          </w:tcPr>
          <w:p>
            <w:pPr>
              <w:widowControl w:val="0"/>
              <w:jc w:val="center"/>
              <w:rPr>
                <w:rFonts w:ascii="宋体" w:eastAsia="宋体" w:hAnsi="宋体" w:cs="宋体"/>
                <w:kern w:val="2"/>
                <w:sz w:val="21"/>
                <w:szCs w:val="21"/>
                <w:lang w:eastAsia="zh-CN"/>
              </w:rPr>
            </w:pPr>
          </w:p>
        </w:tc>
        <w:tc>
          <w:tcPr>
            <w:tcW w:w="1080" w:type="dxa"/>
            <w:vAlign w:val="center"/>
          </w:tcPr>
          <w:p>
            <w:pPr>
              <w:widowControl w:val="0"/>
              <w:jc w:val="center"/>
              <w:rPr>
                <w:rFonts w:ascii="宋体" w:eastAsia="宋体" w:hAnsi="宋体" w:cs="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jc w:val="center"/>
        </w:trPr>
        <w:tc>
          <w:tcPr>
            <w:tcW w:w="1058" w:type="dxa"/>
            <w:vMerge w:val="restart"/>
            <w:vAlign w:val="center"/>
          </w:tcPr>
          <w:p>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其他</w:t>
            </w:r>
          </w:p>
        </w:tc>
        <w:tc>
          <w:tcPr>
            <w:tcW w:w="876"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1151" w:type="dxa"/>
            <w:vAlign w:val="center"/>
          </w:tcPr>
          <w:p>
            <w:pPr>
              <w:widowControl w:val="0"/>
              <w:jc w:val="center"/>
              <w:rPr>
                <w:rFonts w:ascii="宋体" w:eastAsia="宋体" w:hAnsi="宋体" w:cs="宋体"/>
                <w:kern w:val="2"/>
                <w:sz w:val="21"/>
                <w:szCs w:val="21"/>
                <w:lang w:eastAsia="zh-CN"/>
              </w:rPr>
            </w:pPr>
          </w:p>
        </w:tc>
        <w:tc>
          <w:tcPr>
            <w:tcW w:w="933" w:type="dxa"/>
            <w:vAlign w:val="center"/>
          </w:tcPr>
          <w:p>
            <w:pPr>
              <w:widowControl w:val="0"/>
              <w:jc w:val="center"/>
              <w:rPr>
                <w:rFonts w:ascii="宋体" w:eastAsia="宋体" w:hAnsi="宋体" w:cs="宋体"/>
                <w:kern w:val="2"/>
                <w:sz w:val="21"/>
                <w:szCs w:val="21"/>
                <w:lang w:eastAsia="zh-CN"/>
              </w:rPr>
            </w:pPr>
          </w:p>
        </w:tc>
        <w:tc>
          <w:tcPr>
            <w:tcW w:w="1101" w:type="dxa"/>
            <w:vAlign w:val="center"/>
          </w:tcPr>
          <w:p>
            <w:pPr>
              <w:widowControl w:val="0"/>
              <w:jc w:val="center"/>
              <w:rPr>
                <w:rFonts w:ascii="宋体" w:eastAsia="宋体" w:hAnsi="宋体" w:cs="宋体"/>
                <w:kern w:val="2"/>
                <w:sz w:val="21"/>
                <w:szCs w:val="21"/>
                <w:lang w:eastAsia="zh-CN"/>
              </w:rPr>
            </w:pPr>
          </w:p>
        </w:tc>
        <w:tc>
          <w:tcPr>
            <w:tcW w:w="1080" w:type="dxa"/>
            <w:vAlign w:val="center"/>
          </w:tcPr>
          <w:p>
            <w:pPr>
              <w:widowControl w:val="0"/>
              <w:jc w:val="center"/>
              <w:rPr>
                <w:rFonts w:ascii="宋体" w:eastAsia="宋体" w:hAnsi="宋体" w:cs="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jc w:val="center"/>
        </w:trPr>
        <w:tc>
          <w:tcPr>
            <w:tcW w:w="1058" w:type="dxa"/>
            <w:vMerge/>
            <w:vAlign w:val="center"/>
          </w:tcPr>
          <w:p>
            <w:pPr>
              <w:widowControl w:val="0"/>
              <w:jc w:val="center"/>
              <w:rPr>
                <w:rFonts w:ascii="宋体" w:eastAsia="宋体" w:hAnsi="宋体" w:cs="宋体"/>
                <w:kern w:val="2"/>
                <w:sz w:val="21"/>
                <w:szCs w:val="21"/>
                <w:lang w:eastAsia="zh-CN"/>
              </w:rPr>
            </w:pPr>
          </w:p>
        </w:tc>
        <w:tc>
          <w:tcPr>
            <w:tcW w:w="876"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877" w:type="dxa"/>
            <w:vAlign w:val="center"/>
          </w:tcPr>
          <w:p>
            <w:pPr>
              <w:widowControl w:val="0"/>
              <w:jc w:val="center"/>
              <w:rPr>
                <w:rFonts w:ascii="宋体" w:eastAsia="宋体" w:hAnsi="宋体" w:cs="宋体"/>
                <w:kern w:val="2"/>
                <w:sz w:val="21"/>
                <w:szCs w:val="21"/>
                <w:lang w:eastAsia="zh-CN"/>
              </w:rPr>
            </w:pPr>
          </w:p>
        </w:tc>
        <w:tc>
          <w:tcPr>
            <w:tcW w:w="1151" w:type="dxa"/>
            <w:vAlign w:val="center"/>
          </w:tcPr>
          <w:p>
            <w:pPr>
              <w:widowControl w:val="0"/>
              <w:jc w:val="center"/>
              <w:rPr>
                <w:rFonts w:ascii="宋体" w:eastAsia="宋体" w:hAnsi="宋体" w:cs="宋体"/>
                <w:kern w:val="2"/>
                <w:sz w:val="21"/>
                <w:szCs w:val="21"/>
                <w:lang w:eastAsia="zh-CN"/>
              </w:rPr>
            </w:pPr>
          </w:p>
        </w:tc>
        <w:tc>
          <w:tcPr>
            <w:tcW w:w="933" w:type="dxa"/>
            <w:vAlign w:val="center"/>
          </w:tcPr>
          <w:p>
            <w:pPr>
              <w:widowControl w:val="0"/>
              <w:jc w:val="center"/>
              <w:rPr>
                <w:rFonts w:ascii="宋体" w:eastAsia="宋体" w:hAnsi="宋体" w:cs="宋体"/>
                <w:kern w:val="2"/>
                <w:sz w:val="21"/>
                <w:szCs w:val="21"/>
                <w:lang w:eastAsia="zh-CN"/>
              </w:rPr>
            </w:pPr>
          </w:p>
        </w:tc>
        <w:tc>
          <w:tcPr>
            <w:tcW w:w="1101" w:type="dxa"/>
            <w:vAlign w:val="center"/>
          </w:tcPr>
          <w:p>
            <w:pPr>
              <w:widowControl w:val="0"/>
              <w:jc w:val="center"/>
              <w:rPr>
                <w:rFonts w:ascii="宋体" w:eastAsia="宋体" w:hAnsi="宋体" w:cs="宋体"/>
                <w:kern w:val="2"/>
                <w:sz w:val="21"/>
                <w:szCs w:val="21"/>
                <w:lang w:eastAsia="zh-CN"/>
              </w:rPr>
            </w:pPr>
          </w:p>
        </w:tc>
        <w:tc>
          <w:tcPr>
            <w:tcW w:w="1080" w:type="dxa"/>
            <w:vAlign w:val="center"/>
          </w:tcPr>
          <w:p>
            <w:pPr>
              <w:widowControl w:val="0"/>
              <w:jc w:val="center"/>
              <w:rPr>
                <w:rFonts w:ascii="宋体" w:eastAsia="宋体" w:hAnsi="宋体" w:cs="宋体"/>
                <w:kern w:val="2"/>
                <w:sz w:val="21"/>
                <w:szCs w:val="21"/>
                <w:lang w:eastAsia="zh-CN"/>
              </w:rPr>
            </w:pPr>
          </w:p>
        </w:tc>
      </w:tr>
    </w:tbl>
    <w:p>
      <w:pPr>
        <w:widowControl w:val="0"/>
        <w:jc w:val="both"/>
        <w:rPr>
          <w:rFonts w:eastAsia="宋体" w:hint="eastAsia"/>
          <w:kern w:val="2"/>
          <w:sz w:val="21"/>
          <w:szCs w:val="21"/>
          <w:lang w:eastAsia="zh-CN"/>
        </w:rPr>
      </w:pPr>
      <w:r>
        <w:rPr>
          <w:rFonts w:eastAsia="宋体" w:hint="eastAsia"/>
          <w:kern w:val="2"/>
          <w:sz w:val="21"/>
          <w:szCs w:val="21"/>
          <w:lang w:eastAsia="zh-CN"/>
        </w:rPr>
        <w:t>（特别提示：以上表格仅供参考。投标人须按本招标文件评标信息中“拟安排的项目主要团队成员（主要技术人员）情况（项目负责人除外）”这一评分因素要求，提供证明资料）</w:t>
      </w:r>
    </w:p>
    <w:p>
      <w:pPr>
        <w:widowControl w:val="0"/>
        <w:jc w:val="both"/>
        <w:rPr>
          <w:rFonts w:eastAsia="宋体" w:hint="eastAsia"/>
          <w:kern w:val="2"/>
          <w:sz w:val="21"/>
          <w:szCs w:val="21"/>
          <w:lang w:eastAsia="zh-CN"/>
        </w:rPr>
      </w:pPr>
    </w:p>
    <w:p>
      <w:pPr>
        <w:widowControl/>
        <w:shd w:val="clear" w:color="auto" w:fill="FFFFFF"/>
        <w:spacing w:line="360" w:lineRule="auto"/>
        <w:jc w:val="left"/>
        <w:outlineLvl w:val="2"/>
        <w:rPr>
          <w:rFonts w:ascii="宋体" w:eastAsia="宋体" w:hAnsi="宋体" w:cs="宋体"/>
          <w:b/>
          <w:shd w:val="clear" w:color="auto" w:fill="FFFFFF"/>
          <w:lang w:eastAsia="zh-CN"/>
        </w:rPr>
      </w:pPr>
      <w:r>
        <w:rPr>
          <w:rFonts w:ascii="宋体" w:eastAsia="宋体" w:hAnsi="宋体" w:cs="宋体" w:hint="eastAsia"/>
          <w:b/>
          <w:shd w:val="clear" w:color="auto" w:fill="FFFFFF"/>
          <w:lang w:eastAsia="zh-CN"/>
        </w:rPr>
        <w:t>（</w:t>
      </w:r>
      <w:r>
        <w:rPr>
          <w:rFonts w:ascii="宋体" w:eastAsia="宋体" w:hAnsi="宋体" w:cs="宋体" w:hint="eastAsia"/>
          <w:b/>
          <w:shd w:val="clear" w:color="auto" w:fill="FFFFFF"/>
          <w:lang w:eastAsia="zh-CN"/>
        </w:rPr>
        <w:t>六</w:t>
      </w:r>
      <w:r>
        <w:rPr>
          <w:rFonts w:ascii="宋体" w:eastAsia="宋体" w:hAnsi="宋体" w:cs="宋体" w:hint="eastAsia"/>
          <w:b/>
          <w:shd w:val="clear" w:color="auto" w:fill="FFFFFF"/>
          <w:lang w:eastAsia="zh-CN"/>
        </w:rPr>
        <w:t>）同类项目业绩</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644"/>
        <w:gridCol w:w="1196"/>
        <w:gridCol w:w="1045"/>
        <w:gridCol w:w="1448"/>
        <w:gridCol w:w="1214"/>
        <w:gridCol w:w="1052"/>
        <w:gridCol w:w="861"/>
        <w:gridCol w:w="106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756"/>
          <w:jc w:val="center"/>
        </w:trPr>
        <w:tc>
          <w:tcPr>
            <w:tcW w:w="675"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序号</w:t>
            </w:r>
          </w:p>
        </w:tc>
        <w:tc>
          <w:tcPr>
            <w:tcW w:w="1267"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采购人</w:t>
            </w:r>
          </w:p>
        </w:tc>
        <w:tc>
          <w:tcPr>
            <w:tcW w:w="1105"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项目名称</w:t>
            </w:r>
          </w:p>
        </w:tc>
        <w:tc>
          <w:tcPr>
            <w:tcW w:w="1538" w:type="dxa"/>
            <w:vAlign w:val="center"/>
          </w:tcPr>
          <w:p>
            <w:pPr>
              <w:widowControl w:val="0"/>
              <w:spacing w:line="276" w:lineRule="auto"/>
              <w:jc w:val="center"/>
              <w:rPr>
                <w:rFonts w:ascii="宋体" w:eastAsia="宋体"/>
                <w:kern w:val="2"/>
                <w:sz w:val="21"/>
                <w:szCs w:val="21"/>
                <w:lang w:eastAsia="zh-CN"/>
              </w:rPr>
            </w:pPr>
            <w:r>
              <w:rPr>
                <w:rFonts w:ascii="宋体" w:eastAsia="宋体" w:hint="eastAsia"/>
                <w:kern w:val="2"/>
                <w:sz w:val="21"/>
                <w:szCs w:val="21"/>
                <w:lang w:eastAsia="zh-CN"/>
              </w:rPr>
              <w:t>合同签订时间</w:t>
            </w:r>
          </w:p>
        </w:tc>
        <w:tc>
          <w:tcPr>
            <w:tcW w:w="1287"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完成时间</w:t>
            </w:r>
          </w:p>
        </w:tc>
        <w:tc>
          <w:tcPr>
            <w:tcW w:w="1113"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服务情况</w:t>
            </w:r>
          </w:p>
        </w:tc>
        <w:tc>
          <w:tcPr>
            <w:tcW w:w="907"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联系人</w:t>
            </w:r>
          </w:p>
        </w:tc>
        <w:tc>
          <w:tcPr>
            <w:tcW w:w="1123"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联系电话</w:t>
            </w:r>
          </w:p>
        </w:tc>
      </w:tr>
      <w:tr>
        <w:tblPrEx>
          <w:tblW w:w="5000" w:type="pct"/>
          <w:jc w:val="center"/>
          <w:tblLayout w:type="fixed"/>
          <w:tblCellMar>
            <w:top w:w="0" w:type="dxa"/>
            <w:left w:w="108" w:type="dxa"/>
            <w:bottom w:w="0" w:type="dxa"/>
            <w:right w:w="108" w:type="dxa"/>
          </w:tblCellMar>
        </w:tblPrEx>
        <w:trPr>
          <w:cantSplit/>
          <w:trHeight w:val="392"/>
          <w:jc w:val="center"/>
        </w:trPr>
        <w:tc>
          <w:tcPr>
            <w:tcW w:w="675" w:type="dxa"/>
          </w:tcPr>
          <w:p>
            <w:pPr>
              <w:widowControl w:val="0"/>
              <w:spacing w:line="276" w:lineRule="auto"/>
              <w:jc w:val="both"/>
              <w:rPr>
                <w:rFonts w:ascii="宋体" w:eastAsia="宋体"/>
                <w:kern w:val="2"/>
                <w:sz w:val="21"/>
                <w:szCs w:val="21"/>
                <w:lang w:eastAsia="zh-CN"/>
              </w:rPr>
            </w:pPr>
          </w:p>
        </w:tc>
        <w:tc>
          <w:tcPr>
            <w:tcW w:w="1267" w:type="dxa"/>
          </w:tcPr>
          <w:p>
            <w:pPr>
              <w:widowControl w:val="0"/>
              <w:spacing w:line="276" w:lineRule="auto"/>
              <w:jc w:val="both"/>
              <w:rPr>
                <w:rFonts w:ascii="宋体" w:eastAsia="宋体"/>
                <w:kern w:val="2"/>
                <w:sz w:val="21"/>
                <w:szCs w:val="21"/>
                <w:lang w:eastAsia="zh-CN"/>
              </w:rPr>
            </w:pPr>
          </w:p>
        </w:tc>
        <w:tc>
          <w:tcPr>
            <w:tcW w:w="1105" w:type="dxa"/>
          </w:tcPr>
          <w:p>
            <w:pPr>
              <w:widowControl w:val="0"/>
              <w:spacing w:line="276" w:lineRule="auto"/>
              <w:jc w:val="both"/>
              <w:rPr>
                <w:rFonts w:ascii="宋体" w:eastAsia="宋体"/>
                <w:kern w:val="2"/>
                <w:sz w:val="21"/>
                <w:szCs w:val="21"/>
                <w:lang w:eastAsia="zh-CN"/>
              </w:rPr>
            </w:pPr>
          </w:p>
        </w:tc>
        <w:tc>
          <w:tcPr>
            <w:tcW w:w="1538" w:type="dxa"/>
          </w:tcPr>
          <w:p>
            <w:pPr>
              <w:widowControl w:val="0"/>
              <w:spacing w:line="276" w:lineRule="auto"/>
              <w:jc w:val="both"/>
              <w:rPr>
                <w:rFonts w:ascii="宋体" w:eastAsia="宋体"/>
                <w:kern w:val="2"/>
                <w:sz w:val="21"/>
                <w:szCs w:val="21"/>
                <w:lang w:eastAsia="zh-CN"/>
              </w:rPr>
            </w:pPr>
          </w:p>
        </w:tc>
        <w:tc>
          <w:tcPr>
            <w:tcW w:w="1287" w:type="dxa"/>
          </w:tcPr>
          <w:p>
            <w:pPr>
              <w:widowControl w:val="0"/>
              <w:spacing w:line="276" w:lineRule="auto"/>
              <w:jc w:val="both"/>
              <w:rPr>
                <w:rFonts w:ascii="宋体" w:eastAsia="宋体"/>
                <w:kern w:val="2"/>
                <w:sz w:val="21"/>
                <w:szCs w:val="21"/>
                <w:lang w:eastAsia="zh-CN"/>
              </w:rPr>
            </w:pPr>
          </w:p>
        </w:tc>
        <w:tc>
          <w:tcPr>
            <w:tcW w:w="1113" w:type="dxa"/>
          </w:tcPr>
          <w:p>
            <w:pPr>
              <w:widowControl w:val="0"/>
              <w:spacing w:line="276" w:lineRule="auto"/>
              <w:jc w:val="both"/>
              <w:rPr>
                <w:rFonts w:ascii="宋体" w:eastAsia="宋体"/>
                <w:kern w:val="2"/>
                <w:sz w:val="21"/>
                <w:szCs w:val="21"/>
                <w:lang w:eastAsia="zh-CN"/>
              </w:rPr>
            </w:pPr>
          </w:p>
        </w:tc>
        <w:tc>
          <w:tcPr>
            <w:tcW w:w="907" w:type="dxa"/>
          </w:tcPr>
          <w:p>
            <w:pPr>
              <w:widowControl w:val="0"/>
              <w:spacing w:line="276" w:lineRule="auto"/>
              <w:jc w:val="both"/>
              <w:rPr>
                <w:rFonts w:ascii="宋体" w:eastAsia="宋体"/>
                <w:kern w:val="2"/>
                <w:sz w:val="21"/>
                <w:szCs w:val="21"/>
                <w:lang w:eastAsia="zh-CN"/>
              </w:rPr>
            </w:pPr>
          </w:p>
        </w:tc>
        <w:tc>
          <w:tcPr>
            <w:tcW w:w="1123" w:type="dxa"/>
          </w:tcPr>
          <w:p>
            <w:pPr>
              <w:widowControl w:val="0"/>
              <w:spacing w:line="276" w:lineRule="auto"/>
              <w:jc w:val="both"/>
              <w:rPr>
                <w:rFonts w:ascii="宋体"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92"/>
          <w:jc w:val="center"/>
        </w:trPr>
        <w:tc>
          <w:tcPr>
            <w:tcW w:w="675" w:type="dxa"/>
          </w:tcPr>
          <w:p>
            <w:pPr>
              <w:widowControl w:val="0"/>
              <w:spacing w:line="276" w:lineRule="auto"/>
              <w:jc w:val="both"/>
              <w:rPr>
                <w:rFonts w:ascii="宋体" w:eastAsia="宋体"/>
                <w:kern w:val="2"/>
                <w:sz w:val="21"/>
                <w:szCs w:val="21"/>
                <w:lang w:eastAsia="zh-CN"/>
              </w:rPr>
            </w:pPr>
          </w:p>
        </w:tc>
        <w:tc>
          <w:tcPr>
            <w:tcW w:w="1267" w:type="dxa"/>
          </w:tcPr>
          <w:p>
            <w:pPr>
              <w:widowControl w:val="0"/>
              <w:spacing w:line="276" w:lineRule="auto"/>
              <w:jc w:val="both"/>
              <w:rPr>
                <w:rFonts w:ascii="宋体" w:eastAsia="宋体"/>
                <w:kern w:val="2"/>
                <w:sz w:val="21"/>
                <w:szCs w:val="21"/>
                <w:lang w:eastAsia="zh-CN"/>
              </w:rPr>
            </w:pPr>
          </w:p>
        </w:tc>
        <w:tc>
          <w:tcPr>
            <w:tcW w:w="1105" w:type="dxa"/>
          </w:tcPr>
          <w:p>
            <w:pPr>
              <w:widowControl w:val="0"/>
              <w:spacing w:line="276" w:lineRule="auto"/>
              <w:jc w:val="both"/>
              <w:rPr>
                <w:rFonts w:ascii="宋体" w:eastAsia="宋体"/>
                <w:kern w:val="2"/>
                <w:sz w:val="21"/>
                <w:szCs w:val="21"/>
                <w:lang w:eastAsia="zh-CN"/>
              </w:rPr>
            </w:pPr>
          </w:p>
        </w:tc>
        <w:tc>
          <w:tcPr>
            <w:tcW w:w="1538" w:type="dxa"/>
          </w:tcPr>
          <w:p>
            <w:pPr>
              <w:widowControl w:val="0"/>
              <w:spacing w:line="276" w:lineRule="auto"/>
              <w:jc w:val="both"/>
              <w:rPr>
                <w:rFonts w:ascii="宋体" w:eastAsia="宋体"/>
                <w:kern w:val="2"/>
                <w:sz w:val="21"/>
                <w:szCs w:val="21"/>
                <w:lang w:eastAsia="zh-CN"/>
              </w:rPr>
            </w:pPr>
          </w:p>
        </w:tc>
        <w:tc>
          <w:tcPr>
            <w:tcW w:w="1287" w:type="dxa"/>
          </w:tcPr>
          <w:p>
            <w:pPr>
              <w:widowControl w:val="0"/>
              <w:spacing w:line="276" w:lineRule="auto"/>
              <w:jc w:val="both"/>
              <w:rPr>
                <w:rFonts w:ascii="宋体" w:eastAsia="宋体"/>
                <w:kern w:val="2"/>
                <w:sz w:val="21"/>
                <w:szCs w:val="21"/>
                <w:lang w:eastAsia="zh-CN"/>
              </w:rPr>
            </w:pPr>
          </w:p>
        </w:tc>
        <w:tc>
          <w:tcPr>
            <w:tcW w:w="1113" w:type="dxa"/>
          </w:tcPr>
          <w:p>
            <w:pPr>
              <w:widowControl w:val="0"/>
              <w:spacing w:line="276" w:lineRule="auto"/>
              <w:jc w:val="both"/>
              <w:rPr>
                <w:rFonts w:ascii="宋体" w:eastAsia="宋体"/>
                <w:kern w:val="2"/>
                <w:sz w:val="21"/>
                <w:szCs w:val="21"/>
                <w:lang w:eastAsia="zh-CN"/>
              </w:rPr>
            </w:pPr>
          </w:p>
        </w:tc>
        <w:tc>
          <w:tcPr>
            <w:tcW w:w="907" w:type="dxa"/>
          </w:tcPr>
          <w:p>
            <w:pPr>
              <w:widowControl w:val="0"/>
              <w:spacing w:line="276" w:lineRule="auto"/>
              <w:jc w:val="both"/>
              <w:rPr>
                <w:rFonts w:ascii="宋体" w:eastAsia="宋体"/>
                <w:kern w:val="2"/>
                <w:sz w:val="21"/>
                <w:szCs w:val="21"/>
                <w:lang w:eastAsia="zh-CN"/>
              </w:rPr>
            </w:pPr>
          </w:p>
        </w:tc>
        <w:tc>
          <w:tcPr>
            <w:tcW w:w="1123" w:type="dxa"/>
          </w:tcPr>
          <w:p>
            <w:pPr>
              <w:widowControl w:val="0"/>
              <w:spacing w:line="276" w:lineRule="auto"/>
              <w:jc w:val="both"/>
              <w:rPr>
                <w:rFonts w:ascii="宋体"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92"/>
          <w:jc w:val="center"/>
        </w:trPr>
        <w:tc>
          <w:tcPr>
            <w:tcW w:w="675" w:type="dxa"/>
          </w:tcPr>
          <w:p>
            <w:pPr>
              <w:widowControl w:val="0"/>
              <w:spacing w:line="276" w:lineRule="auto"/>
              <w:jc w:val="both"/>
              <w:rPr>
                <w:rFonts w:ascii="宋体" w:eastAsia="宋体"/>
                <w:kern w:val="2"/>
                <w:sz w:val="21"/>
                <w:szCs w:val="21"/>
                <w:lang w:eastAsia="zh-CN"/>
              </w:rPr>
            </w:pPr>
          </w:p>
        </w:tc>
        <w:tc>
          <w:tcPr>
            <w:tcW w:w="1267" w:type="dxa"/>
          </w:tcPr>
          <w:p>
            <w:pPr>
              <w:widowControl w:val="0"/>
              <w:spacing w:line="276" w:lineRule="auto"/>
              <w:jc w:val="both"/>
              <w:rPr>
                <w:rFonts w:ascii="宋体" w:eastAsia="宋体"/>
                <w:kern w:val="2"/>
                <w:sz w:val="21"/>
                <w:szCs w:val="21"/>
                <w:lang w:eastAsia="zh-CN"/>
              </w:rPr>
            </w:pPr>
          </w:p>
        </w:tc>
        <w:tc>
          <w:tcPr>
            <w:tcW w:w="1105" w:type="dxa"/>
          </w:tcPr>
          <w:p>
            <w:pPr>
              <w:widowControl w:val="0"/>
              <w:spacing w:line="276" w:lineRule="auto"/>
              <w:jc w:val="both"/>
              <w:rPr>
                <w:rFonts w:ascii="宋体" w:eastAsia="宋体"/>
                <w:kern w:val="2"/>
                <w:sz w:val="21"/>
                <w:szCs w:val="21"/>
                <w:lang w:eastAsia="zh-CN"/>
              </w:rPr>
            </w:pPr>
          </w:p>
        </w:tc>
        <w:tc>
          <w:tcPr>
            <w:tcW w:w="1538" w:type="dxa"/>
          </w:tcPr>
          <w:p>
            <w:pPr>
              <w:widowControl w:val="0"/>
              <w:spacing w:line="276" w:lineRule="auto"/>
              <w:jc w:val="both"/>
              <w:rPr>
                <w:rFonts w:ascii="宋体" w:eastAsia="宋体"/>
                <w:kern w:val="2"/>
                <w:sz w:val="21"/>
                <w:szCs w:val="21"/>
                <w:lang w:eastAsia="zh-CN"/>
              </w:rPr>
            </w:pPr>
          </w:p>
        </w:tc>
        <w:tc>
          <w:tcPr>
            <w:tcW w:w="1287" w:type="dxa"/>
          </w:tcPr>
          <w:p>
            <w:pPr>
              <w:widowControl w:val="0"/>
              <w:spacing w:line="276" w:lineRule="auto"/>
              <w:jc w:val="both"/>
              <w:rPr>
                <w:rFonts w:ascii="宋体" w:eastAsia="宋体"/>
                <w:kern w:val="2"/>
                <w:sz w:val="21"/>
                <w:szCs w:val="21"/>
                <w:lang w:eastAsia="zh-CN"/>
              </w:rPr>
            </w:pPr>
          </w:p>
        </w:tc>
        <w:tc>
          <w:tcPr>
            <w:tcW w:w="1113" w:type="dxa"/>
          </w:tcPr>
          <w:p>
            <w:pPr>
              <w:widowControl w:val="0"/>
              <w:spacing w:line="276" w:lineRule="auto"/>
              <w:jc w:val="both"/>
              <w:rPr>
                <w:rFonts w:ascii="宋体" w:eastAsia="宋体"/>
                <w:kern w:val="2"/>
                <w:sz w:val="21"/>
                <w:szCs w:val="21"/>
                <w:lang w:eastAsia="zh-CN"/>
              </w:rPr>
            </w:pPr>
          </w:p>
        </w:tc>
        <w:tc>
          <w:tcPr>
            <w:tcW w:w="907" w:type="dxa"/>
          </w:tcPr>
          <w:p>
            <w:pPr>
              <w:widowControl w:val="0"/>
              <w:spacing w:line="276" w:lineRule="auto"/>
              <w:jc w:val="both"/>
              <w:rPr>
                <w:rFonts w:ascii="宋体" w:eastAsia="宋体"/>
                <w:kern w:val="2"/>
                <w:sz w:val="21"/>
                <w:szCs w:val="21"/>
                <w:lang w:eastAsia="zh-CN"/>
              </w:rPr>
            </w:pPr>
          </w:p>
        </w:tc>
        <w:tc>
          <w:tcPr>
            <w:tcW w:w="1123" w:type="dxa"/>
          </w:tcPr>
          <w:p>
            <w:pPr>
              <w:widowControl w:val="0"/>
              <w:spacing w:line="276" w:lineRule="auto"/>
              <w:jc w:val="both"/>
              <w:rPr>
                <w:rFonts w:ascii="宋体"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92"/>
          <w:jc w:val="center"/>
        </w:trPr>
        <w:tc>
          <w:tcPr>
            <w:tcW w:w="675" w:type="dxa"/>
          </w:tcPr>
          <w:p>
            <w:pPr>
              <w:widowControl w:val="0"/>
              <w:spacing w:line="276" w:lineRule="auto"/>
              <w:jc w:val="both"/>
              <w:rPr>
                <w:rFonts w:ascii="宋体" w:eastAsia="宋体"/>
                <w:kern w:val="2"/>
                <w:sz w:val="21"/>
                <w:szCs w:val="21"/>
                <w:lang w:eastAsia="zh-CN"/>
              </w:rPr>
            </w:pPr>
          </w:p>
        </w:tc>
        <w:tc>
          <w:tcPr>
            <w:tcW w:w="1267" w:type="dxa"/>
          </w:tcPr>
          <w:p>
            <w:pPr>
              <w:widowControl w:val="0"/>
              <w:spacing w:line="276" w:lineRule="auto"/>
              <w:jc w:val="both"/>
              <w:rPr>
                <w:rFonts w:ascii="宋体" w:eastAsia="宋体"/>
                <w:kern w:val="2"/>
                <w:sz w:val="21"/>
                <w:szCs w:val="21"/>
                <w:lang w:eastAsia="zh-CN"/>
              </w:rPr>
            </w:pPr>
          </w:p>
        </w:tc>
        <w:tc>
          <w:tcPr>
            <w:tcW w:w="1105" w:type="dxa"/>
          </w:tcPr>
          <w:p>
            <w:pPr>
              <w:widowControl w:val="0"/>
              <w:spacing w:line="276" w:lineRule="auto"/>
              <w:jc w:val="both"/>
              <w:rPr>
                <w:rFonts w:ascii="宋体" w:eastAsia="宋体"/>
                <w:kern w:val="2"/>
                <w:sz w:val="21"/>
                <w:szCs w:val="21"/>
                <w:lang w:eastAsia="zh-CN"/>
              </w:rPr>
            </w:pPr>
          </w:p>
        </w:tc>
        <w:tc>
          <w:tcPr>
            <w:tcW w:w="1538" w:type="dxa"/>
          </w:tcPr>
          <w:p>
            <w:pPr>
              <w:widowControl w:val="0"/>
              <w:spacing w:line="276" w:lineRule="auto"/>
              <w:jc w:val="both"/>
              <w:rPr>
                <w:rFonts w:ascii="宋体" w:eastAsia="宋体"/>
                <w:kern w:val="2"/>
                <w:sz w:val="21"/>
                <w:szCs w:val="21"/>
                <w:lang w:eastAsia="zh-CN"/>
              </w:rPr>
            </w:pPr>
          </w:p>
        </w:tc>
        <w:tc>
          <w:tcPr>
            <w:tcW w:w="1287" w:type="dxa"/>
          </w:tcPr>
          <w:p>
            <w:pPr>
              <w:widowControl w:val="0"/>
              <w:spacing w:line="276" w:lineRule="auto"/>
              <w:jc w:val="both"/>
              <w:rPr>
                <w:rFonts w:ascii="宋体" w:eastAsia="宋体"/>
                <w:kern w:val="2"/>
                <w:sz w:val="21"/>
                <w:szCs w:val="21"/>
                <w:lang w:eastAsia="zh-CN"/>
              </w:rPr>
            </w:pPr>
          </w:p>
        </w:tc>
        <w:tc>
          <w:tcPr>
            <w:tcW w:w="1113" w:type="dxa"/>
          </w:tcPr>
          <w:p>
            <w:pPr>
              <w:widowControl w:val="0"/>
              <w:spacing w:line="276" w:lineRule="auto"/>
              <w:jc w:val="both"/>
              <w:rPr>
                <w:rFonts w:ascii="宋体" w:eastAsia="宋体"/>
                <w:kern w:val="2"/>
                <w:sz w:val="21"/>
                <w:szCs w:val="21"/>
                <w:lang w:eastAsia="zh-CN"/>
              </w:rPr>
            </w:pPr>
          </w:p>
        </w:tc>
        <w:tc>
          <w:tcPr>
            <w:tcW w:w="907" w:type="dxa"/>
          </w:tcPr>
          <w:p>
            <w:pPr>
              <w:widowControl w:val="0"/>
              <w:spacing w:line="276" w:lineRule="auto"/>
              <w:jc w:val="both"/>
              <w:rPr>
                <w:rFonts w:ascii="宋体" w:eastAsia="宋体"/>
                <w:kern w:val="2"/>
                <w:sz w:val="21"/>
                <w:szCs w:val="21"/>
                <w:lang w:eastAsia="zh-CN"/>
              </w:rPr>
            </w:pPr>
          </w:p>
        </w:tc>
        <w:tc>
          <w:tcPr>
            <w:tcW w:w="1123" w:type="dxa"/>
          </w:tcPr>
          <w:p>
            <w:pPr>
              <w:widowControl w:val="0"/>
              <w:spacing w:line="276" w:lineRule="auto"/>
              <w:jc w:val="both"/>
              <w:rPr>
                <w:rFonts w:ascii="宋体"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423"/>
          <w:jc w:val="center"/>
        </w:trPr>
        <w:tc>
          <w:tcPr>
            <w:tcW w:w="675" w:type="dxa"/>
          </w:tcPr>
          <w:p>
            <w:pPr>
              <w:widowControl w:val="0"/>
              <w:spacing w:line="276" w:lineRule="auto"/>
              <w:jc w:val="both"/>
              <w:rPr>
                <w:rFonts w:ascii="宋体" w:eastAsia="宋体"/>
                <w:kern w:val="2"/>
                <w:sz w:val="21"/>
                <w:szCs w:val="21"/>
                <w:lang w:eastAsia="zh-CN"/>
              </w:rPr>
            </w:pPr>
          </w:p>
        </w:tc>
        <w:tc>
          <w:tcPr>
            <w:tcW w:w="1267" w:type="dxa"/>
          </w:tcPr>
          <w:p>
            <w:pPr>
              <w:widowControl w:val="0"/>
              <w:spacing w:line="276" w:lineRule="auto"/>
              <w:jc w:val="both"/>
              <w:rPr>
                <w:rFonts w:ascii="宋体" w:eastAsia="宋体"/>
                <w:kern w:val="2"/>
                <w:sz w:val="21"/>
                <w:szCs w:val="21"/>
                <w:lang w:eastAsia="zh-CN"/>
              </w:rPr>
            </w:pPr>
          </w:p>
        </w:tc>
        <w:tc>
          <w:tcPr>
            <w:tcW w:w="1105" w:type="dxa"/>
          </w:tcPr>
          <w:p>
            <w:pPr>
              <w:widowControl w:val="0"/>
              <w:spacing w:line="276" w:lineRule="auto"/>
              <w:jc w:val="both"/>
              <w:rPr>
                <w:rFonts w:ascii="宋体" w:eastAsia="宋体"/>
                <w:kern w:val="2"/>
                <w:sz w:val="21"/>
                <w:szCs w:val="21"/>
                <w:lang w:eastAsia="zh-CN"/>
              </w:rPr>
            </w:pPr>
          </w:p>
        </w:tc>
        <w:tc>
          <w:tcPr>
            <w:tcW w:w="1538" w:type="dxa"/>
          </w:tcPr>
          <w:p>
            <w:pPr>
              <w:widowControl w:val="0"/>
              <w:spacing w:line="276" w:lineRule="auto"/>
              <w:jc w:val="both"/>
              <w:rPr>
                <w:rFonts w:ascii="宋体" w:eastAsia="宋体"/>
                <w:kern w:val="2"/>
                <w:sz w:val="21"/>
                <w:szCs w:val="21"/>
                <w:lang w:eastAsia="zh-CN"/>
              </w:rPr>
            </w:pPr>
          </w:p>
        </w:tc>
        <w:tc>
          <w:tcPr>
            <w:tcW w:w="1287" w:type="dxa"/>
          </w:tcPr>
          <w:p>
            <w:pPr>
              <w:widowControl w:val="0"/>
              <w:spacing w:line="276" w:lineRule="auto"/>
              <w:jc w:val="both"/>
              <w:rPr>
                <w:rFonts w:ascii="宋体" w:eastAsia="宋体"/>
                <w:kern w:val="2"/>
                <w:sz w:val="21"/>
                <w:szCs w:val="21"/>
                <w:lang w:eastAsia="zh-CN"/>
              </w:rPr>
            </w:pPr>
          </w:p>
        </w:tc>
        <w:tc>
          <w:tcPr>
            <w:tcW w:w="1113" w:type="dxa"/>
          </w:tcPr>
          <w:p>
            <w:pPr>
              <w:widowControl w:val="0"/>
              <w:spacing w:line="276" w:lineRule="auto"/>
              <w:jc w:val="both"/>
              <w:rPr>
                <w:rFonts w:ascii="宋体" w:eastAsia="宋体"/>
                <w:kern w:val="2"/>
                <w:sz w:val="21"/>
                <w:szCs w:val="21"/>
                <w:lang w:eastAsia="zh-CN"/>
              </w:rPr>
            </w:pPr>
          </w:p>
        </w:tc>
        <w:tc>
          <w:tcPr>
            <w:tcW w:w="907" w:type="dxa"/>
          </w:tcPr>
          <w:p>
            <w:pPr>
              <w:widowControl w:val="0"/>
              <w:spacing w:line="276" w:lineRule="auto"/>
              <w:jc w:val="both"/>
              <w:rPr>
                <w:rFonts w:ascii="宋体" w:eastAsia="宋体"/>
                <w:kern w:val="2"/>
                <w:sz w:val="21"/>
                <w:szCs w:val="21"/>
                <w:lang w:eastAsia="zh-CN"/>
              </w:rPr>
            </w:pPr>
          </w:p>
        </w:tc>
        <w:tc>
          <w:tcPr>
            <w:tcW w:w="1123" w:type="dxa"/>
          </w:tcPr>
          <w:p>
            <w:pPr>
              <w:widowControl w:val="0"/>
              <w:spacing w:line="276" w:lineRule="auto"/>
              <w:jc w:val="both"/>
              <w:rPr>
                <w:rFonts w:ascii="宋体" w:eastAsia="宋体"/>
                <w:kern w:val="2"/>
                <w:sz w:val="21"/>
                <w:szCs w:val="21"/>
                <w:lang w:eastAsia="zh-CN"/>
              </w:rPr>
            </w:pPr>
          </w:p>
        </w:tc>
      </w:tr>
    </w:tbl>
    <w:p>
      <w:pPr>
        <w:widowControl w:val="0"/>
        <w:spacing w:after="120" w:line="276" w:lineRule="auto"/>
        <w:jc w:val="both"/>
        <w:rPr>
          <w:rFonts w:ascii="Calibri" w:eastAsia="宋体" w:hAnsi="Calibri"/>
          <w:kern w:val="2"/>
          <w:sz w:val="21"/>
          <w:szCs w:val="22"/>
          <w:lang w:eastAsia="zh-CN"/>
        </w:rPr>
      </w:pPr>
      <w:r>
        <w:rPr>
          <w:rFonts w:eastAsia="宋体" w:hint="eastAsia"/>
          <w:kern w:val="2"/>
          <w:sz w:val="21"/>
          <w:szCs w:val="21"/>
          <w:lang w:eastAsia="zh-CN"/>
        </w:rPr>
        <w:t>（特别提示：以上表格仅供参考。投标人须按本招标文件评标信息中“同类项目业绩”这一评分因素要求，提供证明资料）</w:t>
      </w:r>
    </w:p>
    <w:p>
      <w:pPr>
        <w:widowControl/>
        <w:shd w:val="clear" w:color="auto" w:fill="FFFFFF"/>
        <w:spacing w:line="360" w:lineRule="auto"/>
        <w:jc w:val="left"/>
        <w:outlineLvl w:val="2"/>
        <w:rPr>
          <w:rFonts w:ascii="宋体" w:eastAsia="宋体" w:hAnsi="宋体" w:cs="宋体"/>
          <w:b/>
          <w:shd w:val="clear" w:color="auto" w:fill="FFFFFF"/>
          <w:lang w:eastAsia="zh-CN"/>
        </w:rPr>
      </w:pPr>
      <w:bookmarkStart w:id="38" w:name="_Toc59916729"/>
      <w:r>
        <w:rPr>
          <w:rFonts w:ascii="宋体" w:eastAsia="宋体" w:hAnsi="宋体" w:cs="宋体" w:hint="eastAsia"/>
          <w:b/>
          <w:shd w:val="clear" w:color="auto" w:fill="FFFFFF"/>
          <w:lang w:eastAsia="zh-CN"/>
        </w:rPr>
        <w:t>（</w:t>
      </w:r>
      <w:r>
        <w:rPr>
          <w:rFonts w:ascii="宋体" w:eastAsia="宋体" w:hAnsi="宋体" w:cs="宋体" w:hint="eastAsia"/>
          <w:b/>
          <w:shd w:val="clear" w:color="auto" w:fill="FFFFFF"/>
          <w:lang w:eastAsia="zh-CN"/>
        </w:rPr>
        <w:t>七</w:t>
      </w:r>
      <w:r>
        <w:rPr>
          <w:rFonts w:ascii="宋体" w:eastAsia="宋体" w:hAnsi="宋体" w:cs="宋体" w:hint="eastAsia"/>
          <w:b/>
          <w:shd w:val="clear" w:color="auto" w:fill="FFFFFF"/>
          <w:lang w:eastAsia="zh-CN"/>
        </w:rPr>
        <w:t>）</w:t>
      </w:r>
      <w:r>
        <w:rPr>
          <w:rFonts w:ascii="宋体" w:eastAsia="宋体" w:hAnsi="宋体" w:cs="宋体" w:hint="eastAsia"/>
          <w:b/>
          <w:shd w:val="clear" w:color="auto" w:fill="FFFFFF"/>
          <w:lang w:eastAsia="zh-CN"/>
        </w:rPr>
        <w:t>认证情况</w:t>
      </w:r>
    </w:p>
    <w:bookmarkEnd w:id="38"/>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1067"/>
        <w:gridCol w:w="2000"/>
        <w:gridCol w:w="1744"/>
        <w:gridCol w:w="1859"/>
        <w:gridCol w:w="185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469"/>
          <w:jc w:val="center"/>
        </w:trPr>
        <w:tc>
          <w:tcPr>
            <w:tcW w:w="1067"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序号</w:t>
            </w:r>
          </w:p>
        </w:tc>
        <w:tc>
          <w:tcPr>
            <w:tcW w:w="2002"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证书名称</w:t>
            </w:r>
          </w:p>
        </w:tc>
        <w:tc>
          <w:tcPr>
            <w:tcW w:w="1745"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获得日期</w:t>
            </w:r>
          </w:p>
        </w:tc>
        <w:tc>
          <w:tcPr>
            <w:tcW w:w="1861"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颁发机构</w:t>
            </w:r>
          </w:p>
        </w:tc>
        <w:tc>
          <w:tcPr>
            <w:tcW w:w="1854" w:type="dxa"/>
            <w:vAlign w:val="center"/>
          </w:tcPr>
          <w:p>
            <w:pPr>
              <w:widowControl w:val="0"/>
              <w:spacing w:line="276" w:lineRule="auto"/>
              <w:jc w:val="center"/>
              <w:rPr>
                <w:rFonts w:eastAsia="宋体"/>
                <w:kern w:val="2"/>
                <w:sz w:val="21"/>
                <w:lang w:eastAsia="zh-CN"/>
              </w:rPr>
            </w:pPr>
            <w:r>
              <w:rPr>
                <w:rFonts w:eastAsia="宋体" w:hint="eastAsia"/>
                <w:kern w:val="2"/>
                <w:sz w:val="21"/>
                <w:lang w:eastAsia="zh-CN"/>
              </w:rPr>
              <w:t>备注说明</w:t>
            </w:r>
          </w:p>
        </w:tc>
      </w:tr>
      <w:tr>
        <w:tblPrEx>
          <w:tblW w:w="5000" w:type="pct"/>
          <w:jc w:val="center"/>
          <w:tblLayout w:type="fixed"/>
          <w:tblCellMar>
            <w:top w:w="0" w:type="dxa"/>
            <w:left w:w="108" w:type="dxa"/>
            <w:bottom w:w="0" w:type="dxa"/>
            <w:right w:w="108" w:type="dxa"/>
          </w:tblCellMar>
        </w:tblPrEx>
        <w:trPr>
          <w:cantSplit/>
          <w:trHeight w:val="300"/>
          <w:jc w:val="center"/>
        </w:trPr>
        <w:tc>
          <w:tcPr>
            <w:tcW w:w="1067" w:type="dxa"/>
            <w:vAlign w:val="center"/>
          </w:tcPr>
          <w:p>
            <w:pPr>
              <w:widowControl w:val="0"/>
              <w:spacing w:line="276" w:lineRule="auto"/>
              <w:jc w:val="center"/>
              <w:rPr>
                <w:rFonts w:ascii="宋体" w:eastAsia="宋体"/>
                <w:kern w:val="2"/>
                <w:sz w:val="21"/>
                <w:szCs w:val="21"/>
                <w:lang w:eastAsia="zh-CN"/>
              </w:rPr>
            </w:pPr>
          </w:p>
        </w:tc>
        <w:tc>
          <w:tcPr>
            <w:tcW w:w="2002" w:type="dxa"/>
            <w:vAlign w:val="center"/>
          </w:tcPr>
          <w:p>
            <w:pPr>
              <w:widowControl w:val="0"/>
              <w:spacing w:line="276" w:lineRule="auto"/>
              <w:jc w:val="center"/>
              <w:rPr>
                <w:rFonts w:ascii="宋体" w:eastAsia="宋体"/>
                <w:kern w:val="2"/>
                <w:sz w:val="21"/>
                <w:szCs w:val="21"/>
                <w:lang w:eastAsia="zh-CN"/>
              </w:rPr>
            </w:pPr>
          </w:p>
        </w:tc>
        <w:tc>
          <w:tcPr>
            <w:tcW w:w="1745" w:type="dxa"/>
            <w:vAlign w:val="center"/>
          </w:tcPr>
          <w:p>
            <w:pPr>
              <w:widowControl w:val="0"/>
              <w:spacing w:line="276" w:lineRule="auto"/>
              <w:jc w:val="center"/>
              <w:rPr>
                <w:rFonts w:ascii="宋体" w:eastAsia="宋体"/>
                <w:kern w:val="2"/>
                <w:sz w:val="21"/>
                <w:szCs w:val="21"/>
                <w:lang w:eastAsia="zh-CN"/>
              </w:rPr>
            </w:pPr>
          </w:p>
        </w:tc>
        <w:tc>
          <w:tcPr>
            <w:tcW w:w="1861" w:type="dxa"/>
            <w:vAlign w:val="center"/>
          </w:tcPr>
          <w:p>
            <w:pPr>
              <w:widowControl w:val="0"/>
              <w:spacing w:line="276" w:lineRule="auto"/>
              <w:jc w:val="center"/>
              <w:rPr>
                <w:rFonts w:ascii="宋体" w:eastAsia="宋体"/>
                <w:kern w:val="2"/>
                <w:sz w:val="21"/>
                <w:szCs w:val="21"/>
                <w:lang w:eastAsia="zh-CN"/>
              </w:rPr>
            </w:pPr>
          </w:p>
        </w:tc>
        <w:tc>
          <w:tcPr>
            <w:tcW w:w="1854" w:type="dxa"/>
            <w:vAlign w:val="center"/>
          </w:tcPr>
          <w:p>
            <w:pPr>
              <w:widowControl w:val="0"/>
              <w:spacing w:line="276" w:lineRule="auto"/>
              <w:jc w:val="center"/>
              <w:rPr>
                <w:rFonts w:ascii="宋体"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00"/>
          <w:jc w:val="center"/>
        </w:trPr>
        <w:tc>
          <w:tcPr>
            <w:tcW w:w="1067" w:type="dxa"/>
            <w:vAlign w:val="center"/>
          </w:tcPr>
          <w:p>
            <w:pPr>
              <w:widowControl w:val="0"/>
              <w:spacing w:line="276" w:lineRule="auto"/>
              <w:jc w:val="center"/>
              <w:rPr>
                <w:rFonts w:ascii="宋体" w:eastAsia="宋体"/>
                <w:kern w:val="2"/>
                <w:sz w:val="21"/>
                <w:szCs w:val="21"/>
                <w:lang w:eastAsia="zh-CN"/>
              </w:rPr>
            </w:pPr>
          </w:p>
        </w:tc>
        <w:tc>
          <w:tcPr>
            <w:tcW w:w="2002" w:type="dxa"/>
            <w:vAlign w:val="center"/>
          </w:tcPr>
          <w:p>
            <w:pPr>
              <w:widowControl w:val="0"/>
              <w:spacing w:line="276" w:lineRule="auto"/>
              <w:jc w:val="center"/>
              <w:rPr>
                <w:rFonts w:ascii="宋体" w:eastAsia="宋体"/>
                <w:kern w:val="2"/>
                <w:sz w:val="21"/>
                <w:szCs w:val="21"/>
                <w:lang w:eastAsia="zh-CN"/>
              </w:rPr>
            </w:pPr>
          </w:p>
        </w:tc>
        <w:tc>
          <w:tcPr>
            <w:tcW w:w="1745" w:type="dxa"/>
            <w:vAlign w:val="center"/>
          </w:tcPr>
          <w:p>
            <w:pPr>
              <w:widowControl w:val="0"/>
              <w:spacing w:line="276" w:lineRule="auto"/>
              <w:jc w:val="center"/>
              <w:rPr>
                <w:rFonts w:ascii="宋体" w:eastAsia="宋体"/>
                <w:kern w:val="2"/>
                <w:sz w:val="21"/>
                <w:szCs w:val="21"/>
                <w:lang w:eastAsia="zh-CN"/>
              </w:rPr>
            </w:pPr>
          </w:p>
        </w:tc>
        <w:tc>
          <w:tcPr>
            <w:tcW w:w="1861" w:type="dxa"/>
            <w:vAlign w:val="center"/>
          </w:tcPr>
          <w:p>
            <w:pPr>
              <w:widowControl w:val="0"/>
              <w:spacing w:line="276" w:lineRule="auto"/>
              <w:jc w:val="center"/>
              <w:rPr>
                <w:rFonts w:ascii="宋体" w:eastAsia="宋体"/>
                <w:kern w:val="2"/>
                <w:sz w:val="21"/>
                <w:szCs w:val="21"/>
                <w:lang w:eastAsia="zh-CN"/>
              </w:rPr>
            </w:pPr>
          </w:p>
        </w:tc>
        <w:tc>
          <w:tcPr>
            <w:tcW w:w="1854" w:type="dxa"/>
            <w:vAlign w:val="center"/>
          </w:tcPr>
          <w:p>
            <w:pPr>
              <w:widowControl w:val="0"/>
              <w:spacing w:line="276" w:lineRule="auto"/>
              <w:jc w:val="center"/>
              <w:rPr>
                <w:rFonts w:ascii="宋体"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00"/>
          <w:jc w:val="center"/>
        </w:trPr>
        <w:tc>
          <w:tcPr>
            <w:tcW w:w="1067" w:type="dxa"/>
            <w:vAlign w:val="center"/>
          </w:tcPr>
          <w:p>
            <w:pPr>
              <w:widowControl w:val="0"/>
              <w:spacing w:line="276" w:lineRule="auto"/>
              <w:jc w:val="center"/>
              <w:rPr>
                <w:rFonts w:ascii="宋体" w:eastAsia="宋体"/>
                <w:kern w:val="2"/>
                <w:sz w:val="21"/>
                <w:szCs w:val="21"/>
                <w:lang w:eastAsia="zh-CN"/>
              </w:rPr>
            </w:pPr>
          </w:p>
        </w:tc>
        <w:tc>
          <w:tcPr>
            <w:tcW w:w="2002" w:type="dxa"/>
            <w:vAlign w:val="center"/>
          </w:tcPr>
          <w:p>
            <w:pPr>
              <w:widowControl w:val="0"/>
              <w:spacing w:line="276" w:lineRule="auto"/>
              <w:jc w:val="center"/>
              <w:rPr>
                <w:rFonts w:ascii="宋体" w:eastAsia="宋体"/>
                <w:kern w:val="2"/>
                <w:sz w:val="21"/>
                <w:szCs w:val="21"/>
                <w:lang w:eastAsia="zh-CN"/>
              </w:rPr>
            </w:pPr>
          </w:p>
        </w:tc>
        <w:tc>
          <w:tcPr>
            <w:tcW w:w="1745" w:type="dxa"/>
            <w:vAlign w:val="center"/>
          </w:tcPr>
          <w:p>
            <w:pPr>
              <w:widowControl w:val="0"/>
              <w:spacing w:line="276" w:lineRule="auto"/>
              <w:jc w:val="center"/>
              <w:rPr>
                <w:rFonts w:ascii="宋体" w:eastAsia="宋体"/>
                <w:kern w:val="2"/>
                <w:sz w:val="21"/>
                <w:szCs w:val="21"/>
                <w:lang w:eastAsia="zh-CN"/>
              </w:rPr>
            </w:pPr>
          </w:p>
        </w:tc>
        <w:tc>
          <w:tcPr>
            <w:tcW w:w="1861" w:type="dxa"/>
            <w:vAlign w:val="center"/>
          </w:tcPr>
          <w:p>
            <w:pPr>
              <w:widowControl w:val="0"/>
              <w:spacing w:line="276" w:lineRule="auto"/>
              <w:jc w:val="center"/>
              <w:rPr>
                <w:rFonts w:ascii="宋体" w:eastAsia="宋体"/>
                <w:kern w:val="2"/>
                <w:sz w:val="21"/>
                <w:szCs w:val="21"/>
                <w:lang w:eastAsia="zh-CN"/>
              </w:rPr>
            </w:pPr>
          </w:p>
        </w:tc>
        <w:tc>
          <w:tcPr>
            <w:tcW w:w="1854" w:type="dxa"/>
            <w:vAlign w:val="center"/>
          </w:tcPr>
          <w:p>
            <w:pPr>
              <w:widowControl w:val="0"/>
              <w:spacing w:line="276" w:lineRule="auto"/>
              <w:jc w:val="center"/>
              <w:rPr>
                <w:rFonts w:ascii="宋体" w:eastAsia="宋体"/>
                <w:kern w:val="2"/>
                <w:sz w:val="21"/>
                <w:szCs w:val="21"/>
                <w:lang w:eastAsia="zh-CN"/>
              </w:rPr>
            </w:pPr>
          </w:p>
        </w:tc>
      </w:tr>
    </w:tbl>
    <w:p>
      <w:pPr>
        <w:widowControl w:val="0"/>
        <w:jc w:val="both"/>
        <w:rPr>
          <w:rFonts w:ascii="Calibri" w:eastAsia="宋体" w:hAnsi="Calibri"/>
          <w:kern w:val="2"/>
          <w:sz w:val="21"/>
          <w:szCs w:val="22"/>
          <w:lang w:eastAsia="zh-CN"/>
        </w:rPr>
      </w:pPr>
      <w:r>
        <w:rPr>
          <w:rFonts w:eastAsia="宋体" w:hint="eastAsia"/>
          <w:kern w:val="2"/>
          <w:sz w:val="21"/>
          <w:szCs w:val="21"/>
          <w:lang w:eastAsia="zh-CN"/>
        </w:rPr>
        <w:t>（特别提示：以上表格仅供参考。投标人须按本招标文件评标信息中“</w:t>
      </w:r>
      <w:r>
        <w:rPr>
          <w:rFonts w:eastAsia="宋体" w:hint="eastAsia"/>
          <w:kern w:val="2"/>
          <w:sz w:val="21"/>
          <w:szCs w:val="21"/>
          <w:lang w:eastAsia="zh-CN"/>
        </w:rPr>
        <w:t>认证情况</w:t>
      </w:r>
      <w:r>
        <w:rPr>
          <w:rFonts w:eastAsia="宋体" w:hint="eastAsia"/>
          <w:kern w:val="2"/>
          <w:sz w:val="21"/>
          <w:szCs w:val="21"/>
          <w:lang w:eastAsia="zh-CN"/>
        </w:rPr>
        <w:t>”这一评分因素要求，提供证明资料）</w:t>
      </w:r>
    </w:p>
    <w:p>
      <w:pPr>
        <w:widowControl w:val="0"/>
        <w:jc w:val="both"/>
        <w:rPr>
          <w:rFonts w:ascii="Calibri" w:eastAsia="宋体" w:hAnsi="Calibri"/>
          <w:kern w:val="2"/>
          <w:sz w:val="21"/>
          <w:szCs w:val="22"/>
          <w:lang w:eastAsia="zh-CN"/>
        </w:rPr>
      </w:pPr>
    </w:p>
    <w:p>
      <w:pPr>
        <w:widowControl/>
        <w:shd w:val="clear" w:color="auto" w:fill="FFFFFF"/>
        <w:spacing w:line="360" w:lineRule="auto"/>
        <w:jc w:val="left"/>
        <w:outlineLvl w:val="2"/>
        <w:rPr>
          <w:rFonts w:ascii="宋体" w:eastAsia="宋体" w:hAnsi="宋体" w:cs="宋体"/>
          <w:b/>
          <w:shd w:val="clear" w:color="auto" w:fill="FFFFFF"/>
          <w:lang w:eastAsia="zh-CN"/>
        </w:rPr>
      </w:pPr>
      <w:r>
        <w:rPr>
          <w:rFonts w:ascii="宋体" w:eastAsia="宋体" w:hAnsi="宋体" w:cs="宋体" w:hint="eastAsia"/>
          <w:b/>
          <w:shd w:val="clear" w:color="auto" w:fill="FFFFFF"/>
          <w:lang w:eastAsia="zh-CN"/>
        </w:rPr>
        <w:t>（</w:t>
      </w:r>
      <w:r>
        <w:rPr>
          <w:rFonts w:ascii="宋体" w:eastAsia="宋体" w:hAnsi="宋体" w:cs="宋体" w:hint="eastAsia"/>
          <w:b/>
          <w:shd w:val="clear" w:color="auto" w:fill="FFFFFF"/>
          <w:lang w:eastAsia="zh-CN"/>
        </w:rPr>
        <w:t>八</w:t>
      </w:r>
      <w:r>
        <w:rPr>
          <w:rFonts w:ascii="宋体" w:eastAsia="宋体" w:hAnsi="宋体" w:cs="宋体" w:hint="eastAsia"/>
          <w:b/>
          <w:shd w:val="clear" w:color="auto" w:fill="FFFFFF"/>
          <w:lang w:eastAsia="zh-CN"/>
        </w:rPr>
        <w:t>）自主知识产权产品（创新、设计）情况</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1067"/>
        <w:gridCol w:w="2000"/>
        <w:gridCol w:w="1744"/>
        <w:gridCol w:w="1859"/>
        <w:gridCol w:w="185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469"/>
          <w:jc w:val="center"/>
        </w:trPr>
        <w:tc>
          <w:tcPr>
            <w:tcW w:w="1067"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序号</w:t>
            </w:r>
          </w:p>
        </w:tc>
        <w:tc>
          <w:tcPr>
            <w:tcW w:w="2002"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证书名称</w:t>
            </w:r>
          </w:p>
        </w:tc>
        <w:tc>
          <w:tcPr>
            <w:tcW w:w="1745"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获得日期</w:t>
            </w:r>
          </w:p>
        </w:tc>
        <w:tc>
          <w:tcPr>
            <w:tcW w:w="1861"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颁发机构</w:t>
            </w:r>
          </w:p>
        </w:tc>
        <w:tc>
          <w:tcPr>
            <w:tcW w:w="1854" w:type="dxa"/>
            <w:vAlign w:val="center"/>
          </w:tcPr>
          <w:p>
            <w:pPr>
              <w:widowControl w:val="0"/>
              <w:spacing w:line="276" w:lineRule="auto"/>
              <w:jc w:val="center"/>
              <w:rPr>
                <w:rFonts w:eastAsia="宋体"/>
                <w:kern w:val="2"/>
                <w:sz w:val="21"/>
                <w:lang w:eastAsia="zh-CN"/>
              </w:rPr>
            </w:pPr>
            <w:r>
              <w:rPr>
                <w:rFonts w:eastAsia="宋体" w:hint="eastAsia"/>
                <w:kern w:val="2"/>
                <w:sz w:val="21"/>
                <w:lang w:eastAsia="zh-CN"/>
              </w:rPr>
              <w:t>备注说明</w:t>
            </w:r>
          </w:p>
        </w:tc>
      </w:tr>
      <w:tr>
        <w:tblPrEx>
          <w:tblW w:w="5000" w:type="pct"/>
          <w:jc w:val="center"/>
          <w:tblLayout w:type="fixed"/>
          <w:tblCellMar>
            <w:top w:w="0" w:type="dxa"/>
            <w:left w:w="108" w:type="dxa"/>
            <w:bottom w:w="0" w:type="dxa"/>
            <w:right w:w="108" w:type="dxa"/>
          </w:tblCellMar>
        </w:tblPrEx>
        <w:trPr>
          <w:cantSplit/>
          <w:trHeight w:val="300"/>
          <w:jc w:val="center"/>
        </w:trPr>
        <w:tc>
          <w:tcPr>
            <w:tcW w:w="1067" w:type="dxa"/>
            <w:vAlign w:val="center"/>
          </w:tcPr>
          <w:p>
            <w:pPr>
              <w:widowControl w:val="0"/>
              <w:spacing w:line="276" w:lineRule="auto"/>
              <w:jc w:val="center"/>
              <w:rPr>
                <w:rFonts w:ascii="宋体" w:eastAsia="宋体"/>
                <w:kern w:val="2"/>
                <w:sz w:val="21"/>
                <w:szCs w:val="21"/>
                <w:lang w:eastAsia="zh-CN"/>
              </w:rPr>
            </w:pPr>
          </w:p>
        </w:tc>
        <w:tc>
          <w:tcPr>
            <w:tcW w:w="2002" w:type="dxa"/>
            <w:vAlign w:val="center"/>
          </w:tcPr>
          <w:p>
            <w:pPr>
              <w:widowControl w:val="0"/>
              <w:spacing w:line="276" w:lineRule="auto"/>
              <w:jc w:val="center"/>
              <w:rPr>
                <w:rFonts w:ascii="宋体" w:eastAsia="宋体"/>
                <w:kern w:val="2"/>
                <w:sz w:val="21"/>
                <w:szCs w:val="21"/>
                <w:lang w:eastAsia="zh-CN"/>
              </w:rPr>
            </w:pPr>
          </w:p>
        </w:tc>
        <w:tc>
          <w:tcPr>
            <w:tcW w:w="1745" w:type="dxa"/>
            <w:vAlign w:val="center"/>
          </w:tcPr>
          <w:p>
            <w:pPr>
              <w:widowControl w:val="0"/>
              <w:spacing w:line="276" w:lineRule="auto"/>
              <w:jc w:val="center"/>
              <w:rPr>
                <w:rFonts w:ascii="宋体" w:eastAsia="宋体"/>
                <w:kern w:val="2"/>
                <w:sz w:val="21"/>
                <w:szCs w:val="21"/>
                <w:lang w:eastAsia="zh-CN"/>
              </w:rPr>
            </w:pPr>
          </w:p>
        </w:tc>
        <w:tc>
          <w:tcPr>
            <w:tcW w:w="1861" w:type="dxa"/>
            <w:vAlign w:val="center"/>
          </w:tcPr>
          <w:p>
            <w:pPr>
              <w:widowControl w:val="0"/>
              <w:spacing w:line="276" w:lineRule="auto"/>
              <w:jc w:val="center"/>
              <w:rPr>
                <w:rFonts w:ascii="宋体" w:eastAsia="宋体"/>
                <w:kern w:val="2"/>
                <w:sz w:val="21"/>
                <w:szCs w:val="21"/>
                <w:lang w:eastAsia="zh-CN"/>
              </w:rPr>
            </w:pPr>
          </w:p>
        </w:tc>
        <w:tc>
          <w:tcPr>
            <w:tcW w:w="1854" w:type="dxa"/>
            <w:vAlign w:val="center"/>
          </w:tcPr>
          <w:p>
            <w:pPr>
              <w:widowControl w:val="0"/>
              <w:spacing w:line="276" w:lineRule="auto"/>
              <w:jc w:val="center"/>
              <w:rPr>
                <w:rFonts w:ascii="宋体"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00"/>
          <w:jc w:val="center"/>
        </w:trPr>
        <w:tc>
          <w:tcPr>
            <w:tcW w:w="1067" w:type="dxa"/>
            <w:vAlign w:val="center"/>
          </w:tcPr>
          <w:p>
            <w:pPr>
              <w:widowControl w:val="0"/>
              <w:spacing w:line="276" w:lineRule="auto"/>
              <w:jc w:val="center"/>
              <w:rPr>
                <w:rFonts w:ascii="宋体" w:eastAsia="宋体"/>
                <w:kern w:val="2"/>
                <w:sz w:val="21"/>
                <w:szCs w:val="21"/>
                <w:lang w:eastAsia="zh-CN"/>
              </w:rPr>
            </w:pPr>
          </w:p>
        </w:tc>
        <w:tc>
          <w:tcPr>
            <w:tcW w:w="2002" w:type="dxa"/>
            <w:vAlign w:val="center"/>
          </w:tcPr>
          <w:p>
            <w:pPr>
              <w:widowControl w:val="0"/>
              <w:spacing w:line="276" w:lineRule="auto"/>
              <w:jc w:val="center"/>
              <w:rPr>
                <w:rFonts w:ascii="宋体" w:eastAsia="宋体"/>
                <w:kern w:val="2"/>
                <w:sz w:val="21"/>
                <w:szCs w:val="21"/>
                <w:lang w:eastAsia="zh-CN"/>
              </w:rPr>
            </w:pPr>
          </w:p>
        </w:tc>
        <w:tc>
          <w:tcPr>
            <w:tcW w:w="1745" w:type="dxa"/>
            <w:vAlign w:val="center"/>
          </w:tcPr>
          <w:p>
            <w:pPr>
              <w:widowControl w:val="0"/>
              <w:spacing w:line="276" w:lineRule="auto"/>
              <w:jc w:val="center"/>
              <w:rPr>
                <w:rFonts w:ascii="宋体" w:eastAsia="宋体"/>
                <w:kern w:val="2"/>
                <w:sz w:val="21"/>
                <w:szCs w:val="21"/>
                <w:lang w:eastAsia="zh-CN"/>
              </w:rPr>
            </w:pPr>
          </w:p>
        </w:tc>
        <w:tc>
          <w:tcPr>
            <w:tcW w:w="1861" w:type="dxa"/>
            <w:vAlign w:val="center"/>
          </w:tcPr>
          <w:p>
            <w:pPr>
              <w:widowControl w:val="0"/>
              <w:spacing w:line="276" w:lineRule="auto"/>
              <w:jc w:val="center"/>
              <w:rPr>
                <w:rFonts w:ascii="宋体" w:eastAsia="宋体"/>
                <w:kern w:val="2"/>
                <w:sz w:val="21"/>
                <w:szCs w:val="21"/>
                <w:lang w:eastAsia="zh-CN"/>
              </w:rPr>
            </w:pPr>
          </w:p>
        </w:tc>
        <w:tc>
          <w:tcPr>
            <w:tcW w:w="1854" w:type="dxa"/>
            <w:vAlign w:val="center"/>
          </w:tcPr>
          <w:p>
            <w:pPr>
              <w:widowControl w:val="0"/>
              <w:spacing w:line="276" w:lineRule="auto"/>
              <w:jc w:val="center"/>
              <w:rPr>
                <w:rFonts w:ascii="宋体"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00"/>
          <w:jc w:val="center"/>
        </w:trPr>
        <w:tc>
          <w:tcPr>
            <w:tcW w:w="1067" w:type="dxa"/>
            <w:vAlign w:val="center"/>
          </w:tcPr>
          <w:p>
            <w:pPr>
              <w:widowControl w:val="0"/>
              <w:spacing w:line="276" w:lineRule="auto"/>
              <w:jc w:val="center"/>
              <w:rPr>
                <w:rFonts w:ascii="宋体" w:eastAsia="宋体"/>
                <w:kern w:val="2"/>
                <w:sz w:val="21"/>
                <w:szCs w:val="21"/>
                <w:lang w:eastAsia="zh-CN"/>
              </w:rPr>
            </w:pPr>
          </w:p>
        </w:tc>
        <w:tc>
          <w:tcPr>
            <w:tcW w:w="2002" w:type="dxa"/>
            <w:vAlign w:val="center"/>
          </w:tcPr>
          <w:p>
            <w:pPr>
              <w:widowControl w:val="0"/>
              <w:spacing w:line="276" w:lineRule="auto"/>
              <w:jc w:val="center"/>
              <w:rPr>
                <w:rFonts w:ascii="宋体" w:eastAsia="宋体"/>
                <w:kern w:val="2"/>
                <w:sz w:val="21"/>
                <w:szCs w:val="21"/>
                <w:lang w:eastAsia="zh-CN"/>
              </w:rPr>
            </w:pPr>
          </w:p>
        </w:tc>
        <w:tc>
          <w:tcPr>
            <w:tcW w:w="1745" w:type="dxa"/>
            <w:vAlign w:val="center"/>
          </w:tcPr>
          <w:p>
            <w:pPr>
              <w:widowControl w:val="0"/>
              <w:spacing w:line="276" w:lineRule="auto"/>
              <w:jc w:val="center"/>
              <w:rPr>
                <w:rFonts w:ascii="宋体" w:eastAsia="宋体"/>
                <w:kern w:val="2"/>
                <w:sz w:val="21"/>
                <w:szCs w:val="21"/>
                <w:lang w:eastAsia="zh-CN"/>
              </w:rPr>
            </w:pPr>
          </w:p>
        </w:tc>
        <w:tc>
          <w:tcPr>
            <w:tcW w:w="1861" w:type="dxa"/>
            <w:vAlign w:val="center"/>
          </w:tcPr>
          <w:p>
            <w:pPr>
              <w:widowControl w:val="0"/>
              <w:spacing w:line="276" w:lineRule="auto"/>
              <w:jc w:val="center"/>
              <w:rPr>
                <w:rFonts w:ascii="宋体" w:eastAsia="宋体"/>
                <w:kern w:val="2"/>
                <w:sz w:val="21"/>
                <w:szCs w:val="21"/>
                <w:lang w:eastAsia="zh-CN"/>
              </w:rPr>
            </w:pPr>
          </w:p>
        </w:tc>
        <w:tc>
          <w:tcPr>
            <w:tcW w:w="1854" w:type="dxa"/>
            <w:vAlign w:val="center"/>
          </w:tcPr>
          <w:p>
            <w:pPr>
              <w:widowControl w:val="0"/>
              <w:spacing w:line="276" w:lineRule="auto"/>
              <w:jc w:val="center"/>
              <w:rPr>
                <w:rFonts w:ascii="宋体" w:eastAsia="宋体"/>
                <w:kern w:val="2"/>
                <w:sz w:val="21"/>
                <w:szCs w:val="21"/>
                <w:lang w:eastAsia="zh-CN"/>
              </w:rPr>
            </w:pPr>
          </w:p>
        </w:tc>
      </w:tr>
    </w:tbl>
    <w:p>
      <w:pPr>
        <w:widowControl w:val="0"/>
        <w:jc w:val="both"/>
        <w:rPr>
          <w:rFonts w:ascii="Calibri" w:eastAsia="宋体" w:hAnsi="Calibri"/>
          <w:kern w:val="2"/>
          <w:sz w:val="21"/>
          <w:szCs w:val="22"/>
          <w:lang w:eastAsia="zh-CN"/>
        </w:rPr>
      </w:pPr>
      <w:r>
        <w:rPr>
          <w:rFonts w:eastAsia="宋体" w:hint="eastAsia"/>
          <w:kern w:val="2"/>
          <w:sz w:val="21"/>
          <w:szCs w:val="21"/>
          <w:lang w:eastAsia="zh-CN"/>
        </w:rPr>
        <w:t>（特别提示：以上表格仅供参考。投标人须按本招标文件评标信息中“自主知识产权产品（创新、设计）情况”这一评分因素要求，提供证明资料）</w:t>
      </w:r>
    </w:p>
    <w:p>
      <w:pPr>
        <w:widowControl/>
        <w:spacing w:after="120"/>
        <w:jc w:val="left"/>
        <w:rPr>
          <w:rFonts w:ascii="Calibri" w:eastAsia="宋体" w:hAnsi="Calibri"/>
          <w:sz w:val="20"/>
          <w:szCs w:val="20"/>
          <w:lang w:eastAsia="zh-CN"/>
        </w:rPr>
      </w:pPr>
    </w:p>
    <w:p>
      <w:pPr>
        <w:keepNext/>
        <w:keepLines/>
        <w:widowControl w:val="0"/>
        <w:spacing w:before="260" w:after="260"/>
        <w:jc w:val="center"/>
        <w:outlineLvl w:val="2"/>
        <w:rPr>
          <w:rFonts w:ascii="黑体" w:eastAsia="黑体" w:hAnsi="宋体"/>
          <w:kern w:val="2"/>
          <w:szCs w:val="20"/>
          <w:lang w:eastAsia="zh-CN"/>
        </w:rPr>
      </w:pPr>
      <w:r>
        <w:rPr>
          <w:rFonts w:ascii="黑体" w:eastAsia="黑体" w:hAnsi="宋体" w:hint="eastAsia"/>
          <w:kern w:val="2"/>
          <w:szCs w:val="20"/>
          <w:lang w:eastAsia="zh-CN"/>
        </w:rPr>
        <w:t>九、</w:t>
      </w:r>
      <w:bookmarkStart w:id="39" w:name="_Hlk72062872"/>
      <w:r>
        <w:rPr>
          <w:rFonts w:ascii="黑体" w:eastAsia="黑体" w:hAnsi="宋体" w:hint="eastAsia"/>
          <w:kern w:val="2"/>
          <w:szCs w:val="20"/>
          <w:lang w:eastAsia="zh-CN"/>
        </w:rPr>
        <w:t>投标人认为需要加以说明的其他内容</w:t>
      </w:r>
      <w:bookmarkEnd w:id="39"/>
    </w:p>
    <w:p>
      <w:pPr>
        <w:widowControl w:val="0"/>
        <w:spacing w:before="156" w:beforeLines="50" w:after="156" w:afterLines="50" w:line="276" w:lineRule="auto"/>
        <w:jc w:val="center"/>
        <w:rPr>
          <w:rFonts w:ascii="黑体" w:eastAsia="黑体" w:hAnsi="黑体"/>
          <w:kern w:val="2"/>
          <w:lang w:eastAsia="zh-CN"/>
        </w:rPr>
      </w:pPr>
      <w:r>
        <w:rPr>
          <w:rFonts w:ascii="黑体" w:eastAsia="黑体" w:hAnsi="黑体" w:hint="eastAsia"/>
          <w:kern w:val="2"/>
          <w:lang w:eastAsia="zh-CN"/>
        </w:rPr>
        <w:t>（一）政府采购违法行为风险知悉确认书</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本公司在投标前已充分知悉以下情形为参与政府采购活动时的重大风险事项，并承诺已对下述风险提示事项重点排查，做到严谨、诚信、依法依规参与政府采购活动。</w:t>
      </w:r>
    </w:p>
    <w:p>
      <w:pPr>
        <w:widowControl/>
        <w:spacing w:line="276" w:lineRule="auto"/>
        <w:ind w:firstLine="420" w:firstLineChars="200"/>
        <w:jc w:val="left"/>
        <w:rPr>
          <w:rFonts w:ascii="宋体" w:eastAsia="宋体" w:hAnsi="宋体" w:cs="宋体"/>
          <w:b/>
          <w:bCs/>
          <w:sz w:val="21"/>
          <w:szCs w:val="21"/>
          <w:lang w:eastAsia="zh-CN"/>
        </w:rPr>
      </w:pPr>
      <w:r>
        <w:rPr>
          <w:rFonts w:ascii="宋体" w:eastAsia="宋体" w:hAnsi="宋体" w:cs="宋体" w:hint="eastAsia"/>
          <w:b/>
          <w:bCs/>
          <w:sz w:val="21"/>
          <w:szCs w:val="21"/>
          <w:lang w:eastAsia="zh-CN"/>
        </w:rPr>
        <w:t>一、本公司已充分知悉“隐瞒真实情况，提供虚假资料”的法定情形，相关情形包括但不限于：</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（一）通过转让或者租借等方式从其他单位获取资格或者资质证书投标的。</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（二）由其他单位或者其他单位负责人在投标供应商编制的投标文件上加盖印章或者签字的。</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（三）项目负责人或者主要技术人员不是本单位人员的。</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（四）投标保证金不是从投标供应商基本账户转出的。</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（五）其他隐瞒真实情况、提供虚假资料的行为。</w:t>
      </w:r>
    </w:p>
    <w:p>
      <w:pPr>
        <w:widowControl/>
        <w:spacing w:line="276" w:lineRule="auto"/>
        <w:ind w:firstLine="420" w:firstLineChars="200"/>
        <w:jc w:val="left"/>
        <w:rPr>
          <w:rFonts w:ascii="宋体" w:eastAsia="宋体" w:hAnsi="宋体" w:cs="宋体"/>
          <w:b/>
          <w:bCs/>
          <w:sz w:val="21"/>
          <w:szCs w:val="21"/>
          <w:lang w:eastAsia="zh-CN"/>
        </w:rPr>
      </w:pPr>
      <w:r>
        <w:rPr>
          <w:rFonts w:ascii="宋体" w:eastAsia="宋体" w:hAnsi="宋体" w:cs="宋体" w:hint="eastAsia"/>
          <w:b/>
          <w:bCs/>
          <w:sz w:val="21"/>
          <w:szCs w:val="21"/>
          <w:lang w:eastAsia="zh-CN"/>
        </w:rPr>
        <w:t>二、本公司已充分知悉“与其他采购参加人串通投标”的法定情形，相关情形包括但不限于：</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（一）投标供应商之间相互约定给予未中标的供应商利益补偿。</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（二）不同投标供应商的法定代表人、主要经营负责人、项目投标授权代表人、项目负责人、主要技术人员为同一人、属同一单位或者在同一单位缴纳社会保险。</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（三）不同投标供应商的投标文件由同一单位或者同一人编制，或者由同一人分阶段参与编制的。</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（四）不同投标供应商的投标文件或部分投标文件相互混装。</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（五）不同投标供应商的投标文件内容存在非正常一致。</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（六）由同一单位工作人员为两家以上（含两家）供应商进行同一项投标活动的。</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（七）不同投标人的投标报价呈规律性差异。</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（八）不同投标人的投标保证金从同一单位或者个人的账户转出。</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（九）主管部门依照法律、法规认定的其他情形。</w:t>
      </w:r>
    </w:p>
    <w:p>
      <w:pPr>
        <w:widowControl/>
        <w:spacing w:line="276" w:lineRule="auto"/>
        <w:ind w:firstLine="420" w:firstLineChars="200"/>
        <w:jc w:val="left"/>
        <w:rPr>
          <w:rFonts w:ascii="宋体" w:eastAsia="宋体" w:hAnsi="宋体" w:cs="宋体"/>
          <w:b/>
          <w:bCs/>
          <w:sz w:val="21"/>
          <w:szCs w:val="21"/>
          <w:lang w:eastAsia="zh-CN"/>
        </w:rPr>
      </w:pPr>
      <w:r>
        <w:rPr>
          <w:rFonts w:ascii="宋体" w:eastAsia="宋体" w:hAnsi="宋体" w:cs="宋体" w:hint="eastAsia"/>
          <w:b/>
          <w:bCs/>
          <w:sz w:val="21"/>
          <w:szCs w:val="21"/>
          <w:lang w:eastAsia="zh-CN"/>
        </w:rPr>
        <w:t>三、本公司已充分知悉下列情形所对应的法律风险，并在投标前已对相关风险事项进行排查。</w:t>
      </w:r>
    </w:p>
    <w:p>
      <w:pPr>
        <w:widowControl/>
        <w:autoSpaceDE w:val="0"/>
        <w:autoSpaceDN w:val="0"/>
        <w:spacing w:line="276" w:lineRule="auto"/>
        <w:ind w:firstLine="420" w:firstLineChars="200"/>
        <w:jc w:val="left"/>
        <w:rPr>
          <w:rFonts w:ascii="宋体" w:eastAsia="宋体" w:hAnsi="宋体" w:cs="宋体"/>
          <w:b/>
          <w:bCs/>
          <w:spacing w:val="-4"/>
          <w:sz w:val="21"/>
          <w:szCs w:val="21"/>
          <w:lang w:eastAsia="zh-CN"/>
        </w:rPr>
      </w:pPr>
      <w:r>
        <w:rPr>
          <w:rFonts w:ascii="宋体" w:eastAsia="宋体" w:hAnsi="宋体" w:cs="宋体" w:hint="eastAsia"/>
          <w:spacing w:val="-4"/>
          <w:sz w:val="21"/>
          <w:szCs w:val="21"/>
          <w:lang w:eastAsia="zh-CN"/>
        </w:rPr>
        <w:t>（一）对于从其他主体获取的投标资料，供应商应审慎核查，确保投标资料的真实性。</w:t>
      </w:r>
      <w:r>
        <w:rPr>
          <w:rFonts w:ascii="宋体" w:eastAsia="宋体" w:hAnsi="宋体" w:cs="宋体" w:hint="eastAsia"/>
          <w:b/>
          <w:bCs/>
          <w:spacing w:val="-4"/>
          <w:sz w:val="21"/>
          <w:szCs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（三）对于涉及安全生产、特种作业、抢险救灾、防疫等政府采购项目，供应商实施提供虚假资料、串通投标等违法行为的，主管部门将依法从严处理。</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widowControl/>
        <w:autoSpaceDE w:val="0"/>
        <w:autoSpaceDN w:val="0"/>
        <w:spacing w:line="276" w:lineRule="auto"/>
        <w:ind w:firstLine="420" w:firstLineChars="200"/>
        <w:jc w:val="left"/>
        <w:rPr>
          <w:rFonts w:ascii="宋体" w:eastAsia="宋体" w:hAnsi="宋体" w:cs="宋体"/>
          <w:b/>
          <w:bCs/>
          <w:sz w:val="21"/>
          <w:szCs w:val="21"/>
          <w:lang w:eastAsia="zh-CN"/>
        </w:rPr>
      </w:pPr>
      <w:r>
        <w:rPr>
          <w:rFonts w:ascii="宋体" w:eastAsia="宋体" w:hAnsi="宋体" w:cs="宋体" w:hint="eastAsia"/>
          <w:b/>
          <w:bCs/>
          <w:sz w:val="21"/>
          <w:szCs w:val="21"/>
          <w:lang w:eastAsia="zh-CN"/>
        </w:rPr>
        <w:t>四、本公司已充分知悉政府采购违法、违规行为的法律后果。</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autoSpaceDE w:val="0"/>
        <w:autoSpaceDN w:val="0"/>
        <w:spacing w:line="276" w:lineRule="auto"/>
        <w:ind w:firstLine="420" w:firstLineChars="200"/>
        <w:jc w:val="left"/>
        <w:rPr>
          <w:rFonts w:ascii="宋体" w:eastAsia="宋体" w:hAnsi="宋体" w:cs="宋体"/>
          <w:b/>
          <w:bCs/>
          <w:spacing w:val="-4"/>
          <w:sz w:val="21"/>
          <w:szCs w:val="21"/>
          <w:lang w:eastAsia="zh-CN"/>
        </w:rPr>
      </w:pPr>
      <w:r>
        <w:rPr>
          <w:rFonts w:ascii="宋体" w:eastAsia="宋体" w:hAnsi="宋体" w:cs="宋体" w:hint="eastAsia"/>
          <w:b/>
          <w:bCs/>
          <w:spacing w:val="-4"/>
          <w:sz w:val="21"/>
          <w:szCs w:val="21"/>
          <w:lang w:eastAsia="zh-CN"/>
        </w:rPr>
        <w:t>以下文字请投标供应商抄写并确认：“本公司已仔细阅读《政府采购违法行为风险知悉确认书》，充分知悉违法行为的法律后果，并承诺将严谨、诚信、依法依规参与政府采购活动”。</w:t>
      </w:r>
    </w:p>
    <w:p>
      <w:pPr>
        <w:widowControl/>
        <w:autoSpaceDE w:val="0"/>
        <w:autoSpaceDN w:val="0"/>
        <w:spacing w:line="276" w:lineRule="auto"/>
        <w:jc w:val="left"/>
        <w:rPr>
          <w:rFonts w:ascii="宋体" w:eastAsia="宋体" w:hAnsi="宋体" w:cs="宋体"/>
          <w:sz w:val="21"/>
          <w:szCs w:val="21"/>
          <w:u w:val="single"/>
          <w:lang w:eastAsia="zh-CN"/>
        </w:rPr>
      </w:pPr>
      <w:r>
        <w:rPr>
          <w:rFonts w:ascii="宋体" w:eastAsia="宋体" w:hAnsi="宋体" w:cs="宋体" w:hint="eastAsia"/>
          <w:sz w:val="21"/>
          <w:szCs w:val="21"/>
          <w:u w:val="single"/>
          <w:lang w:eastAsia="zh-CN"/>
        </w:rPr>
        <w:t xml:space="preserve">                                                                               </w:t>
      </w:r>
    </w:p>
    <w:p>
      <w:pPr>
        <w:widowControl/>
        <w:autoSpaceDE w:val="0"/>
        <w:autoSpaceDN w:val="0"/>
        <w:spacing w:line="276" w:lineRule="auto"/>
        <w:jc w:val="left"/>
        <w:rPr>
          <w:rFonts w:ascii="宋体" w:eastAsia="宋体" w:hAnsi="宋体" w:cs="宋体"/>
          <w:sz w:val="21"/>
          <w:szCs w:val="21"/>
          <w:u w:val="single"/>
          <w:lang w:eastAsia="zh-CN"/>
        </w:rPr>
      </w:pPr>
      <w:r>
        <w:rPr>
          <w:rFonts w:ascii="宋体" w:eastAsia="宋体" w:hAnsi="宋体" w:cs="宋体" w:hint="eastAsia"/>
          <w:sz w:val="21"/>
          <w:szCs w:val="21"/>
          <w:u w:val="single"/>
          <w:lang w:eastAsia="zh-CN"/>
        </w:rPr>
        <w:t xml:space="preserve">                                                                               </w:t>
      </w:r>
    </w:p>
    <w:p>
      <w:pPr>
        <w:widowControl/>
        <w:autoSpaceDE w:val="0"/>
        <w:autoSpaceDN w:val="0"/>
        <w:spacing w:line="276" w:lineRule="auto"/>
        <w:jc w:val="left"/>
        <w:rPr>
          <w:rFonts w:ascii="宋体" w:eastAsia="宋体" w:hAnsi="宋体" w:cs="宋体"/>
          <w:sz w:val="21"/>
          <w:szCs w:val="21"/>
          <w:u w:val="single"/>
          <w:lang w:eastAsia="zh-CN"/>
        </w:rPr>
      </w:pPr>
      <w:r>
        <w:rPr>
          <w:rFonts w:ascii="宋体" w:eastAsia="宋体" w:hAnsi="宋体" w:cs="宋体" w:hint="eastAsia"/>
          <w:sz w:val="21"/>
          <w:szCs w:val="21"/>
          <w:u w:val="single"/>
          <w:lang w:eastAsia="zh-CN"/>
        </w:rPr>
        <w:t xml:space="preserve">                                                                               </w:t>
      </w:r>
    </w:p>
    <w:p>
      <w:pPr>
        <w:widowControl/>
        <w:autoSpaceDE w:val="0"/>
        <w:autoSpaceDN w:val="0"/>
        <w:spacing w:line="276" w:lineRule="auto"/>
        <w:jc w:val="left"/>
        <w:rPr>
          <w:rFonts w:ascii="宋体" w:eastAsia="宋体" w:hAnsi="宋体" w:cs="宋体"/>
          <w:sz w:val="21"/>
          <w:szCs w:val="21"/>
          <w:u w:val="single"/>
          <w:lang w:eastAsia="zh-CN"/>
        </w:rPr>
      </w:pPr>
      <w:r>
        <w:rPr>
          <w:rFonts w:ascii="宋体" w:eastAsia="宋体" w:hAnsi="宋体" w:cs="宋体" w:hint="eastAsia"/>
          <w:sz w:val="21"/>
          <w:szCs w:val="21"/>
          <w:u w:val="single"/>
          <w:lang w:eastAsia="zh-CN"/>
        </w:rPr>
        <w:t xml:space="preserve">                                                                               </w:t>
      </w:r>
    </w:p>
    <w:p>
      <w:pPr>
        <w:widowControl/>
        <w:autoSpaceDE w:val="0"/>
        <w:autoSpaceDN w:val="0"/>
        <w:spacing w:line="276" w:lineRule="auto"/>
        <w:jc w:val="left"/>
        <w:rPr>
          <w:rFonts w:ascii="宋体" w:eastAsia="宋体" w:hAnsi="宋体" w:cs="宋体"/>
          <w:sz w:val="21"/>
          <w:szCs w:val="21"/>
          <w:lang w:eastAsia="zh-CN"/>
        </w:rPr>
      </w:pPr>
      <w:r>
        <w:rPr>
          <w:rFonts w:ascii="宋体" w:eastAsia="宋体" w:hAnsi="宋体" w:cs="宋体" w:hint="eastAsia"/>
          <w:sz w:val="21"/>
          <w:szCs w:val="21"/>
          <w:lang w:eastAsia="zh-CN"/>
        </w:rPr>
        <w:t xml:space="preserve"> </w:t>
      </w:r>
    </w:p>
    <w:p>
      <w:pPr>
        <w:widowControl/>
        <w:autoSpaceDE w:val="0"/>
        <w:autoSpaceDN w:val="0"/>
        <w:spacing w:line="276" w:lineRule="auto"/>
        <w:jc w:val="right"/>
        <w:rPr>
          <w:rFonts w:ascii="宋体" w:eastAsia="宋体" w:hAnsi="宋体" w:cs="宋体"/>
          <w:sz w:val="21"/>
          <w:szCs w:val="21"/>
          <w:lang w:eastAsia="zh-CN"/>
        </w:rPr>
      </w:pPr>
    </w:p>
    <w:p>
      <w:pPr>
        <w:widowControl/>
        <w:autoSpaceDE w:val="0"/>
        <w:autoSpaceDN w:val="0"/>
        <w:spacing w:line="276" w:lineRule="auto"/>
        <w:ind w:right="1442"/>
        <w:jc w:val="righ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 xml:space="preserve">负责人/投标授权代表签名：              </w:t>
      </w:r>
    </w:p>
    <w:p>
      <w:pPr>
        <w:widowControl/>
        <w:autoSpaceDE w:val="0"/>
        <w:autoSpaceDN w:val="0"/>
        <w:spacing w:line="276" w:lineRule="auto"/>
        <w:ind w:right="1442"/>
        <w:jc w:val="righ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 xml:space="preserve">知悉人（公章）：              </w:t>
      </w:r>
    </w:p>
    <w:p>
      <w:pPr>
        <w:widowControl/>
        <w:autoSpaceDE w:val="0"/>
        <w:autoSpaceDN w:val="0"/>
        <w:spacing w:line="276" w:lineRule="auto"/>
        <w:ind w:right="1442"/>
        <w:jc w:val="right"/>
        <w:rPr>
          <w:rFonts w:ascii="宋体" w:hAnsi="宋体"/>
          <w:spacing w:val="-4"/>
          <w:sz w:val="21"/>
          <w:szCs w:val="21"/>
          <w:lang w:eastAsia="zh-CN"/>
        </w:rPr>
      </w:pPr>
      <w:r>
        <w:rPr>
          <w:rFonts w:ascii="宋体" w:eastAsia="宋体" w:hAnsi="宋体" w:cs="宋体" w:hint="eastAsia"/>
          <w:spacing w:val="-4"/>
          <w:sz w:val="21"/>
          <w:szCs w:val="21"/>
          <w:lang w:eastAsia="zh-CN"/>
        </w:rPr>
        <w:t xml:space="preserve">日期：  </w:t>
      </w:r>
      <w:r>
        <w:rPr>
          <w:rFonts w:ascii="宋体" w:hAnsi="宋体" w:hint="eastAsia"/>
          <w:spacing w:val="-4"/>
          <w:sz w:val="21"/>
          <w:szCs w:val="21"/>
          <w:lang w:eastAsia="zh-CN"/>
        </w:rPr>
        <w:t xml:space="preserve">            </w:t>
      </w:r>
    </w:p>
    <w:p>
      <w:pPr>
        <w:widowControl/>
        <w:autoSpaceDE w:val="0"/>
        <w:autoSpaceDN w:val="0"/>
        <w:ind w:firstLine="420" w:firstLineChars="200"/>
        <w:jc w:val="left"/>
        <w:rPr>
          <w:rFonts w:ascii="宋体" w:hAnsi="宋体"/>
          <w:spacing w:val="-4"/>
          <w:sz w:val="21"/>
          <w:szCs w:val="21"/>
          <w:lang w:eastAsia="zh-CN"/>
        </w:rPr>
      </w:pPr>
    </w:p>
    <w:p>
      <w:pPr>
        <w:widowControl/>
        <w:autoSpaceDE w:val="0"/>
        <w:autoSpaceDN w:val="0"/>
        <w:ind w:firstLine="420" w:firstLineChars="200"/>
        <w:jc w:val="left"/>
        <w:rPr>
          <w:rFonts w:ascii="宋体" w:eastAsia="宋体" w:hAnsi="宋体" w:cs="宋体"/>
          <w:spacing w:val="-4"/>
          <w:sz w:val="21"/>
          <w:szCs w:val="21"/>
          <w:lang w:eastAsia="zh-CN"/>
        </w:rPr>
      </w:pP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注：1.根据《深圳市财政局关于采购文件增加风险告知有关事项的通知》（深财购〔2022〕22号），该风险知悉确认书用于对供应商违法行为的警示，不作为供应商资格性审查及符合性审查条件。</w:t>
      </w:r>
    </w:p>
    <w:p>
      <w:pPr>
        <w:widowControl/>
        <w:autoSpaceDE w:val="0"/>
        <w:autoSpaceDN w:val="0"/>
        <w:spacing w:line="276" w:lineRule="auto"/>
        <w:ind w:firstLine="420" w:firstLineChars="200"/>
        <w:jc w:val="left"/>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2.投标供应商负责人或投标授权代表签字并加盖单位公章后，扫描上传至投标文件一并提交。</w:t>
      </w:r>
    </w:p>
    <w:p>
      <w:pPr>
        <w:widowControl w:val="0"/>
        <w:jc w:val="both"/>
        <w:rPr>
          <w:rFonts w:ascii="Calibri" w:eastAsia="宋体" w:hAnsi="Calibri"/>
          <w:kern w:val="2"/>
          <w:sz w:val="21"/>
          <w:szCs w:val="22"/>
          <w:lang w:eastAsia="zh-CN"/>
        </w:rPr>
      </w:pPr>
    </w:p>
    <w:p>
      <w:pPr>
        <w:widowControl w:val="0"/>
        <w:jc w:val="center"/>
        <w:rPr>
          <w:rFonts w:ascii="宋体" w:eastAsia="宋体" w:hAnsi="宋体"/>
          <w:kern w:val="2"/>
          <w:szCs w:val="20"/>
          <w:lang w:eastAsia="zh-CN"/>
        </w:rPr>
      </w:pPr>
      <w:r>
        <w:rPr>
          <w:rFonts w:ascii="宋体" w:eastAsia="宋体" w:hAnsi="宋体" w:hint="eastAsia"/>
          <w:kern w:val="2"/>
          <w:szCs w:val="20"/>
          <w:lang w:eastAsia="zh-CN"/>
        </w:rPr>
        <w:t>（二）订单融资情况</w:t>
      </w:r>
    </w:p>
    <w:p>
      <w:pPr>
        <w:widowControl w:val="0"/>
        <w:ind w:firstLine="420" w:firstLineChars="200"/>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1、关于政府采购订单融资政策</w:t>
      </w:r>
    </w:p>
    <w:p>
      <w:pPr>
        <w:widowControl w:val="0"/>
        <w:ind w:firstLine="420" w:firstLineChars="200"/>
        <w:jc w:val="both"/>
        <w:rPr>
          <w:rFonts w:ascii="宋体" w:eastAsia="宋体" w:hAnsi="宋体"/>
          <w:bCs/>
          <w:kern w:val="2"/>
          <w:sz w:val="21"/>
          <w:szCs w:val="21"/>
          <w:lang w:eastAsia="zh-CN"/>
        </w:rPr>
      </w:pPr>
      <w:r>
        <w:rPr>
          <w:rFonts w:ascii="宋体" w:eastAsia="宋体" w:hAnsi="宋体" w:hint="eastAsia"/>
          <w:bCs/>
          <w:kern w:val="2"/>
          <w:sz w:val="21"/>
          <w:szCs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0" w:firstLineChars="200"/>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2、供应商账户信息</w:t>
      </w:r>
    </w:p>
    <w:p>
      <w:pPr>
        <w:widowControl w:val="0"/>
        <w:ind w:left="480" w:firstLine="210" w:leftChars="200" w:firstLineChars="100"/>
        <w:jc w:val="both"/>
        <w:rPr>
          <w:rFonts w:ascii="宋体" w:eastAsia="宋体" w:hAnsi="宋体"/>
          <w:kern w:val="2"/>
          <w:sz w:val="21"/>
          <w:szCs w:val="21"/>
          <w:lang w:eastAsia="zh-CN"/>
        </w:rPr>
      </w:pPr>
      <w:r>
        <w:rPr>
          <w:rFonts w:ascii="宋体" w:eastAsia="宋体" w:hAnsi="宋体" w:hint="eastAsia"/>
          <w:kern w:val="2"/>
          <w:sz w:val="21"/>
          <w:szCs w:val="21"/>
          <w:lang w:eastAsia="zh-CN"/>
        </w:rPr>
        <w:t>投标人（单位全称）：</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 xml:space="preserve">；  </w:t>
      </w:r>
    </w:p>
    <w:p>
      <w:pPr>
        <w:widowControl w:val="0"/>
        <w:ind w:left="480" w:firstLine="210" w:leftChars="200" w:firstLineChars="100"/>
        <w:jc w:val="both"/>
        <w:rPr>
          <w:rFonts w:ascii="宋体" w:eastAsia="宋体" w:hAnsi="宋体"/>
          <w:kern w:val="2"/>
          <w:sz w:val="21"/>
          <w:szCs w:val="21"/>
          <w:lang w:eastAsia="zh-CN"/>
        </w:rPr>
      </w:pPr>
      <w:r>
        <w:rPr>
          <w:rFonts w:ascii="宋体" w:eastAsia="宋体" w:hAnsi="宋体" w:hint="eastAsia"/>
          <w:kern w:val="2"/>
          <w:sz w:val="21"/>
          <w:szCs w:val="21"/>
          <w:lang w:eastAsia="zh-CN"/>
        </w:rPr>
        <w:t>投标人单位地址：</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w:t>
      </w:r>
    </w:p>
    <w:p>
      <w:pPr>
        <w:widowControl w:val="0"/>
        <w:ind w:left="480" w:firstLine="210" w:leftChars="200" w:firstLineChars="100"/>
        <w:jc w:val="both"/>
        <w:rPr>
          <w:rFonts w:ascii="宋体" w:eastAsia="宋体" w:hAnsi="宋体"/>
          <w:kern w:val="2"/>
          <w:sz w:val="21"/>
          <w:szCs w:val="21"/>
          <w:lang w:eastAsia="zh-CN"/>
        </w:rPr>
      </w:pPr>
      <w:r>
        <w:rPr>
          <w:rFonts w:ascii="宋体" w:eastAsia="宋体" w:hAnsi="宋体" w:hint="eastAsia"/>
          <w:kern w:val="2"/>
          <w:sz w:val="21"/>
          <w:szCs w:val="21"/>
          <w:lang w:eastAsia="zh-CN"/>
        </w:rPr>
        <w:t>法定代表人（负责人）或其授权委托代理人：</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w:t>
      </w:r>
    </w:p>
    <w:p>
      <w:pPr>
        <w:widowControl w:val="0"/>
        <w:ind w:left="480" w:firstLine="210" w:leftChars="200" w:firstLineChars="100"/>
        <w:jc w:val="both"/>
        <w:rPr>
          <w:rFonts w:ascii="宋体" w:eastAsia="宋体" w:hAnsi="宋体"/>
          <w:kern w:val="2"/>
          <w:sz w:val="21"/>
          <w:szCs w:val="21"/>
          <w:u w:val="thick"/>
          <w:lang w:eastAsia="zh-CN"/>
        </w:rPr>
      </w:pPr>
      <w:r>
        <w:rPr>
          <w:rFonts w:ascii="宋体" w:eastAsia="宋体" w:hAnsi="宋体" w:hint="eastAsia"/>
          <w:kern w:val="2"/>
          <w:sz w:val="21"/>
          <w:szCs w:val="21"/>
          <w:lang w:eastAsia="zh-CN"/>
        </w:rPr>
        <w:t>联系电话：</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w:t>
      </w:r>
      <w:r>
        <w:rPr>
          <w:rFonts w:ascii="宋体" w:eastAsia="宋体" w:hAnsi="宋体" w:hint="eastAsia"/>
          <w:kern w:val="2"/>
          <w:sz w:val="21"/>
          <w:szCs w:val="21"/>
          <w:u w:val="thick"/>
          <w:lang w:eastAsia="zh-CN"/>
        </w:rPr>
        <w:t xml:space="preserve">               </w:t>
      </w:r>
    </w:p>
    <w:p>
      <w:pPr>
        <w:widowControl w:val="0"/>
        <w:ind w:left="480" w:firstLine="210" w:leftChars="200" w:firstLineChars="100"/>
        <w:jc w:val="both"/>
        <w:rPr>
          <w:rFonts w:ascii="宋体" w:eastAsia="宋体" w:hAnsi="宋体"/>
          <w:kern w:val="2"/>
          <w:sz w:val="21"/>
          <w:szCs w:val="21"/>
          <w:lang w:eastAsia="zh-CN"/>
        </w:rPr>
      </w:pPr>
      <w:r>
        <w:rPr>
          <w:rFonts w:ascii="宋体" w:eastAsia="宋体" w:hAnsi="宋体" w:hint="eastAsia"/>
          <w:kern w:val="2"/>
          <w:sz w:val="21"/>
          <w:szCs w:val="21"/>
          <w:lang w:eastAsia="zh-CN"/>
        </w:rPr>
        <w:t>开户银行名称：</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w:t>
      </w:r>
    </w:p>
    <w:p>
      <w:pPr>
        <w:widowControl w:val="0"/>
        <w:ind w:left="480" w:firstLine="210" w:leftChars="200" w:firstLineChars="100"/>
        <w:jc w:val="both"/>
        <w:rPr>
          <w:rFonts w:ascii="宋体" w:eastAsia="宋体" w:hAnsi="宋体"/>
          <w:kern w:val="2"/>
          <w:sz w:val="21"/>
          <w:szCs w:val="21"/>
          <w:u w:val="thick"/>
          <w:lang w:eastAsia="zh-CN"/>
        </w:rPr>
      </w:pPr>
      <w:r>
        <w:rPr>
          <w:rFonts w:ascii="宋体" w:eastAsia="宋体" w:hAnsi="宋体" w:hint="eastAsia"/>
          <w:kern w:val="2"/>
          <w:sz w:val="21"/>
          <w:szCs w:val="21"/>
          <w:lang w:eastAsia="zh-CN"/>
        </w:rPr>
        <w:t>开户银行账号：</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w:t>
      </w:r>
    </w:p>
    <w:p>
      <w:pPr>
        <w:widowControl w:val="0"/>
        <w:ind w:left="480" w:firstLine="210" w:leftChars="200" w:firstLineChars="100"/>
        <w:jc w:val="both"/>
        <w:rPr>
          <w:rFonts w:ascii="宋体" w:eastAsia="宋体" w:hAnsi="宋体"/>
          <w:kern w:val="2"/>
          <w:sz w:val="21"/>
          <w:szCs w:val="21"/>
          <w:lang w:eastAsia="zh-CN"/>
        </w:rPr>
      </w:pPr>
      <w:r>
        <w:rPr>
          <w:rFonts w:ascii="宋体" w:eastAsia="宋体" w:hAnsi="宋体" w:hint="eastAsia"/>
          <w:kern w:val="2"/>
          <w:sz w:val="21"/>
          <w:szCs w:val="21"/>
          <w:lang w:eastAsia="zh-CN"/>
        </w:rPr>
        <w:t>开户银行地址：</w:t>
      </w:r>
      <w:r>
        <w:rPr>
          <w:rFonts w:ascii="宋体" w:eastAsia="宋体" w:hAnsi="宋体" w:hint="eastAsia"/>
          <w:kern w:val="2"/>
          <w:sz w:val="21"/>
          <w:szCs w:val="21"/>
          <w:u w:val="thick"/>
          <w:lang w:eastAsia="zh-CN"/>
        </w:rPr>
        <w:t xml:space="preserve">                                                            </w:t>
      </w:r>
      <w:r>
        <w:rPr>
          <w:rFonts w:ascii="宋体" w:eastAsia="宋体" w:hAnsi="宋体" w:hint="eastAsia"/>
          <w:kern w:val="2"/>
          <w:sz w:val="21"/>
          <w:szCs w:val="21"/>
          <w:lang w:eastAsia="zh-CN"/>
        </w:rPr>
        <w:t>。</w:t>
      </w:r>
    </w:p>
    <w:p>
      <w:pPr>
        <w:widowControl w:val="0"/>
        <w:ind w:left="480" w:firstLine="210" w:leftChars="200" w:firstLineChars="100"/>
        <w:jc w:val="both"/>
        <w:rPr>
          <w:rFonts w:ascii="宋体" w:eastAsia="宋体" w:hAnsi="宋体"/>
          <w:color w:val="FF0000"/>
          <w:kern w:val="2"/>
          <w:sz w:val="21"/>
          <w:szCs w:val="21"/>
          <w:lang w:eastAsia="zh-CN"/>
        </w:rPr>
      </w:pPr>
      <w:r>
        <w:rPr>
          <w:rFonts w:ascii="宋体" w:eastAsia="宋体" w:hAnsi="宋体" w:hint="eastAsia"/>
          <w:color w:val="FF0000"/>
          <w:kern w:val="2"/>
          <w:sz w:val="21"/>
          <w:szCs w:val="21"/>
          <w:lang w:eastAsia="zh-CN"/>
        </w:rPr>
        <w:t xml:space="preserve"> </w:t>
      </w:r>
      <w:r>
        <w:rPr>
          <w:rFonts w:ascii="宋体" w:eastAsia="宋体" w:hAnsi="宋体" w:hint="eastAsia"/>
          <w:b/>
          <w:bCs/>
          <w:color w:val="FF0000"/>
          <w:spacing w:val="-4"/>
          <w:sz w:val="21"/>
          <w:szCs w:val="21"/>
          <w:lang w:eastAsia="zh-CN"/>
        </w:rPr>
        <w:t>注：本项填写内容作为订单融资开展的参考信息，不作为供应商资格性审查及符合性审查条件。</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黑体" w:eastAsia="黑体"/>
          <w:kern w:val="2"/>
          <w:szCs w:val="20"/>
          <w:lang w:eastAsia="zh-CN"/>
        </w:rPr>
      </w:pPr>
      <w:r>
        <w:rPr>
          <w:rFonts w:ascii="黑体" w:eastAsia="黑体" w:hAnsi="黑体"/>
          <w:kern w:val="2"/>
          <w:lang w:eastAsia="zh-CN"/>
        </w:rPr>
        <w:t>（</w:t>
      </w:r>
      <w:r>
        <w:rPr>
          <w:rFonts w:ascii="黑体" w:eastAsia="黑体" w:hAnsi="黑体" w:hint="eastAsia"/>
          <w:kern w:val="2"/>
          <w:lang w:eastAsia="zh-CN"/>
        </w:rPr>
        <w:t>三</w:t>
      </w:r>
      <w:r>
        <w:rPr>
          <w:rFonts w:ascii="黑体" w:eastAsia="黑体" w:hAnsi="黑体"/>
          <w:kern w:val="2"/>
          <w:lang w:eastAsia="zh-CN"/>
        </w:rPr>
        <w:t>）投标人认为需要加以说明的其他内容</w:t>
      </w:r>
      <w:r>
        <w:rPr>
          <w:rFonts w:ascii="黑体" w:eastAsia="黑体" w:hAnsi="黑体" w:hint="eastAsia"/>
          <w:kern w:val="2"/>
          <w:lang w:eastAsia="zh-CN"/>
        </w:rPr>
        <w:t>（格式自定）</w:t>
      </w:r>
    </w:p>
    <w:p>
      <w:pPr>
        <w:widowControl/>
        <w:jc w:val="left"/>
        <w:rPr>
          <w:rFonts w:ascii="宋体" w:eastAsia="宋体" w:hAnsi="宋体"/>
          <w:kern w:val="2"/>
          <w:lang w:eastAsia="zh-CN"/>
        </w:rPr>
      </w:pPr>
      <w:r>
        <w:rPr>
          <w:rFonts w:ascii="宋体" w:eastAsia="宋体" w:hAnsi="宋体" w:cstheme="minorBidi"/>
          <w:kern w:val="2"/>
          <w:lang w:eastAsia="zh-CN"/>
        </w:rPr>
        <w:br w:type="page"/>
      </w:r>
    </w:p>
    <w:p>
      <w:pPr>
        <w:keepNext/>
        <w:keepLines/>
        <w:widowControl w:val="0"/>
        <w:adjustRightInd w:val="0"/>
        <w:spacing w:before="260" w:after="260"/>
        <w:jc w:val="center"/>
        <w:textAlignment w:val="baseline"/>
        <w:outlineLvl w:val="1"/>
        <w:rPr>
          <w:rFonts w:ascii="宋体" w:eastAsia="宋体" w:hAnsi="宋体"/>
          <w:b/>
          <w:bCs/>
          <w:szCs w:val="20"/>
          <w:lang w:eastAsia="zh-CN"/>
        </w:rPr>
      </w:pPr>
      <w:r>
        <w:rPr>
          <w:rFonts w:ascii="宋体" w:eastAsia="宋体" w:hAnsi="宋体" w:hint="eastAsia"/>
          <w:b/>
          <w:bCs/>
          <w:szCs w:val="20"/>
          <w:lang w:eastAsia="zh-CN"/>
        </w:rPr>
        <w:t>第五章  合同条款及格式</w:t>
      </w:r>
    </w:p>
    <w:p>
      <w:pPr>
        <w:widowControl w:val="0"/>
        <w:ind w:firstLine="412" w:firstLineChars="196"/>
        <w:jc w:val="both"/>
        <w:rPr>
          <w:rFonts w:eastAsia="宋体"/>
          <w:kern w:val="2"/>
          <w:sz w:val="21"/>
          <w:lang w:eastAsia="zh-CN"/>
        </w:rPr>
      </w:pPr>
    </w:p>
    <w:p>
      <w:pPr>
        <w:widowControl w:val="0"/>
        <w:jc w:val="center"/>
        <w:rPr>
          <w:rFonts w:ascii="Calibri" w:eastAsia="宋体" w:hAnsi="Calibri"/>
          <w:b/>
          <w:kern w:val="2"/>
          <w:lang w:eastAsia="zh-CN"/>
        </w:rPr>
      </w:pPr>
      <w:r>
        <w:rPr>
          <w:rFonts w:ascii="Calibri" w:eastAsia="宋体" w:hAnsi="Calibri" w:cstheme="minorBidi" w:hint="eastAsia"/>
          <w:b/>
          <w:kern w:val="2"/>
          <w:lang w:eastAsia="zh-CN"/>
        </w:rPr>
        <w:t>（仅供参考，具体以项目需求及采购结果为准）</w:t>
      </w: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甲方：</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乙方：</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pPr>
        <w:widowControl w:val="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根据深圳公共资源交易中心（深圳交易集团有限公司*</w:t>
      </w:r>
      <w:r>
        <w:rPr>
          <w:rFonts w:ascii="宋体" w:eastAsia="宋体" w:hAnsi="宋体"/>
          <w:kern w:val="2"/>
          <w:sz w:val="21"/>
          <w:szCs w:val="21"/>
          <w:lang w:eastAsia="zh-CN"/>
        </w:rPr>
        <w:t>**</w:t>
      </w:r>
      <w:r>
        <w:rPr>
          <w:rFonts w:ascii="宋体" w:eastAsia="宋体" w:hAnsi="宋体" w:hint="eastAsia"/>
          <w:kern w:val="2"/>
          <w:sz w:val="21"/>
          <w:szCs w:val="21"/>
          <w:lang w:eastAsia="zh-CN"/>
        </w:rPr>
        <w:t>分公司）*</w:t>
      </w:r>
      <w:r>
        <w:rPr>
          <w:rFonts w:ascii="宋体" w:eastAsia="宋体" w:hAnsi="宋体"/>
          <w:kern w:val="2"/>
          <w:sz w:val="21"/>
          <w:szCs w:val="21"/>
          <w:lang w:eastAsia="zh-CN"/>
        </w:rPr>
        <w:t>**</w:t>
      </w:r>
      <w:r>
        <w:rPr>
          <w:rFonts w:ascii="宋体" w:eastAsia="宋体" w:hAnsi="宋体" w:hint="eastAsia"/>
          <w:kern w:val="2"/>
          <w:sz w:val="21"/>
          <w:szCs w:val="21"/>
          <w:lang w:eastAsia="zh-CN"/>
        </w:rPr>
        <w:t>号项目结果，*</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服务项目</w:t>
      </w:r>
      <w:r>
        <w:rPr>
          <w:rFonts w:ascii="宋体" w:eastAsia="宋体" w:hAnsi="宋体" w:hint="eastAsia"/>
          <w:kern w:val="2"/>
          <w:sz w:val="21"/>
          <w:szCs w:val="21"/>
          <w:lang w:eastAsia="zh-CN"/>
        </w:rPr>
        <w:t>，达成以下合同条款：</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合同价款：合同总价为元，含一切税、费。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w:t>
      </w:r>
    </w:p>
    <w:p>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3、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 其他合同未明示的相关工作。</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1、合同签订天内完成项目实施的准备工作，包括工作大纲和试验细则的编制；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方的咨询服务</w:t>
      </w:r>
      <w:r>
        <w:rPr>
          <w:rFonts w:eastAsia="宋体" w:hint="eastAsia"/>
          <w:kern w:val="2"/>
          <w:sz w:val="21"/>
          <w:lang w:eastAsia="zh-CN"/>
        </w:rPr>
        <w:t>文件</w:t>
      </w:r>
      <w:r>
        <w:rPr>
          <w:rFonts w:eastAsia="宋体"/>
          <w:kern w:val="2"/>
          <w:sz w:val="21"/>
          <w:lang w:eastAsia="zh-CN"/>
        </w:rPr>
        <w:t>及相关的资料的最后文本，包括为履行技术咨询服务范围所编制的图纸、计划和证明资料等，都属于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方的书面同意，不得将上述资料用于与本咨询服务项目之外的任何项目</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1、负责与本咨询服务项目有关的第三方的协调，提供开展咨询服务工作的外部条件。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2、向乙方提供与本项目咨询服务工作有关的资料。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3、负责组织有关专家对项目试验成果评估报告的评审。</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第七条　乙方的义务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１、应按照招标文件、投标文件要求按期完成本项目咨询服务工作。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2、负责组织项目的实施，保证工程进度和成桥荷载试验工作质量，并满足交通部交工验收相关标准。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向甲方提交检测资料等各套，一套电子版文件。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第八条  甲方的权利</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第九条  乙方的权利</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、乙方在本项目服务过程中，有到工程现场勘察的权利。</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第十条  甲方的责任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第十一条  乙方的责任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第十二条  人员要求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1、参加本项目试验的人员必须具有国家和有关部门规定的相应资质。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 参加本项目的试验人员的配置必须与投标文件中的服务承诺书和试验服务组织实施方案一致。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3、必须以直属试验人员参与本项目服务，不得使用挂靠队伍。</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第十三条  乙方咨询服务工具要求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第十四条  保密要求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 xml:space="preserve">第十五条  验收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三</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3、验收依据为招标文件、投标文件，国家和行业有关规范、规程和标准。</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第十六条  付款方式</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1、合同签订后   天内乙方向甲方开具合法有效的发票后，甲方于   天内向乙方支付合同总价%的款项。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2、检测完成并提交评估报告后  天内，乙方向甲方开具合法有效发票后 天，甲方向乙方支付合同总价%的款项。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3、报告通过专家评审后，甲方向乙方支付合同总价%的款项。</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第十七条  争议解决办法</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执行本合同发生的争议，由甲乙双方协商解决，如协商不成的，应提交甲方所在地人民法院诉讼解决。</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第十八条  风险责任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１、乙方应完全地按照招标文件的要求和乙方投标文件的承诺完成本项目，出于自身财务、技术、人力等原因导致项目失败的，应承担全部责任。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2、乙方在实施荷载试验过程中应对自身的安全生产负责，若非因甲方原因发生的各种事故甲方不承担任何责任。</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第十九条  违约责任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2、由于乙方原因造成试验成果质量低劣，不能满足大纲要求时，应继续完善试验工作，其费用由乙方承担。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第二十条  其他</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1、本合同与招标文件、乙方投标文件如有抵触之处，以本合同条款为准。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（1）号招标文件、答疑及补充通知；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 xml:space="preserve">法定代表人：                     法定代表人： </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委托代理人：                     委托代理人：</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日期：   年     月    日         日期：   年     月    日</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jc w:val="left"/>
        <w:rPr>
          <w:rFonts w:ascii="宋体" w:eastAsia="宋体" w:hAnsi="宋体"/>
          <w:kern w:val="2"/>
          <w:lang w:eastAsia="zh-CN"/>
        </w:rPr>
      </w:pPr>
      <w:r>
        <w:rPr>
          <w:rFonts w:ascii="宋体" w:eastAsia="宋体" w:hAnsi="宋体" w:cstheme="minorBidi"/>
          <w:kern w:val="2"/>
          <w:lang w:eastAsia="zh-CN"/>
        </w:rPr>
        <w:br w:type="page"/>
      </w:r>
    </w:p>
    <w:p>
      <w:pPr>
        <w:keepNext/>
        <w:keepLines/>
        <w:widowControl w:val="0"/>
        <w:adjustRightInd w:val="0"/>
        <w:spacing w:before="156" w:beforeLines="50" w:after="156" w:afterLines="50"/>
        <w:ind w:left="562"/>
        <w:jc w:val="center"/>
        <w:textAlignment w:val="baseline"/>
        <w:outlineLvl w:val="1"/>
        <w:rPr>
          <w:rFonts w:eastAsia="宋体"/>
          <w:b/>
          <w:bCs/>
          <w:sz w:val="28"/>
          <w:szCs w:val="28"/>
          <w:lang w:eastAsia="zh-CN"/>
        </w:rPr>
      </w:pPr>
      <w:r>
        <w:rPr>
          <w:rFonts w:eastAsia="宋体"/>
          <w:b/>
          <w:bCs/>
          <w:sz w:val="28"/>
          <w:szCs w:val="28"/>
          <w:lang w:eastAsia="zh-CN"/>
        </w:rPr>
        <w:t>第二册  通用条款（公开招标）</w:t>
      </w:r>
    </w:p>
    <w:p>
      <w:pPr>
        <w:keepNext/>
        <w:keepLines/>
        <w:widowControl/>
        <w:numPr>
          <w:ilvl w:val="0"/>
          <w:numId w:val="1"/>
        </w:numPr>
        <w:tabs>
          <w:tab w:val="left" w:pos="720"/>
        </w:tabs>
        <w:adjustRightInd w:val="0"/>
        <w:spacing w:before="156" w:beforeLines="50" w:after="156" w:afterLines="50" w:line="276" w:lineRule="auto"/>
        <w:ind w:left="562" w:hanging="562"/>
        <w:jc w:val="center"/>
        <w:textAlignment w:val="baseline"/>
        <w:outlineLvl w:val="1"/>
        <w:rPr>
          <w:rFonts w:eastAsia="宋体"/>
          <w:b/>
          <w:bCs/>
          <w:sz w:val="28"/>
          <w:szCs w:val="28"/>
          <w:lang w:eastAsia="zh-CN"/>
        </w:rPr>
      </w:pPr>
      <w:bookmarkStart w:id="40" w:name="_Hlk72399513"/>
      <w:r>
        <w:rPr>
          <w:rFonts w:eastAsia="宋体"/>
          <w:b/>
          <w:bCs/>
          <w:sz w:val="28"/>
          <w:szCs w:val="28"/>
          <w:lang w:eastAsia="zh-CN"/>
        </w:rPr>
        <w:t>总则</w:t>
      </w:r>
    </w:p>
    <w:bookmarkEnd w:id="40"/>
    <w:p>
      <w:pPr>
        <w:widowControl w:val="0"/>
        <w:spacing w:line="276" w:lineRule="auto"/>
        <w:jc w:val="both"/>
        <w:rPr>
          <w:rFonts w:eastAsia="黑体"/>
          <w:kern w:val="2"/>
          <w:lang w:eastAsia="zh-CN"/>
        </w:rPr>
      </w:pPr>
      <w:r>
        <w:rPr>
          <w:rFonts w:eastAsia="黑体"/>
          <w:kern w:val="2"/>
          <w:lang w:eastAsia="zh-CN"/>
        </w:rPr>
        <w:t>1. 通用条款说明</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1.1政府集中采购机构发出招标文件通用条款版本，列出深圳市政府采购项目进行招标采购所适用的通用条款内容。</w:t>
      </w:r>
      <w:bookmarkStart w:id="41" w:name="_Hlk72399729"/>
      <w:r>
        <w:rPr>
          <w:rFonts w:eastAsia="宋体"/>
          <w:kern w:val="2"/>
          <w:sz w:val="21"/>
          <w:szCs w:val="21"/>
          <w:lang w:eastAsia="zh-CN"/>
        </w:rPr>
        <w:t>如有需要，政府集中采购机构可以对通用条款的内容进行补充。</w:t>
      </w:r>
      <w:bookmarkEnd w:id="41"/>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1.2招标文件分为第一册“专用条款”和第二册“通用条款”。</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1.4“通用条款”是适用于政府采购公开招标项目的基础性条款，具有普遍性和通用性。</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1.5 “专用条款”和“通用条款”表述不一致或有冲突时，以“专用条款”为准。</w:t>
      </w:r>
    </w:p>
    <w:p>
      <w:pPr>
        <w:widowControl w:val="0"/>
        <w:spacing w:line="276" w:lineRule="auto"/>
        <w:jc w:val="both"/>
        <w:rPr>
          <w:rFonts w:eastAsia="黑体"/>
          <w:kern w:val="2"/>
          <w:lang w:eastAsia="zh-CN"/>
        </w:rPr>
      </w:pPr>
      <w:r>
        <w:rPr>
          <w:rFonts w:eastAsia="黑体"/>
          <w:kern w:val="2"/>
          <w:lang w:eastAsia="zh-CN"/>
        </w:rPr>
        <w:t>2．招标说明</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本项目按照《深圳经济特区政府采购条例》、《深圳经济特区政府采购条例实施细则》及政府采购其他法律法规，通过公开招标方式确定中标供应商。</w:t>
      </w:r>
    </w:p>
    <w:p>
      <w:pPr>
        <w:widowControl w:val="0"/>
        <w:spacing w:line="276" w:lineRule="auto"/>
        <w:jc w:val="both"/>
        <w:rPr>
          <w:rFonts w:eastAsia="黑体"/>
          <w:kern w:val="2"/>
          <w:lang w:eastAsia="zh-CN"/>
        </w:rPr>
      </w:pPr>
      <w:r>
        <w:rPr>
          <w:rFonts w:eastAsia="黑体"/>
          <w:kern w:val="2"/>
          <w:lang w:eastAsia="zh-CN"/>
        </w:rPr>
        <w:t>3．定义</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招标文件中下列术语应解释为：</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3.1“采购人”：指利用财政性资金依法进行政府采购的国家机关、事业单位、团体组织；</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3.2 “政府集中采购机构”</w:t>
      </w:r>
      <w:r>
        <w:rPr>
          <w:rFonts w:eastAsia="宋体"/>
          <w:kern w:val="2"/>
          <w:sz w:val="21"/>
          <w:szCs w:val="21"/>
          <w:shd w:val="clear" w:color="auto" w:fill="FFFFFF"/>
          <w:lang w:eastAsia="zh-CN"/>
        </w:rPr>
        <w:t>是指市政府设立的，组织实施政府采购项目，并对政府采购活动提供服务的专门机构；</w:t>
      </w:r>
      <w:r>
        <w:rPr>
          <w:rFonts w:eastAsia="宋体"/>
          <w:kern w:val="2"/>
          <w:sz w:val="21"/>
          <w:szCs w:val="21"/>
          <w:lang w:eastAsia="zh-CN"/>
        </w:rPr>
        <w:t>本文件所述的“政府集中采购机构”指</w:t>
      </w:r>
      <w:r>
        <w:rPr>
          <w:rFonts w:eastAsia="宋体"/>
          <w:b/>
          <w:bCs/>
          <w:kern w:val="2"/>
          <w:sz w:val="21"/>
          <w:szCs w:val="21"/>
          <w:lang w:eastAsia="zh-CN"/>
        </w:rPr>
        <w:t>深圳公共资源交易中心</w:t>
      </w:r>
      <w:r>
        <w:rPr>
          <w:rFonts w:eastAsia="宋体"/>
          <w:kern w:val="2"/>
          <w:sz w:val="21"/>
          <w:szCs w:val="21"/>
          <w:lang w:eastAsia="zh-CN"/>
        </w:rPr>
        <w:t>；</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3.3“投标人”，即供应商，指参加投标竞争并愿意按照招标文件要求向采购人提供货物、工程或者服务的依法成立的法人、其他组织或者自然人；</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3.4“中标候选人”即“候选中标供应商”</w:t>
      </w:r>
      <w:r>
        <w:rPr>
          <w:rFonts w:ascii="宋体" w:eastAsia="宋体" w:hint="eastAsia"/>
          <w:sz w:val="21"/>
          <w:szCs w:val="21"/>
          <w:lang w:eastAsia="zh-CN"/>
        </w:rPr>
        <w:t>；</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3.5“评审委员会”是依据《深圳经济特区政府采购条例》、《深圳经济特区政府采购条例实施细则》等有关规定组建的专门负责本次招标其评审工作的临时性机构；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3.6“日期”指公历日；</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3.7“合同”指由本次招标所产生的合同或合约文件；</w:t>
      </w:r>
    </w:p>
    <w:p>
      <w:pPr>
        <w:widowControl w:val="0"/>
        <w:suppressAutoHyphens/>
        <w:wordWrap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3.8“电子投标文件”指利用</w:t>
      </w:r>
      <w:r>
        <w:rPr>
          <w:rFonts w:eastAsia="宋体"/>
          <w:b/>
          <w:bCs/>
          <w:color w:val="FF0000"/>
          <w:kern w:val="2"/>
          <w:sz w:val="21"/>
          <w:szCs w:val="21"/>
          <w:lang w:eastAsia="zh-CN"/>
        </w:rPr>
        <w:t>深圳公共资源交易中心（深圳交易集团有限公司</w:t>
      </w:r>
      <w:r>
        <w:rPr>
          <w:rFonts w:eastAsia="宋体" w:hint="eastAsia"/>
          <w:b/>
          <w:bCs/>
          <w:color w:val="FF0000"/>
          <w:kern w:val="2"/>
          <w:sz w:val="21"/>
          <w:szCs w:val="21"/>
          <w:lang w:eastAsia="zh-CN"/>
        </w:rPr>
        <w:t>南山</w:t>
      </w:r>
      <w:r>
        <w:rPr>
          <w:rFonts w:eastAsia="宋体"/>
          <w:b/>
          <w:bCs/>
          <w:color w:val="FF0000"/>
          <w:kern w:val="2"/>
          <w:sz w:val="21"/>
          <w:szCs w:val="21"/>
          <w:lang w:eastAsia="zh-CN"/>
        </w:rPr>
        <w:t>分公司）</w:t>
      </w:r>
      <w:r>
        <w:rPr>
          <w:rFonts w:eastAsia="宋体"/>
          <w:kern w:val="2"/>
          <w:sz w:val="21"/>
          <w:szCs w:val="21"/>
          <w:lang w:eastAsia="zh-CN"/>
        </w:rPr>
        <w:t>网站提供的</w:t>
      </w:r>
      <w:r>
        <w:rPr>
          <w:rFonts w:eastAsia="宋体" w:hint="eastAsia"/>
          <w:kern w:val="2"/>
          <w:sz w:val="21"/>
          <w:lang w:eastAsia="zh-CN"/>
        </w:rPr>
        <w:t>深圳市自行采购系统投标文件制作专用软件（以下简称：投标文件制作软件）制作并加密的投标文件，适用于网上投标；（投标文件制作软件可从“下载地址：</w:t>
      </w:r>
      <w:r>
        <w:rPr>
          <w:rFonts w:eastAsia="宋体"/>
          <w:kern w:val="2"/>
          <w:sz w:val="21"/>
          <w:lang w:eastAsia="zh-CN"/>
        </w:rPr>
        <w:t>https://www.szggzy.com/jyfw/details.html?contentId=2053275</w:t>
      </w:r>
      <w:r>
        <w:rPr>
          <w:rFonts w:eastAsia="宋体" w:hint="eastAsia"/>
          <w:kern w:val="2"/>
          <w:sz w:val="21"/>
          <w:lang w:eastAsia="zh-CN"/>
        </w:rPr>
        <w:t>深圳市自行采购系统投标文件编制工具”下载）</w:t>
      </w:r>
      <w:r>
        <w:rPr>
          <w:rFonts w:eastAsia="宋体"/>
          <w:kern w:val="2"/>
          <w:sz w:val="21"/>
          <w:szCs w:val="21"/>
          <w:lang w:eastAsia="zh-CN"/>
        </w:rPr>
        <w:t>；</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3.9“网上投标”指通过</w:t>
      </w:r>
      <w:r>
        <w:rPr>
          <w:rFonts w:eastAsia="宋体"/>
          <w:b/>
          <w:bCs/>
          <w:color w:val="FF0000"/>
          <w:kern w:val="2"/>
          <w:sz w:val="21"/>
          <w:szCs w:val="21"/>
          <w:lang w:eastAsia="zh-CN"/>
        </w:rPr>
        <w:t>深圳公共资源交易中心（深圳交易集团有限公司</w:t>
      </w:r>
      <w:r>
        <w:rPr>
          <w:rFonts w:eastAsia="宋体" w:hint="eastAsia"/>
          <w:b/>
          <w:bCs/>
          <w:color w:val="FF0000"/>
          <w:kern w:val="2"/>
          <w:sz w:val="21"/>
          <w:szCs w:val="21"/>
          <w:lang w:eastAsia="zh-CN"/>
        </w:rPr>
        <w:t>南山</w:t>
      </w:r>
      <w:r>
        <w:rPr>
          <w:rFonts w:eastAsia="宋体"/>
          <w:b/>
          <w:bCs/>
          <w:color w:val="FF0000"/>
          <w:kern w:val="2"/>
          <w:sz w:val="21"/>
          <w:szCs w:val="21"/>
          <w:lang w:eastAsia="zh-CN"/>
        </w:rPr>
        <w:t>分公司）</w:t>
      </w:r>
      <w:r>
        <w:rPr>
          <w:rFonts w:eastAsia="宋体"/>
          <w:kern w:val="2"/>
          <w:sz w:val="21"/>
          <w:szCs w:val="21"/>
          <w:lang w:eastAsia="zh-CN"/>
        </w:rPr>
        <w:t>网站上传电子投标文件；</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3.10招标文件中的标题或题名仅起引导作用，而不应视为对招标文件内容的理解和解释。</w:t>
      </w:r>
    </w:p>
    <w:p>
      <w:pPr>
        <w:widowControl w:val="0"/>
        <w:spacing w:line="276" w:lineRule="auto"/>
        <w:jc w:val="both"/>
        <w:rPr>
          <w:rFonts w:eastAsia="黑体"/>
          <w:kern w:val="2"/>
          <w:lang w:eastAsia="zh-CN"/>
        </w:rPr>
      </w:pPr>
      <w:r>
        <w:rPr>
          <w:rFonts w:eastAsia="黑体"/>
          <w:kern w:val="2"/>
          <w:lang w:eastAsia="zh-CN"/>
        </w:rPr>
        <w:t xml:space="preserve">4. </w:t>
      </w:r>
      <w:bookmarkStart w:id="42" w:name="_Hlk72398643"/>
      <w:r>
        <w:rPr>
          <w:rFonts w:eastAsia="黑体"/>
          <w:kern w:val="2"/>
          <w:lang w:eastAsia="zh-CN"/>
        </w:rPr>
        <w:t>政府采购供应商责任</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4.1欢迎诚信、有实力和有社会责任心的供应商参与政府采购事业。</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spacing w:line="276" w:lineRule="auto"/>
        <w:jc w:val="both"/>
        <w:rPr>
          <w:rFonts w:eastAsia="黑体"/>
          <w:kern w:val="2"/>
          <w:lang w:eastAsia="zh-CN"/>
        </w:rPr>
      </w:pPr>
      <w:r>
        <w:rPr>
          <w:rFonts w:eastAsia="黑体"/>
          <w:kern w:val="2"/>
          <w:lang w:eastAsia="zh-CN"/>
        </w:rPr>
        <w:t>5．投标人参加政府采购的条件</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5.1投标人应在投标前到</w:t>
      </w:r>
      <w:r>
        <w:rPr>
          <w:rFonts w:eastAsia="宋体"/>
          <w:b/>
          <w:bCs/>
          <w:kern w:val="2"/>
          <w:sz w:val="21"/>
          <w:szCs w:val="21"/>
          <w:lang w:eastAsia="zh-CN"/>
        </w:rPr>
        <w:t>深圳公共资源交易中心（具体在深圳交易集团有限公司政府采购业务分公司进行办理）</w:t>
      </w:r>
      <w:r>
        <w:rPr>
          <w:rFonts w:eastAsia="宋体"/>
          <w:kern w:val="2"/>
          <w:sz w:val="21"/>
          <w:szCs w:val="21"/>
          <w:lang w:eastAsia="zh-CN"/>
        </w:rPr>
        <w:t>进行注册并办理电子密钥。</w:t>
      </w:r>
      <w:r>
        <w:rPr>
          <w:rFonts w:eastAsia="宋体" w:hint="eastAsia"/>
          <w:kern w:val="2"/>
          <w:sz w:val="21"/>
          <w:szCs w:val="21"/>
          <w:lang w:eastAsia="zh-CN"/>
        </w:rPr>
        <w:t>《供应商注册及信息变更指引》详见www.szggzy.com网站“交易服务指南-政府采购”。</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5.2投标人资格要求</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参加本项目的投标人应具备的资格条件详见本项目招标公告中 “投标人资格要求”（即申请人的资格要求）的内容。</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5.3联合体投标</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5.3.1</w:t>
      </w:r>
      <w:r>
        <w:rPr>
          <w:rFonts w:eastAsia="宋体" w:hint="eastAsia"/>
          <w:kern w:val="2"/>
          <w:sz w:val="21"/>
          <w:szCs w:val="21"/>
          <w:lang w:eastAsia="zh-CN"/>
        </w:rPr>
        <w:t xml:space="preserve">  </w:t>
      </w:r>
      <w:r>
        <w:rPr>
          <w:rFonts w:eastAsia="宋体"/>
          <w:kern w:val="2"/>
          <w:sz w:val="21"/>
          <w:szCs w:val="21"/>
          <w:lang w:eastAsia="zh-CN"/>
        </w:rPr>
        <w:t>以下有关联合体投标的条款仅适用于允许投标人组成联合体投标的项目。</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5.3.2  由两个或两个以上的自然人、法人或者其他组织可以组成一个联合体，以一个供应商的身份共同投标时，应符合以下原则：</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（1）投标联合体各方参加政府采购活动应当具备下列条件：</w:t>
      </w:r>
    </w:p>
    <w:p>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具有独立承担民事责任的能力；</w:t>
      </w:r>
    </w:p>
    <w:p>
      <w:pPr>
        <w:widowControl w:val="0"/>
        <w:spacing w:line="276" w:lineRule="auto"/>
        <w:ind w:left="420" w:firstLine="412" w:firstLineChars="196"/>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eastAsia="宋体"/>
          <w:kern w:val="2"/>
          <w:sz w:val="21"/>
          <w:lang w:eastAsia="zh-CN"/>
        </w:rPr>
        <w:t>有良好的商业信誉和健全的财务会计制度；</w:t>
      </w:r>
    </w:p>
    <w:p>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3</w:t>
      </w:r>
      <w:r>
        <w:rPr>
          <w:rFonts w:eastAsia="宋体" w:hint="eastAsia"/>
          <w:kern w:val="2"/>
          <w:sz w:val="21"/>
          <w:lang w:eastAsia="zh-CN"/>
        </w:rPr>
        <w:t>.</w:t>
      </w:r>
      <w:r>
        <w:rPr>
          <w:rFonts w:eastAsia="宋体"/>
          <w:kern w:val="2"/>
          <w:sz w:val="21"/>
          <w:lang w:eastAsia="zh-CN"/>
        </w:rPr>
        <w:t>具有履行合同所必需的设备和专业技术能力；</w:t>
      </w:r>
    </w:p>
    <w:p>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4</w:t>
      </w:r>
      <w:r>
        <w:rPr>
          <w:rFonts w:eastAsia="宋体" w:hint="eastAsia"/>
          <w:kern w:val="2"/>
          <w:sz w:val="21"/>
          <w:lang w:eastAsia="zh-CN"/>
        </w:rPr>
        <w:t>.</w:t>
      </w:r>
      <w:r>
        <w:rPr>
          <w:rFonts w:eastAsia="宋体"/>
          <w:kern w:val="2"/>
          <w:sz w:val="21"/>
          <w:lang w:eastAsia="zh-CN"/>
        </w:rPr>
        <w:t>有依法缴纳税收和社会保障资金的良好记录；</w:t>
      </w:r>
    </w:p>
    <w:p>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5</w:t>
      </w:r>
      <w:r>
        <w:rPr>
          <w:rFonts w:eastAsia="宋体" w:hint="eastAsia"/>
          <w:kern w:val="2"/>
          <w:sz w:val="21"/>
          <w:lang w:eastAsia="zh-CN"/>
        </w:rPr>
        <w:t>.</w:t>
      </w:r>
      <w:r>
        <w:rPr>
          <w:rFonts w:eastAsia="宋体"/>
          <w:kern w:val="2"/>
          <w:sz w:val="21"/>
          <w:lang w:eastAsia="zh-CN"/>
        </w:rPr>
        <w:t>参加政府采购活动前三年内，在经营活动中没有重大违法记录；</w:t>
      </w:r>
    </w:p>
    <w:p>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6</w:t>
      </w:r>
      <w:r>
        <w:rPr>
          <w:rFonts w:eastAsia="宋体" w:hint="eastAsia"/>
          <w:kern w:val="2"/>
          <w:sz w:val="21"/>
          <w:lang w:eastAsia="zh-CN"/>
        </w:rPr>
        <w:t>.</w:t>
      </w:r>
      <w:r>
        <w:rPr>
          <w:rFonts w:eastAsia="宋体"/>
          <w:kern w:val="2"/>
          <w:sz w:val="21"/>
          <w:lang w:eastAsia="zh-CN"/>
        </w:rPr>
        <w:t>法律、行政法规规定的其他条件。</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（2）在投标截止前，投标联合体各方均应注册成政府集中采购机构供应商；</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（3）联合体中有同类资质的供应商按照联合体分工承担相同工作的，应当按照资质等级较低的供应商确定资质等级；</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（4）是否允许联合体参加投标，应当由采购人和采购代理机构根据项目的实际情况和潜在供应商的数量自主决定，如果决定接受联合体投标则应当在招标公告中明示；</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（5）投标人的投标文件及中标后签署的合同协议对联合体各方均具法律约束力；</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（6）联合体各方应当签订联合体投标协议，明确约定各方拟承担的工作和责任，并将该协议随投标文件一并递交给政府集中采购机构；</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（7）联合体中标后，联合体各方应当共同与采购人签订合同，就中标项目向采购人承担连带责任；</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widowControl w:val="0"/>
        <w:spacing w:line="276" w:lineRule="auto"/>
        <w:ind w:firstLine="412" w:firstLineChars="196"/>
        <w:jc w:val="both"/>
        <w:rPr>
          <w:rFonts w:eastAsia="宋体"/>
          <w:kern w:val="2"/>
          <w:sz w:val="21"/>
          <w:szCs w:val="21"/>
          <w:lang w:eastAsia="zh-CN"/>
        </w:rPr>
      </w:pPr>
      <w:r>
        <w:rPr>
          <w:rFonts w:eastAsia="宋体"/>
          <w:kern w:val="2"/>
          <w:sz w:val="21"/>
          <w:lang w:eastAsia="zh-CN"/>
        </w:rPr>
        <w:t>（9）本通用条款中“投标人”一词亦指联合体各方，专用条款另有规定或说明的除外。</w:t>
      </w:r>
    </w:p>
    <w:p>
      <w:pPr>
        <w:widowControl w:val="0"/>
        <w:spacing w:line="276" w:lineRule="auto"/>
        <w:jc w:val="both"/>
        <w:rPr>
          <w:rFonts w:eastAsia="黑体"/>
          <w:kern w:val="2"/>
          <w:lang w:eastAsia="zh-CN"/>
        </w:rPr>
      </w:pPr>
      <w:r>
        <w:rPr>
          <w:rFonts w:eastAsia="黑体"/>
          <w:kern w:val="2"/>
          <w:lang w:eastAsia="zh-CN"/>
        </w:rPr>
        <w:t>6．政策导向</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6.1</w:t>
      </w:r>
      <w:r>
        <w:rPr>
          <w:rFonts w:eastAsia="宋体" w:hint="eastAsia"/>
          <w:kern w:val="2"/>
          <w:sz w:val="21"/>
          <w:lang w:eastAsia="zh-CN"/>
        </w:rPr>
        <w:t>政府采购支持本国产品、支持中小企业、监狱企业和残疾人福利性单位发展，支持乡村产业振兴，支持创新、节能减排、绿色环保等。</w:t>
      </w:r>
    </w:p>
    <w:p>
      <w:pPr>
        <w:widowControl w:val="0"/>
        <w:spacing w:line="276" w:lineRule="auto"/>
        <w:ind w:firstLine="405"/>
        <w:jc w:val="both"/>
        <w:rPr>
          <w:rFonts w:eastAsia="宋体"/>
          <w:kern w:val="2"/>
          <w:sz w:val="21"/>
          <w:lang w:eastAsia="zh-CN"/>
        </w:rPr>
      </w:pPr>
      <w:r>
        <w:rPr>
          <w:rFonts w:eastAsia="宋体"/>
          <w:kern w:val="2"/>
          <w:sz w:val="21"/>
          <w:lang w:eastAsia="zh-CN"/>
        </w:rPr>
        <w:t>6.2本项目落实深圳市政府采购供应商诚信管理政策要求。</w:t>
      </w:r>
    </w:p>
    <w:p>
      <w:pPr>
        <w:widowControl w:val="0"/>
        <w:spacing w:line="276" w:lineRule="auto"/>
        <w:ind w:firstLine="405"/>
        <w:jc w:val="both"/>
        <w:rPr>
          <w:rFonts w:eastAsia="宋体"/>
          <w:kern w:val="2"/>
          <w:sz w:val="21"/>
          <w:shd w:val="clear" w:color="auto" w:fill="FFFFFF"/>
          <w:lang w:eastAsia="zh-CN"/>
        </w:rPr>
      </w:pPr>
      <w:r>
        <w:rPr>
          <w:rFonts w:eastAsia="宋体" w:hint="eastAsia"/>
          <w:kern w:val="2"/>
          <w:sz w:val="21"/>
          <w:shd w:val="clear" w:color="auto" w:fill="FFFFFF"/>
          <w:lang w:eastAsia="zh-CN"/>
        </w:rPr>
        <w:t>6.3本项目支持投标人性别平等的相关政策。</w:t>
      </w:r>
    </w:p>
    <w:p>
      <w:pPr>
        <w:widowControl w:val="0"/>
        <w:spacing w:line="276" w:lineRule="auto"/>
        <w:jc w:val="both"/>
        <w:rPr>
          <w:rFonts w:eastAsia="黑体"/>
          <w:kern w:val="2"/>
          <w:lang w:eastAsia="zh-CN"/>
        </w:rPr>
      </w:pPr>
      <w:r>
        <w:rPr>
          <w:rFonts w:eastAsia="黑体"/>
          <w:kern w:val="2"/>
          <w:lang w:eastAsia="zh-CN"/>
        </w:rPr>
        <w:t>7</w:t>
      </w:r>
      <w:r>
        <w:rPr>
          <w:rFonts w:eastAsia="黑体" w:hint="eastAsia"/>
          <w:kern w:val="2"/>
          <w:lang w:eastAsia="zh-CN"/>
        </w:rPr>
        <w:t>．</w:t>
      </w:r>
      <w:r>
        <w:rPr>
          <w:rFonts w:eastAsia="黑体"/>
          <w:kern w:val="2"/>
          <w:lang w:eastAsia="zh-CN"/>
        </w:rPr>
        <w:t>本项目若涉及采购货物，则合格的货物及相应服务应满足以下要求：</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7.1  必须是全新、未使用过的原装合格正品（包括零部件），如安装或配置了软件的，须为正版软件。</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7.2  国产的货物及其有关服务必须符合中华人民共和国的设计、制造生产标准及行业标准。招标公告有其他要求的，亦应符合其要求。</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7.4投标人</w:t>
      </w:r>
      <w:bookmarkStart w:id="43" w:name="_Hlk72152753"/>
      <w:r>
        <w:rPr>
          <w:rFonts w:eastAsia="宋体"/>
          <w:kern w:val="2"/>
          <w:sz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3"/>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7.6  工期要求：投标人在投标时对其所投项目应提交交货进度、交货计划等，在合同规定的时间内完成项目实施工作。</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7.7  投标人必须承担的设备运输、安装调试、验收检测和提供设备操作说明书、图纸等其他相关及类似的义务。</w:t>
      </w:r>
    </w:p>
    <w:p>
      <w:pPr>
        <w:widowControl w:val="0"/>
        <w:spacing w:line="276" w:lineRule="auto"/>
        <w:jc w:val="both"/>
        <w:rPr>
          <w:rFonts w:eastAsia="黑体"/>
          <w:kern w:val="2"/>
          <w:lang w:eastAsia="zh-CN"/>
        </w:rPr>
      </w:pPr>
      <w:r>
        <w:rPr>
          <w:rFonts w:eastAsia="黑体"/>
          <w:kern w:val="2"/>
          <w:lang w:eastAsia="zh-CN"/>
        </w:rPr>
        <w:t>8．投标费用</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不论投标结果如何，投标人应承担其编制投标文件与递交投标文件所涉及的一切费用。</w:t>
      </w:r>
    </w:p>
    <w:p>
      <w:pPr>
        <w:widowControl w:val="0"/>
        <w:spacing w:line="276" w:lineRule="auto"/>
        <w:jc w:val="both"/>
        <w:rPr>
          <w:rFonts w:eastAsia="黑体"/>
          <w:kern w:val="2"/>
          <w:lang w:eastAsia="zh-CN"/>
        </w:rPr>
      </w:pPr>
      <w:r>
        <w:rPr>
          <w:rFonts w:eastAsia="黑体"/>
          <w:kern w:val="2"/>
          <w:lang w:eastAsia="zh-CN"/>
        </w:rPr>
        <w:t>9．踏勘现场</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9.2投标人及其人员经过采购人的允许，可以进入采购人的项目现场踏勘。若招标文件要求投标人于统一时间地点踏勘现场的，投标人应当按时前往。</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9.3采购人应当通过政府集中采购机构向投标人提供有关现场的书面资料和数据。</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9.4任何人或任何组织在踏勘现场时向投标人提供的任何书面资料或口头承诺，未经政府集中采购机构在网上发布或书面通知，均作无效处理。</w:t>
      </w:r>
    </w:p>
    <w:p>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9.5未参与踏勘现场不作为否定投标人资格的理由。</w:t>
      </w:r>
    </w:p>
    <w:p>
      <w:pPr>
        <w:widowControl w:val="0"/>
        <w:spacing w:line="276" w:lineRule="auto"/>
        <w:jc w:val="both"/>
        <w:rPr>
          <w:rFonts w:eastAsia="黑体"/>
          <w:kern w:val="2"/>
          <w:lang w:eastAsia="zh-CN"/>
        </w:rPr>
      </w:pPr>
      <w:r>
        <w:rPr>
          <w:rFonts w:eastAsia="黑体"/>
          <w:kern w:val="2"/>
          <w:lang w:eastAsia="zh-CN"/>
        </w:rPr>
        <w:t>10．标前会议</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10.1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spacing w:line="276" w:lineRule="auto"/>
        <w:ind w:firstLine="412" w:firstLineChars="196"/>
        <w:jc w:val="both"/>
        <w:rPr>
          <w:rFonts w:eastAsia="宋体"/>
          <w:kern w:val="2"/>
          <w:sz w:val="21"/>
          <w:szCs w:val="21"/>
          <w:lang w:eastAsia="zh-CN"/>
        </w:rPr>
      </w:pPr>
      <w:r>
        <w:rPr>
          <w:rFonts w:eastAsia="宋体"/>
          <w:kern w:val="2"/>
          <w:sz w:val="21"/>
          <w:lang w:eastAsia="zh-CN"/>
        </w:rPr>
        <w:t>10.2任何人或任何组织在标前会议时向投标人提供的任何书面资料或口头承诺，未经政府集中采购机构在网上发布或书面通知，均作无效处理。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10.3未参与标前会议不作为否定投标人资格的理由。</w:t>
      </w:r>
    </w:p>
    <w:bookmarkEnd w:id="42"/>
    <w:p>
      <w:pPr>
        <w:keepNext/>
        <w:keepLines/>
        <w:widowControl/>
        <w:numPr>
          <w:ilvl w:val="0"/>
          <w:numId w:val="1"/>
        </w:numPr>
        <w:tabs>
          <w:tab w:val="left" w:pos="720"/>
        </w:tabs>
        <w:adjustRightInd w:val="0"/>
        <w:spacing w:before="156" w:beforeLines="50" w:after="156"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招标文件</w:t>
      </w:r>
    </w:p>
    <w:p>
      <w:pPr>
        <w:widowControl w:val="0"/>
        <w:spacing w:line="276" w:lineRule="auto"/>
        <w:jc w:val="both"/>
        <w:rPr>
          <w:rFonts w:eastAsia="黑体"/>
          <w:kern w:val="2"/>
          <w:lang w:eastAsia="zh-CN"/>
        </w:rPr>
      </w:pPr>
      <w:r>
        <w:rPr>
          <w:rFonts w:eastAsia="黑体"/>
          <w:kern w:val="2"/>
          <w:lang w:eastAsia="zh-CN"/>
        </w:rPr>
        <w:t>11．</w:t>
      </w:r>
      <w:bookmarkStart w:id="44" w:name="_Hlk72399819"/>
      <w:r>
        <w:rPr>
          <w:rFonts w:eastAsia="黑体"/>
          <w:kern w:val="2"/>
          <w:lang w:eastAsia="zh-CN"/>
        </w:rPr>
        <w:t>招标文件的编制与组成</w:t>
      </w:r>
    </w:p>
    <w:p>
      <w:pPr>
        <w:widowControl w:val="0"/>
        <w:snapToGrid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11.1招标文件除以下内容外，政府集中采购机构在招标期间发出的澄清或修改等相关公告或通知内容，均是招标文件的组成部分，对投标人起约束作用；</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招标文件包括下列内容：</w:t>
      </w:r>
    </w:p>
    <w:p>
      <w:pPr>
        <w:widowControl w:val="0"/>
        <w:spacing w:line="276" w:lineRule="auto"/>
        <w:ind w:left="480" w:firstLine="412" w:leftChars="200" w:firstLineChars="196"/>
        <w:jc w:val="both"/>
        <w:rPr>
          <w:rFonts w:eastAsia="宋体"/>
          <w:b/>
          <w:kern w:val="2"/>
          <w:sz w:val="21"/>
          <w:szCs w:val="21"/>
          <w:lang w:eastAsia="zh-CN"/>
        </w:rPr>
      </w:pPr>
      <w:r>
        <w:rPr>
          <w:rFonts w:eastAsia="宋体"/>
          <w:b/>
          <w:kern w:val="2"/>
          <w:sz w:val="21"/>
          <w:szCs w:val="21"/>
          <w:lang w:eastAsia="zh-CN"/>
        </w:rPr>
        <w:t>第一册  专用条款</w:t>
      </w:r>
    </w:p>
    <w:p>
      <w:pPr>
        <w:widowControl w:val="0"/>
        <w:spacing w:line="276" w:lineRule="auto"/>
        <w:ind w:left="1234" w:leftChars="514"/>
        <w:jc w:val="both"/>
        <w:rPr>
          <w:rFonts w:eastAsia="宋体"/>
          <w:b/>
          <w:kern w:val="2"/>
          <w:sz w:val="21"/>
          <w:szCs w:val="21"/>
          <w:lang w:eastAsia="zh-CN"/>
        </w:rPr>
      </w:pPr>
      <w:r>
        <w:rPr>
          <w:rFonts w:eastAsia="宋体"/>
          <w:b/>
          <w:kern w:val="2"/>
          <w:sz w:val="21"/>
          <w:szCs w:val="21"/>
          <w:lang w:eastAsia="zh-CN"/>
        </w:rPr>
        <w:t>关键信息</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第一章  招标公告</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第二章  对通用条款的补充内容及其他关键信息</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第三章  用户需求书</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第四章 投标文件格式及附件</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第五章  合同条款及格式</w:t>
      </w:r>
    </w:p>
    <w:p>
      <w:pPr>
        <w:widowControl w:val="0"/>
        <w:spacing w:line="276" w:lineRule="auto"/>
        <w:ind w:left="480" w:firstLine="412" w:leftChars="200" w:firstLineChars="196"/>
        <w:jc w:val="both"/>
        <w:rPr>
          <w:rFonts w:eastAsia="宋体"/>
          <w:b/>
          <w:kern w:val="2"/>
          <w:sz w:val="21"/>
          <w:szCs w:val="21"/>
          <w:lang w:eastAsia="zh-CN"/>
        </w:rPr>
      </w:pPr>
      <w:r>
        <w:rPr>
          <w:rFonts w:eastAsia="宋体"/>
          <w:b/>
          <w:kern w:val="2"/>
          <w:sz w:val="21"/>
          <w:szCs w:val="21"/>
          <w:lang w:eastAsia="zh-CN"/>
        </w:rPr>
        <w:t>第二册  通用条款</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第一章  总则</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第二章  招标文件</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第三章  投标文件的编制</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第四章  投标文件的递交</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第五章  开标</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第六章  评审要求</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第七章  评审程序及评审方法</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第八章  定标及公示</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第九章  公开招标失败的后续处理</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第十章  合同的授予与备案</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第十一章  质疑处理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11.2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11.3</w:t>
      </w:r>
      <w:r>
        <w:rPr>
          <w:rFonts w:eastAsia="宋体"/>
          <w:kern w:val="2"/>
          <w:sz w:val="21"/>
          <w:lang w:eastAsia="zh-CN"/>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spacing w:line="276" w:lineRule="auto"/>
        <w:jc w:val="both"/>
        <w:rPr>
          <w:rFonts w:eastAsia="黑体"/>
          <w:kern w:val="2"/>
          <w:lang w:eastAsia="zh-CN"/>
        </w:rPr>
      </w:pPr>
      <w:r>
        <w:rPr>
          <w:rFonts w:eastAsia="黑体"/>
          <w:kern w:val="2"/>
          <w:lang w:eastAsia="zh-CN"/>
        </w:rPr>
        <w:t>12．招标文件的澄清</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12.1招标文件澄清的目的是澄清、解答投标人在查阅招标文件后或现场踏勘中可能提出的与投标有关的疑问或询问。</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12.2投标人如对招标文件内容有疑问，应当在招标公告规定的澄清（提问）截止时间前以网上提问的形式通过网上政府采购系统提交政府集中采购机构。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13.3、13.4款规定执行。</w:t>
      </w:r>
    </w:p>
    <w:p>
      <w:pPr>
        <w:widowControl w:val="0"/>
        <w:spacing w:line="276" w:lineRule="auto"/>
        <w:jc w:val="both"/>
        <w:rPr>
          <w:rFonts w:eastAsia="黑体"/>
          <w:kern w:val="2"/>
          <w:lang w:eastAsia="zh-CN"/>
        </w:rPr>
      </w:pPr>
      <w:r>
        <w:rPr>
          <w:rFonts w:eastAsia="黑体"/>
          <w:kern w:val="2"/>
          <w:lang w:eastAsia="zh-CN"/>
        </w:rPr>
        <w:t>13．招标文件的修改</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13.1招标文件发出后，在投标截止日期前任何时候，确需要变更招标文件内容的，政府集中采购机构可主动或在解答投标人提出的澄清问题时对招标文件进行修改。</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13.2招标文件的修改以书面形式（包括政府集中采购机构网站发布方式，如更正公告等）发送给所有投标人，招标文件的修改内容作为招标文件的组成部分，并具有约束力。</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4"/>
    </w:p>
    <w:p>
      <w:pPr>
        <w:keepNext/>
        <w:keepLines/>
        <w:widowControl/>
        <w:numPr>
          <w:ilvl w:val="0"/>
          <w:numId w:val="1"/>
        </w:numPr>
        <w:tabs>
          <w:tab w:val="left" w:pos="720"/>
        </w:tabs>
        <w:adjustRightInd w:val="0"/>
        <w:spacing w:before="156" w:beforeLines="50" w:after="156"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投标文件的编制</w:t>
      </w:r>
    </w:p>
    <w:p>
      <w:pPr>
        <w:widowControl w:val="0"/>
        <w:spacing w:line="276" w:lineRule="auto"/>
        <w:jc w:val="both"/>
        <w:rPr>
          <w:rFonts w:eastAsia="黑体"/>
          <w:kern w:val="2"/>
          <w:lang w:eastAsia="zh-CN"/>
        </w:rPr>
      </w:pPr>
      <w:r>
        <w:rPr>
          <w:rFonts w:eastAsia="黑体"/>
          <w:kern w:val="2"/>
          <w:lang w:eastAsia="zh-CN"/>
        </w:rPr>
        <w:t>14．</w:t>
      </w:r>
      <w:bookmarkStart w:id="45" w:name="_Hlk72400236"/>
      <w:r>
        <w:rPr>
          <w:rFonts w:eastAsia="黑体"/>
          <w:kern w:val="2"/>
          <w:lang w:eastAsia="zh-CN"/>
        </w:rPr>
        <w:t>投标文件的语言及度量单位</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14.2 除技术规范另有规定外，投标文件使用的度量单位，均采用中华人民共和国法定计量单位。</w:t>
      </w:r>
    </w:p>
    <w:bookmarkEnd w:id="45"/>
    <w:p>
      <w:pPr>
        <w:widowControl w:val="0"/>
        <w:spacing w:line="276" w:lineRule="auto"/>
        <w:jc w:val="both"/>
        <w:rPr>
          <w:rFonts w:eastAsia="黑体"/>
          <w:kern w:val="2"/>
          <w:lang w:eastAsia="zh-CN"/>
        </w:rPr>
      </w:pPr>
      <w:r>
        <w:rPr>
          <w:rFonts w:eastAsia="黑体"/>
          <w:kern w:val="2"/>
          <w:lang w:eastAsia="zh-CN"/>
        </w:rPr>
        <w:t>15．</w:t>
      </w:r>
      <w:bookmarkStart w:id="46" w:name="_Hlk72401567"/>
      <w:r>
        <w:rPr>
          <w:rFonts w:eastAsia="黑体"/>
          <w:kern w:val="2"/>
          <w:lang w:eastAsia="zh-CN"/>
        </w:rPr>
        <w:t>投标文件的组成</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具体内容在招标文件专用条款中进行规定。</w:t>
      </w:r>
    </w:p>
    <w:p>
      <w:pPr>
        <w:widowControl w:val="0"/>
        <w:spacing w:line="276" w:lineRule="auto"/>
        <w:jc w:val="both"/>
        <w:rPr>
          <w:rFonts w:eastAsia="黑体"/>
          <w:kern w:val="2"/>
          <w:lang w:eastAsia="zh-CN"/>
        </w:rPr>
      </w:pPr>
      <w:r>
        <w:rPr>
          <w:rFonts w:eastAsia="黑体"/>
          <w:kern w:val="2"/>
          <w:lang w:eastAsia="zh-CN"/>
        </w:rPr>
        <w:t>16．投标文件格式</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投标文件包括本通用条款第15条中规定的内容。如招标文件提供了投标文件格式，则</w:t>
      </w:r>
      <w:r>
        <w:rPr>
          <w:rFonts w:eastAsia="宋体"/>
          <w:b/>
          <w:bCs/>
          <w:kern w:val="2"/>
          <w:sz w:val="21"/>
          <w:szCs w:val="21"/>
          <w:lang w:eastAsia="zh-CN"/>
        </w:rPr>
        <w:t>投标人提交的投标文件应毫无例外地使用招标文件所提供的相应格式</w:t>
      </w:r>
      <w:r>
        <w:rPr>
          <w:rFonts w:eastAsia="宋体"/>
          <w:kern w:val="2"/>
          <w:sz w:val="21"/>
          <w:szCs w:val="21"/>
          <w:lang w:eastAsia="zh-CN"/>
        </w:rPr>
        <w:t>（表格均可按同样格式扩展）。</w:t>
      </w:r>
    </w:p>
    <w:p>
      <w:pPr>
        <w:widowControl w:val="0"/>
        <w:spacing w:line="276" w:lineRule="auto"/>
        <w:jc w:val="both"/>
        <w:rPr>
          <w:rFonts w:eastAsia="黑体"/>
          <w:kern w:val="2"/>
          <w:lang w:eastAsia="zh-CN"/>
        </w:rPr>
      </w:pPr>
      <w:r>
        <w:rPr>
          <w:rFonts w:eastAsia="黑体"/>
          <w:kern w:val="2"/>
          <w:lang w:eastAsia="zh-CN"/>
        </w:rPr>
        <w:t>17．投标货币</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本项目的投标报价应以人民币计。</w:t>
      </w:r>
    </w:p>
    <w:bookmarkEnd w:id="46"/>
    <w:p>
      <w:pPr>
        <w:widowControl w:val="0"/>
        <w:spacing w:line="276" w:lineRule="auto"/>
        <w:jc w:val="both"/>
        <w:rPr>
          <w:rFonts w:eastAsia="黑体"/>
          <w:kern w:val="2"/>
          <w:lang w:eastAsia="zh-CN"/>
        </w:rPr>
      </w:pPr>
      <w:r>
        <w:rPr>
          <w:rFonts w:eastAsia="黑体"/>
          <w:kern w:val="2"/>
          <w:lang w:eastAsia="zh-CN"/>
        </w:rPr>
        <w:t>18．</w:t>
      </w:r>
      <w:bookmarkStart w:id="47" w:name="_Hlk72401735"/>
      <w:r>
        <w:rPr>
          <w:rFonts w:eastAsia="黑体"/>
          <w:kern w:val="2"/>
          <w:lang w:eastAsia="zh-CN"/>
        </w:rPr>
        <w:t>证明投标文件投标技术方案的合格性和符合招标文件规定的文件要求</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18.1投标人应提交证明文件，证明其投标技术方案项下的货物和服务的合格性符合招标文件规定。该投标技术方案及其证明文件均作为投标文件组成部分。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18.2.1主要技术指标和性能的详细说明。</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18.2.2投标产品从采购人开始使用至招标文件中规定的周期内正常、连续地使用所必须的备件和专用工具清单，包括备件和专用工具的货源及现行价格。</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kern w:val="2"/>
          <w:sz w:val="21"/>
          <w:lang w:eastAsia="zh-CN"/>
        </w:rPr>
        <w:t>清晰度要求能够使用电脑阅读、识别和判断</w:t>
      </w:r>
      <w:r>
        <w:rPr>
          <w:rFonts w:eastAsia="宋体"/>
          <w:kern w:val="2"/>
          <w:sz w:val="21"/>
          <w:szCs w:val="21"/>
          <w:lang w:eastAsia="zh-CN"/>
        </w:rPr>
        <w:t>；</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18.3相关资料不符合18.2款要求的，评审委员会有权认定为投标技术方案不合格响应，其相关分数予以扣减或作投标无效处理。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宋体"/>
          <w:kern w:val="2"/>
          <w:sz w:val="21"/>
          <w:lang w:eastAsia="zh-CN"/>
        </w:rPr>
        <w:t>满足要求</w:t>
      </w:r>
      <w:r>
        <w:rPr>
          <w:rFonts w:eastAsia="宋体"/>
          <w:kern w:val="2"/>
          <w:sz w:val="21"/>
          <w:szCs w:val="21"/>
          <w:lang w:eastAsia="zh-CN"/>
        </w:rPr>
        <w:t>，由评审委员会来评判。</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18.5除非另有规定或说明，投标人对同一项目投标时，不得同时提供两套或两套以上的投标方案。</w:t>
      </w:r>
    </w:p>
    <w:bookmarkEnd w:id="47"/>
    <w:p>
      <w:pPr>
        <w:widowControl w:val="0"/>
        <w:spacing w:line="276" w:lineRule="auto"/>
        <w:jc w:val="both"/>
        <w:rPr>
          <w:rFonts w:eastAsia="黑体"/>
          <w:kern w:val="2"/>
          <w:lang w:eastAsia="zh-CN"/>
        </w:rPr>
      </w:pPr>
      <w:r>
        <w:rPr>
          <w:rFonts w:eastAsia="黑体"/>
          <w:kern w:val="2"/>
          <w:lang w:eastAsia="zh-CN"/>
        </w:rPr>
        <w:t>19．</w:t>
      </w:r>
      <w:bookmarkStart w:id="48" w:name="_Hlk72402034"/>
      <w:r>
        <w:rPr>
          <w:rFonts w:eastAsia="黑体"/>
          <w:kern w:val="2"/>
          <w:lang w:eastAsia="zh-CN"/>
        </w:rPr>
        <w:t>投标文件其他证明文件的要求</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w:t>
      </w:r>
      <w:r>
        <w:rPr>
          <w:rFonts w:eastAsia="宋体" w:hint="eastAsia"/>
          <w:kern w:val="2"/>
          <w:sz w:val="21"/>
          <w:szCs w:val="21"/>
          <w:lang w:eastAsia="zh-CN"/>
        </w:rPr>
        <w:t>采购人或代理机构或评审委员会依据各自审查范围，</w:t>
      </w:r>
      <w:r>
        <w:rPr>
          <w:rFonts w:eastAsia="宋体"/>
          <w:kern w:val="2"/>
          <w:sz w:val="21"/>
          <w:szCs w:val="21"/>
          <w:lang w:eastAsia="zh-CN"/>
        </w:rPr>
        <w:t>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49" w:name="_Hlk71407299"/>
    </w:p>
    <w:bookmarkEnd w:id="49"/>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spacing w:line="276" w:lineRule="auto"/>
        <w:jc w:val="both"/>
        <w:rPr>
          <w:rFonts w:eastAsia="黑体"/>
          <w:kern w:val="2"/>
          <w:lang w:eastAsia="zh-CN"/>
        </w:rPr>
      </w:pPr>
      <w:r>
        <w:rPr>
          <w:rFonts w:eastAsia="黑体"/>
          <w:kern w:val="2"/>
          <w:lang w:eastAsia="zh-CN"/>
        </w:rPr>
        <w:t>20．投标有效期</w:t>
      </w:r>
    </w:p>
    <w:bookmarkEnd w:id="48"/>
    <w:p>
      <w:pPr>
        <w:widowControl w:val="0"/>
        <w:spacing w:line="276" w:lineRule="auto"/>
        <w:ind w:firstLine="412" w:firstLineChars="196"/>
        <w:jc w:val="both"/>
        <w:rPr>
          <w:rFonts w:eastAsia="宋体"/>
          <w:kern w:val="2"/>
          <w:sz w:val="21"/>
          <w:szCs w:val="21"/>
          <w:lang w:eastAsia="zh-CN"/>
        </w:rPr>
      </w:pPr>
      <w:bookmarkStart w:id="50" w:name="_Hlk72402214"/>
      <w:r>
        <w:rPr>
          <w:rFonts w:eastAsia="宋体"/>
          <w:kern w:val="2"/>
          <w:sz w:val="21"/>
          <w:szCs w:val="21"/>
          <w:lang w:eastAsia="zh-CN"/>
        </w:rPr>
        <w:t>20.1投标有效期为从投标截止之日算起的日历天数。在此期限内，所有投标文件均保持有效。</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20.2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20.3中标供应商的投标文件有效期，截止于完成本招标文件规定的全部项目内容，并通过竣工验收及保修期结束。</w:t>
      </w:r>
    </w:p>
    <w:bookmarkEnd w:id="50"/>
    <w:p>
      <w:pPr>
        <w:widowControl w:val="0"/>
        <w:spacing w:line="276" w:lineRule="auto"/>
        <w:jc w:val="both"/>
        <w:rPr>
          <w:rFonts w:eastAsia="黑体"/>
          <w:kern w:val="2"/>
          <w:lang w:eastAsia="zh-CN"/>
        </w:rPr>
      </w:pPr>
      <w:r>
        <w:rPr>
          <w:rFonts w:eastAsia="黑体"/>
          <w:kern w:val="2"/>
          <w:lang w:eastAsia="zh-CN"/>
        </w:rPr>
        <w:t>21．</w:t>
      </w:r>
      <w:bookmarkStart w:id="51" w:name="_Hlk72402325"/>
      <w:r>
        <w:rPr>
          <w:rFonts w:eastAsia="黑体"/>
          <w:kern w:val="2"/>
          <w:lang w:eastAsia="zh-CN"/>
        </w:rPr>
        <w:t xml:space="preserve">关于投标保证金 </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21.1</w:t>
      </w:r>
      <w:r>
        <w:rPr>
          <w:rFonts w:eastAsia="宋体" w:hint="eastAsia"/>
          <w:kern w:val="2"/>
          <w:sz w:val="21"/>
          <w:lang w:eastAsia="zh-CN"/>
        </w:rPr>
        <w:t>根据《深圳市财政局关于调整政府采购投标（响应）保证金管理政策的通知》（深财购〔2021〕51号）文的规定，本项目不收取投标保证金。</w:t>
      </w:r>
    </w:p>
    <w:p>
      <w:pPr>
        <w:widowControl w:val="0"/>
        <w:spacing w:line="276" w:lineRule="auto"/>
        <w:jc w:val="both"/>
        <w:rPr>
          <w:rFonts w:eastAsia="黑体"/>
          <w:kern w:val="2"/>
          <w:lang w:eastAsia="zh-CN"/>
        </w:rPr>
      </w:pPr>
      <w:r>
        <w:rPr>
          <w:rFonts w:eastAsia="黑体"/>
          <w:kern w:val="2"/>
          <w:lang w:eastAsia="zh-CN"/>
        </w:rPr>
        <w:t>22．投标人的替代方案</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1"/>
    <w:p>
      <w:pPr>
        <w:widowControl w:val="0"/>
        <w:spacing w:line="276" w:lineRule="auto"/>
        <w:jc w:val="both"/>
        <w:rPr>
          <w:rFonts w:eastAsia="黑体"/>
          <w:kern w:val="2"/>
          <w:lang w:eastAsia="zh-CN"/>
        </w:rPr>
      </w:pPr>
      <w:r>
        <w:rPr>
          <w:rFonts w:eastAsia="黑体"/>
          <w:kern w:val="2"/>
          <w:lang w:eastAsia="zh-CN"/>
        </w:rPr>
        <w:t>23．</w:t>
      </w:r>
      <w:bookmarkStart w:id="52" w:name="_Hlk72402860"/>
      <w:r>
        <w:rPr>
          <w:rFonts w:eastAsia="黑体"/>
          <w:kern w:val="2"/>
          <w:lang w:eastAsia="zh-CN"/>
        </w:rPr>
        <w:t>投标文件的制作要求</w:t>
      </w:r>
    </w:p>
    <w:p>
      <w:pPr>
        <w:widowControl w:val="0"/>
        <w:wordWrap w:val="0"/>
        <w:spacing w:line="276" w:lineRule="auto"/>
        <w:ind w:firstLine="412" w:firstLineChars="196"/>
        <w:jc w:val="both"/>
        <w:rPr>
          <w:rFonts w:eastAsia="宋体"/>
          <w:kern w:val="2"/>
          <w:sz w:val="21"/>
          <w:lang w:eastAsia="zh-CN"/>
        </w:rPr>
      </w:pPr>
      <w:r>
        <w:rPr>
          <w:rFonts w:eastAsia="宋体"/>
          <w:kern w:val="2"/>
          <w:sz w:val="21"/>
          <w:lang w:eastAsia="zh-CN"/>
        </w:rPr>
        <w:t>23.1</w:t>
      </w:r>
      <w:r>
        <w:rPr>
          <w:rFonts w:eastAsia="宋体" w:hint="eastAsia"/>
          <w:kern w:val="2"/>
          <w:sz w:val="21"/>
          <w:lang w:eastAsia="zh-CN"/>
        </w:rPr>
        <w:t>投标人应准备所投项目的电子投标文件一份。</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23.2投标人在使用</w:t>
      </w:r>
      <w:r>
        <w:rPr>
          <w:rFonts w:eastAsia="宋体" w:hint="eastAsia"/>
          <w:kern w:val="2"/>
          <w:sz w:val="21"/>
          <w:lang w:eastAsia="zh-CN"/>
        </w:rPr>
        <w:t>《投标书编制软件》</w:t>
      </w:r>
      <w:r>
        <w:rPr>
          <w:rFonts w:eastAsia="宋体"/>
          <w:kern w:val="2"/>
          <w:sz w:val="21"/>
          <w:lang w:eastAsia="zh-CN"/>
        </w:rPr>
        <w:t>编制投标书时须注意：</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23.2.1导入</w:t>
      </w:r>
      <w:r>
        <w:rPr>
          <w:rFonts w:eastAsia="宋体" w:hint="eastAsia"/>
          <w:kern w:val="2"/>
          <w:sz w:val="21"/>
          <w:lang w:eastAsia="zh-CN"/>
        </w:rPr>
        <w:t>《投标书编制软件》</w:t>
      </w:r>
      <w:r>
        <w:rPr>
          <w:rFonts w:eastAsia="宋体"/>
          <w:kern w:val="2"/>
          <w:sz w:val="21"/>
          <w:lang w:eastAsia="zh-CN"/>
        </w:rPr>
        <w:t>的招标文件项目编号、包号应与以此制作的投标文件项目编号、包号一致。例如，不能将甲项目A包的招标书导入</w:t>
      </w:r>
      <w:r>
        <w:rPr>
          <w:rFonts w:eastAsia="宋体" w:hint="eastAsia"/>
          <w:kern w:val="2"/>
          <w:sz w:val="21"/>
          <w:lang w:eastAsia="zh-CN"/>
        </w:rPr>
        <w:t>《投标书编制软件》</w:t>
      </w:r>
      <w:r>
        <w:rPr>
          <w:rFonts w:eastAsia="宋体"/>
          <w:kern w:val="2"/>
          <w:sz w:val="21"/>
          <w:lang w:eastAsia="zh-CN"/>
        </w:rPr>
        <w:t>，制作乙项目B包的投标书。</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23.2.2不能用非本公司的电子密钥加密本公司的投标文件，或者用其它公司的登录用户上传本公司的投标文件。</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23.2.3要求用</w:t>
      </w:r>
      <w:r>
        <w:rPr>
          <w:rFonts w:eastAsia="宋体" w:hint="eastAsia"/>
          <w:kern w:val="2"/>
          <w:sz w:val="21"/>
          <w:lang w:eastAsia="zh-CN"/>
        </w:rPr>
        <w:t>《投标书编制软件》</w:t>
      </w:r>
      <w:r>
        <w:rPr>
          <w:rFonts w:eastAsia="宋体"/>
          <w:kern w:val="2"/>
          <w:sz w:val="21"/>
          <w:lang w:eastAsia="zh-CN"/>
        </w:rPr>
        <w:t>编制投标书的包，不能用其它方式编制投标书。编制投标文件时，电脑须连通互联网。</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23.2.4投标文件不能带病毒。政府集中采购机构将用专业杀毒软件对投标文件进行病毒检测，如果这两种软件均报告发现病毒，则政府集中采购机构认为该投标文件带病毒。</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w:t>
      </w:r>
      <w:r>
        <w:rPr>
          <w:rFonts w:eastAsia="宋体" w:hint="eastAsia"/>
          <w:kern w:val="2"/>
          <w:sz w:val="21"/>
          <w:lang w:eastAsia="zh-CN"/>
        </w:rPr>
        <w:t>5</w:t>
      </w:r>
      <w:r>
        <w:rPr>
          <w:rFonts w:eastAsia="宋体"/>
          <w:kern w:val="2"/>
          <w:sz w:val="21"/>
          <w:lang w:eastAsia="zh-CN"/>
        </w:rPr>
        <w:t>投标人在编辑投标文件时，</w:t>
      </w:r>
      <w:r>
        <w:rPr>
          <w:rFonts w:eastAsia="宋体"/>
          <w:b/>
          <w:kern w:val="2"/>
          <w:sz w:val="21"/>
          <w:lang w:eastAsia="zh-CN"/>
        </w:rPr>
        <w:t>在投标文件目录中属于本节点内容的必须在本节点中填写，填写到其他节点或附件，</w:t>
      </w:r>
      <w:r>
        <w:rPr>
          <w:rFonts w:eastAsia="宋体"/>
          <w:kern w:val="2"/>
          <w:sz w:val="21"/>
          <w:lang w:eastAsia="zh-CN"/>
        </w:rPr>
        <w:t>一切后果由供应商自行承担。</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w:t>
      </w:r>
      <w:r>
        <w:rPr>
          <w:rFonts w:eastAsia="宋体" w:hint="eastAsia"/>
          <w:kern w:val="2"/>
          <w:sz w:val="21"/>
          <w:lang w:eastAsia="zh-CN"/>
        </w:rPr>
        <w:t>6</w:t>
      </w:r>
      <w:r>
        <w:rPr>
          <w:rFonts w:eastAsia="宋体"/>
          <w:kern w:val="2"/>
          <w:sz w:val="21"/>
          <w:lang w:eastAsia="zh-CN"/>
        </w:rPr>
        <w:t>投标文件编写完成后，</w:t>
      </w:r>
      <w:r>
        <w:rPr>
          <w:rFonts w:eastAsia="宋体"/>
          <w:b/>
          <w:kern w:val="2"/>
          <w:sz w:val="21"/>
          <w:lang w:eastAsia="zh-CN"/>
        </w:rPr>
        <w:t>必须用属于投标人的电子密钥或电子营业执照进行加密，否则视同未盖公章，将导致投标文件无效。</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w:t>
      </w:r>
      <w:r>
        <w:rPr>
          <w:rFonts w:eastAsia="宋体" w:hint="eastAsia"/>
          <w:kern w:val="2"/>
          <w:sz w:val="21"/>
          <w:lang w:eastAsia="zh-CN"/>
        </w:rPr>
        <w:t>7</w:t>
      </w:r>
      <w:r>
        <w:rPr>
          <w:rFonts w:eastAsia="宋体"/>
          <w:kern w:val="2"/>
          <w:sz w:val="21"/>
          <w:lang w:eastAsia="zh-CN"/>
        </w:rPr>
        <w:t>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w:t>
      </w:r>
      <w:r>
        <w:rPr>
          <w:rFonts w:eastAsia="宋体" w:hint="eastAsia"/>
          <w:kern w:val="2"/>
          <w:sz w:val="21"/>
          <w:lang w:eastAsia="zh-CN"/>
        </w:rPr>
        <w:t>8</w:t>
      </w:r>
      <w:r>
        <w:rPr>
          <w:rFonts w:eastAsia="宋体"/>
          <w:kern w:val="2"/>
          <w:sz w:val="21"/>
          <w:lang w:eastAsia="zh-CN"/>
        </w:rPr>
        <w:t>如果开标时出现网络故障、技术故障，影响了政府采购活动，政府集中采购机构有权采取措施如延期、接受无法从网上上传的投标书等，以保障政府采购活动的公开、公平和公正。</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23.3电报、电话、传真形式的投标概不接受。</w:t>
      </w:r>
    </w:p>
    <w:p>
      <w:pPr>
        <w:widowControl w:val="0"/>
        <w:spacing w:line="276" w:lineRule="auto"/>
        <w:ind w:firstLine="412" w:firstLineChars="196"/>
        <w:jc w:val="both"/>
        <w:rPr>
          <w:rFonts w:eastAsia="宋体"/>
          <w:b/>
          <w:kern w:val="2"/>
          <w:sz w:val="21"/>
          <w:lang w:eastAsia="zh-CN"/>
        </w:rPr>
      </w:pPr>
      <w:r>
        <w:rPr>
          <w:rFonts w:eastAsia="宋体"/>
          <w:b/>
          <w:kern w:val="2"/>
          <w:sz w:val="21"/>
          <w:lang w:eastAsia="zh-CN"/>
        </w:rPr>
        <w:t>23.4经投标人电子密钥或电子营业执照加密的投标文件无须盖章或签字，</w:t>
      </w:r>
      <w:r>
        <w:rPr>
          <w:rFonts w:eastAsia="宋体"/>
          <w:kern w:val="2"/>
          <w:sz w:val="21"/>
          <w:lang w:eastAsia="zh-CN"/>
        </w:rPr>
        <w:t>专用条款另有要求的除外。</w:t>
      </w:r>
    </w:p>
    <w:p>
      <w:pPr>
        <w:widowControl w:val="0"/>
        <w:spacing w:line="276" w:lineRule="auto"/>
        <w:ind w:firstLine="412" w:firstLineChars="196"/>
        <w:jc w:val="both"/>
        <w:rPr>
          <w:rFonts w:eastAsia="宋体"/>
          <w:kern w:val="2"/>
          <w:sz w:val="21"/>
          <w:lang w:eastAsia="zh-CN"/>
        </w:rPr>
      </w:pPr>
      <w:r>
        <w:rPr>
          <w:rFonts w:eastAsia="宋体"/>
          <w:b/>
          <w:kern w:val="2"/>
          <w:sz w:val="21"/>
          <w:lang w:eastAsia="zh-CN"/>
        </w:rPr>
        <w:t>23.5</w:t>
      </w:r>
      <w:r>
        <w:rPr>
          <w:rFonts w:eastAsia="宋体"/>
          <w:kern w:val="2"/>
          <w:sz w:val="21"/>
          <w:lang w:eastAsia="zh-CN"/>
        </w:rPr>
        <w:t xml:space="preserve"> 各类资格（资质）文件提供扫描件，专用条款另有要求的除外。</w:t>
      </w:r>
      <w:bookmarkEnd w:id="52"/>
    </w:p>
    <w:p>
      <w:pPr>
        <w:keepNext/>
        <w:keepLines/>
        <w:widowControl/>
        <w:numPr>
          <w:ilvl w:val="0"/>
          <w:numId w:val="1"/>
        </w:numPr>
        <w:tabs>
          <w:tab w:val="left" w:pos="720"/>
        </w:tabs>
        <w:adjustRightInd w:val="0"/>
        <w:spacing w:before="156" w:beforeLines="50" w:after="156"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投标文件的递交</w:t>
      </w:r>
      <w:bookmarkStart w:id="53" w:name="_Hlk72405459"/>
    </w:p>
    <w:p>
      <w:pPr>
        <w:widowControl w:val="0"/>
        <w:spacing w:line="276" w:lineRule="auto"/>
        <w:jc w:val="both"/>
        <w:rPr>
          <w:rFonts w:eastAsia="黑体"/>
          <w:kern w:val="2"/>
          <w:lang w:eastAsia="zh-CN"/>
        </w:rPr>
      </w:pPr>
      <w:r>
        <w:rPr>
          <w:rFonts w:eastAsia="黑体"/>
          <w:kern w:val="2"/>
          <w:lang w:eastAsia="zh-CN"/>
        </w:rPr>
        <w:t>24．投标</w:t>
      </w:r>
      <w:r>
        <w:rPr>
          <w:rFonts w:eastAsia="黑体" w:hint="eastAsia"/>
          <w:kern w:val="2"/>
          <w:lang w:eastAsia="zh-CN"/>
        </w:rPr>
        <w:t>文件</w:t>
      </w:r>
      <w:r>
        <w:rPr>
          <w:rFonts w:eastAsia="黑体"/>
          <w:kern w:val="2"/>
          <w:lang w:eastAsia="zh-CN"/>
        </w:rPr>
        <w:t>的保密</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24.1</w:t>
      </w:r>
      <w:r>
        <w:rPr>
          <w:rFonts w:ascii="宋体" w:eastAsia="宋体" w:hAnsi="宋体" w:cstheme="minorBidi" w:hint="eastAsia"/>
          <w:kern w:val="2"/>
          <w:sz w:val="21"/>
          <w:szCs w:val="22"/>
          <w:lang w:eastAsia="zh-CN"/>
        </w:rPr>
        <w:t>在投标文件制作完成后，生成后会选择是否加密投标文件，如不加密则直接点击生成文件即可，如需加密请插入</w:t>
      </w:r>
      <w:r>
        <w:rPr>
          <w:rFonts w:ascii="宋体" w:eastAsia="宋体" w:hAnsi="宋体" w:cstheme="minorBidi"/>
          <w:kern w:val="2"/>
          <w:sz w:val="21"/>
          <w:szCs w:val="22"/>
          <w:lang w:eastAsia="zh-CN"/>
        </w:rPr>
        <w:t>CA锁，点击加密后生成文件，需输入CA锁密码即可加密成功。加密后会提示文件生成成功！(注意：加密的投标文件开标时须使用加密文件时使用的锁在项目规定时间内解密！)</w:t>
      </w:r>
    </w:p>
    <w:p>
      <w:pPr>
        <w:widowControl w:val="0"/>
        <w:spacing w:line="276" w:lineRule="auto"/>
        <w:ind w:firstLine="420" w:firstLineChars="200"/>
        <w:jc w:val="both"/>
        <w:rPr>
          <w:rFonts w:eastAsia="宋体"/>
          <w:b/>
          <w:kern w:val="2"/>
          <w:sz w:val="21"/>
          <w:lang w:eastAsia="zh-CN"/>
        </w:rPr>
      </w:pPr>
      <w:r>
        <w:rPr>
          <w:rFonts w:eastAsia="宋体"/>
          <w:b/>
          <w:kern w:val="2"/>
          <w:sz w:val="21"/>
          <w:lang w:eastAsia="zh-CN"/>
        </w:rPr>
        <w:t>24.2若采购项目出现延期情况：</w:t>
      </w:r>
    </w:p>
    <w:p>
      <w:pPr>
        <w:widowControl w:val="0"/>
        <w:spacing w:line="276" w:lineRule="auto"/>
        <w:ind w:firstLine="420" w:firstLineChars="200"/>
        <w:jc w:val="both"/>
        <w:rPr>
          <w:rFonts w:eastAsia="黑体"/>
          <w:b/>
          <w:kern w:val="2"/>
          <w:lang w:eastAsia="zh-CN"/>
        </w:rPr>
      </w:pPr>
      <w:r>
        <w:rPr>
          <w:rFonts w:eastAsia="宋体"/>
          <w:b/>
          <w:kern w:val="2"/>
          <w:sz w:val="21"/>
          <w:lang w:eastAsia="zh-CN"/>
        </w:rPr>
        <w:t>如果供下载的招标文件有更新，投标人必须重新下载招标文件、重新制作投标文件、重新加密投标文件、重新上传投标文件。</w:t>
      </w:r>
    </w:p>
    <w:p>
      <w:pPr>
        <w:widowControl w:val="0"/>
        <w:spacing w:line="276" w:lineRule="auto"/>
        <w:jc w:val="both"/>
        <w:rPr>
          <w:rFonts w:eastAsia="黑体"/>
          <w:kern w:val="2"/>
          <w:lang w:eastAsia="zh-CN"/>
        </w:rPr>
      </w:pPr>
      <w:r>
        <w:rPr>
          <w:rFonts w:eastAsia="黑体"/>
          <w:kern w:val="2"/>
          <w:lang w:eastAsia="zh-CN"/>
        </w:rPr>
        <w:t>25．上传投标文件及投标截止日期</w:t>
      </w:r>
    </w:p>
    <w:p>
      <w:pPr>
        <w:widowControl w:val="0"/>
        <w:wordWrap w:val="0"/>
        <w:spacing w:line="276" w:lineRule="auto"/>
        <w:ind w:firstLine="412" w:firstLineChars="196"/>
        <w:jc w:val="both"/>
        <w:rPr>
          <w:rFonts w:eastAsia="宋体"/>
          <w:kern w:val="2"/>
          <w:sz w:val="21"/>
          <w:lang w:eastAsia="zh-CN"/>
        </w:rPr>
      </w:pPr>
      <w:r>
        <w:rPr>
          <w:rFonts w:eastAsia="宋体"/>
          <w:kern w:val="2"/>
          <w:sz w:val="21"/>
          <w:lang w:eastAsia="zh-CN"/>
        </w:rPr>
        <w:t>25.1</w:t>
      </w:r>
      <w:r>
        <w:rPr>
          <w:rFonts w:eastAsia="宋体" w:hint="eastAsia"/>
          <w:kern w:val="2"/>
          <w:sz w:val="21"/>
          <w:lang w:eastAsia="zh-CN"/>
        </w:rPr>
        <w:t>实行网上投标，投标人必须在招标文件规定的投标截止时间前用电子密钥登录“深圳市自行采购系统（</w:t>
      </w:r>
      <w:r>
        <w:rPr>
          <w:rFonts w:eastAsia="宋体"/>
          <w:kern w:val="2"/>
          <w:sz w:val="21"/>
          <w:lang w:eastAsia="zh-CN"/>
        </w:rPr>
        <w:t>https://trade.szggzy.com/ggzy/center/#/login</w:t>
      </w:r>
      <w:r>
        <w:rPr>
          <w:rFonts w:eastAsia="宋体" w:hint="eastAsia"/>
          <w:kern w:val="2"/>
          <w:sz w:val="21"/>
          <w:lang w:eastAsia="zh-CN"/>
        </w:rPr>
        <w:t>）”上传投标文件。如上传过程中遇到问题，可拨打采购公告中的技术支持电话</w:t>
      </w:r>
      <w:r>
        <w:rPr>
          <w:rFonts w:eastAsia="宋体"/>
          <w:kern w:val="2"/>
          <w:sz w:val="21"/>
          <w:lang w:eastAsia="zh-CN"/>
        </w:rPr>
        <w:t>，联系方式：</w:t>
      </w:r>
      <w:r>
        <w:rPr>
          <w:rFonts w:eastAsia="宋体" w:hint="eastAsia"/>
          <w:kern w:val="2"/>
          <w:sz w:val="21"/>
          <w:lang w:eastAsia="zh-CN"/>
        </w:rPr>
        <w:t>0755-36568999 1转7（按1再转7）</w:t>
      </w:r>
      <w:r>
        <w:rPr>
          <w:rFonts w:eastAsia="宋体"/>
          <w:kern w:val="2"/>
          <w:sz w:val="21"/>
          <w:lang w:eastAsia="zh-CN"/>
        </w:rPr>
        <w:t>。</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25.3投标截止时间以后不得上传投标文件。</w:t>
      </w:r>
    </w:p>
    <w:bookmarkEnd w:id="53"/>
    <w:p>
      <w:pPr>
        <w:widowControl w:val="0"/>
        <w:spacing w:line="276" w:lineRule="auto"/>
        <w:jc w:val="both"/>
        <w:rPr>
          <w:rFonts w:eastAsia="黑体"/>
          <w:kern w:val="2"/>
          <w:lang w:eastAsia="zh-CN"/>
        </w:rPr>
      </w:pPr>
      <w:r>
        <w:rPr>
          <w:rFonts w:eastAsia="黑体"/>
          <w:kern w:val="2"/>
          <w:lang w:eastAsia="zh-CN"/>
        </w:rPr>
        <w:t>26．样品、演示、方案讲解</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26.1 样品、演示、方案讲解等事项在招标文件专用条款中进行规定。</w:t>
      </w:r>
    </w:p>
    <w:p>
      <w:pPr>
        <w:widowControl w:val="0"/>
        <w:spacing w:line="276" w:lineRule="auto"/>
        <w:jc w:val="both"/>
        <w:rPr>
          <w:rFonts w:eastAsia="黑体"/>
          <w:kern w:val="2"/>
          <w:lang w:eastAsia="zh-CN"/>
        </w:rPr>
      </w:pPr>
      <w:bookmarkStart w:id="54" w:name="_Hlk72428346"/>
      <w:r>
        <w:rPr>
          <w:rFonts w:eastAsia="黑体"/>
          <w:kern w:val="2"/>
          <w:lang w:eastAsia="zh-CN"/>
        </w:rPr>
        <w:t>27．投标文件的修改和撤销</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27.1投标方在提交投标文件后可对其投标文件进行修改并重新上传投标文件或在网上进行撤销投标的操作。</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27.2投标截止时间以后不得修改投标文件。</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27.3从投标截止期至投标人在投标文件中确定的投标有效期之间的这段时间内，投标人不得撤回其投标。</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27.4政府集中采购机构不退还投标文件，专用条款另有规定的除外。</w:t>
      </w:r>
    </w:p>
    <w:bookmarkEnd w:id="54"/>
    <w:p>
      <w:pPr>
        <w:keepNext/>
        <w:keepLines/>
        <w:widowControl/>
        <w:numPr>
          <w:ilvl w:val="0"/>
          <w:numId w:val="1"/>
        </w:numPr>
        <w:tabs>
          <w:tab w:val="left" w:pos="720"/>
        </w:tabs>
        <w:adjustRightInd w:val="0"/>
        <w:spacing w:before="156" w:beforeLines="50" w:after="156"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开标</w:t>
      </w:r>
    </w:p>
    <w:p>
      <w:pPr>
        <w:widowControl w:val="0"/>
        <w:spacing w:line="276" w:lineRule="auto"/>
        <w:jc w:val="both"/>
        <w:rPr>
          <w:rFonts w:eastAsia="黑体"/>
          <w:kern w:val="2"/>
          <w:lang w:eastAsia="zh-CN"/>
        </w:rPr>
      </w:pPr>
      <w:r>
        <w:rPr>
          <w:rFonts w:eastAsia="黑体"/>
          <w:kern w:val="2"/>
          <w:lang w:eastAsia="zh-CN"/>
        </w:rPr>
        <w:t>28．开标</w:t>
      </w:r>
    </w:p>
    <w:p>
      <w:pPr>
        <w:widowControl w:val="0"/>
        <w:spacing w:line="276" w:lineRule="auto"/>
        <w:ind w:firstLine="420" w:firstLineChars="200"/>
        <w:jc w:val="both"/>
        <w:rPr>
          <w:rFonts w:eastAsia="宋体"/>
          <w:kern w:val="2"/>
          <w:sz w:val="21"/>
          <w:lang w:eastAsia="zh-CN"/>
        </w:rPr>
      </w:pPr>
      <w:r>
        <w:rPr>
          <w:rFonts w:eastAsia="宋体"/>
          <w:kern w:val="2"/>
          <w:sz w:val="21"/>
          <w:szCs w:val="21"/>
          <w:lang w:eastAsia="zh-CN"/>
        </w:rPr>
        <w:t>28.1</w:t>
      </w:r>
      <w:r>
        <w:rPr>
          <w:rFonts w:eastAsia="宋体" w:hint="eastAsia"/>
          <w:b/>
          <w:bCs/>
          <w:kern w:val="2"/>
          <w:sz w:val="21"/>
          <w:lang w:eastAsia="zh-CN"/>
        </w:rPr>
        <w:t>投标人须在开标当日的开标时间至解密截止时间内进行解密，逾期未解密的作无效处理。解密方法：登录“深圳市自行采购系统（</w:t>
      </w:r>
      <w:r>
        <w:rPr>
          <w:rFonts w:eastAsia="宋体"/>
          <w:b/>
          <w:bCs/>
          <w:kern w:val="2"/>
          <w:sz w:val="21"/>
          <w:lang w:eastAsia="zh-CN"/>
        </w:rPr>
        <w:t>https://trade.szggzy.com/ggzy/center/#/login</w:t>
      </w:r>
      <w:r>
        <w:rPr>
          <w:rFonts w:eastAsia="宋体" w:hint="eastAsia"/>
          <w:b/>
          <w:bCs/>
          <w:kern w:val="2"/>
          <w:sz w:val="21"/>
          <w:lang w:eastAsia="zh-CN"/>
        </w:rPr>
        <w:t>）”，使用本单位制作电子投标文件同一个电子密钥进行在线解密、查询开标情况。</w:t>
      </w:r>
    </w:p>
    <w:p>
      <w:pPr>
        <w:widowControl w:val="0"/>
        <w:spacing w:line="276" w:lineRule="auto"/>
        <w:ind w:firstLine="359" w:firstLineChars="171"/>
        <w:jc w:val="both"/>
        <w:rPr>
          <w:rFonts w:eastAsia="宋体"/>
          <w:kern w:val="2"/>
          <w:sz w:val="21"/>
          <w:szCs w:val="21"/>
          <w:lang w:eastAsia="zh-CN"/>
        </w:rPr>
      </w:pPr>
      <w:r>
        <w:rPr>
          <w:rFonts w:eastAsia="宋体"/>
          <w:kern w:val="2"/>
          <w:sz w:val="21"/>
          <w:szCs w:val="21"/>
          <w:lang w:eastAsia="zh-CN"/>
        </w:rPr>
        <w:t>28.2</w:t>
      </w:r>
      <w:r>
        <w:rPr>
          <w:rFonts w:eastAsia="宋体" w:hint="eastAsia"/>
          <w:kern w:val="2"/>
          <w:sz w:val="21"/>
          <w:szCs w:val="21"/>
          <w:lang w:eastAsia="zh-CN"/>
        </w:rPr>
        <w:t>政府集中采购机构将在满足开标条件（①解密时间结束，解密后的投标供应商数量满足开标要求或②解密时间结束前所有投标供应商均完成投标文件解密）后，对投标文件进行开标，并在网上公布开标结果。</w:t>
      </w:r>
    </w:p>
    <w:p>
      <w:pPr>
        <w:keepNext/>
        <w:keepLines/>
        <w:widowControl/>
        <w:numPr>
          <w:ilvl w:val="0"/>
          <w:numId w:val="1"/>
        </w:numPr>
        <w:tabs>
          <w:tab w:val="left" w:pos="720"/>
        </w:tabs>
        <w:adjustRightInd w:val="0"/>
        <w:spacing w:before="156" w:beforeLines="50" w:after="156"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评审要求</w:t>
      </w:r>
    </w:p>
    <w:p>
      <w:pPr>
        <w:widowControl w:val="0"/>
        <w:spacing w:line="276" w:lineRule="auto"/>
        <w:jc w:val="both"/>
        <w:rPr>
          <w:rFonts w:eastAsia="黑体"/>
          <w:kern w:val="2"/>
          <w:lang w:eastAsia="zh-CN"/>
        </w:rPr>
      </w:pPr>
      <w:r>
        <w:rPr>
          <w:rFonts w:eastAsia="黑体"/>
          <w:kern w:val="2"/>
          <w:lang w:eastAsia="zh-CN"/>
        </w:rPr>
        <w:t>29．评审委员会组成</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29.1网上开标结束后召开评审会议，</w:t>
      </w:r>
      <w:r>
        <w:rPr>
          <w:rFonts w:eastAsia="宋体"/>
          <w:kern w:val="2"/>
          <w:sz w:val="21"/>
          <w:szCs w:val="21"/>
          <w:lang w:eastAsia="zh-CN"/>
        </w:rPr>
        <w:t>评审委员会</w:t>
      </w:r>
      <w:r>
        <w:rPr>
          <w:rFonts w:eastAsia="宋体"/>
          <w:kern w:val="2"/>
          <w:sz w:val="21"/>
          <w:lang w:eastAsia="zh-CN"/>
        </w:rPr>
        <w:t>由政府集中采购机构依法组建，负责评审活动。</w:t>
      </w:r>
    </w:p>
    <w:p>
      <w:pPr>
        <w:widowControl w:val="0"/>
        <w:spacing w:line="276" w:lineRule="auto"/>
        <w:ind w:firstLine="412" w:firstLineChars="196"/>
        <w:jc w:val="both"/>
        <w:rPr>
          <w:rFonts w:eastAsia="宋体"/>
          <w:kern w:val="2"/>
          <w:sz w:val="21"/>
          <w:lang w:eastAsia="zh-CN"/>
        </w:rPr>
      </w:pPr>
      <w:bookmarkStart w:id="55" w:name="_Hlk72436580"/>
      <w:r>
        <w:rPr>
          <w:rFonts w:eastAsia="宋体"/>
          <w:kern w:val="2"/>
          <w:sz w:val="21"/>
          <w:lang w:eastAsia="zh-CN"/>
        </w:rPr>
        <w:t>评审委员会由采购人代表和评审专家组成，成员人数应当为5人以上单数（部分条件下为7人以上单数），其中评审专家不得少于成员总数的三分之二。</w:t>
      </w:r>
      <w:bookmarkEnd w:id="55"/>
      <w:r>
        <w:rPr>
          <w:rFonts w:eastAsia="宋体"/>
          <w:kern w:val="2"/>
          <w:sz w:val="21"/>
          <w:lang w:eastAsia="zh-CN"/>
        </w:rPr>
        <w:t>评定分离项目评审专家均由评审专家组成。</w:t>
      </w:r>
      <w:r>
        <w:rPr>
          <w:rFonts w:eastAsia="宋体"/>
          <w:kern w:val="2"/>
          <w:sz w:val="21"/>
          <w:szCs w:val="21"/>
          <w:lang w:eastAsia="zh-CN"/>
        </w:rPr>
        <w:t>评审专家一般是</w:t>
      </w:r>
      <w:r>
        <w:rPr>
          <w:rFonts w:eastAsia="宋体"/>
          <w:kern w:val="2"/>
          <w:sz w:val="21"/>
          <w:lang w:eastAsia="zh-CN"/>
        </w:rPr>
        <w:t>从深圳市政府采购评审专家库中随机抽取。采购人代表须持采购人出具的《评审授权书》参加评审，。</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29.2评审定标应当遵循公平、公正、科学、择优的原则。</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29.3评审活动依法进行，任何单位和个人不得非法干预评标过程和结果。</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29.4评审过程中不允许违背评标程序或采用招标文件未载明的评标方法或评标因素进行评标。</w:t>
      </w:r>
    </w:p>
    <w:p>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29.5 开标后，直到签订合同为止，凡属于对投标文件的审查、澄清、评价和比较的有关资料以及中标候选人的推荐情况、与评审有关的其他任何情况均严格保密（</w:t>
      </w:r>
      <w:r>
        <w:rPr>
          <w:rFonts w:eastAsia="宋体"/>
          <w:kern w:val="2"/>
          <w:sz w:val="21"/>
          <w:lang w:eastAsia="zh-CN"/>
        </w:rPr>
        <w:t>信息公开的内容除外</w:t>
      </w:r>
      <w:r>
        <w:rPr>
          <w:rFonts w:eastAsia="宋体"/>
          <w:bCs/>
          <w:kern w:val="2"/>
          <w:sz w:val="21"/>
          <w:lang w:eastAsia="zh-CN"/>
        </w:rPr>
        <w:t>）。</w:t>
      </w:r>
    </w:p>
    <w:p>
      <w:pPr>
        <w:widowControl w:val="0"/>
        <w:spacing w:line="276" w:lineRule="auto"/>
        <w:jc w:val="both"/>
        <w:rPr>
          <w:rFonts w:eastAsia="黑体"/>
          <w:kern w:val="2"/>
          <w:lang w:eastAsia="zh-CN"/>
        </w:rPr>
      </w:pPr>
      <w:r>
        <w:rPr>
          <w:rFonts w:eastAsia="黑体"/>
          <w:kern w:val="2"/>
          <w:lang w:eastAsia="zh-CN"/>
        </w:rPr>
        <w:t>30．向评审委员会提供的资料</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30.1公开发布的招标文件，包括图纸、服务清单、答疑文件等；</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30.2其他评标必须的资料。</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30.3</w:t>
      </w:r>
      <w:r>
        <w:rPr>
          <w:rFonts w:eastAsia="宋体"/>
          <w:kern w:val="2"/>
          <w:sz w:val="21"/>
          <w:szCs w:val="21"/>
          <w:lang w:eastAsia="zh-CN"/>
        </w:rPr>
        <w:t>评审委员会</w:t>
      </w:r>
      <w:r>
        <w:rPr>
          <w:rFonts w:eastAsia="宋体"/>
          <w:kern w:val="2"/>
          <w:sz w:val="21"/>
          <w:lang w:eastAsia="zh-CN"/>
        </w:rPr>
        <w:t>应当认真研究招标文件，至少应了解熟悉以下内容：</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（1）招标的目的；</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（2）招标项目需求的范围和性质；</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（3）招标文件规定的投标人的资格、预算金额、商务条款；</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（4）招标文件规定的评标程序、评标方法和评标因素；</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（5）招标文件所列示的资格性审查表及符合性审查表。</w:t>
      </w:r>
    </w:p>
    <w:p>
      <w:pPr>
        <w:widowControl w:val="0"/>
        <w:spacing w:line="276" w:lineRule="auto"/>
        <w:jc w:val="both"/>
        <w:rPr>
          <w:rFonts w:eastAsia="黑体"/>
          <w:kern w:val="2"/>
          <w:lang w:eastAsia="zh-CN"/>
        </w:rPr>
      </w:pPr>
      <w:r>
        <w:rPr>
          <w:rFonts w:eastAsia="黑体"/>
          <w:kern w:val="2"/>
          <w:lang w:eastAsia="zh-CN"/>
        </w:rPr>
        <w:t>31．独立评审</w:t>
      </w:r>
    </w:p>
    <w:p>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31.1</w:t>
      </w:r>
      <w:r>
        <w:rPr>
          <w:rFonts w:eastAsia="宋体"/>
          <w:kern w:val="2"/>
          <w:sz w:val="21"/>
          <w:szCs w:val="21"/>
          <w:lang w:eastAsia="zh-CN"/>
        </w:rPr>
        <w:t>评审委员会</w:t>
      </w:r>
      <w:r>
        <w:rPr>
          <w:rFonts w:eastAsia="宋体"/>
          <w:bCs/>
          <w:kern w:val="2"/>
          <w:sz w:val="21"/>
          <w:lang w:eastAsia="zh-CN"/>
        </w:rPr>
        <w:t>成员的评标活动应当独立进行，并应遵循投标文件初审、澄清有关问题、比较与评价、确定中标供应商、编写评审报告的工作程序。</w:t>
      </w:r>
    </w:p>
    <w:p>
      <w:pPr>
        <w:keepNext/>
        <w:keepLines/>
        <w:widowControl/>
        <w:numPr>
          <w:ilvl w:val="0"/>
          <w:numId w:val="1"/>
        </w:numPr>
        <w:tabs>
          <w:tab w:val="left" w:pos="720"/>
        </w:tabs>
        <w:adjustRightInd w:val="0"/>
        <w:spacing w:before="156" w:beforeLines="50" w:after="156"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评审程序及评审方法</w:t>
      </w:r>
    </w:p>
    <w:p>
      <w:pPr>
        <w:widowControl w:val="0"/>
        <w:spacing w:line="276" w:lineRule="auto"/>
        <w:jc w:val="both"/>
        <w:rPr>
          <w:rFonts w:eastAsia="黑体"/>
          <w:kern w:val="2"/>
          <w:lang w:eastAsia="zh-CN"/>
        </w:rPr>
      </w:pPr>
      <w:r>
        <w:rPr>
          <w:rFonts w:eastAsia="黑体"/>
          <w:kern w:val="2"/>
          <w:lang w:eastAsia="zh-CN"/>
        </w:rPr>
        <w:t>32．投标文件初审</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32.1投标文件初审包括资格性审查和符合性审查。</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资格性审查：依据法律法规和招标文件的规定，对投标文件中的资格证明等进行审查，以确定投标供应商是否具备投标资格。</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符合性审查：依据招标文件的规定，对投标文件的有效性、完整性和对招标文件的响应程度进行审查，以确定是否满足符合性审查的要求。</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32.2 投标文件初审内容请详见《资格性审查表》和《符合性审查表》部分。投标人若有一条审查不通过则按投标无效处理。</w:t>
      </w:r>
    </w:p>
    <w:p>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 投标文件初审中关于供应商家数的计算:</w:t>
      </w:r>
    </w:p>
    <w:p>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bCs/>
          <w:kern w:val="2"/>
          <w:sz w:val="21"/>
          <w:szCs w:val="21"/>
          <w:lang w:eastAsia="zh-CN"/>
        </w:rPr>
        <w:t>评审委员会</w:t>
      </w:r>
      <w:r>
        <w:rPr>
          <w:rFonts w:eastAsia="宋体"/>
          <w:bCs/>
          <w:kern w:val="2"/>
          <w:sz w:val="21"/>
          <w:lang w:eastAsia="zh-CN"/>
        </w:rPr>
        <w:t>按照招标文件规定的方式确定一个投标人获得中标人推荐资格，招标文件未规定的采取随机抽取方式确定，其他同品牌投标人不作为中标候选人。</w:t>
      </w:r>
    </w:p>
    <w:p>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32.4投标人投标文件作无效处理的情形，具体包括但不限于以下：</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32.4.1不同投标人的投标文件由同一单位或者同一个人编制，或者由同一个人分阶段参与编制；</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32.4.2不同投标人委托同一单位或者个人办理投标事宜；</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32.4.3不同投标人的投标文件载明的项目管理成员或者联系人员为同一人；</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32.4.4不同投标人的投标文件异常一致或者投标报价呈规律性差异；</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32.4.5不同投标供应商的投标文件或部分投标文件相互混装；</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32.4.6投标供应商之间相互约定给予未中标的供应商利益补偿；</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32.4.7不同投标供应商的法定代表人、主要经营负责人、项目投标授权代表人、项目负责人、主要技术人员为同一人、属同一单位或者同一单位缴纳社会保险；</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32.4.8不同投标供应商的投标文件内容存在非正常一致；</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32.4.9在同一单位工作人员为两家以上（含两家）供应商进行同一项投标活动；</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32.4.10主管部门依照法律、法规认定的其他情形。</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32.5对不属于《资格性审查表》和《符合性审查表》所列的其他情形，除专用条款另有规定和32.4条款所列情形外，不得作为投标无效的理由。</w:t>
      </w:r>
    </w:p>
    <w:p>
      <w:pPr>
        <w:widowControl w:val="0"/>
        <w:spacing w:line="276" w:lineRule="auto"/>
        <w:jc w:val="both"/>
        <w:rPr>
          <w:rFonts w:eastAsia="黑体"/>
          <w:kern w:val="2"/>
          <w:lang w:eastAsia="zh-CN"/>
        </w:rPr>
      </w:pPr>
      <w:r>
        <w:rPr>
          <w:rFonts w:eastAsia="黑体"/>
          <w:kern w:val="2"/>
          <w:lang w:eastAsia="zh-CN"/>
        </w:rPr>
        <w:t>33．澄清有关问题</w:t>
      </w:r>
    </w:p>
    <w:p>
      <w:pPr>
        <w:widowControl w:val="0"/>
        <w:spacing w:line="276" w:lineRule="auto"/>
        <w:ind w:firstLine="412" w:firstLineChars="196"/>
        <w:jc w:val="both"/>
        <w:rPr>
          <w:rFonts w:eastAsia="宋体"/>
          <w:kern w:val="2"/>
          <w:sz w:val="21"/>
          <w:lang w:eastAsia="zh-CN"/>
        </w:rPr>
      </w:pPr>
      <w:bookmarkStart w:id="56" w:name="_Hlk71407321"/>
      <w:r>
        <w:rPr>
          <w:rFonts w:eastAsia="宋体"/>
          <w:kern w:val="2"/>
          <w:sz w:val="21"/>
          <w:lang w:eastAsia="zh-CN"/>
        </w:rPr>
        <w:t>33.1对招标文件中描述有歧义或前后不一致的地方（不含</w:t>
      </w:r>
      <w:r>
        <w:rPr>
          <w:rFonts w:eastAsia="宋体"/>
          <w:kern w:val="2"/>
          <w:sz w:val="21"/>
          <w:szCs w:val="21"/>
          <w:lang w:eastAsia="zh-CN"/>
        </w:rPr>
        <w:t>招标文件存在歧义、重大缺陷导致评审工作无法进行的情况）</w:t>
      </w:r>
      <w:r>
        <w:rPr>
          <w:rFonts w:eastAsia="宋体"/>
          <w:kern w:val="2"/>
          <w:sz w:val="21"/>
          <w:lang w:eastAsia="zh-CN"/>
        </w:rPr>
        <w:t>，评审委员会有权进行评判，但对同一条款的评判应适用于每个投标人。</w:t>
      </w:r>
      <w:bookmarkEnd w:id="56"/>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33.2</w:t>
      </w:r>
      <w:r>
        <w:rPr>
          <w:rFonts w:eastAsia="宋体"/>
          <w:kern w:val="2"/>
          <w:sz w:val="21"/>
          <w:szCs w:val="21"/>
          <w:lang w:eastAsia="zh-CN"/>
        </w:rPr>
        <w:t>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33.3对于投标文件中含义不明确、同类问题表述不一致或者有明显文字和计算错误的内容，评审委员会应当以书面形式要求投标人作出必要的澄清、说明或者补正。</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根据本通用条款第34条，凡属于评审委员会在评审中发现的算术错误进行核实的修改不在此列。</w:t>
      </w:r>
    </w:p>
    <w:p>
      <w:pPr>
        <w:widowControl w:val="0"/>
        <w:spacing w:line="276" w:lineRule="auto"/>
        <w:jc w:val="both"/>
        <w:rPr>
          <w:rFonts w:eastAsia="黑体"/>
          <w:kern w:val="2"/>
          <w:lang w:eastAsia="zh-CN"/>
        </w:rPr>
      </w:pPr>
      <w:bookmarkStart w:id="57" w:name="_Toc73517673"/>
      <w:bookmarkStart w:id="58" w:name="_Toc73521669"/>
      <w:bookmarkStart w:id="59" w:name="_Toc73521581"/>
      <w:bookmarkStart w:id="60" w:name="_Toc73518151"/>
      <w:bookmarkStart w:id="61" w:name="_Toc100052400"/>
      <w:r>
        <w:rPr>
          <w:rFonts w:eastAsia="黑体"/>
          <w:kern w:val="2"/>
          <w:lang w:eastAsia="zh-CN"/>
        </w:rPr>
        <w:t>34．错误的修正</w:t>
      </w:r>
      <w:bookmarkEnd w:id="57"/>
      <w:bookmarkEnd w:id="58"/>
      <w:bookmarkEnd w:id="59"/>
      <w:bookmarkEnd w:id="60"/>
      <w:bookmarkEnd w:id="61"/>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投标文件报价出现前后不一致的，除专用条款另有规定外，按照下列规定修正：</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34.1投标文件中开标一览表投标报价内容与投标文件中投标报价相应内容不一致的，以开标一览表为准；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34.2大写金额和小写金额不一致的，以大写金额为准；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34.3单价金额小数点或者百分比有明显错位，以开标一览表的总价为准，并修改单价；</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34.4总价金额与按单价汇总金额不一致的，以单价金额计算结果为准。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spacing w:line="276" w:lineRule="auto"/>
        <w:jc w:val="both"/>
        <w:rPr>
          <w:rFonts w:eastAsia="黑体"/>
          <w:kern w:val="2"/>
          <w:lang w:eastAsia="zh-CN"/>
        </w:rPr>
      </w:pPr>
      <w:r>
        <w:rPr>
          <w:rFonts w:eastAsia="黑体"/>
          <w:kern w:val="2"/>
          <w:lang w:eastAsia="zh-CN"/>
        </w:rPr>
        <w:t>35．投标文件的比较与评价</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spacing w:line="276" w:lineRule="auto"/>
        <w:jc w:val="both"/>
        <w:rPr>
          <w:rFonts w:eastAsia="黑体"/>
          <w:kern w:val="2"/>
          <w:lang w:eastAsia="zh-CN"/>
        </w:rPr>
      </w:pPr>
      <w:r>
        <w:rPr>
          <w:rFonts w:eastAsia="黑体"/>
          <w:kern w:val="2"/>
          <w:lang w:eastAsia="zh-CN"/>
        </w:rPr>
        <w:t>36. 实地考察或资料查验</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spacing w:line="276" w:lineRule="auto"/>
        <w:jc w:val="both"/>
        <w:rPr>
          <w:rFonts w:eastAsia="黑体"/>
          <w:kern w:val="2"/>
          <w:lang w:eastAsia="zh-CN"/>
        </w:rPr>
      </w:pPr>
      <w:r>
        <w:rPr>
          <w:rFonts w:eastAsia="黑体"/>
          <w:kern w:val="2"/>
          <w:lang w:eastAsia="zh-CN"/>
        </w:rPr>
        <w:t>37．评审方法</w:t>
      </w:r>
    </w:p>
    <w:p>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37.1.1最低价法</w:t>
      </w:r>
    </w:p>
    <w:p>
      <w:pPr>
        <w:widowControl w:val="0"/>
        <w:spacing w:line="276" w:lineRule="auto"/>
        <w:ind w:firstLine="412" w:firstLineChars="196"/>
        <w:jc w:val="both"/>
        <w:rPr>
          <w:rFonts w:eastAsia="宋体"/>
          <w:kern w:val="2"/>
          <w:sz w:val="21"/>
          <w:lang w:eastAsia="zh-CN"/>
        </w:rPr>
      </w:pPr>
      <w:bookmarkStart w:id="62" w:name="_Hlk72438142"/>
      <w:r>
        <w:rPr>
          <w:rFonts w:eastAsia="宋体"/>
          <w:kern w:val="2"/>
          <w:sz w:val="21"/>
          <w:lang w:eastAsia="zh-CN"/>
        </w:rPr>
        <w:t>最低价法，是指完全满足招标文件实质性要求，按照报价由低到高的顺序，依据招标文件中规定的数量或者比例推荐候选中标供应商。</w:t>
      </w:r>
    </w:p>
    <w:p>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37.1.2综合评分法</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综合评分法，是指在满足招标文件全部实质性要求的前提下，按照招标文件中规定的各项因素进行综合评审，评审总得分排名前列的投标人，作为推荐的候选中标供应商。</w:t>
      </w:r>
      <w:bookmarkEnd w:id="62"/>
    </w:p>
    <w:p>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37.2 本项目采用的评审方法见本项目招标文件第一册“专用条款”的相关内容。</w:t>
      </w:r>
    </w:p>
    <w:p>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37.3重新评审的情形</w:t>
      </w:r>
    </w:p>
    <w:p>
      <w:pPr>
        <w:widowControl w:val="0"/>
        <w:spacing w:line="276" w:lineRule="auto"/>
        <w:ind w:firstLine="412" w:firstLineChars="196"/>
        <w:jc w:val="both"/>
        <w:rPr>
          <w:rFonts w:eastAsia="宋体"/>
          <w:b/>
          <w:bCs/>
          <w:kern w:val="2"/>
          <w:sz w:val="21"/>
          <w:szCs w:val="21"/>
          <w:lang w:eastAsia="zh-CN"/>
        </w:rPr>
      </w:pPr>
      <w:r>
        <w:rPr>
          <w:rFonts w:eastAsia="宋体"/>
          <w:sz w:val="21"/>
          <w:szCs w:val="21"/>
          <w:lang w:eastAsia="zh-CN"/>
        </w:rPr>
        <w:t>评审结果汇总完成后，除下列情形外，任何人不得修改评审结果：</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37.3.1分值汇总计算错误的；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37.3.2分项评分超出评分标准范围的；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37.3.3评审委员会成员对客观评审因素评分不一致的；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37.3.4经评审委员会认定评分畸高、畸低的。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37.4重新组建评审委员会的情形</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评审委员会或者其成员存在下列情形导致评审结果无效的，重新组建评审委员会进行评标，并书面报告本级财政部门：</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37.4.1评审委员会组成不符合《政府采购货物和服务招标投标管理办法》规定的；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37.4.2有《政府采购货物和服务招标投标管理办法》第六十二条第一至五项情形的；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37.4.3评审委员会及其成员独立评标受到非法干预的；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37.4.4有政府采购法实施条例第七十五条规定的违法行为的。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有违法违规行为的原评审委员会成员不得参加重新组建的评审委员会。</w:t>
      </w:r>
    </w:p>
    <w:p>
      <w:pPr>
        <w:keepNext/>
        <w:keepLines/>
        <w:widowControl/>
        <w:numPr>
          <w:ilvl w:val="0"/>
          <w:numId w:val="1"/>
        </w:numPr>
        <w:tabs>
          <w:tab w:val="left" w:pos="720"/>
        </w:tabs>
        <w:adjustRightInd w:val="0"/>
        <w:spacing w:before="156" w:beforeLines="50" w:after="156"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定标及公示</w:t>
      </w:r>
    </w:p>
    <w:p>
      <w:pPr>
        <w:widowControl w:val="0"/>
        <w:spacing w:line="276" w:lineRule="auto"/>
        <w:jc w:val="both"/>
        <w:rPr>
          <w:rFonts w:eastAsia="黑体"/>
          <w:kern w:val="2"/>
          <w:lang w:eastAsia="zh-CN"/>
        </w:rPr>
      </w:pPr>
      <w:r>
        <w:rPr>
          <w:rFonts w:eastAsia="黑体"/>
          <w:kern w:val="2"/>
          <w:lang w:eastAsia="zh-CN"/>
        </w:rPr>
        <w:t>38．定标方法</w:t>
      </w:r>
    </w:p>
    <w:p>
      <w:pPr>
        <w:widowControl w:val="0"/>
        <w:spacing w:line="276" w:lineRule="auto"/>
        <w:ind w:firstLine="412" w:firstLineChars="196"/>
        <w:jc w:val="both"/>
        <w:rPr>
          <w:rFonts w:eastAsia="宋体"/>
          <w:kern w:val="2"/>
          <w:sz w:val="21"/>
          <w:szCs w:val="21"/>
          <w:lang w:eastAsia="zh-CN"/>
        </w:rPr>
      </w:pPr>
      <w:bookmarkStart w:id="63" w:name="_Hlk73782795"/>
      <w:r>
        <w:rPr>
          <w:rFonts w:eastAsia="宋体"/>
          <w:kern w:val="2"/>
          <w:sz w:val="21"/>
          <w:szCs w:val="21"/>
          <w:lang w:eastAsia="zh-CN"/>
        </w:rPr>
        <w:t>38.1非评定分离项目定标方法</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38.1.1评审委员会依据本项目招标文件所约定的评审方法进行评审和比较，向政府集中采购机构提交书面评审报告，并根据评审方法比较评价结果从优到劣进行排序，确定候选中标供应商。</w:t>
      </w:r>
    </w:p>
    <w:p>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38.1.2</w:t>
      </w:r>
      <w:r>
        <w:rPr>
          <w:rFonts w:eastAsia="宋体"/>
          <w:kern w:val="2"/>
          <w:sz w:val="21"/>
          <w:lang w:eastAsia="zh-CN"/>
        </w:rPr>
        <w:t>采用最低价法的，评审结果按投标报价由低到高顺序排列。投标报价相同的并列。投标文件满足招标文件全部实质性要求且投标报价最低的投标人为</w:t>
      </w:r>
      <w:bookmarkStart w:id="64" w:name="_Hlk73821177"/>
      <w:r>
        <w:rPr>
          <w:rFonts w:eastAsia="宋体"/>
          <w:kern w:val="2"/>
          <w:sz w:val="21"/>
          <w:lang w:eastAsia="zh-CN"/>
        </w:rPr>
        <w:t>中标供应商（排名第二的投标人为第一替补中标候选人、排名第三的投标人为第二替补中标候选人</w:t>
      </w:r>
      <w:bookmarkEnd w:id="64"/>
      <w:r>
        <w:rPr>
          <w:rFonts w:eastAsia="宋体"/>
          <w:kern w:val="2"/>
          <w:sz w:val="21"/>
          <w:lang w:eastAsia="zh-CN"/>
        </w:rPr>
        <w:t>）。</w:t>
      </w:r>
    </w:p>
    <w:p>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38.1.3采</w:t>
      </w:r>
      <w:r>
        <w:rPr>
          <w:rFonts w:eastAsia="宋体"/>
          <w:kern w:val="2"/>
          <w:sz w:val="21"/>
          <w:lang w:eastAsia="zh-CN"/>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38.2评定分离项目定标方法</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 xml:space="preserve">38.2.2 </w:t>
      </w:r>
      <w:bookmarkStart w:id="65" w:name="_Hlk71469733"/>
      <w:r>
        <w:rPr>
          <w:rFonts w:eastAsia="宋体"/>
          <w:kern w:val="2"/>
          <w:sz w:val="21"/>
          <w:lang w:eastAsia="zh-CN"/>
        </w:rPr>
        <w:t>适用评定分离的政府采购项目，采用综合评分法评审。</w:t>
      </w:r>
      <w:r>
        <w:rPr>
          <w:rFonts w:eastAsia="宋体"/>
          <w:kern w:val="2"/>
          <w:sz w:val="21"/>
          <w:szCs w:val="21"/>
          <w:lang w:eastAsia="zh-CN"/>
        </w:rPr>
        <w:t>评审委员会按照评审结果，推荐</w:t>
      </w:r>
      <w:r>
        <w:rPr>
          <w:rFonts w:eastAsia="宋体"/>
          <w:kern w:val="2"/>
          <w:sz w:val="21"/>
          <w:lang w:eastAsia="zh-CN"/>
        </w:rPr>
        <w:t>三个合格的候选中标供应商。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38.2.3</w:t>
      </w:r>
      <w:bookmarkStart w:id="66" w:name="_Hlk71469688"/>
      <w:r>
        <w:rPr>
          <w:rFonts w:eastAsia="宋体"/>
          <w:kern w:val="2"/>
          <w:sz w:val="21"/>
          <w:lang w:eastAsia="zh-CN"/>
        </w:rPr>
        <w:t>适用评定分离的政府采购项目，</w:t>
      </w:r>
      <w:r>
        <w:rPr>
          <w:rFonts w:eastAsia="宋体"/>
          <w:kern w:val="2"/>
          <w:sz w:val="21"/>
          <w:szCs w:val="21"/>
          <w:lang w:eastAsia="zh-CN"/>
        </w:rPr>
        <w:t>按照自定法确定中标供应商：自定法是指采购人组织定标委员会，由定标委员会在三家候选中标供应商中确定中标供应商。</w:t>
      </w:r>
      <w:bookmarkEnd w:id="65"/>
      <w:bookmarkEnd w:id="66"/>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38.2.4政府集中采购机构</w:t>
      </w:r>
      <w:r>
        <w:rPr>
          <w:rFonts w:eastAsia="宋体"/>
          <w:kern w:val="2"/>
          <w:sz w:val="21"/>
          <w:lang w:eastAsia="zh-CN"/>
        </w:rPr>
        <w:t>应当自评审结束之日起两个工作日内将候选中标供应商名单及其投标文件、评审报告送交采购人</w:t>
      </w:r>
      <w:r>
        <w:rPr>
          <w:rFonts w:eastAsia="宋体"/>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政府集中采购机构。具体定标程序及相关要求以按照《深圳市财政局关于印发〈深圳市政府采购评标定标分离管理办法〉的通知》（深财规【2020】1号）执行。</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说明：采购人及投标供应商应按照上述方法提前做好相关准备。</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38.3专用条款另有规定的，按专用条款相关要求定标。</w:t>
      </w:r>
      <w:bookmarkEnd w:id="63"/>
    </w:p>
    <w:p>
      <w:pPr>
        <w:widowControl w:val="0"/>
        <w:spacing w:line="276" w:lineRule="auto"/>
        <w:jc w:val="both"/>
        <w:rPr>
          <w:rFonts w:eastAsia="黑体"/>
          <w:kern w:val="2"/>
          <w:lang w:eastAsia="zh-CN"/>
        </w:rPr>
      </w:pPr>
      <w:r>
        <w:rPr>
          <w:rFonts w:eastAsia="黑体"/>
          <w:kern w:val="2"/>
          <w:lang w:eastAsia="zh-CN"/>
        </w:rPr>
        <w:t>39．编写评审报告</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spacing w:line="276" w:lineRule="auto"/>
        <w:jc w:val="both"/>
        <w:rPr>
          <w:rFonts w:eastAsia="黑体"/>
          <w:kern w:val="2"/>
          <w:lang w:eastAsia="zh-CN"/>
        </w:rPr>
      </w:pPr>
      <w:r>
        <w:rPr>
          <w:rFonts w:eastAsia="黑体"/>
          <w:kern w:val="2"/>
          <w:lang w:eastAsia="zh-CN"/>
        </w:rPr>
        <w:t>40．中标公告</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40.1</w:t>
      </w:r>
      <w:bookmarkStart w:id="67" w:name="_Hlk72438709"/>
      <w:r>
        <w:rPr>
          <w:rFonts w:eastAsia="宋体"/>
          <w:kern w:val="2"/>
          <w:sz w:val="21"/>
          <w:szCs w:val="21"/>
          <w:lang w:eastAsia="zh-CN"/>
        </w:rPr>
        <w:t>为体现“公开、公平、公正”的原则，评审结束后经采购人确认（确定）评审结果，政府集中采购机构将在“</w:t>
      </w:r>
      <w:r>
        <w:rPr>
          <w:rFonts w:eastAsia="宋体" w:hint="eastAsia"/>
          <w:kern w:val="2"/>
          <w:sz w:val="21"/>
          <w:szCs w:val="21"/>
          <w:lang w:eastAsia="zh-CN"/>
        </w:rPr>
        <w:t>深圳公共资源交易网（</w:t>
      </w:r>
      <w:r>
        <w:rPr>
          <w:rFonts w:eastAsia="宋体"/>
          <w:kern w:val="2"/>
          <w:sz w:val="21"/>
          <w:szCs w:val="21"/>
          <w:lang w:eastAsia="zh-CN"/>
        </w:rPr>
        <w:t>https://szggzy.com/</w:t>
      </w:r>
      <w:r>
        <w:rPr>
          <w:rFonts w:eastAsia="宋体" w:hint="eastAsia"/>
          <w:kern w:val="2"/>
          <w:sz w:val="21"/>
          <w:szCs w:val="21"/>
          <w:lang w:eastAsia="zh-CN"/>
        </w:rPr>
        <w:t>）</w:t>
      </w:r>
      <w:r>
        <w:rPr>
          <w:rFonts w:eastAsia="宋体"/>
          <w:kern w:val="2"/>
          <w:sz w:val="21"/>
          <w:szCs w:val="21"/>
          <w:lang w:eastAsia="zh-CN"/>
        </w:rPr>
        <w:t>”上发布中标结果公告。</w:t>
      </w:r>
      <w:bookmarkEnd w:id="67"/>
      <w:bookmarkStart w:id="68" w:name="_Hlk72438751"/>
      <w:r>
        <w:rPr>
          <w:rFonts w:eastAsia="宋体"/>
          <w:kern w:val="2"/>
          <w:sz w:val="21"/>
          <w:szCs w:val="21"/>
          <w:lang w:eastAsia="zh-CN"/>
        </w:rPr>
        <w:t>供应商如对评审结果有异议，可在发布公示日期起七个工作日内向政府集中采购机构提出。监督电话：</w:t>
      </w:r>
      <w:r>
        <w:rPr>
          <w:rFonts w:eastAsia="宋体" w:hint="eastAsia"/>
          <w:kern w:val="2"/>
          <w:sz w:val="21"/>
          <w:szCs w:val="21"/>
          <w:lang w:eastAsia="zh-CN"/>
        </w:rPr>
        <w:t>0755-86500054、0755-86500050</w:t>
      </w:r>
      <w:r>
        <w:rPr>
          <w:rFonts w:eastAsia="宋体"/>
          <w:kern w:val="2"/>
          <w:sz w:val="21"/>
          <w:szCs w:val="21"/>
          <w:lang w:eastAsia="zh-CN"/>
        </w:rPr>
        <w:t>。若在公示期内未提出质疑，则视为认同该评审结果。</w:t>
      </w:r>
    </w:p>
    <w:bookmarkEnd w:id="68"/>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40.2质疑、投诉供应商应保证质疑、投诉内容的真实性和可靠性，并承担相应的法律责任。</w:t>
      </w:r>
    </w:p>
    <w:p>
      <w:pPr>
        <w:widowControl w:val="0"/>
        <w:spacing w:line="276" w:lineRule="auto"/>
        <w:jc w:val="both"/>
        <w:rPr>
          <w:rFonts w:eastAsia="黑体"/>
          <w:kern w:val="2"/>
          <w:lang w:eastAsia="zh-CN"/>
        </w:rPr>
      </w:pPr>
      <w:r>
        <w:rPr>
          <w:rFonts w:eastAsia="黑体"/>
          <w:kern w:val="2"/>
          <w:lang w:eastAsia="zh-CN"/>
        </w:rPr>
        <w:t>41．中标通知书</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41.1</w:t>
      </w:r>
      <w:bookmarkStart w:id="69" w:name="_Hlk72438863"/>
      <w:r>
        <w:rPr>
          <w:rFonts w:eastAsia="宋体" w:hint="eastAsia"/>
          <w:kern w:val="2"/>
          <w:sz w:val="21"/>
          <w:szCs w:val="21"/>
          <w:lang w:eastAsia="zh-CN"/>
        </w:rPr>
        <w:t>中标公告公布以后无异常的情况下</w:t>
      </w:r>
      <w:r>
        <w:rPr>
          <w:rFonts w:eastAsia="宋体"/>
          <w:kern w:val="2"/>
          <w:sz w:val="21"/>
          <w:szCs w:val="21"/>
          <w:lang w:eastAsia="zh-CN"/>
        </w:rPr>
        <w:t>,</w:t>
      </w:r>
      <w:r>
        <w:rPr>
          <w:rFonts w:eastAsia="宋体" w:hint="eastAsia"/>
          <w:kern w:val="2"/>
          <w:sz w:val="21"/>
          <w:szCs w:val="21"/>
          <w:lang w:eastAsia="zh-CN"/>
        </w:rPr>
        <w:t>中标供应商和采购人可自行在“深圳市自行采购系统（</w:t>
      </w:r>
      <w:r>
        <w:rPr>
          <w:rFonts w:eastAsia="宋体"/>
          <w:kern w:val="2"/>
          <w:sz w:val="21"/>
          <w:szCs w:val="21"/>
          <w:lang w:eastAsia="zh-CN"/>
        </w:rPr>
        <w:t>https://trade.szggzy.com/ggzy/center/#/login</w:t>
      </w:r>
      <w:r>
        <w:rPr>
          <w:rFonts w:eastAsia="宋体" w:hint="eastAsia"/>
          <w:kern w:val="2"/>
          <w:sz w:val="21"/>
          <w:szCs w:val="21"/>
          <w:lang w:eastAsia="zh-CN"/>
        </w:rPr>
        <w:t>）”上打印《数字中标通知书》</w:t>
      </w:r>
      <w:r>
        <w:rPr>
          <w:rFonts w:eastAsia="宋体"/>
          <w:kern w:val="2"/>
          <w:sz w:val="21"/>
          <w:szCs w:val="21"/>
          <w:lang w:eastAsia="zh-CN"/>
        </w:rPr>
        <w:t>。</w:t>
      </w:r>
      <w:bookmarkEnd w:id="69"/>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41.2中标通知书是合同的重要组成部分。</w:t>
      </w:r>
    </w:p>
    <w:p>
      <w:pPr>
        <w:widowControl w:val="0"/>
        <w:spacing w:line="276" w:lineRule="auto"/>
        <w:ind w:firstLine="412" w:firstLineChars="196"/>
        <w:jc w:val="both"/>
        <w:rPr>
          <w:rFonts w:eastAsia="宋体"/>
          <w:kern w:val="2"/>
          <w:sz w:val="21"/>
          <w:szCs w:val="21"/>
          <w:lang w:eastAsia="zh-CN"/>
        </w:rPr>
      </w:pPr>
      <w:bookmarkStart w:id="70" w:name="_Hlk71407340"/>
      <w:r>
        <w:rPr>
          <w:rFonts w:eastAsia="宋体"/>
          <w:kern w:val="2"/>
          <w:sz w:val="21"/>
          <w:szCs w:val="21"/>
          <w:lang w:eastAsia="zh-CN"/>
        </w:rPr>
        <w:t>41.3因质疑投诉或其它原因导致项目结果变更或采购终止的，政府集中采购机构有权吊销中标通知书。</w:t>
      </w:r>
    </w:p>
    <w:bookmarkEnd w:id="70"/>
    <w:p>
      <w:pPr>
        <w:keepNext/>
        <w:keepLines/>
        <w:widowControl/>
        <w:numPr>
          <w:ilvl w:val="0"/>
          <w:numId w:val="1"/>
        </w:numPr>
        <w:tabs>
          <w:tab w:val="left" w:pos="720"/>
        </w:tabs>
        <w:adjustRightInd w:val="0"/>
        <w:spacing w:before="156" w:beforeLines="50" w:after="156"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公开招标失败的后续处理</w:t>
      </w:r>
    </w:p>
    <w:p>
      <w:pPr>
        <w:widowControl w:val="0"/>
        <w:spacing w:line="276" w:lineRule="auto"/>
        <w:jc w:val="both"/>
        <w:rPr>
          <w:rFonts w:eastAsia="黑体"/>
          <w:kern w:val="2"/>
          <w:lang w:eastAsia="zh-CN"/>
        </w:rPr>
      </w:pPr>
      <w:r>
        <w:rPr>
          <w:rFonts w:eastAsia="黑体"/>
          <w:kern w:val="2"/>
          <w:lang w:eastAsia="zh-CN"/>
        </w:rPr>
        <w:t>42．公开招标失败的处理</w:t>
      </w:r>
    </w:p>
    <w:p>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42.1本项目公开招标过程中若由于投标截止后</w:t>
      </w:r>
      <w:r>
        <w:rPr>
          <w:rFonts w:eastAsia="宋体"/>
          <w:kern w:val="2"/>
          <w:sz w:val="21"/>
          <w:lang w:eastAsia="zh-CN"/>
        </w:rPr>
        <w:t>实际递交投标文件的供应商数量不足、经</w:t>
      </w:r>
      <w:r>
        <w:rPr>
          <w:rFonts w:eastAsia="宋体"/>
          <w:kern w:val="2"/>
          <w:sz w:val="21"/>
          <w:szCs w:val="21"/>
          <w:lang w:eastAsia="zh-CN"/>
        </w:rPr>
        <w:t>评审委员会</w:t>
      </w:r>
      <w:r>
        <w:rPr>
          <w:rFonts w:eastAsia="宋体"/>
          <w:kern w:val="2"/>
          <w:sz w:val="21"/>
          <w:lang w:eastAsia="zh-CN"/>
        </w:rPr>
        <w:t>评审对招标文件作实质响应的供应商不足等原因造成公开招标失败，可由政府集中采购机构重新组织采购。</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42.3重新组织采购有以下两种组织形式：</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（1）由政府集中采购机构重新组织公开招标；</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（2）根据实际情况需要向同级财政部门提出非公开招标方式申请，经同级财政部门批准，公开招标失败采购项目可转为竞争性谈判或单一来源谈判方式采购。</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42.4公开招标失败的采购项目重新组织公开招标，由政府集中采购机构重新按公开招标流程组织采购活动。</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42.5公开招标失败的采购项目经同级财政部门批准转为竞争性谈判或单一来源谈判方式采购的，按规定要求组织政府采购工作。</w:t>
      </w:r>
    </w:p>
    <w:p>
      <w:pPr>
        <w:keepNext/>
        <w:keepLines/>
        <w:widowControl/>
        <w:numPr>
          <w:ilvl w:val="0"/>
          <w:numId w:val="1"/>
        </w:numPr>
        <w:tabs>
          <w:tab w:val="left" w:pos="720"/>
        </w:tabs>
        <w:adjustRightInd w:val="0"/>
        <w:spacing w:before="156" w:beforeLines="50" w:after="156" w:afterLines="50" w:line="276" w:lineRule="auto"/>
        <w:ind w:left="562" w:hanging="562"/>
        <w:jc w:val="center"/>
        <w:textAlignment w:val="baseline"/>
        <w:outlineLvl w:val="1"/>
        <w:rPr>
          <w:rFonts w:eastAsia="宋体"/>
          <w:b/>
          <w:bCs/>
          <w:sz w:val="28"/>
          <w:szCs w:val="28"/>
          <w:lang w:eastAsia="zh-CN"/>
        </w:rPr>
      </w:pPr>
      <w:bookmarkStart w:id="71" w:name="_Hlk72439043"/>
      <w:r>
        <w:rPr>
          <w:rFonts w:eastAsia="宋体"/>
          <w:b/>
          <w:bCs/>
          <w:sz w:val="28"/>
          <w:szCs w:val="28"/>
          <w:lang w:eastAsia="zh-CN"/>
        </w:rPr>
        <w:t>合同的授予与备案</w:t>
      </w:r>
      <w:bookmarkEnd w:id="71"/>
    </w:p>
    <w:p>
      <w:pPr>
        <w:widowControl w:val="0"/>
        <w:spacing w:line="276" w:lineRule="auto"/>
        <w:jc w:val="both"/>
        <w:rPr>
          <w:rFonts w:eastAsia="黑体"/>
          <w:kern w:val="2"/>
          <w:lang w:eastAsia="zh-CN"/>
        </w:rPr>
      </w:pPr>
      <w:bookmarkStart w:id="72" w:name="_Toc73521586"/>
      <w:bookmarkStart w:id="73" w:name="_Toc73518157"/>
      <w:bookmarkStart w:id="74" w:name="_Toc73521674"/>
      <w:bookmarkStart w:id="75" w:name="_Toc73517679"/>
      <w:bookmarkStart w:id="76" w:name="_Toc100052408"/>
      <w:bookmarkStart w:id="77" w:name="_Hlk72439088"/>
      <w:r>
        <w:rPr>
          <w:rFonts w:eastAsia="黑体"/>
          <w:kern w:val="2"/>
          <w:lang w:eastAsia="zh-CN"/>
        </w:rPr>
        <w:t>43．合同授予标准</w:t>
      </w:r>
      <w:bookmarkEnd w:id="72"/>
      <w:bookmarkEnd w:id="73"/>
      <w:bookmarkEnd w:id="74"/>
      <w:bookmarkEnd w:id="75"/>
      <w:bookmarkEnd w:id="76"/>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本项目的合同将授予经本招标文件规定评审确定的中标供应商。</w:t>
      </w:r>
    </w:p>
    <w:p>
      <w:pPr>
        <w:widowControl w:val="0"/>
        <w:spacing w:line="276" w:lineRule="auto"/>
        <w:jc w:val="both"/>
        <w:rPr>
          <w:rFonts w:eastAsia="黑体"/>
          <w:kern w:val="2"/>
          <w:lang w:eastAsia="zh-CN"/>
        </w:rPr>
      </w:pPr>
      <w:bookmarkStart w:id="78" w:name="_Toc100052409"/>
      <w:bookmarkStart w:id="79" w:name="_Toc73521587"/>
      <w:bookmarkStart w:id="80" w:name="_Toc73517680"/>
      <w:bookmarkStart w:id="81" w:name="_Toc73521675"/>
      <w:bookmarkStart w:id="82" w:name="_Toc73518158"/>
      <w:r>
        <w:rPr>
          <w:rFonts w:eastAsia="黑体"/>
          <w:kern w:val="2"/>
          <w:lang w:eastAsia="zh-CN"/>
        </w:rPr>
        <w:t>44．</w:t>
      </w:r>
      <w:bookmarkEnd w:id="78"/>
      <w:bookmarkEnd w:id="79"/>
      <w:bookmarkEnd w:id="80"/>
      <w:bookmarkEnd w:id="81"/>
      <w:bookmarkEnd w:id="82"/>
      <w:r>
        <w:rPr>
          <w:rFonts w:eastAsia="黑体"/>
          <w:kern w:val="2"/>
          <w:lang w:eastAsia="zh-CN"/>
        </w:rPr>
        <w:t>接受和拒绝任何或所有投标的权力</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spacing w:line="276" w:lineRule="auto"/>
        <w:jc w:val="both"/>
        <w:rPr>
          <w:rFonts w:eastAsia="黑体"/>
          <w:kern w:val="2"/>
          <w:lang w:eastAsia="zh-CN"/>
        </w:rPr>
      </w:pPr>
      <w:bookmarkStart w:id="83" w:name="_Toc73521589"/>
      <w:bookmarkStart w:id="84" w:name="_Toc100052410"/>
      <w:bookmarkStart w:id="85" w:name="_Toc73521677"/>
      <w:bookmarkStart w:id="86" w:name="_Toc73517682"/>
      <w:bookmarkStart w:id="87" w:name="_Toc73518160"/>
      <w:r>
        <w:rPr>
          <w:rFonts w:eastAsia="黑体"/>
          <w:kern w:val="2"/>
          <w:lang w:eastAsia="zh-CN"/>
        </w:rPr>
        <w:t>45．合同的签订</w:t>
      </w:r>
      <w:bookmarkEnd w:id="83"/>
      <w:bookmarkEnd w:id="84"/>
      <w:bookmarkEnd w:id="85"/>
      <w:bookmarkEnd w:id="86"/>
      <w:bookmarkEnd w:id="87"/>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45.2中标人如不按本通用条款第45.1款的规定与采购人签订合同，</w:t>
      </w:r>
      <w:r>
        <w:rPr>
          <w:rFonts w:eastAsia="宋体"/>
          <w:sz w:val="21"/>
          <w:szCs w:val="21"/>
          <w:lang w:eastAsia="zh-CN"/>
        </w:rPr>
        <w:t>情节严重的，由同级财政部门记入供应商诚信档案，予以通报</w:t>
      </w:r>
      <w:r>
        <w:rPr>
          <w:rFonts w:eastAsia="宋体"/>
          <w:kern w:val="2"/>
          <w:sz w:val="21"/>
          <w:szCs w:val="21"/>
          <w:lang w:eastAsia="zh-CN"/>
        </w:rPr>
        <w:t>；</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45.3中标人应当按照合同约定履行义务，完成中标项目，不得将中标项目转让（转包）给他人。</w:t>
      </w:r>
    </w:p>
    <w:p>
      <w:pPr>
        <w:widowControl w:val="0"/>
        <w:spacing w:line="276" w:lineRule="auto"/>
        <w:jc w:val="both"/>
        <w:rPr>
          <w:rFonts w:eastAsia="黑体"/>
          <w:kern w:val="2"/>
          <w:lang w:eastAsia="zh-CN"/>
        </w:rPr>
      </w:pPr>
      <w:bookmarkStart w:id="88" w:name="_Toc73517683"/>
      <w:bookmarkStart w:id="89" w:name="_Toc73521678"/>
      <w:bookmarkStart w:id="90" w:name="_Toc73521590"/>
      <w:bookmarkStart w:id="91" w:name="_Toc73518161"/>
      <w:bookmarkStart w:id="92" w:name="_Toc100052411"/>
      <w:r>
        <w:rPr>
          <w:rFonts w:eastAsia="黑体"/>
          <w:kern w:val="2"/>
          <w:lang w:eastAsia="zh-CN"/>
        </w:rPr>
        <w:t>46．履约担保</w:t>
      </w:r>
      <w:bookmarkEnd w:id="88"/>
      <w:bookmarkEnd w:id="89"/>
      <w:bookmarkEnd w:id="90"/>
      <w:bookmarkEnd w:id="91"/>
      <w:bookmarkEnd w:id="92"/>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46.1在签订项目合同的同时，中标人应按“对通用条款的补充内容”中规定的金额向采购人提交履约担保；</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46.2，允许供应商自主选择以支票、汇票、本票、保函等非现金方式提交履约担保；</w:t>
      </w:r>
      <w:r>
        <w:rPr>
          <w:rFonts w:eastAsia="宋体"/>
          <w:kern w:val="2"/>
          <w:sz w:val="21"/>
          <w:lang w:eastAsia="zh-CN"/>
        </w:rPr>
        <w:t>中标人提交履约担保不是合同签订的前提条件，不要求中标人提供除法律、法规明确规定外的其他担保。</w:t>
      </w:r>
    </w:p>
    <w:p>
      <w:pPr>
        <w:widowControl w:val="0"/>
        <w:spacing w:line="276" w:lineRule="auto"/>
        <w:jc w:val="both"/>
        <w:rPr>
          <w:rFonts w:eastAsia="黑体"/>
          <w:kern w:val="2"/>
          <w:lang w:eastAsia="zh-CN"/>
        </w:rPr>
      </w:pPr>
      <w:r>
        <w:rPr>
          <w:rFonts w:eastAsia="黑体"/>
          <w:kern w:val="2"/>
          <w:lang w:eastAsia="zh-CN"/>
        </w:rPr>
        <w:t>47. 合同备案</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采购人</w:t>
      </w:r>
      <w:r>
        <w:rPr>
          <w:rFonts w:eastAsia="宋体" w:hint="eastAsia"/>
          <w:kern w:val="2"/>
          <w:sz w:val="21"/>
          <w:szCs w:val="21"/>
          <w:lang w:eastAsia="zh-CN"/>
        </w:rPr>
        <w:t>与中标供应商自中标通知书发出之日起10个工作日内签订政府采购合同，并按财政部门规定提交备案。</w:t>
      </w:r>
    </w:p>
    <w:p>
      <w:pPr>
        <w:widowControl w:val="0"/>
        <w:spacing w:line="276" w:lineRule="auto"/>
        <w:jc w:val="both"/>
        <w:rPr>
          <w:rFonts w:eastAsia="黑体"/>
          <w:kern w:val="2"/>
          <w:lang w:eastAsia="zh-CN"/>
        </w:rPr>
      </w:pPr>
      <w:r>
        <w:rPr>
          <w:rFonts w:eastAsia="黑体"/>
          <w:kern w:val="2"/>
          <w:lang w:eastAsia="zh-CN"/>
        </w:rPr>
        <w:t>48. 合同变更</w:t>
      </w:r>
    </w:p>
    <w:p>
      <w:pPr>
        <w:widowControl w:val="0"/>
        <w:spacing w:line="276" w:lineRule="auto"/>
        <w:ind w:firstLine="412" w:firstLineChars="196"/>
        <w:jc w:val="both"/>
        <w:rPr>
          <w:rFonts w:eastAsia="宋体"/>
          <w:kern w:val="2"/>
          <w:sz w:val="21"/>
          <w:szCs w:val="21"/>
          <w:lang w:eastAsia="zh-CN"/>
        </w:rPr>
      </w:pPr>
      <w:r>
        <w:rPr>
          <w:rFonts w:eastAsia="宋体" w:hint="eastAsia"/>
          <w:kern w:val="2"/>
          <w:sz w:val="21"/>
          <w:szCs w:val="21"/>
          <w:lang w:eastAsia="zh-CN"/>
        </w:rPr>
        <w:t>合同变更事宜按《深圳市财政局关于优化政府采购合同备案的通知》（深财发保〔2022〕2号）相关规定执行</w:t>
      </w:r>
      <w:r>
        <w:rPr>
          <w:rFonts w:eastAsia="宋体"/>
          <w:kern w:val="2"/>
          <w:sz w:val="21"/>
          <w:szCs w:val="21"/>
          <w:lang w:eastAsia="zh-CN"/>
        </w:rPr>
        <w:t>。</w:t>
      </w:r>
    </w:p>
    <w:p>
      <w:pPr>
        <w:widowControl w:val="0"/>
        <w:spacing w:line="276" w:lineRule="auto"/>
        <w:jc w:val="both"/>
        <w:rPr>
          <w:rFonts w:eastAsia="黑体"/>
          <w:kern w:val="2"/>
          <w:lang w:eastAsia="zh-CN"/>
        </w:rPr>
      </w:pPr>
      <w:r>
        <w:rPr>
          <w:rFonts w:eastAsia="黑体"/>
          <w:kern w:val="2"/>
          <w:lang w:eastAsia="zh-CN"/>
        </w:rPr>
        <w:t>49. 项目验收</w:t>
      </w:r>
    </w:p>
    <w:p>
      <w:pPr>
        <w:widowControl/>
        <w:spacing w:line="276" w:lineRule="auto"/>
        <w:ind w:right="176" w:firstLine="420"/>
        <w:jc w:val="left"/>
        <w:rPr>
          <w:rFonts w:eastAsia="宋体"/>
          <w:kern w:val="2"/>
          <w:sz w:val="21"/>
          <w:lang w:eastAsia="zh-CN"/>
        </w:rPr>
      </w:pPr>
      <w:r>
        <w:rPr>
          <w:rFonts w:eastAsia="宋体"/>
          <w:kern w:val="2"/>
          <w:sz w:val="21"/>
          <w:lang w:eastAsia="zh-CN"/>
        </w:rPr>
        <w:t>49.1采购人应当按照招标文件和合同规定的标准和方法，及时组织验收。</w:t>
      </w:r>
    </w:p>
    <w:p>
      <w:pPr>
        <w:widowControl w:val="0"/>
        <w:spacing w:line="276" w:lineRule="auto"/>
        <w:jc w:val="both"/>
        <w:rPr>
          <w:rFonts w:eastAsia="黑体"/>
          <w:kern w:val="2"/>
          <w:lang w:eastAsia="zh-CN"/>
        </w:rPr>
      </w:pPr>
      <w:r>
        <w:rPr>
          <w:rFonts w:eastAsia="黑体"/>
          <w:kern w:val="2"/>
          <w:lang w:eastAsia="zh-CN"/>
        </w:rPr>
        <w:t>50. 宣传</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凡与政府采购活动有关的宣传或广告，若当中提及政府采购，必须事先将具体对外宣传方案报同级财政部门和政府集中采购机构，并征得其同意。对外市场宣传包括但不限于以下形式：</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a.名片、宣传册、广告标语等；</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b.案例介绍、推广等；</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c.工作人员向其他消费群体宣传。</w:t>
      </w:r>
    </w:p>
    <w:p>
      <w:pPr>
        <w:widowControl w:val="0"/>
        <w:spacing w:line="276" w:lineRule="auto"/>
        <w:jc w:val="both"/>
        <w:rPr>
          <w:rFonts w:eastAsia="黑体"/>
          <w:kern w:val="2"/>
          <w:lang w:eastAsia="zh-CN"/>
        </w:rPr>
      </w:pPr>
      <w:r>
        <w:rPr>
          <w:rFonts w:eastAsia="黑体"/>
          <w:kern w:val="2"/>
          <w:lang w:eastAsia="zh-CN"/>
        </w:rPr>
        <w:t>51. 供应商违法责任</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（1）在采购活动中应当回避而未回避的；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（2）未按本条例规定签订、履行采购合同，造成严重后果的；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（3）隐瞒真实情况，提供虚假资料的；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（4）以非法手段排斥其他供应商参与竞争的；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（5）与其他采购参加人串通投标的；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（6）恶意投诉的；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（7）向采购项目相关人行贿或者提供其他不当利益的；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（8）阻碍、抗拒主管部门监督检查的；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（9）其他违反本条例规定的行为。</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51.2</w:t>
      </w:r>
      <w:r>
        <w:rPr>
          <w:rFonts w:eastAsia="宋体" w:hint="eastAsia"/>
          <w:kern w:val="2"/>
          <w:sz w:val="21"/>
          <w:szCs w:val="21"/>
          <w:lang w:eastAsia="zh-CN"/>
        </w:rPr>
        <w:t>根据《深圳市财政局关于调整政府采购投标（响应）保证金管理政策的通知 》（深财购〔2021〕51号）的要求，供应商在政府采购活动中出现《深圳经济特区政府采购条例实施细则》第八十条所列情形的，政府集中采购机构或采购人不予退还其交纳的谈判保证金，情节严重的，并由主管部门记入供应商诚信档案，予以通报</w:t>
      </w:r>
      <w:r>
        <w:rPr>
          <w:rFonts w:eastAsia="宋体"/>
          <w:kern w:val="2"/>
          <w:sz w:val="21"/>
          <w:szCs w:val="21"/>
          <w:lang w:eastAsia="zh-CN"/>
        </w:rPr>
        <w:t>：</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（1）投标截止后，撤销投标的；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（2）中标后无正当理由未在规定期限内签订合同的；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（3）将中标项目转让给他人、或者在投标文件中未说明且未经采购人、采购招标机构同意，将中标项目分包给他人的；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（4）拒绝履行合同义务的。</w:t>
      </w:r>
    </w:p>
    <w:bookmarkEnd w:id="77"/>
    <w:p>
      <w:pPr>
        <w:keepNext/>
        <w:keepLines/>
        <w:widowControl/>
        <w:numPr>
          <w:ilvl w:val="0"/>
          <w:numId w:val="1"/>
        </w:numPr>
        <w:tabs>
          <w:tab w:val="left" w:pos="720"/>
        </w:tabs>
        <w:adjustRightInd w:val="0"/>
        <w:spacing w:before="156" w:beforeLines="50" w:after="156"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质疑处理</w:t>
      </w:r>
    </w:p>
    <w:p>
      <w:pPr>
        <w:widowControl w:val="0"/>
        <w:spacing w:line="276" w:lineRule="auto"/>
        <w:jc w:val="both"/>
        <w:rPr>
          <w:rFonts w:eastAsia="黑体"/>
          <w:kern w:val="2"/>
          <w:lang w:eastAsia="zh-CN"/>
        </w:rPr>
      </w:pPr>
      <w:bookmarkStart w:id="93" w:name="_Hlk72439706"/>
      <w:r>
        <w:rPr>
          <w:rFonts w:eastAsia="黑体"/>
          <w:kern w:val="2"/>
          <w:lang w:eastAsia="zh-CN"/>
        </w:rPr>
        <w:t>52.质疑提出与答复</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52.1提出质疑</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参与政府采购活动的供应商认为自己的权益在采购活动中受到损害的，应当自知道或者应当知道其权益受到损害之日起七个工作日内向采购人、政府集中采购机构以书面形式提出质疑。</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52.2法律依据</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52.3质疑条件</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52.3.1提出质疑的供应商应当是参与所质疑项目采购活动的供应商；</w:t>
      </w:r>
      <w:bookmarkStart w:id="94" w:name="_Hlk75374941"/>
      <w:r>
        <w:rPr>
          <w:rFonts w:eastAsia="宋体"/>
          <w:kern w:val="2"/>
          <w:sz w:val="21"/>
          <w:szCs w:val="21"/>
          <w:lang w:eastAsia="zh-CN"/>
        </w:rPr>
        <w:t>以联合体形式参与的，质疑应当由组成联合体的所有成员共同提出</w:t>
      </w:r>
      <w:bookmarkEnd w:id="94"/>
      <w:r>
        <w:rPr>
          <w:rFonts w:eastAsia="宋体"/>
          <w:kern w:val="2"/>
          <w:sz w:val="21"/>
          <w:szCs w:val="21"/>
          <w:lang w:eastAsia="zh-CN"/>
        </w:rPr>
        <w:t>；</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spacing w:line="276" w:lineRule="auto"/>
        <w:ind w:firstLine="420"/>
        <w:jc w:val="both"/>
        <w:rPr>
          <w:rFonts w:eastAsia="宋体"/>
          <w:kern w:val="2"/>
          <w:sz w:val="21"/>
          <w:szCs w:val="21"/>
          <w:lang w:eastAsia="zh-CN"/>
        </w:rPr>
      </w:pPr>
      <w:r>
        <w:rPr>
          <w:rFonts w:eastAsia="宋体"/>
          <w:kern w:val="2"/>
          <w:sz w:val="21"/>
          <w:szCs w:val="21"/>
          <w:lang w:eastAsia="zh-CN"/>
        </w:rPr>
        <w:t>52.3.3应提交书面质疑函，质疑函应当包括以下内容：</w:t>
      </w:r>
    </w:p>
    <w:p>
      <w:pPr>
        <w:widowControl w:val="0"/>
        <w:spacing w:line="276" w:lineRule="auto"/>
        <w:ind w:firstLine="420"/>
        <w:jc w:val="both"/>
        <w:rPr>
          <w:rFonts w:eastAsia="宋体"/>
          <w:kern w:val="2"/>
          <w:sz w:val="21"/>
          <w:szCs w:val="21"/>
          <w:lang w:eastAsia="zh-CN"/>
        </w:rPr>
      </w:pPr>
      <w:r>
        <w:rPr>
          <w:rFonts w:eastAsia="宋体"/>
          <w:kern w:val="2"/>
          <w:sz w:val="21"/>
          <w:szCs w:val="21"/>
          <w:lang w:eastAsia="zh-CN"/>
        </w:rPr>
        <w:t>（1）供应商的名称（或者姓名）、地址、邮编、邮箱、联系人及联系电话；</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（2）质疑项目的名称、编号；</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（3）具体、明确的质疑对象、质疑事项和质疑请求；</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（4）因质疑事项而受损害的权益；</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（5）事实依据；</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（6）必要的法律依据；</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（7）提出质疑的日期。</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供应商为自然人的，应当由本人签字；供应商为法人或者其他组织的，应当由法定代表人（负责人），或者其授权代理人签字或者盖章，并加盖公章。</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52.4提交材料</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52.5提交方式</w:t>
      </w:r>
    </w:p>
    <w:p>
      <w:pPr>
        <w:widowControl w:val="0"/>
        <w:spacing w:line="276" w:lineRule="auto"/>
        <w:ind w:firstLine="420" w:firstLineChars="200"/>
        <w:jc w:val="both"/>
        <w:rPr>
          <w:rFonts w:eastAsia="宋体"/>
          <w:b/>
          <w:bCs/>
          <w:kern w:val="2"/>
          <w:sz w:val="21"/>
          <w:szCs w:val="21"/>
          <w:lang w:eastAsia="zh-CN"/>
        </w:rPr>
      </w:pPr>
      <w:r>
        <w:rPr>
          <w:rFonts w:eastAsia="宋体"/>
          <w:kern w:val="2"/>
          <w:sz w:val="21"/>
          <w:szCs w:val="21"/>
          <w:lang w:eastAsia="zh-CN"/>
        </w:rPr>
        <w:t>请质疑供应商根据深圳政府采购智慧平台（http://zfcg.szggzy.com:8081/）所发布的质疑指引、质疑函模板填写质疑函并提交质疑材料。</w:t>
      </w:r>
      <w:r>
        <w:rPr>
          <w:rFonts w:eastAsia="宋体"/>
          <w:b/>
          <w:bCs/>
          <w:kern w:val="2"/>
          <w:sz w:val="21"/>
          <w:szCs w:val="21"/>
          <w:lang w:eastAsia="zh-CN"/>
        </w:rPr>
        <w:t>地址：深圳市南山区沙河西路3185号南山智谷A座（深圳交易集团总部大楼）27楼，质疑咨询电话：</w:t>
      </w:r>
      <w:r>
        <w:rPr>
          <w:rFonts w:eastAsia="宋体" w:hint="eastAsia"/>
          <w:b/>
          <w:bCs/>
          <w:kern w:val="2"/>
          <w:sz w:val="21"/>
          <w:szCs w:val="21"/>
          <w:lang w:eastAsia="zh-CN"/>
        </w:rPr>
        <w:t>0755-86500054、0755-86500050</w:t>
      </w:r>
      <w:r>
        <w:rPr>
          <w:rFonts w:eastAsia="宋体"/>
          <w:b/>
          <w:bCs/>
          <w:kern w:val="2"/>
          <w:sz w:val="21"/>
          <w:szCs w:val="21"/>
          <w:lang w:eastAsia="zh-CN"/>
        </w:rPr>
        <w:t>。</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52.6收文办理程序</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spacing w:line="276" w:lineRule="auto"/>
        <w:ind w:firstLine="420" w:firstLineChars="200"/>
        <w:jc w:val="both"/>
        <w:rPr>
          <w:rFonts w:eastAsia="仿宋"/>
          <w:kern w:val="2"/>
          <w:sz w:val="28"/>
          <w:szCs w:val="28"/>
          <w:lang w:eastAsia="zh-CN"/>
        </w:rPr>
      </w:pPr>
      <w:r>
        <w:rPr>
          <w:rFonts w:eastAsia="宋体"/>
          <w:kern w:val="2"/>
          <w:sz w:val="21"/>
          <w:szCs w:val="21"/>
          <w:lang w:eastAsia="zh-CN"/>
        </w:rPr>
        <w:t>52.6.2供应商提交的质疑材料不符合质疑条件的，视情况处理：</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供应商提交的质疑材料不全或者未按要求签字或者盖章的，政府集中采购机构应当一次性告知供应商需补正的内容和补正期限。</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供应商提交的质疑存在下列情形之一的，不予受理：</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（1）质疑主体不满足要求的；</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（2）供应商自身权益未受到损害的；</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（3）供应商未在法定质疑期限内提出质疑的；</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（4）质疑材料不全或者未按要求签字或者盖章的情况下，要求补正后，逾期未补正或者补正后仍不符合规定的；</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（5）其他不符合受理条件情形的。</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质疑事项不予受理的，政府集中采购机构应当向供应商出具不符合质疑条件告知书。</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52.7质疑答复时限</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自收文之日起七个工作日内。</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52.8投诉</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对质疑答复不满意或者未在规定时间内答复的，提出质疑的供应商可以在答复期满后15个工作日内向同级财政部门投诉。</w:t>
      </w:r>
    </w:p>
    <w:p>
      <w:pPr>
        <w:widowControl w:val="0"/>
        <w:spacing w:line="276" w:lineRule="auto"/>
        <w:jc w:val="both"/>
        <w:rPr>
          <w:rFonts w:ascii="宋体" w:eastAsia="宋体" w:hAnsi="宋体" w:cs="宋体"/>
          <w:b/>
          <w:bCs/>
          <w:kern w:val="2"/>
          <w:lang w:eastAsia="zh-CN"/>
        </w:rPr>
      </w:pPr>
      <w:r>
        <w:rPr>
          <w:rFonts w:ascii="宋体" w:eastAsia="宋体" w:hAnsi="宋体" w:cs="宋体" w:hint="eastAsia"/>
          <w:b/>
          <w:bCs/>
          <w:kern w:val="2"/>
          <w:lang w:eastAsia="zh-CN"/>
        </w:rPr>
        <w:t>53. 质疑后续处理</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53.1供应商质疑不成立，或者成立但未对中标、成交结果构成影响的，继续开展采购活动。</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53.3被质疑供应商应配合提供质疑答辩意见，并提供相关证据材料，逾期不作书面答辩的，视同放弃答辩权利，依法承担由此可能产生的不利法律后果。</w:t>
      </w:r>
    </w:p>
    <w:p>
      <w:pPr>
        <w:widowControl w:val="0"/>
        <w:spacing w:line="276" w:lineRule="auto"/>
        <w:jc w:val="center"/>
        <w:rPr>
          <w:rFonts w:eastAsia="宋体"/>
          <w:kern w:val="2"/>
          <w:sz w:val="21"/>
          <w:lang w:eastAsia="zh-CN"/>
        </w:rPr>
      </w:pPr>
    </w:p>
    <w:p>
      <w:pPr>
        <w:widowControl w:val="0"/>
        <w:spacing w:line="276" w:lineRule="auto"/>
        <w:jc w:val="center"/>
        <w:rPr>
          <w:rFonts w:eastAsia="宋体"/>
          <w:kern w:val="2"/>
          <w:sz w:val="21"/>
          <w:lang w:eastAsia="zh-CN"/>
        </w:rPr>
        <w:sectPr>
          <w:footerReference w:type="default" r:id="rId4"/>
          <w:pgSz w:w="11906" w:h="16838"/>
          <w:pgMar w:top="1440" w:right="1800" w:bottom="1440" w:left="1800" w:header="851" w:footer="992" w:gutter="0"/>
          <w:pgNumType w:fmt="decimal"/>
          <w:cols w:num="1" w:space="425"/>
          <w:docGrid w:type="lines" w:linePitch="312" w:charSpace="0"/>
        </w:sectPr>
      </w:pPr>
      <w:r>
        <w:rPr>
          <w:rFonts w:eastAsia="宋体"/>
          <w:kern w:val="2"/>
          <w:sz w:val="21"/>
          <w:lang w:eastAsia="zh-CN"/>
        </w:rPr>
        <w:t>---- END ----</w:t>
      </w:r>
      <w:bookmarkEnd w:id="93"/>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深圳市医疗保障局南山分局医疗保障综合管理服务项目-A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综合实力部分、技术部分投标文件格式</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质量（完成时间、安全、环保）保障措施及方案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自主知识产权产品（创新、设计）情况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NSZXCG-2025-00010-001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深圳市医疗保障局南山分局医疗保障综合管理服务项目-A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具有独立承担民事责任的能力（提供营业执照或事业单位法人证书等证明资料扫描件；分支机构参与投标的，须同时提供总公司授权文件且授权书载明其民事责任由总公司承担，提供总公司及分支机构的营业执照扫描件，总公司或者分支机构只允许一家投标，不允许同时参与本项目投标）；：</w:t>
            </w:r>
            <w:r>
              <w:rPr>
                <w:rFonts w:ascii="FangSong" w:eastAsia="FangSong" w:hAnsi="FangSong" w:cs="FangSong"/>
                <w:color w:val="666666"/>
                <w:lang w:val="en" w:eastAsia="en"/>
              </w:rPr>
              <w:br/>
            </w:r>
            <w:r>
              <w:rPr>
                <w:rFonts w:ascii="FangSong" w:eastAsia="FangSong" w:hAnsi="FangSong" w:cs="FangSong"/>
                <w:color w:val="666666"/>
                <w:lang w:val="en" w:eastAsia="en"/>
              </w:rPr>
              <w:t>1.具有独立承担民事责任的能力（提供营业执照或事业单位法人证书等证明资料扫描件；分支机构参与投标的，须同时提供总公司授权文件且授权书载明其民事责任由总公司承担，提供总公司及分支机构的营业执照扫描件，总公司或者分支机构只允许一家投标，不允许同时参与本项目投标）；</w:t>
            </w:r>
            <w:r>
              <w:rPr>
                <w:rFonts w:ascii="FangSong" w:eastAsia="FangSong" w:hAnsi="FangSong" w:cs="FangSong"/>
                <w:color w:val="666666"/>
                <w:lang w:val="en" w:eastAsia="en"/>
              </w:rPr>
              <w:br/>
            </w:r>
            <w:r>
              <w:rPr>
                <w:rFonts w:ascii="FangSong" w:eastAsia="FangSong" w:hAnsi="FangSong" w:cs="FangSong"/>
                <w:color w:val="666666"/>
                <w:lang w:val="en" w:eastAsia="en"/>
              </w:rPr>
              <w:t>2.本项目不接受联合体投标，不接受投标人选用进口产品参与投标；：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2.本项目不接受联合体投标，不接受投标人选用进口产品参与投标；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3.参与本项目政府采购活动时不存在被有关部门禁止参与政府采购活动且在有效期内的情况（由供应商在《政府采购投标及履约承诺函》中作出声明）；：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3.参与本项目政府采购活动时不存在被有关部门禁止参与政府采购活动且在有效期内的情况（由供应商在《政府采购投标及履约承诺函》中作出声明）；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4.具备《中华人民共和国政府采购法》第二十二条第一款的条件（由供应商在《政府采购投标及履约承诺函》中作出声明）；：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4.具备《中华人民共和国政府采购法》第二十二条第一款的条件（由供应商在《政府采购投标及履约承诺函》中作出声明）；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5.未被列入失信被执行人、重大税收违法案件当事人名单、政府采购严重违法失信行为记录名单（由供应商在《政府采购投标及履约承诺函》中作出声明）；：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5.未被列入失信被执行人、重大税收违法案件当事人名单、政府采购严重违法失信行为记录名单（由供应商在《政府采购投标及履约承诺函》中作出声明）；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6.参与本项目政府采购活动时不存在《深圳市财政局政府采购供应商信用信息管理办法》（深财规〔2023〕3号）列明的严重违法失信行为（由供应商在《政府采购投标及履约承诺函》中作出声明）；：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6.参与本项目政府采购活动时不存在《深圳市财政局政府采购供应商信用信息管理办法》（深财规〔2023〕3号）列明的严重违法失信行为（由供应商在《政府采购投标及履约承诺函》中作出声明）；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7.为采购项目提供整体设计、规范编制或者项目管理、监理、检测等服务的供应商，不得再参加该采购项目的其他采购活动（由供应商在《政府采购投标及履约承诺函》中作出声明）；：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7.为采购项目提供整体设计、规范编制或者项目管理、监理、检测等服务的供应商，不得再参加该采购项目的其他采购活动（由供应商在《政府采购投标及履约承诺函》中作出声明）；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8.本项目属于专门面向中小企业采购：根据《财政部工业和信息化部关于印发政府采购促进中小企业发展管理办法的通知》（财库〔2020〕46号）的规定在《中小企业声明函、残疾人福利性单位声明函及监狱企业声明函》中作出声明，未提供声明函或声明函内容不符合中小企业声明函填写指引”要求的作资格审查不通过处理）。：</w:t>
            </w:r>
            <w:r>
              <w:rPr>
                <w:rFonts w:ascii="FangSong" w:eastAsia="FangSong" w:hAnsi="FangSong" w:cs="FangSong"/>
                <w:color w:val="666666"/>
                <w:lang w:val="en" w:eastAsia="en"/>
              </w:rPr>
              <w:br/>
            </w:r>
            <w:r>
              <w:rPr>
                <w:rFonts w:ascii="FangSong" w:eastAsia="FangSong" w:hAnsi="FangSong" w:cs="FangSong"/>
                <w:color w:val="666666"/>
                <w:lang w:val="en" w:eastAsia="en"/>
              </w:rPr>
              <w:t>8.本项目属于专门面向中小企业采购：根据《财政部工业和信息化部关于印发政府采购促进中小企业发展管理办法的通知》（财库〔2020〕46号）的规定在《中小企业声明函、残疾人福利性单位声明函及监狱企业声明函》中作出声明，未提供声明函或声明函内容不符合中小企业声明函填写指引”要求的作资格审查不通过处理）。</w:t>
            </w:r>
            <w:r>
              <w:rPr>
                <w:rFonts w:ascii="FangSong" w:eastAsia="FangSong" w:hAnsi="FangSong" w:cs="FangSong"/>
                <w:color w:val="666666"/>
                <w:lang w:val="en" w:eastAsia="en"/>
              </w:rPr>
              <w:br/>
            </w:r>
            <w:r>
              <w:rPr>
                <w:rFonts w:ascii="FangSong" w:eastAsia="FangSong" w:hAnsi="FangSong" w:cs="FangSong"/>
                <w:color w:val="666666"/>
                <w:lang w:val="en" w:eastAsia="en"/>
              </w:rPr>
              <w:t>9.不存在不同投标供应商的法定代表人、主要经营负责人、投标授权代表人、项目负责人、主要技术人员为同一人、属同一单位或者在同一单位缴纳社会保险的情形；不存在不同投标供应商单位负责人为同一人或直接控股、管理关系的情形。如存在上述情形，所涉供应商均资格审查不通过，按投标无效处理（由供应商提供《供应商基本情况表》并加盖公章扫描件）。：</w:t>
            </w:r>
            <w:r>
              <w:rPr>
                <w:rFonts w:ascii="FangSong" w:eastAsia="FangSong" w:hAnsi="FangSong" w:cs="FangSong"/>
                <w:color w:val="666666"/>
                <w:lang w:val="en" w:eastAsia="en"/>
              </w:rPr>
              <w:br/>
            </w:r>
            <w:r>
              <w:rPr>
                <w:rFonts w:ascii="FangSong" w:eastAsia="FangSong" w:hAnsi="FangSong" w:cs="FangSong"/>
                <w:color w:val="666666"/>
                <w:lang w:val="en" w:eastAsia="en"/>
              </w:rPr>
              <w:t>9.不存在不同投标供应商的法定代表人、主要经营负责人、投标授权代表人、项目负责人、主要技术人员为同一人、属同一单位或者在同一单位缴纳社会保险的情形；不存在不同投标供应商单位负责人为同一人或直接控股、管理关系的情形。如存在上述情形，所涉供应商均资格审查不通过，按投标无效处理（由供应商提供《供应商基本情况表》并加盖公章扫描件）。</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分项报价或投标总价或投标单价不得高于相应预算金额（或设定的预算金额下的最高限价，或财政控制单价）；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分项报价或投标总价或投标单价不得高于相应预算金额（或设定的预算金额下的最高限价，或财政控制单价）；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作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作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未按招标文件所提供的样式填写《投标函》；未按招标文件所提供的《政府采购投标及履约承诺函》进行承诺；未按招标文件对投标文件组成的要求提供投标文件；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未按招标文件所提供的样式填写《投标函》；未按招标文件所提供的《政府采购投标及履约承诺函》进行承诺；未按招标文件对投标文件组成的要求提供投标文件；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采购标的所投产品货物（服务）清单报价等任意一类有缺漏项或响应不全，或者对招标文件规定的项目需求内容或者需求数量进行修改，评审委员会判定投标响应不满足采购需求；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采购标的所投产品货物（服务）清单报价等任意一类有缺漏项或响应不全，或者对招标文件规定的项目需求内容或者需求数量进行修改，评审委员会判定投标响应不满足采购需求；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投标人须针对本项目需求提供服务方案，包括下述内容： 1.对项目的整体设想及规划； 2.管理目标； 3.管理制度； 4.管理方式。 （二）评分依据： 考察投标人以上方案，满足以上四项要求得60分，满足任意三项要求得40分，满足任意两项要求得20分，满足任意一项要求得10分，未满足不得分。 在此基础上，专家根据各投标人的具体响应内容进一步评审。 评审为优：方案内容全面、具体，科学合理，针对性和可操作性强的，加40分； 评审为良：方案内容较全面、具体，较科学合理，针对性和可操作性较强的，加20分； 评审为中：方案内容一般，针对性和可操作性一般的，加10分； 评审为差：方案内容差的，不加分。 本项最高得100分，未按要求提供或提供不清晰导致评审无法判别的不得分。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投标人须针对本项目需求提供对项目重点难点分析、应对措施及相关的合理化建议，包括下述内容： 1.项目重点难点分析； 2.应对措施； 3.相关的合理化建议。 （二）评分依据： 考察投标人以上内容，满足以上三项要求得60分，满足任意两项要求得40分，满足任意一项要求得20分，未满足不得分。 在此基础上，专家根据各投标人的具体响应内容进一步评审。 评审为优：重难点分析内容详实，应对措施针对性强，合理化建议科学合理的，加40分； 评审为良：重难点分析内容较详实，应对措施针对性较强，合理化建议较科学合理的，加20分； 评审为中：重难点分析内容一般，应对措施针对性一般，合理化建议一般的，加10分； 评审为差：重难点分析内容差，应对措施针对性差，合理化建议差的，不加分。 本项最高得100分，未按要求提供或提供不清晰导致评审无法判别的不得分。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质量（完成时间、安全、环保）保障措施及方案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投标人须针对本项目需求提供对质量（完成时间、安全、环保）保障措施及方案，包括下述内容： 1.降低人员流失率措施； 2.服务质量； 3.安全保障。 （二）评分依据： 考察投标人以上内容，满足以上三项要求得60分，满足任意两项要求得40分，满足任意一项要求得20分，未满足不得分。 在此基础上，专家根据各投标人的具体响应内容进一步评审。 评审为优：质量保障措施内容全面、具体，科学合理，针对性和可操作性强的，加40分； 评审为良：质量保障措施内容较全面、具体，较科学合理，针对性和可操作性较强的，加20分； 评审为中：质量保障措施内容一般，针对性和可操作性一般的，加10分； 评审为差：质量保障措施内容差的，不加分。 本项最高得100分，未按要求提供或提供不清晰导致评审无法判别的不得分。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投标人拟安排的项目负责人（仅限一人）必须为投标人自有员工（以社保为准），否则投入该人员不计分。在此基础上，按以下规则评分： 1.具本科及以上学历，得30分； 2.具有人力资源和社会保障部门或在人力资源和社会保障部门备案的第三方机构或行业协会颁发企业人力资源管理师（一级）或人力资源管理师（中级及以上）证书的，得30分； 3.具有人力资源和社会保障部门或在人力资源和社会保障部门备案的第三方机构或行业协会颁发的高级职业指导师（一级）的，得40分； 以上三项累加计分，最高得100分。 （二）评分依据： 1.提供社保部门出具的投标人为上述人员缴纳的近一个月（具体是指2025年2月）社保证明文件扫描件，由于社保部门原因（提供社保局无法出具的证明文件）最近一个月的社保证明无法提供的，则可以往前顺延一个月；如投标人注册成立时间不足1个月的，可提供承诺函（格式自拟）。 2.提供学历证书及中国高等教育学生信息网（学信网httpswww.chsi.com.cn）查询记录。对于较早颁发的学历证书,学信网无法查询的,除要求提供证书扫描件,需要提供其他佐证材料(如毕业院校或人力资源和社会保障部等颁发机构或监管机构等单位出具的证明),在海外留学并取得学历的,学信网无法查询的,可提供教育部留学服务中心出具的国外学历认证证书扫描件【或教育部留学服务中心网站（httpzwfw.cscse.edu.cn）在线查询截图】。 3.提供人员证书扫描件。若为经人社部门备案的第三方机构颁发的证书，需同时提供证书扫描件、技能人才评价证书全国联网查询截图（httpzscx.osta.org.cn）；若为协会颁发的，则还需要同时提供该机构在中国社会组织政务服务平台（网址 httpschinanpo.mca.gov.cn)的查询“正常”页面截图。 4.评分中出现无证明资料或者专家无法凭所提供资料判断是否得分的情况，一律做不得分处理。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拟安排项目团队成员为投标单位员工（以社保为准），否则该人员本项不得分。在此基础上： 1.具有本科或以上学历且具有人力资源和社会保障部门或在人力资源和社会保障部门备案的第三方机构或行业协会颁发的企业人力资源管理师（一级）或人力资源管理师（中级及以上）证书的，每提供一人得15分，本小项最高得30分； 2.具有本科或以上学历且具有人力资源和社会保障部门或在人力资源和社会保障部门备案的第三方机构或行业协会颁发的劳动关系协调师（员）证书的，每提供一人得15分，本小项最高得30分； 3.具有本科或以上学历且具有人力资源和社会保障部门或在人力资源和社会保障部门备案的第三方机构或行业协会颁发的高级职业指导师（一级）证书的，每提供一人得15分，本小项最高得40分。 注：以上三项累计得分，最高得100分。如同一名人员同时满足多个得分项的，不重复计分。 （二）评分依据： 1.提供社保部门出具的投标人为上述人员缴纳的近一个月（具体是指2025年2月）社保证明文件扫描件，由于社保部门原因（提供社保局无法出具的证明文件）最近一个月的社保证明无法提供的，则可以往前顺延一个月；如投标人注册成立时间不足1个月的，可提供承诺函（格式自拟）。 2.提供学历证书及中国高等教育学生信息网（学信网httpswww.chsi.com.cn）查询记录。对于较早颁发的学历证书,学信网无法查询的,除要求提供证书扫描件,需要提供其他佐证材料(如毕业院校或人力资源和社会保障部等颁发机构或监管机构等单位出具的证明),在海外留学并取得学历的,学信网无法查询的,可提供教育部留学服务中心出具的国外学历认证证书扫描件【或教育部留学服务中心网站（httpzwfw.cscse.edu.cn）在线查询截图】。 3.提供人员证书扫描件。若为经人社部门备案的第三方机构颁发的证书，需同时提供证书扫描件、技能人才评价证书全国联网查询截图（httpzscx.osta.org.cn）；若为协会颁发的，则还需要同时提供该机构在中国社会组织政务服务平台（网址 httpschinanpo.mca.gov.cn)的查询“正常”页面截图。 4.评分中出现无证明资料或者专家无法凭所提供资料判断是否得分的情况，一律做不得分处理。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综合实力部分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考察投标人同类业绩情况（以合同签订时间为准,从2021年1月1日开始，截止日为本项目投标截止之日）具有政府机关（或事业单位）人力资源服务项目业绩的，每提供一个有效合同且采购人履约评价为优秀（或优、满意、90分及以上等同等意义最高级评价）的业绩得20分，本项最高得100分。 （二）评分依据： 1.投标人需提供与采购单位（合同甲方）的服务项目合同关键页（内容至少包括合同首页、服务内容页、签字盖章页、签订时间）扫描件，以及履约评价为优秀（或优、满意、90分及以上等同等意义最高级评价）的项目的履约评价扫描件【盖有采购单位（合同甲方）公章或采购单位（合同甲方）业务章】）。 2.续签合同按一个合同计算，不重复得分。 3.若履约评价只有“合格”和“不合格”两个档次的，“合格”不视为同等意义最高级评价，作不得分处理。 4.如未按要求提供证明材料，或所提供的证明材料未能体现上述评分内容的，视为该证明材料无效。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投标人具有以下证书： 1.质量管理体系认证证书； 2.职业健康安全体系认证证书； 3.教育服务认证证书； 4.劳动关系和谐企业评价体系认证证书； 每具提供一项得25分，本项最高得100分。 注：以上证书的认证范围需包含人力资源服务。 （二）评分依据： 1.提供有效期内的认证证书扫描件（如证书标明需年度审核的，需有已年审标志）和全国认证认可信息公共服务平台（认e云）（httpcx.cnca.cn）的认证信息查询截图（须体现网站信息，截图需显示证书状态为有效）。 2.如未按要求提供证明材料，或所提供的证明材料未能体现上述评分内容的，视为该证明材料无效。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自主知识产权产品（创新、设计）情况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投标人具有中华人民共和国国家版权局颁发的计算机软件著作权登记证书： （1）具有人力资源服务类软件著作权登记证书（须含“三方管理”关键字）； （2）具有人力资源服务类软件著作权登记证书（须包含“招聘”或“培训”或“录用”其一关键字即可）； （3）具有档案类软件著作权登记证书（须含“人事档案管理”关键字）； （4）具有后勤管理类软件著作权登记证书（须含“后勤管理”关键字）。 每提供一个计算机软件著作权登记证书得25分，最高得100分。 （二）评分依据： 1、若投标人自行开发的，须提供计算机软件著作权证明（著作权人须为投标人）； 2、若投标人购买（或租赁）的提供：购买或租赁的计算机软件著作权登记证书（著作权人须为出售出租方）和购买合同（或租赁合同）。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widowControl w:val="0"/>
      <w:adjustRightInd w:val="0"/>
      <w:jc w:val="center"/>
      <w:textAlignment w:val="baseline"/>
      <w:outlineLvl w:val="1"/>
    </w:pPr>
    <w:rPr>
      <w:rFonts w:asciiTheme="minorHAnsi" w:eastAsiaTheme="minorEastAsia" w:hAnsiTheme="minorHAnsi" w:cstheme="minorBidi"/>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Char"/>
    <w:uiPriority w:val="99"/>
    <w:semiHidden/>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
    <w:name w:val="页脚 Char"/>
    <w:basedOn w:val="DefaultParagraphFont"/>
    <w:link w:val="Footer"/>
    <w:uiPriority w:val="99"/>
    <w:semiHidden/>
    <w:qFormat/>
    <w:rPr>
      <w:rFonts w:eastAsia="宋体"/>
      <w:sz w:val="18"/>
      <w:szCs w:val="18"/>
    </w:rPr>
  </w:style>
  <w:style w:type="character" w:styleId="CommentReference">
    <w:name w:val="annotation reference"/>
    <w:basedOn w:val="DefaultParagraphFont"/>
    <w:uiPriority w:val="99"/>
    <w:semiHidden/>
    <w:unhideWhenUsed/>
    <w:qFormat/>
    <w:rPr>
      <w:sz w:val="21"/>
      <w:szCs w:val="21"/>
    </w:rPr>
  </w:style>
  <w:style w:type="paragraph" w:styleId="CommentText">
    <w:name w:val="annotation text"/>
    <w:basedOn w:val="Normal"/>
    <w:link w:val="Char0"/>
    <w:uiPriority w:val="99"/>
    <w:semiHidden/>
    <w:unhideWhenUsed/>
    <w:qFormat/>
    <w:pPr>
      <w:widowControl w:val="0"/>
    </w:pPr>
    <w:rPr>
      <w:rFonts w:asciiTheme="minorHAnsi" w:eastAsiaTheme="minorEastAsia" w:hAnsiTheme="minorHAnsi" w:cstheme="minorBidi"/>
      <w:kern w:val="2"/>
      <w:sz w:val="21"/>
      <w:szCs w:val="22"/>
      <w:lang w:eastAsia="zh-CN"/>
    </w:rPr>
  </w:style>
  <w:style w:type="character" w:customStyle="1" w:styleId="Char0">
    <w:name w:val="批注文字 Char"/>
    <w:basedOn w:val="DefaultParagraphFont"/>
    <w:link w:val="CommentText"/>
    <w:uiPriority w:val="99"/>
    <w:semiHidden/>
    <w:qFormat/>
    <w:rPr>
      <w:rFonts w:eastAsia="宋体"/>
    </w:rPr>
  </w:style>
  <w:style w:type="paragraph" w:styleId="BodyText">
    <w:name w:val="Body Text"/>
    <w:basedOn w:val="Normal"/>
    <w:next w:val="Normal"/>
    <w:qFormat/>
    <w:pPr>
      <w:spacing w:after="120"/>
    </w:pPr>
    <w:rPr>
      <w:rFonts w:asciiTheme="minorHAnsi" w:eastAsiaTheme="minorEastAsia" w:hAnsiTheme="minorHAnsi" w:cstheme="minorBidi"/>
      <w:sz w:val="20"/>
      <w:szCs w:val="20"/>
      <w:lang w:eastAsia="zh-CN"/>
    </w:rPr>
  </w:style>
  <w:style w:type="paragraph" w:styleId="NormalIndent">
    <w:name w:val="Normal Indent"/>
    <w:basedOn w:val="Normal"/>
    <w:next w:val="BodyText"/>
    <w:link w:val="Char1"/>
    <w:qFormat/>
    <w:pPr>
      <w:ind w:firstLine="420"/>
    </w:pPr>
    <w:rPr>
      <w:rFonts w:eastAsiaTheme="minorEastAsia"/>
      <w:szCs w:val="20"/>
      <w:lang w:eastAsia="zh-CN"/>
    </w:rPr>
  </w:style>
  <w:style w:type="character" w:customStyle="1" w:styleId="Char1">
    <w:name w:val="正文缩进 Char"/>
    <w:link w:val="NormalIndent"/>
    <w:qFormat/>
    <w:rPr>
      <w:rFonts w:eastAsia="宋体"/>
      <w:sz w:val="24"/>
    </w:rPr>
  </w:style>
  <w:style w:type="table" w:customStyle="1" w:styleId="1">
    <w:name w:val="网格型1"/>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qFormat/>
    <w:pPr>
      <w:widowControl w:val="0"/>
      <w:jc w:val="both"/>
    </w:pPr>
    <w:rPr>
      <w:rFonts w:ascii="宋体" w:hAnsi="Courier New" w:eastAsiaTheme="minorEastAsia" w:cstheme="minorBidi"/>
      <w:kern w:val="2"/>
      <w:sz w:val="21"/>
      <w:szCs w:val="20"/>
      <w:lang w:eastAsia="zh-CN"/>
    </w:rPr>
  </w:style>
  <w:style w:type="paragraph" w:styleId="BodyTextIndent">
    <w:name w:val="Body Text Indent"/>
    <w:basedOn w:val="Normal"/>
    <w:qFormat/>
    <w:pPr>
      <w:widowControl w:val="0"/>
      <w:spacing w:line="360" w:lineRule="auto"/>
      <w:ind w:firstLine="420" w:firstLineChars="200"/>
      <w:jc w:val="both"/>
    </w:pPr>
    <w:rPr>
      <w:rFonts w:eastAsia="宋体"/>
      <w:kern w:val="2"/>
      <w:sz w:val="21"/>
      <w:lang w:eastAsia="zh-CN"/>
    </w:rPr>
  </w:style>
  <w:style w:type="paragraph" w:styleId="BodyTextFirstIndent2">
    <w:name w:val="Body Text First Indent 2"/>
    <w:basedOn w:val="BodyTextIndent"/>
    <w:qFormat/>
    <w:pPr>
      <w:spacing w:after="160"/>
      <w:ind w:firstLine="480"/>
    </w:pPr>
    <w:rPr>
      <w:kern w:val="0"/>
      <w:sz w:val="24"/>
    </w:rPr>
  </w:style>
  <w:style w:type="paragraph" w:styleId="HTMLPreformatted">
    <w:name w:val="HTML Preformatted"/>
    <w:basedOn w:val="Normal"/>
    <w:uiPriority w:val="99"/>
    <w:semiHidden/>
    <w:unhideWhenUsed/>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bidi="ar"/>
    </w:rPr>
  </w:style>
  <w:style w:type="table" w:customStyle="1" w:styleId="2">
    <w:name w:val="网格型2"/>
    <w:basedOn w:val="TableNormal"/>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