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both"/>
        <w:rPr>
          <w:rFonts w:eastAsia="宋体"/>
          <w:b/>
          <w:bCs/>
          <w:sz w:val="40"/>
          <w:szCs w:val="40"/>
          <w:lang w:eastAsia="zh-CN"/>
        </w:rPr>
      </w:pPr>
    </w:p>
    <w:p>
      <w:pPr>
        <w:widowControl/>
        <w:tabs>
          <w:tab w:val="left" w:pos="1350"/>
          <w:tab w:val="center" w:pos="4536"/>
        </w:tabs>
        <w:spacing w:before="454" w:after="454"/>
        <w:ind w:right="1"/>
        <w:jc w:val="center"/>
        <w:outlineLvl w:val="0"/>
        <w:rPr>
          <w:rFonts w:eastAsia="宋体"/>
          <w:b/>
          <w:bCs/>
          <w:sz w:val="40"/>
          <w:szCs w:val="40"/>
          <w:lang w:eastAsia="zh-CN"/>
        </w:rPr>
      </w:pPr>
      <w:r>
        <w:rPr>
          <w:rFonts w:eastAsia="宋体" w:hint="eastAsia"/>
          <w:b/>
          <w:bCs/>
          <w:sz w:val="40"/>
          <w:szCs w:val="40"/>
          <w:lang w:eastAsia="zh-CN"/>
        </w:rPr>
        <w:t>深圳市南山区人民医院个体化3D模型重建（胸腹部手术规划）服务</w:t>
      </w:r>
    </w:p>
    <w:p>
      <w:pPr>
        <w:widowControl/>
        <w:spacing w:beforeAutospacing="1" w:afterAutospacing="1"/>
        <w:jc w:val="center"/>
        <w:outlineLvl w:val="1"/>
        <w:rPr>
          <w:rFonts w:ascii="黑体" w:eastAsia="黑体" w:hAnsi="宋体" w:cs="黑体"/>
          <w:sz w:val="40"/>
          <w:szCs w:val="40"/>
          <w:lang w:eastAsia="zh-CN"/>
        </w:r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069"/>
        <w:gridCol w:w="5883"/>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eastAsia="宋体"/>
                <w:sz w:val="30"/>
                <w:szCs w:val="30"/>
                <w:lang w:eastAsia="zh-CN"/>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NSZXCG-2025-000</w:t>
            </w:r>
            <w:r>
              <w:rPr>
                <w:rFonts w:eastAsia="宋体" w:hint="eastAsia"/>
                <w:kern w:val="2"/>
                <w:sz w:val="30"/>
                <w:szCs w:val="30"/>
                <w:lang w:eastAsia="zh-CN"/>
              </w:rPr>
              <w:t>57</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eastAsia="宋体"/>
                <w:sz w:val="30"/>
                <w:szCs w:val="30"/>
                <w:lang w:eastAsia="zh-CN"/>
              </w:rPr>
              <w:t>项目名称：</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sz w:val="30"/>
                <w:szCs w:val="30"/>
                <w:lang w:eastAsia="zh-CN"/>
              </w:rPr>
              <w:t>深圳市南山区人民医院个体化3D模型重建（胸腹部手术规划）服务</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eastAsia="宋体"/>
                <w:sz w:val="30"/>
                <w:szCs w:val="30"/>
                <w:lang w:eastAsia="zh-CN"/>
              </w:rPr>
              <w:t>包 号：</w:t>
            </w:r>
          </w:p>
        </w:tc>
        <w:tc>
          <w:tcPr>
            <w:tcW w:w="5220" w:type="dxa"/>
            <w:shd w:val="clear" w:color="auto" w:fill="auto"/>
            <w:vAlign w:val="center"/>
          </w:tcPr>
          <w:p>
            <w:pPr>
              <w:widowControl/>
              <w:jc w:val="left"/>
              <w:rPr>
                <w:rFonts w:eastAsia="宋体"/>
                <w:kern w:val="2"/>
                <w:sz w:val="30"/>
                <w:szCs w:val="30"/>
                <w:lang w:eastAsia="zh-CN"/>
              </w:rPr>
            </w:pPr>
            <w:r>
              <w:rPr>
                <w:rFonts w:eastAsia="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hint="eastAsia"/>
                <w:sz w:val="30"/>
                <w:szCs w:val="30"/>
                <w:lang w:eastAsia="zh-CN"/>
              </w:rPr>
              <w:t>服务</w:t>
            </w:r>
            <w:r>
              <w:rPr>
                <w:rFonts w:ascii="宋体" w:eastAsia="宋体" w:hAnsi="宋体" w:cs="宋体"/>
                <w:sz w:val="30"/>
                <w:szCs w:val="30"/>
                <w:lang w:eastAsia="zh-CN"/>
              </w:rPr>
              <w:t>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综合评分法</w:t>
            </w:r>
          </w:p>
        </w:tc>
      </w:tr>
    </w:tbl>
    <w:p>
      <w:pPr>
        <w:widowControl w:val="0"/>
        <w:jc w:val="both"/>
        <w:rPr>
          <w:rFonts w:ascii="黑体" w:eastAsia="黑体" w:hAnsi="黑体"/>
          <w:kern w:val="2"/>
          <w:sz w:val="40"/>
          <w:szCs w:val="40"/>
          <w:lang w:eastAsia="zh-CN"/>
        </w:rPr>
      </w:pPr>
      <w:r>
        <w:rPr>
          <w:rFonts w:ascii="黑体" w:eastAsia="黑体" w:hAnsi="黑体" w:hint="eastAsia"/>
          <w:kern w:val="2"/>
          <w:sz w:val="40"/>
          <w:szCs w:val="40"/>
          <w:lang w:eastAsia="zh-CN"/>
        </w:rPr>
        <w:br w:type="page"/>
      </w:r>
    </w:p>
    <w:p>
      <w:pPr>
        <w:widowControl w:val="0"/>
        <w:spacing w:after="120"/>
        <w:jc w:val="both"/>
        <w:rPr>
          <w:rFonts w:eastAsia="宋体"/>
          <w:kern w:val="2"/>
          <w:sz w:val="21"/>
          <w:lang w:eastAsia="zh-CN"/>
        </w:rPr>
      </w:pPr>
    </w:p>
    <w:p>
      <w:pPr>
        <w:widowControl w:val="0"/>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502"/>
        <w:gridCol w:w="857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50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textAlignment w:val="top"/>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序号</w:t>
            </w:r>
          </w:p>
        </w:tc>
        <w:tc>
          <w:tcPr>
            <w:tcW w:w="8570"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textAlignment w:val="top"/>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502"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8570"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ascii="宋体" w:eastAsia="宋体" w:hAnsi="宋体" w:cs="宋体" w:hint="eastAsia"/>
                <w:sz w:val="21"/>
                <w:szCs w:val="21"/>
                <w:lang w:eastAsia="zh-CN"/>
              </w:rPr>
              <w:t>投标人不符合资格要求，或未提交相应的资格证明资料（详见招标公告</w:t>
            </w:r>
            <w:r>
              <w:rPr>
                <w:rFonts w:ascii="宋体" w:eastAsia="宋体" w:hAnsi="宋体" w:cs="宋体" w:hint="eastAsia"/>
                <w:kern w:val="2"/>
                <w:sz w:val="21"/>
                <w:szCs w:val="21"/>
                <w:lang w:eastAsia="zh-CN"/>
              </w:rPr>
              <w:t>投标人资格要求，即申请人的资格要求</w:t>
            </w:r>
            <w:r>
              <w:rPr>
                <w:rFonts w:ascii="宋体" w:eastAsia="宋体" w:hAnsi="宋体" w:cs="宋体" w:hint="eastAsia"/>
                <w:sz w:val="21"/>
                <w:szCs w:val="21"/>
                <w:lang w:eastAsia="zh-CN"/>
              </w:rPr>
              <w:t>）</w:t>
            </w:r>
          </w:p>
        </w:tc>
      </w:tr>
    </w:tbl>
    <w:p>
      <w:pPr>
        <w:widowControl w:val="0"/>
        <w:spacing w:before="280"/>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475"/>
        <w:gridCol w:w="8603"/>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475"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textAlignment w:val="top"/>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序号</w:t>
            </w:r>
          </w:p>
        </w:tc>
        <w:tc>
          <w:tcPr>
            <w:tcW w:w="8603"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textAlignment w:val="top"/>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475"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1</w:t>
            </w:r>
          </w:p>
        </w:tc>
        <w:tc>
          <w:tcPr>
            <w:tcW w:w="8603"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475"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2</w:t>
            </w:r>
          </w:p>
        </w:tc>
        <w:tc>
          <w:tcPr>
            <w:tcW w:w="8603"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475"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3</w:t>
            </w:r>
          </w:p>
        </w:tc>
        <w:tc>
          <w:tcPr>
            <w:tcW w:w="8603"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填报的综合折扣不满足“0＜综合折扣≤0.70</w:t>
            </w:r>
            <w:r>
              <w:rPr>
                <w:rFonts w:ascii="宋体" w:eastAsia="宋体" w:hAnsi="宋体" w:cs="宋体" w:hint="eastAsia"/>
                <w:color w:val="0000FF"/>
                <w:kern w:val="2"/>
                <w:sz w:val="21"/>
                <w:szCs w:val="21"/>
                <w:lang w:eastAsia="zh-CN"/>
              </w:rPr>
              <w:t>（</w:t>
            </w:r>
            <w:r>
              <w:rPr>
                <w:rFonts w:ascii="宋体" w:eastAsia="宋体" w:hAnsi="宋体" w:cs="宋体" w:hint="eastAsia"/>
                <w:color w:val="0000FF"/>
                <w:kern w:val="2"/>
                <w:sz w:val="21"/>
                <w:szCs w:val="21"/>
                <w:lang w:eastAsia="zh-CN"/>
              </w:rPr>
              <w:t>70%</w:t>
            </w:r>
            <w:r>
              <w:rPr>
                <w:rFonts w:ascii="宋体" w:eastAsia="宋体" w:hAnsi="宋体" w:cs="宋体" w:hint="eastAsia"/>
                <w:color w:val="0000FF"/>
                <w:kern w:val="2"/>
                <w:sz w:val="21"/>
                <w:szCs w:val="21"/>
                <w:lang w:eastAsia="zh-CN"/>
              </w:rPr>
              <w:t>）</w:t>
            </w:r>
            <w:r>
              <w:rPr>
                <w:rFonts w:ascii="宋体" w:eastAsia="宋体" w:hAnsi="宋体" w:cs="宋体" w:hint="eastAsia"/>
                <w:color w:val="0000FF"/>
                <w:kern w:val="2"/>
                <w:sz w:val="21"/>
                <w:szCs w:val="21"/>
                <w:lang w:eastAsia="zh-CN"/>
              </w:rPr>
              <w:t>”公式要求的；填报的综合折扣不满足“最多保留小数点后2位”要求的；综合折扣缺填、漏填或填报了两个或以上综合折扣；</w:t>
            </w:r>
          </w:p>
        </w:tc>
      </w:tr>
      <w:tr>
        <w:tblPrEx>
          <w:tblW w:w="5000" w:type="pct"/>
          <w:jc w:val="center"/>
          <w:tblLayout w:type="fixed"/>
          <w:tblCellMar>
            <w:top w:w="20" w:type="dxa"/>
            <w:left w:w="108" w:type="dxa"/>
            <w:bottom w:w="20" w:type="dxa"/>
            <w:right w:w="108" w:type="dxa"/>
          </w:tblCellMar>
        </w:tblPrEx>
        <w:trPr>
          <w:jc w:val="center"/>
        </w:trPr>
        <w:tc>
          <w:tcPr>
            <w:tcW w:w="475"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4</w:t>
            </w:r>
          </w:p>
        </w:tc>
        <w:tc>
          <w:tcPr>
            <w:tcW w:w="8603"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475"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5</w:t>
            </w:r>
          </w:p>
        </w:tc>
        <w:tc>
          <w:tcPr>
            <w:tcW w:w="8603"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作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475"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6</w:t>
            </w:r>
          </w:p>
        </w:tc>
        <w:tc>
          <w:tcPr>
            <w:tcW w:w="8603"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未按招标文件所提供的样式填写《投标函》；未按招标文件所提供的《政府采购投标及履约承诺函》进行承诺或不符合承诺的；未按招标文件对投标文件组成的要求提供投标文件；</w:t>
            </w:r>
          </w:p>
        </w:tc>
      </w:tr>
      <w:tr>
        <w:tblPrEx>
          <w:tblW w:w="5000" w:type="pct"/>
          <w:jc w:val="center"/>
          <w:tblLayout w:type="fixed"/>
          <w:tblCellMar>
            <w:top w:w="20" w:type="dxa"/>
            <w:left w:w="108" w:type="dxa"/>
            <w:bottom w:w="20" w:type="dxa"/>
            <w:right w:w="108" w:type="dxa"/>
          </w:tblCellMar>
        </w:tblPrEx>
        <w:trPr>
          <w:trHeight w:val="502"/>
          <w:jc w:val="center"/>
        </w:trPr>
        <w:tc>
          <w:tcPr>
            <w:tcW w:w="475"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7</w:t>
            </w:r>
          </w:p>
        </w:tc>
        <w:tc>
          <w:tcPr>
            <w:tcW w:w="8603"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Calibri" w:eastAsia="宋体" w:hAnsi="Calibri" w:cstheme="minorBidi" w:hint="eastAsia"/>
                <w:kern w:val="2"/>
                <w:sz w:val="21"/>
                <w:szCs w:val="22"/>
                <w:lang w:eastAsia="zh-CN"/>
              </w:rPr>
              <w:t>采购标的/所投产品/服务清单/报价等任意一类有缺漏项或响应不全，或者对招标文件规定的项目需求内容或者需求数量进行修改，评审委员会判定投标响应不满足采购需求；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trHeight w:val="280"/>
          <w:jc w:val="center"/>
        </w:trPr>
        <w:tc>
          <w:tcPr>
            <w:tcW w:w="475"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8</w:t>
            </w:r>
          </w:p>
        </w:tc>
        <w:tc>
          <w:tcPr>
            <w:tcW w:w="8603"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475"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9</w:t>
            </w:r>
          </w:p>
        </w:tc>
        <w:tc>
          <w:tcPr>
            <w:tcW w:w="8603"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szCs w:val="21"/>
                <w:lang w:eastAsia="zh-CN"/>
              </w:rPr>
            </w:pPr>
            <w:r>
              <w:rPr>
                <w:rFonts w:ascii="宋体" w:eastAsia="宋体" w:hAnsi="宋体" w:cs="宋体" w:hint="eastAsia"/>
                <w:kern w:val="2"/>
                <w:sz w:val="21"/>
                <w:lang w:eastAsia="zh-CN"/>
              </w:rPr>
              <w:t>投标文件用不属于本公司的电子密钥</w:t>
            </w:r>
            <w:r>
              <w:rPr>
                <w:rFonts w:ascii="Calibri" w:eastAsia="宋体" w:hAnsi="Calibri" w:cstheme="minorBidi" w:hint="eastAsia"/>
                <w:kern w:val="2"/>
                <w:sz w:val="21"/>
                <w:szCs w:val="22"/>
                <w:lang w:eastAsia="zh-CN"/>
              </w:rPr>
              <w:t>进行加密</w:t>
            </w:r>
            <w:r>
              <w:rPr>
                <w:rFonts w:ascii="宋体" w:eastAsia="宋体" w:hAnsi="宋体" w:cs="宋体" w:hint="eastAsia"/>
                <w:kern w:val="2"/>
                <w:sz w:val="21"/>
                <w:lang w:eastAsia="zh-CN"/>
              </w:rPr>
              <w:t>或</w:t>
            </w:r>
            <w:r>
              <w:rPr>
                <w:rFonts w:ascii="Calibri" w:eastAsia="宋体" w:hAnsi="Calibri" w:cstheme="minorBidi" w:hint="eastAsia"/>
                <w:kern w:val="2"/>
                <w:sz w:val="21"/>
                <w:szCs w:val="22"/>
                <w:lang w:eastAsia="zh-CN"/>
              </w:rPr>
              <w:t>投标文件未按时解密的；</w:t>
            </w:r>
          </w:p>
        </w:tc>
      </w:tr>
      <w:tr>
        <w:tblPrEx>
          <w:tblW w:w="5000" w:type="pct"/>
          <w:jc w:val="center"/>
          <w:tblLayout w:type="fixed"/>
          <w:tblCellMar>
            <w:top w:w="20" w:type="dxa"/>
            <w:left w:w="108" w:type="dxa"/>
            <w:bottom w:w="20" w:type="dxa"/>
            <w:right w:w="108" w:type="dxa"/>
          </w:tblCellMar>
        </w:tblPrEx>
        <w:trPr>
          <w:jc w:val="center"/>
        </w:trPr>
        <w:tc>
          <w:tcPr>
            <w:tcW w:w="475"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10</w:t>
            </w:r>
          </w:p>
        </w:tc>
        <w:tc>
          <w:tcPr>
            <w:tcW w:w="8603"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kern w:val="2"/>
                <w:sz w:val="21"/>
                <w:lang w:eastAsia="zh-CN"/>
              </w:rPr>
            </w:pPr>
            <w:r>
              <w:rPr>
                <w:rFonts w:ascii="宋体" w:eastAsia="宋体" w:hAnsi="宋体" w:cs="宋体" w:hint="eastAsia"/>
                <w:kern w:val="2"/>
                <w:sz w:val="21"/>
                <w:lang w:eastAsia="zh-CN"/>
              </w:rPr>
              <w:t>法律、法规、规章、规范性文件规定的其他情形。</w:t>
            </w:r>
          </w:p>
        </w:tc>
      </w:tr>
    </w:tbl>
    <w:p>
      <w:pPr>
        <w:widowControl w:val="0"/>
        <w:jc w:val="both"/>
        <w:rPr>
          <w:rFonts w:ascii="黑体" w:eastAsia="黑体" w:hAnsi="黑体"/>
          <w:kern w:val="2"/>
          <w:sz w:val="40"/>
          <w:szCs w:val="40"/>
          <w:lang w:eastAsia="zh-CN"/>
        </w:rPr>
      </w:pPr>
      <w:r>
        <w:rPr>
          <w:rFonts w:ascii="黑体" w:eastAsia="黑体" w:hAnsi="黑体" w:hint="eastAsia"/>
          <w:kern w:val="2"/>
          <w:sz w:val="40"/>
          <w:szCs w:val="40"/>
          <w:lang w:eastAsia="zh-CN"/>
        </w:rPr>
        <w:br w:type="page"/>
      </w:r>
    </w:p>
    <w:p>
      <w:pPr>
        <w:widowControl w:val="0"/>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8972"/>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072" w:type="dxa"/>
            <w:vAlign w:val="center"/>
          </w:tcPr>
          <w:p>
            <w:pPr>
              <w:widowControl w:val="0"/>
              <w:jc w:val="left"/>
              <w:rPr>
                <w:rFonts w:ascii="宋体" w:eastAsia="宋体" w:hAnsi="宋体" w:cs="宋体"/>
                <w:b/>
                <w:bCs/>
                <w:kern w:val="2"/>
                <w:lang w:eastAsia="zh-CN"/>
              </w:rPr>
            </w:pPr>
            <w:r>
              <w:rPr>
                <w:rFonts w:eastAsia="宋体"/>
                <w:b/>
                <w:bCs/>
                <w:kern w:val="2"/>
                <w:sz w:val="21"/>
                <w:lang w:eastAsia="zh-CN"/>
              </w:rPr>
              <w:t>评标方法：</w:t>
            </w:r>
            <w:r>
              <w:rPr>
                <w:rFonts w:ascii="Calibri" w:eastAsia="宋体" w:hAnsi="Calibri" w:cstheme="minorBidi"/>
                <w:b/>
                <w:bCs/>
                <w:kern w:val="2"/>
                <w:sz w:val="21"/>
                <w:szCs w:val="22"/>
                <w:lang w:eastAsia="zh-CN"/>
              </w:rPr>
              <w:t>综合评分法</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072" w:type="dxa"/>
            <w:vAlign w:val="center"/>
          </w:tcPr>
          <w:p>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综合评分法，是指投标文件满足招标文件全部实质性要求，且按照评审因素的量化指标评审得分最高的投标人为中标候选人的评标方法。</w:t>
            </w:r>
          </w:p>
          <w:p>
            <w:pPr>
              <w:widowControl w:val="0"/>
              <w:spacing w:line="276"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价格分计算方法：</w:t>
            </w:r>
          </w:p>
          <w:p>
            <w:pPr>
              <w:widowControl w:val="0"/>
              <w:spacing w:line="276" w:lineRule="auto"/>
              <w:ind w:left="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val="0"/>
              <w:spacing w:line="276" w:lineRule="auto"/>
              <w:ind w:left="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投标报价得分=(评标基准价／投标报价)×100 </w:t>
            </w:r>
          </w:p>
          <w:p>
            <w:pPr>
              <w:widowControl w:val="0"/>
              <w:spacing w:line="276" w:lineRule="auto"/>
              <w:ind w:left="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评标总得分＝F1×A1＋F2×A2＋……＋Fn×An </w:t>
            </w:r>
          </w:p>
          <w:p>
            <w:pPr>
              <w:widowControl w:val="0"/>
              <w:spacing w:line="276" w:lineRule="auto"/>
              <w:ind w:left="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F1、F2……Fn分别为各项评审因素的得分； </w:t>
            </w:r>
          </w:p>
          <w:p>
            <w:pPr>
              <w:widowControl w:val="0"/>
              <w:spacing w:line="276" w:lineRule="auto"/>
              <w:ind w:left="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A1、A2、……An 分别为各项评审因素所占的权重(A1＋A2＋……＋An＝1)。 </w:t>
            </w:r>
          </w:p>
          <w:p>
            <w:pPr>
              <w:widowControl w:val="0"/>
              <w:spacing w:line="276" w:lineRule="auto"/>
              <w:ind w:left="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评标过程中，不得去掉报价中的最高报价和最低报价。</w:t>
            </w:r>
          </w:p>
          <w:p>
            <w:pPr>
              <w:widowControl/>
              <w:ind w:left="420"/>
              <w:jc w:val="both"/>
              <w:rPr>
                <w:rFonts w:eastAsia="宋体"/>
                <w:kern w:val="2"/>
                <w:lang w:eastAsia="zh-CN"/>
              </w:rPr>
            </w:pPr>
            <w:r>
              <w:rPr>
                <w:rFonts w:eastAsia="宋体" w:hint="eastAsia"/>
                <w:kern w:val="2"/>
                <w:sz w:val="21"/>
                <w:szCs w:val="21"/>
                <w:lang w:eastAsia="zh-CN"/>
              </w:rPr>
              <w:t>因落实政府采购政策进行价格调整的，以调整后的价格计算评标基准价和投标报价。</w:t>
            </w:r>
          </w:p>
        </w:tc>
      </w:tr>
    </w:tbl>
    <w:tbl>
      <w:tblPr>
        <w:tblStyle w:val="TableNormal"/>
        <w:tblpPr w:leftFromText="180" w:rightFromText="180" w:vertAnchor="text" w:horzAnchor="page" w:tblpX="1509" w:tblpY="228"/>
        <w:tblOverlap w:val="never"/>
        <w:tblW w:w="5000" w:type="pct"/>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
      <w:tblGrid>
        <w:gridCol w:w="689"/>
        <w:gridCol w:w="551"/>
        <w:gridCol w:w="2615"/>
        <w:gridCol w:w="932"/>
        <w:gridCol w:w="4311"/>
      </w:tblGrid>
      <w:tr>
        <w:tblPrEx>
          <w:tblW w:w="5000" w:type="pct"/>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序号</w:t>
            </w:r>
          </w:p>
        </w:tc>
        <w:tc>
          <w:tcPr>
            <w:tcW w:w="4076" w:type="dxa"/>
            <w:gridSpan w:val="3"/>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评分项</w:t>
            </w:r>
          </w:p>
        </w:tc>
        <w:tc>
          <w:tcPr>
            <w:tcW w:w="4288"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val="restart"/>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1</w:t>
            </w:r>
          </w:p>
        </w:tc>
        <w:tc>
          <w:tcPr>
            <w:tcW w:w="4076" w:type="dxa"/>
            <w:gridSpan w:val="3"/>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价格</w:t>
            </w:r>
          </w:p>
        </w:tc>
        <w:tc>
          <w:tcPr>
            <w:tcW w:w="4288" w:type="dxa"/>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10</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364" w:type="dxa"/>
            <w:gridSpan w:val="4"/>
            <w:tcBorders>
              <w:tl2br w:val="nil"/>
              <w:tr2bl w:val="nil"/>
            </w:tcBorders>
          </w:tcPr>
          <w:p>
            <w:pPr>
              <w:widowControl w:val="0"/>
              <w:wordWrap w:val="0"/>
              <w:adjustRightInd w:val="0"/>
              <w:snapToGrid w:val="0"/>
              <w:spacing w:line="320" w:lineRule="exact"/>
              <w:jc w:val="both"/>
              <w:rPr>
                <w:rFonts w:ascii="宋体" w:eastAsia="宋体" w:hAnsi="宋体" w:cs="宋体"/>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rHeight w:val="90"/>
          <w:tblCellSpacing w:w="0" w:type="dxa"/>
        </w:trPr>
        <w:tc>
          <w:tcPr>
            <w:tcW w:w="685" w:type="dxa"/>
            <w:vMerge w:val="restart"/>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2</w:t>
            </w:r>
          </w:p>
        </w:tc>
        <w:tc>
          <w:tcPr>
            <w:tcW w:w="4076" w:type="dxa"/>
            <w:gridSpan w:val="3"/>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技术部分</w:t>
            </w:r>
          </w:p>
        </w:tc>
        <w:tc>
          <w:tcPr>
            <w:tcW w:w="4288" w:type="dxa"/>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55</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364" w:type="dxa"/>
            <w:gridSpan w:val="4"/>
            <w:tcBorders>
              <w:tl2br w:val="nil"/>
              <w:tr2bl w:val="nil"/>
            </w:tcBorders>
          </w:tcPr>
          <w:p>
            <w:pPr>
              <w:widowControl w:val="0"/>
              <w:wordWrap w:val="0"/>
              <w:adjustRightInd w:val="0"/>
              <w:snapToGrid w:val="0"/>
              <w:spacing w:line="320" w:lineRule="exact"/>
              <w:jc w:val="both"/>
              <w:rPr>
                <w:rFonts w:ascii="宋体" w:eastAsia="宋体" w:hAnsi="宋体" w:cs="宋体"/>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shd w:val="clear" w:color="auto" w:fill="E6EFFA"/>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2601"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927"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4288"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601"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项目实施方案</w:t>
            </w:r>
          </w:p>
        </w:tc>
        <w:tc>
          <w:tcPr>
            <w:tcW w:w="927"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p>
        </w:tc>
        <w:tc>
          <w:tcPr>
            <w:tcW w:w="4288" w:type="dxa"/>
            <w:tcBorders>
              <w:tl2br w:val="nil"/>
              <w:tr2bl w:val="nil"/>
            </w:tcBorders>
          </w:tcPr>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（一）评分内容</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投标人结合本项目需求，提供</w:t>
            </w:r>
            <w:r>
              <w:rPr>
                <w:rFonts w:ascii="宋体" w:eastAsia="宋体" w:hAnsi="宋体" w:cs="宋体" w:hint="eastAsia"/>
                <w:kern w:val="2"/>
                <w:sz w:val="21"/>
                <w:szCs w:val="21"/>
                <w:lang w:eastAsia="zh-CN"/>
              </w:rPr>
              <w:t>项目实施方案</w:t>
            </w:r>
            <w:r>
              <w:rPr>
                <w:rFonts w:ascii="宋体" w:eastAsia="宋体" w:hAnsi="宋体" w:cs="宋体" w:hint="eastAsia"/>
                <w:bCs/>
                <w:kern w:val="2"/>
                <w:sz w:val="21"/>
                <w:szCs w:val="21"/>
                <w:lang w:eastAsia="zh-CN"/>
              </w:rPr>
              <w:t>，内容包括但不限于：</w:t>
            </w:r>
            <w:r>
              <w:rPr>
                <w:rFonts w:ascii="宋体" w:eastAsia="宋体" w:hAnsi="宋体" w:cs="宋体" w:hint="eastAsia"/>
                <w:bCs/>
                <w:kern w:val="2"/>
                <w:sz w:val="21"/>
                <w:szCs w:val="21"/>
                <w:lang w:eastAsia="zh-CN"/>
              </w:rPr>
              <w:br/>
            </w:r>
            <w:r>
              <w:rPr>
                <w:rFonts w:ascii="宋体" w:eastAsia="宋体" w:hAnsi="宋体" w:cs="宋体" w:hint="eastAsia"/>
                <w:bCs/>
                <w:kern w:val="2"/>
                <w:sz w:val="21"/>
                <w:szCs w:val="21"/>
                <w:lang w:eastAsia="zh-CN"/>
              </w:rPr>
              <w:t>①项目整体实施计划；</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②各项服务；</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③组织实施方案；</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④项目主要团队成员情况以及各项管理规章制度。</w:t>
            </w:r>
          </w:p>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（二）评分依据</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1.投标人提供的方案每包含以上任意1项内容的，得12.5分；其他情况不得分，本小项最高得50分。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2.在满足第1项评分（即第1项得分）的基础上，根据以下标准进行评价评分：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（1）评价为优：</w:t>
            </w:r>
            <w:r>
              <w:rPr>
                <w:rFonts w:ascii="宋体" w:eastAsia="宋体" w:hAnsi="宋体" w:cs="宋体" w:hint="eastAsia"/>
                <w:kern w:val="2"/>
                <w:sz w:val="21"/>
                <w:szCs w:val="21"/>
                <w:lang w:eastAsia="zh-CN"/>
              </w:rPr>
              <w:t>方案内容详细、条理清晰、准确合理，考虑全面可靠，能够全面理解本项目的要求，并有针对性作出响应，具体落实措施可行性高且针对性强的，评审为优</w:t>
            </w:r>
            <w:r>
              <w:rPr>
                <w:rFonts w:ascii="宋体" w:eastAsia="宋体" w:hAnsi="宋体" w:cs="宋体" w:hint="eastAsia"/>
                <w:kern w:val="2"/>
                <w:sz w:val="21"/>
                <w:szCs w:val="21"/>
                <w:lang w:eastAsia="zh-CN"/>
              </w:rPr>
              <w:t>，得50分；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（2）评价为良：</w:t>
            </w:r>
            <w:r>
              <w:rPr>
                <w:rFonts w:ascii="宋体" w:eastAsia="宋体" w:hAnsi="宋体" w:cs="宋体" w:hint="eastAsia"/>
                <w:kern w:val="2"/>
                <w:sz w:val="21"/>
                <w:szCs w:val="21"/>
                <w:lang w:eastAsia="zh-CN"/>
              </w:rPr>
              <w:t>方案内容较详细、条理较清晰、较准确合理，考虑较全面可靠，能够比较全面理解本项目的要求，具体落实措施可行性较高且针对性较强的，</w:t>
            </w:r>
            <w:r>
              <w:rPr>
                <w:rFonts w:ascii="宋体" w:eastAsia="宋体" w:hAnsi="宋体" w:cs="宋体" w:hint="eastAsia"/>
                <w:kern w:val="2"/>
                <w:sz w:val="21"/>
                <w:szCs w:val="21"/>
                <w:lang w:eastAsia="zh-CN"/>
              </w:rPr>
              <w:t>得30分；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（3）评价为中：</w:t>
            </w:r>
            <w:r>
              <w:rPr>
                <w:rFonts w:ascii="宋体" w:eastAsia="宋体" w:hAnsi="宋体" w:cs="宋体" w:hint="eastAsia"/>
                <w:kern w:val="2"/>
                <w:sz w:val="21"/>
                <w:szCs w:val="21"/>
                <w:lang w:eastAsia="zh-CN"/>
              </w:rPr>
              <w:t>方案内容不尽合理、针对性一般、可操作性一般，</w:t>
            </w:r>
            <w:r>
              <w:rPr>
                <w:rFonts w:ascii="宋体" w:eastAsia="宋体" w:hAnsi="宋体" w:cs="宋体" w:hint="eastAsia"/>
                <w:kern w:val="2"/>
                <w:sz w:val="21"/>
                <w:szCs w:val="21"/>
                <w:lang w:eastAsia="zh-CN"/>
              </w:rPr>
              <w:t>得10分；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（4）评价为差：</w:t>
            </w:r>
            <w:r>
              <w:rPr>
                <w:rFonts w:ascii="宋体" w:eastAsia="宋体" w:hAnsi="宋体" w:cs="宋体" w:hint="eastAsia"/>
                <w:kern w:val="2"/>
                <w:sz w:val="21"/>
                <w:szCs w:val="21"/>
                <w:lang w:eastAsia="zh-CN"/>
              </w:rPr>
              <w:t>方案不合理、无针对性、无可操作性，为</w:t>
            </w:r>
            <w:r>
              <w:rPr>
                <w:rFonts w:ascii="Calibri" w:eastAsia="宋体" w:hAnsi="Calibri" w:cstheme="minorBidi" w:hint="eastAsia"/>
                <w:kern w:val="2"/>
                <w:sz w:val="21"/>
                <w:szCs w:val="22"/>
                <w:lang w:eastAsia="zh-CN"/>
              </w:rPr>
              <w:t>不得分，即得0分</w:t>
            </w:r>
            <w:r>
              <w:rPr>
                <w:rFonts w:ascii="宋体" w:eastAsia="宋体" w:hAnsi="宋体" w:cs="宋体" w:hint="eastAsia"/>
                <w:kern w:val="2"/>
                <w:sz w:val="21"/>
                <w:szCs w:val="21"/>
                <w:lang w:eastAsia="zh-CN"/>
              </w:rPr>
              <w:t>。</w:t>
            </w:r>
          </w:p>
          <w:p>
            <w:pPr>
              <w:widowControl w:val="0"/>
              <w:adjustRightInd w:val="0"/>
              <w:snapToGrid w:val="0"/>
              <w:jc w:val="both"/>
              <w:rPr>
                <w:rFonts w:ascii="Calibri" w:eastAsia="宋体" w:hAnsi="Calibri"/>
                <w:kern w:val="2"/>
                <w:sz w:val="21"/>
                <w:szCs w:val="22"/>
                <w:lang w:eastAsia="zh-CN"/>
              </w:rPr>
            </w:pPr>
            <w:r>
              <w:rPr>
                <w:rFonts w:ascii="宋体" w:eastAsia="宋体" w:hAnsi="宋体" w:cs="宋体" w:hint="eastAsia"/>
                <w:b/>
                <w:bCs/>
                <w:kern w:val="2"/>
                <w:sz w:val="21"/>
                <w:szCs w:val="21"/>
                <w:lang w:eastAsia="zh-CN"/>
              </w:rPr>
              <w:t>以上2项得分累计，最高得100分。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601"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质量保证措施及方案</w:t>
            </w:r>
          </w:p>
        </w:tc>
        <w:tc>
          <w:tcPr>
            <w:tcW w:w="927"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4288" w:type="dxa"/>
            <w:tcBorders>
              <w:tl2br w:val="nil"/>
              <w:tr2bl w:val="nil"/>
            </w:tcBorders>
            <w:vAlign w:val="center"/>
          </w:tcPr>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（一）评分内容</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投标人结合本项目需求，提供质量保证措施方案，内容包括但不限于：</w:t>
            </w:r>
            <w:r>
              <w:rPr>
                <w:rFonts w:ascii="宋体" w:eastAsia="宋体" w:hAnsi="宋体" w:cs="宋体" w:hint="eastAsia"/>
                <w:bCs/>
                <w:kern w:val="2"/>
                <w:sz w:val="21"/>
                <w:szCs w:val="21"/>
                <w:lang w:eastAsia="zh-CN"/>
              </w:rPr>
              <w:br/>
            </w:r>
            <w:r>
              <w:rPr>
                <w:rFonts w:ascii="宋体" w:eastAsia="宋体" w:hAnsi="宋体" w:cs="宋体" w:hint="eastAsia"/>
                <w:bCs/>
                <w:kern w:val="2"/>
                <w:sz w:val="21"/>
                <w:szCs w:val="21"/>
                <w:lang w:eastAsia="zh-CN"/>
              </w:rPr>
              <w:t>①医学影像处理的准确性；</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②完成时间以及安全性。</w:t>
            </w:r>
          </w:p>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（二）评分依据</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1.投标人提供的方案每包含以上任意1项内容的，得25分；其他情况不得分，本小项最高得50分。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2.在满足第1项评分（即第1项得分）的基础上，根据以下标准进行评价评分：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（1）评价为优：</w:t>
            </w:r>
            <w:r>
              <w:rPr>
                <w:rFonts w:ascii="宋体" w:eastAsia="宋体" w:hAnsi="宋体" w:cs="宋体" w:hint="eastAsia"/>
                <w:kern w:val="2"/>
                <w:sz w:val="21"/>
                <w:szCs w:val="21"/>
                <w:lang w:eastAsia="zh-CN"/>
              </w:rPr>
              <w:t>方案内容详细、条理清晰、准确合理，考虑全面可靠，能够全面理解本项目的要求，并有针对性作出响应，具体落实措施可行性高且针对性强的，</w:t>
            </w:r>
            <w:r>
              <w:rPr>
                <w:rFonts w:ascii="宋体" w:eastAsia="宋体" w:hAnsi="宋体" w:cs="宋体" w:hint="eastAsia"/>
                <w:kern w:val="2"/>
                <w:sz w:val="21"/>
                <w:szCs w:val="21"/>
                <w:lang w:eastAsia="zh-CN"/>
              </w:rPr>
              <w:t>得50分；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（2）评价为良：</w:t>
            </w:r>
            <w:r>
              <w:rPr>
                <w:rFonts w:ascii="宋体" w:eastAsia="宋体" w:hAnsi="宋体" w:cs="宋体" w:hint="eastAsia"/>
                <w:kern w:val="2"/>
                <w:sz w:val="21"/>
                <w:szCs w:val="21"/>
                <w:lang w:eastAsia="zh-CN"/>
              </w:rPr>
              <w:t>方案内容较详细、条理较清晰、较准确合理，考虑较全面可靠，能够比较全面理解本项目的要求，具体落实措施可行性较高且针对性较强的，</w:t>
            </w:r>
            <w:r>
              <w:rPr>
                <w:rFonts w:ascii="宋体" w:eastAsia="宋体" w:hAnsi="宋体" w:cs="宋体" w:hint="eastAsia"/>
                <w:kern w:val="2"/>
                <w:sz w:val="21"/>
                <w:szCs w:val="21"/>
                <w:lang w:eastAsia="zh-CN"/>
              </w:rPr>
              <w:t>得30分；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（3）评价为中：</w:t>
            </w:r>
            <w:r>
              <w:rPr>
                <w:rFonts w:ascii="宋体" w:eastAsia="宋体" w:hAnsi="宋体" w:cs="宋体" w:hint="eastAsia"/>
                <w:kern w:val="2"/>
                <w:sz w:val="21"/>
                <w:szCs w:val="21"/>
                <w:lang w:eastAsia="zh-CN"/>
              </w:rPr>
              <w:t>方案内容不尽合理、针对性一般、可操作性一般的，</w:t>
            </w:r>
            <w:r>
              <w:rPr>
                <w:rFonts w:ascii="宋体" w:eastAsia="宋体" w:hAnsi="宋体" w:cs="宋体" w:hint="eastAsia"/>
                <w:kern w:val="2"/>
                <w:sz w:val="21"/>
                <w:szCs w:val="21"/>
                <w:lang w:eastAsia="zh-CN"/>
              </w:rPr>
              <w:t>得10分；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（4）评价为差：</w:t>
            </w:r>
            <w:r>
              <w:rPr>
                <w:rFonts w:ascii="宋体" w:eastAsia="宋体" w:hAnsi="宋体" w:cs="宋体" w:hint="eastAsia"/>
                <w:kern w:val="2"/>
                <w:sz w:val="21"/>
                <w:szCs w:val="21"/>
                <w:lang w:eastAsia="zh-CN"/>
              </w:rPr>
              <w:t>方案不合理、无针对性、无可操作性的，</w:t>
            </w:r>
            <w:r>
              <w:rPr>
                <w:rFonts w:ascii="Calibri" w:eastAsia="宋体" w:hAnsi="Calibri" w:cstheme="minorBidi" w:hint="eastAsia"/>
                <w:kern w:val="2"/>
                <w:sz w:val="21"/>
                <w:szCs w:val="22"/>
                <w:lang w:eastAsia="zh-CN"/>
              </w:rPr>
              <w:t>得0分</w:t>
            </w:r>
            <w:r>
              <w:rPr>
                <w:rFonts w:ascii="宋体" w:eastAsia="宋体" w:hAnsi="宋体" w:cs="宋体" w:hint="eastAsia"/>
                <w:kern w:val="2"/>
                <w:sz w:val="21"/>
                <w:szCs w:val="21"/>
                <w:lang w:eastAsia="zh-CN"/>
              </w:rPr>
              <w:t>。</w:t>
            </w:r>
          </w:p>
          <w:p>
            <w:pPr>
              <w:widowControl w:val="0"/>
              <w:adjustRightInd w:val="0"/>
              <w:snapToGrid w:val="0"/>
              <w:jc w:val="left"/>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以上2项得分累计，最高得100分。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601"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项目分析、应对措施及相关的合理化建议</w:t>
            </w:r>
          </w:p>
        </w:tc>
        <w:tc>
          <w:tcPr>
            <w:tcW w:w="927"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p>
        </w:tc>
        <w:tc>
          <w:tcPr>
            <w:tcW w:w="4288" w:type="dxa"/>
            <w:tcBorders>
              <w:tl2br w:val="nil"/>
              <w:tr2bl w:val="nil"/>
            </w:tcBorders>
            <w:vAlign w:val="center"/>
          </w:tcPr>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（一）评分内容</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投标人结合本项目需求，提供</w:t>
            </w:r>
            <w:r>
              <w:rPr>
                <w:rFonts w:ascii="宋体" w:eastAsia="宋体" w:hAnsi="宋体" w:cs="宋体" w:hint="eastAsia"/>
                <w:kern w:val="2"/>
                <w:sz w:val="21"/>
                <w:szCs w:val="21"/>
                <w:lang w:eastAsia="zh-CN"/>
              </w:rPr>
              <w:t>项目分析、应对措施及相关的合理化建议</w:t>
            </w:r>
            <w:r>
              <w:rPr>
                <w:rFonts w:ascii="宋体" w:eastAsia="宋体" w:hAnsi="宋体" w:cs="宋体" w:hint="eastAsia"/>
                <w:bCs/>
                <w:kern w:val="2"/>
                <w:sz w:val="21"/>
                <w:szCs w:val="21"/>
                <w:lang w:eastAsia="zh-CN"/>
              </w:rPr>
              <w:t>，内容包括但不限于：</w:t>
            </w:r>
            <w:r>
              <w:rPr>
                <w:rFonts w:ascii="宋体" w:eastAsia="宋体" w:hAnsi="宋体" w:cs="宋体" w:hint="eastAsia"/>
                <w:bCs/>
                <w:kern w:val="2"/>
                <w:sz w:val="21"/>
                <w:szCs w:val="21"/>
                <w:lang w:eastAsia="zh-CN"/>
              </w:rPr>
              <w:br/>
            </w:r>
            <w:r>
              <w:rPr>
                <w:rFonts w:ascii="宋体" w:eastAsia="宋体" w:hAnsi="宋体" w:cs="宋体" w:hint="eastAsia"/>
                <w:bCs/>
                <w:kern w:val="2"/>
                <w:sz w:val="21"/>
                <w:szCs w:val="21"/>
                <w:lang w:eastAsia="zh-CN"/>
              </w:rPr>
              <w:t>①分析项目的重点难点；</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②项目风险控制；</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③验收方案、应急措施等。</w:t>
            </w:r>
          </w:p>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（二）评分依据</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1.投标人提供的方案每包含以上任意1项内容的，得20分；其他情况不得分，本小项最高得60分。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2.在满足第1项评分（即第1项得分）的基础上，根据以下标准进行评价评分：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（1）评价为优：</w:t>
            </w:r>
            <w:r>
              <w:rPr>
                <w:rFonts w:ascii="宋体" w:eastAsia="宋体" w:hAnsi="宋体" w:cs="宋体" w:hint="eastAsia"/>
                <w:kern w:val="2"/>
                <w:sz w:val="21"/>
                <w:szCs w:val="21"/>
                <w:lang w:eastAsia="zh-CN"/>
              </w:rPr>
              <w:t>方案内容详细、条理清晰、准确合理，考虑全面可靠，能够全面理解本项目的要求，并有针对性作出响应，具体落实措施可行性高且针对性强的，</w:t>
            </w:r>
            <w:r>
              <w:rPr>
                <w:rFonts w:ascii="宋体" w:eastAsia="宋体" w:hAnsi="宋体" w:cs="宋体" w:hint="eastAsia"/>
                <w:kern w:val="2"/>
                <w:sz w:val="21"/>
                <w:szCs w:val="21"/>
                <w:lang w:eastAsia="zh-CN"/>
              </w:rPr>
              <w:t>得40分；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（2）评价为良：</w:t>
            </w:r>
            <w:r>
              <w:rPr>
                <w:rFonts w:ascii="宋体" w:eastAsia="宋体" w:hAnsi="宋体" w:cs="宋体" w:hint="eastAsia"/>
                <w:kern w:val="2"/>
                <w:sz w:val="21"/>
                <w:szCs w:val="21"/>
                <w:lang w:eastAsia="zh-CN"/>
              </w:rPr>
              <w:t>方案内容较详细、条理较清晰、较准确合理，考虑较全面可靠，能够比较全面理解本项目的要求，具体落实措施可行性较高且针对性较强的，</w:t>
            </w:r>
            <w:r>
              <w:rPr>
                <w:rFonts w:ascii="宋体" w:eastAsia="宋体" w:hAnsi="宋体" w:cs="宋体" w:hint="eastAsia"/>
                <w:kern w:val="2"/>
                <w:sz w:val="21"/>
                <w:szCs w:val="21"/>
                <w:lang w:eastAsia="zh-CN"/>
              </w:rPr>
              <w:t>得20分；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（3）评价为中：</w:t>
            </w:r>
            <w:r>
              <w:rPr>
                <w:rFonts w:ascii="宋体" w:eastAsia="宋体" w:hAnsi="宋体" w:cs="宋体" w:hint="eastAsia"/>
                <w:kern w:val="2"/>
                <w:sz w:val="21"/>
                <w:szCs w:val="21"/>
                <w:lang w:eastAsia="zh-CN"/>
              </w:rPr>
              <w:t>方案内容不尽合理、针对性一般、可操作性一般的，</w:t>
            </w:r>
            <w:r>
              <w:rPr>
                <w:rFonts w:ascii="宋体" w:eastAsia="宋体" w:hAnsi="宋体" w:cs="宋体" w:hint="eastAsia"/>
                <w:kern w:val="2"/>
                <w:sz w:val="21"/>
                <w:szCs w:val="21"/>
                <w:lang w:eastAsia="zh-CN"/>
              </w:rPr>
              <w:t>得10分；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（4）评价为差：</w:t>
            </w:r>
            <w:r>
              <w:rPr>
                <w:rFonts w:ascii="宋体" w:eastAsia="宋体" w:hAnsi="宋体" w:cs="宋体" w:hint="eastAsia"/>
                <w:kern w:val="2"/>
                <w:sz w:val="21"/>
                <w:szCs w:val="21"/>
                <w:lang w:eastAsia="zh-CN"/>
              </w:rPr>
              <w:t>方案不合理、无针对性、无可操作性的，</w:t>
            </w:r>
            <w:r>
              <w:rPr>
                <w:rFonts w:ascii="Calibri" w:eastAsia="宋体" w:hAnsi="Calibri" w:cstheme="minorBidi" w:hint="eastAsia"/>
                <w:kern w:val="2"/>
                <w:sz w:val="21"/>
                <w:szCs w:val="22"/>
                <w:lang w:eastAsia="zh-CN"/>
              </w:rPr>
              <w:t>得0分</w:t>
            </w:r>
            <w:r>
              <w:rPr>
                <w:rFonts w:ascii="宋体" w:eastAsia="宋体" w:hAnsi="宋体" w:cs="宋体" w:hint="eastAsia"/>
                <w:kern w:val="2"/>
                <w:sz w:val="21"/>
                <w:szCs w:val="21"/>
                <w:lang w:eastAsia="zh-CN"/>
              </w:rPr>
              <w:t>。</w:t>
            </w:r>
          </w:p>
          <w:p>
            <w:pPr>
              <w:widowControl w:val="0"/>
              <w:adjustRightInd w:val="0"/>
              <w:snapToGrid w:val="0"/>
              <w:jc w:val="left"/>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以上2项得分累计，最高得100分。</w:t>
            </w:r>
          </w:p>
        </w:tc>
      </w:tr>
      <w:tr>
        <w:tblPrEx>
          <w:tblW w:w="5000" w:type="pct"/>
          <w:tblCellSpacing w:w="0" w:type="dxa"/>
          <w:tblInd w:w="0" w:type="dxa"/>
          <w:tblLayout w:type="fixed"/>
          <w:tblCellMar>
            <w:top w:w="20" w:type="dxa"/>
            <w:left w:w="108" w:type="dxa"/>
            <w:bottom w:w="20" w:type="dxa"/>
            <w:right w:w="108" w:type="dxa"/>
          </w:tblCellMar>
        </w:tblPrEx>
        <w:trPr>
          <w:trHeight w:val="90"/>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601"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项目完成（服务期满）后的服务承诺</w:t>
            </w:r>
          </w:p>
        </w:tc>
        <w:tc>
          <w:tcPr>
            <w:tcW w:w="927"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4288" w:type="dxa"/>
            <w:tcBorders>
              <w:tl2br w:val="nil"/>
              <w:tr2bl w:val="nil"/>
            </w:tcBorders>
            <w:vAlign w:val="center"/>
          </w:tcPr>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（一）评分内容</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投标人结合本项目需求，提供</w:t>
            </w:r>
            <w:r>
              <w:rPr>
                <w:rFonts w:ascii="宋体" w:eastAsia="宋体" w:hAnsi="宋体" w:cs="宋体" w:hint="eastAsia"/>
                <w:kern w:val="2"/>
                <w:sz w:val="21"/>
                <w:szCs w:val="21"/>
                <w:lang w:eastAsia="zh-CN"/>
              </w:rPr>
              <w:t>项目完成（服务期满）后的服务承诺</w:t>
            </w:r>
            <w:r>
              <w:rPr>
                <w:rFonts w:ascii="宋体" w:eastAsia="宋体" w:hAnsi="宋体" w:cs="宋体" w:hint="eastAsia"/>
                <w:bCs/>
                <w:kern w:val="2"/>
                <w:sz w:val="21"/>
                <w:szCs w:val="21"/>
                <w:lang w:eastAsia="zh-CN"/>
              </w:rPr>
              <w:t>，内容包括但不限于：</w:t>
            </w:r>
            <w:r>
              <w:rPr>
                <w:rFonts w:ascii="宋体" w:eastAsia="宋体" w:hAnsi="宋体" w:cs="宋体" w:hint="eastAsia"/>
                <w:bCs/>
                <w:kern w:val="2"/>
                <w:sz w:val="21"/>
                <w:szCs w:val="21"/>
                <w:lang w:eastAsia="zh-CN"/>
              </w:rPr>
              <w:br/>
            </w:r>
            <w:r>
              <w:rPr>
                <w:rFonts w:ascii="宋体" w:eastAsia="宋体" w:hAnsi="宋体" w:cs="宋体" w:hint="eastAsia"/>
                <w:bCs/>
                <w:kern w:val="2"/>
                <w:sz w:val="21"/>
                <w:szCs w:val="21"/>
                <w:lang w:eastAsia="zh-CN"/>
              </w:rPr>
              <w:t>①承诺服务期满移交所有项目服务资料文件；</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②承诺服务期满后提交服务期内总结报告；</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③承诺服务期满后在接到采购人技术咨询问题1天内远程或现场解决。</w:t>
            </w:r>
          </w:p>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（二）评分依据</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1.投标人提供的方案每包含以上任意1项内容的，得20分；其他情况不得分，本小项最高得60分。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2.在满足第1项评分（即第1项得分）的基础上，根据以下标准进行评价评分：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（1）评价为优：</w:t>
            </w:r>
            <w:r>
              <w:rPr>
                <w:rFonts w:ascii="宋体" w:eastAsia="宋体" w:hAnsi="宋体" w:cs="宋体" w:hint="eastAsia"/>
                <w:kern w:val="2"/>
                <w:sz w:val="21"/>
                <w:szCs w:val="21"/>
                <w:lang w:eastAsia="zh-CN"/>
              </w:rPr>
              <w:t>方案内容详细、条理清晰、准确合理，考虑全面可靠，能够全面理解本项目的要求，并有针对性作出响应，具体落实措施可行性高且针对性强的，</w:t>
            </w:r>
            <w:r>
              <w:rPr>
                <w:rFonts w:ascii="宋体" w:eastAsia="宋体" w:hAnsi="宋体" w:cs="宋体" w:hint="eastAsia"/>
                <w:kern w:val="2"/>
                <w:sz w:val="21"/>
                <w:szCs w:val="21"/>
                <w:lang w:eastAsia="zh-CN"/>
              </w:rPr>
              <w:t>得40分；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（2）评价为良：</w:t>
            </w:r>
            <w:r>
              <w:rPr>
                <w:rFonts w:ascii="宋体" w:eastAsia="宋体" w:hAnsi="宋体" w:cs="宋体" w:hint="eastAsia"/>
                <w:kern w:val="2"/>
                <w:sz w:val="21"/>
                <w:szCs w:val="21"/>
                <w:lang w:eastAsia="zh-CN"/>
              </w:rPr>
              <w:t>方案内容较详细、条理较清晰、较准确合理，考虑较全面可靠，能够比较全面理解本项目的要求，具体落实措施可行性较高且针对性较强的，</w:t>
            </w:r>
            <w:r>
              <w:rPr>
                <w:rFonts w:ascii="宋体" w:eastAsia="宋体" w:hAnsi="宋体" w:cs="宋体" w:hint="eastAsia"/>
                <w:kern w:val="2"/>
                <w:sz w:val="21"/>
                <w:szCs w:val="21"/>
                <w:lang w:eastAsia="zh-CN"/>
              </w:rPr>
              <w:t>得20分；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（3）评价为中：</w:t>
            </w:r>
            <w:r>
              <w:rPr>
                <w:rFonts w:ascii="宋体" w:eastAsia="宋体" w:hAnsi="宋体" w:cs="宋体" w:hint="eastAsia"/>
                <w:kern w:val="2"/>
                <w:sz w:val="21"/>
                <w:szCs w:val="21"/>
                <w:lang w:eastAsia="zh-CN"/>
              </w:rPr>
              <w:t>方案内容不尽合理、针对性一般、可操作性一般的，</w:t>
            </w:r>
            <w:r>
              <w:rPr>
                <w:rFonts w:ascii="宋体" w:eastAsia="宋体" w:hAnsi="宋体" w:cs="宋体" w:hint="eastAsia"/>
                <w:kern w:val="2"/>
                <w:sz w:val="21"/>
                <w:szCs w:val="21"/>
                <w:lang w:eastAsia="zh-CN"/>
              </w:rPr>
              <w:t>得10分；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（4）评价为差：</w:t>
            </w:r>
            <w:r>
              <w:rPr>
                <w:rFonts w:ascii="宋体" w:eastAsia="宋体" w:hAnsi="宋体" w:cs="宋体" w:hint="eastAsia"/>
                <w:kern w:val="2"/>
                <w:sz w:val="21"/>
                <w:szCs w:val="21"/>
                <w:lang w:eastAsia="zh-CN"/>
              </w:rPr>
              <w:t>方案不合理、无针对性、无可操作性的，</w:t>
            </w:r>
            <w:r>
              <w:rPr>
                <w:rFonts w:ascii="Calibri" w:eastAsia="宋体" w:hAnsi="Calibri" w:cstheme="minorBidi" w:hint="eastAsia"/>
                <w:kern w:val="2"/>
                <w:sz w:val="21"/>
                <w:szCs w:val="22"/>
                <w:lang w:eastAsia="zh-CN"/>
              </w:rPr>
              <w:t>得0分</w:t>
            </w:r>
            <w:r>
              <w:rPr>
                <w:rFonts w:ascii="宋体" w:eastAsia="宋体" w:hAnsi="宋体" w:cs="宋体" w:hint="eastAsia"/>
                <w:kern w:val="2"/>
                <w:sz w:val="21"/>
                <w:szCs w:val="21"/>
                <w:lang w:eastAsia="zh-CN"/>
              </w:rPr>
              <w:t>。</w:t>
            </w:r>
          </w:p>
          <w:p>
            <w:pPr>
              <w:widowControl w:val="0"/>
              <w:jc w:val="left"/>
              <w:rPr>
                <w:rFonts w:ascii="Calibri" w:eastAsia="宋体" w:hAnsi="Calibri"/>
                <w:kern w:val="2"/>
                <w:sz w:val="21"/>
                <w:szCs w:val="22"/>
                <w:lang w:eastAsia="zh-CN"/>
              </w:rPr>
            </w:pPr>
            <w:r>
              <w:rPr>
                <w:rFonts w:ascii="宋体" w:eastAsia="宋体" w:hAnsi="宋体" w:cs="宋体" w:hint="eastAsia"/>
                <w:b/>
                <w:bCs/>
                <w:kern w:val="2"/>
                <w:sz w:val="21"/>
                <w:szCs w:val="21"/>
                <w:lang w:eastAsia="zh-CN"/>
              </w:rPr>
              <w:t>以上2项得分累计，最高得100分。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shd w:val="clear" w:color="auto" w:fill="auto"/>
            <w:vAlign w:val="center"/>
          </w:tcPr>
          <w:p>
            <w:pPr>
              <w:widowControl w:val="0"/>
              <w:wordWrap w:val="0"/>
              <w:adjustRightInd w:val="0"/>
              <w:snapToGrid w:val="0"/>
              <w:spacing w:line="32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2601" w:type="dxa"/>
            <w:tcBorders>
              <w:tl2br w:val="nil"/>
              <w:tr2bl w:val="nil"/>
            </w:tcBorders>
            <w:shd w:val="clear" w:color="auto" w:fill="auto"/>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拟投入的配套服务平台/软件重要技术参数响应情况</w:t>
            </w:r>
          </w:p>
        </w:tc>
        <w:tc>
          <w:tcPr>
            <w:tcW w:w="927" w:type="dxa"/>
            <w:tcBorders>
              <w:tl2br w:val="nil"/>
              <w:tr2bl w:val="nil"/>
            </w:tcBorders>
            <w:shd w:val="clear" w:color="auto" w:fill="auto"/>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25</w:t>
            </w:r>
          </w:p>
        </w:tc>
        <w:tc>
          <w:tcPr>
            <w:tcW w:w="4288" w:type="dxa"/>
            <w:tcBorders>
              <w:tl2br w:val="nil"/>
              <w:tr2bl w:val="nil"/>
            </w:tcBorders>
            <w:shd w:val="clear" w:color="auto" w:fill="auto"/>
          </w:tcPr>
          <w:p>
            <w:pPr>
              <w:widowControl w:val="0"/>
              <w:wordWrap w:val="0"/>
              <w:jc w:val="both"/>
              <w:rPr>
                <w:rFonts w:eastAsia="宋体"/>
                <w:b/>
                <w:bCs/>
                <w:kern w:val="2"/>
                <w:sz w:val="21"/>
                <w:szCs w:val="21"/>
                <w:lang w:eastAsia="zh-CN"/>
              </w:rPr>
            </w:pPr>
            <w:r>
              <w:rPr>
                <w:rFonts w:eastAsia="宋体" w:hint="eastAsia"/>
                <w:b/>
                <w:bCs/>
                <w:kern w:val="2"/>
                <w:sz w:val="21"/>
                <w:szCs w:val="21"/>
                <w:lang w:eastAsia="zh-CN"/>
              </w:rPr>
              <w:t>（一）评分内容</w:t>
            </w:r>
          </w:p>
          <w:p>
            <w:pPr>
              <w:widowControl w:val="0"/>
              <w:wordWrap w:val="0"/>
              <w:jc w:val="both"/>
              <w:rPr>
                <w:rFonts w:eastAsia="宋体"/>
                <w:kern w:val="2"/>
                <w:sz w:val="21"/>
                <w:szCs w:val="21"/>
                <w:lang w:eastAsia="zh-CN"/>
              </w:rPr>
            </w:pPr>
            <w:r>
              <w:rPr>
                <w:rFonts w:eastAsia="宋体" w:hint="eastAsia"/>
                <w:kern w:val="2"/>
                <w:sz w:val="21"/>
                <w:szCs w:val="21"/>
                <w:lang w:eastAsia="zh-CN"/>
              </w:rPr>
              <w:t>根据项目需求中配套服务平台/软件技术要求的满足程度进行评价，评审委员会以投标文件《技术要求偏离表》响应情况进行打分。</w:t>
            </w:r>
          </w:p>
          <w:p>
            <w:pPr>
              <w:widowControl w:val="0"/>
              <w:wordWrap w:val="0"/>
              <w:jc w:val="both"/>
              <w:rPr>
                <w:rFonts w:eastAsia="宋体"/>
                <w:b/>
                <w:bCs/>
                <w:kern w:val="2"/>
                <w:sz w:val="21"/>
                <w:szCs w:val="21"/>
                <w:lang w:eastAsia="zh-CN"/>
              </w:rPr>
            </w:pPr>
            <w:r>
              <w:rPr>
                <w:rFonts w:eastAsia="宋体" w:hint="eastAsia"/>
                <w:b/>
                <w:bCs/>
                <w:kern w:val="2"/>
                <w:sz w:val="21"/>
                <w:szCs w:val="21"/>
                <w:lang w:eastAsia="zh-CN"/>
              </w:rPr>
              <w:t>（二）评分依据</w:t>
            </w:r>
          </w:p>
          <w:p>
            <w:pPr>
              <w:widowControl w:val="0"/>
              <w:wordWrap w:val="0"/>
              <w:jc w:val="both"/>
              <w:rPr>
                <w:rFonts w:eastAsia="宋体"/>
                <w:kern w:val="2"/>
                <w:sz w:val="21"/>
                <w:szCs w:val="21"/>
                <w:lang w:eastAsia="zh-CN"/>
              </w:rPr>
            </w:pPr>
            <w:r>
              <w:rPr>
                <w:rFonts w:eastAsia="宋体" w:hint="eastAsia"/>
                <w:kern w:val="2"/>
                <w:sz w:val="21"/>
                <w:szCs w:val="21"/>
                <w:lang w:eastAsia="zh-CN"/>
              </w:rPr>
              <w:t>带“▲”号重要技术要求，每有一项负偏离的扣12.5分，扣完为止；</w:t>
            </w:r>
          </w:p>
          <w:p>
            <w:pPr>
              <w:widowControl w:val="0"/>
              <w:wordWrap w:val="0"/>
              <w:jc w:val="both"/>
              <w:rPr>
                <w:rFonts w:eastAsia="宋体"/>
                <w:kern w:val="2"/>
                <w:sz w:val="21"/>
                <w:szCs w:val="21"/>
                <w:lang w:eastAsia="zh-CN"/>
              </w:rPr>
            </w:pPr>
            <w:r>
              <w:rPr>
                <w:rFonts w:eastAsia="宋体" w:hint="eastAsia"/>
                <w:kern w:val="2"/>
                <w:sz w:val="21"/>
                <w:szCs w:val="21"/>
                <w:lang w:eastAsia="zh-CN"/>
              </w:rPr>
              <w:t>本项最高100分，最低得0分。</w:t>
            </w:r>
          </w:p>
          <w:p>
            <w:pPr>
              <w:widowControl w:val="0"/>
              <w:wordWrap w:val="0"/>
              <w:jc w:val="both"/>
              <w:rPr>
                <w:rFonts w:eastAsia="宋体"/>
                <w:kern w:val="2"/>
                <w:sz w:val="21"/>
                <w:szCs w:val="21"/>
                <w:lang w:eastAsia="zh-CN"/>
              </w:rPr>
            </w:pPr>
            <w:r>
              <w:rPr>
                <w:rFonts w:eastAsia="宋体" w:hint="eastAsia"/>
                <w:kern w:val="2"/>
                <w:sz w:val="21"/>
                <w:szCs w:val="21"/>
                <w:lang w:eastAsia="zh-CN"/>
              </w:rPr>
              <w:t>如技术要求中载明提供证明材料的，需提供对应的证明材料，其余技术要求以投标人填写的响应情况为准。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2601"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拟投入的配套服务平台/软件一般技术参数响应情况</w:t>
            </w:r>
          </w:p>
        </w:tc>
        <w:tc>
          <w:tcPr>
            <w:tcW w:w="927"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4288" w:type="dxa"/>
            <w:tcBorders>
              <w:tl2br w:val="nil"/>
              <w:tr2bl w:val="nil"/>
            </w:tcBorders>
            <w:shd w:val="clear" w:color="auto" w:fill="auto"/>
          </w:tcPr>
          <w:p>
            <w:pPr>
              <w:widowControl w:val="0"/>
              <w:wordWrap w:val="0"/>
              <w:jc w:val="both"/>
              <w:rPr>
                <w:rFonts w:eastAsia="宋体"/>
                <w:b/>
                <w:bCs/>
                <w:kern w:val="2"/>
                <w:sz w:val="21"/>
                <w:szCs w:val="21"/>
                <w:lang w:eastAsia="zh-CN"/>
              </w:rPr>
            </w:pPr>
            <w:r>
              <w:rPr>
                <w:rFonts w:eastAsia="宋体" w:hint="eastAsia"/>
                <w:b/>
                <w:bCs/>
                <w:kern w:val="2"/>
                <w:sz w:val="21"/>
                <w:szCs w:val="21"/>
                <w:lang w:eastAsia="zh-CN"/>
              </w:rPr>
              <w:t>（一）评分内容</w:t>
            </w:r>
          </w:p>
          <w:p>
            <w:pPr>
              <w:widowControl w:val="0"/>
              <w:wordWrap w:val="0"/>
              <w:jc w:val="both"/>
              <w:rPr>
                <w:rFonts w:eastAsia="宋体"/>
                <w:kern w:val="2"/>
                <w:sz w:val="21"/>
                <w:szCs w:val="21"/>
                <w:lang w:eastAsia="zh-CN"/>
              </w:rPr>
            </w:pPr>
            <w:r>
              <w:rPr>
                <w:rFonts w:eastAsia="宋体" w:hint="eastAsia"/>
                <w:kern w:val="2"/>
                <w:sz w:val="21"/>
                <w:szCs w:val="21"/>
                <w:lang w:eastAsia="zh-CN"/>
              </w:rPr>
              <w:t>根据项目需求中配套服务平台/软件技术要求的满足程度进行评价，评审委员会以投标文件《技术要求偏离表》响应情况进行打分。</w:t>
            </w:r>
          </w:p>
          <w:p>
            <w:pPr>
              <w:widowControl w:val="0"/>
              <w:wordWrap w:val="0"/>
              <w:jc w:val="both"/>
              <w:rPr>
                <w:rFonts w:eastAsia="宋体"/>
                <w:b/>
                <w:bCs/>
                <w:kern w:val="2"/>
                <w:sz w:val="21"/>
                <w:szCs w:val="21"/>
                <w:lang w:eastAsia="zh-CN"/>
              </w:rPr>
            </w:pPr>
            <w:r>
              <w:rPr>
                <w:rFonts w:eastAsia="宋体" w:hint="eastAsia"/>
                <w:b/>
                <w:bCs/>
                <w:kern w:val="2"/>
                <w:sz w:val="21"/>
                <w:szCs w:val="21"/>
                <w:lang w:eastAsia="zh-CN"/>
              </w:rPr>
              <w:t>（二）评分依据</w:t>
            </w:r>
          </w:p>
          <w:p>
            <w:pPr>
              <w:widowControl w:val="0"/>
              <w:wordWrap w:val="0"/>
              <w:jc w:val="both"/>
              <w:rPr>
                <w:rFonts w:eastAsia="宋体"/>
                <w:kern w:val="2"/>
                <w:sz w:val="21"/>
                <w:szCs w:val="21"/>
                <w:lang w:eastAsia="zh-CN"/>
              </w:rPr>
            </w:pPr>
            <w:r>
              <w:rPr>
                <w:rFonts w:eastAsia="宋体" w:hint="eastAsia"/>
                <w:kern w:val="2"/>
                <w:sz w:val="21"/>
                <w:szCs w:val="21"/>
                <w:lang w:eastAsia="zh-CN"/>
              </w:rPr>
              <w:t>除带“★”不可偏离技术要求和“▲”号重要技术要求以外的一般技术要求每有一项负偏离的扣2.2分，扣完为止；</w:t>
            </w:r>
          </w:p>
          <w:p>
            <w:pPr>
              <w:widowControl w:val="0"/>
              <w:wordWrap w:val="0"/>
              <w:jc w:val="both"/>
              <w:rPr>
                <w:rFonts w:eastAsia="宋体"/>
                <w:kern w:val="2"/>
                <w:sz w:val="21"/>
                <w:szCs w:val="21"/>
                <w:lang w:eastAsia="zh-CN"/>
              </w:rPr>
            </w:pPr>
            <w:r>
              <w:rPr>
                <w:rFonts w:eastAsia="宋体" w:hint="eastAsia"/>
                <w:kern w:val="2"/>
                <w:sz w:val="21"/>
                <w:szCs w:val="21"/>
                <w:lang w:eastAsia="zh-CN"/>
              </w:rPr>
              <w:t>本项最高100分，最低得0分。</w:t>
            </w:r>
          </w:p>
          <w:p>
            <w:pPr>
              <w:widowControl w:val="0"/>
              <w:wordWrap w:val="0"/>
              <w:jc w:val="both"/>
              <w:rPr>
                <w:rFonts w:eastAsia="宋体"/>
                <w:kern w:val="2"/>
                <w:sz w:val="21"/>
                <w:szCs w:val="21"/>
                <w:lang w:eastAsia="zh-CN"/>
              </w:rPr>
            </w:pPr>
            <w:r>
              <w:rPr>
                <w:rFonts w:eastAsia="宋体" w:hint="eastAsia"/>
                <w:kern w:val="2"/>
                <w:sz w:val="21"/>
                <w:szCs w:val="21"/>
                <w:lang w:eastAsia="zh-CN"/>
              </w:rPr>
              <w:t>如技术要求中载明提供证明材料的，需提供对应的证明材料，其余技术要求以投标人填写的响应情况为准。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val="restart"/>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3</w:t>
            </w:r>
          </w:p>
        </w:tc>
        <w:tc>
          <w:tcPr>
            <w:tcW w:w="4076" w:type="dxa"/>
            <w:gridSpan w:val="3"/>
            <w:tcBorders>
              <w:tl2br w:val="nil"/>
              <w:tr2bl w:val="nil"/>
            </w:tcBorders>
            <w:vAlign w:val="center"/>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综合实力部分</w:t>
            </w:r>
          </w:p>
        </w:tc>
        <w:tc>
          <w:tcPr>
            <w:tcW w:w="4288" w:type="dxa"/>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30</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364" w:type="dxa"/>
            <w:gridSpan w:val="4"/>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shd w:val="clear" w:color="auto" w:fill="E6EFFA"/>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2601"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927"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4288"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601"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同类项目业绩</w:t>
            </w:r>
          </w:p>
        </w:tc>
        <w:tc>
          <w:tcPr>
            <w:tcW w:w="927"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4288" w:type="dxa"/>
            <w:tcBorders>
              <w:tl2br w:val="nil"/>
              <w:tr2bl w:val="nil"/>
            </w:tcBorders>
            <w:vAlign w:val="center"/>
          </w:tcPr>
          <w:p>
            <w:pPr>
              <w:widowControl w:val="0"/>
              <w:tabs>
                <w:tab w:val="center" w:pos="4153"/>
                <w:tab w:val="right" w:pos="8306"/>
              </w:tabs>
              <w:snapToGrid w:val="0"/>
              <w:jc w:val="left"/>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（一）评分内容</w:t>
            </w:r>
          </w:p>
          <w:p>
            <w:pPr>
              <w:widowControl w:val="0"/>
              <w:tabs>
                <w:tab w:val="center" w:pos="4153"/>
                <w:tab w:val="right" w:pos="8306"/>
              </w:tabs>
              <w:snapToGrid w:val="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提供投标人2022年1月1日至本项目投标截止日（以合同签订日期为准），提供具有</w:t>
            </w:r>
            <w:r>
              <w:rPr>
                <w:rFonts w:ascii="宋体" w:eastAsia="宋体" w:hAnsi="宋体" w:cs="宋体" w:hint="eastAsia"/>
                <w:b/>
                <w:bCs/>
                <w:kern w:val="2"/>
                <w:sz w:val="21"/>
                <w:szCs w:val="21"/>
                <w:lang w:eastAsia="zh-CN"/>
              </w:rPr>
              <w:t>个体化3D模型重建（胸腹部手术规划）服务</w:t>
            </w:r>
            <w:r>
              <w:rPr>
                <w:rFonts w:ascii="Calibri" w:eastAsia="宋体" w:hAnsi="Calibri" w:cstheme="minorBidi" w:hint="eastAsia"/>
                <w:b/>
                <w:bCs/>
                <w:kern w:val="2"/>
                <w:sz w:val="21"/>
                <w:szCs w:val="21"/>
                <w:lang w:eastAsia="zh-CN"/>
              </w:rPr>
              <w:t>或者</w:t>
            </w:r>
            <w:r>
              <w:rPr>
                <w:rFonts w:ascii="宋体" w:eastAsia="宋体" w:hAnsi="宋体" w:cs="宋体" w:hint="eastAsia"/>
                <w:b/>
                <w:bCs/>
                <w:kern w:val="2"/>
                <w:sz w:val="21"/>
                <w:szCs w:val="21"/>
                <w:lang w:eastAsia="zh-CN"/>
              </w:rPr>
              <w:t>三维可视化服务或者三维重建技术服务</w:t>
            </w:r>
            <w:r>
              <w:rPr>
                <w:rFonts w:ascii="Calibri" w:eastAsia="宋体" w:hAnsi="Calibri" w:cstheme="minorBidi" w:hint="eastAsia"/>
                <w:kern w:val="2"/>
                <w:sz w:val="21"/>
                <w:szCs w:val="21"/>
                <w:lang w:eastAsia="zh-CN"/>
              </w:rPr>
              <w:t>的</w:t>
            </w:r>
            <w:r>
              <w:rPr>
                <w:rFonts w:ascii="宋体" w:eastAsia="宋体" w:hAnsi="宋体" w:cs="宋体" w:hint="eastAsia"/>
                <w:kern w:val="2"/>
                <w:sz w:val="21"/>
                <w:szCs w:val="21"/>
                <w:lang w:eastAsia="zh-CN"/>
              </w:rPr>
              <w:t>项目业绩，每提供1宗业绩的得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分，其它情况不得分，本项最高得100分。</w:t>
            </w:r>
          </w:p>
          <w:p>
            <w:pPr>
              <w:widowControl w:val="0"/>
              <w:tabs>
                <w:tab w:val="center" w:pos="4153"/>
                <w:tab w:val="right" w:pos="8306"/>
              </w:tabs>
              <w:snapToGrid w:val="0"/>
              <w:jc w:val="left"/>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tabs>
                <w:tab w:val="center" w:pos="4153"/>
                <w:tab w:val="right" w:pos="8306"/>
              </w:tabs>
              <w:snapToGrid w:val="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提供合同关键页（包括但不限于签订合同双方名称页、合同项目名称、主要内容页、合同签订日期页、合同双方签字盖章页）证明材料【若合同甲方（采购方）有名称变更的，投标人还需提供说明函并加盖投标人公章】扫描件</w:t>
            </w:r>
          </w:p>
          <w:p>
            <w:pPr>
              <w:widowControl w:val="0"/>
              <w:adjustRightInd w:val="0"/>
              <w:snapToGrid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2.如未按要求提供证明材料，或所提供的证明材料未能体现上述评分内容的，一律作不得分处理。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601"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认证情况</w:t>
            </w:r>
          </w:p>
        </w:tc>
        <w:tc>
          <w:tcPr>
            <w:tcW w:w="927"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color w:val="0000FF"/>
                <w:kern w:val="2"/>
                <w:sz w:val="21"/>
                <w:szCs w:val="21"/>
                <w:lang w:eastAsia="zh-CN"/>
              </w:rPr>
            </w:pPr>
            <w:r>
              <w:rPr>
                <w:rFonts w:ascii="宋体" w:eastAsia="宋体" w:hAnsi="宋体" w:cs="宋体" w:hint="eastAsia"/>
                <w:kern w:val="2"/>
                <w:sz w:val="21"/>
                <w:szCs w:val="21"/>
                <w:lang w:eastAsia="zh-CN"/>
              </w:rPr>
              <w:t>5</w:t>
            </w:r>
          </w:p>
        </w:tc>
        <w:tc>
          <w:tcPr>
            <w:tcW w:w="4288" w:type="dxa"/>
            <w:tcBorders>
              <w:tl2br w:val="nil"/>
              <w:tr2bl w:val="nil"/>
            </w:tcBorders>
            <w:shd w:val="clear" w:color="auto" w:fill="auto"/>
            <w:vAlign w:val="center"/>
          </w:tcPr>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（一）评审内容</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考察投标人的相关认证情况：</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①具有ISO9001质量管理体系认证证书，得20分，最高得20分；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②具有ISO14001环境管理体系认证证书，得40分，最高得40分；</w:t>
            </w:r>
          </w:p>
          <w:p>
            <w:pPr>
              <w:widowControl w:val="0"/>
              <w:jc w:val="both"/>
              <w:rPr>
                <w:rFonts w:ascii="宋体" w:eastAsia="宋体" w:hAnsi="Courier New"/>
                <w:kern w:val="2"/>
                <w:sz w:val="21"/>
                <w:szCs w:val="20"/>
                <w:lang w:eastAsia="zh-CN"/>
              </w:rPr>
            </w:pPr>
            <w:r>
              <w:rPr>
                <w:rFonts w:ascii="宋体" w:eastAsia="宋体" w:hAnsi="Courier New" w:hint="eastAsia"/>
                <w:kern w:val="2"/>
                <w:sz w:val="21"/>
                <w:szCs w:val="20"/>
                <w:lang w:eastAsia="zh-CN"/>
              </w:rPr>
              <w:t>③具有ISO13485医疗器械质量管理体系认证证书，得40分，</w:t>
            </w:r>
            <w:r>
              <w:rPr>
                <w:rFonts w:ascii="宋体" w:eastAsia="宋体" w:hAnsi="宋体" w:cs="宋体" w:hint="eastAsia"/>
                <w:kern w:val="2"/>
                <w:sz w:val="21"/>
                <w:szCs w:val="21"/>
                <w:lang w:eastAsia="zh-CN"/>
              </w:rPr>
              <w:t>最高得40分</w:t>
            </w:r>
            <w:r>
              <w:rPr>
                <w:rFonts w:ascii="宋体" w:eastAsia="宋体" w:hAnsi="Courier New" w:hint="eastAsia"/>
                <w:kern w:val="2"/>
                <w:sz w:val="21"/>
                <w:szCs w:val="20"/>
                <w:lang w:eastAsia="zh-CN"/>
              </w:rPr>
              <w:t>；</w:t>
            </w:r>
          </w:p>
          <w:p>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以上3项得分累计，满分100分。</w:t>
            </w:r>
          </w:p>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（二）评审依据</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投标人提供有效期内的认证证书扫描件以及全国认证认可信息公共服务平台（认e云）（http://cx.cnca.cn/）的认证信息截图（包括但不限于证书编号、证书状态、证书到期日期、组织名称、发证机构名称）并体现网址。</w:t>
            </w:r>
          </w:p>
          <w:p>
            <w:pPr>
              <w:widowControl w:val="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2.如未按要求提供证明材料，或所提供的证明材料未能体现上述评分内容的，视为该证明材料无效。</w:t>
            </w:r>
          </w:p>
        </w:tc>
      </w:tr>
      <w:tr>
        <w:tblPrEx>
          <w:tblW w:w="5000" w:type="pct"/>
          <w:tblCellSpacing w:w="0" w:type="dxa"/>
          <w:tblInd w:w="0" w:type="dxa"/>
          <w:tblLayout w:type="fixed"/>
          <w:tblCellMar>
            <w:top w:w="20" w:type="dxa"/>
            <w:left w:w="108" w:type="dxa"/>
            <w:bottom w:w="20" w:type="dxa"/>
            <w:right w:w="108" w:type="dxa"/>
          </w:tblCellMar>
        </w:tblPrEx>
        <w:trPr>
          <w:trHeight w:val="356"/>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601"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获奖情况</w:t>
            </w:r>
          </w:p>
        </w:tc>
        <w:tc>
          <w:tcPr>
            <w:tcW w:w="927"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p>
        </w:tc>
        <w:tc>
          <w:tcPr>
            <w:tcW w:w="4288" w:type="dxa"/>
            <w:tcBorders>
              <w:tl2br w:val="nil"/>
              <w:tr2bl w:val="nil"/>
            </w:tcBorders>
            <w:vAlign w:val="center"/>
          </w:tcPr>
          <w:p>
            <w:pPr>
              <w:widowControl w:val="0"/>
              <w:jc w:val="left"/>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（一）评分内容：</w:t>
            </w:r>
          </w:p>
          <w:p>
            <w:pPr>
              <w:widowControl w:val="0"/>
              <w:jc w:val="both"/>
              <w:rPr>
                <w:rFonts w:ascii="宋体" w:eastAsia="宋体" w:hAnsi="宋体"/>
                <w:sz w:val="20"/>
                <w:szCs w:val="20"/>
                <w:lang w:eastAsia="zh-CN"/>
              </w:rPr>
            </w:pPr>
            <w:r>
              <w:rPr>
                <w:rFonts w:ascii="宋体" w:eastAsia="宋体" w:hAnsi="宋体" w:cs="宋体" w:hint="eastAsia"/>
                <w:kern w:val="2"/>
                <w:sz w:val="21"/>
                <w:szCs w:val="21"/>
                <w:lang w:eastAsia="zh-CN"/>
              </w:rPr>
              <w:t>投标人自2015年1月1日至本项目投标截止日，获得事业单位或政府部门或党政机关颁发的信息化项目相关获奖证书的，每提供一个获奖证书得34分，累计得分，最高得100分。同一项目同时满足多个奖项要求的不可累计得分，仅按最优情况计算1次分值，同一奖项不可累计得分。</w:t>
            </w:r>
          </w:p>
          <w:p>
            <w:pPr>
              <w:widowControl w:val="0"/>
              <w:jc w:val="left"/>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（二）评分依据：</w:t>
            </w:r>
          </w:p>
          <w:p>
            <w:pPr>
              <w:widowControl w:val="0"/>
              <w:jc w:val="left"/>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1.要求提供奖项照片或获奖（荣誉）证书等证明材料作为得分依据。</w:t>
            </w:r>
          </w:p>
          <w:p>
            <w:pPr>
              <w:widowControl w:val="0"/>
              <w:autoSpaceDE w:val="0"/>
              <w:autoSpaceDN w:val="0"/>
              <w:adjustRightInd w:val="0"/>
              <w:snapToGrid w:val="0"/>
              <w:jc w:val="both"/>
              <w:textAlignment w:val="baseline"/>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2.以上资料均要求提供扫描件。</w:t>
            </w:r>
            <w:r>
              <w:rPr>
                <w:rFonts w:ascii="Calibri" w:eastAsia="宋体" w:hAnsi="Calibri" w:cstheme="minorBidi"/>
                <w:kern w:val="2"/>
                <w:sz w:val="21"/>
                <w:szCs w:val="22"/>
                <w:lang w:eastAsia="zh-CN"/>
              </w:rPr>
              <w:t>评分中出现无证明资料或专家无法凭所提供资料判断是否得分的情况，一律作不得分处理。</w:t>
            </w:r>
          </w:p>
        </w:tc>
      </w:tr>
      <w:tr>
        <w:tblPrEx>
          <w:tblW w:w="5000" w:type="pct"/>
          <w:tblCellSpacing w:w="0" w:type="dxa"/>
          <w:tblInd w:w="0" w:type="dxa"/>
          <w:tblLayout w:type="fixed"/>
          <w:tblCellMar>
            <w:top w:w="20" w:type="dxa"/>
            <w:left w:w="108" w:type="dxa"/>
            <w:bottom w:w="20" w:type="dxa"/>
            <w:right w:w="108" w:type="dxa"/>
          </w:tblCellMar>
        </w:tblPrEx>
        <w:trPr>
          <w:trHeight w:val="838"/>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We</w:t>
            </w: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601"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自主知识产权产品（创新、设计）情况</w:t>
            </w:r>
          </w:p>
        </w:tc>
        <w:tc>
          <w:tcPr>
            <w:tcW w:w="927"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p>
        </w:tc>
        <w:tc>
          <w:tcPr>
            <w:tcW w:w="4288" w:type="dxa"/>
            <w:tcBorders>
              <w:tl2br w:val="nil"/>
              <w:tr2bl w:val="nil"/>
            </w:tcBorders>
            <w:vAlign w:val="center"/>
          </w:tcPr>
          <w:p>
            <w:pPr>
              <w:widowControl w:val="0"/>
              <w:adjustRightInd w:val="0"/>
              <w:snapToGrid w:val="0"/>
              <w:jc w:val="both"/>
              <w:rPr>
                <w:rFonts w:ascii="Calibri" w:eastAsia="宋体" w:hAnsi="Calibri"/>
                <w:kern w:val="2"/>
                <w:sz w:val="21"/>
                <w:szCs w:val="22"/>
                <w:lang w:eastAsia="zh-CN"/>
              </w:rPr>
            </w:pPr>
            <w:r>
              <w:rPr>
                <w:rFonts w:ascii="宋体" w:eastAsia="宋体" w:hAnsi="宋体" w:cstheme="minorBidi" w:hint="eastAsia"/>
                <w:b/>
                <w:bCs/>
                <w:kern w:val="2"/>
                <w:sz w:val="21"/>
                <w:szCs w:val="21"/>
                <w:lang w:eastAsia="zh-CN"/>
              </w:rPr>
              <w:t>（一）评分内容</w:t>
            </w:r>
          </w:p>
          <w:p>
            <w:pPr>
              <w:widowControl w:val="0"/>
              <w:autoSpaceDE w:val="0"/>
              <w:autoSpaceDN w:val="0"/>
              <w:adjustRightInd w:val="0"/>
              <w:snapToGrid w:val="0"/>
              <w:spacing w:line="320" w:lineRule="exact"/>
              <w:jc w:val="left"/>
              <w:textAlignment w:val="baseline"/>
              <w:rPr>
                <w:rFonts w:ascii="宋体" w:eastAsia="宋体" w:hAnsi="宋体"/>
                <w:sz w:val="20"/>
                <w:szCs w:val="20"/>
                <w:lang w:eastAsia="zh-CN"/>
              </w:rPr>
            </w:pPr>
            <w:r>
              <w:rPr>
                <w:rFonts w:ascii="宋体" w:eastAsia="宋体" w:hAnsi="宋体" w:cs="宋体" w:hint="eastAsia"/>
                <w:sz w:val="21"/>
                <w:szCs w:val="21"/>
                <w:lang w:eastAsia="zh-CN"/>
              </w:rPr>
              <w:t>考察投标人自主知识产权情况：</w:t>
            </w:r>
          </w:p>
          <w:p>
            <w:pPr>
              <w:widowControl w:val="0"/>
              <w:numPr>
                <w:ilvl w:val="0"/>
                <w:numId w:val="1"/>
              </w:numPr>
              <w:tabs>
                <w:tab w:val="left" w:pos="312"/>
              </w:tabs>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具有医学三维模型重建服务类软件著作权证书，得15分；</w:t>
            </w:r>
          </w:p>
          <w:p>
            <w:pPr>
              <w:widowControl w:val="0"/>
              <w:numPr>
                <w:ilvl w:val="0"/>
                <w:numId w:val="1"/>
              </w:numPr>
              <w:tabs>
                <w:tab w:val="left" w:pos="312"/>
              </w:tabs>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具有医学影像存储与传输系统类软件著作权证书，得15分；</w:t>
            </w:r>
          </w:p>
          <w:p>
            <w:pPr>
              <w:widowControl w:val="0"/>
              <w:numPr>
                <w:ilvl w:val="0"/>
                <w:numId w:val="1"/>
              </w:numPr>
              <w:tabs>
                <w:tab w:val="left" w:pos="312"/>
              </w:tabs>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具有腔镜影像与三维融合类软件著作权证书，得20分；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4.具有医学影像支气管分割方法相关专利证书（不含外观设计专利），得15分；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5.提供医学影像肺动静脉提取方法相关专利证书</w:t>
            </w:r>
            <w:r>
              <w:rPr>
                <w:rFonts w:ascii="Calibri" w:eastAsia="宋体" w:hAnsi="Calibri" w:cstheme="minorBidi" w:hint="eastAsia"/>
                <w:kern w:val="2"/>
                <w:sz w:val="21"/>
                <w:szCs w:val="22"/>
                <w:lang w:eastAsia="zh-CN"/>
              </w:rPr>
              <w:t>（不含外观设计专利）</w:t>
            </w:r>
            <w:r>
              <w:rPr>
                <w:rFonts w:ascii="宋体" w:eastAsia="宋体" w:hAnsi="宋体" w:cs="宋体" w:hint="eastAsia"/>
                <w:kern w:val="2"/>
                <w:sz w:val="21"/>
                <w:szCs w:val="21"/>
                <w:lang w:eastAsia="zh-CN"/>
              </w:rPr>
              <w:t>，得25分；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6.提供外科学、呼吸系统疾病、消化系统疾病领域核心期刊论文中作者单位体现投标人名称或发布作者有投标人成员的文章2篇，得10分，只提供1篇不得分；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注：上述1-6项证书或文章的名称如不完全一致，但实际功能相同或同等意义功能表述相同的亦可认为符合相关证书要求。</w:t>
            </w:r>
          </w:p>
          <w:p>
            <w:pPr>
              <w:widowControl w:val="0"/>
              <w:jc w:val="both"/>
              <w:rPr>
                <w:rFonts w:ascii="宋体" w:eastAsia="宋体" w:hAnsi="宋体" w:cs="宋体" w:hint="eastAsia"/>
                <w:kern w:val="2"/>
                <w:sz w:val="21"/>
                <w:szCs w:val="21"/>
                <w:lang w:eastAsia="zh-CN"/>
              </w:rPr>
            </w:pPr>
          </w:p>
          <w:p>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注：以上6项累计得分，最高得100分。如同一个证书同时满足多项要求的，不得重复计分，以得分最优情况计算1次分值。</w:t>
            </w:r>
          </w:p>
          <w:p>
            <w:pPr>
              <w:widowControl w:val="0"/>
              <w:jc w:val="both"/>
              <w:rPr>
                <w:rFonts w:ascii="宋体" w:eastAsia="宋体" w:hAnsi="宋体" w:cs="宋体"/>
                <w:b/>
                <w:bCs/>
                <w:kern w:val="2"/>
                <w:sz w:val="21"/>
                <w:szCs w:val="21"/>
                <w:lang w:eastAsia="zh-CN"/>
              </w:rPr>
            </w:pPr>
          </w:p>
          <w:p>
            <w:pPr>
              <w:widowControl w:val="0"/>
              <w:spacing w:line="240" w:lineRule="exact"/>
              <w:jc w:val="left"/>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（二）评分依据:</w:t>
            </w:r>
          </w:p>
          <w:p>
            <w:pPr>
              <w:widowControl w:val="0"/>
              <w:spacing w:line="240" w:lineRule="exact"/>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1.关于1-5项的</w:t>
            </w:r>
            <w:r>
              <w:rPr>
                <w:rFonts w:ascii="宋体" w:eastAsia="宋体" w:hAnsi="宋体" w:cs="宋体" w:hint="eastAsia"/>
                <w:kern w:val="2"/>
                <w:sz w:val="21"/>
                <w:szCs w:val="21"/>
                <w:lang w:eastAsia="zh-CN"/>
              </w:rPr>
              <w:t>软件著作权证书及专利证书，</w:t>
            </w:r>
            <w:r>
              <w:rPr>
                <w:rFonts w:ascii="宋体" w:eastAsia="宋体" w:hAnsi="宋体" w:cstheme="minorBidi" w:hint="eastAsia"/>
                <w:kern w:val="2"/>
                <w:sz w:val="21"/>
                <w:szCs w:val="21"/>
                <w:lang w:eastAsia="zh-CN"/>
              </w:rPr>
              <w:t>要求提供有效的证书扫描件证明材料作为得分依据。</w:t>
            </w:r>
          </w:p>
          <w:p>
            <w:pPr>
              <w:widowControl w:val="0"/>
              <w:spacing w:line="240" w:lineRule="exact"/>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2.关于第6项的文章，要求提供文章扫描件作为证明材料，如作者单位未体现投标人信息，但有</w:t>
            </w:r>
            <w:r>
              <w:rPr>
                <w:rFonts w:ascii="宋体" w:eastAsia="宋体" w:hAnsi="宋体" w:cs="宋体" w:hint="eastAsia"/>
                <w:kern w:val="2"/>
                <w:sz w:val="21"/>
                <w:szCs w:val="21"/>
                <w:lang w:eastAsia="zh-CN"/>
              </w:rPr>
              <w:t>发布作者有投标人成员的，还需同时提供投标人为该人员缴交的近三个月任意一个月（具体指投标截止日所在月的上一个月起倒算）社保缴交证明材料（证明资料可为社保收缴部门盖章证明资料、社保窗口打印资料或社保官网截图）。如社保材料因社保部门原因暂时无法取得，则可以往前顺延一个月。如投标人注册成立时间不足1个月的，可提供承诺函证明拟投入的项目负责人为其自有员工（格式自拟），否则投入的该人员作不得分处理。</w:t>
            </w:r>
          </w:p>
          <w:p>
            <w:pPr>
              <w:widowControl w:val="0"/>
              <w:adjustRightInd w:val="0"/>
              <w:snapToGrid w:val="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2.如未按要求提供证明材料，或所提供的证明材料未能体现上述评分内容的，视为该证明材料无效，一律作不得分处理。</w:t>
            </w:r>
          </w:p>
        </w:tc>
      </w:tr>
      <w:tr>
        <w:tblPrEx>
          <w:tblW w:w="5000" w:type="pct"/>
          <w:tblCellSpacing w:w="0" w:type="dxa"/>
          <w:tblInd w:w="0" w:type="dxa"/>
          <w:tblLayout w:type="fixed"/>
          <w:tblCellMar>
            <w:top w:w="20" w:type="dxa"/>
            <w:left w:w="108" w:type="dxa"/>
            <w:bottom w:w="20" w:type="dxa"/>
            <w:right w:w="108" w:type="dxa"/>
          </w:tblCellMar>
        </w:tblPrEx>
        <w:trPr>
          <w:trHeight w:val="315"/>
          <w:tblCellSpacing w:w="0" w:type="dxa"/>
        </w:trPr>
        <w:tc>
          <w:tcPr>
            <w:tcW w:w="685" w:type="dxa"/>
            <w:vMerge w:val="restart"/>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4</w:t>
            </w:r>
          </w:p>
        </w:tc>
        <w:tc>
          <w:tcPr>
            <w:tcW w:w="4076" w:type="dxa"/>
            <w:gridSpan w:val="3"/>
            <w:tcBorders>
              <w:tl2br w:val="nil"/>
              <w:tr2bl w:val="nil"/>
            </w:tcBorders>
            <w:vAlign w:val="center"/>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诚信情况</w:t>
            </w:r>
          </w:p>
        </w:tc>
        <w:tc>
          <w:tcPr>
            <w:tcW w:w="4288" w:type="dxa"/>
            <w:tcBorders>
              <w:tl2br w:val="nil"/>
              <w:tr2bl w:val="nil"/>
            </w:tcBorders>
          </w:tcPr>
          <w:p>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364" w:type="dxa"/>
            <w:gridSpan w:val="4"/>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shd w:val="clear" w:color="auto" w:fill="E6EFFA"/>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2601"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927"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4288" w:type="dxa"/>
            <w:tcBorders>
              <w:tl2br w:val="nil"/>
              <w:tr2bl w:val="nil"/>
            </w:tcBorders>
            <w:shd w:val="clear" w:color="auto" w:fill="E6EFFA"/>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48"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601"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诚信情况</w:t>
            </w:r>
          </w:p>
        </w:tc>
        <w:tc>
          <w:tcPr>
            <w:tcW w:w="927" w:type="dxa"/>
            <w:tcBorders>
              <w:tl2br w:val="nil"/>
              <w:tr2bl w:val="nil"/>
            </w:tcBorders>
            <w:vAlign w:val="center"/>
          </w:tcPr>
          <w:p>
            <w:pPr>
              <w:widowControl w:val="0"/>
              <w:wordWrap w:val="0"/>
              <w:adjustRightInd w:val="0"/>
              <w:snapToGrid w:val="0"/>
              <w:spacing w:line="32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4288" w:type="dxa"/>
            <w:tcBorders>
              <w:tl2br w:val="nil"/>
              <w:tr2bl w:val="nil"/>
            </w:tcBorders>
          </w:tcPr>
          <w:p>
            <w:pPr>
              <w:widowControl w:val="0"/>
              <w:wordWrap w:val="0"/>
              <w:spacing w:after="1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widowControl w:val="0"/>
              <w:wordWrap w:val="0"/>
              <w:adjustRightInd w:val="0"/>
              <w:snapToGrid w:val="0"/>
              <w:spacing w:line="320" w:lineRule="exact"/>
              <w:jc w:val="both"/>
              <w:rPr>
                <w:rFonts w:ascii="宋体" w:eastAsia="宋体" w:hAnsi="宋体" w:cs="宋体"/>
                <w:color w:val="FF0000"/>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5" w:type="dxa"/>
            <w:vMerge/>
            <w:tcBorders>
              <w:tl2br w:val="nil"/>
              <w:tr2bl w:val="nil"/>
            </w:tcBorders>
            <w:vAlign w:val="center"/>
          </w:tcPr>
          <w:p>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364" w:type="dxa"/>
            <w:gridSpan w:val="4"/>
            <w:tcBorders>
              <w:tl2br w:val="nil"/>
              <w:tr2bl w:val="nil"/>
            </w:tcBorders>
          </w:tcPr>
          <w:p>
            <w:pPr>
              <w:widowControl w:val="0"/>
              <w:wordWrap w:val="0"/>
              <w:adjustRightInd w:val="0"/>
              <w:snapToGrid w:val="0"/>
              <w:spacing w:line="320" w:lineRule="exact"/>
              <w:jc w:val="both"/>
              <w:rPr>
                <w:rFonts w:ascii="宋体" w:eastAsia="宋体" w:hAnsi="宋体" w:cs="宋体"/>
                <w:kern w:val="2"/>
                <w:sz w:val="21"/>
                <w:szCs w:val="21"/>
                <w:lang w:eastAsia="zh-CN"/>
              </w:rPr>
            </w:pPr>
          </w:p>
        </w:tc>
      </w:tr>
    </w:tbl>
    <w:p>
      <w:pPr>
        <w:widowControl w:val="0"/>
        <w:jc w:val="both"/>
        <w:rPr>
          <w:rFonts w:eastAsia="宋体"/>
          <w:b/>
          <w:kern w:val="2"/>
          <w:sz w:val="120"/>
          <w:szCs w:val="120"/>
          <w:lang w:eastAsia="zh-CN"/>
        </w:rPr>
      </w:pPr>
      <w:r>
        <w:rPr>
          <w:rFonts w:eastAsia="宋体" w:hint="eastAsia"/>
          <w:b/>
          <w:kern w:val="2"/>
          <w:sz w:val="120"/>
          <w:szCs w:val="120"/>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spacing w:line="276" w:lineRule="auto"/>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spacing w:line="276" w:lineRule="auto"/>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spacing w:line="276" w:lineRule="auto"/>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spacing w:line="276" w:lineRule="auto"/>
        <w:jc w:val="center"/>
        <w:rPr>
          <w:rFonts w:eastAsia="宋体"/>
          <w:b/>
          <w:kern w:val="2"/>
          <w:sz w:val="44"/>
          <w:szCs w:val="44"/>
          <w:lang w:eastAsia="zh-CN"/>
        </w:rPr>
      </w:pPr>
      <w:bookmarkStart w:id="0" w:name="_Hlk71465316"/>
      <w:r>
        <w:rPr>
          <w:rFonts w:eastAsia="宋体" w:hint="eastAsia"/>
          <w:b/>
          <w:kern w:val="2"/>
          <w:sz w:val="44"/>
          <w:szCs w:val="44"/>
          <w:lang w:eastAsia="zh-CN"/>
        </w:rPr>
        <w:t>深圳公共资源交易中心</w:t>
      </w:r>
    </w:p>
    <w:p>
      <w:pPr>
        <w:widowControl w:val="0"/>
        <w:spacing w:line="276" w:lineRule="auto"/>
        <w:jc w:val="center"/>
        <w:rPr>
          <w:rFonts w:eastAsia="宋体"/>
          <w:kern w:val="2"/>
          <w:sz w:val="44"/>
          <w:szCs w:val="44"/>
          <w:lang w:eastAsia="zh-CN"/>
        </w:rPr>
      </w:pPr>
      <w:r>
        <w:rPr>
          <w:rFonts w:eastAsia="宋体" w:hint="eastAsia"/>
          <w:b/>
          <w:kern w:val="2"/>
          <w:sz w:val="44"/>
          <w:szCs w:val="44"/>
          <w:lang w:eastAsia="zh-CN"/>
        </w:rPr>
        <w:t>（2025年）</w:t>
      </w:r>
      <w:bookmarkEnd w:id="0"/>
    </w:p>
    <w:p>
      <w:pPr>
        <w:widowControl w:val="0"/>
        <w:ind w:firstLine="3150" w:firstLineChars="1500"/>
        <w:jc w:val="both"/>
        <w:rPr>
          <w:rFonts w:eastAsia="宋体"/>
          <w:kern w:val="2"/>
          <w:sz w:val="21"/>
          <w:lang w:eastAsia="zh-CN"/>
        </w:rPr>
      </w:pPr>
      <w:r>
        <w:rPr>
          <w:rFonts w:eastAsia="宋体" w:hint="eastAsia"/>
          <w:kern w:val="2"/>
          <w:sz w:val="21"/>
          <w:lang w:eastAsia="zh-CN"/>
        </w:rPr>
        <w:br w:type="page"/>
      </w:r>
    </w:p>
    <w:p>
      <w:pPr>
        <w:widowControl w:val="0"/>
        <w:adjustRightInd w:val="0"/>
        <w:spacing w:before="260" w:after="260"/>
        <w:jc w:val="center"/>
        <w:textAlignment w:val="baseline"/>
        <w:outlineLvl w:val="1"/>
        <w:rPr>
          <w:rFonts w:ascii="宋体" w:eastAsia="宋体" w:hAnsi="宋体" w:cs="宋体"/>
          <w:color w:val="FF0000"/>
          <w:sz w:val="28"/>
          <w:szCs w:val="28"/>
          <w:lang w:eastAsia="zh-CN"/>
        </w:rPr>
      </w:pPr>
      <w:r>
        <w:rPr>
          <w:rFonts w:ascii="宋体" w:eastAsia="宋体" w:hAnsi="宋体" w:cs="宋体" w:hint="eastAsia"/>
          <w:b/>
          <w:bCs/>
          <w:color w:val="FF0000"/>
          <w:sz w:val="28"/>
          <w:szCs w:val="28"/>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一、</w:t>
      </w:r>
      <w:r>
        <w:rPr>
          <w:rFonts w:ascii="宋体" w:eastAsia="宋体" w:hAnsi="宋体" w:cs="宋体" w:hint="eastAsia"/>
          <w:b/>
          <w:bCs/>
          <w:color w:val="FF0000"/>
          <w:kern w:val="2"/>
          <w:sz w:val="21"/>
          <w:szCs w:val="21"/>
          <w:lang w:eastAsia="zh-CN"/>
        </w:rPr>
        <w:t>《深圳经济特区政府采购条例》第五十七条</w:t>
      </w:r>
      <w:r>
        <w:rPr>
          <w:rFonts w:ascii="宋体" w:eastAsia="宋体" w:hAnsi="宋体" w:cs="宋体" w:hint="eastAsia"/>
          <w:color w:val="FF0000"/>
          <w:kern w:val="2"/>
          <w:sz w:val="21"/>
          <w:szCs w:val="21"/>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（一）在采购活动中应当回避而未回避的；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（二）未按本条例规定签订、履行采购合同，造成严重后果的；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（三）隐瞒真实情况，提供虚假资料的；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（四）以非法手段排斥其他供应商参与竞争的；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（五）与其他采购参加人串通投标的；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（六）恶意投诉的；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（七）向采购项目相关人行贿或者提供其他不当利益的；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（八）阻碍、抗拒主管部门监督检查的；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（九）其他违反本条例规定的行为。</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b/>
          <w:bCs/>
          <w:color w:val="FF0000"/>
          <w:kern w:val="2"/>
          <w:sz w:val="21"/>
          <w:szCs w:val="21"/>
          <w:lang w:eastAsia="zh-CN"/>
        </w:rPr>
        <w:t xml:space="preserve">二、《深圳经济特区政府采购条例实施细则》第七十五条 </w:t>
      </w:r>
      <w:r>
        <w:rPr>
          <w:rFonts w:ascii="宋体" w:eastAsia="宋体" w:hAnsi="宋体" w:cs="宋体" w:hint="eastAsia"/>
          <w:color w:val="FF0000"/>
          <w:kern w:val="2"/>
          <w:sz w:val="21"/>
          <w:szCs w:val="21"/>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b/>
          <w:bCs/>
          <w:color w:val="FF0000"/>
          <w:kern w:val="2"/>
          <w:sz w:val="21"/>
          <w:szCs w:val="21"/>
          <w:lang w:eastAsia="zh-CN"/>
        </w:rPr>
        <w:t xml:space="preserve">三、《深圳经济特区政府采购条例实施细则》第七十七条 </w:t>
      </w:r>
      <w:r>
        <w:rPr>
          <w:rFonts w:ascii="宋体" w:eastAsia="宋体" w:hAnsi="宋体" w:cs="宋体" w:hint="eastAsia"/>
          <w:color w:val="FF0000"/>
          <w:kern w:val="2"/>
          <w:sz w:val="21"/>
          <w:szCs w:val="21"/>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四、请投标供应商阅读《政府采购违法行为风险知悉确认书》（内容详见“投标文件正文”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Cs/>
          <w:color w:val="FF0000"/>
          <w:kern w:val="2"/>
          <w:sz w:val="21"/>
          <w:szCs w:val="21"/>
          <w:lang w:eastAsia="zh-CN"/>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widowControl w:val="0"/>
        <w:spacing w:line="360" w:lineRule="auto"/>
        <w:jc w:val="both"/>
        <w:rPr>
          <w:rFonts w:eastAsia="宋体"/>
          <w:kern w:val="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spacing w:before="340" w:after="330" w:line="360" w:lineRule="auto"/>
        <w:jc w:val="center"/>
        <w:outlineLvl w:val="0"/>
        <w:rPr>
          <w:rFonts w:ascii="宋体" w:eastAsia="黑体" w:hAnsi="宋体"/>
          <w:kern w:val="44"/>
          <w:sz w:val="21"/>
          <w:szCs w:val="44"/>
          <w:lang w:eastAsia="zh-CN"/>
        </w:rPr>
      </w:pPr>
      <w:r>
        <w:rPr>
          <w:rFonts w:ascii="宋体" w:eastAsia="黑体" w:hAnsi="宋体" w:cstheme="minorBidi" w:hint="eastAsia"/>
          <w:kern w:val="44"/>
          <w:sz w:val="21"/>
          <w:szCs w:val="44"/>
          <w:lang w:eastAsia="zh-CN"/>
        </w:rPr>
        <w:t>目   录</w:t>
      </w: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第一册  专用条款</w:t>
      </w:r>
    </w:p>
    <w:p>
      <w:pPr>
        <w:widowControl w:val="0"/>
        <w:ind w:firstLine="960" w:firstLineChars="400"/>
        <w:jc w:val="both"/>
        <w:rPr>
          <w:rFonts w:ascii="Calibri" w:eastAsia="宋体" w:hAnsi="Calibri"/>
          <w:kern w:val="2"/>
          <w:szCs w:val="22"/>
          <w:lang w:eastAsia="zh-CN"/>
        </w:rPr>
      </w:pPr>
      <w:r>
        <w:rPr>
          <w:rFonts w:ascii="Calibri" w:eastAsia="宋体" w:hAnsi="Calibri" w:cstheme="minorBidi" w:hint="eastAsia"/>
          <w:kern w:val="2"/>
          <w:szCs w:val="2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第二章  </w:t>
      </w:r>
      <w:bookmarkStart w:id="1" w:name="_Hlk71994379"/>
      <w:r>
        <w:rPr>
          <w:rFonts w:ascii="宋体" w:eastAsia="宋体" w:hAnsi="宋体" w:cstheme="minorBidi" w:hint="eastAsia"/>
          <w:kern w:val="2"/>
          <w:sz w:val="21"/>
          <w:szCs w:val="21"/>
          <w:lang w:eastAsia="zh-CN"/>
        </w:rPr>
        <w:t>对通用条款的补充内容及其他关键信息</w:t>
      </w:r>
      <w:bookmarkEnd w:id="1"/>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1050" w:firstLineChars="500"/>
        <w:jc w:val="both"/>
        <w:outlineLvl w:val="0"/>
        <w:rPr>
          <w:rFonts w:ascii="Calibri" w:eastAsia="宋体" w:hAnsi="Calibri"/>
          <w:b/>
          <w:kern w:val="2"/>
          <w:szCs w:val="22"/>
          <w:lang w:eastAsia="zh-CN"/>
        </w:rPr>
      </w:pPr>
      <w:r>
        <w:rPr>
          <w:rFonts w:ascii="宋体" w:eastAsia="宋体" w:hAnsi="宋体" w:cstheme="minorBidi" w:hint="eastAsia"/>
          <w:kern w:val="2"/>
          <w:sz w:val="21"/>
          <w:szCs w:val="21"/>
          <w:lang w:eastAsia="zh-CN"/>
        </w:rPr>
        <w:t>第十一章  质疑处理</w:t>
      </w:r>
    </w:p>
    <w:p>
      <w:pPr>
        <w:widowControl w:val="0"/>
        <w:adjustRightInd w:val="0"/>
        <w:snapToGrid w:val="0"/>
        <w:spacing w:line="360" w:lineRule="auto"/>
        <w:ind w:firstLine="420" w:firstLineChars="200"/>
        <w:jc w:val="left"/>
        <w:rPr>
          <w:rFonts w:ascii="宋体" w:eastAsia="宋体" w:hAnsi="宋体"/>
          <w:kern w:val="2"/>
          <w:sz w:val="21"/>
          <w:szCs w:val="21"/>
          <w:lang w:eastAsia="zh-CN"/>
        </w:rPr>
      </w:pPr>
    </w:p>
    <w:p>
      <w:pPr>
        <w:keepNext/>
        <w:keepLines/>
        <w:widowControl w:val="0"/>
        <w:spacing w:before="340" w:after="330" w:line="360" w:lineRule="auto"/>
        <w:jc w:val="center"/>
        <w:outlineLvl w:val="0"/>
        <w:rPr>
          <w:rFonts w:ascii="宋体" w:eastAsia="黑体" w:hAnsi="宋体"/>
          <w:b/>
          <w:bCs/>
          <w:kern w:val="44"/>
          <w:szCs w:val="44"/>
          <w:lang w:eastAsia="zh-CN"/>
        </w:rPr>
      </w:pPr>
      <w:r>
        <w:rPr>
          <w:rFonts w:ascii="宋体" w:eastAsia="黑体" w:hAnsi="宋体"/>
          <w:b/>
          <w:bCs/>
          <w:kern w:val="44"/>
          <w:sz w:val="28"/>
          <w:szCs w:val="44"/>
          <w:lang w:eastAsia="zh-CN"/>
        </w:rPr>
        <w:br w:type="page"/>
      </w:r>
      <w:bookmarkStart w:id="2" w:name="合同格式"/>
      <w:bookmarkEnd w:id="2"/>
      <w:bookmarkStart w:id="3" w:name="bt开标一览表"/>
      <w:bookmarkEnd w:id="3"/>
      <w:bookmarkStart w:id="4" w:name="bt说明"/>
      <w:bookmarkEnd w:id="4"/>
      <w:bookmarkStart w:id="5" w:name="bt商务标投标文件格式"/>
      <w:bookmarkEnd w:id="5"/>
      <w:bookmarkStart w:id="6" w:name="bt投标报价汇总表"/>
      <w:bookmarkEnd w:id="6"/>
      <w:bookmarkStart w:id="7" w:name="bt投标人情况介绍"/>
      <w:bookmarkEnd w:id="7"/>
      <w:bookmarkStart w:id="8" w:name="bt合同条款及格式"/>
      <w:bookmarkEnd w:id="8"/>
      <w:bookmarkStart w:id="9" w:name="bt技术标投标文件格式"/>
      <w:bookmarkEnd w:id="9"/>
      <w:bookmarkStart w:id="10" w:name="bt投标函"/>
      <w:bookmarkEnd w:id="10"/>
      <w:bookmarkStart w:id="11" w:name="bt合同条款"/>
      <w:bookmarkEnd w:id="11"/>
      <w:bookmarkStart w:id="12" w:name="bt投标人须知"/>
      <w:bookmarkEnd w:id="12"/>
      <w:bookmarkStart w:id="13" w:name="bt本工程承诺书"/>
      <w:bookmarkEnd w:id="13"/>
      <w:bookmarkStart w:id="14" w:name="bt合同格式"/>
      <w:bookmarkEnd w:id="14"/>
      <w:bookmarkStart w:id="15" w:name="bt投标文件签署授权委托书"/>
      <w:bookmarkEnd w:id="15"/>
      <w:bookmarkStart w:id="16" w:name="bt其他资料2"/>
      <w:bookmarkEnd w:id="16"/>
      <w:bookmarkStart w:id="17" w:name="bt其他资料由投标人自定"/>
      <w:bookmarkEnd w:id="17"/>
      <w:bookmarkStart w:id="18" w:name="bt项目管理班子配备情况"/>
      <w:bookmarkEnd w:id="18"/>
      <w:r>
        <w:rPr>
          <w:rFonts w:ascii="宋体" w:eastAsia="黑体" w:hAnsi="宋体" w:hint="eastAsia"/>
          <w:b/>
          <w:bCs/>
          <w:kern w:val="44"/>
          <w:sz w:val="28"/>
          <w:szCs w:val="44"/>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1.</w:t>
      </w:r>
      <w:bookmarkStart w:id="19" w:name="_Hlk72162904"/>
      <w:r>
        <w:rPr>
          <w:rFonts w:ascii="Calibri" w:eastAsia="宋体" w:hAnsi="Calibri" w:cstheme="minorBidi" w:hint="eastAsia"/>
          <w:kern w:val="2"/>
          <w:sz w:val="21"/>
          <w:szCs w:val="22"/>
          <w:lang w:eastAsia="zh-CN"/>
        </w:rP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Calibri" w:eastAsia="宋体" w:hAnsi="Calibri" w:cstheme="minorBidi" w:hint="eastAsia"/>
          <w:kern w:val="2"/>
          <w:sz w:val="21"/>
          <w:szCs w:val="22"/>
          <w:lang w:eastAsia="zh-CN"/>
        </w:rPr>
        <w:t>；</w:t>
      </w:r>
      <w:bookmarkEnd w:id="19"/>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本项目不接受联合体投标，不接受投标人选用进口产品参与投标</w:t>
      </w:r>
      <w:r>
        <w:rPr>
          <w:rFonts w:ascii="宋体" w:eastAsia="宋体" w:hAnsi="宋体" w:cs="宋体" w:hint="eastAsia"/>
          <w:sz w:val="21"/>
          <w:szCs w:val="21"/>
          <w:lang w:eastAsia="zh-CN"/>
        </w:rPr>
        <w:t>；</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3.参与本项目政府采购活动时不存在被有关部门禁止参与政府采购活动且在有效期内的情况（由供应商在《政府采购投标及履约承诺函》中作出声明）；</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4.具备《中华人民共和国政府采购法》第二十二条第一款的条件（由供应商在《政府采购投标及履约承诺函》中作出声明）；</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5.未被列入失信被执行人、重大税收违法案件当事人名单、政府采购严重违法失信行为记录名单（由供应商在《政府采购投标及履约承诺函》中作出声明）；</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lang w:eastAsia="zh-CN"/>
        </w:rPr>
        <w:t>不存在《深圳市财政局政府采购供应商信用信息管理办法》（深财规〔2023〕3号）列明的严重违法失信行为（由供应商在《政府采购投标及履约承诺函》中作出声明）；</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7.为采购项目提供整体设计、规范编制或者项目管理、监理、检测等服务的供应商，不得再参加该采购项目的其他采购活动（由供应商在《政府采购投标及履约承诺函》中作出声明）；</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8.</w:t>
      </w:r>
      <w:r>
        <w:rPr>
          <w:rFonts w:ascii="宋体" w:eastAsia="宋体" w:hAnsi="宋体" w:cs="宋体" w:hint="eastAsia"/>
          <w:sz w:val="21"/>
          <w:szCs w:val="21"/>
          <w:lang w:eastAsia="zh-CN"/>
        </w:rPr>
        <w:t>本项目是（否）专门面向中小企业采购：否；</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投标文件组成要求及格式-《供应商基本情况表》，如供应商存在未提供《供应商基本情况表》或所提供《供应商基本情况表》不符合采购文件要求的情形，按资格审查不通过处理）；</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10.</w:t>
      </w:r>
      <w:r>
        <w:rPr>
          <w:rFonts w:ascii="宋体" w:eastAsia="宋体" w:hAnsi="宋体" w:cs="宋体" w:hint="eastAsia"/>
          <w:color w:val="FF0000"/>
          <w:kern w:val="2"/>
          <w:sz w:val="21"/>
          <w:lang w:eastAsia="zh-CN"/>
        </w:rPr>
        <w:t>（1）投标人若为生产企业，所投产品为第二、三类医疗器械的，提供监督管理部门颁发的涵盖所投医疗器械的《医疗器械生产许可证》（有效期内）扫描件；（2）投标人若为经营企业，所投产品为第二类医疗器械的，提供监督管理部门颁发的涵盖所投医疗器械的《医疗器械经营备案凭证》（有效期内）扫描件；所投产品为第三类医疗器械的，提供监督管理部门颁发的涵盖所投医疗器械的《医疗器械经营许可证》（有效期内）扫描件。</w:t>
      </w:r>
    </w:p>
    <w:p>
      <w:pPr>
        <w:widowControl w:val="0"/>
        <w:spacing w:line="276" w:lineRule="auto"/>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注：</w:t>
      </w:r>
      <w:r>
        <w:rPr>
          <w:rFonts w:ascii="宋体" w:eastAsia="宋体" w:hAnsi="宋体" w:cs="宋体" w:hint="eastAsia"/>
          <w:sz w:val="21"/>
          <w:szCs w:val="21"/>
          <w:lang w:eastAsia="zh-CN"/>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r>
        <w:rPr>
          <w:rFonts w:ascii="宋体" w:eastAsia="宋体" w:hAnsi="宋体" w:cs="宋体" w:hint="eastAsia"/>
          <w:sz w:val="21"/>
          <w:szCs w:val="21"/>
          <w:lang w:eastAsia="zh-CN"/>
        </w:rPr>
        <w:t>（2）供应商</w:t>
      </w:r>
      <w:bookmarkStart w:id="20" w:name="_Hlk72353022"/>
      <w:r>
        <w:rPr>
          <w:rFonts w:ascii="宋体" w:eastAsia="宋体" w:hAnsi="宋体" w:cs="宋体" w:hint="eastAsia"/>
          <w:sz w:val="21"/>
          <w:szCs w:val="21"/>
          <w:lang w:eastAsia="zh-CN"/>
        </w:rPr>
        <w:t>投标（上传投标文件）</w:t>
      </w:r>
      <w:bookmarkEnd w:id="20"/>
      <w:r>
        <w:rPr>
          <w:rFonts w:ascii="宋体" w:eastAsia="宋体" w:hAnsi="宋体" w:cs="宋体" w:hint="eastAsia"/>
          <w:sz w:val="21"/>
          <w:szCs w:val="21"/>
          <w:lang w:eastAsia="zh-CN"/>
        </w:rPr>
        <w:t>必须先行办理注册手续，具体</w:t>
      </w:r>
      <w:r>
        <w:rPr>
          <w:rFonts w:ascii="宋体" w:eastAsia="宋体" w:hAnsi="宋体" w:cstheme="minorBidi" w:hint="eastAsia"/>
          <w:kern w:val="2"/>
          <w:sz w:val="21"/>
          <w:szCs w:val="22"/>
          <w:lang w:eastAsia="zh-CN"/>
        </w:rPr>
        <w:t>操作指引请按照深圳公共资源交易网/交易服务指南/政府采购/资料下载/深圳政府采购自行采购系统用户操作指引（供应商）相关内容指引办理。</w:t>
      </w:r>
    </w:p>
    <w:p>
      <w:pPr>
        <w:widowControl w:val="0"/>
        <w:jc w:val="left"/>
        <w:rPr>
          <w:rFonts w:eastAsia="宋体"/>
          <w:kern w:val="2"/>
          <w:sz w:val="21"/>
          <w:lang w:eastAsia="zh-CN"/>
        </w:rPr>
      </w:pPr>
      <w:r>
        <w:rPr>
          <w:rFonts w:ascii="宋体" w:eastAsia="宋体" w:hAnsi="宋体" w:cs="宋体" w:hint="eastAsia"/>
          <w:b/>
          <w:bCs/>
          <w:color w:val="0000FF"/>
          <w:kern w:val="2"/>
          <w:sz w:val="21"/>
          <w:szCs w:val="21"/>
          <w:lang w:eastAsia="zh-CN"/>
        </w:rPr>
        <w:t>完整公告内容详见：</w:t>
      </w:r>
      <w:r>
        <w:rPr>
          <w:rFonts w:ascii="Calibri" w:eastAsia="宋体" w:hAnsi="Calibri" w:cstheme="minorBidi" w:hint="eastAsia"/>
          <w:kern w:val="2"/>
          <w:sz w:val="22"/>
          <w:szCs w:val="18"/>
          <w:lang w:eastAsia="zh-CN"/>
        </w:rPr>
        <w:t>深圳交易集团（深圳公共资源交易中心）官网https://www.szexgrp.com/jyfw/zfcg-view.html?id=zfcg</w:t>
      </w:r>
      <w:r>
        <w:rPr>
          <w:rFonts w:eastAsia="宋体" w:hint="eastAsia"/>
          <w:kern w:val="2"/>
          <w:sz w:val="21"/>
          <w:lang w:eastAsia="zh-CN"/>
        </w:rPr>
        <w:br w:type="page"/>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20" w:beforeLines="50" w:after="120" w:afterLines="50"/>
        <w:jc w:val="center"/>
        <w:textAlignment w:val="baseline"/>
        <w:outlineLvl w:val="1"/>
        <w:rPr>
          <w:rFonts w:ascii="宋体" w:eastAsia="宋体" w:hAnsi="宋体"/>
          <w:b/>
          <w:bCs/>
          <w:sz w:val="28"/>
          <w:szCs w:val="28"/>
          <w:lang w:eastAsia="zh-CN"/>
        </w:rPr>
      </w:pPr>
      <w:bookmarkStart w:id="21" w:name="_Toc73517639"/>
      <w:bookmarkStart w:id="22" w:name="_Toc60560625"/>
      <w:bookmarkStart w:id="23" w:name="_Toc60631620"/>
      <w:bookmarkStart w:id="24" w:name="_Toc73521635"/>
      <w:bookmarkStart w:id="25" w:name="_Toc73521547"/>
      <w:bookmarkStart w:id="26" w:name="_Toc100052364"/>
      <w:bookmarkStart w:id="27" w:name="_Toc73518117"/>
      <w:bookmarkStart w:id="28" w:name="_Toc101074876"/>
      <w:r>
        <w:rPr>
          <w:rFonts w:ascii="宋体" w:eastAsia="宋体" w:hAnsi="宋体" w:hint="eastAsia"/>
          <w:b/>
          <w:bCs/>
          <w:lang w:eastAsia="zh-CN"/>
        </w:rPr>
        <w:t>一、对通用条款的补充内容</w:t>
      </w:r>
    </w:p>
    <w:bookmarkEnd w:id="21"/>
    <w:bookmarkEnd w:id="22"/>
    <w:bookmarkEnd w:id="23"/>
    <w:bookmarkEnd w:id="24"/>
    <w:bookmarkEnd w:id="25"/>
    <w:bookmarkEnd w:id="26"/>
    <w:bookmarkEnd w:id="27"/>
    <w:bookmarkEnd w:id="28"/>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061"/>
        <w:gridCol w:w="2614"/>
        <w:gridCol w:w="5403"/>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通用条款序号</w:t>
            </w:r>
          </w:p>
        </w:tc>
        <w:tc>
          <w:tcPr>
            <w:tcW w:w="2409" w:type="dxa"/>
            <w:vAlign w:val="center"/>
          </w:tcPr>
          <w:p>
            <w:pPr>
              <w:widowControl w:val="0"/>
              <w:spacing w:line="30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涉及事项</w:t>
            </w:r>
          </w:p>
        </w:tc>
        <w:tc>
          <w:tcPr>
            <w:tcW w:w="4980" w:type="dxa"/>
            <w:vAlign w:val="center"/>
          </w:tcPr>
          <w:p>
            <w:pPr>
              <w:widowControl w:val="0"/>
              <w:spacing w:line="30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spacing w:line="300" w:lineRule="exact"/>
              <w:jc w:val="center"/>
              <w:rPr>
                <w:rFonts w:ascii="宋体" w:eastAsia="宋体" w:hAnsi="宋体" w:cs="宋体"/>
                <w:color w:val="0000FF"/>
                <w:kern w:val="2"/>
                <w:sz w:val="21"/>
                <w:szCs w:val="21"/>
                <w:highlight w:val="yellow"/>
                <w:lang w:eastAsia="zh-CN"/>
              </w:rPr>
            </w:pPr>
            <w:r>
              <w:rPr>
                <w:rFonts w:ascii="Calibri" w:eastAsia="宋体" w:hAnsi="Calibri" w:cstheme="minorBidi" w:hint="eastAsia"/>
                <w:kern w:val="2"/>
                <w:sz w:val="21"/>
                <w:szCs w:val="22"/>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3.1</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采购人</w:t>
            </w:r>
          </w:p>
        </w:tc>
        <w:tc>
          <w:tcPr>
            <w:tcW w:w="4980" w:type="dxa"/>
            <w:vAlign w:val="center"/>
          </w:tcPr>
          <w:p>
            <w:pPr>
              <w:widowControl w:val="0"/>
              <w:spacing w:line="300" w:lineRule="exact"/>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深圳市南山区人民医院</w:t>
            </w:r>
          </w:p>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2"/>
                <w:lang w:eastAsia="zh-CN"/>
              </w:rPr>
              <w:t>（又名华中科技大学协和深圳医院）</w:t>
            </w:r>
          </w:p>
        </w:tc>
      </w:tr>
      <w:tr>
        <w:tblPrEx>
          <w:tblW w:w="5000" w:type="pct"/>
          <w:jc w:val="center"/>
          <w:tblLayout w:type="fixed"/>
          <w:tblCellMar>
            <w:top w:w="0" w:type="dxa"/>
            <w:left w:w="108" w:type="dxa"/>
            <w:bottom w:w="0" w:type="dxa"/>
            <w:right w:w="108" w:type="dxa"/>
          </w:tblCellMar>
        </w:tblPrEx>
        <w:trPr>
          <w:cantSplit/>
          <w:trHeight w:val="9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3.2</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政府集中采购机构</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深圳公共资源交易中心</w:t>
            </w:r>
          </w:p>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color w:val="0000FF"/>
                <w:kern w:val="2"/>
                <w:sz w:val="21"/>
                <w:szCs w:val="21"/>
                <w:lang w:eastAsia="zh-CN"/>
              </w:rPr>
              <w:t>深圳交易集团有限公司南山分公司</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575"/>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踏勘现场</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Wingdings 2" w:eastAsia="宋体" w:hAnsi="Wingdings 2" w:cs="宋体"/>
                <w:kern w:val="2"/>
                <w:sz w:val="21"/>
                <w:szCs w:val="21"/>
                <w:lang w:eastAsia="zh-CN"/>
              </w:rPr>
              <w:sym w:font="Wingdings 2" w:char="F052"/>
            </w:r>
            <w:r>
              <w:rPr>
                <w:rFonts w:ascii="宋体" w:eastAsia="宋体" w:hAnsi="宋体" w:cs="宋体" w:hint="eastAsia"/>
                <w:kern w:val="2"/>
                <w:sz w:val="21"/>
                <w:szCs w:val="21"/>
                <w:lang w:eastAsia="zh-CN"/>
              </w:rPr>
              <w:t xml:space="preserve">不组织   </w:t>
            </w:r>
            <w:r>
              <w:rPr>
                <w:rFonts w:ascii="Wingdings 2" w:eastAsia="宋体" w:hAnsi="Wingdings 2" w:cs="宋体"/>
                <w:kern w:val="2"/>
                <w:sz w:val="21"/>
                <w:szCs w:val="21"/>
                <w:lang w:eastAsia="zh-CN"/>
              </w:rPr>
              <w:sym w:font="Wingdings 2" w:char="F0A3"/>
            </w:r>
            <w:r>
              <w:rPr>
                <w:rFonts w:ascii="宋体" w:eastAsia="宋体" w:hAnsi="宋体" w:cs="宋体" w:hint="eastAsia"/>
                <w:kern w:val="2"/>
                <w:sz w:val="21"/>
                <w:szCs w:val="21"/>
                <w:lang w:eastAsia="zh-CN"/>
              </w:rPr>
              <w:t>组织</w:t>
            </w:r>
          </w:p>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具体见其他关键信息章节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标前会议</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Wingdings 2" w:eastAsia="宋体" w:hAnsi="Wingdings 2" w:cs="宋体"/>
                <w:kern w:val="2"/>
                <w:sz w:val="21"/>
                <w:szCs w:val="21"/>
                <w:lang w:eastAsia="zh-CN"/>
              </w:rPr>
              <w:sym w:font="Wingdings 2" w:char="F052"/>
            </w:r>
            <w:r>
              <w:rPr>
                <w:rFonts w:ascii="宋体" w:eastAsia="宋体" w:hAnsi="宋体" w:cs="宋体" w:hint="eastAsia"/>
                <w:kern w:val="2"/>
                <w:sz w:val="21"/>
                <w:szCs w:val="21"/>
                <w:lang w:eastAsia="zh-CN"/>
              </w:rPr>
              <w:t xml:space="preserve">不组织   </w:t>
            </w:r>
            <w:r>
              <w:rPr>
                <w:rFonts w:ascii="Wingdings 2" w:eastAsia="宋体" w:hAnsi="Wingdings 2" w:cs="宋体"/>
                <w:kern w:val="2"/>
                <w:sz w:val="21"/>
                <w:szCs w:val="21"/>
                <w:lang w:eastAsia="zh-CN"/>
              </w:rPr>
              <w:sym w:font="Wingdings 2" w:char="F0A3"/>
            </w:r>
            <w:r>
              <w:rPr>
                <w:rFonts w:ascii="宋体" w:eastAsia="宋体" w:hAnsi="宋体" w:cs="宋体" w:hint="eastAsia"/>
                <w:kern w:val="2"/>
                <w:sz w:val="21"/>
                <w:szCs w:val="21"/>
                <w:lang w:eastAsia="zh-CN"/>
              </w:rPr>
              <w:t>组织</w:t>
            </w:r>
          </w:p>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具体见其他关键信息章节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12/13</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招标文件的澄清和修改</w:t>
            </w:r>
          </w:p>
        </w:tc>
        <w:tc>
          <w:tcPr>
            <w:tcW w:w="4980" w:type="dxa"/>
            <w:vAlign w:val="center"/>
          </w:tcPr>
          <w:p>
            <w:pPr>
              <w:widowControl w:val="0"/>
              <w:spacing w:line="300" w:lineRule="exact"/>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20</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投标有效期</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22</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投标人的替代方案</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25</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投标文件的大小</w:t>
            </w:r>
          </w:p>
        </w:tc>
        <w:tc>
          <w:tcPr>
            <w:tcW w:w="4980"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514"/>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26</w:t>
            </w:r>
          </w:p>
        </w:tc>
        <w:tc>
          <w:tcPr>
            <w:tcW w:w="2409" w:type="dxa"/>
            <w:vAlign w:val="center"/>
          </w:tcPr>
          <w:p>
            <w:pPr>
              <w:widowControl w:val="0"/>
              <w:spacing w:line="300" w:lineRule="exact"/>
              <w:jc w:val="center"/>
              <w:rPr>
                <w:rFonts w:ascii="宋体" w:eastAsia="宋体" w:hAnsi="宋体" w:cs="宋体"/>
                <w:kern w:val="2"/>
                <w:sz w:val="21"/>
                <w:szCs w:val="21"/>
                <w:lang w:eastAsia="zh-CN"/>
              </w:rPr>
            </w:pPr>
            <w:bookmarkStart w:id="29" w:name="_Hlk71664860"/>
            <w:r>
              <w:rPr>
                <w:rFonts w:ascii="宋体" w:eastAsia="宋体" w:hAnsi="宋体" w:cs="宋体" w:hint="eastAsia"/>
                <w:kern w:val="2"/>
                <w:sz w:val="21"/>
                <w:szCs w:val="21"/>
                <w:lang w:eastAsia="zh-CN"/>
              </w:rPr>
              <w:t>样品、演示、方案讲解</w:t>
            </w:r>
            <w:bookmarkEnd w:id="29"/>
          </w:p>
        </w:tc>
        <w:tc>
          <w:tcPr>
            <w:tcW w:w="4980" w:type="dxa"/>
            <w:vAlign w:val="center"/>
          </w:tcPr>
          <w:p>
            <w:pPr>
              <w:widowControl w:val="0"/>
              <w:spacing w:line="300" w:lineRule="exact"/>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37</w:t>
            </w:r>
          </w:p>
        </w:tc>
        <w:tc>
          <w:tcPr>
            <w:tcW w:w="2409" w:type="dxa"/>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评审方法</w:t>
            </w:r>
          </w:p>
        </w:tc>
        <w:tc>
          <w:tcPr>
            <w:tcW w:w="4980" w:type="dxa"/>
            <w:vAlign w:val="center"/>
          </w:tcPr>
          <w:p>
            <w:pPr>
              <w:widowControl w:val="0"/>
              <w:spacing w:line="300" w:lineRule="exact"/>
              <w:jc w:val="left"/>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 最低价法</w:t>
            </w:r>
          </w:p>
          <w:p>
            <w:pPr>
              <w:widowControl w:val="0"/>
              <w:spacing w:line="300" w:lineRule="exact"/>
              <w:jc w:val="left"/>
              <w:rPr>
                <w:rFonts w:ascii="宋体" w:eastAsia="宋体" w:hAnsi="宋体" w:cs="宋体"/>
                <w:kern w:val="2"/>
                <w:sz w:val="21"/>
                <w:szCs w:val="21"/>
                <w:lang w:eastAsia="zh-CN"/>
              </w:rPr>
            </w:pPr>
            <w:r>
              <w:rPr>
                <w:rFonts w:ascii="Wingdings 2" w:eastAsia="宋体" w:hAnsi="Wingdings 2" w:cs="宋体"/>
                <w:bCs/>
                <w:kern w:val="2"/>
                <w:sz w:val="21"/>
                <w:szCs w:val="21"/>
                <w:lang w:eastAsia="zh-CN"/>
              </w:rPr>
              <w:sym w:font="Wingdings 2" w:char="F052"/>
            </w:r>
            <w:r>
              <w:rPr>
                <w:rFonts w:ascii="宋体" w:eastAsia="宋体" w:hAnsi="宋体" w:cs="宋体" w:hint="eastAsia"/>
                <w:bCs/>
                <w:kern w:val="2"/>
                <w:sz w:val="21"/>
                <w:szCs w:val="21"/>
                <w:lang w:eastAsia="zh-CN"/>
              </w:rPr>
              <w:t xml:space="preserve"> 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Merge w:val="restart"/>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38</w:t>
            </w:r>
          </w:p>
        </w:tc>
        <w:tc>
          <w:tcPr>
            <w:tcW w:w="2409" w:type="dxa"/>
            <w:vMerge w:val="restart"/>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定标方法</w:t>
            </w:r>
          </w:p>
        </w:tc>
        <w:tc>
          <w:tcPr>
            <w:tcW w:w="4980" w:type="dxa"/>
            <w:vAlign w:val="center"/>
          </w:tcPr>
          <w:p>
            <w:pPr>
              <w:widowControl w:val="0"/>
              <w:spacing w:line="300" w:lineRule="exact"/>
              <w:jc w:val="left"/>
              <w:rPr>
                <w:rFonts w:ascii="宋体" w:eastAsia="宋体" w:hAnsi="宋体" w:cs="宋体"/>
                <w:bCs/>
                <w:kern w:val="2"/>
                <w:sz w:val="21"/>
                <w:szCs w:val="21"/>
                <w:lang w:eastAsia="zh-CN"/>
              </w:rPr>
            </w:pPr>
            <w:r>
              <w:rPr>
                <w:rFonts w:ascii="Wingdings 2" w:eastAsia="宋体" w:hAnsi="Wingdings 2" w:cs="宋体"/>
                <w:bCs/>
                <w:kern w:val="2"/>
                <w:sz w:val="21"/>
                <w:szCs w:val="21"/>
                <w:lang w:eastAsia="zh-CN"/>
              </w:rPr>
              <w:sym w:font="Wingdings 2" w:char="F052"/>
            </w:r>
            <w:r>
              <w:rPr>
                <w:rFonts w:ascii="宋体" w:eastAsia="宋体" w:hAnsi="宋体" w:cs="宋体" w:hint="eastAsia"/>
                <w:bCs/>
                <w:kern w:val="2"/>
                <w:sz w:val="21"/>
                <w:szCs w:val="21"/>
                <w:lang w:eastAsia="zh-CN"/>
              </w:rPr>
              <w:t xml:space="preserve"> 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Merge/>
            <w:vAlign w:val="center"/>
          </w:tcPr>
          <w:p>
            <w:pPr>
              <w:widowControl w:val="0"/>
              <w:spacing w:line="300" w:lineRule="exact"/>
              <w:jc w:val="center"/>
              <w:rPr>
                <w:rFonts w:ascii="宋体" w:eastAsia="宋体" w:hAnsi="宋体" w:cs="宋体"/>
                <w:kern w:val="2"/>
                <w:sz w:val="21"/>
                <w:szCs w:val="21"/>
                <w:lang w:eastAsia="zh-CN"/>
              </w:rPr>
            </w:pPr>
          </w:p>
        </w:tc>
        <w:tc>
          <w:tcPr>
            <w:tcW w:w="2409" w:type="dxa"/>
            <w:vMerge/>
            <w:vAlign w:val="center"/>
          </w:tcPr>
          <w:p>
            <w:pPr>
              <w:widowControl w:val="0"/>
              <w:spacing w:line="300" w:lineRule="exact"/>
              <w:jc w:val="center"/>
              <w:rPr>
                <w:rFonts w:ascii="宋体" w:eastAsia="宋体" w:hAnsi="宋体" w:cs="宋体"/>
                <w:kern w:val="2"/>
                <w:sz w:val="21"/>
                <w:szCs w:val="21"/>
                <w:lang w:eastAsia="zh-CN"/>
              </w:rPr>
            </w:pPr>
          </w:p>
        </w:tc>
        <w:tc>
          <w:tcPr>
            <w:tcW w:w="4980" w:type="dxa"/>
            <w:vAlign w:val="center"/>
          </w:tcPr>
          <w:p>
            <w:pPr>
              <w:widowControl w:val="0"/>
              <w:spacing w:line="300" w:lineRule="exact"/>
              <w:jc w:val="left"/>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 评定分离</w:t>
            </w:r>
          </w:p>
          <w:p>
            <w:pPr>
              <w:widowControl w:val="0"/>
              <w:spacing w:line="300" w:lineRule="exact"/>
              <w:jc w:val="left"/>
              <w:rPr>
                <w:rFonts w:ascii="宋体" w:eastAsia="宋体" w:hAnsi="宋体" w:cs="宋体"/>
                <w:bCs/>
                <w:kern w:val="2"/>
                <w:sz w:val="21"/>
                <w:szCs w:val="21"/>
                <w:lang w:eastAsia="zh-CN"/>
              </w:rPr>
            </w:pPr>
            <w:r>
              <w:rPr>
                <w:rFonts w:ascii="宋体" w:eastAsia="宋体" w:hAnsi="宋体" w:cs="宋体" w:hint="eastAsia"/>
                <w:bCs/>
                <w:color w:val="000000"/>
                <w:kern w:val="2"/>
                <w:sz w:val="21"/>
                <w:szCs w:val="21"/>
                <w:lang w:eastAsia="zh-CN"/>
              </w:rPr>
              <w:t>本项目推荐的候选中标供应商进行/不进行排名，且中标（成交）结果信息公示内容仅公示候选中标供应商名单，不公示得分和排名。</w:t>
            </w:r>
          </w:p>
        </w:tc>
      </w:tr>
      <w:tr>
        <w:tblPrEx>
          <w:tblW w:w="5000" w:type="pct"/>
          <w:jc w:val="center"/>
          <w:tblLayout w:type="fixed"/>
          <w:tblCellMar>
            <w:top w:w="0" w:type="dxa"/>
            <w:left w:w="108" w:type="dxa"/>
            <w:bottom w:w="0" w:type="dxa"/>
            <w:right w:w="108" w:type="dxa"/>
          </w:tblCellMar>
        </w:tblPrEx>
        <w:trPr>
          <w:cantSplit/>
          <w:trHeight w:val="162"/>
          <w:jc w:val="center"/>
        </w:trPr>
        <w:tc>
          <w:tcPr>
            <w:tcW w:w="978" w:type="dxa"/>
            <w:vMerge w:val="restart"/>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46</w:t>
            </w:r>
          </w:p>
        </w:tc>
        <w:tc>
          <w:tcPr>
            <w:tcW w:w="2409" w:type="dxa"/>
            <w:vMerge w:val="restart"/>
            <w:vAlign w:val="center"/>
          </w:tcPr>
          <w:p>
            <w:pPr>
              <w:widowControl w:val="0"/>
              <w:spacing w:line="30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履约担保</w:t>
            </w:r>
          </w:p>
        </w:tc>
        <w:tc>
          <w:tcPr>
            <w:tcW w:w="4980" w:type="dxa"/>
            <w:tcBorders>
              <w:bottom w:val="single" w:sz="4" w:space="0" w:color="auto"/>
            </w:tcBorders>
            <w:vAlign w:val="center"/>
          </w:tcPr>
          <w:p>
            <w:pPr>
              <w:widowControl w:val="0"/>
              <w:spacing w:line="300" w:lineRule="exact"/>
              <w:jc w:val="left"/>
              <w:rPr>
                <w:rFonts w:ascii="宋体" w:eastAsia="宋体" w:hAnsi="宋体" w:cs="宋体"/>
                <w:kern w:val="2"/>
                <w:sz w:val="21"/>
                <w:szCs w:val="21"/>
                <w:lang w:eastAsia="zh-CN"/>
              </w:rPr>
            </w:pPr>
            <w:r>
              <w:rPr>
                <w:rFonts w:ascii="Wingdings 2" w:eastAsia="宋体" w:hAnsi="Wingdings 2" w:cs="宋体"/>
                <w:bCs/>
                <w:kern w:val="2"/>
                <w:sz w:val="21"/>
                <w:szCs w:val="21"/>
                <w:lang w:eastAsia="zh-CN"/>
              </w:rPr>
              <w:sym w:font="Wingdings 2" w:char="F052"/>
            </w:r>
            <w:r>
              <w:rPr>
                <w:rFonts w:ascii="宋体" w:eastAsia="宋体" w:hAnsi="宋体" w:cs="宋体" w:hint="eastAsia"/>
                <w:bCs/>
                <w:kern w:val="2"/>
                <w:sz w:val="21"/>
                <w:szCs w:val="21"/>
                <w:lang w:eastAsia="zh-CN"/>
              </w:rPr>
              <w:t xml:space="preserve"> 不需要</w:t>
            </w:r>
          </w:p>
        </w:tc>
      </w:tr>
      <w:tr>
        <w:tblPrEx>
          <w:tblW w:w="5000" w:type="pct"/>
          <w:jc w:val="center"/>
          <w:tblLayout w:type="fixed"/>
          <w:tblCellMar>
            <w:top w:w="0" w:type="dxa"/>
            <w:left w:w="108" w:type="dxa"/>
            <w:bottom w:w="0" w:type="dxa"/>
            <w:right w:w="108" w:type="dxa"/>
          </w:tblCellMar>
        </w:tblPrEx>
        <w:trPr>
          <w:cantSplit/>
          <w:trHeight w:val="1980"/>
          <w:jc w:val="center"/>
        </w:trPr>
        <w:tc>
          <w:tcPr>
            <w:tcW w:w="978" w:type="dxa"/>
            <w:vMerge/>
            <w:vAlign w:val="center"/>
          </w:tcPr>
          <w:p>
            <w:pPr>
              <w:widowControl w:val="0"/>
              <w:spacing w:line="300" w:lineRule="exact"/>
              <w:jc w:val="center"/>
              <w:rPr>
                <w:rFonts w:ascii="宋体" w:eastAsia="宋体" w:hAnsi="宋体" w:cs="宋体"/>
                <w:kern w:val="2"/>
                <w:sz w:val="21"/>
                <w:szCs w:val="21"/>
                <w:lang w:eastAsia="zh-CN"/>
              </w:rPr>
            </w:pPr>
          </w:p>
        </w:tc>
        <w:tc>
          <w:tcPr>
            <w:tcW w:w="2409" w:type="dxa"/>
            <w:vMerge/>
            <w:vAlign w:val="center"/>
          </w:tcPr>
          <w:p>
            <w:pPr>
              <w:widowControl w:val="0"/>
              <w:spacing w:line="300" w:lineRule="exact"/>
              <w:jc w:val="center"/>
              <w:rPr>
                <w:rFonts w:ascii="宋体" w:eastAsia="宋体" w:hAnsi="宋体" w:cs="宋体"/>
                <w:kern w:val="2"/>
                <w:sz w:val="21"/>
                <w:szCs w:val="21"/>
                <w:lang w:eastAsia="zh-CN"/>
              </w:rPr>
            </w:pPr>
          </w:p>
        </w:tc>
        <w:tc>
          <w:tcPr>
            <w:tcW w:w="4980" w:type="dxa"/>
            <w:tcBorders>
              <w:top w:val="single" w:sz="4" w:space="0" w:color="auto"/>
            </w:tcBorders>
            <w:vAlign w:val="center"/>
          </w:tcPr>
          <w:p>
            <w:pPr>
              <w:widowControl w:val="0"/>
              <w:spacing w:line="300" w:lineRule="exact"/>
              <w:jc w:val="left"/>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 xml:space="preserve"> </w:t>
            </w:r>
            <w:r>
              <w:rPr>
                <w:rFonts w:ascii="宋体" w:eastAsia="宋体" w:hAnsi="宋体" w:cs="宋体" w:hint="eastAsia"/>
                <w:color w:val="000000"/>
                <w:kern w:val="2"/>
                <w:sz w:val="21"/>
                <w:szCs w:val="21"/>
                <w:lang w:eastAsia="zh-CN"/>
              </w:rPr>
              <w:t>需要，合同金额的</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u w:val="single"/>
                <w:lang w:eastAsia="zh-CN"/>
              </w:rPr>
              <w:t>≤5%</w:t>
            </w:r>
            <w:r>
              <w:rPr>
                <w:rFonts w:ascii="宋体" w:eastAsia="宋体" w:hAnsi="宋体" w:cs="宋体" w:hint="eastAsia"/>
                <w:color w:val="000000"/>
                <w:kern w:val="2"/>
                <w:sz w:val="21"/>
                <w:szCs w:val="21"/>
                <w:u w:val="single"/>
                <w:lang w:eastAsia="zh-CN"/>
              </w:rPr>
              <w:t>）</w:t>
            </w:r>
            <w:r>
              <w:rPr>
                <w:rFonts w:ascii="宋体" w:eastAsia="宋体" w:hAnsi="宋体" w:cs="宋体" w:hint="eastAsia"/>
                <w:color w:val="000000"/>
                <w:kern w:val="2"/>
                <w:sz w:val="21"/>
                <w:szCs w:val="21"/>
                <w:lang w:eastAsia="zh-CN"/>
              </w:rPr>
              <w:t>，投标供应商自主选择以支票、汇票、本票、保函等非现金形式缴纳或提交。履约保证金在中标人履行完成合同约定权利义务事项在合同期满之日起</w:t>
            </w:r>
            <w:r>
              <w:rPr>
                <w:rFonts w:ascii="宋体" w:eastAsia="宋体" w:hAnsi="宋体" w:cs="宋体" w:hint="eastAsia"/>
                <w:color w:val="000000"/>
                <w:kern w:val="2"/>
                <w:sz w:val="21"/>
                <w:szCs w:val="21"/>
                <w:u w:val="single"/>
                <w:lang w:eastAsia="zh-CN"/>
              </w:rPr>
              <w:t xml:space="preserve">    日</w:t>
            </w:r>
            <w:r>
              <w:rPr>
                <w:rFonts w:ascii="宋体" w:eastAsia="宋体" w:hAnsi="宋体" w:cs="宋体" w:hint="eastAsia"/>
                <w:color w:val="000000"/>
                <w:kern w:val="2"/>
                <w:sz w:val="21"/>
                <w:szCs w:val="21"/>
                <w:lang w:eastAsia="zh-CN"/>
              </w:rPr>
              <w:t>内按原方式退还，不计利息。采购人逾期退还履约保证金的，向中标人每日偿付履约保证金的</w:t>
            </w:r>
            <w:r>
              <w:rPr>
                <w:rFonts w:ascii="宋体" w:eastAsia="宋体" w:hAnsi="宋体" w:cs="宋体" w:hint="eastAsia"/>
                <w:color w:val="000000"/>
                <w:kern w:val="2"/>
                <w:sz w:val="21"/>
                <w:szCs w:val="21"/>
                <w:u w:val="single"/>
                <w:lang w:eastAsia="zh-CN"/>
              </w:rPr>
              <w:t>0.5‰</w:t>
            </w:r>
            <w:r>
              <w:rPr>
                <w:rFonts w:ascii="宋体" w:eastAsia="宋体" w:hAnsi="宋体" w:cs="宋体" w:hint="eastAsia"/>
                <w:color w:val="000000"/>
                <w:kern w:val="2"/>
                <w:sz w:val="21"/>
                <w:szCs w:val="21"/>
                <w:lang w:eastAsia="zh-CN"/>
              </w:rPr>
              <w:t>的利息。因中标人原因而未能达到本项目验收标准或验收不通过的，履约保证金不予退还。</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lang w:eastAsia="zh-CN"/>
              </w:rPr>
              <w:t>52.8</w:t>
            </w:r>
          </w:p>
        </w:tc>
        <w:tc>
          <w:tcPr>
            <w:tcW w:w="2409"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lang w:eastAsia="zh-CN"/>
              </w:rPr>
              <w:t>投诉（仅适用自行采购项目）</w:t>
            </w:r>
          </w:p>
        </w:tc>
        <w:tc>
          <w:tcPr>
            <w:tcW w:w="4980" w:type="dxa"/>
            <w:vAlign w:val="center"/>
          </w:tcPr>
          <w:p>
            <w:pPr>
              <w:widowControl w:val="0"/>
              <w:jc w:val="left"/>
              <w:rPr>
                <w:rFonts w:ascii="宋体" w:eastAsia="宋体" w:hAnsi="宋体" w:cs="宋体"/>
                <w:bCs/>
                <w:kern w:val="2"/>
                <w:sz w:val="21"/>
                <w:szCs w:val="21"/>
                <w:lang w:eastAsia="zh-CN"/>
              </w:rPr>
            </w:pPr>
            <w:r>
              <w:rPr>
                <w:rFonts w:ascii="宋体" w:eastAsia="宋体" w:hAnsi="宋体" w:cs="宋体" w:hint="eastAsia"/>
                <w:kern w:val="2"/>
                <w:sz w:val="21"/>
                <w:lang w:eastAsia="zh-CN"/>
              </w:rPr>
              <w:t>本项目为自行采购项目，提出质疑的供应商对质疑答复不满意或者未在规定时间内答复的，可以在答复期满后7个工作日内向采购人投诉。</w:t>
            </w:r>
          </w:p>
        </w:tc>
      </w:tr>
    </w:tbl>
    <w:p>
      <w:pPr>
        <w:widowControl w:val="0"/>
        <w:spacing w:line="300" w:lineRule="exact"/>
        <w:jc w:val="both"/>
        <w:rPr>
          <w:rFonts w:ascii="宋体" w:eastAsia="宋体" w:hAnsi="宋体" w:cs="宋体"/>
          <w:b/>
          <w:kern w:val="2"/>
          <w:sz w:val="21"/>
          <w:lang w:eastAsia="zh-CN"/>
        </w:rPr>
      </w:pPr>
      <w:r>
        <w:rPr>
          <w:rFonts w:ascii="宋体" w:eastAsia="宋体" w:hAnsi="宋体" w:cs="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二、其他关键信息</w:t>
      </w:r>
    </w:p>
    <w:p>
      <w:pPr>
        <w:widowControl w:val="0"/>
        <w:adjustRightInd w:val="0"/>
        <w:spacing w:line="276" w:lineRule="auto"/>
        <w:ind w:firstLine="420" w:firstLineChars="200"/>
        <w:jc w:val="both"/>
        <w:rPr>
          <w:rFonts w:eastAsia="宋体"/>
          <w:b/>
          <w:bCs/>
          <w:kern w:val="2"/>
          <w:sz w:val="21"/>
          <w:lang w:eastAsia="zh-CN"/>
        </w:rPr>
      </w:pPr>
      <w:r>
        <w:rPr>
          <w:rFonts w:eastAsia="宋体" w:hint="eastAsia"/>
          <w:b/>
          <w:bCs/>
          <w:kern w:val="2"/>
          <w:sz w:val="21"/>
          <w:lang w:eastAsia="zh-CN"/>
        </w:rPr>
        <w:t>（一）评标定标信息</w:t>
      </w:r>
    </w:p>
    <w:p>
      <w:pPr>
        <w:widowControl w:val="0"/>
        <w:adjustRightInd w:val="0"/>
        <w:spacing w:line="276" w:lineRule="auto"/>
        <w:jc w:val="center"/>
        <w:rPr>
          <w:rFonts w:eastAsia="宋体"/>
          <w:kern w:val="2"/>
          <w:sz w:val="21"/>
          <w:lang w:eastAsia="zh-CN"/>
        </w:rPr>
      </w:pPr>
      <w:bookmarkStart w:id="30" w:name="_Hlk72579465"/>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93"/>
        <w:gridCol w:w="47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98"/>
        </w:trPr>
        <w:tc>
          <w:tcPr>
            <w:tcW w:w="4292" w:type="dxa"/>
            <w:vAlign w:val="center"/>
          </w:tcPr>
          <w:p>
            <w:pPr>
              <w:adjustRightInd w:val="0"/>
              <w:jc w:val="center"/>
              <w:rPr>
                <w:rFonts w:ascii="宋体" w:hAnsi="宋体" w:cs="宋体"/>
                <w:sz w:val="21"/>
                <w:szCs w:val="21"/>
                <w:lang w:eastAsia="zh-CN"/>
              </w:rPr>
            </w:pPr>
            <w:r>
              <w:rPr>
                <w:rFonts w:ascii="宋体" w:hAnsi="宋体" w:cs="宋体" w:hint="eastAsia"/>
                <w:sz w:val="21"/>
                <w:szCs w:val="21"/>
                <w:lang w:eastAsia="zh-CN"/>
              </w:rPr>
              <w:t>评标方法</w:t>
            </w:r>
          </w:p>
        </w:tc>
        <w:tc>
          <w:tcPr>
            <w:tcW w:w="4784" w:type="dxa"/>
            <w:vAlign w:val="center"/>
          </w:tcPr>
          <w:p>
            <w:pPr>
              <w:jc w:val="center"/>
              <w:rPr>
                <w:rFonts w:ascii="宋体" w:hAnsi="宋体" w:cs="宋体"/>
                <w:sz w:val="21"/>
                <w:szCs w:val="21"/>
                <w:lang w:eastAsia="zh-CN"/>
              </w:rPr>
            </w:pPr>
            <w:r>
              <w:rPr>
                <w:rFonts w:ascii="宋体" w:hAnsi="宋体" w:cs="宋体" w:hint="eastAsia"/>
                <w:sz w:val="21"/>
                <w:szCs w:val="21"/>
                <w:lang w:eastAsia="zh-CN"/>
              </w:rPr>
              <w:t>综合评分法</w:t>
            </w:r>
          </w:p>
        </w:tc>
      </w:tr>
      <w:tr>
        <w:tblPrEx>
          <w:tblW w:w="5000" w:type="pct"/>
          <w:tblInd w:w="0" w:type="dxa"/>
          <w:tblLayout w:type="fixed"/>
          <w:tblCellMar>
            <w:top w:w="0" w:type="dxa"/>
            <w:left w:w="108" w:type="dxa"/>
            <w:bottom w:w="0" w:type="dxa"/>
            <w:right w:w="108" w:type="dxa"/>
          </w:tblCellMar>
        </w:tblPrEx>
        <w:trPr>
          <w:trHeight w:val="298"/>
        </w:trPr>
        <w:tc>
          <w:tcPr>
            <w:tcW w:w="4292" w:type="dxa"/>
            <w:vAlign w:val="center"/>
          </w:tcPr>
          <w:p>
            <w:pPr>
              <w:adjustRightInd w:val="0"/>
              <w:jc w:val="center"/>
              <w:rPr>
                <w:rFonts w:ascii="宋体" w:hAnsi="宋体" w:cs="宋体"/>
                <w:sz w:val="21"/>
                <w:szCs w:val="21"/>
                <w:lang w:eastAsia="zh-CN"/>
              </w:rPr>
            </w:pPr>
            <w:r>
              <w:rPr>
                <w:rFonts w:ascii="宋体" w:hAnsi="宋体" w:cs="宋体" w:hint="eastAsia"/>
                <w:sz w:val="21"/>
                <w:szCs w:val="21"/>
                <w:lang w:eastAsia="zh-CN"/>
              </w:rPr>
              <w:t>候选中标供应商</w:t>
            </w:r>
            <w:r>
              <w:rPr>
                <w:rFonts w:ascii="宋体" w:hAnsi="宋体" w:cs="宋体" w:hint="eastAsia"/>
                <w:sz w:val="20"/>
                <w:lang w:eastAsia="zh-CN"/>
              </w:rPr>
              <w:t>家数</w:t>
            </w:r>
          </w:p>
        </w:tc>
        <w:tc>
          <w:tcPr>
            <w:tcW w:w="4784" w:type="dxa"/>
          </w:tcPr>
          <w:p>
            <w:pPr>
              <w:jc w:val="center"/>
              <w:rPr>
                <w:rFonts w:ascii="宋体" w:hAnsi="宋体" w:cs="宋体"/>
                <w:sz w:val="21"/>
                <w:szCs w:val="21"/>
                <w:lang w:eastAsia="zh-CN"/>
              </w:rPr>
            </w:pPr>
            <w:r>
              <w:rPr>
                <w:rFonts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rPr>
          <w:trHeight w:val="301"/>
        </w:trPr>
        <w:tc>
          <w:tcPr>
            <w:tcW w:w="4292" w:type="dxa"/>
            <w:vAlign w:val="center"/>
          </w:tcPr>
          <w:p>
            <w:pPr>
              <w:adjustRightInd w:val="0"/>
              <w:jc w:val="center"/>
              <w:rPr>
                <w:rFonts w:ascii="宋体" w:hAnsi="宋体" w:cs="宋体"/>
                <w:sz w:val="21"/>
                <w:szCs w:val="21"/>
                <w:lang w:eastAsia="zh-CN"/>
              </w:rPr>
            </w:pPr>
            <w:r>
              <w:rPr>
                <w:rFonts w:ascii="宋体" w:hAnsi="宋体" w:cs="宋体" w:hint="eastAsia"/>
                <w:sz w:val="21"/>
                <w:szCs w:val="21"/>
                <w:lang w:eastAsia="zh-CN"/>
              </w:rPr>
              <w:t>中标供应商</w:t>
            </w:r>
            <w:r>
              <w:rPr>
                <w:rFonts w:ascii="宋体" w:hAnsi="宋体" w:cs="宋体" w:hint="eastAsia"/>
                <w:sz w:val="20"/>
                <w:lang w:eastAsia="zh-CN"/>
              </w:rPr>
              <w:t>家数</w:t>
            </w:r>
          </w:p>
        </w:tc>
        <w:tc>
          <w:tcPr>
            <w:tcW w:w="4784" w:type="dxa"/>
            <w:vAlign w:val="center"/>
          </w:tcPr>
          <w:p>
            <w:pPr>
              <w:jc w:val="center"/>
              <w:rPr>
                <w:rFonts w:ascii="宋体" w:hAnsi="宋体" w:cs="宋体"/>
                <w:sz w:val="21"/>
                <w:szCs w:val="21"/>
                <w:lang w:eastAsia="zh-CN"/>
              </w:rPr>
            </w:pPr>
            <w:r>
              <w:rPr>
                <w:rFonts w:ascii="宋体" w:hAnsi="宋体" w:cs="宋体" w:hint="eastAsia"/>
                <w:sz w:val="21"/>
                <w:szCs w:val="21"/>
                <w:lang w:eastAsia="zh-CN"/>
              </w:rPr>
              <w:t>1</w:t>
            </w:r>
          </w:p>
        </w:tc>
      </w:tr>
      <w:bookmarkEnd w:id="30"/>
    </w:tbl>
    <w:p>
      <w:pPr>
        <w:widowControl w:val="0"/>
        <w:adjustRightInd w:val="0"/>
        <w:spacing w:line="276" w:lineRule="auto"/>
        <w:ind w:firstLine="420" w:firstLineChars="200"/>
        <w:jc w:val="both"/>
        <w:rPr>
          <w:rFonts w:ascii="宋体" w:eastAsia="宋体" w:hAnsi="宋体" w:cs="宋体"/>
          <w:b/>
          <w:kern w:val="2"/>
          <w:sz w:val="21"/>
          <w:lang w:eastAsia="zh-CN"/>
        </w:rPr>
      </w:pPr>
    </w:p>
    <w:p>
      <w:pPr>
        <w:widowControl w:val="0"/>
        <w:adjustRightInd w:val="0"/>
        <w:spacing w:line="276" w:lineRule="auto"/>
        <w:ind w:firstLine="420" w:firstLineChars="200"/>
        <w:jc w:val="both"/>
        <w:rPr>
          <w:rFonts w:ascii="宋体" w:eastAsia="宋体" w:hAnsi="宋体" w:cs="宋体"/>
          <w:b/>
          <w:bCs/>
          <w:kern w:val="2"/>
          <w:sz w:val="21"/>
          <w:lang w:eastAsia="zh-CN"/>
        </w:rPr>
      </w:pPr>
      <w:r>
        <w:rPr>
          <w:rFonts w:ascii="宋体" w:eastAsia="宋体" w:hAnsi="宋体" w:cs="宋体" w:hint="eastAsia"/>
          <w:b/>
          <w:kern w:val="2"/>
          <w:sz w:val="21"/>
          <w:lang w:eastAsia="zh-CN"/>
        </w:rPr>
        <w:t>（二）其他事项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b/>
          <w:bCs/>
          <w:kern w:val="2"/>
          <w:sz w:val="21"/>
          <w:szCs w:val="22"/>
          <w:lang w:eastAsia="zh-CN"/>
        </w:rPr>
        <w:t>1</w:t>
      </w:r>
      <w:r>
        <w:rPr>
          <w:rFonts w:ascii="Calibri" w:eastAsia="宋体" w:hAnsi="Calibri" w:cstheme="minorBidi" w:hint="eastAsia"/>
          <w:b/>
          <w:bCs/>
          <w:kern w:val="2"/>
          <w:sz w:val="21"/>
          <w:szCs w:val="22"/>
          <w:lang w:eastAsia="zh-CN"/>
        </w:rPr>
        <w:t>、关于享受优惠政策的主体及价格扣除比例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r>
        <w:rPr>
          <w:rFonts w:eastAsia="宋体" w:hAnsi="Calibri" w:cstheme="minorBidi" w:hint="eastAsia"/>
          <w:kern w:val="2"/>
          <w:sz w:val="21"/>
          <w:szCs w:val="22"/>
          <w:lang w:eastAsia="zh-CN"/>
        </w:rPr>
        <w:t>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r>
        <w:rPr>
          <w:rFonts w:eastAsia="宋体" w:hAnsi="Calibri" w:cstheme="minorBidi" w:hint="eastAsia"/>
          <w:kern w:val="2"/>
          <w:sz w:val="21"/>
          <w:szCs w:val="22"/>
          <w:lang w:eastAsia="zh-CN"/>
        </w:rPr>
        <w:t>非专门面向中小企业采购的项目，应执行价格扣除比例：</w:t>
      </w:r>
      <w:r>
        <w:rPr>
          <w:rFonts w:ascii="Calibri" w:eastAsia="宋体" w:hAnsi="Calibri" w:cstheme="minorBidi" w:hint="eastAsia"/>
          <w:kern w:val="2"/>
          <w:sz w:val="21"/>
          <w:szCs w:val="22"/>
          <w:lang w:eastAsia="zh-CN"/>
        </w:rPr>
        <w:t>供应商提供的服务全部由优惠主体承接，则对其投标总</w:t>
      </w:r>
      <w:r>
        <w:rPr>
          <w:rFonts w:ascii="Calibri" w:eastAsia="宋体" w:hAnsi="Calibri" w:cstheme="minorBidi" w:hint="eastAsia"/>
          <w:kern w:val="2"/>
          <w:sz w:val="21"/>
          <w:szCs w:val="22"/>
          <w:lang w:eastAsia="zh-CN"/>
        </w:rPr>
        <w:t>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10</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kern w:val="2"/>
          <w:sz w:val="21"/>
          <w:szCs w:val="22"/>
          <w:lang w:eastAsia="zh-CN"/>
        </w:rPr>
        <w:t>的扣除，用扣除后的价格参与评审。满足多项优惠政策的企业，不重复享受多项价格扣除政策。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w:t>
      </w:r>
      <w:r>
        <w:rPr>
          <w:rFonts w:eastAsia="宋体" w:hAnsi="Calibri" w:cstheme="minorBidi" w:hint="eastAsia"/>
          <w:kern w:val="2"/>
          <w:sz w:val="21"/>
          <w:szCs w:val="22"/>
          <w:lang w:eastAsia="zh-CN"/>
        </w:rPr>
        <w:t>享受价格扣除</w:t>
      </w:r>
      <w:r>
        <w:rPr>
          <w:rFonts w:ascii="Calibri" w:eastAsia="宋体" w:hAnsi="Calibri" w:cstheme="minorBidi" w:hint="eastAsia"/>
          <w:kern w:val="2"/>
          <w:sz w:val="21"/>
          <w:szCs w:val="22"/>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优惠主体承接是指提供服务的人员为中小企业依照《中华人民共和国劳动合同法》订立劳动合同的从业人员。</w:t>
      </w:r>
    </w:p>
    <w:p>
      <w:pPr>
        <w:widowControl w:val="0"/>
        <w:numPr>
          <w:ilvl w:val="0"/>
          <w:numId w:val="2"/>
        </w:numPr>
        <w:ind w:firstLine="420" w:firstLineChars="200"/>
        <w:jc w:val="both"/>
        <w:rPr>
          <w:rFonts w:ascii="Calibri" w:eastAsia="宋体" w:hAnsi="Calibri"/>
          <w:kern w:val="2"/>
          <w:sz w:val="21"/>
          <w:szCs w:val="21"/>
          <w:lang w:eastAsia="zh-CN"/>
        </w:rPr>
      </w:pP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《中小企业声明函》中相关企业所属行业应当与采购标的所属行业相一致。</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以招标文件第一册第三章用户需求书“</w:t>
      </w:r>
      <w:r>
        <w:rPr>
          <w:rFonts w:ascii="Calibri" w:eastAsia="宋体" w:hAnsi="Calibri" w:cstheme="minorBidi" w:hint="eastAsia"/>
          <w:b/>
          <w:bCs/>
          <w:color w:val="FF0000"/>
          <w:kern w:val="2"/>
          <w:sz w:val="21"/>
          <w:szCs w:val="22"/>
          <w:lang w:eastAsia="zh-CN"/>
        </w:rPr>
        <w:t>服务需求</w:t>
      </w:r>
      <w:r>
        <w:rPr>
          <w:rFonts w:eastAsia="宋体" w:hAnsi="Calibri" w:cstheme="minorBidi" w:hint="eastAsia"/>
          <w:b/>
          <w:bCs/>
          <w:color w:val="FF0000"/>
          <w:kern w:val="2"/>
          <w:sz w:val="21"/>
          <w:szCs w:val="22"/>
          <w:lang w:eastAsia="zh-CN"/>
        </w:rPr>
        <w:t>明细”的“标的所属行业”一栏为准</w:t>
      </w:r>
      <w:r>
        <w:rPr>
          <w:rFonts w:ascii="宋体" w:eastAsia="宋体" w:hAnsi="宋体" w:cs="宋体"/>
          <w:b/>
          <w:bCs/>
          <w:color w:val="FF0000"/>
          <w:kern w:val="2"/>
          <w:sz w:val="21"/>
          <w:szCs w:val="21"/>
          <w:lang w:eastAsia="zh-CN"/>
        </w:rPr>
        <w:t>。</w:t>
      </w:r>
      <w:r>
        <w:rPr>
          <w:rFonts w:ascii="Calibri" w:eastAsia="宋体" w:hAnsi="Calibri" w:cstheme="minorBidi" w:hint="eastAsia"/>
          <w:kern w:val="2"/>
          <w:sz w:val="21"/>
          <w:szCs w:val="21"/>
          <w:lang w:eastAsia="zh-CN"/>
        </w:rPr>
        <w:t>。</w:t>
      </w:r>
    </w:p>
    <w:p>
      <w:pPr>
        <w:widowControl w:val="0"/>
        <w:numPr>
          <w:ilvl w:val="0"/>
          <w:numId w:val="2"/>
        </w:numPr>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1"/>
          <w:lang w:eastAsia="zh-CN"/>
        </w:rPr>
        <w:t>小型企业、微</w:t>
      </w:r>
      <w:r>
        <w:rPr>
          <w:rFonts w:ascii="Calibri" w:eastAsia="宋体" w:hAnsi="Calibri" w:cstheme="minorBidi"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w:t>
      </w:r>
      <w:r>
        <w:rPr>
          <w:rFonts w:ascii="宋体" w:eastAsia="宋体" w:hAnsi="宋体" w:hint="eastAsia"/>
          <w:b/>
          <w:bCs/>
          <w:kern w:val="2"/>
          <w:szCs w:val="20"/>
          <w:lang w:eastAsia="zh-CN"/>
        </w:rPr>
        <w:t>投标文件组成要求及格式</w:t>
      </w:r>
      <w:r>
        <w:rPr>
          <w:rFonts w:ascii="Calibri" w:eastAsia="宋体" w:hAnsi="Calibri" w:cstheme="minorBidi" w:hint="eastAsia"/>
          <w:kern w:val="2"/>
          <w:sz w:val="21"/>
          <w:szCs w:val="22"/>
          <w:lang w:eastAsia="zh-CN"/>
        </w:rPr>
        <w:t>”中“三、投标人情况及资格证明文件”章节提供的格式）。</w:t>
      </w:r>
    </w:p>
    <w:p>
      <w:pPr>
        <w:widowControl w:val="0"/>
        <w:ind w:firstLine="420" w:firstLineChars="200"/>
        <w:jc w:val="both"/>
        <w:rPr>
          <w:rFonts w:ascii="宋体" w:eastAsia="宋体" w:hAnsi="宋体"/>
          <w:b/>
          <w:kern w:val="2"/>
          <w:sz w:val="21"/>
          <w:szCs w:val="22"/>
          <w:lang w:eastAsia="zh-CN"/>
        </w:rPr>
      </w:pPr>
      <w:r>
        <w:rPr>
          <w:rFonts w:ascii="Calibri" w:eastAsia="宋体" w:hAnsi="Calibri" w:cstheme="minorBidi" w:hint="eastAsia"/>
          <w:kern w:val="2"/>
          <w:sz w:val="21"/>
          <w:szCs w:val="22"/>
          <w:lang w:eastAsia="zh-CN"/>
        </w:rPr>
        <w:t>（5）享受价格扣除获得政府采购合同的，小微企业不得将合同分包给大中型企业。</w:t>
      </w:r>
    </w:p>
    <w:p>
      <w:pPr>
        <w:widowControl w:val="0"/>
        <w:jc w:val="both"/>
        <w:rPr>
          <w:rFonts w:ascii="宋体" w:eastAsia="宋体" w:hAnsi="宋体" w:cs="宋体"/>
          <w:kern w:val="2"/>
          <w:sz w:val="21"/>
          <w:lang w:eastAsia="zh-CN"/>
        </w:rPr>
      </w:pPr>
    </w:p>
    <w:p>
      <w:pPr>
        <w:widowControl w:val="0"/>
        <w:ind w:firstLine="432"/>
        <w:jc w:val="both"/>
        <w:rPr>
          <w:rFonts w:eastAsia="宋体"/>
          <w:kern w:val="2"/>
          <w:sz w:val="21"/>
          <w:lang w:eastAsia="zh-CN"/>
        </w:rPr>
      </w:pPr>
    </w:p>
    <w:p>
      <w:pPr>
        <w:widowControl w:val="0"/>
        <w:adjustRightInd w:val="0"/>
        <w:spacing w:line="276" w:lineRule="auto"/>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2.长期服务采购项目</w:t>
      </w:r>
    </w:p>
    <w:p>
      <w:pPr>
        <w:widowControl w:val="0"/>
        <w:spacing w:line="276" w:lineRule="auto"/>
        <w:ind w:firstLine="420" w:firstLineChars="200"/>
        <w:jc w:val="both"/>
        <w:rPr>
          <w:rFonts w:eastAsia="宋体"/>
          <w:kern w:val="2"/>
          <w:sz w:val="21"/>
          <w:lang w:eastAsia="zh-CN"/>
        </w:rPr>
      </w:pPr>
      <w:r>
        <w:rPr>
          <w:rFonts w:eastAsia="宋体" w:hint="eastAsia"/>
          <w:color w:val="000000"/>
          <w:kern w:val="2"/>
          <w:sz w:val="21"/>
          <w:lang w:eastAsia="zh-CN"/>
        </w:rPr>
        <w:t>本项目为长期服务项目，如采购方评价中标方为优质服务对象的，则合同期满可以续签，但合同履行期限最长不得超过三十六个月。如甲方对履约情况不满意，甲方不再续约。</w:t>
      </w:r>
    </w:p>
    <w:p>
      <w:pPr>
        <w:widowControl w:val="0"/>
        <w:adjustRightInd w:val="0"/>
        <w:spacing w:line="276" w:lineRule="auto"/>
        <w:ind w:firstLine="420" w:firstLineChars="200"/>
        <w:jc w:val="both"/>
        <w:rPr>
          <w:rFonts w:ascii="宋体" w:eastAsia="宋体" w:hAnsi="宋体" w:cs="宋体"/>
          <w:b/>
          <w:bCs/>
          <w:kern w:val="2"/>
          <w:sz w:val="21"/>
          <w:szCs w:val="21"/>
          <w:lang w:eastAsia="zh-CN"/>
        </w:rPr>
      </w:pPr>
    </w:p>
    <w:p>
      <w:pPr>
        <w:widowControl w:val="0"/>
        <w:adjustRightInd w:val="0"/>
        <w:spacing w:line="276" w:lineRule="auto"/>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3.代理服务费</w:t>
      </w:r>
    </w:p>
    <w:p>
      <w:pPr>
        <w:widowControl w:val="0"/>
        <w:ind w:firstLine="420" w:firstLineChars="200"/>
        <w:jc w:val="both"/>
        <w:rPr>
          <w:rFonts w:ascii="Calibri" w:eastAsia="宋体" w:hAnsi="Calibri"/>
          <w:b/>
          <w:bCs/>
          <w:kern w:val="2"/>
          <w:sz w:val="21"/>
          <w:szCs w:val="22"/>
          <w:lang w:eastAsia="zh-CN"/>
        </w:rPr>
      </w:pPr>
      <w:r>
        <w:rPr>
          <w:rFonts w:eastAsia="宋体" w:hAnsi="Calibri" w:cstheme="minorBidi" w:hint="eastAsia"/>
          <w:b/>
          <w:bCs/>
          <w:kern w:val="2"/>
          <w:sz w:val="21"/>
          <w:szCs w:val="22"/>
          <w:lang w:eastAsia="zh-CN"/>
        </w:rPr>
        <w:t>本项目为代理服务项目，将向中标（成交）供应商收取代理服务费。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供应商在领取《中标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通知书》之前须向深圳公共资源交易中心（深圳交易集团有限公司南山分公司）交纳代理服务费。若因中标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供应商交纳代理服务费所产生的时间影响到合同签订的，由中标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供应商自行承担责任。代理服务费标准参照</w:t>
      </w:r>
      <w:r>
        <w:rPr>
          <w:rFonts w:eastAsia="宋体" w:hAnsi="Calibri" w:cstheme="minorBidi" w:hint="eastAsia"/>
          <w:kern w:val="2"/>
          <w:sz w:val="21"/>
          <w:szCs w:val="22"/>
          <w:lang w:eastAsia="zh-CN"/>
        </w:rPr>
        <w:t>下列</w:t>
      </w:r>
      <w:r>
        <w:rPr>
          <w:rFonts w:ascii="Calibri" w:eastAsia="宋体" w:hAnsi="Calibri" w:cstheme="minorBidi" w:hint="eastAsia"/>
          <w:kern w:val="2"/>
          <w:sz w:val="21"/>
          <w:szCs w:val="22"/>
          <w:lang w:eastAsia="zh-CN"/>
        </w:rPr>
        <w:t>标准收取。</w:t>
      </w:r>
      <w:r>
        <w:rPr>
          <w:rFonts w:ascii="Calibri" w:eastAsia="宋体" w:hAnsi="Calibri" w:cstheme="minorBidi" w:hint="eastAsia"/>
          <w:b/>
          <w:color w:val="FF0000"/>
          <w:kern w:val="2"/>
          <w:sz w:val="21"/>
          <w:szCs w:val="22"/>
          <w:lang w:eastAsia="zh-CN"/>
        </w:rPr>
        <w:t>本项目类型为服务采购：</w:t>
      </w:r>
    </w:p>
    <w:p>
      <w:pPr>
        <w:widowControl w:val="0"/>
        <w:numPr>
          <w:ilvl w:val="0"/>
          <w:numId w:val="3"/>
        </w:numPr>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代理服务费以《中标（成交）通知书》确定的中标（成交）金额作为计算基数，按差额定率累进法的80%计算（即打八折）。</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330"/>
        <w:gridCol w:w="1916"/>
        <w:gridCol w:w="1916"/>
        <w:gridCol w:w="191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服务采购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100万元以下</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0.45%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1亿元（含）-5亿元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5亿元（含）-10亿元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10亿元（含）-50亿元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100亿元（含）以上</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r>
    </w:tbl>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备注：1.每宗交易代理服务费不低于 </w:t>
      </w:r>
      <w:r>
        <w:rPr>
          <w:rFonts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000 元；</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2.对于报总价的采购类项目，中标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价为中标（成交）金额；对于报单价、折扣或费率的采购类项目，中标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如某货物采购项目，中标（成交）金额为600万元，总共交纳的代理服务费的具体计算过程如下：</w:t>
      </w:r>
    </w:p>
    <w:p>
      <w:pPr>
        <w:widowControl w:val="0"/>
        <w:spacing w:line="276"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标准代理服务费＝（100万以下部分的代理服务费）+（100万～500万部分的代理服务费）+（500万～600万部分的代理服务费）＝（100万元×1.5%+（500-100）万元×1.1%+（600-500）万元×0.8%）×0.8=（1.5万元+4.4万元+0.8万元）×0.8＝5.36万元</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3</w:t>
      </w:r>
      <w:r>
        <w:rPr>
          <w:rFonts w:ascii="Calibri" w:eastAsia="宋体" w:hAnsi="Calibri" w:cstheme="minorBidi" w:hint="eastAsia"/>
          <w:kern w:val="2"/>
          <w:sz w:val="21"/>
          <w:szCs w:val="22"/>
          <w:lang w:eastAsia="zh-CN"/>
        </w:rPr>
        <w:t>）中标（成交）供应商中标（成交）后，必须按规定采用银行对公转账方式向深圳交易集团有限公司直接交纳代理服务费，交纳信息及要求按照缴款</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付款</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通知书执行。</w:t>
      </w:r>
    </w:p>
    <w:p>
      <w:pPr>
        <w:widowControl/>
        <w:jc w:val="left"/>
        <w:rPr>
          <w:rFonts w:ascii="宋体" w:eastAsia="宋体" w:hAnsi="宋体"/>
          <w:b/>
          <w:bCs/>
          <w:sz w:val="28"/>
          <w:szCs w:val="28"/>
          <w:lang w:eastAsia="zh-CN"/>
        </w:rPr>
      </w:pPr>
      <w:bookmarkStart w:id="31" w:name="_Toc128884461"/>
    </w:p>
    <w:p>
      <w:pPr>
        <w:widowControl w:val="0"/>
        <w:jc w:val="both"/>
        <w:rPr>
          <w:rFonts w:eastAsia="宋体"/>
          <w:kern w:val="2"/>
          <w:sz w:val="28"/>
          <w:szCs w:val="28"/>
          <w:lang w:eastAsia="zh-CN"/>
        </w:rPr>
      </w:pPr>
      <w:r>
        <w:rPr>
          <w:rFonts w:eastAsia="宋体" w:hint="eastAsia"/>
          <w:kern w:val="2"/>
          <w:sz w:val="28"/>
          <w:szCs w:val="28"/>
          <w:lang w:eastAsia="zh-CN"/>
        </w:rPr>
        <w:br w:type="page"/>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tbl>
      <w:tblPr>
        <w:tblStyle w:val="TableNormal"/>
        <w:tblpPr w:leftFromText="180" w:rightFromText="180" w:vertAnchor="text" w:horzAnchor="margin"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3"/>
        <w:gridCol w:w="1991"/>
        <w:gridCol w:w="3301"/>
        <w:gridCol w:w="297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771" w:type="dxa"/>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序号</w:t>
            </w:r>
          </w:p>
        </w:tc>
        <w:tc>
          <w:tcPr>
            <w:tcW w:w="1889" w:type="dxa"/>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采购计划编号</w:t>
            </w:r>
          </w:p>
        </w:tc>
        <w:tc>
          <w:tcPr>
            <w:tcW w:w="3132" w:type="dxa"/>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采购项目名称</w:t>
            </w:r>
          </w:p>
        </w:tc>
        <w:tc>
          <w:tcPr>
            <w:tcW w:w="2821" w:type="dxa"/>
            <w:vAlign w:val="center"/>
          </w:tcPr>
          <w:p>
            <w:pPr>
              <w:widowControl w:val="0"/>
              <w:spacing w:line="276" w:lineRule="auto"/>
              <w:jc w:val="center"/>
              <w:rPr>
                <w:rFonts w:ascii="宋体" w:eastAsia="宋体" w:hAnsi="宋体" w:cs="宋体"/>
                <w:b/>
                <w:bCs/>
                <w:color w:val="FF0000"/>
                <w:kern w:val="2"/>
                <w:sz w:val="21"/>
                <w:szCs w:val="21"/>
                <w:lang w:eastAsia="zh-CN"/>
              </w:rPr>
            </w:pPr>
            <w:r>
              <w:rPr>
                <w:rFonts w:eastAsia="宋体" w:hint="eastAsia"/>
                <w:b/>
                <w:bCs/>
                <w:color w:val="FF0000"/>
                <w:lang w:eastAsia="zh-CN"/>
              </w:rPr>
              <w:t>财政预算限额（元）</w:t>
            </w:r>
          </w:p>
        </w:tc>
      </w:tr>
      <w:tr>
        <w:tblPrEx>
          <w:tblW w:w="5000" w:type="pct"/>
          <w:tblInd w:w="0" w:type="dxa"/>
          <w:tblLayout w:type="fixed"/>
          <w:tblCellMar>
            <w:top w:w="0" w:type="dxa"/>
            <w:left w:w="108" w:type="dxa"/>
            <w:bottom w:w="0" w:type="dxa"/>
            <w:right w:w="108" w:type="dxa"/>
          </w:tblCellMar>
        </w:tblPrEx>
        <w:trPr>
          <w:trHeight w:val="413"/>
        </w:trPr>
        <w:tc>
          <w:tcPr>
            <w:tcW w:w="771" w:type="dxa"/>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1889" w:type="dxa"/>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JYCG-DECL-2025-27929</w:t>
            </w:r>
          </w:p>
        </w:tc>
        <w:tc>
          <w:tcPr>
            <w:tcW w:w="3132" w:type="dxa"/>
            <w:vAlign w:val="center"/>
          </w:tcPr>
          <w:p>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深圳市南山区人民医院个体化3D模型重建（胸腹部手术规划）服务</w:t>
            </w:r>
          </w:p>
        </w:tc>
        <w:tc>
          <w:tcPr>
            <w:tcW w:w="2821" w:type="dxa"/>
            <w:vAlign w:val="center"/>
          </w:tcPr>
          <w:p>
            <w:pPr>
              <w:widowControl w:val="0"/>
              <w:spacing w:line="276" w:lineRule="auto"/>
              <w:jc w:val="both"/>
              <w:rPr>
                <w:rFonts w:ascii="宋体" w:eastAsia="宋体" w:hAnsi="宋体" w:cs="宋体"/>
                <w:bCs/>
                <w:color w:val="FF0000"/>
                <w:kern w:val="2"/>
                <w:sz w:val="21"/>
                <w:szCs w:val="21"/>
                <w:lang w:eastAsia="zh-CN"/>
              </w:rPr>
            </w:pPr>
            <w:r>
              <w:rPr>
                <w:rFonts w:ascii="宋体" w:eastAsia="宋体" w:hAnsi="宋体" w:cs="宋体" w:hint="eastAsia"/>
                <w:b/>
                <w:color w:val="FF0000"/>
                <w:kern w:val="2"/>
                <w:lang w:eastAsia="zh-CN"/>
              </w:rPr>
              <w:t>本项目按实际发生量结算，投标供应商报综合折扣，年度总支付金额上限为900000元。</w:t>
            </w:r>
          </w:p>
        </w:tc>
      </w:tr>
    </w:tbl>
    <w:p>
      <w:pPr>
        <w:widowControl w:val="0"/>
        <w:spacing w:line="360" w:lineRule="auto"/>
        <w:jc w:val="both"/>
        <w:rPr>
          <w:rFonts w:eastAsia="宋体"/>
          <w:kern w:val="2"/>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二、项目概况</w:t>
      </w:r>
    </w:p>
    <w:p>
      <w:pPr>
        <w:widowControl w:val="0"/>
        <w:ind w:firstLine="420"/>
        <w:jc w:val="both"/>
        <w:rPr>
          <w:rFonts w:ascii="Calibri" w:eastAsia="宋体" w:hAnsi="Calibri" w:hint="eastAsia"/>
          <w:kern w:val="2"/>
          <w:sz w:val="21"/>
          <w:szCs w:val="22"/>
          <w:lang w:eastAsia="zh-CN"/>
        </w:rPr>
      </w:pPr>
      <w:r>
        <w:rPr>
          <w:rFonts w:eastAsia="宋体" w:hint="eastAsia"/>
          <w:kern w:val="2"/>
          <w:sz w:val="21"/>
          <w:lang w:eastAsia="zh-CN"/>
        </w:rPr>
        <w:t>为贴合精准诊疗理念，提升医院精准医疗的社会服务能力，深圳市南山区人民医院拟开展个体化3D模型重建（胸腹手术规划）服务，辅助开展数字化、可视化诊疗。个体化3D模型重建（胸腹手术规划）服务，是利用专业的人工智能可视化系统，通过人工智能+计算机图像处理技术对CT/MRI的DICOM原始数据进行三维可视化成像处理，将器官组织(脏器、血管、病灶等)目标的形态、空间关系呈现出来，可直观、真实地呈现各组织间的解剖关系，便于临床医生多角度、多层次进行动态观察和分析，辅助临床医生进行术前精准评估、术前手术模拟，辅助手术入路决策、优化并制定个体化诊疗方案，提高手术操作的精准性，减少术中探查造成的损伤，降低术后并发症的发生率，实现精准诊疗。</w:t>
      </w:r>
      <w:r>
        <w:rPr>
          <w:rFonts w:ascii="Calibri" w:eastAsia="宋体" w:hAnsi="Calibri" w:cstheme="minorBidi" w:hint="eastAsia"/>
          <w:kern w:val="2"/>
          <w:sz w:val="21"/>
          <w:szCs w:val="22"/>
          <w:lang w:eastAsia="zh-CN"/>
        </w:rPr>
        <w:t>本项目为服务采购，项目服务期间供应商需要配套提供服务平台/软件，服务期内产生的所有项目资料文件归采购人所有，服务期结束后，供应商服务期间投入的配套服务平台/软件仍归供应商所有。</w:t>
      </w:r>
    </w:p>
    <w:p>
      <w:pPr>
        <w:widowControl w:val="0"/>
        <w:ind w:firstLine="420"/>
        <w:jc w:val="both"/>
        <w:rPr>
          <w:rFonts w:ascii="Calibri" w:eastAsia="宋体" w:hAnsi="Calibri" w:hint="eastAsia"/>
          <w:kern w:val="2"/>
          <w:sz w:val="21"/>
          <w:szCs w:val="22"/>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三、服务需求明细</w:t>
      </w:r>
    </w:p>
    <w:tbl>
      <w:tblPr>
        <w:tblStyle w:val="TableNormal"/>
        <w:tblpPr w:leftFromText="180" w:rightFromText="180" w:vertAnchor="text" w:horzAnchor="margin"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
        <w:gridCol w:w="1984"/>
        <w:gridCol w:w="2987"/>
        <w:gridCol w:w="545"/>
        <w:gridCol w:w="576"/>
        <w:gridCol w:w="1280"/>
        <w:gridCol w:w="128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1"/>
        </w:trPr>
        <w:tc>
          <w:tcPr>
            <w:tcW w:w="235" w:type="pct"/>
            <w:vAlign w:val="center"/>
          </w:tcPr>
          <w:p>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序号</w:t>
            </w:r>
          </w:p>
        </w:tc>
        <w:tc>
          <w:tcPr>
            <w:tcW w:w="1092" w:type="pct"/>
            <w:vAlign w:val="center"/>
          </w:tcPr>
          <w:p>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kern w:val="2"/>
                <w:sz w:val="21"/>
                <w:szCs w:val="21"/>
                <w:lang w:eastAsia="zh-CN"/>
              </w:rPr>
              <w:t>采购计划编号</w:t>
            </w:r>
          </w:p>
        </w:tc>
        <w:tc>
          <w:tcPr>
            <w:tcW w:w="1643" w:type="pct"/>
            <w:vAlign w:val="center"/>
          </w:tcPr>
          <w:p>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服务需求名称（标的名称）</w:t>
            </w:r>
          </w:p>
        </w:tc>
        <w:tc>
          <w:tcPr>
            <w:tcW w:w="300" w:type="pct"/>
            <w:vAlign w:val="center"/>
          </w:tcPr>
          <w:p>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数量</w:t>
            </w:r>
          </w:p>
        </w:tc>
        <w:tc>
          <w:tcPr>
            <w:tcW w:w="317" w:type="pct"/>
            <w:vAlign w:val="center"/>
          </w:tcPr>
          <w:p>
            <w:pPr>
              <w:widowControl w:val="0"/>
              <w:spacing w:line="276"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单位</w:t>
            </w:r>
          </w:p>
        </w:tc>
        <w:tc>
          <w:tcPr>
            <w:tcW w:w="704" w:type="pct"/>
            <w:vAlign w:val="center"/>
          </w:tcPr>
          <w:p>
            <w:pPr>
              <w:widowControl w:val="0"/>
              <w:jc w:val="center"/>
              <w:rPr>
                <w:rFonts w:ascii="宋体" w:eastAsia="宋体" w:hAnsi="宋体" w:cs="宋体"/>
                <w:b/>
                <w:bCs/>
                <w:kern w:val="2"/>
                <w:sz w:val="21"/>
                <w:szCs w:val="21"/>
                <w:lang w:eastAsia="zh-CN"/>
              </w:rPr>
            </w:pPr>
            <w:r>
              <w:rPr>
                <w:rFonts w:eastAsia="宋体" w:hAnsi="Calibri" w:cstheme="minorBidi" w:hint="eastAsia"/>
                <w:b/>
                <w:bCs/>
                <w:color w:val="FF0000"/>
                <w:kern w:val="2"/>
                <w:sz w:val="21"/>
                <w:szCs w:val="21"/>
                <w:lang w:eastAsia="zh-CN"/>
              </w:rPr>
              <w:t>是否专门面向中小企业</w:t>
            </w:r>
          </w:p>
        </w:tc>
        <w:tc>
          <w:tcPr>
            <w:tcW w:w="704" w:type="pct"/>
            <w:vAlign w:val="center"/>
          </w:tcPr>
          <w:p>
            <w:pPr>
              <w:widowControl w:val="0"/>
              <w:jc w:val="center"/>
              <w:rPr>
                <w:rFonts w:ascii="宋体" w:eastAsia="宋体" w:hAnsi="宋体" w:cs="宋体"/>
                <w:b/>
                <w:bCs/>
                <w:color w:val="FF0000"/>
                <w:kern w:val="2"/>
                <w:sz w:val="21"/>
                <w:szCs w:val="21"/>
                <w:lang w:eastAsia="zh-CN"/>
              </w:rPr>
            </w:pPr>
            <w:r>
              <w:rPr>
                <w:rFonts w:eastAsia="宋体" w:hAnsi="Calibri" w:cstheme="minorBidi" w:hint="eastAsia"/>
                <w:b/>
                <w:bCs/>
                <w:color w:val="FF0000"/>
                <w:kern w:val="2"/>
                <w:sz w:val="21"/>
                <w:szCs w:val="21"/>
                <w:lang w:eastAsia="zh-CN"/>
              </w:rPr>
              <w:t>标的所属行业</w:t>
            </w:r>
          </w:p>
        </w:tc>
      </w:tr>
      <w:tr>
        <w:tblPrEx>
          <w:tblW w:w="5000" w:type="pct"/>
          <w:tblInd w:w="0" w:type="dxa"/>
          <w:tblLayout w:type="fixed"/>
          <w:tblCellMar>
            <w:top w:w="0" w:type="dxa"/>
            <w:left w:w="108" w:type="dxa"/>
            <w:bottom w:w="0" w:type="dxa"/>
            <w:right w:w="108" w:type="dxa"/>
          </w:tblCellMar>
        </w:tblPrEx>
        <w:trPr>
          <w:trHeight w:val="361"/>
        </w:trPr>
        <w:tc>
          <w:tcPr>
            <w:tcW w:w="235" w:type="pct"/>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1092" w:type="pct"/>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JYCG-DECL-2025-27929</w:t>
            </w:r>
          </w:p>
        </w:tc>
        <w:tc>
          <w:tcPr>
            <w:tcW w:w="1643" w:type="pct"/>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
                <w:bCs/>
                <w:color w:val="FF0000"/>
                <w:kern w:val="2"/>
                <w:sz w:val="21"/>
                <w:szCs w:val="21"/>
                <w:lang w:eastAsia="zh-CN"/>
              </w:rPr>
              <w:t>深圳市南山区人民医院个体化3D模型重建（胸腹部手术规划）服务</w:t>
            </w:r>
          </w:p>
        </w:tc>
        <w:tc>
          <w:tcPr>
            <w:tcW w:w="300" w:type="pct"/>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1</w:t>
            </w:r>
          </w:p>
        </w:tc>
        <w:tc>
          <w:tcPr>
            <w:tcW w:w="317" w:type="pct"/>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项</w:t>
            </w:r>
          </w:p>
        </w:tc>
        <w:tc>
          <w:tcPr>
            <w:tcW w:w="704" w:type="pct"/>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
                <w:color w:val="FF0000"/>
                <w:kern w:val="2"/>
                <w:sz w:val="21"/>
                <w:szCs w:val="21"/>
                <w:lang w:eastAsia="zh-CN"/>
              </w:rPr>
              <w:t>否</w:t>
            </w:r>
          </w:p>
        </w:tc>
        <w:tc>
          <w:tcPr>
            <w:tcW w:w="704" w:type="pct"/>
            <w:vAlign w:val="center"/>
          </w:tcPr>
          <w:p>
            <w:pPr>
              <w:widowControl w:val="0"/>
              <w:spacing w:line="276" w:lineRule="auto"/>
              <w:jc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软件和信息技术服务业</w:t>
            </w:r>
          </w:p>
        </w:tc>
      </w:tr>
    </w:tbl>
    <w:p>
      <w:pPr>
        <w:widowControl w:val="0"/>
        <w:jc w:val="both"/>
        <w:rPr>
          <w:rFonts w:eastAsia="宋体"/>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1"/>
        <w:gridCol w:w="829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0"/>
        </w:trPr>
        <w:tc>
          <w:tcPr>
            <w:tcW w:w="772" w:type="dxa"/>
            <w:vAlign w:val="center"/>
          </w:tcPr>
          <w:p>
            <w:pPr>
              <w:widowControl w:val="0"/>
              <w:adjustRightInd w:val="0"/>
              <w:snapToGrid w:val="0"/>
              <w:spacing w:line="276" w:lineRule="auto"/>
              <w:jc w:val="center"/>
              <w:rPr>
                <w:rFonts w:ascii="宋体" w:eastAsia="宋体" w:hAnsi="宋体"/>
                <w:b/>
                <w:sz w:val="21"/>
                <w:szCs w:val="21"/>
                <w:lang w:eastAsia="zh-CN"/>
              </w:rPr>
            </w:pPr>
            <w:r>
              <w:rPr>
                <w:rFonts w:ascii="宋体" w:eastAsia="宋体" w:hAnsi="宋体" w:hint="eastAsia"/>
                <w:b/>
                <w:sz w:val="21"/>
                <w:szCs w:val="21"/>
                <w:lang w:eastAsia="zh-CN"/>
              </w:rPr>
              <w:t>序号</w:t>
            </w:r>
          </w:p>
        </w:tc>
        <w:tc>
          <w:tcPr>
            <w:tcW w:w="8207" w:type="dxa"/>
            <w:vAlign w:val="center"/>
          </w:tcPr>
          <w:p>
            <w:pPr>
              <w:widowControl w:val="0"/>
              <w:adjustRightInd w:val="0"/>
              <w:snapToGrid w:val="0"/>
              <w:spacing w:line="276" w:lineRule="auto"/>
              <w:jc w:val="center"/>
              <w:rPr>
                <w:rFonts w:ascii="宋体" w:eastAsia="宋体" w:hAnsi="宋体"/>
                <w:b/>
                <w:sz w:val="21"/>
                <w:szCs w:val="21"/>
                <w:lang w:eastAsia="zh-CN"/>
              </w:rPr>
            </w:pPr>
            <w:r>
              <w:rPr>
                <w:rFonts w:eastAsia="宋体" w:hint="eastAsia"/>
                <w:b/>
                <w:color w:val="FF0000"/>
                <w:kern w:val="2"/>
                <w:sz w:val="21"/>
                <w:szCs w:val="21"/>
                <w:lang w:eastAsia="zh-CN"/>
              </w:rPr>
              <w:t>★</w:t>
            </w:r>
            <w:r>
              <w:rPr>
                <w:rFonts w:ascii="宋体" w:eastAsia="宋体" w:hAnsi="宋体" w:hint="eastAsia"/>
                <w:b/>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rPr>
          <w:trHeight w:val="434"/>
        </w:trPr>
        <w:tc>
          <w:tcPr>
            <w:tcW w:w="772" w:type="dxa"/>
            <w:vAlign w:val="center"/>
          </w:tcPr>
          <w:p>
            <w:pPr>
              <w:widowControl w:val="0"/>
              <w:adjustRightInd w:val="0"/>
              <w:snapToGrid w:val="0"/>
              <w:spacing w:line="276"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8207" w:type="dxa"/>
            <w:vAlign w:val="center"/>
          </w:tcPr>
          <w:p>
            <w:pPr>
              <w:widowControl w:val="0"/>
              <w:adjustRightInd w:val="0"/>
              <w:snapToGrid w:val="0"/>
              <w:spacing w:line="276" w:lineRule="auto"/>
              <w:jc w:val="center"/>
              <w:rPr>
                <w:rFonts w:eastAsia="宋体" w:hAnsi="宋体" w:hint="eastAsia"/>
                <w:sz w:val="21"/>
                <w:szCs w:val="21"/>
                <w:lang w:eastAsia="zh-CN"/>
              </w:rPr>
            </w:pPr>
            <w:r>
              <w:rPr>
                <w:rFonts w:eastAsia="宋体" w:hAnsi="宋体" w:hint="eastAsia"/>
                <w:b/>
                <w:bCs/>
                <w:color w:val="FF0000"/>
                <w:sz w:val="21"/>
                <w:szCs w:val="21"/>
                <w:lang w:eastAsia="zh-CN"/>
              </w:rPr>
              <w:t>满足本项目标★的条款要求</w:t>
            </w:r>
            <w:r>
              <w:rPr>
                <w:rFonts w:eastAsia="宋体" w:hAnsi="宋体" w:hint="eastAsia"/>
                <w:b/>
                <w:bCs/>
                <w:color w:val="FF0000"/>
                <w:sz w:val="21"/>
                <w:szCs w:val="21"/>
                <w:lang w:eastAsia="zh-CN"/>
              </w:rPr>
              <w:t>。</w:t>
            </w:r>
          </w:p>
        </w:tc>
      </w:tr>
    </w:tbl>
    <w:p>
      <w:pPr>
        <w:widowControl w:val="0"/>
        <w:spacing w:line="276" w:lineRule="auto"/>
        <w:jc w:val="both"/>
        <w:rPr>
          <w:rFonts w:eastAsia="宋体"/>
          <w:kern w:val="2"/>
          <w:sz w:val="21"/>
          <w:lang w:eastAsia="zh-CN"/>
        </w:rPr>
      </w:pPr>
      <w:r>
        <w:rPr>
          <w:rFonts w:eastAsia="宋体" w:hint="eastAsia"/>
          <w:kern w:val="2"/>
          <w:sz w:val="21"/>
          <w:lang w:eastAsia="zh-CN"/>
        </w:rPr>
        <w:t>注：上表所列内容为不可负偏离条款，负偏离将视为未实质性满足招标文件要求和条件作投标无效处理。</w:t>
      </w:r>
    </w:p>
    <w:p>
      <w:pPr>
        <w:widowControl w:val="0"/>
        <w:spacing w:after="120"/>
        <w:jc w:val="both"/>
        <w:rPr>
          <w:rFonts w:eastAsia="宋体"/>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cs="宋体"/>
          <w:b/>
          <w:bCs/>
          <w:color w:val="000000"/>
          <w:szCs w:val="22"/>
          <w:lang w:eastAsia="zh-CN" w:bidi="ar"/>
        </w:rPr>
      </w:pPr>
      <w:r>
        <w:rPr>
          <w:rFonts w:ascii="宋体" w:eastAsia="宋体" w:hAnsi="宋体" w:hint="eastAsia"/>
          <w:b/>
          <w:bCs/>
          <w:szCs w:val="20"/>
          <w:lang w:eastAsia="zh-CN"/>
        </w:rPr>
        <w:t>五、</w:t>
      </w:r>
      <w:r>
        <w:rPr>
          <w:rFonts w:ascii="宋体" w:eastAsia="宋体" w:hAnsi="宋体" w:hint="eastAsia"/>
          <w:b/>
          <w:bCs/>
          <w:lang w:eastAsia="zh-CN"/>
        </w:rPr>
        <w:t>技术</w:t>
      </w:r>
      <w:r>
        <w:rPr>
          <w:rFonts w:ascii="宋体" w:eastAsia="宋体" w:hAnsi="宋体" w:hint="eastAsia"/>
          <w:b/>
          <w:bCs/>
          <w:szCs w:val="20"/>
          <w:lang w:eastAsia="zh-CN"/>
        </w:rPr>
        <w:t>要求</w:t>
      </w:r>
    </w:p>
    <w:p>
      <w:pPr>
        <w:widowControl w:val="0"/>
        <w:numPr>
          <w:ilvl w:val="0"/>
          <w:numId w:val="4"/>
        </w:numPr>
        <w:spacing w:before="260" w:after="260"/>
        <w:jc w:val="both"/>
        <w:outlineLvl w:val="2"/>
        <w:rPr>
          <w:rFonts w:ascii="宋体" w:eastAsia="宋体" w:hAnsi="宋体" w:cs="宋体"/>
          <w:b/>
          <w:bCs/>
          <w:szCs w:val="32"/>
          <w:lang w:eastAsia="zh-CN" w:bidi="ar"/>
        </w:rPr>
      </w:pPr>
      <w:r>
        <w:rPr>
          <w:rFonts w:ascii="宋体" w:eastAsia="宋体" w:hAnsi="宋体" w:cstheme="minorBidi" w:hint="eastAsia"/>
          <w:b/>
          <w:kern w:val="2"/>
          <w:sz w:val="28"/>
          <w:szCs w:val="28"/>
          <w:lang w:eastAsia="zh-CN"/>
        </w:rPr>
        <w:t>配套服务平台/软件技术要求</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说明：</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1.评分时，如对一项招标技术要求（以划分框为准）中的内容存在两处（或以上）负偏离的，在评分时只作一项负偏离扣分。</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2.本项目招标技术要求中，</w:t>
      </w:r>
      <w:r>
        <w:rPr>
          <w:rFonts w:ascii="宋体" w:eastAsia="宋体" w:hAnsi="宋体" w:cs="宋体" w:hint="eastAsia"/>
          <w:b/>
          <w:color w:val="FF0000"/>
          <w:kern w:val="2"/>
          <w:sz w:val="21"/>
          <w:lang w:eastAsia="zh-CN"/>
        </w:rPr>
        <w:t>在备注中有明确说明提供证明资料的指标项均要求提供证明资料，共9项</w:t>
      </w:r>
      <w:r>
        <w:rPr>
          <w:rFonts w:ascii="宋体" w:eastAsia="宋体" w:hAnsi="宋体" w:cs="宋体" w:hint="eastAsia"/>
          <w:b/>
          <w:kern w:val="2"/>
          <w:sz w:val="21"/>
          <w:lang w:eastAsia="zh-CN"/>
        </w:rPr>
        <w:t>；其余指标项未要求提供证明资料，无需提供相关证明资料。如投标人未按要求提供的，或提供的材料未能证明所投产品响应情况的，则该参数视为没有满足招标文件要求，将根据参数情况产生以下影响：</w:t>
      </w:r>
    </w:p>
    <w:p>
      <w:pPr>
        <w:widowControl w:val="0"/>
        <w:ind w:firstLine="420" w:firstLineChars="200"/>
        <w:jc w:val="both"/>
        <w:rPr>
          <w:rFonts w:ascii="宋体" w:eastAsia="宋体" w:hAnsi="宋体" w:cs="宋体"/>
          <w:b/>
          <w:color w:val="FF0000"/>
          <w:kern w:val="2"/>
          <w:sz w:val="21"/>
          <w:lang w:eastAsia="zh-CN"/>
        </w:rPr>
      </w:pPr>
      <w:r>
        <w:rPr>
          <w:rFonts w:ascii="宋体" w:eastAsia="宋体" w:hAnsi="宋体" w:cs="宋体" w:hint="eastAsia"/>
          <w:b/>
          <w:color w:val="FF0000"/>
          <w:kern w:val="2"/>
          <w:sz w:val="21"/>
          <w:lang w:eastAsia="zh-CN"/>
        </w:rPr>
        <w:t>（1）如项目技术要求中设置了“★”号的参数，则该项参数为关键性技术指标，投标人所投产品必须满足，否则视为没有实质性满足招标文件要求。</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（2）如项目技术要求中设置了“▲”号的参数，则该项参数为重要技术指标，将在“产品技术指标符合程度评价”评分项中作为重点评价指标。</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（3）如项目技术要求中未设置“</w:t>
      </w:r>
      <w:r>
        <w:rPr>
          <w:rFonts w:ascii="宋体" w:eastAsia="宋体" w:hAnsi="宋体" w:cs="宋体" w:hint="eastAsia"/>
          <w:b/>
          <w:color w:val="FF0000"/>
          <w:kern w:val="2"/>
          <w:sz w:val="21"/>
          <w:lang w:eastAsia="zh-CN"/>
        </w:rPr>
        <w:t>★</w:t>
      </w:r>
      <w:r>
        <w:rPr>
          <w:rFonts w:ascii="宋体" w:eastAsia="宋体" w:hAnsi="宋体" w:cs="宋体" w:hint="eastAsia"/>
          <w:b/>
          <w:kern w:val="2"/>
          <w:sz w:val="21"/>
          <w:lang w:eastAsia="zh-CN"/>
        </w:rPr>
        <w:t>”或“▲”号的参数，则该项参数为普通技术指标，将在“产品技术指标符合程度评价”评分项中作为评价指标。</w:t>
      </w:r>
    </w:p>
    <w:p>
      <w:pPr>
        <w:widowControl w:val="0"/>
        <w:ind w:firstLine="420" w:firstLineChars="200"/>
        <w:jc w:val="both"/>
        <w:rPr>
          <w:rFonts w:ascii="宋体" w:eastAsia="宋体" w:hAnsi="宋体" w:cs="宋体"/>
          <w:b/>
          <w:color w:val="FF0000"/>
          <w:kern w:val="2"/>
          <w:sz w:val="21"/>
          <w:lang w:eastAsia="zh-CN"/>
        </w:rPr>
      </w:pPr>
      <w:r>
        <w:rPr>
          <w:rFonts w:ascii="宋体" w:eastAsia="宋体" w:hAnsi="宋体" w:cs="宋体" w:hint="eastAsia"/>
          <w:b/>
          <w:color w:val="FF0000"/>
          <w:kern w:val="2"/>
          <w:sz w:val="21"/>
          <w:lang w:eastAsia="zh-CN"/>
        </w:rPr>
        <w:t>3.涉及区间的技术要求，除特别注明以外，所投产品范围涵盖对应的区间即认定为满足该项技术要求。例：区间要求为5-20ML，所投产品范围最小值≤5ML，范围最大值≥20ML，即为满足该项技术要求。</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4.相关证明材料的产品（或功能）名称与招标技术要求的系统（或功能）名称不一致的，需提供为同种产品的说明；若名称不一致又未提供说明的，由评审委员会判定是否符合文件要求。</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5.本项目若投标人提供的服务系统平台名称与招标技术要求中的服务系统平台名称不一致的，需提供为同种产品的说明；若名称不一致又未提供说明的，由评审委员会判定是否符合文件要求。</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6.检验（检测）报告要求具有CMA等标识的，若有材料证明相关检测事项不在实施该项检测的机构许可（认可）CMA等资质范围或检测范围内的，该检验（检测）报告视为不满足招标文件要求，作负偏离处理。</w:t>
      </w:r>
    </w:p>
    <w:p>
      <w:pPr>
        <w:widowControl w:val="0"/>
        <w:ind w:firstLine="420" w:firstLineChars="200"/>
        <w:jc w:val="both"/>
        <w:rPr>
          <w:rFonts w:ascii="宋体" w:eastAsia="宋体" w:hAnsi="宋体" w:cs="宋体"/>
          <w:b/>
          <w:kern w:val="2"/>
          <w:sz w:val="21"/>
          <w:lang w:eastAsia="zh-CN"/>
        </w:rPr>
      </w:pPr>
    </w:p>
    <w:tbl>
      <w:tblPr>
        <w:tblStyle w:val="TableNormal"/>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467"/>
        <w:gridCol w:w="922"/>
        <w:gridCol w:w="1162"/>
        <w:gridCol w:w="4236"/>
        <w:gridCol w:w="2291"/>
      </w:tblGrid>
      <w:tr>
        <w:tblPrEx>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Ex>
        <w:trPr>
          <w:trHeight w:val="705"/>
        </w:trPr>
        <w:tc>
          <w:tcPr>
            <w:tcW w:w="257" w:type="pct"/>
            <w:shd w:val="clear" w:color="auto" w:fill="D9D9D9"/>
            <w:noWrap/>
            <w:vAlign w:val="center"/>
          </w:tcPr>
          <w:p>
            <w:pPr>
              <w:widowControl/>
              <w:jc w:val="center"/>
              <w:textAlignment w:val="center"/>
              <w:rPr>
                <w:rFonts w:ascii="宋体" w:eastAsia="宋体" w:hAnsi="宋体" w:cs="宋体"/>
                <w:b/>
                <w:bCs/>
                <w:kern w:val="2"/>
                <w:sz w:val="21"/>
                <w:szCs w:val="21"/>
                <w:lang w:eastAsia="zh-CN"/>
              </w:rPr>
            </w:pPr>
            <w:r>
              <w:rPr>
                <w:rFonts w:ascii="宋体" w:eastAsia="宋体" w:hAnsi="宋体" w:cs="宋体" w:hint="eastAsia"/>
                <w:b/>
                <w:bCs/>
                <w:sz w:val="21"/>
                <w:szCs w:val="21"/>
                <w:lang w:eastAsia="zh-CN" w:bidi="ar"/>
              </w:rPr>
              <w:t>序号</w:t>
            </w:r>
          </w:p>
        </w:tc>
        <w:tc>
          <w:tcPr>
            <w:tcW w:w="508" w:type="pct"/>
            <w:shd w:val="clear" w:color="auto" w:fill="D9D9D9"/>
            <w:noWrap/>
            <w:vAlign w:val="center"/>
          </w:tcPr>
          <w:p>
            <w:pPr>
              <w:widowControl/>
              <w:jc w:val="center"/>
              <w:textAlignment w:val="center"/>
              <w:rPr>
                <w:rFonts w:ascii="宋体" w:eastAsia="宋体" w:hAnsi="宋体" w:cs="宋体"/>
                <w:b/>
                <w:bCs/>
                <w:kern w:val="2"/>
                <w:sz w:val="21"/>
                <w:szCs w:val="21"/>
                <w:lang w:eastAsia="zh-CN"/>
              </w:rPr>
            </w:pPr>
            <w:r>
              <w:rPr>
                <w:rFonts w:ascii="宋体" w:eastAsia="宋体" w:hAnsi="宋体" w:cs="宋体" w:hint="eastAsia"/>
                <w:b/>
                <w:bCs/>
                <w:sz w:val="21"/>
                <w:szCs w:val="21"/>
                <w:lang w:eastAsia="zh-CN" w:bidi="ar"/>
              </w:rPr>
              <w:t>服务系统平台名称</w:t>
            </w:r>
          </w:p>
        </w:tc>
        <w:tc>
          <w:tcPr>
            <w:tcW w:w="640" w:type="pct"/>
            <w:shd w:val="clear" w:color="auto" w:fill="D9D9D9"/>
            <w:noWrap/>
            <w:vAlign w:val="center"/>
          </w:tcPr>
          <w:p>
            <w:pPr>
              <w:widowControl/>
              <w:jc w:val="center"/>
              <w:textAlignment w:val="center"/>
              <w:rPr>
                <w:rFonts w:ascii="宋体" w:eastAsia="宋体" w:hAnsi="宋体" w:cs="宋体"/>
                <w:b/>
                <w:bCs/>
                <w:kern w:val="2"/>
                <w:sz w:val="21"/>
                <w:szCs w:val="21"/>
                <w:lang w:eastAsia="zh-CN"/>
              </w:rPr>
            </w:pPr>
            <w:r>
              <w:rPr>
                <w:rFonts w:ascii="宋体" w:eastAsia="宋体" w:hAnsi="宋体" w:cs="宋体" w:hint="eastAsia"/>
                <w:b/>
                <w:bCs/>
                <w:sz w:val="21"/>
                <w:szCs w:val="21"/>
                <w:lang w:eastAsia="zh-CN" w:bidi="ar"/>
              </w:rPr>
              <w:t>功能模块</w:t>
            </w:r>
          </w:p>
        </w:tc>
        <w:tc>
          <w:tcPr>
            <w:tcW w:w="2332" w:type="pct"/>
            <w:shd w:val="clear" w:color="auto" w:fill="D9D9D9"/>
            <w:noWrap/>
            <w:vAlign w:val="center"/>
          </w:tcPr>
          <w:p>
            <w:pPr>
              <w:widowControl/>
              <w:jc w:val="center"/>
              <w:textAlignment w:val="center"/>
              <w:rPr>
                <w:rFonts w:ascii="宋体" w:eastAsia="宋体" w:hAnsi="宋体" w:cs="宋体"/>
                <w:b/>
                <w:bCs/>
                <w:kern w:val="2"/>
                <w:sz w:val="21"/>
                <w:szCs w:val="21"/>
                <w:lang w:eastAsia="zh-CN"/>
              </w:rPr>
            </w:pPr>
            <w:r>
              <w:rPr>
                <w:rFonts w:ascii="宋体" w:eastAsia="宋体" w:hAnsi="宋体" w:cs="宋体" w:hint="eastAsia"/>
                <w:b/>
                <w:bCs/>
                <w:sz w:val="21"/>
                <w:szCs w:val="21"/>
                <w:lang w:eastAsia="zh-CN" w:bidi="ar"/>
              </w:rPr>
              <w:t>招标技术要求</w:t>
            </w:r>
          </w:p>
        </w:tc>
        <w:tc>
          <w:tcPr>
            <w:tcW w:w="1259" w:type="pct"/>
            <w:shd w:val="clear" w:color="auto" w:fill="D9D9D9"/>
            <w:noWrap/>
            <w:vAlign w:val="center"/>
          </w:tcPr>
          <w:p>
            <w:pPr>
              <w:widowControl/>
              <w:jc w:val="center"/>
              <w:textAlignment w:val="center"/>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备注</w:t>
            </w:r>
          </w:p>
        </w:tc>
      </w:tr>
      <w:tr>
        <w:tblPrEx>
          <w:tblW w:w="5000" w:type="pct"/>
          <w:tblInd w:w="0" w:type="dxa"/>
          <w:tblLayout w:type="fixed"/>
          <w:tblCellMar>
            <w:top w:w="0" w:type="dxa"/>
            <w:left w:w="108" w:type="dxa"/>
            <w:bottom w:w="0" w:type="dxa"/>
            <w:right w:w="108" w:type="dxa"/>
          </w:tblCellMar>
        </w:tblPrEx>
        <w:trPr>
          <w:trHeight w:val="90"/>
        </w:trPr>
        <w:tc>
          <w:tcPr>
            <w:tcW w:w="257" w:type="pct"/>
            <w:vMerge w:val="restart"/>
            <w:shd w:val="clear" w:color="auto" w:fill="auto"/>
            <w:vAlign w:val="center"/>
          </w:tcPr>
          <w:p>
            <w:pPr>
              <w:widowControl/>
              <w:jc w:val="center"/>
              <w:textAlignment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1</w:t>
            </w:r>
          </w:p>
        </w:tc>
        <w:tc>
          <w:tcPr>
            <w:tcW w:w="508" w:type="pct"/>
            <w:vMerge w:val="restart"/>
            <w:vAlign w:val="center"/>
          </w:tcPr>
          <w:p>
            <w:pPr>
              <w:widowControl/>
              <w:jc w:val="both"/>
              <w:textAlignment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个体化3D模型重建（胸腹部手术规划）服务平台</w:t>
            </w:r>
          </w:p>
        </w:tc>
        <w:tc>
          <w:tcPr>
            <w:tcW w:w="4233" w:type="pct"/>
            <w:gridSpan w:val="3"/>
            <w:noWrap/>
            <w:vAlign w:val="center"/>
          </w:tcPr>
          <w:p>
            <w:pPr>
              <w:widowControl w:val="0"/>
              <w:jc w:val="both"/>
              <w:rPr>
                <w:rFonts w:ascii="宋体" w:eastAsia="宋体" w:hAnsi="宋体" w:cs="宋体"/>
                <w:sz w:val="21"/>
                <w:szCs w:val="21"/>
                <w:lang w:eastAsia="zh-CN" w:bidi="ar"/>
              </w:rPr>
            </w:pPr>
            <w:r>
              <w:rPr>
                <w:rFonts w:ascii="宋体" w:eastAsia="宋体" w:hAnsi="宋体" w:cs="宋体" w:hint="eastAsia"/>
                <w:b/>
                <w:bCs/>
                <w:sz w:val="21"/>
                <w:szCs w:val="21"/>
                <w:lang w:eastAsia="zh-CN" w:bidi="ar"/>
              </w:rPr>
              <w:t>一、认证要求：</w:t>
            </w:r>
          </w:p>
        </w:tc>
      </w:tr>
      <w:tr>
        <w:tblPrEx>
          <w:tblW w:w="5000" w:type="pct"/>
          <w:tblInd w:w="0" w:type="dxa"/>
          <w:tblLayout w:type="fixed"/>
          <w:tblCellMar>
            <w:top w:w="0" w:type="dxa"/>
            <w:left w:w="108" w:type="dxa"/>
            <w:bottom w:w="0" w:type="dxa"/>
            <w:right w:w="108" w:type="dxa"/>
          </w:tblCellMar>
        </w:tblPrEx>
        <w:trPr>
          <w:trHeight w:val="604"/>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jc w:val="center"/>
              <w:textAlignment w:val="center"/>
              <w:rPr>
                <w:rFonts w:ascii="宋体" w:eastAsia="宋体" w:hAnsi="宋体" w:cs="宋体"/>
                <w:sz w:val="21"/>
                <w:szCs w:val="21"/>
                <w:lang w:eastAsia="zh-CN" w:bidi="ar"/>
              </w:rPr>
            </w:pPr>
          </w:p>
        </w:tc>
        <w:tc>
          <w:tcPr>
            <w:tcW w:w="640" w:type="pct"/>
            <w:noWrap/>
            <w:vAlign w:val="center"/>
          </w:tcPr>
          <w:p>
            <w:pPr>
              <w:widowControl/>
              <w:jc w:val="both"/>
              <w:textAlignment w:val="center"/>
              <w:rPr>
                <w:rFonts w:ascii="宋体" w:eastAsia="宋体" w:hAnsi="宋体" w:cs="宋体"/>
                <w:b/>
                <w:bCs/>
                <w:color w:val="FF0000"/>
                <w:sz w:val="21"/>
                <w:szCs w:val="21"/>
                <w:lang w:eastAsia="zh-CN" w:bidi="ar"/>
              </w:rPr>
            </w:pPr>
            <w:r>
              <w:rPr>
                <w:rFonts w:ascii="宋体" w:eastAsia="宋体" w:hAnsi="宋体" w:cs="宋体" w:hint="eastAsia"/>
                <w:b/>
                <w:bCs/>
                <w:color w:val="FF0000"/>
                <w:sz w:val="21"/>
                <w:szCs w:val="21"/>
                <w:lang w:eastAsia="zh-CN" w:bidi="ar"/>
              </w:rPr>
              <w:t>1.产品认证</w:t>
            </w:r>
          </w:p>
        </w:tc>
        <w:tc>
          <w:tcPr>
            <w:tcW w:w="2332" w:type="pct"/>
            <w:noWrap/>
            <w:vAlign w:val="center"/>
          </w:tcPr>
          <w:p>
            <w:pPr>
              <w:widowControl/>
              <w:jc w:val="both"/>
              <w:textAlignment w:val="center"/>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产品具备相关主管部门要求的认证资料：所投产品为第一类医疗器械的，提供医疗行业主管部门签发的有效的《医疗器械备案凭证》；所投产品为第二、三类医疗器械的，提供医疗行业主管部门签发的涵盖所投产品的《医疗器械注册证》（有效期内）。</w:t>
            </w:r>
          </w:p>
        </w:tc>
        <w:tc>
          <w:tcPr>
            <w:tcW w:w="1259" w:type="pct"/>
            <w:noWrap/>
            <w:vAlign w:val="center"/>
          </w:tcPr>
          <w:p>
            <w:pPr>
              <w:widowControl w:val="0"/>
              <w:jc w:val="both"/>
              <w:rPr>
                <w:rFonts w:ascii="宋体" w:eastAsia="宋体" w:hAnsi="宋体" w:cs="宋体"/>
                <w:sz w:val="21"/>
                <w:szCs w:val="21"/>
                <w:lang w:eastAsia="zh-CN" w:bidi="ar"/>
              </w:rPr>
            </w:pPr>
            <w:r>
              <w:rPr>
                <w:rFonts w:ascii="宋体" w:eastAsia="宋体" w:hAnsi="宋体" w:cs="宋体" w:hint="eastAsia"/>
                <w:b/>
                <w:color w:val="FF0000"/>
                <w:sz w:val="21"/>
                <w:szCs w:val="21"/>
                <w:lang w:eastAsia="zh-CN" w:bidi="ar"/>
              </w:rPr>
              <w:t>提供相关证明扫描件。</w:t>
            </w:r>
          </w:p>
        </w:tc>
      </w:tr>
      <w:tr>
        <w:tblPrEx>
          <w:tblW w:w="5000" w:type="pct"/>
          <w:tblInd w:w="0" w:type="dxa"/>
          <w:tblLayout w:type="fixed"/>
          <w:tblCellMar>
            <w:top w:w="0" w:type="dxa"/>
            <w:left w:w="108" w:type="dxa"/>
            <w:bottom w:w="0" w:type="dxa"/>
            <w:right w:w="108" w:type="dxa"/>
          </w:tblCellMar>
        </w:tblPrEx>
        <w:trPr>
          <w:trHeight w:val="604"/>
        </w:trPr>
        <w:tc>
          <w:tcPr>
            <w:tcW w:w="257" w:type="pct"/>
            <w:vMerge/>
            <w:shd w:val="clear" w:color="auto" w:fill="auto"/>
            <w:vAlign w:val="center"/>
          </w:tcPr>
          <w:p>
            <w:pPr>
              <w:widowControl/>
              <w:jc w:val="center"/>
              <w:textAlignment w:val="center"/>
              <w:rPr>
                <w:rFonts w:ascii="宋体" w:eastAsia="宋体" w:hAnsi="宋体" w:cs="宋体"/>
                <w:sz w:val="21"/>
                <w:szCs w:val="21"/>
                <w:lang w:eastAsia="zh-CN" w:bidi="ar"/>
              </w:rPr>
            </w:pPr>
          </w:p>
        </w:tc>
        <w:tc>
          <w:tcPr>
            <w:tcW w:w="508" w:type="pct"/>
            <w:vMerge/>
            <w:vAlign w:val="center"/>
          </w:tcPr>
          <w:p>
            <w:pPr>
              <w:widowControl/>
              <w:jc w:val="center"/>
              <w:textAlignment w:val="center"/>
              <w:rPr>
                <w:rFonts w:ascii="宋体" w:eastAsia="宋体" w:hAnsi="宋体" w:cs="宋体"/>
                <w:sz w:val="21"/>
                <w:szCs w:val="21"/>
                <w:lang w:eastAsia="zh-CN" w:bidi="ar"/>
              </w:rPr>
            </w:pPr>
          </w:p>
        </w:tc>
        <w:tc>
          <w:tcPr>
            <w:tcW w:w="4233" w:type="pct"/>
            <w:gridSpan w:val="3"/>
            <w:noWrap/>
            <w:vAlign w:val="center"/>
          </w:tcPr>
          <w:p>
            <w:pPr>
              <w:widowControl w:val="0"/>
              <w:jc w:val="both"/>
              <w:rPr>
                <w:rFonts w:ascii="宋体" w:eastAsia="宋体" w:hAnsi="宋体" w:cs="宋体"/>
                <w:sz w:val="21"/>
                <w:szCs w:val="21"/>
                <w:lang w:eastAsia="zh-CN" w:bidi="ar"/>
              </w:rPr>
            </w:pPr>
            <w:r>
              <w:rPr>
                <w:rFonts w:ascii="宋体" w:eastAsia="宋体" w:hAnsi="宋体" w:cs="宋体" w:hint="eastAsia"/>
                <w:b/>
                <w:bCs/>
                <w:sz w:val="21"/>
                <w:szCs w:val="21"/>
                <w:lang w:eastAsia="zh-CN" w:bidi="ar"/>
              </w:rPr>
              <w:t>二、功能要求：</w:t>
            </w:r>
          </w:p>
        </w:tc>
      </w:tr>
      <w:tr>
        <w:tblPrEx>
          <w:tblW w:w="5000" w:type="pct"/>
          <w:tblInd w:w="0" w:type="dxa"/>
          <w:tblLayout w:type="fixed"/>
          <w:tblCellMar>
            <w:top w:w="0" w:type="dxa"/>
            <w:left w:w="108" w:type="dxa"/>
            <w:bottom w:w="0" w:type="dxa"/>
            <w:right w:w="108" w:type="dxa"/>
          </w:tblCellMar>
        </w:tblPrEx>
        <w:trPr>
          <w:trHeight w:val="604"/>
        </w:trPr>
        <w:tc>
          <w:tcPr>
            <w:tcW w:w="257" w:type="pct"/>
            <w:vMerge/>
            <w:shd w:val="clear" w:color="auto" w:fill="auto"/>
            <w:vAlign w:val="center"/>
          </w:tcPr>
          <w:p>
            <w:pPr>
              <w:widowControl/>
              <w:jc w:val="center"/>
              <w:textAlignment w:val="center"/>
              <w:rPr>
                <w:rFonts w:ascii="宋体" w:eastAsia="宋体" w:hAnsi="宋体" w:cs="宋体"/>
                <w:sz w:val="21"/>
                <w:szCs w:val="21"/>
                <w:lang w:eastAsia="zh-CN" w:bidi="ar"/>
              </w:rPr>
            </w:pPr>
          </w:p>
        </w:tc>
        <w:tc>
          <w:tcPr>
            <w:tcW w:w="508" w:type="pct"/>
            <w:vMerge/>
            <w:vAlign w:val="center"/>
          </w:tcPr>
          <w:p>
            <w:pPr>
              <w:widowControl/>
              <w:jc w:val="center"/>
              <w:textAlignment w:val="center"/>
              <w:rPr>
                <w:rFonts w:ascii="宋体" w:eastAsia="宋体" w:hAnsi="宋体" w:cs="宋体"/>
                <w:kern w:val="2"/>
                <w:sz w:val="21"/>
                <w:szCs w:val="21"/>
                <w:lang w:eastAsia="zh-CN"/>
              </w:rPr>
            </w:pPr>
          </w:p>
        </w:tc>
        <w:tc>
          <w:tcPr>
            <w:tcW w:w="640" w:type="pct"/>
            <w:vMerge w:val="restart"/>
            <w:noWrap/>
            <w:vAlign w:val="center"/>
          </w:tcPr>
          <w:p>
            <w:pPr>
              <w:widowControl/>
              <w:jc w:val="both"/>
              <w:textAlignment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1.病例管理</w:t>
            </w: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kern w:val="2"/>
                <w:sz w:val="21"/>
                <w:szCs w:val="21"/>
                <w:lang w:eastAsia="zh-CN"/>
              </w:rPr>
              <w:t>1.1：具备对工程数据进行打开、移除、合并、检索功能。</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604"/>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jc w:val="both"/>
              <w:textAlignment w:val="center"/>
              <w:rPr>
                <w:rFonts w:ascii="宋体" w:eastAsia="宋体" w:hAnsi="宋体" w:cs="宋体"/>
                <w:kern w:val="2"/>
                <w:sz w:val="21"/>
                <w:szCs w:val="21"/>
                <w:lang w:eastAsia="zh-CN"/>
              </w:rPr>
            </w:pPr>
          </w:p>
        </w:tc>
        <w:tc>
          <w:tcPr>
            <w:tcW w:w="640" w:type="pct"/>
            <w:vMerge/>
            <w:noWrap/>
            <w:vAlign w:val="center"/>
          </w:tcPr>
          <w:p>
            <w:pPr>
              <w:widowControl/>
              <w:jc w:val="both"/>
              <w:textAlignment w:val="center"/>
              <w:rPr>
                <w:rFonts w:ascii="宋体" w:eastAsia="宋体" w:hAnsi="宋体" w:cs="宋体"/>
                <w:kern w:val="2"/>
                <w:sz w:val="21"/>
                <w:szCs w:val="21"/>
                <w:lang w:eastAsia="zh-CN"/>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kern w:val="2"/>
                <w:sz w:val="21"/>
                <w:szCs w:val="21"/>
                <w:lang w:eastAsia="zh-CN"/>
              </w:rPr>
              <w:t>1.2：具备显示查看DICOM影像数据信息。</w:t>
            </w:r>
          </w:p>
        </w:tc>
        <w:tc>
          <w:tcPr>
            <w:tcW w:w="1259" w:type="pct"/>
            <w:noWrap/>
            <w:vAlign w:val="center"/>
          </w:tcPr>
          <w:p>
            <w:pPr>
              <w:widowControl/>
              <w:jc w:val="both"/>
              <w:textAlignment w:val="center"/>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604"/>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jc w:val="both"/>
              <w:textAlignment w:val="center"/>
              <w:rPr>
                <w:rFonts w:ascii="宋体" w:eastAsia="宋体" w:hAnsi="宋体" w:cs="宋体"/>
                <w:sz w:val="21"/>
                <w:szCs w:val="21"/>
                <w:lang w:eastAsia="zh-CN" w:bidi="ar"/>
              </w:rPr>
            </w:pPr>
          </w:p>
        </w:tc>
        <w:tc>
          <w:tcPr>
            <w:tcW w:w="640" w:type="pct"/>
            <w:vMerge/>
            <w:noWrap/>
            <w:vAlign w:val="center"/>
          </w:tcPr>
          <w:p>
            <w:pPr>
              <w:widowControl/>
              <w:jc w:val="both"/>
              <w:textAlignment w:val="center"/>
              <w:rPr>
                <w:rFonts w:ascii="宋体" w:eastAsia="宋体" w:hAnsi="宋体" w:cs="宋体"/>
                <w:sz w:val="21"/>
                <w:szCs w:val="21"/>
                <w:lang w:eastAsia="zh-CN" w:bidi="ar"/>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kern w:val="2"/>
                <w:sz w:val="21"/>
                <w:szCs w:val="21"/>
                <w:lang w:eastAsia="zh-CN"/>
              </w:rPr>
              <w:t>1.3：界面支持分割数据查看、支持二维与三维的测量信息查看、支持二维原始图像预览。</w:t>
            </w:r>
          </w:p>
        </w:tc>
        <w:tc>
          <w:tcPr>
            <w:tcW w:w="1259" w:type="pct"/>
            <w:noWrap/>
            <w:vAlign w:val="center"/>
          </w:tcPr>
          <w:p>
            <w:pPr>
              <w:widowControl/>
              <w:jc w:val="both"/>
              <w:textAlignment w:val="center"/>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604"/>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jc w:val="both"/>
              <w:textAlignment w:val="center"/>
              <w:rPr>
                <w:rFonts w:ascii="宋体" w:eastAsia="宋体" w:hAnsi="宋体" w:cs="宋体"/>
                <w:sz w:val="21"/>
                <w:szCs w:val="21"/>
                <w:lang w:eastAsia="zh-CN" w:bidi="ar"/>
              </w:rPr>
            </w:pPr>
          </w:p>
        </w:tc>
        <w:tc>
          <w:tcPr>
            <w:tcW w:w="640" w:type="pct"/>
            <w:vMerge/>
            <w:noWrap/>
            <w:vAlign w:val="center"/>
          </w:tcPr>
          <w:p>
            <w:pPr>
              <w:widowControl/>
              <w:jc w:val="both"/>
              <w:textAlignment w:val="center"/>
              <w:rPr>
                <w:rFonts w:ascii="宋体" w:eastAsia="宋体" w:hAnsi="宋体" w:cs="宋体"/>
                <w:sz w:val="21"/>
                <w:szCs w:val="21"/>
                <w:lang w:eastAsia="zh-CN" w:bidi="ar"/>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kern w:val="2"/>
                <w:sz w:val="21"/>
                <w:szCs w:val="21"/>
                <w:lang w:eastAsia="zh-CN"/>
              </w:rPr>
              <w:t>1.4：提供智能数据录入及病例归档，满足多学科多病种研究。</w:t>
            </w:r>
          </w:p>
        </w:tc>
        <w:tc>
          <w:tcPr>
            <w:tcW w:w="1259" w:type="pct"/>
            <w:noWrap/>
            <w:vAlign w:val="center"/>
          </w:tcPr>
          <w:p>
            <w:pPr>
              <w:widowControl/>
              <w:jc w:val="both"/>
              <w:textAlignment w:val="center"/>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34"/>
        </w:trPr>
        <w:tc>
          <w:tcPr>
            <w:tcW w:w="257" w:type="pct"/>
            <w:vMerge/>
            <w:shd w:val="clear" w:color="auto" w:fill="auto"/>
            <w:vAlign w:val="center"/>
          </w:tcPr>
          <w:p>
            <w:pPr>
              <w:widowControl/>
              <w:jc w:val="center"/>
              <w:textAlignment w:val="center"/>
              <w:rPr>
                <w:rFonts w:ascii="宋体" w:eastAsia="宋体" w:hAnsi="宋体" w:cs="宋体"/>
                <w:sz w:val="21"/>
                <w:szCs w:val="21"/>
                <w:lang w:eastAsia="zh-CN" w:bidi="ar"/>
              </w:rPr>
            </w:pPr>
          </w:p>
        </w:tc>
        <w:tc>
          <w:tcPr>
            <w:tcW w:w="508" w:type="pct"/>
            <w:vMerge/>
            <w:vAlign w:val="center"/>
          </w:tcPr>
          <w:p>
            <w:pPr>
              <w:widowControl/>
              <w:jc w:val="both"/>
              <w:textAlignment w:val="center"/>
              <w:rPr>
                <w:rFonts w:ascii="宋体" w:eastAsia="宋体" w:hAnsi="宋体" w:cs="宋体"/>
                <w:kern w:val="2"/>
                <w:sz w:val="21"/>
                <w:szCs w:val="21"/>
                <w:lang w:eastAsia="zh-CN"/>
              </w:rPr>
            </w:pPr>
          </w:p>
        </w:tc>
        <w:tc>
          <w:tcPr>
            <w:tcW w:w="640" w:type="pct"/>
            <w:vMerge w:val="restart"/>
            <w:noWrap/>
            <w:vAlign w:val="center"/>
          </w:tcPr>
          <w:p>
            <w:pPr>
              <w:widowControl/>
              <w:jc w:val="both"/>
              <w:textAlignment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2.数据格式</w:t>
            </w: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kern w:val="2"/>
                <w:sz w:val="21"/>
                <w:szCs w:val="21"/>
                <w:lang w:eastAsia="zh-CN"/>
              </w:rPr>
              <w:t>2.1：支持DICOM3.0格式的CT/MRI数据，PET-CT数据。</w:t>
            </w:r>
          </w:p>
        </w:tc>
        <w:tc>
          <w:tcPr>
            <w:tcW w:w="1259" w:type="pct"/>
            <w:noWrap/>
            <w:vAlign w:val="center"/>
          </w:tcPr>
          <w:p>
            <w:pPr>
              <w:widowControl/>
              <w:jc w:val="both"/>
              <w:textAlignment w:val="center"/>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794"/>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jc w:val="both"/>
              <w:textAlignment w:val="center"/>
              <w:rPr>
                <w:rFonts w:ascii="宋体" w:eastAsia="宋体" w:hAnsi="宋体" w:cs="宋体"/>
                <w:kern w:val="2"/>
                <w:sz w:val="21"/>
                <w:szCs w:val="21"/>
                <w:lang w:eastAsia="zh-CN"/>
              </w:rPr>
            </w:pPr>
          </w:p>
        </w:tc>
        <w:tc>
          <w:tcPr>
            <w:tcW w:w="640" w:type="pct"/>
            <w:vMerge/>
            <w:noWrap/>
            <w:vAlign w:val="center"/>
          </w:tcPr>
          <w:p>
            <w:pPr>
              <w:widowControl/>
              <w:jc w:val="both"/>
              <w:textAlignment w:val="center"/>
              <w:rPr>
                <w:rFonts w:ascii="宋体" w:eastAsia="宋体" w:hAnsi="宋体" w:cs="宋体"/>
                <w:kern w:val="2"/>
                <w:sz w:val="21"/>
                <w:szCs w:val="21"/>
                <w:lang w:eastAsia="zh-CN"/>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kern w:val="2"/>
                <w:sz w:val="21"/>
                <w:szCs w:val="21"/>
                <w:lang w:eastAsia="zh-CN"/>
              </w:rPr>
              <w:t>2.2：具有DCM、STL、YPF、phcf格式数据的展示及处理功能。</w:t>
            </w:r>
          </w:p>
        </w:tc>
        <w:tc>
          <w:tcPr>
            <w:tcW w:w="1259" w:type="pct"/>
            <w:noWrap/>
            <w:vAlign w:val="center"/>
          </w:tcPr>
          <w:p>
            <w:pPr>
              <w:widowControl/>
              <w:jc w:val="both"/>
              <w:textAlignment w:val="center"/>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877"/>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jc w:val="both"/>
              <w:textAlignment w:val="center"/>
              <w:rPr>
                <w:rFonts w:ascii="宋体" w:eastAsia="宋体" w:hAnsi="宋体" w:cs="宋体"/>
                <w:kern w:val="2"/>
                <w:sz w:val="21"/>
                <w:szCs w:val="21"/>
                <w:lang w:eastAsia="zh-CN"/>
              </w:rPr>
            </w:pPr>
          </w:p>
        </w:tc>
        <w:tc>
          <w:tcPr>
            <w:tcW w:w="640" w:type="pct"/>
            <w:vMerge/>
            <w:noWrap/>
            <w:vAlign w:val="center"/>
          </w:tcPr>
          <w:p>
            <w:pPr>
              <w:widowControl/>
              <w:jc w:val="both"/>
              <w:textAlignment w:val="center"/>
              <w:rPr>
                <w:rFonts w:ascii="宋体" w:eastAsia="宋体" w:hAnsi="宋体" w:cs="宋体"/>
                <w:kern w:val="2"/>
                <w:sz w:val="21"/>
                <w:szCs w:val="21"/>
                <w:lang w:eastAsia="zh-CN"/>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2.3：支持并兼容VR/AR/MR/手术机器人等智能应用。</w:t>
            </w:r>
          </w:p>
        </w:tc>
        <w:tc>
          <w:tcPr>
            <w:tcW w:w="1259" w:type="pct"/>
            <w:noWrap/>
            <w:vAlign w:val="center"/>
          </w:tcPr>
          <w:p>
            <w:pPr>
              <w:widowControl/>
              <w:jc w:val="both"/>
              <w:textAlignment w:val="center"/>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402"/>
        </w:trPr>
        <w:tc>
          <w:tcPr>
            <w:tcW w:w="257" w:type="pct"/>
            <w:vMerge/>
            <w:shd w:val="clear" w:color="auto" w:fill="auto"/>
            <w:vAlign w:val="center"/>
          </w:tcPr>
          <w:p>
            <w:pPr>
              <w:widowControl w:val="0"/>
              <w:jc w:val="center"/>
              <w:rPr>
                <w:rFonts w:ascii="宋体" w:eastAsia="宋体" w:hAnsi="宋体" w:cs="宋体"/>
                <w:kern w:val="2"/>
                <w:sz w:val="21"/>
                <w:szCs w:val="21"/>
                <w:lang w:eastAsia="zh-CN"/>
              </w:rPr>
            </w:pPr>
          </w:p>
        </w:tc>
        <w:tc>
          <w:tcPr>
            <w:tcW w:w="508" w:type="pct"/>
            <w:vMerge/>
            <w:vAlign w:val="center"/>
          </w:tcPr>
          <w:p>
            <w:pPr>
              <w:widowControl/>
              <w:jc w:val="center"/>
              <w:textAlignment w:val="center"/>
              <w:rPr>
                <w:rFonts w:ascii="宋体" w:eastAsia="宋体" w:hAnsi="宋体" w:cs="宋体"/>
                <w:sz w:val="21"/>
                <w:szCs w:val="21"/>
                <w:lang w:eastAsia="zh-CN" w:bidi="ar"/>
              </w:rPr>
            </w:pPr>
          </w:p>
        </w:tc>
        <w:tc>
          <w:tcPr>
            <w:tcW w:w="640" w:type="pct"/>
            <w:vMerge w:val="restar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3.视图功能</w:t>
            </w: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b/>
                <w:bCs/>
                <w:sz w:val="21"/>
                <w:szCs w:val="21"/>
                <w:lang w:eastAsia="zh-CN" w:bidi="ar"/>
              </w:rPr>
              <w:t>3.1多期融合视图：</w:t>
            </w:r>
          </w:p>
        </w:tc>
        <w:tc>
          <w:tcPr>
            <w:tcW w:w="1259" w:type="pct"/>
            <w:shd w:val="clear" w:color="auto" w:fill="auto"/>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1029"/>
        </w:trPr>
        <w:tc>
          <w:tcPr>
            <w:tcW w:w="257" w:type="pct"/>
            <w:vMerge/>
            <w:shd w:val="clear" w:color="auto" w:fill="auto"/>
            <w:vAlign w:val="center"/>
          </w:tcPr>
          <w:p>
            <w:pPr>
              <w:widowControl w:val="0"/>
              <w:jc w:val="center"/>
              <w:rPr>
                <w:rFonts w:ascii="宋体" w:eastAsia="宋体" w:hAnsi="宋体" w:cs="宋体"/>
                <w:kern w:val="2"/>
                <w:sz w:val="21"/>
                <w:szCs w:val="21"/>
                <w:lang w:eastAsia="zh-CN"/>
              </w:rPr>
            </w:pPr>
          </w:p>
        </w:tc>
        <w:tc>
          <w:tcPr>
            <w:tcW w:w="508" w:type="pct"/>
            <w:vMerge/>
            <w:vAlign w:val="center"/>
          </w:tcPr>
          <w:p>
            <w:pPr>
              <w:widowControl/>
              <w:jc w:val="center"/>
              <w:textAlignment w:val="center"/>
              <w:rPr>
                <w:rFonts w:ascii="宋体" w:eastAsia="宋体" w:hAnsi="宋体" w:cs="宋体"/>
                <w:sz w:val="21"/>
                <w:szCs w:val="21"/>
                <w:lang w:eastAsia="zh-CN" w:bidi="ar"/>
              </w:rPr>
            </w:pPr>
          </w:p>
        </w:tc>
        <w:tc>
          <w:tcPr>
            <w:tcW w:w="640" w:type="pct"/>
            <w:vMerge/>
            <w:noWrap/>
            <w:vAlign w:val="center"/>
          </w:tcPr>
          <w:p>
            <w:pPr>
              <w:widowControl/>
              <w:jc w:val="both"/>
              <w:textAlignment w:val="center"/>
              <w:rPr>
                <w:rFonts w:ascii="宋体" w:eastAsia="宋体" w:hAnsi="宋体" w:cs="宋体"/>
                <w:sz w:val="21"/>
                <w:szCs w:val="21"/>
                <w:lang w:eastAsia="zh-CN" w:bidi="ar"/>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3.1.1:支持二维影像数据多期相对比阅片，如胸肺CT扫描：动脉期、静脉期、平扫期等数据支持融合查看。</w:t>
            </w:r>
          </w:p>
        </w:tc>
        <w:tc>
          <w:tcPr>
            <w:tcW w:w="1259" w:type="pct"/>
            <w:shd w:val="clear" w:color="auto" w:fill="auto"/>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881"/>
        </w:trPr>
        <w:tc>
          <w:tcPr>
            <w:tcW w:w="257" w:type="pct"/>
            <w:vMerge/>
            <w:shd w:val="clear" w:color="auto" w:fill="auto"/>
            <w:vAlign w:val="center"/>
          </w:tcPr>
          <w:p>
            <w:pPr>
              <w:widowControl w:val="0"/>
              <w:jc w:val="center"/>
              <w:rPr>
                <w:rFonts w:ascii="宋体" w:eastAsia="宋体" w:hAnsi="宋体" w:cs="宋体"/>
                <w:sz w:val="21"/>
                <w:szCs w:val="21"/>
                <w:lang w:eastAsia="zh-CN" w:bidi="ar"/>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val="0"/>
              <w:jc w:val="both"/>
              <w:rPr>
                <w:rFonts w:ascii="宋体" w:eastAsia="宋体" w:hAnsi="宋体" w:cs="宋体"/>
                <w:kern w:val="2"/>
                <w:sz w:val="21"/>
                <w:szCs w:val="21"/>
                <w:lang w:eastAsia="zh-CN"/>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3.1.2:满足MRCP数据实现AI三维可视化重建，支持融合其他工程数据一起查看。</w:t>
            </w:r>
          </w:p>
        </w:tc>
        <w:tc>
          <w:tcPr>
            <w:tcW w:w="1259" w:type="pct"/>
            <w:shd w:val="clear" w:color="auto" w:fill="auto"/>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496"/>
        </w:trPr>
        <w:tc>
          <w:tcPr>
            <w:tcW w:w="257" w:type="pct"/>
            <w:vMerge/>
            <w:shd w:val="clear" w:color="auto" w:fill="auto"/>
            <w:vAlign w:val="center"/>
          </w:tcPr>
          <w:p>
            <w:pPr>
              <w:widowControl w:val="0"/>
              <w:jc w:val="center"/>
              <w:rPr>
                <w:rFonts w:ascii="宋体" w:eastAsia="宋体" w:hAnsi="宋体" w:cs="宋体"/>
                <w:sz w:val="21"/>
                <w:szCs w:val="21"/>
                <w:lang w:eastAsia="zh-CN" w:bidi="ar"/>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val="0"/>
              <w:jc w:val="both"/>
              <w:rPr>
                <w:rFonts w:ascii="宋体" w:eastAsia="宋体" w:hAnsi="宋体" w:cs="宋体"/>
                <w:kern w:val="2"/>
                <w:sz w:val="21"/>
                <w:szCs w:val="21"/>
                <w:lang w:eastAsia="zh-CN"/>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b/>
                <w:bCs/>
                <w:sz w:val="21"/>
                <w:szCs w:val="21"/>
                <w:lang w:eastAsia="zh-CN" w:bidi="ar"/>
              </w:rPr>
              <w:t>3.2二维视图：</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1096"/>
        </w:trPr>
        <w:tc>
          <w:tcPr>
            <w:tcW w:w="257" w:type="pct"/>
            <w:vMerge/>
            <w:shd w:val="clear" w:color="auto" w:fill="auto"/>
            <w:vAlign w:val="center"/>
          </w:tcPr>
          <w:p>
            <w:pPr>
              <w:widowControl w:val="0"/>
              <w:jc w:val="center"/>
              <w:rPr>
                <w:rFonts w:ascii="宋体" w:eastAsia="宋体" w:hAnsi="宋体" w:cs="宋体"/>
                <w:sz w:val="21"/>
                <w:szCs w:val="21"/>
                <w:lang w:eastAsia="zh-CN" w:bidi="ar"/>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val="0"/>
              <w:jc w:val="both"/>
              <w:rPr>
                <w:rFonts w:ascii="宋体" w:eastAsia="宋体" w:hAnsi="宋体" w:cs="宋体"/>
                <w:kern w:val="2"/>
                <w:sz w:val="21"/>
                <w:szCs w:val="21"/>
                <w:lang w:eastAsia="zh-CN"/>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3.2.1:组合视图阅片，各视图可自由切换、放大缩小、多种鼠标交互方式查看、定点跟踪显示坐标位置、阈值显示等。</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578"/>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both"/>
              <w:rPr>
                <w:rFonts w:ascii="宋体" w:eastAsia="宋体" w:hAnsi="宋体" w:cs="宋体"/>
                <w:kern w:val="2"/>
                <w:sz w:val="21"/>
                <w:szCs w:val="21"/>
                <w:lang w:eastAsia="zh-CN"/>
              </w:rPr>
            </w:pPr>
          </w:p>
        </w:tc>
        <w:tc>
          <w:tcPr>
            <w:tcW w:w="640" w:type="pct"/>
            <w:vMerge/>
            <w:noWrap/>
            <w:vAlign w:val="center"/>
          </w:tcPr>
          <w:p>
            <w:pPr>
              <w:widowControl w:val="0"/>
              <w:jc w:val="both"/>
              <w:rPr>
                <w:rFonts w:ascii="宋体" w:eastAsia="宋体" w:hAnsi="宋体" w:cs="宋体"/>
                <w:kern w:val="2"/>
                <w:sz w:val="21"/>
                <w:szCs w:val="21"/>
                <w:lang w:eastAsia="zh-CN"/>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3.2.2:进行分割数据查看，颜色调节等。</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578"/>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both"/>
              <w:rPr>
                <w:rFonts w:ascii="宋体" w:eastAsia="宋体" w:hAnsi="宋体" w:cs="宋体"/>
                <w:sz w:val="21"/>
                <w:szCs w:val="21"/>
                <w:lang w:eastAsia="zh-CN" w:bidi="ar"/>
              </w:rPr>
            </w:pPr>
          </w:p>
        </w:tc>
        <w:tc>
          <w:tcPr>
            <w:tcW w:w="640" w:type="pct"/>
            <w:vMerge/>
            <w:noWrap/>
            <w:vAlign w:val="center"/>
          </w:tcPr>
          <w:p>
            <w:pPr>
              <w:widowControl w:val="0"/>
              <w:jc w:val="both"/>
              <w:rPr>
                <w:rFonts w:ascii="宋体" w:eastAsia="宋体" w:hAnsi="宋体" w:cs="宋体"/>
                <w:sz w:val="21"/>
                <w:szCs w:val="21"/>
                <w:lang w:eastAsia="zh-CN" w:bidi="ar"/>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3.2.3:具备包围盒功能，便于调节和显示需要的二维图像区域。</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578"/>
        </w:trPr>
        <w:tc>
          <w:tcPr>
            <w:tcW w:w="257" w:type="pct"/>
            <w:vMerge/>
            <w:shd w:val="clear" w:color="auto" w:fill="auto"/>
            <w:vAlign w:val="center"/>
          </w:tcPr>
          <w:p>
            <w:pPr>
              <w:widowControl w:val="0"/>
              <w:jc w:val="center"/>
              <w:rPr>
                <w:rFonts w:ascii="宋体" w:eastAsia="宋体" w:hAnsi="宋体" w:cs="宋体"/>
                <w:kern w:val="2"/>
                <w:sz w:val="21"/>
                <w:szCs w:val="21"/>
                <w:lang w:eastAsia="zh-CN"/>
              </w:rPr>
            </w:pPr>
          </w:p>
        </w:tc>
        <w:tc>
          <w:tcPr>
            <w:tcW w:w="508" w:type="pct"/>
            <w:vMerge/>
            <w:vAlign w:val="center"/>
          </w:tcPr>
          <w:p>
            <w:pPr>
              <w:widowControl w:val="0"/>
              <w:jc w:val="both"/>
              <w:rPr>
                <w:rFonts w:ascii="宋体" w:eastAsia="宋体" w:hAnsi="宋体" w:cs="宋体"/>
                <w:sz w:val="21"/>
                <w:szCs w:val="21"/>
                <w:lang w:eastAsia="zh-CN" w:bidi="ar"/>
              </w:rPr>
            </w:pPr>
          </w:p>
        </w:tc>
        <w:tc>
          <w:tcPr>
            <w:tcW w:w="640" w:type="pct"/>
            <w:vMerge/>
            <w:noWrap/>
            <w:vAlign w:val="center"/>
          </w:tcPr>
          <w:p>
            <w:pPr>
              <w:widowControl w:val="0"/>
              <w:jc w:val="both"/>
              <w:rPr>
                <w:rFonts w:ascii="宋体" w:eastAsia="宋体" w:hAnsi="宋体" w:cs="宋体"/>
                <w:sz w:val="21"/>
                <w:szCs w:val="21"/>
                <w:lang w:eastAsia="zh-CN" w:bidi="ar"/>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3.2.4:具备窗宽窗位调整、MPR显示、任意斜面显示等二维图像视图功能。</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735"/>
        </w:trPr>
        <w:tc>
          <w:tcPr>
            <w:tcW w:w="257" w:type="pct"/>
            <w:vMerge/>
            <w:shd w:val="clear" w:color="auto" w:fill="auto"/>
            <w:vAlign w:val="center"/>
          </w:tcPr>
          <w:p>
            <w:pPr>
              <w:widowControl w:val="0"/>
              <w:jc w:val="center"/>
              <w:rPr>
                <w:rFonts w:ascii="宋体" w:eastAsia="宋体" w:hAnsi="宋体" w:cs="宋体"/>
                <w:sz w:val="21"/>
                <w:szCs w:val="21"/>
                <w:lang w:eastAsia="zh-CN" w:bidi="ar"/>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val="0"/>
              <w:jc w:val="both"/>
              <w:rPr>
                <w:rFonts w:ascii="宋体" w:eastAsia="宋体" w:hAnsi="宋体" w:cs="宋体"/>
                <w:kern w:val="2"/>
                <w:sz w:val="21"/>
                <w:szCs w:val="21"/>
                <w:lang w:eastAsia="zh-CN"/>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3.3:交互视图：支持三维数据映射到二维图像进行校验对比。</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441"/>
        </w:trPr>
        <w:tc>
          <w:tcPr>
            <w:tcW w:w="257" w:type="pct"/>
            <w:vMerge/>
            <w:shd w:val="clear" w:color="auto" w:fill="auto"/>
            <w:vAlign w:val="center"/>
          </w:tcPr>
          <w:p>
            <w:pPr>
              <w:widowControl w:val="0"/>
              <w:jc w:val="center"/>
              <w:rPr>
                <w:rFonts w:ascii="宋体" w:eastAsia="宋体" w:hAnsi="宋体" w:cs="宋体"/>
                <w:sz w:val="21"/>
                <w:szCs w:val="21"/>
                <w:lang w:eastAsia="zh-CN" w:bidi="ar"/>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val="0"/>
              <w:jc w:val="both"/>
              <w:rPr>
                <w:rFonts w:ascii="宋体" w:eastAsia="宋体" w:hAnsi="宋体" w:cs="宋体"/>
                <w:kern w:val="2"/>
                <w:sz w:val="21"/>
                <w:szCs w:val="21"/>
                <w:lang w:eastAsia="zh-CN"/>
              </w:rPr>
            </w:pPr>
          </w:p>
        </w:tc>
        <w:tc>
          <w:tcPr>
            <w:tcW w:w="2332" w:type="pct"/>
            <w:noWrap/>
            <w:vAlign w:val="center"/>
          </w:tcPr>
          <w:p>
            <w:pPr>
              <w:widowControl/>
              <w:jc w:val="both"/>
              <w:textAlignment w:val="center"/>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3.4三维视图：</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1081"/>
        </w:trPr>
        <w:tc>
          <w:tcPr>
            <w:tcW w:w="257" w:type="pct"/>
            <w:vMerge/>
            <w:shd w:val="clear" w:color="auto" w:fill="auto"/>
            <w:vAlign w:val="center"/>
          </w:tcPr>
          <w:p>
            <w:pPr>
              <w:widowControl w:val="0"/>
              <w:jc w:val="center"/>
              <w:rPr>
                <w:rFonts w:ascii="宋体" w:eastAsia="宋体" w:hAnsi="宋体" w:cs="宋体"/>
                <w:sz w:val="21"/>
                <w:szCs w:val="21"/>
                <w:lang w:eastAsia="zh-CN" w:bidi="ar"/>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val="0"/>
              <w:jc w:val="both"/>
              <w:rPr>
                <w:rFonts w:ascii="宋体" w:eastAsia="宋体" w:hAnsi="宋体" w:cs="宋体"/>
                <w:kern w:val="2"/>
                <w:sz w:val="21"/>
                <w:szCs w:val="21"/>
                <w:lang w:eastAsia="zh-CN"/>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3.4.1:实现三维可视化重建组织和器官的单独显示、任意组合、任意颜色和透明度的调节、可透视不同器官内部结构。</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773"/>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both"/>
              <w:rPr>
                <w:rFonts w:ascii="宋体" w:eastAsia="宋体" w:hAnsi="宋体" w:cs="宋体"/>
                <w:kern w:val="2"/>
                <w:sz w:val="21"/>
                <w:szCs w:val="21"/>
                <w:lang w:eastAsia="zh-CN"/>
              </w:rPr>
            </w:pPr>
          </w:p>
        </w:tc>
        <w:tc>
          <w:tcPr>
            <w:tcW w:w="640" w:type="pct"/>
            <w:vMerge/>
            <w:noWrap/>
            <w:vAlign w:val="center"/>
          </w:tcPr>
          <w:p>
            <w:pPr>
              <w:widowControl w:val="0"/>
              <w:jc w:val="both"/>
              <w:rPr>
                <w:rFonts w:ascii="宋体" w:eastAsia="宋体" w:hAnsi="宋体" w:cs="宋体"/>
                <w:kern w:val="2"/>
                <w:sz w:val="21"/>
                <w:szCs w:val="21"/>
                <w:lang w:eastAsia="zh-CN"/>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3.4.2:实现各视图自由切换，实现360°任意角度查看三维模型，放大缩小，六个面指定查看。</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773"/>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both"/>
              <w:rPr>
                <w:rFonts w:ascii="宋体" w:eastAsia="宋体" w:hAnsi="宋体" w:cs="宋体"/>
                <w:sz w:val="21"/>
                <w:szCs w:val="21"/>
                <w:lang w:eastAsia="zh-CN" w:bidi="ar"/>
              </w:rPr>
            </w:pPr>
          </w:p>
        </w:tc>
        <w:tc>
          <w:tcPr>
            <w:tcW w:w="640" w:type="pct"/>
            <w:vMerge/>
            <w:noWrap/>
            <w:vAlign w:val="center"/>
          </w:tcPr>
          <w:p>
            <w:pPr>
              <w:widowControl w:val="0"/>
              <w:jc w:val="both"/>
              <w:rPr>
                <w:rFonts w:ascii="宋体" w:eastAsia="宋体" w:hAnsi="宋体" w:cs="宋体"/>
                <w:sz w:val="21"/>
                <w:szCs w:val="21"/>
                <w:lang w:eastAsia="zh-CN" w:bidi="ar"/>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3.4.3:单独显示或组合显示人体器官组织、血管、占位等三维模型。</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773"/>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both"/>
              <w:rPr>
                <w:rFonts w:ascii="宋体" w:eastAsia="宋体" w:hAnsi="宋体" w:cs="宋体"/>
                <w:sz w:val="21"/>
                <w:szCs w:val="21"/>
                <w:lang w:eastAsia="zh-CN" w:bidi="ar"/>
              </w:rPr>
            </w:pPr>
          </w:p>
        </w:tc>
        <w:tc>
          <w:tcPr>
            <w:tcW w:w="640" w:type="pct"/>
            <w:vMerge/>
            <w:noWrap/>
            <w:vAlign w:val="center"/>
          </w:tcPr>
          <w:p>
            <w:pPr>
              <w:widowControl w:val="0"/>
              <w:jc w:val="both"/>
              <w:rPr>
                <w:rFonts w:ascii="宋体" w:eastAsia="宋体" w:hAnsi="宋体" w:cs="宋体"/>
                <w:sz w:val="21"/>
                <w:szCs w:val="21"/>
                <w:lang w:eastAsia="zh-CN" w:bidi="ar"/>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3.4.4:支持模型标记、截图、背景调节、模型复位、录屏。</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73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val="0"/>
              <w:jc w:val="both"/>
              <w:rPr>
                <w:rFonts w:ascii="宋体" w:eastAsia="宋体" w:hAnsi="宋体" w:cs="宋体"/>
                <w:kern w:val="2"/>
                <w:sz w:val="21"/>
                <w:szCs w:val="21"/>
                <w:lang w:eastAsia="zh-CN"/>
              </w:rPr>
            </w:pPr>
          </w:p>
        </w:tc>
        <w:tc>
          <w:tcPr>
            <w:tcW w:w="2332" w:type="pct"/>
            <w:noWrap/>
            <w:vAlign w:val="center"/>
          </w:tcPr>
          <w:p>
            <w:pPr>
              <w:widowControl/>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3.5:图像/坐标定位：通过三维标记点，快速对二维图像进行十字标记点定位，显示坐标位置。</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val="restart"/>
            <w:noWrap/>
            <w:vAlign w:val="center"/>
          </w:tcPr>
          <w:p>
            <w:pPr>
              <w:widowControl/>
              <w:ind w:left="210" w:hanging="210" w:hangingChars="100"/>
              <w:jc w:val="both"/>
              <w:textAlignment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4.可视化模块</w:t>
            </w:r>
          </w:p>
        </w:tc>
        <w:tc>
          <w:tcPr>
            <w:tcW w:w="2332" w:type="pct"/>
            <w:noWrap/>
            <w:vAlign w:val="center"/>
          </w:tcPr>
          <w:p>
            <w:pPr>
              <w:widowControl/>
              <w:jc w:val="both"/>
              <w:textAlignment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4.1：AI器官可视化：通过AI实现医学影像多器官、皮肤等三维可视化重建，满足临床外科诊疗及科研应用。</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4.2：AI血管可视化：通过AI实现医学影像血管的精准三维可视化重建，血管丰富程度可达4级及以上，血管细节丰富。</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4.3：AI病变可视化：通过AI实现医学影像占位三维可视化重建，支持占位内血管显示，病变形态真实。</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4.4：胸外科三维可视化：支持快速医学影像肺分叶、肺分段精准三维可视化重建查看；实现肺结节、肺部肿瘤等与肺动脉、肺静脉、气管精准远端分支的可视化；实现多级气道与血管分支可视化查看，肺部形态真实；实现食管肿瘤精准可视化重建。提供肺部CT平扫期相数据即可实现三维可视化重建。</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4.5：肺分段可视化：通过肺部水平裂 、斜裂实现自动肺分叶，通过气管分段实现肺段、亚段、次亚段。</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4.6：肺血管流域分析：具有动静脉血管流域的肺分段手术规划功能，个体化选择动静脉血管分支，根据分支血管的血液供应流域，进行模拟肺分段规划，辅助临床开展肺段，肺亚段手术切除入路规划。</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4.7：肝胆脾胰外科可视化：可实现医学影像肝脏、胆囊、脾脏、副脾、胰腺、门静脉、肝静脉、下腔静脉、动脉、十二指肠、占位病变等精准三维可视化重建。</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4.8：泌尿外科三维可视化：可实现医学影像肾脏、肾结石、肿瘤与肾动脉、肾静脉、肾盂、输尿管、膀胱等精准三维可视化重建；实现自动化肾动脉流域分段。</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4.9：妇科三维可视化：支持分割算法实现医学影像子宫、附件、宫腔、直肠、骨盆、占位等精准三维可视化重建。</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4.10：胃肠外科三维可视化：支持分割算法实现医学影像胃、十二指肠、结肠、动脉、静脉等精准三维可视化重建。</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4.11：骨科三维可视化：支持分割算法实现医学影像骨骼、动脉、静脉、占位等精准三维可视化重建。</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4.12：头颈外科三维可视化：支持分割算法实现医学影像头颅、动脉、静脉、占位等精准三维可视化重建。</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4.13：神经外科三维可视化：支持分割算法实现医学影像骨骼、动脉、静脉、占位等精准三维可视化重建。</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4.14：乳腺外科三维可视化：支持分割算法实现医学影像乳腺、动脉、静脉、占位等精准三维可视化重建。</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val="restart"/>
            <w:noWrap/>
            <w:vAlign w:val="center"/>
          </w:tcPr>
          <w:p>
            <w:pPr>
              <w:widowControl/>
              <w:ind w:left="210" w:hanging="210" w:hangingChars="100"/>
              <w:jc w:val="center"/>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5.测量模块</w:t>
            </w: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5.1：分割数据预览：二维分割数据支持构建三维预览，实时捕捉二维分割数据删除、添加、编辑等三维模型的变化情况。</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5.2：三维测量：支持测量结果保存与删除、文本标记、圆环标记；</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测量功能包括但不限于：体积测量、线段测量、正交测量、角度测量、表面积测量、轮廓工具测量、长短径测量、厚度测量、最近距离及横截面积测量。</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5.3：二维测量：支持测量结果保存与删除、文本标记、圆环标记、主界面显示测量所在期项与图像的坐标位置；</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测量功能包括但不限于：距离测量、二维线段测量、正交测量、角度测量、轮廓测量工具、面积测量与平均ct值测量。</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val="restart"/>
            <w:noWrap/>
            <w:vAlign w:val="center"/>
          </w:tcPr>
          <w:p>
            <w:pPr>
              <w:widowControl/>
              <w:ind w:left="210" w:hanging="210" w:hangingChars="100"/>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6.手术规划模块</w:t>
            </w: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6.1：病灶扩展/R0切除：具有占位扩展功能，依据占位形态边缘扩展参数为：1-50mm。占位扩展规划，以安全切缘为基础的，辅助设计肿瘤完整切除的手术入路设计方案。</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▲6.2：肺结节筛查：通过AI筛查结节，肺结节辅助诊断技术，精准计算肺结节的位置、直径大小、确诊概率、危险程度分析等，支持阅片端软件显示操作。</w:t>
            </w:r>
          </w:p>
        </w:tc>
        <w:tc>
          <w:tcPr>
            <w:tcW w:w="1259" w:type="pct"/>
            <w:noWrap/>
            <w:vAlign w:val="center"/>
          </w:tcPr>
          <w:p>
            <w:pPr>
              <w:widowControl w:val="0"/>
              <w:jc w:val="both"/>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提供系统功能截图证明材料扫描件，要求内容能体现满足上述参数要求。</w:t>
            </w: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▲6.3：虚拟内窥镜：满足临床软镜与硬镜使用，针对支气管、胆管、输尿管等通过管腔内路线设定，进行漫游导航，查找病灶。</w:t>
            </w:r>
          </w:p>
        </w:tc>
        <w:tc>
          <w:tcPr>
            <w:tcW w:w="1259" w:type="pct"/>
            <w:noWrap/>
            <w:vAlign w:val="center"/>
          </w:tcPr>
          <w:p>
            <w:pPr>
              <w:widowControl w:val="0"/>
              <w:jc w:val="both"/>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提供系统功能截图证明材料扫描件，要求内容能体现满足上述参数要求。</w:t>
            </w: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▲6.4：射频消融规划：可通过二维进行消融针长针、短针进行模拟布针；可模拟对占位进行消融球范围调节，计算出消融针与皮肤之间的角度、深度。</w:t>
            </w:r>
          </w:p>
        </w:tc>
        <w:tc>
          <w:tcPr>
            <w:tcW w:w="1259" w:type="pct"/>
            <w:noWrap/>
            <w:vAlign w:val="center"/>
          </w:tcPr>
          <w:p>
            <w:pPr>
              <w:widowControl w:val="0"/>
              <w:jc w:val="both"/>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提供系统功能截图证明材料扫描件，要求内容能体现满足上述参数要求。</w:t>
            </w:r>
          </w:p>
        </w:tc>
      </w:tr>
      <w:tr>
        <w:tblPrEx>
          <w:tblW w:w="5000" w:type="pct"/>
          <w:tblInd w:w="0" w:type="dxa"/>
          <w:tblLayout w:type="fixed"/>
          <w:tblCellMar>
            <w:top w:w="0" w:type="dxa"/>
            <w:left w:w="108" w:type="dxa"/>
            <w:bottom w:w="0" w:type="dxa"/>
            <w:right w:w="108" w:type="dxa"/>
          </w:tblCellMar>
        </w:tblPrEx>
        <w:trPr>
          <w:trHeight w:val="1720"/>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6.5：腔镜增强现实融合导航：实现术前个体化三维模型与腔镜手术视频图像实时融合，可从多个角度、不同层面在腔镜画面中显示解剖结构，从而达到增强现实的视觉效果，同时可融合术中荧光ICG分子影像技术实现术中导航。</w:t>
            </w:r>
          </w:p>
        </w:tc>
        <w:tc>
          <w:tcPr>
            <w:tcW w:w="1259" w:type="pct"/>
            <w:noWrap/>
            <w:vAlign w:val="center"/>
          </w:tcPr>
          <w:p>
            <w:pPr>
              <w:widowControl w:val="0"/>
              <w:jc w:val="both"/>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提供系统功能截图证明材料扫描件，要求内容能体现满足上述参数要求。</w:t>
            </w:r>
          </w:p>
        </w:tc>
      </w:tr>
      <w:tr>
        <w:tblPrEx>
          <w:tblW w:w="5000" w:type="pct"/>
          <w:tblInd w:w="0" w:type="dxa"/>
          <w:tblLayout w:type="fixed"/>
          <w:tblCellMar>
            <w:top w:w="0" w:type="dxa"/>
            <w:left w:w="108" w:type="dxa"/>
            <w:bottom w:w="0" w:type="dxa"/>
            <w:right w:w="108" w:type="dxa"/>
          </w:tblCellMar>
        </w:tblPrEx>
        <w:trPr>
          <w:trHeight w:val="1260"/>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6.6：介入穿刺模块：可实时模拟三维穿刺路径，查看穿刺针与器官关系。量化穿刺点距离皮肤表面标识点距离，辅助经皮穿刺定位。</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6.7：肝脏解剖性切除：具有门静脉血管流域的肝段手术规划功能，根据分支血管的血液供应流域，进行模拟肝段规划，辅助临床开展肝段、肝亚段手术切除入路规划。</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6.8：肾脏解剖性切除：根据肾动脉流域走向，实现自动左肾、右肾各五段流域分段。制定肾脏局部切除手术方案。</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▲6.9：虚拟透视：用于查看各器官组织在横断面、矢状面、冠状面上的任一断面情况，观察肿瘤、集合系统、血管等在各层断面的位置关系。</w:t>
            </w:r>
          </w:p>
        </w:tc>
        <w:tc>
          <w:tcPr>
            <w:tcW w:w="1259" w:type="pct"/>
            <w:noWrap/>
            <w:vAlign w:val="center"/>
          </w:tcPr>
          <w:p>
            <w:pPr>
              <w:widowControl w:val="0"/>
              <w:jc w:val="both"/>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提供系统功能截图证明材料扫描件，要求内容能体现满足上述参数要求。</w:t>
            </w: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6.10：肾脏手术入路模拟：在肾脏肿瘤切除手术中，具有自动模拟出缝合面、计算截面积，设定最佳手术入路点，计算各入路点的距离角度等参数，入路路径作为导航路径进行内镜式漫游模拟，使得手术中避开其它腹部器官的影响。</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6.11：肾肿瘤定位：用于肾肿瘤的定位判断，可计算内生型肿瘤体积、表面积、最长径、肿瘤到肾上下级的最短距离、肿瘤距肾脏的最短投影窗位置等信息。</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6.12：表面映射分析：具有肿瘤/结节在表面映射投影的功能，可实现肿瘤/结节在器官表面、胸膜表面以及皮肤表面投影映射，方便定位；表面映射包含最短距离和任意角度映射两种模式。</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6.13：非解剖性曲面切除：①选择需要处理的面模型数据，设定多点生成裁切面，可对裁切面进行形变操作，快速生成曲面路径切除，辅助设计手术入路方案。</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②实现二维图像规划预切线，三维界面实时生成曲面切除。</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6.14：离断面查看：点选血管离断位置，实现血管离断，形成两个模型数据，查看两侧离断面情况。</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6.15：体积分析：具备个体化器官测量功能，一键快速测量每个器官的个体化段的体积；肿瘤体积测量功能，一键快速测量肿瘤体积。残肝比分析，具备残肝体积计算功能。</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670"/>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▲6.16：纹理分析：分析占位（病变）纹理特征。</w:t>
            </w:r>
          </w:p>
        </w:tc>
        <w:tc>
          <w:tcPr>
            <w:tcW w:w="1259" w:type="pct"/>
            <w:noWrap/>
            <w:vAlign w:val="center"/>
          </w:tcPr>
          <w:p>
            <w:pPr>
              <w:widowControl w:val="0"/>
              <w:jc w:val="both"/>
              <w:rPr>
                <w:rFonts w:ascii="宋体" w:eastAsia="宋体" w:hAnsi="宋体" w:cs="宋体"/>
                <w:sz w:val="21"/>
                <w:szCs w:val="21"/>
                <w:lang w:eastAsia="zh-CN" w:bidi="ar"/>
              </w:rPr>
            </w:pPr>
            <w:r>
              <w:rPr>
                <w:rFonts w:ascii="宋体" w:eastAsia="宋体" w:hAnsi="宋体" w:cs="宋体" w:hint="eastAsia"/>
                <w:b/>
                <w:bCs/>
                <w:sz w:val="21"/>
                <w:szCs w:val="21"/>
                <w:lang w:eastAsia="zh-CN" w:bidi="ar"/>
              </w:rPr>
              <w:t>提供系统功能截图证明材料扫描件，要求内容能体现满足上述参数要求。</w:t>
            </w:r>
          </w:p>
        </w:tc>
      </w:tr>
      <w:tr>
        <w:tblPrEx>
          <w:tblW w:w="5000" w:type="pct"/>
          <w:tblInd w:w="0" w:type="dxa"/>
          <w:tblLayout w:type="fixed"/>
          <w:tblCellMar>
            <w:top w:w="0" w:type="dxa"/>
            <w:left w:w="108" w:type="dxa"/>
            <w:bottom w:w="0" w:type="dxa"/>
            <w:right w:w="108" w:type="dxa"/>
          </w:tblCellMar>
        </w:tblPrEx>
        <w:trPr>
          <w:trHeight w:val="975"/>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noWrap/>
            <w:vAlign w:val="center"/>
          </w:tcPr>
          <w:p>
            <w:pPr>
              <w:widowControl/>
              <w:ind w:left="210" w:hanging="210" w:hangingChars="100"/>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7.重建结果查看模块</w:t>
            </w:r>
          </w:p>
        </w:tc>
        <w:tc>
          <w:tcPr>
            <w:tcW w:w="2332" w:type="pct"/>
            <w:noWrap/>
            <w:vAlign w:val="center"/>
          </w:tcPr>
          <w:p>
            <w:pPr>
              <w:widowControl w:val="0"/>
              <w:jc w:val="both"/>
              <w:rPr>
                <w:rFonts w:ascii="宋体" w:eastAsia="宋体" w:hAnsi="宋体" w:cs="宋体"/>
                <w:b/>
                <w:bCs/>
                <w:kern w:val="2"/>
                <w:sz w:val="21"/>
                <w:szCs w:val="21"/>
                <w:lang w:eastAsia="zh-CN"/>
              </w:rPr>
            </w:pPr>
            <w:r>
              <w:rPr>
                <w:rFonts w:ascii="宋体" w:eastAsia="宋体" w:hAnsi="宋体" w:cs="宋体" w:hint="eastAsia"/>
                <w:kern w:val="2"/>
                <w:sz w:val="21"/>
                <w:szCs w:val="21"/>
                <w:lang w:eastAsia="zh-CN"/>
              </w:rPr>
              <w:t>7.1：多终端交付：支持多终端访问，生成案例二维码功能，临床可以通过手机扫描案例二维码交互式查阅二维与三维图像结果。</w:t>
            </w:r>
          </w:p>
        </w:tc>
        <w:tc>
          <w:tcPr>
            <w:tcW w:w="1259" w:type="pct"/>
            <w:noWrap/>
            <w:vAlign w:val="center"/>
          </w:tcPr>
          <w:p>
            <w:pPr>
              <w:widowControl w:val="0"/>
              <w:jc w:val="both"/>
              <w:rPr>
                <w:rFonts w:ascii="宋体" w:eastAsia="宋体" w:hAnsi="宋体" w:cs="宋体"/>
                <w:sz w:val="21"/>
                <w:szCs w:val="21"/>
                <w:lang w:eastAsia="zh-CN" w:bidi="ar"/>
              </w:rPr>
            </w:pPr>
          </w:p>
        </w:tc>
      </w:tr>
      <w:tr>
        <w:tblPrEx>
          <w:tblW w:w="5000" w:type="pct"/>
          <w:tblInd w:w="0" w:type="dxa"/>
          <w:tblLayout w:type="fixed"/>
          <w:tblCellMar>
            <w:top w:w="0" w:type="dxa"/>
            <w:left w:w="108" w:type="dxa"/>
            <w:bottom w:w="0" w:type="dxa"/>
            <w:right w:w="108" w:type="dxa"/>
          </w:tblCellMar>
        </w:tblPrEx>
        <w:trPr>
          <w:trHeight w:val="1151"/>
        </w:trPr>
        <w:tc>
          <w:tcPr>
            <w:tcW w:w="257" w:type="pct"/>
            <w:vMerge/>
            <w:shd w:val="clear" w:color="auto" w:fill="auto"/>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val="restart"/>
            <w:noWrap/>
            <w:vAlign w:val="center"/>
          </w:tcPr>
          <w:p>
            <w:pPr>
              <w:widowControl/>
              <w:ind w:left="210" w:hanging="210" w:hangingChars="100"/>
              <w:jc w:val="both"/>
              <w:textAlignment w:val="center"/>
              <w:rPr>
                <w:rFonts w:ascii="宋体" w:eastAsia="宋体" w:hAnsi="宋体" w:cs="宋体"/>
                <w:sz w:val="21"/>
                <w:szCs w:val="21"/>
                <w:lang w:eastAsia="zh-CN" w:bidi="ar"/>
              </w:rPr>
            </w:pPr>
            <w:r>
              <w:rPr>
                <w:rFonts w:ascii="宋体" w:eastAsia="宋体" w:hAnsi="宋体" w:cs="宋体" w:hint="eastAsia"/>
                <w:sz w:val="21"/>
                <w:szCs w:val="21"/>
                <w:lang w:eastAsia="zh-CN" w:bidi="ar"/>
              </w:rPr>
              <w:t>8.存储传输平台</w:t>
            </w:r>
          </w:p>
        </w:tc>
        <w:tc>
          <w:tcPr>
            <w:tcW w:w="2332" w:type="pct"/>
            <w:noWrap/>
            <w:vAlign w:val="center"/>
          </w:tcPr>
          <w:p>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▲8.1：知识库平台：配套知识库平台，支持影像、临床数据等多模态数据检索导出，影像组学分析与AI算法模型建立，支持临床科研应用。</w:t>
            </w:r>
          </w:p>
        </w:tc>
        <w:tc>
          <w:tcPr>
            <w:tcW w:w="1259" w:type="pct"/>
            <w:noWrap/>
            <w:vAlign w:val="center"/>
          </w:tcPr>
          <w:p>
            <w:pPr>
              <w:widowControl w:val="0"/>
              <w:jc w:val="both"/>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提供</w:t>
            </w:r>
            <w:r>
              <w:rPr>
                <w:rFonts w:ascii="宋体" w:eastAsia="宋体" w:hAnsi="宋体" w:cs="宋体" w:hint="eastAsia"/>
                <w:b/>
                <w:bCs/>
                <w:kern w:val="2"/>
                <w:sz w:val="21"/>
                <w:szCs w:val="21"/>
                <w:lang w:eastAsia="zh-CN"/>
              </w:rPr>
              <w:t>系统</w:t>
            </w:r>
            <w:r>
              <w:rPr>
                <w:rFonts w:ascii="宋体" w:eastAsia="宋体" w:hAnsi="宋体" w:cs="宋体" w:hint="eastAsia"/>
                <w:b/>
                <w:bCs/>
                <w:sz w:val="21"/>
                <w:szCs w:val="21"/>
                <w:lang w:eastAsia="zh-CN" w:bidi="ar"/>
              </w:rPr>
              <w:t>功能截图证明材料扫描件，要求内容能体现满足上述参数要求。</w:t>
            </w:r>
          </w:p>
        </w:tc>
      </w:tr>
      <w:tr>
        <w:tblPrEx>
          <w:tblW w:w="5000" w:type="pct"/>
          <w:tblInd w:w="0" w:type="dxa"/>
          <w:tblLayout w:type="fixed"/>
          <w:tblCellMar>
            <w:top w:w="0" w:type="dxa"/>
            <w:left w:w="108" w:type="dxa"/>
            <w:bottom w:w="0" w:type="dxa"/>
            <w:right w:w="108" w:type="dxa"/>
          </w:tblCellMar>
        </w:tblPrEx>
        <w:trPr>
          <w:trHeight w:val="975"/>
        </w:trPr>
        <w:tc>
          <w:tcPr>
            <w:tcW w:w="257" w:type="pct"/>
            <w:vMerge/>
            <w:vAlign w:val="center"/>
          </w:tcPr>
          <w:p>
            <w:pPr>
              <w:widowControl/>
              <w:jc w:val="center"/>
              <w:textAlignment w:val="center"/>
              <w:rPr>
                <w:rFonts w:ascii="宋体" w:eastAsia="宋体" w:hAnsi="宋体" w:cs="宋体"/>
                <w:kern w:val="2"/>
                <w:sz w:val="21"/>
                <w:szCs w:val="21"/>
                <w:lang w:eastAsia="zh-CN"/>
              </w:rPr>
            </w:pPr>
          </w:p>
        </w:tc>
        <w:tc>
          <w:tcPr>
            <w:tcW w:w="508" w:type="pct"/>
            <w:vMerge/>
            <w:vAlign w:val="center"/>
          </w:tcPr>
          <w:p>
            <w:pPr>
              <w:widowControl w:val="0"/>
              <w:jc w:val="center"/>
              <w:rPr>
                <w:rFonts w:ascii="宋体" w:eastAsia="宋体" w:hAnsi="宋体" w:cs="宋体"/>
                <w:kern w:val="2"/>
                <w:sz w:val="21"/>
                <w:szCs w:val="21"/>
                <w:lang w:eastAsia="zh-CN"/>
              </w:rPr>
            </w:pPr>
          </w:p>
        </w:tc>
        <w:tc>
          <w:tcPr>
            <w:tcW w:w="640" w:type="pct"/>
            <w:vMerge/>
            <w:noWrap/>
            <w:vAlign w:val="center"/>
          </w:tcPr>
          <w:p>
            <w:pPr>
              <w:widowControl/>
              <w:ind w:left="210" w:hanging="210" w:hangingChars="100"/>
              <w:jc w:val="both"/>
              <w:textAlignment w:val="center"/>
              <w:rPr>
                <w:rFonts w:ascii="宋体" w:eastAsia="宋体" w:hAnsi="宋体" w:cs="宋体"/>
                <w:sz w:val="21"/>
                <w:szCs w:val="21"/>
                <w:lang w:eastAsia="zh-CN" w:bidi="ar"/>
              </w:rPr>
            </w:pPr>
          </w:p>
        </w:tc>
        <w:tc>
          <w:tcPr>
            <w:tcW w:w="2332" w:type="pct"/>
            <w:noWrap/>
            <w:vAlign w:val="center"/>
          </w:tcPr>
          <w:p>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▲8.2：数据安全传输管理平台：医学影像存储、传输、调阅，支持中心数据互联互通，共享3D可视化结果。</w:t>
            </w:r>
          </w:p>
        </w:tc>
        <w:tc>
          <w:tcPr>
            <w:tcW w:w="1259" w:type="pct"/>
            <w:noWrap/>
            <w:vAlign w:val="center"/>
          </w:tcPr>
          <w:p>
            <w:pPr>
              <w:widowControl w:val="0"/>
              <w:jc w:val="both"/>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提供</w:t>
            </w:r>
            <w:r>
              <w:rPr>
                <w:rFonts w:ascii="宋体" w:eastAsia="宋体" w:hAnsi="宋体" w:cs="宋体" w:hint="eastAsia"/>
                <w:b/>
                <w:bCs/>
                <w:kern w:val="2"/>
                <w:sz w:val="21"/>
                <w:szCs w:val="21"/>
                <w:lang w:eastAsia="zh-CN"/>
              </w:rPr>
              <w:t>系统</w:t>
            </w:r>
            <w:r>
              <w:rPr>
                <w:rFonts w:ascii="宋体" w:eastAsia="宋体" w:hAnsi="宋体" w:cs="宋体" w:hint="eastAsia"/>
                <w:b/>
                <w:bCs/>
                <w:sz w:val="21"/>
                <w:szCs w:val="21"/>
                <w:lang w:eastAsia="zh-CN" w:bidi="ar"/>
              </w:rPr>
              <w:t>功能截图证明材料扫描件，要求内容能体现满足上述参数要求。</w:t>
            </w:r>
          </w:p>
        </w:tc>
      </w:tr>
    </w:tbl>
    <w:p>
      <w:pPr>
        <w:widowControl/>
        <w:jc w:val="both"/>
        <w:textAlignment w:val="center"/>
        <w:rPr>
          <w:rFonts w:ascii="宋体" w:eastAsia="宋体" w:hAnsi="宋体" w:cs="宋体"/>
          <w:b/>
          <w:bCs/>
          <w:color w:val="000000"/>
          <w:szCs w:val="22"/>
          <w:lang w:eastAsia="zh-CN" w:bidi="ar"/>
        </w:rPr>
      </w:pPr>
    </w:p>
    <w:p>
      <w:pPr>
        <w:widowControl w:val="0"/>
        <w:jc w:val="both"/>
        <w:rPr>
          <w:rFonts w:eastAsia="宋体"/>
          <w:kern w:val="2"/>
          <w:lang w:eastAsia="zh-CN"/>
        </w:rPr>
      </w:pPr>
    </w:p>
    <w:bookmarkEnd w:id="31"/>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六、商务要求</w:t>
      </w:r>
    </w:p>
    <w:p>
      <w:pPr>
        <w:widowControl w:val="0"/>
        <w:spacing w:line="380" w:lineRule="exact"/>
        <w:ind w:firstLine="480" w:firstLineChars="200"/>
        <w:jc w:val="both"/>
        <w:rPr>
          <w:rFonts w:ascii="宋体" w:eastAsia="宋体" w:hAnsi="宋体" w:cs="宋体"/>
          <w:kern w:val="2"/>
          <w:sz w:val="21"/>
          <w:szCs w:val="21"/>
          <w:lang w:eastAsia="zh-CN"/>
        </w:rPr>
      </w:pPr>
      <w:r>
        <w:rPr>
          <w:rFonts w:ascii="宋体" w:eastAsia="宋体" w:hAnsi="宋体" w:cs="宋体" w:hint="eastAsia"/>
          <w:b/>
          <w:color w:val="FF0000"/>
          <w:lang w:eastAsia="zh-CN"/>
        </w:rPr>
        <w:t>★</w:t>
      </w:r>
      <w:r>
        <w:rPr>
          <w:rFonts w:ascii="宋体" w:eastAsia="宋体" w:hAnsi="宋体" w:cs="宋体" w:hint="eastAsia"/>
          <w:b/>
          <w:bCs/>
          <w:color w:val="FF0000"/>
          <w:kern w:val="2"/>
          <w:sz w:val="21"/>
          <w:szCs w:val="21"/>
          <w:lang w:eastAsia="zh-CN"/>
        </w:rPr>
        <w:t>（一）服务期要求：本项目服务期为自合同签订或约定之日起12个月。</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（二）服务地点：</w:t>
      </w:r>
      <w:r>
        <w:rPr>
          <w:rFonts w:ascii="宋体" w:eastAsia="宋体" w:hAnsi="宋体" w:cs="宋体" w:hint="eastAsia"/>
          <w:kern w:val="2"/>
          <w:sz w:val="21"/>
          <w:szCs w:val="21"/>
          <w:lang w:eastAsia="zh-CN"/>
        </w:rPr>
        <w:t>深圳市南山区人民医院</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（三）服务时间需求：</w:t>
      </w:r>
      <w:r>
        <w:rPr>
          <w:rFonts w:ascii="宋体" w:eastAsia="宋体" w:hAnsi="宋体" w:cs="宋体" w:hint="eastAsia"/>
          <w:kern w:val="2"/>
          <w:sz w:val="21"/>
          <w:szCs w:val="21"/>
          <w:lang w:eastAsia="zh-CN"/>
        </w:rPr>
        <w:t>要求供应商2-4小时交付三维可视化重建结果。</w:t>
      </w:r>
    </w:p>
    <w:p>
      <w:pPr>
        <w:widowControl w:val="0"/>
        <w:spacing w:line="380" w:lineRule="exact"/>
        <w:ind w:firstLine="420" w:firstLineChars="200"/>
        <w:jc w:val="both"/>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★（四）服务要求：</w:t>
      </w:r>
    </w:p>
    <w:p>
      <w:pPr>
        <w:widowControl w:val="0"/>
        <w:spacing w:line="380" w:lineRule="exact"/>
        <w:ind w:firstLine="420" w:firstLineChars="200"/>
        <w:jc w:val="both"/>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1.提供的信息系统需经过院方安全检测符合安全要求方能上线，否则乙方应配合整改直至满足安全要求，若整改次数达3次以上仍无法满足安全要求，采购单位有权终止该服务项目合同；</w:t>
      </w:r>
    </w:p>
    <w:p>
      <w:pPr>
        <w:widowControl w:val="0"/>
        <w:spacing w:line="380" w:lineRule="exact"/>
        <w:ind w:firstLine="420" w:firstLineChars="200"/>
        <w:jc w:val="both"/>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2.软件系统要求本地部署，同时免费提供数据库表结构。</w:t>
      </w:r>
    </w:p>
    <w:p>
      <w:pPr>
        <w:widowControl w:val="0"/>
        <w:spacing w:line="380" w:lineRule="exact"/>
        <w:ind w:firstLine="420" w:firstLineChars="200"/>
        <w:jc w:val="both"/>
        <w:rPr>
          <w:rFonts w:ascii="宋体" w:eastAsia="宋体" w:hAnsi="宋体" w:cs="宋体"/>
          <w:b/>
          <w:color w:val="FF0000"/>
          <w:kern w:val="2"/>
          <w:sz w:val="21"/>
          <w:szCs w:val="21"/>
          <w:lang w:eastAsia="zh-CN"/>
        </w:rPr>
      </w:pPr>
      <w:r>
        <w:rPr>
          <w:rFonts w:ascii="宋体" w:eastAsia="宋体" w:hAnsi="宋体" w:cs="宋体" w:hint="eastAsia"/>
          <w:b/>
          <w:bCs/>
          <w:kern w:val="2"/>
          <w:sz w:val="21"/>
          <w:szCs w:val="21"/>
          <w:lang w:eastAsia="zh-CN"/>
        </w:rPr>
        <w:t>（五）投标报价要求</w:t>
      </w:r>
      <w:r>
        <w:rPr>
          <w:rFonts w:ascii="宋体" w:eastAsia="宋体" w:hAnsi="宋体" w:cs="宋体" w:hint="eastAsia"/>
          <w:kern w:val="2"/>
          <w:sz w:val="21"/>
          <w:szCs w:val="21"/>
          <w:lang w:eastAsia="zh-CN"/>
        </w:rPr>
        <w:t>：</w:t>
      </w:r>
    </w:p>
    <w:p>
      <w:pPr>
        <w:widowControl w:val="0"/>
        <w:spacing w:line="380" w:lineRule="exact"/>
        <w:ind w:firstLine="420" w:firstLineChars="200"/>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1.本项目投标价格为综合折扣，即后期采购人支付给中标人的金额：按深圳市基本医疗服务价格项目目录*当月标本数量*中标综合折扣。</w:t>
      </w:r>
    </w:p>
    <w:p>
      <w:pPr>
        <w:widowControl w:val="0"/>
        <w:spacing w:line="380" w:lineRule="exact"/>
        <w:ind w:firstLine="420" w:firstLineChars="200"/>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注：（1）以《深圳市基本医疗服务价格项目目录》、《深圳市市场调节价医疗服务价格项目目录（2021年版）》作为本项目的基准价，投标供应商报综合折扣。</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b/>
          <w:bCs/>
          <w:color w:val="FF0000"/>
          <w:kern w:val="2"/>
          <w:sz w:val="21"/>
          <w:szCs w:val="21"/>
          <w:lang w:eastAsia="zh-CN"/>
        </w:rPr>
        <w:t>（2）收费标准参照《深圳市基本医疗服务价格项目目录》、《深圳市市场调节价医疗服务价格项目目录（2021年版）》，如收费标准发生变化时，按照上级部门新颁发文件的收费标准执行，且采购方与中标方结算价格，仍按中标结果的综合折扣同等比例计算。</w:t>
      </w:r>
    </w:p>
    <w:p>
      <w:pPr>
        <w:widowControl w:val="0"/>
        <w:ind w:firstLine="420" w:firstLineChars="200"/>
        <w:jc w:val="both"/>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2.本次招标不涉及具体投标金额（无须供应商在投标文件中填报具体投标金额），投标人只需在投标文件中就本项目填报唯一的“综合折扣”。投标人应根据自身成本自行填报“综合折扣”，但不得以低于其成本的报价竞标。</w:t>
      </w:r>
    </w:p>
    <w:p>
      <w:pPr>
        <w:widowControl w:val="0"/>
        <w:ind w:firstLine="420" w:firstLineChars="200"/>
        <w:jc w:val="both"/>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3.“综合折扣”填写要求：</w:t>
      </w:r>
    </w:p>
    <w:p>
      <w:pPr>
        <w:widowControl w:val="0"/>
        <w:adjustRightInd w:val="0"/>
        <w:snapToGrid w:val="0"/>
        <w:ind w:firstLine="420" w:firstLineChars="200"/>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（1）填写要求：0＜综合折扣≤0.70（70%）</w:t>
      </w:r>
      <w:r>
        <w:rPr>
          <w:rFonts w:ascii="宋体" w:eastAsia="宋体" w:hAnsi="宋体" w:cs="宋体"/>
          <w:b/>
          <w:bCs/>
          <w:color w:val="FF0000"/>
          <w:kern w:val="2"/>
          <w:sz w:val="21"/>
          <w:szCs w:val="21"/>
          <w:lang w:eastAsia="zh-CN"/>
        </w:rPr>
        <w:t>【注：本项目最高限价（综合折扣）为</w:t>
      </w:r>
      <w:r>
        <w:rPr>
          <w:rFonts w:ascii="宋体" w:eastAsia="宋体" w:hAnsi="宋体" w:cs="宋体" w:hint="eastAsia"/>
          <w:b/>
          <w:bCs/>
          <w:color w:val="FF0000"/>
          <w:kern w:val="2"/>
          <w:sz w:val="21"/>
          <w:szCs w:val="21"/>
          <w:lang w:eastAsia="zh-CN"/>
        </w:rPr>
        <w:t>0.70</w:t>
      </w:r>
      <w:r>
        <w:rPr>
          <w:rFonts w:ascii="宋体" w:eastAsia="宋体" w:hAnsi="宋体" w:cs="宋体"/>
          <w:b/>
          <w:bCs/>
          <w:color w:val="FF0000"/>
          <w:kern w:val="2"/>
          <w:sz w:val="21"/>
          <w:szCs w:val="21"/>
          <w:lang w:eastAsia="zh-CN"/>
        </w:rPr>
        <w:t>】</w:t>
      </w:r>
      <w:r>
        <w:rPr>
          <w:rFonts w:ascii="宋体" w:eastAsia="宋体" w:hAnsi="宋体" w:cs="宋体" w:hint="eastAsia"/>
          <w:b/>
          <w:bCs/>
          <w:color w:val="FF0000"/>
          <w:kern w:val="2"/>
          <w:sz w:val="21"/>
          <w:szCs w:val="21"/>
          <w:lang w:eastAsia="zh-CN"/>
        </w:rPr>
        <w:t>，</w:t>
      </w:r>
      <w:r>
        <w:rPr>
          <w:rFonts w:ascii="宋体" w:eastAsia="宋体" w:hAnsi="宋体" w:cs="宋体" w:hint="eastAsia"/>
          <w:b/>
          <w:color w:val="FF0000"/>
          <w:kern w:val="2"/>
          <w:sz w:val="21"/>
          <w:szCs w:val="21"/>
          <w:lang w:eastAsia="zh-CN"/>
        </w:rPr>
        <w:t>未按此要求填写将作投标无效处理；</w:t>
      </w:r>
    </w:p>
    <w:p>
      <w:pPr>
        <w:widowControl w:val="0"/>
        <w:adjustRightInd w:val="0"/>
        <w:snapToGrid w:val="0"/>
        <w:ind w:firstLine="420" w:firstLineChars="200"/>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2）填写的“综合折扣”采用折扣百分比形式，如供应商的综合折扣为0.70，则应在《开标一览表》中“综合折扣（%）”栏填写70，因自行采购系统已在《开标一览表》中“综合折扣（%）”栏自带“%”，并在供应商报价时作出设定，供应商在《开标一览表》中“综合折扣（%）”栏填写“70”代表其综合折扣报价为70%（即0.70）；</w:t>
      </w:r>
    </w:p>
    <w:p>
      <w:pPr>
        <w:widowControl w:val="0"/>
        <w:adjustRightInd w:val="0"/>
        <w:snapToGrid w:val="0"/>
        <w:ind w:firstLine="420" w:firstLineChars="200"/>
        <w:jc w:val="both"/>
        <w:rPr>
          <w:rFonts w:ascii="宋体" w:eastAsia="宋体" w:hAnsi="宋体" w:cs="宋体"/>
          <w:b/>
          <w:color w:val="FF0000"/>
          <w:kern w:val="2"/>
          <w:sz w:val="21"/>
          <w:szCs w:val="21"/>
          <w:highlight w:val="yellow"/>
          <w:lang w:eastAsia="zh-CN"/>
        </w:rPr>
      </w:pPr>
      <w:r>
        <w:rPr>
          <w:rFonts w:ascii="宋体" w:eastAsia="宋体" w:hAnsi="宋体" w:cs="宋体" w:hint="eastAsia"/>
          <w:b/>
          <w:color w:val="FF0000"/>
          <w:kern w:val="2"/>
          <w:sz w:val="21"/>
          <w:szCs w:val="21"/>
          <w:highlight w:val="yellow"/>
          <w:lang w:eastAsia="zh-CN"/>
        </w:rPr>
        <w:t>供应商在《开标一览表》中“综合折扣（%）”栏应填写整数，如70、65、62</w:t>
      </w:r>
      <w:r>
        <w:rPr>
          <w:rFonts w:ascii="宋体" w:eastAsia="宋体" w:hAnsi="宋体" w:cs="宋体"/>
          <w:b/>
          <w:color w:val="FF0000"/>
          <w:kern w:val="2"/>
          <w:sz w:val="21"/>
          <w:szCs w:val="21"/>
          <w:highlight w:val="yellow"/>
          <w:lang w:eastAsia="zh-CN"/>
        </w:rPr>
        <w:t>，</w:t>
      </w:r>
      <w:r>
        <w:rPr>
          <w:rFonts w:ascii="宋体" w:eastAsia="宋体" w:hAnsi="宋体" w:cs="宋体" w:hint="eastAsia"/>
          <w:b/>
          <w:color w:val="FF0000"/>
          <w:kern w:val="2"/>
          <w:sz w:val="21"/>
          <w:szCs w:val="21"/>
          <w:highlight w:val="yellow"/>
          <w:lang w:eastAsia="zh-CN"/>
        </w:rPr>
        <w:t>即供应商填报的综合折扣最多保留小数点后两位，未按此要求填写将作投标无效处理；</w:t>
      </w:r>
    </w:p>
    <w:p>
      <w:pPr>
        <w:widowControl w:val="0"/>
        <w:adjustRightInd w:val="0"/>
        <w:snapToGrid w:val="0"/>
        <w:ind w:firstLine="420" w:firstLineChars="200"/>
        <w:jc w:val="both"/>
        <w:rPr>
          <w:rFonts w:ascii="宋体" w:eastAsia="宋体" w:hAnsi="宋体" w:cs="宋体"/>
          <w:b/>
          <w:color w:val="FF0000"/>
          <w:kern w:val="2"/>
          <w:sz w:val="21"/>
          <w:szCs w:val="21"/>
          <w:highlight w:val="yellow"/>
          <w:lang w:eastAsia="zh-CN"/>
        </w:rPr>
      </w:pPr>
      <w:r>
        <w:rPr>
          <w:rFonts w:ascii="宋体" w:eastAsia="宋体" w:hAnsi="宋体" w:cs="宋体" w:hint="eastAsia"/>
          <w:b/>
          <w:color w:val="FF0000"/>
          <w:kern w:val="2"/>
          <w:sz w:val="21"/>
          <w:szCs w:val="21"/>
          <w:highlight w:val="yellow"/>
          <w:lang w:eastAsia="zh-CN"/>
        </w:rPr>
        <w:t>如供应商在《开标一览表》中“综合折扣（%）”栏填写62，则其填报的综合折扣为62%（0.62），满足“供应商填报的综合折扣最多保留小数点后两位”要求；</w:t>
      </w:r>
    </w:p>
    <w:p>
      <w:pPr>
        <w:widowControl w:val="0"/>
        <w:adjustRightInd w:val="0"/>
        <w:snapToGrid w:val="0"/>
        <w:ind w:firstLine="420" w:firstLineChars="200"/>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highlight w:val="yellow"/>
          <w:lang w:eastAsia="zh-CN"/>
        </w:rPr>
        <w:t>又如供应商在《开标一览表》中“综合折扣（%）”栏填写62.1，则其填报的综合折扣为62.1%（0.621），不满足“供应商填报的综合折扣最多保留小数点后两位”要求，将作投标无效处理；</w:t>
      </w:r>
    </w:p>
    <w:p>
      <w:pPr>
        <w:widowControl w:val="0"/>
        <w:adjustRightInd w:val="0"/>
        <w:snapToGrid w:val="0"/>
        <w:ind w:firstLine="420" w:firstLineChars="200"/>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（3）投标人参与投标只允许填报唯一1个“综合折扣”，不允许填报2个（或以上）的“综合折扣”；填报了2个或以上“综合折扣”的，其投标将直接作投标无效处理；</w:t>
      </w:r>
    </w:p>
    <w:p>
      <w:pPr>
        <w:widowControl w:val="0"/>
        <w:adjustRightInd w:val="0"/>
        <w:snapToGrid w:val="0"/>
        <w:ind w:firstLine="420" w:firstLineChars="200"/>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（4）“综合折扣”缺填、漏填、错填将直接作投标无效处理；</w:t>
      </w:r>
    </w:p>
    <w:p>
      <w:pPr>
        <w:widowControl w:val="0"/>
        <w:adjustRightInd w:val="0"/>
        <w:snapToGrid w:val="0"/>
        <w:ind w:firstLine="420" w:firstLineChars="200"/>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（5）本项目《开标一览表》中“综合折扣（%）”栏填写“综合折扣”。</w:t>
      </w:r>
    </w:p>
    <w:p>
      <w:pPr>
        <w:widowControl w:val="0"/>
        <w:ind w:firstLine="420" w:firstLineChars="200"/>
        <w:jc w:val="both"/>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rPr>
        <w:t>4.投标报价（综合折扣）必须是完成该项目的一切费用总和，包括服务费、人工费、系统接口对接费、国家规定的各项税费等全部费用。</w:t>
      </w:r>
    </w:p>
    <w:p>
      <w:pPr>
        <w:widowControl w:val="0"/>
        <w:ind w:firstLine="420" w:firstLineChars="200"/>
        <w:jc w:val="left"/>
        <w:rPr>
          <w:rFonts w:ascii="宋体" w:eastAsia="宋体" w:hAnsi="宋体" w:cs="宋体"/>
          <w:b/>
          <w:bCs/>
          <w:color w:val="FF0000"/>
          <w:kern w:val="2"/>
          <w:sz w:val="21"/>
          <w:szCs w:val="21"/>
          <w:highlight w:val="yellow"/>
          <w:lang w:eastAsia="zh-CN"/>
        </w:rPr>
      </w:pPr>
      <w:r>
        <w:rPr>
          <w:rFonts w:ascii="宋体" w:eastAsia="宋体" w:hAnsi="宋体" w:cstheme="minorBidi" w:hint="eastAsia"/>
          <w:b/>
          <w:color w:val="FF0000"/>
          <w:kern w:val="2"/>
          <w:sz w:val="21"/>
          <w:szCs w:val="22"/>
          <w:highlight w:val="yellow"/>
          <w:lang w:eastAsia="zh-CN"/>
        </w:rPr>
        <w:t>5.一旦中标不再调高费率（综合折扣），采购人也不再为此增加任何费用。合同期内实际年度</w:t>
      </w:r>
      <w:r>
        <w:rPr>
          <w:rFonts w:ascii="宋体" w:eastAsia="宋体" w:hAnsi="宋体" w:cs="宋体" w:hint="eastAsia"/>
          <w:b/>
          <w:bCs/>
          <w:color w:val="FF0000"/>
          <w:kern w:val="2"/>
          <w:sz w:val="21"/>
          <w:szCs w:val="21"/>
          <w:highlight w:val="yellow"/>
          <w:lang w:eastAsia="zh-CN"/>
        </w:rPr>
        <w:t>支付上限金额不得超过人民币90万元整。如实际合作周期尚未满一年的，但采购方与中标方实际结算金额已达90万元上限的，则采购方有权启动续签程序。</w:t>
      </w:r>
    </w:p>
    <w:p>
      <w:pPr>
        <w:widowControl w:val="0"/>
        <w:ind w:firstLine="420" w:firstLineChars="200"/>
        <w:jc w:val="left"/>
        <w:rPr>
          <w:rFonts w:ascii="宋体" w:eastAsia="宋体" w:hAnsi="宋体" w:cs="宋体"/>
          <w:b/>
          <w:bCs/>
          <w:color w:val="FF0000"/>
          <w:kern w:val="2"/>
          <w:sz w:val="21"/>
          <w:szCs w:val="21"/>
          <w:lang w:eastAsia="zh-CN"/>
        </w:rPr>
      </w:pPr>
    </w:p>
    <w:p>
      <w:pPr>
        <w:widowControl w:val="0"/>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（六）付款方式：</w:t>
      </w:r>
      <w:r>
        <w:rPr>
          <w:rFonts w:ascii="宋体" w:eastAsia="宋体" w:hAnsi="宋体" w:cs="宋体" w:hint="eastAsia"/>
          <w:kern w:val="2"/>
          <w:sz w:val="21"/>
          <w:szCs w:val="21"/>
          <w:lang w:eastAsia="zh-CN"/>
        </w:rPr>
        <w:t>按照深圳市南山区人民医院有关规定付款（付款前需双方财务对服务费用进行核对，核对无误方可开具发票）。</w:t>
      </w:r>
    </w:p>
    <w:p>
      <w:pPr>
        <w:widowControl w:val="0"/>
        <w:ind w:firstLine="420"/>
        <w:jc w:val="both"/>
        <w:rPr>
          <w:rFonts w:ascii="宋体" w:eastAsia="宋体" w:hAnsi="Courier New"/>
          <w:kern w:val="2"/>
          <w:sz w:val="21"/>
          <w:szCs w:val="20"/>
          <w:lang w:eastAsia="zh-CN"/>
        </w:rPr>
      </w:pPr>
      <w:r>
        <w:rPr>
          <w:rFonts w:ascii="宋体" w:eastAsia="宋体" w:hAnsi="宋体" w:cs="宋体" w:hint="eastAsia"/>
          <w:kern w:val="2"/>
          <w:sz w:val="21"/>
          <w:szCs w:val="21"/>
          <w:lang w:eastAsia="zh-CN"/>
        </w:rPr>
        <w:t>1.服务费用每月结算一次，中标人根据医院开具的服务单统计费用总额提交费用明细及汇总清单。医院收到后对其进行核对。医院应在收到费用明细及汇总清单之日起30日内，向对方提出异议，双方协商解决该异议；未在上述期限提出异议的，视为确认金额无误。核对无误后中标人根据汇总清单金额开具发票，医院收到发票后需在《发票签收回执》上签字或者盖章确认。医院于收到发票后10个工作日内按发票金额将检验费用支付至中标人指定的银行账户。</w:t>
      </w:r>
    </w:p>
    <w:p>
      <w:pPr>
        <w:widowControl w:val="0"/>
        <w:jc w:val="both"/>
        <w:rPr>
          <w:rFonts w:ascii="宋体" w:eastAsia="宋体" w:hAnsi="宋体" w:cs="宋体"/>
          <w:b/>
          <w:bCs/>
          <w:kern w:val="2"/>
          <w:sz w:val="21"/>
          <w:szCs w:val="21"/>
          <w:lang w:eastAsia="zh-CN"/>
        </w:rPr>
      </w:pPr>
    </w:p>
    <w:p>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（七）违约责任：</w:t>
      </w:r>
    </w:p>
    <w:p>
      <w:pPr>
        <w:widowControl w:val="0"/>
        <w:numPr>
          <w:ilvl w:val="0"/>
          <w:numId w:val="5"/>
        </w:numPr>
        <w:ind w:firstLine="420"/>
        <w:jc w:val="both"/>
        <w:rPr>
          <w:rFonts w:ascii="宋体" w:eastAsia="宋体" w:hAnsi="Courier New"/>
          <w:kern w:val="2"/>
          <w:sz w:val="21"/>
          <w:szCs w:val="20"/>
          <w:lang w:eastAsia="zh-CN"/>
        </w:rPr>
      </w:pPr>
      <w:r>
        <w:rPr>
          <w:rFonts w:ascii="宋体" w:eastAsia="宋体" w:hAnsi="Courier New" w:hint="eastAsia"/>
          <w:kern w:val="2"/>
          <w:sz w:val="21"/>
          <w:szCs w:val="20"/>
          <w:lang w:eastAsia="zh-CN"/>
        </w:rPr>
        <w:t>因中标供应商原因，未能按规定时间完成有关工作又无书面通知的，每延误一天，采购单位可在支付时扣除延误的服务项目款项的1%。</w:t>
      </w:r>
    </w:p>
    <w:p>
      <w:pPr>
        <w:widowControl w:val="0"/>
        <w:numPr>
          <w:ilvl w:val="0"/>
          <w:numId w:val="5"/>
        </w:numPr>
        <w:ind w:firstLine="420"/>
        <w:jc w:val="both"/>
        <w:rPr>
          <w:rFonts w:ascii="宋体" w:eastAsia="宋体" w:hAnsi="Courier New"/>
          <w:kern w:val="2"/>
          <w:sz w:val="21"/>
          <w:szCs w:val="20"/>
          <w:lang w:eastAsia="zh-CN"/>
        </w:rPr>
      </w:pPr>
      <w:r>
        <w:rPr>
          <w:rFonts w:ascii="宋体" w:eastAsia="宋体" w:hAnsi="Courier New" w:hint="eastAsia"/>
          <w:kern w:val="2"/>
          <w:sz w:val="21"/>
          <w:szCs w:val="20"/>
          <w:lang w:eastAsia="zh-CN"/>
        </w:rPr>
        <w:t>由于中标供应商原因造成服务结果质量低劣，不能满足临床要求时，应继续完善检查工作，其费用由中标供应商承担。</w:t>
      </w:r>
    </w:p>
    <w:p>
      <w:pPr>
        <w:widowControl w:val="0"/>
        <w:numPr>
          <w:ilvl w:val="0"/>
          <w:numId w:val="5"/>
        </w:numPr>
        <w:ind w:firstLine="420"/>
        <w:jc w:val="both"/>
        <w:rPr>
          <w:rFonts w:ascii="宋体" w:eastAsia="宋体" w:hAnsi="Courier New"/>
          <w:kern w:val="2"/>
          <w:sz w:val="21"/>
          <w:szCs w:val="20"/>
          <w:lang w:eastAsia="zh-CN"/>
        </w:rPr>
      </w:pPr>
      <w:r>
        <w:rPr>
          <w:rFonts w:ascii="宋体" w:eastAsia="宋体" w:hAnsi="Courier New" w:hint="eastAsia"/>
          <w:kern w:val="2"/>
          <w:sz w:val="21"/>
          <w:szCs w:val="20"/>
          <w:lang w:eastAsia="zh-CN"/>
        </w:rPr>
        <w:t>中标供应商或其工作人员违反本合同约定的保密义务，采购单位有权要求供应商按合同总额0.05%支付违约金；造成不良影响或对采购单位造成损失的，采购单位有权要求中标供应商消除影响，承担赔偿责任，并有权解除合同。</w:t>
      </w:r>
    </w:p>
    <w:p>
      <w:pPr>
        <w:widowControl w:val="0"/>
        <w:numPr>
          <w:ilvl w:val="0"/>
          <w:numId w:val="5"/>
        </w:numPr>
        <w:ind w:firstLine="420"/>
        <w:jc w:val="both"/>
        <w:rPr>
          <w:rFonts w:ascii="宋体" w:eastAsia="宋体" w:hAnsi="Courier New"/>
          <w:kern w:val="2"/>
          <w:sz w:val="21"/>
          <w:szCs w:val="20"/>
          <w:lang w:eastAsia="zh-CN"/>
        </w:rPr>
      </w:pPr>
      <w:r>
        <w:rPr>
          <w:rFonts w:ascii="宋体" w:eastAsia="宋体" w:hAnsi="Courier New" w:hint="eastAsia"/>
          <w:kern w:val="2"/>
          <w:sz w:val="21"/>
          <w:szCs w:val="20"/>
          <w:lang w:eastAsia="zh-CN"/>
        </w:rPr>
        <w:t>因中标供应商提供的服务成果受到侵犯指控或者引发法律纠纷，影响采购单位使用服务成果或者导致合同目的不能实现的，采购单位有权解除合同。</w:t>
      </w:r>
    </w:p>
    <w:p>
      <w:pPr>
        <w:widowControl w:val="0"/>
        <w:numPr>
          <w:ilvl w:val="0"/>
          <w:numId w:val="5"/>
        </w:numPr>
        <w:ind w:firstLine="420"/>
        <w:jc w:val="both"/>
        <w:rPr>
          <w:rFonts w:ascii="宋体" w:eastAsia="宋体" w:hAnsi="Courier New"/>
          <w:kern w:val="2"/>
          <w:sz w:val="21"/>
          <w:szCs w:val="20"/>
          <w:lang w:eastAsia="zh-CN"/>
        </w:rPr>
      </w:pPr>
      <w:r>
        <w:rPr>
          <w:rFonts w:ascii="宋体" w:eastAsia="宋体" w:hAnsi="Courier New" w:hint="eastAsia"/>
          <w:kern w:val="2"/>
          <w:sz w:val="21"/>
          <w:szCs w:val="20"/>
          <w:lang w:eastAsia="zh-CN"/>
        </w:rPr>
        <w:t>由于中标供应商提供的服务结果不能达到采购单位评估的质量要求，采购单位有权终止该服务项目合同。</w:t>
      </w:r>
    </w:p>
    <w:p>
      <w:pPr>
        <w:widowControl w:val="0"/>
        <w:jc w:val="both"/>
        <w:rPr>
          <w:rFonts w:ascii="宋体" w:eastAsia="宋体" w:hAnsi="宋体" w:cs="宋体"/>
          <w:b/>
          <w:bCs/>
          <w:kern w:val="2"/>
          <w:sz w:val="21"/>
          <w:szCs w:val="21"/>
          <w:lang w:eastAsia="zh-CN"/>
        </w:rPr>
      </w:pPr>
    </w:p>
    <w:p>
      <w:pPr>
        <w:widowControl w:val="0"/>
        <w:jc w:val="both"/>
        <w:rPr>
          <w:rFonts w:eastAsia="宋体"/>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Pr>
          <w:rFonts w:ascii="宋体" w:eastAsia="宋体" w:hAnsi="宋体" w:hint="eastAsia"/>
          <w:b/>
          <w:bCs/>
          <w:lang w:eastAsia="zh-CN"/>
        </w:rPr>
        <w:t>七、其他重要条款</w:t>
      </w:r>
    </w:p>
    <w:p>
      <w:pPr>
        <w:widowControl w:val="0"/>
        <w:adjustRightInd w:val="0"/>
        <w:spacing w:line="279" w:lineRule="auto"/>
        <w:ind w:firstLine="420" w:firstLineChars="200"/>
        <w:jc w:val="both"/>
        <w:rPr>
          <w:rFonts w:ascii="宋体" w:eastAsia="宋体" w:hAnsi="宋体" w:cs="宋体"/>
          <w:bCs/>
          <w:kern w:val="2"/>
          <w:sz w:val="21"/>
          <w:szCs w:val="21"/>
          <w:lang w:eastAsia="zh-CN"/>
        </w:rPr>
      </w:pPr>
      <w:bookmarkStart w:id="32" w:name="_Hlk72257111"/>
      <w:r>
        <w:rPr>
          <w:rFonts w:ascii="宋体" w:eastAsia="宋体" w:hAnsi="宋体" w:cs="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adjustRightInd w:val="0"/>
        <w:spacing w:before="60" w:beforeLines="25" w:after="60" w:afterLines="25" w:line="279"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2.投标人应充分了解项目的位置、情况、道路及任何其它足以影响投标报价的情况，任何因忽视或误解项目情况而导致的索赔或服务期限延长申请将不获批准。</w:t>
      </w:r>
    </w:p>
    <w:p>
      <w:pPr>
        <w:widowControl w:val="0"/>
        <w:adjustRightInd w:val="0"/>
        <w:spacing w:line="279"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adjustRightInd w:val="0"/>
        <w:spacing w:line="279"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4.除政府采购合同继续履行将损害国家利益和社会公共利益外，双方当事人不得擅自变更、中止或者终止合同。</w:t>
      </w:r>
      <w:bookmarkEnd w:id="32"/>
    </w:p>
    <w:p>
      <w:pPr>
        <w:widowControl w:val="0"/>
        <w:adjustRightInd w:val="0"/>
        <w:spacing w:line="279" w:lineRule="auto"/>
        <w:ind w:firstLine="420" w:firstLineChars="200"/>
        <w:jc w:val="both"/>
        <w:rPr>
          <w:rFonts w:ascii="宋体" w:eastAsia="宋体" w:hAnsi="宋体"/>
          <w:b/>
          <w:bCs/>
          <w:kern w:val="2"/>
          <w:szCs w:val="20"/>
          <w:lang w:eastAsia="zh-CN"/>
        </w:rPr>
      </w:pPr>
      <w:r>
        <w:rPr>
          <w:rFonts w:ascii="宋体" w:eastAsia="宋体" w:hAnsi="宋体" w:cs="宋体" w:hint="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jc w:val="center"/>
        <w:textAlignment w:val="baseline"/>
        <w:outlineLvl w:val="1"/>
        <w:rPr>
          <w:rFonts w:ascii="宋体" w:eastAsia="宋体" w:hAnsi="宋体"/>
          <w:b/>
          <w:bCs/>
          <w:kern w:val="2"/>
          <w:szCs w:val="20"/>
          <w:lang w:eastAsia="zh-CN"/>
        </w:rPr>
      </w:pPr>
      <w:r>
        <w:rPr>
          <w:rFonts w:ascii="宋体" w:eastAsia="宋体" w:hAnsi="宋体" w:hint="eastAsia"/>
          <w:b/>
          <w:bCs/>
          <w:kern w:val="2"/>
          <w:szCs w:val="20"/>
          <w:lang w:eastAsia="zh-CN"/>
        </w:rPr>
        <w:t>第四章 投标文件组成要求及格式</w:t>
      </w:r>
    </w:p>
    <w:p>
      <w:pPr>
        <w:widowControl w:val="0"/>
        <w:spacing w:line="276" w:lineRule="auto"/>
        <w:ind w:firstLine="480" w:firstLineChars="200"/>
        <w:jc w:val="both"/>
        <w:rPr>
          <w:rFonts w:ascii="仿宋_GB2312" w:eastAsia="仿宋_GB2312"/>
          <w:kern w:val="2"/>
          <w:lang w:eastAsia="zh-CN"/>
        </w:rPr>
      </w:pPr>
    </w:p>
    <w:p>
      <w:pPr>
        <w:widowControl w:val="0"/>
        <w:jc w:val="both"/>
        <w:rPr>
          <w:rFonts w:ascii="宋体" w:eastAsia="宋体" w:hAnsi="宋体"/>
          <w:b/>
          <w:bCs/>
          <w:kern w:val="2"/>
          <w:sz w:val="28"/>
          <w:szCs w:val="28"/>
          <w:lang w:eastAsia="zh-CN"/>
        </w:rPr>
      </w:pPr>
      <w:r>
        <w:rPr>
          <w:rFonts w:ascii="宋体" w:eastAsia="宋体" w:hAnsi="宋体" w:hint="eastAsia"/>
          <w:b/>
          <w:bCs/>
          <w:kern w:val="2"/>
          <w:sz w:val="28"/>
          <w:szCs w:val="28"/>
          <w:lang w:eastAsia="zh-CN"/>
        </w:rPr>
        <w:t>投标文件组成：</w:t>
      </w:r>
    </w:p>
    <w:p>
      <w:pPr>
        <w:widowControl w:val="0"/>
        <w:jc w:val="both"/>
        <w:rPr>
          <w:rFonts w:eastAsia="宋体"/>
          <w:kern w:val="2"/>
          <w:lang w:eastAsia="zh-CN"/>
        </w:rPr>
      </w:pPr>
    </w:p>
    <w:p>
      <w:pPr>
        <w:widowControl w:val="0"/>
        <w:ind w:firstLine="480" w:firstLineChars="200"/>
        <w:jc w:val="both"/>
        <w:rPr>
          <w:rFonts w:ascii="宋体" w:eastAsia="宋体" w:hAnsi="宋体" w:cs="宋体" w:hint="eastAsia"/>
          <w:b/>
          <w:bCs/>
          <w:kern w:val="2"/>
          <w:szCs w:val="32"/>
          <w:lang w:eastAsia="zh-CN"/>
        </w:rPr>
      </w:pPr>
      <w:r>
        <w:rPr>
          <w:rFonts w:ascii="宋体" w:eastAsia="宋体" w:hAnsi="宋体" w:cs="宋体" w:hint="eastAsia"/>
          <w:b/>
          <w:bCs/>
          <w:kern w:val="2"/>
          <w:szCs w:val="32"/>
          <w:lang w:eastAsia="zh-CN"/>
        </w:rPr>
        <w:t>1.投标文件正文主要包括以下内容</w:t>
      </w:r>
      <w:r>
        <w:rPr>
          <w:rFonts w:ascii="宋体" w:eastAsia="宋体" w:hAnsi="宋体" w:cs="宋体" w:hint="eastAsia"/>
          <w:b/>
          <w:bCs/>
          <w:kern w:val="2"/>
          <w:szCs w:val="32"/>
          <w:lang w:eastAsia="zh-CN"/>
        </w:rPr>
        <w:t>（</w:t>
      </w:r>
      <w:r>
        <w:rPr>
          <w:rFonts w:ascii="宋体" w:eastAsia="宋体" w:hAnsi="宋体" w:cs="宋体" w:hint="eastAsia"/>
          <w:b/>
          <w:bCs/>
          <w:kern w:val="2"/>
          <w:szCs w:val="32"/>
          <w:lang w:eastAsia="zh-CN"/>
        </w:rPr>
        <w:t>非公开</w:t>
      </w:r>
      <w:r>
        <w:rPr>
          <w:rFonts w:ascii="宋体" w:eastAsia="宋体" w:hAnsi="宋体" w:cs="宋体" w:hint="eastAsia"/>
          <w:b/>
          <w:bCs/>
          <w:kern w:val="2"/>
          <w:szCs w:val="32"/>
          <w:lang w:eastAsia="zh-CN"/>
        </w:rPr>
        <w:t>）</w:t>
      </w:r>
      <w:r>
        <w:rPr>
          <w:rFonts w:ascii="宋体" w:eastAsia="宋体" w:hAnsi="宋体" w:cs="宋体" w:hint="eastAsia"/>
          <w:b/>
          <w:bCs/>
          <w:kern w:val="2"/>
          <w:szCs w:val="32"/>
          <w:lang w:eastAsia="zh-CN"/>
        </w:rPr>
        <w:t>：</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bookmarkStart w:id="33" w:name="_Hlk72070784"/>
      <w:r>
        <w:rPr>
          <w:rFonts w:ascii="宋体" w:eastAsia="宋体" w:hAnsi="宋体" w:cs="宋体" w:hint="eastAsia"/>
          <w:kern w:val="2"/>
          <w:sz w:val="21"/>
          <w:szCs w:val="21"/>
          <w:lang w:eastAsia="zh-CN"/>
        </w:rPr>
        <w:t>投标函</w:t>
      </w:r>
      <w:bookmarkEnd w:id="33"/>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bookmarkStart w:id="34" w:name="_Hlk72062521"/>
      <w:r>
        <w:rPr>
          <w:rFonts w:ascii="宋体" w:eastAsia="宋体" w:hAnsi="宋体" w:cs="宋体" w:hint="eastAsia"/>
          <w:kern w:val="2"/>
          <w:sz w:val="21"/>
          <w:szCs w:val="21"/>
          <w:lang w:eastAsia="zh-CN"/>
        </w:rPr>
        <w:t>政府采购投标及履约承诺函</w:t>
      </w:r>
      <w:bookmarkEnd w:id="34"/>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（3）投标人情况及资格证明文件</w:t>
      </w:r>
    </w:p>
    <w:p>
      <w:pPr>
        <w:widowControl w:val="0"/>
        <w:spacing w:line="276" w:lineRule="auto"/>
        <w:ind w:firstLine="420" w:firstLineChars="200"/>
        <w:jc w:val="both"/>
        <w:rPr>
          <w:rFonts w:ascii="宋体" w:eastAsia="宋体" w:hAnsi="宋体" w:cs="宋体"/>
          <w:kern w:val="2"/>
          <w:sz w:val="21"/>
          <w:szCs w:val="21"/>
          <w:lang w:eastAsia="zh-CN"/>
        </w:rPr>
      </w:pPr>
      <w:bookmarkStart w:id="35" w:name="_Hlk72257201"/>
      <w:r>
        <w:rPr>
          <w:rFonts w:ascii="宋体" w:eastAsia="宋体" w:hAnsi="宋体" w:cs="宋体" w:hint="eastAsia"/>
          <w:kern w:val="2"/>
          <w:sz w:val="21"/>
          <w:szCs w:val="21"/>
          <w:lang w:eastAsia="zh-CN"/>
        </w:rPr>
        <w:t>（4）同类项目业绩</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）认证情况</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）获奖情况</w:t>
      </w:r>
      <w:bookmarkStart w:id="36" w:name="_GoBack"/>
      <w:bookmarkEnd w:id="36"/>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）自主知识产权产品（创新、设计）情况</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）供应商基本情况表</w:t>
      </w:r>
    </w:p>
    <w:bookmarkEnd w:id="35"/>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）法定代表人（负责人）证明书</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）投标文件签署授权委托书</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）实质性条款响应情况表</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）技术要求偏离表</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）项目实施方案</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）质量保证措施及方案</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）项目分析、应对措施及相关的合理化建议</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）项目完成（服务期满）后的服务承诺</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）投标人认为需要加以说明的其他内容（格式自定）</w:t>
      </w:r>
    </w:p>
    <w:p>
      <w:pPr>
        <w:widowControl w:val="0"/>
        <w:jc w:val="both"/>
        <w:rPr>
          <w:rFonts w:ascii="仿宋_GB2312" w:eastAsia="仿宋_GB2312"/>
          <w:kern w:val="2"/>
          <w:lang w:eastAsia="zh-CN"/>
        </w:rPr>
      </w:pPr>
    </w:p>
    <w:p>
      <w:pPr>
        <w:widowControl w:val="0"/>
        <w:spacing w:line="276" w:lineRule="auto"/>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备注：</w:t>
      </w:r>
    </w:p>
    <w:p>
      <w:pPr>
        <w:widowControl w:val="0"/>
        <w:spacing w:line="276" w:lineRule="auto"/>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spacing w:line="276" w:lineRule="auto"/>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jc w:val="left"/>
        <w:rPr>
          <w:rFonts w:ascii="宋体" w:eastAsia="宋体" w:hAnsi="宋体"/>
          <w:b/>
          <w:color w:val="FF0000"/>
          <w:kern w:val="2"/>
          <w:sz w:val="36"/>
          <w:szCs w:val="36"/>
          <w:lang w:eastAsia="zh-CN"/>
        </w:rPr>
      </w:pPr>
      <w:r>
        <w:rPr>
          <w:rFonts w:ascii="宋体" w:eastAsia="宋体" w:hAnsi="宋体" w:hint="eastAsia"/>
          <w:b/>
          <w:color w:val="FF0000"/>
          <w:kern w:val="2"/>
          <w:sz w:val="36"/>
          <w:szCs w:val="36"/>
          <w:lang w:eastAsia="zh-CN"/>
        </w:rPr>
        <w:br w:type="page"/>
      </w:r>
    </w:p>
    <w:p>
      <w:pPr>
        <w:widowControl w:val="0"/>
        <w:jc w:val="both"/>
        <w:outlineLvl w:val="1"/>
        <w:rPr>
          <w:rFonts w:ascii="宋体" w:eastAsia="宋体" w:hAnsi="宋体"/>
          <w:b/>
          <w:color w:val="FF0000"/>
          <w:kern w:val="2"/>
          <w:sz w:val="28"/>
          <w:szCs w:val="28"/>
          <w:lang w:eastAsia="zh-CN"/>
        </w:rPr>
      </w:pPr>
      <w:r>
        <w:rPr>
          <w:rFonts w:ascii="宋体" w:eastAsia="宋体" w:hAnsi="宋体" w:hint="eastAsia"/>
          <w:b/>
          <w:color w:val="FF0000"/>
          <w:kern w:val="2"/>
          <w:sz w:val="28"/>
          <w:szCs w:val="28"/>
          <w:lang w:eastAsia="zh-CN"/>
        </w:rPr>
        <w:t>投标文件正文</w:t>
      </w:r>
    </w:p>
    <w:p>
      <w:pPr>
        <w:keepNext/>
        <w:keepLines/>
        <w:widowControl w:val="0"/>
        <w:spacing w:before="260" w:after="260" w:line="360" w:lineRule="auto"/>
        <w:jc w:val="center"/>
        <w:outlineLvl w:val="2"/>
        <w:rPr>
          <w:rFonts w:ascii="黑体" w:eastAsia="黑体" w:hAnsi="宋体"/>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color w:val="FF0000"/>
          <w:kern w:val="2"/>
          <w:sz w:val="21"/>
          <w:szCs w:val="21"/>
          <w:u w:val="single"/>
          <w:lang w:eastAsia="zh-CN"/>
        </w:rPr>
        <w:t xml:space="preserve">  深圳公共资源交易中心  </w:t>
      </w:r>
    </w:p>
    <w:p>
      <w:pPr>
        <w:widowControl w:val="0"/>
        <w:spacing w:line="360" w:lineRule="auto"/>
        <w:ind w:firstLine="420" w:firstLineChars="200"/>
        <w:jc w:val="both"/>
        <w:rPr>
          <w:rFonts w:ascii="宋体" w:eastAsia="宋体" w:hAnsi="宋体" w:cs="宋体"/>
          <w:kern w:val="2"/>
          <w:sz w:val="21"/>
          <w:szCs w:val="21"/>
          <w:lang w:eastAsia="zh-CN"/>
        </w:rPr>
      </w:pPr>
      <w:bookmarkStart w:id="37" w:name="_Hlk73818812"/>
      <w:r>
        <w:rPr>
          <w:rFonts w:ascii="宋体" w:eastAsia="宋体" w:hAnsi="宋体" w:cs="宋体"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w:t>
      </w:r>
      <w:r>
        <w:rPr>
          <w:rFonts w:ascii="Calibri" w:eastAsia="宋体" w:hAnsi="Calibri" w:cstheme="minorBidi" w:hint="eastAsia"/>
          <w:kern w:val="2"/>
          <w:sz w:val="21"/>
          <w:szCs w:val="21"/>
          <w:u w:val="thick"/>
          <w:lang w:eastAsia="zh-CN"/>
        </w:rPr>
        <w:t>项目</w:t>
      </w:r>
      <w:r>
        <w:rPr>
          <w:rFonts w:eastAsia="宋体" w:hAnsi="Calibri" w:cstheme="minorBidi" w:hint="eastAsia"/>
          <w:kern w:val="2"/>
          <w:sz w:val="21"/>
          <w:szCs w:val="21"/>
          <w:u w:val="thick"/>
          <w:lang w:eastAsia="zh-CN"/>
        </w:rPr>
        <w:t>名称</w:t>
      </w:r>
      <w:r>
        <w:rPr>
          <w:rFonts w:ascii="Calibri" w:eastAsia="宋体" w:hAnsi="Calibri" w:cstheme="minorBidi" w:hint="eastAsia"/>
          <w:kern w:val="2"/>
          <w:sz w:val="21"/>
          <w:szCs w:val="21"/>
          <w:u w:val="thick"/>
          <w:lang w:eastAsia="zh-CN"/>
        </w:rPr>
        <w:t>）</w:t>
      </w:r>
      <w:r>
        <w:rPr>
          <w:rFonts w:ascii="Calibri" w:eastAsia="宋体" w:hAnsi="Calibri" w:cstheme="minorBidi" w:hint="eastAsia"/>
          <w:kern w:val="2"/>
          <w:sz w:val="21"/>
          <w:szCs w:val="21"/>
          <w:u w:val="thick"/>
          <w:lang w:eastAsia="zh-CN"/>
        </w:rPr>
        <w:t xml:space="preserve">       </w:t>
      </w:r>
      <w:r>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8" w:name="_Hlk72263588"/>
      <w:r>
        <w:rPr>
          <w:rFonts w:ascii="宋体" w:eastAsia="宋体" w:hAnsi="宋体" w:cs="宋体" w:hint="eastAsia"/>
          <w:kern w:val="2"/>
          <w:sz w:val="21"/>
          <w:szCs w:val="21"/>
          <w:lang w:eastAsia="zh-CN"/>
        </w:rPr>
        <w:t>愿意按照招标文件要求承包上述项目并修补其任何缺陷。</w:t>
      </w:r>
      <w:bookmarkEnd w:id="38"/>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2.投标价格见投标文件制作软件中《开标一览表》中填写的投标</w:t>
      </w:r>
      <w:r>
        <w:rPr>
          <w:rFonts w:ascii="Calibri" w:eastAsia="宋体" w:hAnsi="Calibri" w:cstheme="minorBidi" w:hint="eastAsia"/>
          <w:kern w:val="2"/>
          <w:sz w:val="21"/>
          <w:szCs w:val="21"/>
          <w:lang w:eastAsia="zh-CN"/>
        </w:rPr>
        <w:t>总</w:t>
      </w:r>
      <w:r>
        <w:rPr>
          <w:rFonts w:ascii="宋体" w:eastAsia="宋体" w:hAnsi="宋体" w:cs="宋体" w:hint="eastAsia"/>
          <w:kern w:val="2"/>
          <w:sz w:val="21"/>
          <w:szCs w:val="21"/>
          <w:lang w:eastAsia="zh-CN"/>
        </w:rPr>
        <w:t>价。</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3.如果我单位中标，我单位将按照招标文件的要求</w:t>
      </w:r>
      <w:r>
        <w:rPr>
          <w:rFonts w:ascii="宋体" w:eastAsia="宋体" w:hAnsi="宋体" w:cstheme="minorBidi" w:hint="eastAsia"/>
          <w:kern w:val="2"/>
          <w:sz w:val="21"/>
          <w:szCs w:val="21"/>
          <w:lang w:eastAsia="zh-CN"/>
        </w:rPr>
        <w:t>足额</w:t>
      </w:r>
      <w:r>
        <w:rPr>
          <w:rFonts w:ascii="宋体" w:eastAsia="宋体" w:hAnsi="宋体" w:cs="宋体" w:hint="eastAsia"/>
          <w:kern w:val="2"/>
          <w:sz w:val="21"/>
          <w:szCs w:val="21"/>
          <w:lang w:eastAsia="zh-CN"/>
        </w:rPr>
        <w:t>提交履约担保。</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pPr>
        <w:widowControl w:val="0"/>
        <w:spacing w:line="360" w:lineRule="auto"/>
        <w:ind w:left="585" w:hanging="105" w:leftChars="200" w:hangingChars="5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bookmarkEnd w:id="37"/>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7.如我单位提交样品，且未在规定时间内取回样品的，视同放弃取回，同意深圳公共资源交易中心对我单位提交的样品进行清理。</w:t>
      </w:r>
    </w:p>
    <w:p>
      <w:pPr>
        <w:widowControl w:val="0"/>
        <w:spacing w:line="360" w:lineRule="auto"/>
        <w:ind w:firstLine="420" w:firstLineChars="200"/>
        <w:jc w:val="both"/>
        <w:rPr>
          <w:rFonts w:ascii="宋体" w:eastAsia="宋体" w:hAnsi="宋体" w:cs="宋体"/>
          <w:kern w:val="2"/>
          <w:sz w:val="21"/>
          <w:szCs w:val="21"/>
          <w:lang w:eastAsia="zh-CN"/>
        </w:rPr>
      </w:pPr>
    </w:p>
    <w:p>
      <w:pPr>
        <w:widowControl w:val="0"/>
        <w:spacing w:line="360" w:lineRule="auto"/>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单位地址：</w:t>
      </w:r>
      <w:r>
        <w:rPr>
          <w:rFonts w:ascii="宋体" w:eastAsia="宋体" w:hAnsi="宋体" w:cs="宋体" w:hint="eastAsia"/>
          <w:kern w:val="2"/>
          <w:sz w:val="21"/>
          <w:szCs w:val="21"/>
          <w:u w:val="single"/>
          <w:lang w:eastAsia="zh-CN"/>
        </w:rPr>
        <w:t xml:space="preserve">               </w:t>
      </w:r>
    </w:p>
    <w:p>
      <w:pPr>
        <w:widowControl w:val="0"/>
        <w:spacing w:line="360" w:lineRule="auto"/>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法定代表人（负责人）或其代理人：</w:t>
      </w:r>
      <w:r>
        <w:rPr>
          <w:rFonts w:ascii="宋体" w:eastAsia="宋体" w:hAnsi="宋体" w:cs="宋体" w:hint="eastAsia"/>
          <w:kern w:val="2"/>
          <w:sz w:val="21"/>
          <w:szCs w:val="21"/>
          <w:u w:val="single"/>
          <w:lang w:eastAsia="zh-CN"/>
        </w:rPr>
        <w:t xml:space="preserve">                   </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邮政编码：</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spacing w:line="360" w:lineRule="auto"/>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传真：</w:t>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日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p>
      <w:pPr>
        <w:widowControl w:val="0"/>
        <w:jc w:val="both"/>
        <w:rPr>
          <w:rFonts w:ascii="黑体" w:eastAsia="黑体"/>
          <w:lang w:eastAsia="zh-CN"/>
        </w:rPr>
      </w:pPr>
      <w:r>
        <w:rPr>
          <w:rFonts w:ascii="黑体" w:eastAsia="黑体" w:hint="eastAsia"/>
          <w:lang w:eastAsia="zh-CN"/>
        </w:rPr>
        <w:br w:type="page"/>
      </w:r>
    </w:p>
    <w:p>
      <w:pPr>
        <w:keepNext/>
        <w:keepLines/>
        <w:widowControl w:val="0"/>
        <w:spacing w:before="260" w:after="260"/>
        <w:jc w:val="center"/>
        <w:outlineLvl w:val="2"/>
        <w:rPr>
          <w:rFonts w:ascii="黑体" w:eastAsia="黑体" w:hAnsi="宋体"/>
          <w:bCs/>
          <w:szCs w:val="32"/>
          <w:lang w:eastAsia="zh-CN"/>
        </w:rPr>
      </w:pPr>
      <w:r>
        <w:rPr>
          <w:rFonts w:ascii="黑体" w:eastAsia="黑体" w:hAnsi="宋体" w:hint="eastAsia"/>
          <w:bCs/>
          <w:szCs w:val="32"/>
          <w:lang w:eastAsia="zh-CN"/>
        </w:rPr>
        <w:t>二、政府采购投标及履约承诺函</w:t>
      </w:r>
    </w:p>
    <w:p>
      <w:pPr>
        <w:widowControl w:val="0"/>
        <w:jc w:val="both"/>
        <w:rPr>
          <w:rFonts w:ascii="宋体" w:eastAsia="宋体" w:hAnsi="宋体"/>
          <w:kern w:val="2"/>
          <w:lang w:eastAsia="zh-CN"/>
        </w:rPr>
      </w:pPr>
    </w:p>
    <w:p>
      <w:pPr>
        <w:widowControl w:val="0"/>
        <w:spacing w:line="276" w:lineRule="auto"/>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致：</w:t>
      </w:r>
      <w:r>
        <w:rPr>
          <w:rFonts w:ascii="宋体" w:eastAsia="宋体" w:hAnsi="宋体" w:cs="宋体" w:hint="eastAsia"/>
          <w:color w:val="FF0000"/>
          <w:kern w:val="2"/>
          <w:sz w:val="21"/>
          <w:szCs w:val="21"/>
          <w:u w:val="single"/>
          <w:lang w:eastAsia="zh-CN"/>
        </w:rPr>
        <w:t>深圳公共资源交易中心</w:t>
      </w:r>
    </w:p>
    <w:p>
      <w:pPr>
        <w:widowControl w:val="0"/>
        <w:spacing w:line="276" w:lineRule="auto"/>
        <w:ind w:right="-815"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我单位承诺：</w:t>
      </w:r>
    </w:p>
    <w:p>
      <w:pPr>
        <w:widowControl w:val="0"/>
        <w:spacing w:line="276" w:lineRule="auto"/>
        <w:ind w:firstLine="420" w:firstLineChars="200"/>
        <w:jc w:val="both"/>
        <w:rPr>
          <w:rFonts w:ascii="宋体" w:eastAsia="宋体" w:hAnsi="宋体" w:cs="宋体"/>
          <w:b/>
          <w:kern w:val="2"/>
          <w:sz w:val="21"/>
          <w:szCs w:val="21"/>
          <w:lang w:eastAsia="zh-CN"/>
        </w:rPr>
      </w:pPr>
      <w:r>
        <w:rPr>
          <w:rFonts w:ascii="宋体" w:eastAsia="宋体" w:hAnsi="宋体" w:cs="宋体" w:hint="eastAsia"/>
          <w:bCs/>
          <w:kern w:val="2"/>
          <w:sz w:val="21"/>
          <w:szCs w:val="21"/>
          <w:lang w:eastAsia="zh-CN"/>
        </w:rPr>
        <w:t>1.我单位参与本项目所投标（响应）的货物、工程或服务，不存在侵犯知识产权的情况。</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2.我单位参与本项目</w:t>
      </w:r>
      <w:r>
        <w:rPr>
          <w:rFonts w:ascii="宋体" w:eastAsia="宋体" w:hAnsi="宋体" w:cs="宋体" w:hint="eastAsia"/>
          <w:kern w:val="2"/>
          <w:sz w:val="21"/>
          <w:lang w:eastAsia="zh-CN"/>
        </w:rPr>
        <w:t>政府采购活动时不存在被有关部门禁止参与政府采购活动且在有效期内的情况。</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3.我单位具备《中华人民共和国政府采购法》第二十二条第一款规定的六项条件。</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4.我单位</w:t>
      </w:r>
      <w:r>
        <w:rPr>
          <w:rFonts w:ascii="宋体" w:eastAsia="宋体" w:hAnsi="宋体" w:cs="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ascii="Calibri" w:eastAsia="宋体" w:hAnsi="Calibri"/>
          <w:kern w:val="2"/>
          <w:sz w:val="21"/>
          <w:szCs w:val="22"/>
          <w:lang w:eastAsia="zh-CN"/>
        </w:rPr>
      </w:pPr>
      <w:r>
        <w:rPr>
          <w:rFonts w:eastAsia="宋体" w:hAnsi="Calibri" w:cstheme="minorBidi" w:hint="eastAsia"/>
          <w:kern w:val="2"/>
          <w:sz w:val="21"/>
          <w:szCs w:val="22"/>
          <w:lang w:eastAsia="zh-CN"/>
        </w:rPr>
        <w:t>5.我单位不存在《深圳市财政局政府采购供应商信用信息管理办法》（深财规〔2023〕3号）列明的严重违法失信行为。</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bookmarkStart w:id="39" w:name="_Hlk72587269"/>
      <w:bookmarkStart w:id="40" w:name="_Hlk72587299"/>
      <w:r>
        <w:rPr>
          <w:rFonts w:ascii="宋体" w:eastAsia="宋体" w:hAnsi="宋体" w:cs="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39"/>
      <w:r>
        <w:rPr>
          <w:rFonts w:ascii="宋体" w:eastAsia="宋体" w:hAnsi="宋体" w:cs="宋体" w:hint="eastAsia"/>
          <w:kern w:val="2"/>
          <w:sz w:val="21"/>
          <w:szCs w:val="21"/>
          <w:lang w:eastAsia="zh-CN"/>
        </w:rPr>
        <w:t>。</w:t>
      </w:r>
    </w:p>
    <w:bookmarkEnd w:id="40"/>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spacing w:line="276"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9.我单位承诺中标后项目不转包，未经采购人同意不进行分包。</w:t>
      </w:r>
    </w:p>
    <w:p>
      <w:pPr>
        <w:widowControl w:val="0"/>
        <w:spacing w:line="276"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szCs w:val="21"/>
          <w:lang w:eastAsia="zh-CN"/>
        </w:rPr>
        <w:t>10.</w:t>
      </w:r>
      <w:r>
        <w:rPr>
          <w:rFonts w:ascii="宋体" w:eastAsia="宋体" w:hAnsi="宋体" w:cs="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spacing w:line="276"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11.</w:t>
      </w:r>
      <w:r>
        <w:rPr>
          <w:rFonts w:ascii="宋体" w:eastAsia="宋体" w:hAnsi="宋体" w:cs="宋体" w:hint="eastAsia"/>
          <w:kern w:val="2"/>
          <w:sz w:val="21"/>
          <w:szCs w:val="21"/>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财库〔2023〕7号）要求</w:t>
      </w:r>
      <w:r>
        <w:rPr>
          <w:rFonts w:ascii="宋体" w:eastAsia="宋体" w:hAnsi="宋体" w:cs="宋体" w:hint="eastAsia"/>
          <w:kern w:val="2"/>
          <w:sz w:val="21"/>
          <w:szCs w:val="21"/>
          <w:lang w:eastAsia="zh-CN"/>
        </w:rPr>
        <w:t>。</w:t>
      </w:r>
      <w:r>
        <w:rPr>
          <w:rFonts w:eastAsia="宋体" w:hAnsi="Calibri" w:cstheme="minorBidi" w:hint="eastAsia"/>
          <w:kern w:val="2"/>
          <w:sz w:val="21"/>
          <w:szCs w:val="22"/>
          <w:lang w:eastAsia="zh-CN"/>
        </w:rPr>
        <w:t>若所投产品涉及国家强制性标准的，所投产品应符合国家强制性标准相关要求。</w:t>
      </w:r>
    </w:p>
    <w:p>
      <w:pPr>
        <w:widowControl w:val="0"/>
        <w:spacing w:line="276" w:lineRule="auto"/>
        <w:ind w:firstLine="420" w:firstLineChars="200"/>
        <w:jc w:val="both"/>
        <w:rPr>
          <w:rFonts w:ascii="宋体" w:eastAsia="宋体" w:hAnsi="宋体" w:cs="宋体"/>
          <w:bCs/>
          <w:kern w:val="2"/>
          <w:sz w:val="21"/>
          <w:lang w:eastAsia="zh-CN"/>
        </w:rPr>
      </w:pPr>
      <w:r>
        <w:rPr>
          <w:rFonts w:ascii="宋体" w:eastAsia="宋体" w:hAnsi="宋体" w:cs="宋体" w:hint="eastAsia"/>
          <w:bCs/>
          <w:sz w:val="21"/>
          <w:szCs w:val="21"/>
          <w:lang w:eastAsia="zh-CN"/>
        </w:rPr>
        <w:t>12.</w:t>
      </w:r>
      <w:r>
        <w:rPr>
          <w:rFonts w:ascii="宋体" w:eastAsia="宋体" w:hAnsi="宋体" w:cs="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cs="宋体"/>
          <w:b/>
          <w:sz w:val="21"/>
          <w:szCs w:val="21"/>
          <w:lang w:eastAsia="zh-CN"/>
        </w:rPr>
      </w:pPr>
      <w:r>
        <w:rPr>
          <w:rFonts w:ascii="宋体" w:eastAsia="宋体" w:hAnsi="宋体" w:cs="宋体" w:hint="eastAsia"/>
          <w:bCs/>
          <w:kern w:val="2"/>
          <w:sz w:val="21"/>
          <w:lang w:eastAsia="zh-CN"/>
        </w:rPr>
        <w:t>13.我单位保证，符合《中华人民共和国政府采购法实施条例》第十八条规定，与其他投标供应商不存在单位负责人为同一人或者存在直接控股、管理关系；不存在为</w:t>
      </w:r>
      <w:r>
        <w:rPr>
          <w:rFonts w:ascii="宋体" w:eastAsia="宋体" w:hAnsi="宋体" w:cstheme="minorBidi" w:hint="eastAsia"/>
          <w:bCs/>
          <w:kern w:val="2"/>
          <w:sz w:val="21"/>
          <w:szCs w:val="22"/>
          <w:lang w:eastAsia="zh-CN"/>
        </w:rPr>
        <w:t>本次</w:t>
      </w:r>
      <w:r>
        <w:rPr>
          <w:rFonts w:ascii="宋体" w:eastAsia="宋体" w:hAnsi="宋体" w:cs="宋体" w:hint="eastAsia"/>
          <w:bCs/>
          <w:kern w:val="2"/>
          <w:sz w:val="21"/>
          <w:lang w:eastAsia="zh-CN"/>
        </w:rPr>
        <w:t>采购项目提供整体设计、规范编制或者项目管理、监理、检测等服务的情形。</w:t>
      </w:r>
      <w:r>
        <w:rPr>
          <w:rFonts w:ascii="宋体" w:eastAsia="宋体" w:hAnsi="宋体" w:cstheme="minorBidi" w:hint="eastAsia"/>
          <w:bCs/>
          <w:kern w:val="2"/>
          <w:sz w:val="21"/>
          <w:szCs w:val="22"/>
          <w:lang w:eastAsia="zh-CN"/>
        </w:rPr>
        <w:t>若存在“不同供应商的董事、股东或其他高级管理人员为同一人的”情形的，我单位保证不存在串通投标、恶意串通或者视为串通投标的情形。</w:t>
      </w:r>
    </w:p>
    <w:p>
      <w:pPr>
        <w:widowControl w:val="0"/>
        <w:spacing w:line="276" w:lineRule="auto"/>
        <w:ind w:firstLine="420" w:firstLineChars="200"/>
        <w:jc w:val="both"/>
        <w:rPr>
          <w:rFonts w:ascii="宋体" w:eastAsia="宋体" w:hAnsi="宋体" w:cs="宋体"/>
          <w:kern w:val="2"/>
          <w:sz w:val="21"/>
          <w:lang w:eastAsia="zh-CN"/>
        </w:rPr>
      </w:pPr>
      <w:r>
        <w:rPr>
          <w:rFonts w:ascii="宋体" w:eastAsia="宋体" w:hAnsi="宋体" w:cs="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spacing w:line="276" w:lineRule="auto"/>
        <w:ind w:firstLine="420" w:firstLineChars="200"/>
        <w:jc w:val="both"/>
        <w:rPr>
          <w:rFonts w:ascii="宋体" w:eastAsia="宋体" w:hAnsi="宋体"/>
          <w:kern w:val="2"/>
          <w:sz w:val="21"/>
          <w:szCs w:val="21"/>
          <w:lang w:eastAsia="zh-CN"/>
        </w:rPr>
      </w:pPr>
      <w:r>
        <w:rPr>
          <w:rFonts w:ascii="宋体" w:eastAsia="宋体" w:hAnsi="宋体" w:cs="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line="276" w:lineRule="auto"/>
        <w:ind w:firstLine="5460" w:firstLineChars="2600"/>
        <w:jc w:val="both"/>
        <w:rPr>
          <w:rFonts w:eastAsia="宋体"/>
          <w:color w:val="000000"/>
          <w:kern w:val="2"/>
          <w:sz w:val="21"/>
          <w:lang w:eastAsia="zh-CN"/>
        </w:rPr>
      </w:pPr>
      <w:r>
        <w:rPr>
          <w:rFonts w:eastAsia="宋体" w:hint="eastAsia"/>
          <w:color w:val="000000"/>
          <w:kern w:val="2"/>
          <w:sz w:val="21"/>
          <w:szCs w:val="21"/>
          <w:lang w:eastAsia="zh-CN"/>
        </w:rPr>
        <w:t>投标人：</w:t>
      </w:r>
      <w:r>
        <w:rPr>
          <w:rFonts w:eastAsia="宋体" w:hint="eastAsia"/>
          <w:color w:val="000000"/>
          <w:kern w:val="2"/>
          <w:sz w:val="21"/>
          <w:szCs w:val="21"/>
          <w:u w:val="single"/>
          <w:lang w:eastAsia="zh-CN"/>
        </w:rPr>
        <w:t xml:space="preserve">              </w:t>
      </w:r>
    </w:p>
    <w:p>
      <w:pPr>
        <w:widowControl w:val="0"/>
        <w:spacing w:line="276" w:lineRule="auto"/>
        <w:ind w:firstLine="645"/>
        <w:jc w:val="both"/>
        <w:rPr>
          <w:rFonts w:eastAsia="宋体"/>
          <w:kern w:val="2"/>
          <w:sz w:val="21"/>
          <w:lang w:eastAsia="zh-CN"/>
        </w:rPr>
      </w:pPr>
      <w:r>
        <w:rPr>
          <w:rFonts w:ascii="宋体" w:eastAsia="宋体" w:hAnsi="宋体" w:hint="eastAsia"/>
          <w:color w:val="000000"/>
          <w:kern w:val="2"/>
          <w:sz w:val="21"/>
          <w:szCs w:val="21"/>
          <w:lang w:eastAsia="zh-CN"/>
        </w:rPr>
        <w:t xml:space="preserve">                                              日期：</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年</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月</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日</w:t>
      </w:r>
    </w:p>
    <w:p>
      <w:pPr>
        <w:keepNext/>
        <w:keepLines/>
        <w:widowControl w:val="0"/>
        <w:spacing w:before="120" w:after="120"/>
        <w:jc w:val="center"/>
        <w:outlineLvl w:val="2"/>
        <w:rPr>
          <w:rFonts w:ascii="黑体" w:eastAsia="黑体" w:hAnsi="宋体"/>
          <w:bCs/>
          <w:szCs w:val="32"/>
          <w:lang w:eastAsia="zh-CN"/>
        </w:rPr>
      </w:pPr>
    </w:p>
    <w:p>
      <w:pPr>
        <w:keepNext/>
        <w:keepLines/>
        <w:widowControl w:val="0"/>
        <w:spacing w:before="120" w:after="120"/>
        <w:jc w:val="center"/>
        <w:outlineLvl w:val="2"/>
        <w:rPr>
          <w:rFonts w:ascii="黑体" w:eastAsia="黑体" w:hAnsi="宋体"/>
          <w:bCs/>
          <w:szCs w:val="32"/>
          <w:lang w:eastAsia="zh-CN"/>
        </w:rPr>
      </w:pPr>
      <w:r>
        <w:rPr>
          <w:rFonts w:ascii="黑体" w:eastAsia="黑体" w:hAnsi="宋体" w:hint="eastAsia"/>
          <w:bCs/>
          <w:szCs w:val="32"/>
          <w:lang w:eastAsia="zh-CN"/>
        </w:rPr>
        <w:t>三、投标人情况及资格证明文件</w:t>
      </w:r>
    </w:p>
    <w:p>
      <w:pPr>
        <w:widowControl w:val="0"/>
        <w:ind w:firstLine="2640" w:firstLineChars="1100"/>
        <w:jc w:val="both"/>
        <w:outlineLvl w:val="3"/>
        <w:rPr>
          <w:rFonts w:ascii="黑体" w:eastAsia="黑体" w:hAnsi="宋体"/>
          <w:bCs/>
          <w:szCs w:val="32"/>
          <w:lang w:eastAsia="zh-CN"/>
        </w:rPr>
      </w:pPr>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kern w:val="2"/>
          <w:lang w:eastAsia="zh-CN"/>
        </w:rPr>
      </w:pPr>
      <w:r>
        <w:rPr>
          <w:rFonts w:eastAsia="宋体" w:hint="eastAsia"/>
          <w:b/>
          <w:bCs/>
          <w:color w:val="FF0000"/>
          <w:kern w:val="2"/>
          <w:sz w:val="21"/>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w:t>
      </w:r>
    </w:p>
    <w:p>
      <w:pPr>
        <w:widowControl w:val="0"/>
        <w:jc w:val="both"/>
        <w:rPr>
          <w:rFonts w:eastAsia="宋体"/>
          <w:kern w:val="2"/>
          <w:sz w:val="21"/>
          <w:lang w:eastAsia="zh-CN"/>
        </w:rPr>
      </w:pPr>
    </w:p>
    <w:p>
      <w:pPr>
        <w:widowControl w:val="0"/>
        <w:ind w:firstLine="480" w:firstLineChars="200"/>
        <w:jc w:val="both"/>
        <w:outlineLvl w:val="3"/>
        <w:rPr>
          <w:rFonts w:ascii="黑体" w:eastAsia="黑体" w:hAnsi="宋体"/>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填写指引：</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2.该部分内容填写需要参考的相关文件：</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（1）财政部《政府采购促进中小企业发展管理办法》（财库〔2020〕46号）；</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（2）《工业和信息化部、国家统计局、国家发展和改革委员会、财政部关于印发中小企业划型标准规定的通知》（工信部联企业〔2011〕300 号，以下简称300号文）；</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（3）《统计上大中小微型企业划分办法(2017)》（国统字〔2017〕213 号）；</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（4）《关于促进残疾人就业政府采购政策的通知》（财库〔2017〕141号）；</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（5）《关于政府采购支持监狱企业发展有关问题的通知》（财库〔2014〕68号）。</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3.请依照提供的格式和内容填写声明函，不要随意变更格式；声明函不需要盖章或签字；满足多项优惠政策的投标人，不重复享受多项价格扣除政策。</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4.声明函具体填写要求：</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（1）声明是中小企业须填写《中小企业声明函》的以下内容：</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第一处，在“单位名称”下划线处如实填写采购人名称（深圳公共资源交易中心不是本项目的采购人，而是组织实施机构）；</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（3）事业单位、社会组织等非企业主体不享受中小企业扶持政策。</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（4）声明是残疾人福利性单位须填写《残疾人福利性单位声明函》的相关内容，具体参照以上《中小企业声明函》填写要求执行。</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（5）声明是监狱企业须填写《监狱企业声明函》的三项内容（填写位置的字体已加粗），具体参照以上《中小企业声明函》填写要求执行。</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5.本项目属于服务类项目，相关服务承接商应当为中小企业或残疾人福利性单位或监狱企业，如包含硬件设备、产品等货物采购的，不再对其中涉及的货物制造商作出要求。</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供应商应严格按照“填写指引”的要求进行填写，否则可能被判定无效。</w:t>
      </w:r>
    </w:p>
    <w:p>
      <w:pPr>
        <w:widowControl w:val="0"/>
        <w:spacing w:line="276" w:lineRule="auto"/>
        <w:ind w:firstLine="420" w:firstLineChars="200"/>
        <w:jc w:val="both"/>
        <w:rPr>
          <w:rFonts w:ascii="宋体" w:eastAsia="宋体" w:hAnsi="宋体" w:cs="宋体"/>
          <w:b/>
          <w:color w:val="0000FF"/>
          <w:kern w:val="2"/>
          <w:sz w:val="21"/>
          <w:szCs w:val="21"/>
          <w:lang w:eastAsia="zh-CN"/>
        </w:rPr>
      </w:pPr>
      <w:r>
        <w:rPr>
          <w:rFonts w:ascii="宋体" w:eastAsia="宋体" w:hAnsi="宋体" w:cs="宋体" w:hint="eastAsia"/>
          <w:b/>
          <w:color w:val="0000FF"/>
          <w:kern w:val="2"/>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br w:type="page"/>
      </w:r>
    </w:p>
    <w:p>
      <w:pPr>
        <w:widowControl w:val="0"/>
        <w:spacing w:line="300" w:lineRule="exact"/>
        <w:jc w:val="center"/>
        <w:rPr>
          <w:rFonts w:ascii="宋体" w:eastAsia="宋体" w:hAnsi="宋体" w:cs="宋体"/>
          <w:b/>
          <w:bCs/>
          <w:kern w:val="2"/>
          <w:szCs w:val="32"/>
          <w:lang w:eastAsia="zh-CN"/>
        </w:rPr>
      </w:pPr>
      <w:r>
        <w:rPr>
          <w:rFonts w:ascii="宋体" w:eastAsia="宋体" w:hAnsi="宋体" w:cs="宋体" w:hint="eastAsia"/>
          <w:b/>
          <w:bCs/>
          <w:kern w:val="2"/>
          <w:szCs w:val="32"/>
          <w:lang w:eastAsia="zh-CN"/>
        </w:rPr>
        <w:t>1.中小企业声明函（服务）</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ind w:firstLine="420" w:firstLineChars="200"/>
        <w:jc w:val="both"/>
        <w:rPr>
          <w:rFonts w:ascii="宋体" w:eastAsia="宋体" w:hAnsi="宋体" w:cs="宋体"/>
          <w:kern w:val="2"/>
          <w:sz w:val="21"/>
          <w:szCs w:val="21"/>
          <w:lang w:eastAsia="zh-CN"/>
        </w:rPr>
      </w:pPr>
      <w:bookmarkStart w:id="41"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widowControl w:val="0"/>
        <w:wordWrap w:val="0"/>
        <w:adjustRightInd w:val="0"/>
        <w:spacing w:line="300" w:lineRule="exact"/>
        <w:ind w:firstLine="420" w:firstLineChars="200"/>
        <w:jc w:val="right"/>
        <w:rPr>
          <w:rFonts w:ascii="宋体" w:eastAsia="宋体" w:hAnsi="宋体" w:cs="宋体"/>
          <w:kern w:val="2"/>
          <w:sz w:val="21"/>
          <w:szCs w:val="21"/>
          <w:lang w:eastAsia="zh-CN"/>
        </w:rPr>
      </w:pPr>
    </w:p>
    <w:p>
      <w:pPr>
        <w:widowControl w:val="0"/>
        <w:wordWrap w:val="0"/>
        <w:adjustRightInd w:val="0"/>
        <w:spacing w:line="300" w:lineRule="exact"/>
        <w:ind w:firstLine="420" w:firstLineChars="200"/>
        <w:jc w:val="right"/>
        <w:rPr>
          <w:rFonts w:ascii="宋体" w:eastAsia="宋体" w:hAnsi="宋体" w:cs="宋体"/>
          <w:kern w:val="2"/>
          <w:sz w:val="21"/>
          <w:szCs w:val="21"/>
          <w:lang w:eastAsia="zh-CN"/>
        </w:rPr>
      </w:pPr>
    </w:p>
    <w:p>
      <w:pPr>
        <w:widowControl w:val="0"/>
        <w:adjustRightInd w:val="0"/>
        <w:spacing w:line="300" w:lineRule="exact"/>
        <w:jc w:val="center"/>
        <w:rPr>
          <w:rFonts w:ascii="宋体" w:eastAsia="宋体" w:hAnsi="宋体" w:cs="宋体"/>
          <w:b/>
          <w:kern w:val="2"/>
          <w:lang w:eastAsia="zh-CN"/>
        </w:rPr>
      </w:pPr>
      <w:r>
        <w:rPr>
          <w:rFonts w:ascii="宋体" w:eastAsia="宋体" w:hAnsi="宋体" w:cs="宋体" w:hint="eastAsia"/>
          <w:b/>
          <w:kern w:val="2"/>
          <w:lang w:eastAsia="zh-CN"/>
        </w:rPr>
        <w:t>2.残疾人福利性单位声明函（服务类）</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wordWrap w:val="0"/>
        <w:adjustRightInd w:val="0"/>
        <w:spacing w:line="300" w:lineRule="exact"/>
        <w:ind w:firstLine="420" w:firstLineChars="200"/>
        <w:jc w:val="right"/>
        <w:rPr>
          <w:rFonts w:ascii="宋体" w:eastAsia="宋体" w:hAnsi="宋体" w:cs="宋体"/>
          <w:kern w:val="2"/>
          <w:sz w:val="21"/>
          <w:szCs w:val="21"/>
          <w:lang w:eastAsia="zh-CN"/>
        </w:rPr>
      </w:pPr>
    </w:p>
    <w:p>
      <w:pPr>
        <w:widowControl w:val="0"/>
        <w:adjustRightInd w:val="0"/>
        <w:spacing w:line="300" w:lineRule="exact"/>
        <w:ind w:firstLine="420" w:firstLineChars="200"/>
        <w:jc w:val="both"/>
        <w:rPr>
          <w:rFonts w:ascii="宋体" w:eastAsia="宋体" w:hAnsi="宋体"/>
          <w:kern w:val="2"/>
          <w:sz w:val="21"/>
          <w:szCs w:val="21"/>
          <w:lang w:eastAsia="zh-CN"/>
        </w:rPr>
      </w:pPr>
    </w:p>
    <w:p>
      <w:pPr>
        <w:widowControl w:val="0"/>
        <w:adjustRightInd w:val="0"/>
        <w:spacing w:line="300" w:lineRule="exact"/>
        <w:jc w:val="left"/>
        <w:rPr>
          <w:rFonts w:ascii="宋体" w:eastAsia="宋体" w:hAnsi="宋体" w:cs="宋体"/>
          <w:b/>
          <w:kern w:val="2"/>
          <w:lang w:eastAsia="zh-CN"/>
        </w:rPr>
      </w:pPr>
      <w:r>
        <w:rPr>
          <w:rFonts w:ascii="宋体" w:eastAsia="宋体" w:hAnsi="宋体" w:cs="宋体" w:hint="eastAsia"/>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kern w:val="2"/>
          <w:sz w:val="21"/>
          <w:szCs w:val="21"/>
          <w:lang w:eastAsia="zh-CN"/>
        </w:rPr>
      </w:pPr>
      <w:r>
        <w:rPr>
          <w:rFonts w:ascii="宋体" w:eastAsia="宋体" w:hAnsi="宋体" w:cs="宋体" w:hint="eastAsia"/>
          <w:kern w:val="2"/>
          <w:sz w:val="21"/>
          <w:szCs w:val="21"/>
          <w:lang w:eastAsia="zh-CN"/>
        </w:rPr>
        <w:t>本投标人郑重声明，根据《财政部司法部关于政府采购支持监狱企业发展有关问题的通知》</w:t>
      </w: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采购人</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kern w:val="2"/>
          <w:sz w:val="21"/>
          <w:szCs w:val="21"/>
          <w:u w:val="single"/>
          <w:lang w:eastAsia="zh-CN"/>
        </w:rPr>
        <w:t>（项目名称）</w:t>
      </w:r>
      <w:r>
        <w:rPr>
          <w:rFonts w:ascii="宋体" w:eastAsia="宋体" w:hAnsi="宋体" w:cstheme="minorBidi"/>
          <w:kern w:val="2"/>
          <w:sz w:val="21"/>
          <w:szCs w:val="21"/>
          <w:lang w:eastAsia="zh-CN"/>
        </w:rPr>
        <w:t>采购活动，</w:t>
      </w:r>
      <w:r>
        <w:rPr>
          <w:rFonts w:ascii="宋体" w:eastAsia="宋体" w:hAnsi="宋体" w:cstheme="minorBidi" w:hint="eastAsia"/>
          <w:kern w:val="2"/>
          <w:sz w:val="21"/>
          <w:szCs w:val="21"/>
          <w:lang w:eastAsia="zh-CN"/>
        </w:rPr>
        <w:t>服务</w:t>
      </w:r>
      <w:r>
        <w:rPr>
          <w:rFonts w:ascii="宋体" w:eastAsia="宋体" w:hAnsi="宋体" w:cstheme="minorBidi"/>
          <w:kern w:val="2"/>
          <w:sz w:val="21"/>
          <w:szCs w:val="21"/>
          <w:lang w:eastAsia="zh-CN"/>
        </w:rPr>
        <w:t>全部由符合政策要求的</w:t>
      </w:r>
      <w:r>
        <w:rPr>
          <w:rFonts w:ascii="宋体" w:eastAsia="宋体" w:hAnsi="宋体" w:cstheme="minorBidi" w:hint="eastAsia"/>
          <w:kern w:val="2"/>
          <w:sz w:val="21"/>
          <w:szCs w:val="21"/>
          <w:lang w:eastAsia="zh-CN"/>
        </w:rPr>
        <w:t>监狱企业承接</w:t>
      </w:r>
      <w:r>
        <w:rPr>
          <w:rFonts w:ascii="宋体" w:eastAsia="宋体" w:hAnsi="宋体" w:cstheme="minorBidi"/>
          <w:kern w:val="2"/>
          <w:sz w:val="21"/>
          <w:szCs w:val="21"/>
          <w:lang w:eastAsia="zh-CN"/>
        </w:rPr>
        <w:t>。相关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b/>
          <w:bCs/>
          <w:kern w:val="2"/>
          <w:sz w:val="21"/>
          <w:szCs w:val="21"/>
          <w:u w:val="single"/>
          <w:lang w:eastAsia="zh-CN"/>
        </w:rPr>
        <w:t>）</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，承接单位</w:t>
      </w:r>
      <w:r>
        <w:rPr>
          <w:rFonts w:ascii="宋体" w:eastAsia="宋体" w:hAnsi="宋体" w:cstheme="minorBidi"/>
          <w:kern w:val="2"/>
          <w:sz w:val="21"/>
          <w:szCs w:val="21"/>
          <w:lang w:eastAsia="zh-CN"/>
        </w:rPr>
        <w:t>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i/>
          <w:iCs/>
          <w:kern w:val="2"/>
          <w:sz w:val="21"/>
          <w:szCs w:val="21"/>
          <w:u w:val="single"/>
          <w:lang w:eastAsia="zh-CN"/>
        </w:rPr>
        <w:t>监狱企业</w:t>
      </w:r>
      <w:r>
        <w:rPr>
          <w:rFonts w:ascii="宋体" w:eastAsia="宋体" w:hAnsi="宋体" w:cstheme="minorBidi"/>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i/>
          <w:iCs/>
          <w:kern w:val="2"/>
          <w:sz w:val="21"/>
          <w:szCs w:val="21"/>
          <w:lang w:eastAsia="zh-CN"/>
        </w:rPr>
        <w:t xml:space="preserve"> </w:t>
      </w:r>
      <w:r>
        <w:rPr>
          <w:rFonts w:ascii="宋体" w:eastAsia="宋体" w:hAnsi="宋体" w:cstheme="minorBidi" w:hint="eastAsia"/>
          <w:kern w:val="2"/>
          <w:sz w:val="21"/>
          <w:szCs w:val="21"/>
          <w:lang w:eastAsia="zh-CN"/>
        </w:rPr>
        <w:t>，承接单位</w:t>
      </w:r>
      <w:r>
        <w:rPr>
          <w:rFonts w:ascii="宋体" w:eastAsia="宋体" w:hAnsi="宋体" w:cstheme="minorBidi"/>
          <w:kern w:val="2"/>
          <w:sz w:val="21"/>
          <w:szCs w:val="21"/>
          <w:lang w:eastAsia="zh-CN"/>
        </w:rPr>
        <w:t>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i/>
          <w:i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p>
    <w:p>
      <w:pPr>
        <w:widowControl w:val="0"/>
        <w:adjustRightInd w:val="0"/>
        <w:spacing w:line="300" w:lineRule="exact"/>
        <w:ind w:firstLine="420" w:firstLineChars="200"/>
        <w:jc w:val="left"/>
        <w:rPr>
          <w:rFonts w:ascii="宋体" w:eastAsia="宋体" w:hAnsi="宋体" w:cs="宋体"/>
          <w:kern w:val="2"/>
          <w:sz w:val="21"/>
          <w:szCs w:val="21"/>
          <w:lang w:eastAsia="zh-CN"/>
        </w:rPr>
      </w:pPr>
    </w:p>
    <w:p>
      <w:pPr>
        <w:widowControl w:val="0"/>
        <w:adjustRightInd w:val="0"/>
        <w:spacing w:line="300" w:lineRule="exact"/>
        <w:ind w:firstLine="420" w:firstLineChars="200"/>
        <w:jc w:val="left"/>
        <w:rPr>
          <w:rFonts w:ascii="宋体" w:eastAsia="宋体" w:hAnsi="宋体" w:cs="宋体"/>
          <w:kern w:val="2"/>
          <w:sz w:val="21"/>
          <w:szCs w:val="21"/>
          <w:lang w:eastAsia="zh-CN"/>
        </w:rPr>
      </w:pPr>
    </w:p>
    <w:p>
      <w:pPr>
        <w:widowControl w:val="0"/>
        <w:wordWrap w:val="0"/>
        <w:adjustRightInd w:val="0"/>
        <w:spacing w:line="300" w:lineRule="exact"/>
        <w:ind w:firstLine="420" w:firstLineChars="200"/>
        <w:jc w:val="right"/>
        <w:rPr>
          <w:rFonts w:ascii="宋体" w:eastAsia="宋体" w:hAnsi="宋体" w:cs="宋体"/>
          <w:kern w:val="2"/>
          <w:sz w:val="21"/>
          <w:szCs w:val="21"/>
          <w:lang w:eastAsia="zh-CN"/>
        </w:rPr>
      </w:pPr>
    </w:p>
    <w:p>
      <w:pPr>
        <w:keepNext/>
        <w:keepLines/>
        <w:widowControl w:val="0"/>
        <w:spacing w:before="260" w:after="260" w:line="276" w:lineRule="auto"/>
        <w:jc w:val="center"/>
        <w:outlineLvl w:val="2"/>
        <w:rPr>
          <w:rFonts w:ascii="黑体" w:eastAsia="黑体" w:hAnsi="宋体"/>
          <w:bCs/>
          <w:lang w:eastAsia="zh-CN"/>
        </w:rPr>
      </w:pPr>
      <w:r>
        <w:rPr>
          <w:rFonts w:ascii="黑体" w:eastAsia="黑体" w:hAnsi="宋体" w:hint="eastAsia"/>
          <w:bCs/>
          <w:lang w:eastAsia="zh-CN"/>
        </w:rPr>
        <w:t>四</w:t>
      </w:r>
      <w:r>
        <w:rPr>
          <w:rFonts w:ascii="黑体" w:eastAsia="黑体" w:hAnsi="宋体" w:hint="eastAsia"/>
          <w:bCs/>
          <w:lang w:eastAsia="zh-CN"/>
        </w:rPr>
        <w:t>、同类项目业绩</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679"/>
        <w:gridCol w:w="1276"/>
        <w:gridCol w:w="1113"/>
        <w:gridCol w:w="1549"/>
        <w:gridCol w:w="1296"/>
        <w:gridCol w:w="1121"/>
        <w:gridCol w:w="913"/>
        <w:gridCol w:w="1131"/>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756"/>
          <w:jc w:val="center"/>
        </w:trPr>
        <w:tc>
          <w:tcPr>
            <w:tcW w:w="675"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序号</w:t>
            </w:r>
          </w:p>
        </w:tc>
        <w:tc>
          <w:tcPr>
            <w:tcW w:w="1267"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采购人</w:t>
            </w:r>
          </w:p>
        </w:tc>
        <w:tc>
          <w:tcPr>
            <w:tcW w:w="1105"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项目名称</w:t>
            </w:r>
          </w:p>
        </w:tc>
        <w:tc>
          <w:tcPr>
            <w:tcW w:w="1538" w:type="dxa"/>
            <w:vAlign w:val="center"/>
          </w:tcPr>
          <w:p>
            <w:pPr>
              <w:widowControl w:val="0"/>
              <w:spacing w:line="276" w:lineRule="auto"/>
              <w:jc w:val="center"/>
              <w:rPr>
                <w:rFonts w:ascii="宋体" w:eastAsia="宋体"/>
                <w:kern w:val="2"/>
                <w:sz w:val="21"/>
                <w:szCs w:val="21"/>
                <w:lang w:eastAsia="zh-CN"/>
              </w:rPr>
            </w:pPr>
            <w:r>
              <w:rPr>
                <w:rFonts w:ascii="宋体" w:eastAsia="宋体" w:hint="eastAsia"/>
                <w:kern w:val="2"/>
                <w:sz w:val="21"/>
                <w:szCs w:val="21"/>
                <w:lang w:eastAsia="zh-CN"/>
              </w:rPr>
              <w:t>合同签订时间</w:t>
            </w:r>
          </w:p>
        </w:tc>
        <w:tc>
          <w:tcPr>
            <w:tcW w:w="1287"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完成时间</w:t>
            </w:r>
          </w:p>
        </w:tc>
        <w:tc>
          <w:tcPr>
            <w:tcW w:w="1113"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服务情况</w:t>
            </w:r>
          </w:p>
        </w:tc>
        <w:tc>
          <w:tcPr>
            <w:tcW w:w="907"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联系人</w:t>
            </w:r>
          </w:p>
        </w:tc>
        <w:tc>
          <w:tcPr>
            <w:tcW w:w="1123"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联系电话</w:t>
            </w:r>
          </w:p>
        </w:tc>
      </w:tr>
      <w:tr>
        <w:tblPrEx>
          <w:tblW w:w="5000" w:type="pct"/>
          <w:jc w:val="center"/>
          <w:tblLayout w:type="fixed"/>
          <w:tblCellMar>
            <w:top w:w="0" w:type="dxa"/>
            <w:left w:w="108" w:type="dxa"/>
            <w:bottom w:w="0" w:type="dxa"/>
            <w:right w:w="108" w:type="dxa"/>
          </w:tblCellMar>
        </w:tblPrEx>
        <w:trPr>
          <w:cantSplit/>
          <w:trHeight w:val="392"/>
          <w:jc w:val="center"/>
        </w:trPr>
        <w:tc>
          <w:tcPr>
            <w:tcW w:w="675" w:type="dxa"/>
          </w:tcPr>
          <w:p>
            <w:pPr>
              <w:widowControl w:val="0"/>
              <w:spacing w:line="276" w:lineRule="auto"/>
              <w:jc w:val="both"/>
              <w:rPr>
                <w:rFonts w:ascii="宋体" w:eastAsia="宋体"/>
                <w:kern w:val="2"/>
                <w:sz w:val="21"/>
                <w:szCs w:val="21"/>
                <w:lang w:eastAsia="zh-CN"/>
              </w:rPr>
            </w:pPr>
          </w:p>
        </w:tc>
        <w:tc>
          <w:tcPr>
            <w:tcW w:w="1267" w:type="dxa"/>
          </w:tcPr>
          <w:p>
            <w:pPr>
              <w:widowControl w:val="0"/>
              <w:spacing w:line="276" w:lineRule="auto"/>
              <w:jc w:val="both"/>
              <w:rPr>
                <w:rFonts w:ascii="宋体" w:eastAsia="宋体"/>
                <w:kern w:val="2"/>
                <w:sz w:val="21"/>
                <w:szCs w:val="21"/>
                <w:lang w:eastAsia="zh-CN"/>
              </w:rPr>
            </w:pPr>
          </w:p>
        </w:tc>
        <w:tc>
          <w:tcPr>
            <w:tcW w:w="1105" w:type="dxa"/>
          </w:tcPr>
          <w:p>
            <w:pPr>
              <w:widowControl w:val="0"/>
              <w:spacing w:line="276" w:lineRule="auto"/>
              <w:jc w:val="both"/>
              <w:rPr>
                <w:rFonts w:ascii="宋体" w:eastAsia="宋体"/>
                <w:kern w:val="2"/>
                <w:sz w:val="21"/>
                <w:szCs w:val="21"/>
                <w:lang w:eastAsia="zh-CN"/>
              </w:rPr>
            </w:pPr>
          </w:p>
        </w:tc>
        <w:tc>
          <w:tcPr>
            <w:tcW w:w="1538" w:type="dxa"/>
          </w:tcPr>
          <w:p>
            <w:pPr>
              <w:widowControl w:val="0"/>
              <w:spacing w:line="276" w:lineRule="auto"/>
              <w:jc w:val="both"/>
              <w:rPr>
                <w:rFonts w:ascii="宋体" w:eastAsia="宋体"/>
                <w:kern w:val="2"/>
                <w:sz w:val="21"/>
                <w:szCs w:val="21"/>
                <w:lang w:eastAsia="zh-CN"/>
              </w:rPr>
            </w:pPr>
          </w:p>
        </w:tc>
        <w:tc>
          <w:tcPr>
            <w:tcW w:w="1287" w:type="dxa"/>
          </w:tcPr>
          <w:p>
            <w:pPr>
              <w:widowControl w:val="0"/>
              <w:spacing w:line="276" w:lineRule="auto"/>
              <w:jc w:val="both"/>
              <w:rPr>
                <w:rFonts w:ascii="宋体" w:eastAsia="宋体"/>
                <w:kern w:val="2"/>
                <w:sz w:val="21"/>
                <w:szCs w:val="21"/>
                <w:lang w:eastAsia="zh-CN"/>
              </w:rPr>
            </w:pPr>
          </w:p>
        </w:tc>
        <w:tc>
          <w:tcPr>
            <w:tcW w:w="1113" w:type="dxa"/>
          </w:tcPr>
          <w:p>
            <w:pPr>
              <w:widowControl w:val="0"/>
              <w:spacing w:line="276" w:lineRule="auto"/>
              <w:jc w:val="both"/>
              <w:rPr>
                <w:rFonts w:ascii="宋体" w:eastAsia="宋体"/>
                <w:kern w:val="2"/>
                <w:sz w:val="21"/>
                <w:szCs w:val="21"/>
                <w:lang w:eastAsia="zh-CN"/>
              </w:rPr>
            </w:pPr>
          </w:p>
        </w:tc>
        <w:tc>
          <w:tcPr>
            <w:tcW w:w="907" w:type="dxa"/>
          </w:tcPr>
          <w:p>
            <w:pPr>
              <w:widowControl w:val="0"/>
              <w:spacing w:line="276" w:lineRule="auto"/>
              <w:jc w:val="both"/>
              <w:rPr>
                <w:rFonts w:ascii="宋体" w:eastAsia="宋体"/>
                <w:kern w:val="2"/>
                <w:sz w:val="21"/>
                <w:szCs w:val="21"/>
                <w:lang w:eastAsia="zh-CN"/>
              </w:rPr>
            </w:pPr>
          </w:p>
        </w:tc>
        <w:tc>
          <w:tcPr>
            <w:tcW w:w="1123" w:type="dxa"/>
          </w:tcPr>
          <w:p>
            <w:pPr>
              <w:widowControl w:val="0"/>
              <w:spacing w:line="276" w:lineRule="auto"/>
              <w:jc w:val="both"/>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92"/>
          <w:jc w:val="center"/>
        </w:trPr>
        <w:tc>
          <w:tcPr>
            <w:tcW w:w="675" w:type="dxa"/>
          </w:tcPr>
          <w:p>
            <w:pPr>
              <w:widowControl w:val="0"/>
              <w:spacing w:line="276" w:lineRule="auto"/>
              <w:jc w:val="both"/>
              <w:rPr>
                <w:rFonts w:ascii="宋体" w:eastAsia="宋体"/>
                <w:kern w:val="2"/>
                <w:sz w:val="21"/>
                <w:szCs w:val="21"/>
                <w:lang w:eastAsia="zh-CN"/>
              </w:rPr>
            </w:pPr>
          </w:p>
        </w:tc>
        <w:tc>
          <w:tcPr>
            <w:tcW w:w="1267" w:type="dxa"/>
          </w:tcPr>
          <w:p>
            <w:pPr>
              <w:widowControl w:val="0"/>
              <w:spacing w:line="276" w:lineRule="auto"/>
              <w:jc w:val="both"/>
              <w:rPr>
                <w:rFonts w:ascii="宋体" w:eastAsia="宋体"/>
                <w:kern w:val="2"/>
                <w:sz w:val="21"/>
                <w:szCs w:val="21"/>
                <w:lang w:eastAsia="zh-CN"/>
              </w:rPr>
            </w:pPr>
          </w:p>
        </w:tc>
        <w:tc>
          <w:tcPr>
            <w:tcW w:w="1105" w:type="dxa"/>
          </w:tcPr>
          <w:p>
            <w:pPr>
              <w:widowControl w:val="0"/>
              <w:spacing w:line="276" w:lineRule="auto"/>
              <w:jc w:val="both"/>
              <w:rPr>
                <w:rFonts w:ascii="宋体" w:eastAsia="宋体"/>
                <w:kern w:val="2"/>
                <w:sz w:val="21"/>
                <w:szCs w:val="21"/>
                <w:lang w:eastAsia="zh-CN"/>
              </w:rPr>
            </w:pPr>
          </w:p>
        </w:tc>
        <w:tc>
          <w:tcPr>
            <w:tcW w:w="1538" w:type="dxa"/>
          </w:tcPr>
          <w:p>
            <w:pPr>
              <w:widowControl w:val="0"/>
              <w:spacing w:line="276" w:lineRule="auto"/>
              <w:jc w:val="both"/>
              <w:rPr>
                <w:rFonts w:ascii="宋体" w:eastAsia="宋体"/>
                <w:kern w:val="2"/>
                <w:sz w:val="21"/>
                <w:szCs w:val="21"/>
                <w:lang w:eastAsia="zh-CN"/>
              </w:rPr>
            </w:pPr>
          </w:p>
        </w:tc>
        <w:tc>
          <w:tcPr>
            <w:tcW w:w="1287" w:type="dxa"/>
          </w:tcPr>
          <w:p>
            <w:pPr>
              <w:widowControl w:val="0"/>
              <w:spacing w:line="276" w:lineRule="auto"/>
              <w:jc w:val="both"/>
              <w:rPr>
                <w:rFonts w:ascii="宋体" w:eastAsia="宋体"/>
                <w:kern w:val="2"/>
                <w:sz w:val="21"/>
                <w:szCs w:val="21"/>
                <w:lang w:eastAsia="zh-CN"/>
              </w:rPr>
            </w:pPr>
          </w:p>
        </w:tc>
        <w:tc>
          <w:tcPr>
            <w:tcW w:w="1113" w:type="dxa"/>
          </w:tcPr>
          <w:p>
            <w:pPr>
              <w:widowControl w:val="0"/>
              <w:spacing w:line="276" w:lineRule="auto"/>
              <w:jc w:val="both"/>
              <w:rPr>
                <w:rFonts w:ascii="宋体" w:eastAsia="宋体"/>
                <w:kern w:val="2"/>
                <w:sz w:val="21"/>
                <w:szCs w:val="21"/>
                <w:lang w:eastAsia="zh-CN"/>
              </w:rPr>
            </w:pPr>
          </w:p>
        </w:tc>
        <w:tc>
          <w:tcPr>
            <w:tcW w:w="907" w:type="dxa"/>
          </w:tcPr>
          <w:p>
            <w:pPr>
              <w:widowControl w:val="0"/>
              <w:spacing w:line="276" w:lineRule="auto"/>
              <w:jc w:val="both"/>
              <w:rPr>
                <w:rFonts w:ascii="宋体" w:eastAsia="宋体"/>
                <w:kern w:val="2"/>
                <w:sz w:val="21"/>
                <w:szCs w:val="21"/>
                <w:lang w:eastAsia="zh-CN"/>
              </w:rPr>
            </w:pPr>
          </w:p>
        </w:tc>
        <w:tc>
          <w:tcPr>
            <w:tcW w:w="1123" w:type="dxa"/>
          </w:tcPr>
          <w:p>
            <w:pPr>
              <w:widowControl w:val="0"/>
              <w:spacing w:line="276" w:lineRule="auto"/>
              <w:jc w:val="both"/>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92"/>
          <w:jc w:val="center"/>
        </w:trPr>
        <w:tc>
          <w:tcPr>
            <w:tcW w:w="675" w:type="dxa"/>
          </w:tcPr>
          <w:p>
            <w:pPr>
              <w:widowControl w:val="0"/>
              <w:spacing w:line="276" w:lineRule="auto"/>
              <w:jc w:val="both"/>
              <w:rPr>
                <w:rFonts w:ascii="宋体" w:eastAsia="宋体"/>
                <w:kern w:val="2"/>
                <w:sz w:val="21"/>
                <w:szCs w:val="21"/>
                <w:lang w:eastAsia="zh-CN"/>
              </w:rPr>
            </w:pPr>
          </w:p>
        </w:tc>
        <w:tc>
          <w:tcPr>
            <w:tcW w:w="1267" w:type="dxa"/>
          </w:tcPr>
          <w:p>
            <w:pPr>
              <w:widowControl w:val="0"/>
              <w:spacing w:line="276" w:lineRule="auto"/>
              <w:jc w:val="both"/>
              <w:rPr>
                <w:rFonts w:ascii="宋体" w:eastAsia="宋体"/>
                <w:kern w:val="2"/>
                <w:sz w:val="21"/>
                <w:szCs w:val="21"/>
                <w:lang w:eastAsia="zh-CN"/>
              </w:rPr>
            </w:pPr>
          </w:p>
        </w:tc>
        <w:tc>
          <w:tcPr>
            <w:tcW w:w="1105" w:type="dxa"/>
          </w:tcPr>
          <w:p>
            <w:pPr>
              <w:widowControl w:val="0"/>
              <w:spacing w:line="276" w:lineRule="auto"/>
              <w:jc w:val="both"/>
              <w:rPr>
                <w:rFonts w:ascii="宋体" w:eastAsia="宋体"/>
                <w:kern w:val="2"/>
                <w:sz w:val="21"/>
                <w:szCs w:val="21"/>
                <w:lang w:eastAsia="zh-CN"/>
              </w:rPr>
            </w:pPr>
          </w:p>
        </w:tc>
        <w:tc>
          <w:tcPr>
            <w:tcW w:w="1538" w:type="dxa"/>
          </w:tcPr>
          <w:p>
            <w:pPr>
              <w:widowControl w:val="0"/>
              <w:spacing w:line="276" w:lineRule="auto"/>
              <w:jc w:val="both"/>
              <w:rPr>
                <w:rFonts w:ascii="宋体" w:eastAsia="宋体"/>
                <w:kern w:val="2"/>
                <w:sz w:val="21"/>
                <w:szCs w:val="21"/>
                <w:lang w:eastAsia="zh-CN"/>
              </w:rPr>
            </w:pPr>
          </w:p>
        </w:tc>
        <w:tc>
          <w:tcPr>
            <w:tcW w:w="1287" w:type="dxa"/>
          </w:tcPr>
          <w:p>
            <w:pPr>
              <w:widowControl w:val="0"/>
              <w:spacing w:line="276" w:lineRule="auto"/>
              <w:jc w:val="both"/>
              <w:rPr>
                <w:rFonts w:ascii="宋体" w:eastAsia="宋体"/>
                <w:kern w:val="2"/>
                <w:sz w:val="21"/>
                <w:szCs w:val="21"/>
                <w:lang w:eastAsia="zh-CN"/>
              </w:rPr>
            </w:pPr>
          </w:p>
        </w:tc>
        <w:tc>
          <w:tcPr>
            <w:tcW w:w="1113" w:type="dxa"/>
          </w:tcPr>
          <w:p>
            <w:pPr>
              <w:widowControl w:val="0"/>
              <w:spacing w:line="276" w:lineRule="auto"/>
              <w:jc w:val="both"/>
              <w:rPr>
                <w:rFonts w:ascii="宋体" w:eastAsia="宋体"/>
                <w:kern w:val="2"/>
                <w:sz w:val="21"/>
                <w:szCs w:val="21"/>
                <w:lang w:eastAsia="zh-CN"/>
              </w:rPr>
            </w:pPr>
          </w:p>
        </w:tc>
        <w:tc>
          <w:tcPr>
            <w:tcW w:w="907" w:type="dxa"/>
          </w:tcPr>
          <w:p>
            <w:pPr>
              <w:widowControl w:val="0"/>
              <w:spacing w:line="276" w:lineRule="auto"/>
              <w:jc w:val="both"/>
              <w:rPr>
                <w:rFonts w:ascii="宋体" w:eastAsia="宋体"/>
                <w:kern w:val="2"/>
                <w:sz w:val="21"/>
                <w:szCs w:val="21"/>
                <w:lang w:eastAsia="zh-CN"/>
              </w:rPr>
            </w:pPr>
          </w:p>
        </w:tc>
        <w:tc>
          <w:tcPr>
            <w:tcW w:w="1123" w:type="dxa"/>
          </w:tcPr>
          <w:p>
            <w:pPr>
              <w:widowControl w:val="0"/>
              <w:spacing w:line="276" w:lineRule="auto"/>
              <w:jc w:val="both"/>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92"/>
          <w:jc w:val="center"/>
        </w:trPr>
        <w:tc>
          <w:tcPr>
            <w:tcW w:w="675" w:type="dxa"/>
          </w:tcPr>
          <w:p>
            <w:pPr>
              <w:widowControl w:val="0"/>
              <w:spacing w:line="276" w:lineRule="auto"/>
              <w:jc w:val="both"/>
              <w:rPr>
                <w:rFonts w:ascii="宋体" w:eastAsia="宋体"/>
                <w:kern w:val="2"/>
                <w:sz w:val="21"/>
                <w:szCs w:val="21"/>
                <w:lang w:eastAsia="zh-CN"/>
              </w:rPr>
            </w:pPr>
          </w:p>
        </w:tc>
        <w:tc>
          <w:tcPr>
            <w:tcW w:w="1267" w:type="dxa"/>
          </w:tcPr>
          <w:p>
            <w:pPr>
              <w:widowControl w:val="0"/>
              <w:spacing w:line="276" w:lineRule="auto"/>
              <w:jc w:val="both"/>
              <w:rPr>
                <w:rFonts w:ascii="宋体" w:eastAsia="宋体"/>
                <w:kern w:val="2"/>
                <w:sz w:val="21"/>
                <w:szCs w:val="21"/>
                <w:lang w:eastAsia="zh-CN"/>
              </w:rPr>
            </w:pPr>
          </w:p>
        </w:tc>
        <w:tc>
          <w:tcPr>
            <w:tcW w:w="1105" w:type="dxa"/>
          </w:tcPr>
          <w:p>
            <w:pPr>
              <w:widowControl w:val="0"/>
              <w:spacing w:line="276" w:lineRule="auto"/>
              <w:jc w:val="both"/>
              <w:rPr>
                <w:rFonts w:ascii="宋体" w:eastAsia="宋体"/>
                <w:kern w:val="2"/>
                <w:sz w:val="21"/>
                <w:szCs w:val="21"/>
                <w:lang w:eastAsia="zh-CN"/>
              </w:rPr>
            </w:pPr>
          </w:p>
        </w:tc>
        <w:tc>
          <w:tcPr>
            <w:tcW w:w="1538" w:type="dxa"/>
          </w:tcPr>
          <w:p>
            <w:pPr>
              <w:widowControl w:val="0"/>
              <w:spacing w:line="276" w:lineRule="auto"/>
              <w:jc w:val="both"/>
              <w:rPr>
                <w:rFonts w:ascii="宋体" w:eastAsia="宋体"/>
                <w:kern w:val="2"/>
                <w:sz w:val="21"/>
                <w:szCs w:val="21"/>
                <w:lang w:eastAsia="zh-CN"/>
              </w:rPr>
            </w:pPr>
          </w:p>
        </w:tc>
        <w:tc>
          <w:tcPr>
            <w:tcW w:w="1287" w:type="dxa"/>
          </w:tcPr>
          <w:p>
            <w:pPr>
              <w:widowControl w:val="0"/>
              <w:spacing w:line="276" w:lineRule="auto"/>
              <w:jc w:val="both"/>
              <w:rPr>
                <w:rFonts w:ascii="宋体" w:eastAsia="宋体"/>
                <w:kern w:val="2"/>
                <w:sz w:val="21"/>
                <w:szCs w:val="21"/>
                <w:lang w:eastAsia="zh-CN"/>
              </w:rPr>
            </w:pPr>
          </w:p>
        </w:tc>
        <w:tc>
          <w:tcPr>
            <w:tcW w:w="1113" w:type="dxa"/>
          </w:tcPr>
          <w:p>
            <w:pPr>
              <w:widowControl w:val="0"/>
              <w:spacing w:line="276" w:lineRule="auto"/>
              <w:jc w:val="both"/>
              <w:rPr>
                <w:rFonts w:ascii="宋体" w:eastAsia="宋体"/>
                <w:kern w:val="2"/>
                <w:sz w:val="21"/>
                <w:szCs w:val="21"/>
                <w:lang w:eastAsia="zh-CN"/>
              </w:rPr>
            </w:pPr>
          </w:p>
        </w:tc>
        <w:tc>
          <w:tcPr>
            <w:tcW w:w="907" w:type="dxa"/>
          </w:tcPr>
          <w:p>
            <w:pPr>
              <w:widowControl w:val="0"/>
              <w:spacing w:line="276" w:lineRule="auto"/>
              <w:jc w:val="both"/>
              <w:rPr>
                <w:rFonts w:ascii="宋体" w:eastAsia="宋体"/>
                <w:kern w:val="2"/>
                <w:sz w:val="21"/>
                <w:szCs w:val="21"/>
                <w:lang w:eastAsia="zh-CN"/>
              </w:rPr>
            </w:pPr>
          </w:p>
        </w:tc>
        <w:tc>
          <w:tcPr>
            <w:tcW w:w="1123" w:type="dxa"/>
          </w:tcPr>
          <w:p>
            <w:pPr>
              <w:widowControl w:val="0"/>
              <w:spacing w:line="276" w:lineRule="auto"/>
              <w:jc w:val="both"/>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423"/>
          <w:jc w:val="center"/>
        </w:trPr>
        <w:tc>
          <w:tcPr>
            <w:tcW w:w="675" w:type="dxa"/>
          </w:tcPr>
          <w:p>
            <w:pPr>
              <w:widowControl w:val="0"/>
              <w:spacing w:line="276" w:lineRule="auto"/>
              <w:jc w:val="both"/>
              <w:rPr>
                <w:rFonts w:ascii="宋体" w:eastAsia="宋体"/>
                <w:kern w:val="2"/>
                <w:sz w:val="21"/>
                <w:szCs w:val="21"/>
                <w:lang w:eastAsia="zh-CN"/>
              </w:rPr>
            </w:pPr>
          </w:p>
        </w:tc>
        <w:tc>
          <w:tcPr>
            <w:tcW w:w="1267" w:type="dxa"/>
          </w:tcPr>
          <w:p>
            <w:pPr>
              <w:widowControl w:val="0"/>
              <w:spacing w:line="276" w:lineRule="auto"/>
              <w:jc w:val="both"/>
              <w:rPr>
                <w:rFonts w:ascii="宋体" w:eastAsia="宋体"/>
                <w:kern w:val="2"/>
                <w:sz w:val="21"/>
                <w:szCs w:val="21"/>
                <w:lang w:eastAsia="zh-CN"/>
              </w:rPr>
            </w:pPr>
          </w:p>
        </w:tc>
        <w:tc>
          <w:tcPr>
            <w:tcW w:w="1105" w:type="dxa"/>
          </w:tcPr>
          <w:p>
            <w:pPr>
              <w:widowControl w:val="0"/>
              <w:spacing w:line="276" w:lineRule="auto"/>
              <w:jc w:val="both"/>
              <w:rPr>
                <w:rFonts w:ascii="宋体" w:eastAsia="宋体"/>
                <w:kern w:val="2"/>
                <w:sz w:val="21"/>
                <w:szCs w:val="21"/>
                <w:lang w:eastAsia="zh-CN"/>
              </w:rPr>
            </w:pPr>
          </w:p>
        </w:tc>
        <w:tc>
          <w:tcPr>
            <w:tcW w:w="1538" w:type="dxa"/>
          </w:tcPr>
          <w:p>
            <w:pPr>
              <w:widowControl w:val="0"/>
              <w:spacing w:line="276" w:lineRule="auto"/>
              <w:jc w:val="both"/>
              <w:rPr>
                <w:rFonts w:ascii="宋体" w:eastAsia="宋体"/>
                <w:kern w:val="2"/>
                <w:sz w:val="21"/>
                <w:szCs w:val="21"/>
                <w:lang w:eastAsia="zh-CN"/>
              </w:rPr>
            </w:pPr>
          </w:p>
        </w:tc>
        <w:tc>
          <w:tcPr>
            <w:tcW w:w="1287" w:type="dxa"/>
          </w:tcPr>
          <w:p>
            <w:pPr>
              <w:widowControl w:val="0"/>
              <w:spacing w:line="276" w:lineRule="auto"/>
              <w:jc w:val="both"/>
              <w:rPr>
                <w:rFonts w:ascii="宋体" w:eastAsia="宋体"/>
                <w:kern w:val="2"/>
                <w:sz w:val="21"/>
                <w:szCs w:val="21"/>
                <w:lang w:eastAsia="zh-CN"/>
              </w:rPr>
            </w:pPr>
          </w:p>
        </w:tc>
        <w:tc>
          <w:tcPr>
            <w:tcW w:w="1113" w:type="dxa"/>
          </w:tcPr>
          <w:p>
            <w:pPr>
              <w:widowControl w:val="0"/>
              <w:spacing w:line="276" w:lineRule="auto"/>
              <w:jc w:val="both"/>
              <w:rPr>
                <w:rFonts w:ascii="宋体" w:eastAsia="宋体"/>
                <w:kern w:val="2"/>
                <w:sz w:val="21"/>
                <w:szCs w:val="21"/>
                <w:lang w:eastAsia="zh-CN"/>
              </w:rPr>
            </w:pPr>
          </w:p>
        </w:tc>
        <w:tc>
          <w:tcPr>
            <w:tcW w:w="907" w:type="dxa"/>
          </w:tcPr>
          <w:p>
            <w:pPr>
              <w:widowControl w:val="0"/>
              <w:spacing w:line="276" w:lineRule="auto"/>
              <w:jc w:val="both"/>
              <w:rPr>
                <w:rFonts w:ascii="宋体" w:eastAsia="宋体"/>
                <w:kern w:val="2"/>
                <w:sz w:val="21"/>
                <w:szCs w:val="21"/>
                <w:lang w:eastAsia="zh-CN"/>
              </w:rPr>
            </w:pPr>
          </w:p>
        </w:tc>
        <w:tc>
          <w:tcPr>
            <w:tcW w:w="1123" w:type="dxa"/>
          </w:tcPr>
          <w:p>
            <w:pPr>
              <w:widowControl w:val="0"/>
              <w:spacing w:line="276" w:lineRule="auto"/>
              <w:jc w:val="both"/>
              <w:rPr>
                <w:rFonts w:ascii="宋体" w:eastAsia="宋体"/>
                <w:kern w:val="2"/>
                <w:sz w:val="21"/>
                <w:szCs w:val="21"/>
                <w:lang w:eastAsia="zh-CN"/>
              </w:rPr>
            </w:pPr>
          </w:p>
        </w:tc>
      </w:tr>
    </w:tbl>
    <w:p>
      <w:pPr>
        <w:widowControl w:val="0"/>
        <w:spacing w:after="120" w:line="276" w:lineRule="auto"/>
        <w:jc w:val="both"/>
        <w:rPr>
          <w:rFonts w:eastAsia="宋体"/>
          <w:b/>
          <w:bCs/>
          <w:kern w:val="2"/>
          <w:sz w:val="21"/>
          <w:szCs w:val="21"/>
          <w:lang w:eastAsia="zh-CN"/>
        </w:rPr>
      </w:pPr>
      <w:r>
        <w:rPr>
          <w:rFonts w:eastAsia="宋体" w:hint="eastAsia"/>
          <w:kern w:val="2"/>
          <w:sz w:val="21"/>
          <w:szCs w:val="21"/>
          <w:lang w:eastAsia="zh-CN"/>
        </w:rPr>
        <w:t>（特别提示：以上表格仅供参考。投标人须按本招标文件评标信息中“同类项目业绩”这一评分因素要求，提供证明资料）</w:t>
      </w:r>
    </w:p>
    <w:p>
      <w:pPr>
        <w:keepNext/>
        <w:keepLines/>
        <w:widowControl w:val="0"/>
        <w:spacing w:before="260" w:after="260" w:line="276" w:lineRule="auto"/>
        <w:jc w:val="center"/>
        <w:outlineLvl w:val="2"/>
        <w:rPr>
          <w:rFonts w:ascii="黑体" w:eastAsia="黑体" w:hAnsi="宋体"/>
          <w:bCs/>
          <w:lang w:eastAsia="zh-CN"/>
        </w:rPr>
      </w:pPr>
      <w:bookmarkStart w:id="42" w:name="_Toc59916729"/>
      <w:r>
        <w:rPr>
          <w:rFonts w:ascii="黑体" w:eastAsia="黑体" w:hAnsi="宋体" w:hint="eastAsia"/>
          <w:bCs/>
          <w:lang w:eastAsia="zh-CN"/>
        </w:rPr>
        <w:t>五</w:t>
      </w:r>
      <w:r>
        <w:rPr>
          <w:rFonts w:ascii="黑体" w:eastAsia="黑体" w:hAnsi="宋体" w:hint="eastAsia"/>
          <w:bCs/>
          <w:lang w:eastAsia="zh-CN"/>
        </w:rPr>
        <w:t>、</w:t>
      </w:r>
      <w:bookmarkEnd w:id="42"/>
      <w:r>
        <w:rPr>
          <w:rFonts w:ascii="黑体" w:eastAsia="黑体" w:hAnsi="宋体" w:hint="eastAsia"/>
          <w:bCs/>
          <w:lang w:eastAsia="zh-CN"/>
        </w:rPr>
        <w:t>认证情况</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1136"/>
        <w:gridCol w:w="2131"/>
        <w:gridCol w:w="1857"/>
        <w:gridCol w:w="1981"/>
        <w:gridCol w:w="1973"/>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469"/>
          <w:jc w:val="center"/>
        </w:trPr>
        <w:tc>
          <w:tcPr>
            <w:tcW w:w="1067"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序号</w:t>
            </w:r>
          </w:p>
        </w:tc>
        <w:tc>
          <w:tcPr>
            <w:tcW w:w="2002"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证书名称</w:t>
            </w:r>
          </w:p>
        </w:tc>
        <w:tc>
          <w:tcPr>
            <w:tcW w:w="1745"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证书有效期</w:t>
            </w:r>
          </w:p>
        </w:tc>
        <w:tc>
          <w:tcPr>
            <w:tcW w:w="1861"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证书颁发机构</w:t>
            </w:r>
          </w:p>
        </w:tc>
        <w:tc>
          <w:tcPr>
            <w:tcW w:w="1854" w:type="dxa"/>
            <w:vAlign w:val="center"/>
          </w:tcPr>
          <w:p>
            <w:pPr>
              <w:widowControl w:val="0"/>
              <w:spacing w:line="276" w:lineRule="auto"/>
              <w:jc w:val="center"/>
              <w:rPr>
                <w:rFonts w:eastAsia="宋体"/>
                <w:kern w:val="2"/>
                <w:sz w:val="21"/>
                <w:lang w:eastAsia="zh-CN"/>
              </w:rPr>
            </w:pPr>
            <w:r>
              <w:rPr>
                <w:rFonts w:eastAsia="宋体" w:hint="eastAsia"/>
                <w:kern w:val="2"/>
                <w:sz w:val="21"/>
                <w:lang w:eastAsia="zh-CN"/>
              </w:rPr>
              <w:t>备注说明</w:t>
            </w: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kern w:val="2"/>
                <w:sz w:val="21"/>
                <w:szCs w:val="21"/>
                <w:lang w:eastAsia="zh-CN"/>
              </w:rPr>
            </w:pPr>
          </w:p>
        </w:tc>
        <w:tc>
          <w:tcPr>
            <w:tcW w:w="2002" w:type="dxa"/>
            <w:vAlign w:val="center"/>
          </w:tcPr>
          <w:p>
            <w:pPr>
              <w:widowControl w:val="0"/>
              <w:spacing w:line="276" w:lineRule="auto"/>
              <w:jc w:val="center"/>
              <w:rPr>
                <w:rFonts w:ascii="宋体" w:eastAsia="宋体"/>
                <w:kern w:val="2"/>
                <w:sz w:val="21"/>
                <w:szCs w:val="21"/>
                <w:lang w:eastAsia="zh-CN"/>
              </w:rPr>
            </w:pPr>
          </w:p>
        </w:tc>
        <w:tc>
          <w:tcPr>
            <w:tcW w:w="1745" w:type="dxa"/>
            <w:vAlign w:val="center"/>
          </w:tcPr>
          <w:p>
            <w:pPr>
              <w:widowControl w:val="0"/>
              <w:spacing w:line="276" w:lineRule="auto"/>
              <w:jc w:val="center"/>
              <w:rPr>
                <w:rFonts w:ascii="宋体" w:eastAsia="宋体"/>
                <w:kern w:val="2"/>
                <w:sz w:val="21"/>
                <w:szCs w:val="21"/>
                <w:lang w:eastAsia="zh-CN"/>
              </w:rPr>
            </w:pPr>
          </w:p>
        </w:tc>
        <w:tc>
          <w:tcPr>
            <w:tcW w:w="1861" w:type="dxa"/>
            <w:vAlign w:val="center"/>
          </w:tcPr>
          <w:p>
            <w:pPr>
              <w:widowControl w:val="0"/>
              <w:spacing w:line="276" w:lineRule="auto"/>
              <w:jc w:val="center"/>
              <w:rPr>
                <w:rFonts w:ascii="宋体" w:eastAsia="宋体"/>
                <w:kern w:val="2"/>
                <w:sz w:val="21"/>
                <w:szCs w:val="21"/>
                <w:lang w:eastAsia="zh-CN"/>
              </w:rPr>
            </w:pPr>
          </w:p>
        </w:tc>
        <w:tc>
          <w:tcPr>
            <w:tcW w:w="1854" w:type="dxa"/>
            <w:vAlign w:val="center"/>
          </w:tcPr>
          <w:p>
            <w:pPr>
              <w:widowControl w:val="0"/>
              <w:spacing w:line="276" w:lineRule="auto"/>
              <w:jc w:val="center"/>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kern w:val="2"/>
                <w:sz w:val="21"/>
                <w:szCs w:val="21"/>
                <w:lang w:eastAsia="zh-CN"/>
              </w:rPr>
            </w:pPr>
          </w:p>
        </w:tc>
        <w:tc>
          <w:tcPr>
            <w:tcW w:w="2002" w:type="dxa"/>
            <w:vAlign w:val="center"/>
          </w:tcPr>
          <w:p>
            <w:pPr>
              <w:widowControl w:val="0"/>
              <w:spacing w:line="276" w:lineRule="auto"/>
              <w:jc w:val="center"/>
              <w:rPr>
                <w:rFonts w:ascii="宋体" w:eastAsia="宋体"/>
                <w:kern w:val="2"/>
                <w:sz w:val="21"/>
                <w:szCs w:val="21"/>
                <w:lang w:eastAsia="zh-CN"/>
              </w:rPr>
            </w:pPr>
          </w:p>
        </w:tc>
        <w:tc>
          <w:tcPr>
            <w:tcW w:w="1745" w:type="dxa"/>
            <w:vAlign w:val="center"/>
          </w:tcPr>
          <w:p>
            <w:pPr>
              <w:widowControl w:val="0"/>
              <w:spacing w:line="276" w:lineRule="auto"/>
              <w:jc w:val="center"/>
              <w:rPr>
                <w:rFonts w:ascii="宋体" w:eastAsia="宋体"/>
                <w:kern w:val="2"/>
                <w:sz w:val="21"/>
                <w:szCs w:val="21"/>
                <w:lang w:eastAsia="zh-CN"/>
              </w:rPr>
            </w:pPr>
          </w:p>
        </w:tc>
        <w:tc>
          <w:tcPr>
            <w:tcW w:w="1861" w:type="dxa"/>
            <w:vAlign w:val="center"/>
          </w:tcPr>
          <w:p>
            <w:pPr>
              <w:widowControl w:val="0"/>
              <w:spacing w:line="276" w:lineRule="auto"/>
              <w:jc w:val="center"/>
              <w:rPr>
                <w:rFonts w:ascii="宋体" w:eastAsia="宋体"/>
                <w:kern w:val="2"/>
                <w:sz w:val="21"/>
                <w:szCs w:val="21"/>
                <w:lang w:eastAsia="zh-CN"/>
              </w:rPr>
            </w:pPr>
          </w:p>
        </w:tc>
        <w:tc>
          <w:tcPr>
            <w:tcW w:w="1854" w:type="dxa"/>
            <w:vAlign w:val="center"/>
          </w:tcPr>
          <w:p>
            <w:pPr>
              <w:widowControl w:val="0"/>
              <w:spacing w:line="276" w:lineRule="auto"/>
              <w:jc w:val="center"/>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kern w:val="2"/>
                <w:sz w:val="21"/>
                <w:szCs w:val="21"/>
                <w:lang w:eastAsia="zh-CN"/>
              </w:rPr>
            </w:pPr>
          </w:p>
        </w:tc>
        <w:tc>
          <w:tcPr>
            <w:tcW w:w="2002" w:type="dxa"/>
            <w:vAlign w:val="center"/>
          </w:tcPr>
          <w:p>
            <w:pPr>
              <w:widowControl w:val="0"/>
              <w:spacing w:line="276" w:lineRule="auto"/>
              <w:jc w:val="center"/>
              <w:rPr>
                <w:rFonts w:ascii="宋体" w:eastAsia="宋体"/>
                <w:kern w:val="2"/>
                <w:sz w:val="21"/>
                <w:szCs w:val="21"/>
                <w:lang w:eastAsia="zh-CN"/>
              </w:rPr>
            </w:pPr>
          </w:p>
        </w:tc>
        <w:tc>
          <w:tcPr>
            <w:tcW w:w="1745" w:type="dxa"/>
            <w:vAlign w:val="center"/>
          </w:tcPr>
          <w:p>
            <w:pPr>
              <w:widowControl w:val="0"/>
              <w:spacing w:line="276" w:lineRule="auto"/>
              <w:jc w:val="center"/>
              <w:rPr>
                <w:rFonts w:ascii="宋体" w:eastAsia="宋体"/>
                <w:kern w:val="2"/>
                <w:sz w:val="21"/>
                <w:szCs w:val="21"/>
                <w:lang w:eastAsia="zh-CN"/>
              </w:rPr>
            </w:pPr>
          </w:p>
        </w:tc>
        <w:tc>
          <w:tcPr>
            <w:tcW w:w="1861" w:type="dxa"/>
            <w:vAlign w:val="center"/>
          </w:tcPr>
          <w:p>
            <w:pPr>
              <w:widowControl w:val="0"/>
              <w:spacing w:line="276" w:lineRule="auto"/>
              <w:jc w:val="center"/>
              <w:rPr>
                <w:rFonts w:ascii="宋体" w:eastAsia="宋体"/>
                <w:kern w:val="2"/>
                <w:sz w:val="21"/>
                <w:szCs w:val="21"/>
                <w:lang w:eastAsia="zh-CN"/>
              </w:rPr>
            </w:pPr>
          </w:p>
        </w:tc>
        <w:tc>
          <w:tcPr>
            <w:tcW w:w="1854" w:type="dxa"/>
            <w:vAlign w:val="center"/>
          </w:tcPr>
          <w:p>
            <w:pPr>
              <w:widowControl w:val="0"/>
              <w:spacing w:line="276" w:lineRule="auto"/>
              <w:jc w:val="center"/>
              <w:rPr>
                <w:rFonts w:ascii="宋体" w:eastAsia="宋体"/>
                <w:kern w:val="2"/>
                <w:sz w:val="21"/>
                <w:szCs w:val="21"/>
                <w:lang w:eastAsia="zh-CN"/>
              </w:rPr>
            </w:pPr>
          </w:p>
        </w:tc>
      </w:tr>
    </w:tbl>
    <w:p>
      <w:pPr>
        <w:widowControl w:val="0"/>
        <w:spacing w:after="120" w:line="276" w:lineRule="auto"/>
        <w:jc w:val="both"/>
        <w:rPr>
          <w:rFonts w:eastAsia="宋体"/>
          <w:b/>
          <w:bCs/>
          <w:kern w:val="2"/>
          <w:sz w:val="21"/>
          <w:szCs w:val="21"/>
          <w:lang w:eastAsia="zh-CN"/>
        </w:rPr>
      </w:pPr>
      <w:r>
        <w:rPr>
          <w:rFonts w:eastAsia="宋体" w:hint="eastAsia"/>
          <w:kern w:val="2"/>
          <w:sz w:val="21"/>
          <w:szCs w:val="21"/>
          <w:lang w:eastAsia="zh-CN"/>
        </w:rPr>
        <w:t>（特别提示：以上表格仅供参考。投标人须按本招标文件评标信息中“认证情况”这一评分因素要求，提供证明资料）</w:t>
      </w:r>
    </w:p>
    <w:p>
      <w:pPr>
        <w:keepNext/>
        <w:keepLines/>
        <w:widowControl w:val="0"/>
        <w:spacing w:before="260" w:after="260" w:line="276" w:lineRule="auto"/>
        <w:jc w:val="center"/>
        <w:outlineLvl w:val="2"/>
        <w:rPr>
          <w:rFonts w:ascii="黑体" w:eastAsia="黑体" w:hAnsi="宋体"/>
          <w:bCs/>
          <w:lang w:eastAsia="zh-CN"/>
        </w:rPr>
      </w:pPr>
      <w:r>
        <w:rPr>
          <w:rFonts w:ascii="黑体" w:eastAsia="黑体" w:hAnsi="宋体" w:hint="eastAsia"/>
          <w:bCs/>
          <w:lang w:eastAsia="zh-CN"/>
        </w:rPr>
        <w:t>六</w:t>
      </w:r>
      <w:r>
        <w:rPr>
          <w:rFonts w:ascii="黑体" w:eastAsia="黑体" w:hAnsi="宋体" w:hint="eastAsia"/>
          <w:bCs/>
          <w:lang w:eastAsia="zh-CN"/>
        </w:rPr>
        <w:t>、获奖情况</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1136"/>
        <w:gridCol w:w="2131"/>
        <w:gridCol w:w="1857"/>
        <w:gridCol w:w="1981"/>
        <w:gridCol w:w="1973"/>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469"/>
          <w:jc w:val="center"/>
        </w:trPr>
        <w:tc>
          <w:tcPr>
            <w:tcW w:w="1067"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序号</w:t>
            </w:r>
          </w:p>
        </w:tc>
        <w:tc>
          <w:tcPr>
            <w:tcW w:w="2002"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奖项名称</w:t>
            </w:r>
          </w:p>
        </w:tc>
        <w:tc>
          <w:tcPr>
            <w:tcW w:w="1745" w:type="dxa"/>
            <w:vAlign w:val="center"/>
          </w:tcPr>
          <w:p>
            <w:pPr>
              <w:widowControl w:val="0"/>
              <w:spacing w:line="276" w:lineRule="auto"/>
              <w:jc w:val="center"/>
              <w:rPr>
                <w:rFonts w:ascii="宋体" w:eastAsia="宋体"/>
                <w:kern w:val="2"/>
                <w:sz w:val="21"/>
                <w:szCs w:val="21"/>
                <w:lang w:eastAsia="zh-CN"/>
              </w:rPr>
            </w:pPr>
            <w:r>
              <w:rPr>
                <w:rFonts w:ascii="宋体" w:eastAsia="宋体" w:hint="eastAsia"/>
                <w:kern w:val="2"/>
                <w:sz w:val="21"/>
                <w:szCs w:val="21"/>
                <w:lang w:eastAsia="zh-CN"/>
              </w:rPr>
              <w:t>获得日期</w:t>
            </w:r>
          </w:p>
        </w:tc>
        <w:tc>
          <w:tcPr>
            <w:tcW w:w="1861"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颁发机构</w:t>
            </w:r>
          </w:p>
        </w:tc>
        <w:tc>
          <w:tcPr>
            <w:tcW w:w="1854" w:type="dxa"/>
            <w:vAlign w:val="center"/>
          </w:tcPr>
          <w:p>
            <w:pPr>
              <w:widowControl w:val="0"/>
              <w:spacing w:line="276" w:lineRule="auto"/>
              <w:jc w:val="center"/>
              <w:rPr>
                <w:rFonts w:eastAsia="宋体"/>
                <w:kern w:val="2"/>
                <w:sz w:val="21"/>
                <w:lang w:eastAsia="zh-CN"/>
              </w:rPr>
            </w:pPr>
            <w:r>
              <w:rPr>
                <w:rFonts w:eastAsia="宋体" w:hint="eastAsia"/>
                <w:kern w:val="2"/>
                <w:sz w:val="21"/>
                <w:lang w:eastAsia="zh-CN"/>
              </w:rPr>
              <w:t>备注说明</w:t>
            </w: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kern w:val="2"/>
                <w:sz w:val="21"/>
                <w:szCs w:val="21"/>
                <w:lang w:eastAsia="zh-CN"/>
              </w:rPr>
            </w:pPr>
          </w:p>
        </w:tc>
        <w:tc>
          <w:tcPr>
            <w:tcW w:w="2002" w:type="dxa"/>
            <w:vAlign w:val="center"/>
          </w:tcPr>
          <w:p>
            <w:pPr>
              <w:widowControl w:val="0"/>
              <w:spacing w:line="276" w:lineRule="auto"/>
              <w:jc w:val="center"/>
              <w:rPr>
                <w:rFonts w:ascii="宋体" w:eastAsia="宋体"/>
                <w:kern w:val="2"/>
                <w:sz w:val="21"/>
                <w:szCs w:val="21"/>
                <w:lang w:eastAsia="zh-CN"/>
              </w:rPr>
            </w:pPr>
          </w:p>
        </w:tc>
        <w:tc>
          <w:tcPr>
            <w:tcW w:w="1745" w:type="dxa"/>
            <w:vAlign w:val="center"/>
          </w:tcPr>
          <w:p>
            <w:pPr>
              <w:widowControl w:val="0"/>
              <w:spacing w:line="276" w:lineRule="auto"/>
              <w:jc w:val="center"/>
              <w:rPr>
                <w:rFonts w:ascii="宋体" w:eastAsia="宋体"/>
                <w:kern w:val="2"/>
                <w:sz w:val="21"/>
                <w:szCs w:val="21"/>
                <w:lang w:eastAsia="zh-CN"/>
              </w:rPr>
            </w:pPr>
          </w:p>
        </w:tc>
        <w:tc>
          <w:tcPr>
            <w:tcW w:w="1861" w:type="dxa"/>
            <w:vAlign w:val="center"/>
          </w:tcPr>
          <w:p>
            <w:pPr>
              <w:widowControl w:val="0"/>
              <w:spacing w:line="276" w:lineRule="auto"/>
              <w:jc w:val="center"/>
              <w:rPr>
                <w:rFonts w:ascii="宋体" w:eastAsia="宋体"/>
                <w:kern w:val="2"/>
                <w:sz w:val="21"/>
                <w:szCs w:val="21"/>
                <w:lang w:eastAsia="zh-CN"/>
              </w:rPr>
            </w:pPr>
          </w:p>
        </w:tc>
        <w:tc>
          <w:tcPr>
            <w:tcW w:w="1854" w:type="dxa"/>
            <w:vAlign w:val="center"/>
          </w:tcPr>
          <w:p>
            <w:pPr>
              <w:widowControl w:val="0"/>
              <w:spacing w:line="276" w:lineRule="auto"/>
              <w:jc w:val="center"/>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kern w:val="2"/>
                <w:sz w:val="21"/>
                <w:szCs w:val="21"/>
                <w:lang w:eastAsia="zh-CN"/>
              </w:rPr>
            </w:pPr>
          </w:p>
        </w:tc>
        <w:tc>
          <w:tcPr>
            <w:tcW w:w="2002" w:type="dxa"/>
            <w:vAlign w:val="center"/>
          </w:tcPr>
          <w:p>
            <w:pPr>
              <w:widowControl w:val="0"/>
              <w:spacing w:line="276" w:lineRule="auto"/>
              <w:jc w:val="center"/>
              <w:rPr>
                <w:rFonts w:ascii="宋体" w:eastAsia="宋体"/>
                <w:kern w:val="2"/>
                <w:sz w:val="21"/>
                <w:szCs w:val="21"/>
                <w:lang w:eastAsia="zh-CN"/>
              </w:rPr>
            </w:pPr>
          </w:p>
        </w:tc>
        <w:tc>
          <w:tcPr>
            <w:tcW w:w="1745" w:type="dxa"/>
            <w:vAlign w:val="center"/>
          </w:tcPr>
          <w:p>
            <w:pPr>
              <w:widowControl w:val="0"/>
              <w:spacing w:line="276" w:lineRule="auto"/>
              <w:jc w:val="center"/>
              <w:rPr>
                <w:rFonts w:ascii="宋体" w:eastAsia="宋体"/>
                <w:kern w:val="2"/>
                <w:sz w:val="21"/>
                <w:szCs w:val="21"/>
                <w:lang w:eastAsia="zh-CN"/>
              </w:rPr>
            </w:pPr>
          </w:p>
        </w:tc>
        <w:tc>
          <w:tcPr>
            <w:tcW w:w="1861" w:type="dxa"/>
            <w:vAlign w:val="center"/>
          </w:tcPr>
          <w:p>
            <w:pPr>
              <w:widowControl w:val="0"/>
              <w:spacing w:line="276" w:lineRule="auto"/>
              <w:jc w:val="center"/>
              <w:rPr>
                <w:rFonts w:ascii="宋体" w:eastAsia="宋体"/>
                <w:kern w:val="2"/>
                <w:sz w:val="21"/>
                <w:szCs w:val="21"/>
                <w:lang w:eastAsia="zh-CN"/>
              </w:rPr>
            </w:pPr>
          </w:p>
        </w:tc>
        <w:tc>
          <w:tcPr>
            <w:tcW w:w="1854" w:type="dxa"/>
            <w:vAlign w:val="center"/>
          </w:tcPr>
          <w:p>
            <w:pPr>
              <w:widowControl w:val="0"/>
              <w:spacing w:line="276" w:lineRule="auto"/>
              <w:jc w:val="center"/>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kern w:val="2"/>
                <w:sz w:val="21"/>
                <w:szCs w:val="21"/>
                <w:lang w:eastAsia="zh-CN"/>
              </w:rPr>
            </w:pPr>
          </w:p>
        </w:tc>
        <w:tc>
          <w:tcPr>
            <w:tcW w:w="2002" w:type="dxa"/>
            <w:vAlign w:val="center"/>
          </w:tcPr>
          <w:p>
            <w:pPr>
              <w:widowControl w:val="0"/>
              <w:spacing w:line="276" w:lineRule="auto"/>
              <w:jc w:val="center"/>
              <w:rPr>
                <w:rFonts w:ascii="宋体" w:eastAsia="宋体"/>
                <w:kern w:val="2"/>
                <w:sz w:val="21"/>
                <w:szCs w:val="21"/>
                <w:lang w:eastAsia="zh-CN"/>
              </w:rPr>
            </w:pPr>
          </w:p>
        </w:tc>
        <w:tc>
          <w:tcPr>
            <w:tcW w:w="1745" w:type="dxa"/>
            <w:vAlign w:val="center"/>
          </w:tcPr>
          <w:p>
            <w:pPr>
              <w:widowControl w:val="0"/>
              <w:spacing w:line="276" w:lineRule="auto"/>
              <w:jc w:val="center"/>
              <w:rPr>
                <w:rFonts w:ascii="宋体" w:eastAsia="宋体"/>
                <w:kern w:val="2"/>
                <w:sz w:val="21"/>
                <w:szCs w:val="21"/>
                <w:lang w:eastAsia="zh-CN"/>
              </w:rPr>
            </w:pPr>
          </w:p>
        </w:tc>
        <w:tc>
          <w:tcPr>
            <w:tcW w:w="1861" w:type="dxa"/>
            <w:vAlign w:val="center"/>
          </w:tcPr>
          <w:p>
            <w:pPr>
              <w:widowControl w:val="0"/>
              <w:spacing w:line="276" w:lineRule="auto"/>
              <w:jc w:val="center"/>
              <w:rPr>
                <w:rFonts w:ascii="宋体" w:eastAsia="宋体"/>
                <w:kern w:val="2"/>
                <w:sz w:val="21"/>
                <w:szCs w:val="21"/>
                <w:lang w:eastAsia="zh-CN"/>
              </w:rPr>
            </w:pPr>
          </w:p>
        </w:tc>
        <w:tc>
          <w:tcPr>
            <w:tcW w:w="1854" w:type="dxa"/>
            <w:vAlign w:val="center"/>
          </w:tcPr>
          <w:p>
            <w:pPr>
              <w:widowControl w:val="0"/>
              <w:spacing w:line="276" w:lineRule="auto"/>
              <w:jc w:val="center"/>
              <w:rPr>
                <w:rFonts w:ascii="宋体" w:eastAsia="宋体"/>
                <w:kern w:val="2"/>
                <w:sz w:val="21"/>
                <w:szCs w:val="21"/>
                <w:lang w:eastAsia="zh-CN"/>
              </w:rPr>
            </w:pPr>
          </w:p>
        </w:tc>
      </w:tr>
    </w:tbl>
    <w:p>
      <w:pPr>
        <w:widowControl w:val="0"/>
        <w:spacing w:after="120" w:line="276" w:lineRule="auto"/>
        <w:jc w:val="both"/>
        <w:rPr>
          <w:rFonts w:eastAsia="宋体"/>
          <w:b/>
          <w:bCs/>
          <w:kern w:val="2"/>
          <w:sz w:val="21"/>
          <w:szCs w:val="21"/>
          <w:lang w:eastAsia="zh-CN"/>
        </w:rPr>
      </w:pPr>
      <w:r>
        <w:rPr>
          <w:rFonts w:eastAsia="宋体" w:hint="eastAsia"/>
          <w:kern w:val="2"/>
          <w:sz w:val="21"/>
          <w:szCs w:val="21"/>
          <w:lang w:eastAsia="zh-CN"/>
        </w:rPr>
        <w:t>（特别提示：以上表格仅供参考。投标人须按本招标文件评标信息中“获奖情况”这一评分因素要求，提供证明资料）</w:t>
      </w:r>
    </w:p>
    <w:p>
      <w:pPr>
        <w:keepNext/>
        <w:keepLines/>
        <w:widowControl w:val="0"/>
        <w:spacing w:before="260" w:after="260" w:line="276" w:lineRule="auto"/>
        <w:jc w:val="center"/>
        <w:outlineLvl w:val="2"/>
        <w:rPr>
          <w:rFonts w:ascii="黑体" w:eastAsia="黑体" w:hAnsi="宋体"/>
          <w:bCs/>
          <w:lang w:eastAsia="zh-CN"/>
        </w:rPr>
      </w:pPr>
      <w:r>
        <w:rPr>
          <w:rFonts w:ascii="黑体" w:eastAsia="黑体" w:hAnsi="宋体" w:hint="eastAsia"/>
          <w:bCs/>
          <w:lang w:eastAsia="zh-CN"/>
        </w:rPr>
        <w:t>七</w:t>
      </w:r>
      <w:r>
        <w:rPr>
          <w:rFonts w:ascii="黑体" w:eastAsia="黑体" w:hAnsi="宋体" w:hint="eastAsia"/>
          <w:bCs/>
          <w:lang w:eastAsia="zh-CN"/>
        </w:rPr>
        <w:t>、自主知识产权产品（创新、设计）情况</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1136"/>
        <w:gridCol w:w="2131"/>
        <w:gridCol w:w="1857"/>
        <w:gridCol w:w="1981"/>
        <w:gridCol w:w="1973"/>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469"/>
          <w:jc w:val="center"/>
        </w:trPr>
        <w:tc>
          <w:tcPr>
            <w:tcW w:w="1067"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序号</w:t>
            </w:r>
          </w:p>
        </w:tc>
        <w:tc>
          <w:tcPr>
            <w:tcW w:w="2002"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证书名称</w:t>
            </w:r>
          </w:p>
        </w:tc>
        <w:tc>
          <w:tcPr>
            <w:tcW w:w="1745"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证书有效期</w:t>
            </w:r>
          </w:p>
        </w:tc>
        <w:tc>
          <w:tcPr>
            <w:tcW w:w="1861" w:type="dxa"/>
            <w:vAlign w:val="center"/>
          </w:tcPr>
          <w:p>
            <w:pPr>
              <w:widowControl w:val="0"/>
              <w:spacing w:line="276" w:lineRule="auto"/>
              <w:jc w:val="center"/>
              <w:rPr>
                <w:rFonts w:ascii="宋体" w:eastAsia="宋体"/>
                <w:kern w:val="2"/>
                <w:sz w:val="21"/>
                <w:szCs w:val="21"/>
                <w:lang w:eastAsia="zh-CN"/>
              </w:rPr>
            </w:pPr>
            <w:r>
              <w:rPr>
                <w:rFonts w:ascii="宋体" w:eastAsia="宋体" w:hAnsi="宋体" w:hint="eastAsia"/>
                <w:kern w:val="2"/>
                <w:sz w:val="21"/>
                <w:szCs w:val="21"/>
                <w:lang w:eastAsia="zh-CN"/>
              </w:rPr>
              <w:t>证书颁发机构</w:t>
            </w:r>
          </w:p>
        </w:tc>
        <w:tc>
          <w:tcPr>
            <w:tcW w:w="1854" w:type="dxa"/>
            <w:vAlign w:val="center"/>
          </w:tcPr>
          <w:p>
            <w:pPr>
              <w:widowControl w:val="0"/>
              <w:spacing w:line="276" w:lineRule="auto"/>
              <w:jc w:val="center"/>
              <w:rPr>
                <w:rFonts w:eastAsia="宋体"/>
                <w:kern w:val="2"/>
                <w:sz w:val="21"/>
                <w:lang w:eastAsia="zh-CN"/>
              </w:rPr>
            </w:pPr>
            <w:r>
              <w:rPr>
                <w:rFonts w:eastAsia="宋体" w:hint="eastAsia"/>
                <w:kern w:val="2"/>
                <w:sz w:val="21"/>
                <w:lang w:eastAsia="zh-CN"/>
              </w:rPr>
              <w:t>备注说明</w:t>
            </w: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kern w:val="2"/>
                <w:sz w:val="21"/>
                <w:szCs w:val="21"/>
                <w:lang w:eastAsia="zh-CN"/>
              </w:rPr>
            </w:pPr>
          </w:p>
        </w:tc>
        <w:tc>
          <w:tcPr>
            <w:tcW w:w="2002" w:type="dxa"/>
            <w:vAlign w:val="center"/>
          </w:tcPr>
          <w:p>
            <w:pPr>
              <w:widowControl w:val="0"/>
              <w:spacing w:line="276" w:lineRule="auto"/>
              <w:jc w:val="center"/>
              <w:rPr>
                <w:rFonts w:ascii="宋体" w:eastAsia="宋体"/>
                <w:kern w:val="2"/>
                <w:sz w:val="21"/>
                <w:szCs w:val="21"/>
                <w:lang w:eastAsia="zh-CN"/>
              </w:rPr>
            </w:pPr>
          </w:p>
        </w:tc>
        <w:tc>
          <w:tcPr>
            <w:tcW w:w="1745" w:type="dxa"/>
            <w:vAlign w:val="center"/>
          </w:tcPr>
          <w:p>
            <w:pPr>
              <w:widowControl w:val="0"/>
              <w:spacing w:line="276" w:lineRule="auto"/>
              <w:jc w:val="center"/>
              <w:rPr>
                <w:rFonts w:ascii="宋体" w:eastAsia="宋体"/>
                <w:kern w:val="2"/>
                <w:sz w:val="21"/>
                <w:szCs w:val="21"/>
                <w:lang w:eastAsia="zh-CN"/>
              </w:rPr>
            </w:pPr>
          </w:p>
        </w:tc>
        <w:tc>
          <w:tcPr>
            <w:tcW w:w="1861" w:type="dxa"/>
            <w:vAlign w:val="center"/>
          </w:tcPr>
          <w:p>
            <w:pPr>
              <w:widowControl w:val="0"/>
              <w:spacing w:line="276" w:lineRule="auto"/>
              <w:jc w:val="center"/>
              <w:rPr>
                <w:rFonts w:ascii="宋体" w:eastAsia="宋体"/>
                <w:kern w:val="2"/>
                <w:sz w:val="21"/>
                <w:szCs w:val="21"/>
                <w:lang w:eastAsia="zh-CN"/>
              </w:rPr>
            </w:pPr>
          </w:p>
        </w:tc>
        <w:tc>
          <w:tcPr>
            <w:tcW w:w="1854" w:type="dxa"/>
            <w:vAlign w:val="center"/>
          </w:tcPr>
          <w:p>
            <w:pPr>
              <w:widowControl w:val="0"/>
              <w:spacing w:line="276" w:lineRule="auto"/>
              <w:jc w:val="center"/>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kern w:val="2"/>
                <w:sz w:val="21"/>
                <w:szCs w:val="21"/>
                <w:lang w:eastAsia="zh-CN"/>
              </w:rPr>
            </w:pPr>
          </w:p>
        </w:tc>
        <w:tc>
          <w:tcPr>
            <w:tcW w:w="2002" w:type="dxa"/>
            <w:vAlign w:val="center"/>
          </w:tcPr>
          <w:p>
            <w:pPr>
              <w:widowControl w:val="0"/>
              <w:spacing w:line="276" w:lineRule="auto"/>
              <w:jc w:val="center"/>
              <w:rPr>
                <w:rFonts w:ascii="宋体" w:eastAsia="宋体"/>
                <w:kern w:val="2"/>
                <w:sz w:val="21"/>
                <w:szCs w:val="21"/>
                <w:lang w:eastAsia="zh-CN"/>
              </w:rPr>
            </w:pPr>
          </w:p>
        </w:tc>
        <w:tc>
          <w:tcPr>
            <w:tcW w:w="1745" w:type="dxa"/>
            <w:vAlign w:val="center"/>
          </w:tcPr>
          <w:p>
            <w:pPr>
              <w:widowControl w:val="0"/>
              <w:spacing w:line="276" w:lineRule="auto"/>
              <w:jc w:val="center"/>
              <w:rPr>
                <w:rFonts w:ascii="宋体" w:eastAsia="宋体"/>
                <w:kern w:val="2"/>
                <w:sz w:val="21"/>
                <w:szCs w:val="21"/>
                <w:lang w:eastAsia="zh-CN"/>
              </w:rPr>
            </w:pPr>
          </w:p>
        </w:tc>
        <w:tc>
          <w:tcPr>
            <w:tcW w:w="1861" w:type="dxa"/>
            <w:vAlign w:val="center"/>
          </w:tcPr>
          <w:p>
            <w:pPr>
              <w:widowControl w:val="0"/>
              <w:spacing w:line="276" w:lineRule="auto"/>
              <w:jc w:val="center"/>
              <w:rPr>
                <w:rFonts w:ascii="宋体" w:eastAsia="宋体"/>
                <w:kern w:val="2"/>
                <w:sz w:val="21"/>
                <w:szCs w:val="21"/>
                <w:lang w:eastAsia="zh-CN"/>
              </w:rPr>
            </w:pPr>
          </w:p>
        </w:tc>
        <w:tc>
          <w:tcPr>
            <w:tcW w:w="1854" w:type="dxa"/>
            <w:vAlign w:val="center"/>
          </w:tcPr>
          <w:p>
            <w:pPr>
              <w:widowControl w:val="0"/>
              <w:spacing w:line="276" w:lineRule="auto"/>
              <w:jc w:val="center"/>
              <w:rPr>
                <w:rFonts w:ascii="宋体"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00"/>
          <w:jc w:val="center"/>
        </w:trPr>
        <w:tc>
          <w:tcPr>
            <w:tcW w:w="1067" w:type="dxa"/>
            <w:vAlign w:val="center"/>
          </w:tcPr>
          <w:p>
            <w:pPr>
              <w:widowControl w:val="0"/>
              <w:spacing w:line="276" w:lineRule="auto"/>
              <w:jc w:val="center"/>
              <w:rPr>
                <w:rFonts w:ascii="宋体" w:eastAsia="宋体"/>
                <w:kern w:val="2"/>
                <w:sz w:val="21"/>
                <w:szCs w:val="21"/>
                <w:lang w:eastAsia="zh-CN"/>
              </w:rPr>
            </w:pPr>
          </w:p>
        </w:tc>
        <w:tc>
          <w:tcPr>
            <w:tcW w:w="2002" w:type="dxa"/>
            <w:vAlign w:val="center"/>
          </w:tcPr>
          <w:p>
            <w:pPr>
              <w:widowControl w:val="0"/>
              <w:spacing w:line="276" w:lineRule="auto"/>
              <w:jc w:val="center"/>
              <w:rPr>
                <w:rFonts w:ascii="宋体" w:eastAsia="宋体"/>
                <w:kern w:val="2"/>
                <w:sz w:val="21"/>
                <w:szCs w:val="21"/>
                <w:lang w:eastAsia="zh-CN"/>
              </w:rPr>
            </w:pPr>
          </w:p>
        </w:tc>
        <w:tc>
          <w:tcPr>
            <w:tcW w:w="1745" w:type="dxa"/>
            <w:vAlign w:val="center"/>
          </w:tcPr>
          <w:p>
            <w:pPr>
              <w:widowControl w:val="0"/>
              <w:spacing w:line="276" w:lineRule="auto"/>
              <w:jc w:val="center"/>
              <w:rPr>
                <w:rFonts w:ascii="宋体" w:eastAsia="宋体"/>
                <w:kern w:val="2"/>
                <w:sz w:val="21"/>
                <w:szCs w:val="21"/>
                <w:lang w:eastAsia="zh-CN"/>
              </w:rPr>
            </w:pPr>
          </w:p>
        </w:tc>
        <w:tc>
          <w:tcPr>
            <w:tcW w:w="1861" w:type="dxa"/>
            <w:vAlign w:val="center"/>
          </w:tcPr>
          <w:p>
            <w:pPr>
              <w:widowControl w:val="0"/>
              <w:spacing w:line="276" w:lineRule="auto"/>
              <w:jc w:val="center"/>
              <w:rPr>
                <w:rFonts w:ascii="宋体" w:eastAsia="宋体"/>
                <w:kern w:val="2"/>
                <w:sz w:val="21"/>
                <w:szCs w:val="21"/>
                <w:lang w:eastAsia="zh-CN"/>
              </w:rPr>
            </w:pPr>
          </w:p>
        </w:tc>
        <w:tc>
          <w:tcPr>
            <w:tcW w:w="1854" w:type="dxa"/>
            <w:vAlign w:val="center"/>
          </w:tcPr>
          <w:p>
            <w:pPr>
              <w:widowControl w:val="0"/>
              <w:spacing w:line="276" w:lineRule="auto"/>
              <w:jc w:val="center"/>
              <w:rPr>
                <w:rFonts w:ascii="宋体" w:eastAsia="宋体"/>
                <w:kern w:val="2"/>
                <w:sz w:val="21"/>
                <w:szCs w:val="21"/>
                <w:lang w:eastAsia="zh-CN"/>
              </w:rPr>
            </w:pPr>
          </w:p>
        </w:tc>
      </w:tr>
    </w:tbl>
    <w:p>
      <w:pPr>
        <w:widowControl w:val="0"/>
        <w:spacing w:after="120" w:line="276" w:lineRule="auto"/>
        <w:jc w:val="both"/>
        <w:rPr>
          <w:rFonts w:eastAsia="宋体"/>
          <w:b/>
          <w:bCs/>
          <w:kern w:val="2"/>
          <w:sz w:val="21"/>
          <w:szCs w:val="21"/>
          <w:lang w:eastAsia="zh-CN"/>
        </w:rPr>
      </w:pPr>
      <w:r>
        <w:rPr>
          <w:rFonts w:eastAsia="宋体" w:hint="eastAsia"/>
          <w:kern w:val="2"/>
          <w:sz w:val="21"/>
          <w:szCs w:val="21"/>
          <w:lang w:eastAsia="zh-CN"/>
        </w:rPr>
        <w:t>（特别提示：以上表格仅供参考。投标人须按本招标文件评标信息中“自主知识产权产品（创新、设计）情况”这一评分因素要求，提供证明资料）</w:t>
      </w:r>
    </w:p>
    <w:p>
      <w:pPr>
        <w:widowControl/>
        <w:tabs>
          <w:tab w:val="left" w:pos="720"/>
        </w:tabs>
        <w:spacing w:line="360" w:lineRule="auto"/>
        <w:ind w:left="420"/>
        <w:jc w:val="left"/>
        <w:rPr>
          <w:rFonts w:ascii="黑体" w:eastAsia="黑体" w:hAnsi="宋体"/>
          <w:bCs/>
          <w:kern w:val="2"/>
          <w:lang w:eastAsia="zh-CN"/>
        </w:rPr>
      </w:pPr>
    </w:p>
    <w:p>
      <w:pPr>
        <w:keepNext/>
        <w:keepLines/>
        <w:widowControl w:val="0"/>
        <w:spacing w:before="260" w:after="260" w:line="276" w:lineRule="auto"/>
        <w:jc w:val="center"/>
        <w:outlineLvl w:val="2"/>
        <w:rPr>
          <w:rFonts w:ascii="宋体" w:eastAsia="宋体" w:hAnsi="宋体"/>
          <w:b/>
          <w:color w:val="FF0000"/>
          <w:kern w:val="2"/>
          <w:sz w:val="28"/>
          <w:szCs w:val="28"/>
          <w:lang w:eastAsia="zh-CN"/>
        </w:rPr>
      </w:pPr>
      <w:r>
        <w:rPr>
          <w:rFonts w:ascii="黑体" w:eastAsia="黑体" w:hAnsi="宋体" w:hint="eastAsia"/>
          <w:bCs/>
          <w:lang w:eastAsia="zh-CN"/>
        </w:rPr>
        <w:t>八</w:t>
      </w:r>
      <w:r>
        <w:rPr>
          <w:rFonts w:ascii="黑体" w:eastAsia="黑体" w:hAnsi="宋体" w:hint="eastAsia"/>
          <w:bCs/>
          <w:lang w:eastAsia="zh-CN"/>
        </w:rPr>
        <w:t>、</w:t>
      </w:r>
      <w:r>
        <w:rPr>
          <w:rFonts w:ascii="黑体" w:eastAsia="黑体" w:hAnsi="宋体" w:hint="eastAsia"/>
          <w:bCs/>
          <w:kern w:val="2"/>
          <w:szCs w:val="32"/>
          <w:lang w:eastAsia="zh-CN"/>
        </w:rPr>
        <w:t>供应商基本情况表</w:t>
      </w:r>
    </w:p>
    <w:p>
      <w:pPr>
        <w:widowControl w:val="0"/>
        <w:jc w:val="both"/>
        <w:rPr>
          <w:rFonts w:ascii="Calibri" w:eastAsia="宋体" w:hAnsi="Calibri"/>
          <w:kern w:val="2"/>
          <w:sz w:val="21"/>
          <w:szCs w:val="22"/>
          <w:lang w:eastAsia="zh-CN"/>
        </w:rPr>
      </w:pPr>
      <w:r>
        <w:rPr>
          <w:rFonts w:ascii="宋体" w:eastAsia="宋体" w:hAnsi="宋体" w:cs="方正仿宋_GBK" w:hint="eastAsia"/>
          <w:kern w:val="2"/>
          <w:sz w:val="28"/>
          <w:szCs w:val="28"/>
          <w:lang w:eastAsia="zh-CN"/>
        </w:rPr>
        <w:t>填表单位：</w:t>
      </w:r>
      <w:r>
        <w:rPr>
          <w:rFonts w:ascii="宋体" w:eastAsia="宋体" w:hAnsi="宋体" w:cs="方正仿宋_GBK" w:hint="eastAsia"/>
          <w:b/>
          <w:color w:val="FF0000"/>
          <w:kern w:val="2"/>
          <w:sz w:val="28"/>
          <w:szCs w:val="28"/>
          <w:lang w:eastAsia="zh-CN"/>
        </w:rPr>
        <w:t>（加盖单位公章）</w:t>
      </w:r>
      <w:r>
        <w:rPr>
          <w:rFonts w:ascii="宋体" w:eastAsia="宋体" w:hAnsi="宋体" w:cs="方正仿宋_GBK" w:hint="eastAsia"/>
          <w:kern w:val="2"/>
          <w:sz w:val="28"/>
          <w:szCs w:val="28"/>
          <w:lang w:eastAsia="zh-CN"/>
        </w:rPr>
        <w:tab/>
      </w:r>
      <w:r>
        <w:rPr>
          <w:rFonts w:ascii="宋体" w:eastAsia="宋体" w:hAnsi="宋体" w:cs="方正仿宋_GBK" w:hint="eastAsia"/>
          <w:kern w:val="2"/>
          <w:sz w:val="28"/>
          <w:szCs w:val="28"/>
          <w:lang w:eastAsia="zh-CN"/>
        </w:rPr>
        <w:tab/>
      </w:r>
      <w:r>
        <w:rPr>
          <w:rFonts w:ascii="宋体" w:eastAsia="宋体" w:hAnsi="宋体" w:cs="方正仿宋_GBK" w:hint="eastAsia"/>
          <w:kern w:val="2"/>
          <w:sz w:val="28"/>
          <w:szCs w:val="28"/>
          <w:lang w:eastAsia="zh-CN"/>
        </w:rPr>
        <w:t xml:space="preserve">   填表日期：    年   月   日</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7"/>
        <w:gridCol w:w="686"/>
        <w:gridCol w:w="1629"/>
        <w:gridCol w:w="962"/>
        <w:gridCol w:w="801"/>
        <w:gridCol w:w="1220"/>
        <w:gridCol w:w="1521"/>
        <w:gridCol w:w="151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vAlign w:val="center"/>
          </w:tcPr>
          <w:p>
            <w:pPr>
              <w:rPr>
                <w:rFonts w:ascii="宋体" w:hAnsi="宋体" w:cs="宋体"/>
                <w:kern w:val="2"/>
                <w:sz w:val="21"/>
                <w:szCs w:val="21"/>
                <w:lang w:eastAsia="zh-CN"/>
              </w:rPr>
            </w:pPr>
            <w:r>
              <w:rPr>
                <w:rFonts w:ascii="宋体" w:hAnsi="宋体" w:cs="宋体" w:hint="eastAsia"/>
                <w:kern w:val="2"/>
                <w:sz w:val="21"/>
                <w:szCs w:val="21"/>
                <w:lang w:eastAsia="zh-CN"/>
              </w:rPr>
              <w:t>投标（响应）供应商</w:t>
            </w:r>
          </w:p>
        </w:tc>
        <w:tc>
          <w:tcPr>
            <w:tcW w:w="1427" w:type="pct"/>
            <w:gridSpan w:val="2"/>
            <w:vAlign w:val="center"/>
          </w:tcPr>
          <w:p>
            <w:pPr>
              <w:jc w:val="center"/>
              <w:rPr>
                <w:rFonts w:ascii="宋体" w:hAnsi="宋体" w:cs="宋体"/>
                <w:kern w:val="2"/>
                <w:sz w:val="21"/>
                <w:szCs w:val="21"/>
                <w:lang w:eastAsia="zh-CN"/>
              </w:rPr>
            </w:pPr>
          </w:p>
        </w:tc>
        <w:tc>
          <w:tcPr>
            <w:tcW w:w="1113" w:type="pct"/>
            <w:gridSpan w:val="2"/>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项目名称及编号</w:t>
            </w:r>
          </w:p>
        </w:tc>
        <w:tc>
          <w:tcPr>
            <w:tcW w:w="1669" w:type="pct"/>
            <w:gridSpan w:val="2"/>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vAlign w:val="center"/>
          </w:tcPr>
          <w:p>
            <w:pPr>
              <w:jc w:val="center"/>
              <w:rPr>
                <w:rFonts w:ascii="宋体" w:hAnsi="宋体" w:cs="宋体"/>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vAlign w:val="center"/>
          </w:tcPr>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vAlign w:val="center"/>
          </w:tcPr>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vAlign w:val="center"/>
          </w:tcPr>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spacing w:line="460" w:lineRule="exact"/>
              <w:jc w:val="center"/>
              <w:rPr>
                <w:rFonts w:ascii="宋体" w:hAnsi="宋体" w:cs="宋体"/>
                <w:kern w:val="2"/>
                <w:sz w:val="21"/>
                <w:szCs w:val="21"/>
                <w:lang w:eastAsia="zh-CN"/>
              </w:rPr>
            </w:pPr>
            <w:r>
              <w:rPr>
                <w:rFonts w:ascii="宋体" w:hAnsi="宋体" w:cs="宋体" w:hint="eastAsia"/>
                <w:kern w:val="2"/>
                <w:sz w:val="21"/>
                <w:szCs w:val="21"/>
                <w:lang w:eastAsia="zh-CN"/>
              </w:rPr>
              <w:t>法定代表人/单位负责人/主要经营负责人</w:t>
            </w:r>
          </w:p>
        </w:tc>
        <w:tc>
          <w:tcPr>
            <w:tcW w:w="529"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bidi="ar"/>
              </w:rPr>
              <w:t>3</w:t>
            </w:r>
          </w:p>
        </w:tc>
        <w:tc>
          <w:tcPr>
            <w:tcW w:w="1275" w:type="pct"/>
            <w:gridSpan w:val="2"/>
            <w:tcBorders>
              <w:top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vAlign w:val="center"/>
          </w:tcPr>
          <w:p>
            <w:pPr>
              <w:jc w:val="center"/>
              <w:rPr>
                <w:rFonts w:ascii="宋体" w:hAnsi="宋体" w:cs="宋体"/>
                <w:kern w:val="2"/>
                <w:sz w:val="21"/>
                <w:szCs w:val="21"/>
                <w:lang w:eastAsia="zh-CN"/>
              </w:rPr>
            </w:pPr>
          </w:p>
        </w:tc>
        <w:tc>
          <w:tcPr>
            <w:tcW w:w="1113" w:type="pct"/>
            <w:gridSpan w:val="2"/>
            <w:tcBorders>
              <w:top w:val="single" w:sz="4" w:space="0" w:color="auto"/>
            </w:tcBorders>
            <w:vAlign w:val="center"/>
          </w:tcPr>
          <w:p>
            <w:pPr>
              <w:jc w:val="center"/>
              <w:rPr>
                <w:rFonts w:ascii="宋体" w:hAnsi="宋体" w:cs="宋体"/>
                <w:kern w:val="2"/>
                <w:sz w:val="21"/>
                <w:szCs w:val="21"/>
                <w:lang w:eastAsia="zh-CN"/>
              </w:rPr>
            </w:pPr>
          </w:p>
        </w:tc>
        <w:tc>
          <w:tcPr>
            <w:tcW w:w="838" w:type="pct"/>
            <w:tcBorders>
              <w:top w:val="single" w:sz="4" w:space="0" w:color="auto"/>
            </w:tcBorders>
            <w:vAlign w:val="center"/>
          </w:tcPr>
          <w:p>
            <w:pPr>
              <w:jc w:val="center"/>
              <w:rPr>
                <w:rFonts w:ascii="宋体" w:hAnsi="宋体" w:cs="宋体"/>
                <w:kern w:val="2"/>
                <w:sz w:val="21"/>
                <w:szCs w:val="21"/>
                <w:lang w:eastAsia="zh-CN"/>
              </w:rPr>
            </w:pPr>
          </w:p>
        </w:tc>
        <w:tc>
          <w:tcPr>
            <w:tcW w:w="830" w:type="pct"/>
            <w:tcBorders>
              <w:top w:val="single" w:sz="4" w:space="0" w:color="auto"/>
            </w:tcBorders>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bidi="ar"/>
              </w:rPr>
              <w:t>4</w:t>
            </w:r>
          </w:p>
        </w:tc>
        <w:tc>
          <w:tcPr>
            <w:tcW w:w="1275" w:type="pct"/>
            <w:gridSpan w:val="2"/>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主要技术人员</w:t>
            </w:r>
          </w:p>
        </w:tc>
        <w:tc>
          <w:tcPr>
            <w:tcW w:w="529" w:type="pct"/>
            <w:vAlign w:val="center"/>
          </w:tcPr>
          <w:p>
            <w:pPr>
              <w:jc w:val="center"/>
              <w:rPr>
                <w:rFonts w:ascii="宋体" w:hAnsi="宋体" w:cs="宋体"/>
                <w:kern w:val="2"/>
                <w:sz w:val="21"/>
                <w:szCs w:val="21"/>
                <w:lang w:eastAsia="zh-CN"/>
              </w:rPr>
            </w:pPr>
          </w:p>
        </w:tc>
        <w:tc>
          <w:tcPr>
            <w:tcW w:w="1113" w:type="pct"/>
            <w:gridSpan w:val="2"/>
            <w:vAlign w:val="center"/>
          </w:tcPr>
          <w:p>
            <w:pPr>
              <w:jc w:val="center"/>
              <w:rPr>
                <w:rFonts w:ascii="宋体" w:hAnsi="宋体" w:cs="宋体"/>
                <w:kern w:val="2"/>
                <w:sz w:val="21"/>
                <w:szCs w:val="21"/>
                <w:lang w:eastAsia="zh-CN"/>
              </w:rPr>
            </w:pPr>
          </w:p>
        </w:tc>
        <w:tc>
          <w:tcPr>
            <w:tcW w:w="838" w:type="pct"/>
            <w:vAlign w:val="center"/>
          </w:tcPr>
          <w:p>
            <w:pPr>
              <w:jc w:val="center"/>
              <w:rPr>
                <w:rFonts w:ascii="宋体" w:hAnsi="宋体" w:cs="宋体"/>
                <w:kern w:val="2"/>
                <w:sz w:val="21"/>
                <w:szCs w:val="21"/>
                <w:lang w:eastAsia="zh-CN"/>
              </w:rPr>
            </w:pPr>
          </w:p>
        </w:tc>
        <w:tc>
          <w:tcPr>
            <w:tcW w:w="830" w:type="pct"/>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bidi="ar"/>
              </w:rPr>
              <w:t>5</w:t>
            </w:r>
          </w:p>
        </w:tc>
        <w:tc>
          <w:tcPr>
            <w:tcW w:w="1275" w:type="pct"/>
            <w:gridSpan w:val="2"/>
            <w:vAlign w:val="center"/>
          </w:tcPr>
          <w:p>
            <w:pPr>
              <w:snapToGrid w:val="0"/>
              <w:jc w:val="center"/>
              <w:rPr>
                <w:rFonts w:ascii="宋体" w:hAnsi="宋体" w:cs="宋体"/>
                <w:kern w:val="2"/>
                <w:sz w:val="21"/>
                <w:szCs w:val="21"/>
                <w:lang w:eastAsia="zh-CN"/>
              </w:rPr>
            </w:pPr>
            <w:r>
              <w:rPr>
                <w:rFonts w:ascii="宋体" w:hAnsi="宋体" w:cs="宋体" w:hint="eastAsia"/>
                <w:kern w:val="2"/>
                <w:sz w:val="21"/>
                <w:szCs w:val="21"/>
                <w:lang w:eastAsia="zh-CN"/>
              </w:rPr>
              <w:t>投标文件编制人员</w:t>
            </w:r>
          </w:p>
        </w:tc>
        <w:tc>
          <w:tcPr>
            <w:tcW w:w="529" w:type="pct"/>
            <w:vAlign w:val="center"/>
          </w:tcPr>
          <w:p>
            <w:pPr>
              <w:jc w:val="center"/>
              <w:rPr>
                <w:rFonts w:ascii="宋体" w:hAnsi="宋体" w:cs="宋体"/>
                <w:kern w:val="2"/>
                <w:sz w:val="21"/>
                <w:szCs w:val="21"/>
                <w:lang w:eastAsia="zh-CN"/>
              </w:rPr>
            </w:pPr>
          </w:p>
        </w:tc>
        <w:tc>
          <w:tcPr>
            <w:tcW w:w="1113" w:type="pct"/>
            <w:gridSpan w:val="2"/>
            <w:vAlign w:val="center"/>
          </w:tcPr>
          <w:p>
            <w:pPr>
              <w:jc w:val="center"/>
              <w:rPr>
                <w:rFonts w:ascii="宋体" w:hAnsi="宋体" w:cs="宋体"/>
                <w:kern w:val="2"/>
                <w:sz w:val="21"/>
                <w:szCs w:val="21"/>
                <w:lang w:eastAsia="zh-CN"/>
              </w:rPr>
            </w:pPr>
          </w:p>
        </w:tc>
        <w:tc>
          <w:tcPr>
            <w:tcW w:w="838" w:type="pct"/>
            <w:vAlign w:val="center"/>
          </w:tcPr>
          <w:p>
            <w:pPr>
              <w:jc w:val="center"/>
              <w:rPr>
                <w:rFonts w:ascii="宋体" w:hAnsi="宋体" w:cs="宋体"/>
                <w:kern w:val="2"/>
                <w:sz w:val="21"/>
                <w:szCs w:val="21"/>
                <w:lang w:eastAsia="zh-CN"/>
              </w:rPr>
            </w:pPr>
          </w:p>
        </w:tc>
        <w:tc>
          <w:tcPr>
            <w:tcW w:w="830" w:type="pct"/>
            <w:vAlign w:val="center"/>
          </w:tcPr>
          <w:p>
            <w:pPr>
              <w:jc w:val="center"/>
              <w:rPr>
                <w:rFonts w:ascii="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vAlign w:val="center"/>
          </w:tcPr>
          <w:p>
            <w:pPr>
              <w:rPr>
                <w:rFonts w:ascii="宋体" w:hAnsi="宋体" w:cs="宋体"/>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vAlign w:val="center"/>
          </w:tcPr>
          <w:p>
            <w:pPr>
              <w:jc w:val="center"/>
              <w:rPr>
                <w:rFonts w:ascii="宋体" w:hAnsi="宋体" w:cs="宋体"/>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vAlign w:val="center"/>
          </w:tcPr>
          <w:p>
            <w:pPr>
              <w:jc w:val="center"/>
              <w:rPr>
                <w:rFonts w:ascii="宋体" w:hAnsi="宋体" w:cs="宋体"/>
                <w:kern w:val="2"/>
                <w:sz w:val="21"/>
                <w:szCs w:val="21"/>
                <w:lang w:eastAsia="zh-CN" w:bidi="ar"/>
              </w:rPr>
            </w:pPr>
            <w:r>
              <w:rPr>
                <w:rFonts w:ascii="宋体" w:hAnsi="宋体" w:cs="宋体" w:hint="eastAsia"/>
                <w:kern w:val="2"/>
                <w:sz w:val="21"/>
                <w:szCs w:val="21"/>
                <w:lang w:eastAsia="zh-CN" w:bidi="ar"/>
              </w:rPr>
              <w:t>序号</w:t>
            </w:r>
          </w:p>
        </w:tc>
        <w:tc>
          <w:tcPr>
            <w:tcW w:w="1275" w:type="pct"/>
            <w:gridSpan w:val="2"/>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bidi="ar"/>
              </w:rPr>
            </w:pPr>
            <w:r>
              <w:rPr>
                <w:rFonts w:ascii="宋体" w:hAnsi="宋体" w:cs="宋体" w:hint="eastAsia"/>
                <w:kern w:val="2"/>
                <w:sz w:val="21"/>
                <w:szCs w:val="21"/>
                <w:lang w:eastAsia="zh-CN" w:bidi="ar"/>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bidi="ar"/>
              </w:rPr>
            </w:pPr>
            <w:r>
              <w:rPr>
                <w:rFonts w:ascii="宋体" w:hAnsi="宋体" w:cs="宋体" w:hint="eastAsia"/>
                <w:kern w:val="2"/>
                <w:sz w:val="21"/>
                <w:szCs w:val="21"/>
                <w:lang w:eastAsia="zh-CN" w:bidi="ar"/>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b/>
          <w:color w:val="FF0000"/>
          <w:kern w:val="2"/>
          <w:sz w:val="28"/>
          <w:szCs w:val="28"/>
          <w:lang w:eastAsia="zh-CN"/>
        </w:rPr>
      </w:pPr>
    </w:p>
    <w:p>
      <w:pPr>
        <w:widowControl w:val="0"/>
        <w:jc w:val="both"/>
        <w:outlineLvl w:val="1"/>
        <w:rPr>
          <w:rFonts w:ascii="宋体" w:eastAsia="宋体" w:hAnsi="宋体"/>
          <w:b/>
          <w:color w:val="FF0000"/>
          <w:kern w:val="2"/>
          <w:sz w:val="28"/>
          <w:szCs w:val="28"/>
          <w:lang w:eastAsia="zh-CN"/>
        </w:rPr>
      </w:pPr>
    </w:p>
    <w:p>
      <w:pPr>
        <w:keepNext/>
        <w:keepLines/>
        <w:widowControl w:val="0"/>
        <w:spacing w:before="260" w:after="260"/>
        <w:jc w:val="center"/>
        <w:outlineLvl w:val="2"/>
        <w:rPr>
          <w:rFonts w:ascii="黑体" w:eastAsia="黑体" w:hAnsi="宋体"/>
          <w:bCs/>
          <w:kern w:val="2"/>
          <w:szCs w:val="32"/>
          <w:lang w:eastAsia="zh-CN"/>
        </w:rPr>
      </w:pPr>
      <w:r>
        <w:rPr>
          <w:rFonts w:ascii="黑体" w:eastAsia="黑体" w:hAnsi="宋体" w:hint="eastAsia"/>
          <w:bCs/>
          <w:kern w:val="2"/>
          <w:szCs w:val="32"/>
          <w:lang w:eastAsia="zh-CN"/>
        </w:rPr>
        <w:t>九</w:t>
      </w:r>
      <w:r>
        <w:rPr>
          <w:rFonts w:ascii="黑体" w:eastAsia="黑体" w:hAnsi="宋体" w:hint="eastAsia"/>
          <w:bCs/>
          <w:kern w:val="2"/>
          <w:szCs w:val="32"/>
          <w:lang w:eastAsia="zh-CN"/>
        </w:rPr>
        <w:t>、</w:t>
      </w:r>
      <w:bookmarkStart w:id="43" w:name="_Hlk72092499"/>
      <w:r>
        <w:rPr>
          <w:rFonts w:ascii="黑体" w:eastAsia="黑体" w:hAnsi="宋体" w:hint="eastAsia"/>
          <w:bCs/>
          <w:kern w:val="2"/>
          <w:szCs w:val="32"/>
          <w:lang w:eastAsia="zh-CN"/>
        </w:rPr>
        <w:t>法定代表人（负责人）证明书</w:t>
      </w:r>
      <w:bookmarkEnd w:id="43"/>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eastAsia="宋体" w:hAnsi="Calibri" w:cstheme="minorBidi" w:hint="eastAsia"/>
          <w:kern w:val="2"/>
          <w:sz w:val="21"/>
          <w:szCs w:val="21"/>
          <w:lang w:eastAsia="zh-CN"/>
        </w:rPr>
        <w:t>姓名</w:t>
      </w:r>
      <w:r>
        <w:rPr>
          <w:rFonts w:ascii="Calibri" w:eastAsia="宋体" w:hAnsi="Calibri" w:cstheme="minorBidi" w:hint="eastAsia"/>
          <w:kern w:val="2"/>
          <w:sz w:val="21"/>
          <w:szCs w:val="21"/>
          <w:lang w:eastAsia="zh-CN"/>
        </w:rPr>
        <w:t>）</w:t>
      </w:r>
      <w:r>
        <w:rPr>
          <w:rFonts w:eastAsia="宋体"/>
          <w:kern w:val="2"/>
          <w:sz w:val="21"/>
          <w:szCs w:val="21"/>
          <w:lang w:eastAsia="zh-CN"/>
        </w:rPr>
        <w:t>，现任我单位</w:t>
      </w:r>
      <w:r>
        <w:rPr>
          <w:rFonts w:eastAsia="宋体"/>
          <w:kern w:val="2"/>
          <w:sz w:val="21"/>
          <w:szCs w:val="21"/>
          <w:u w:val="single"/>
          <w:lang w:eastAsia="zh-CN"/>
        </w:rPr>
        <w:t xml:space="preserve">       </w:t>
      </w:r>
      <w:r>
        <w:rPr>
          <w:rFonts w:eastAsia="宋体"/>
          <w:kern w:val="2"/>
          <w:sz w:val="21"/>
          <w:szCs w:val="21"/>
          <w:lang w:eastAsia="zh-CN"/>
        </w:rPr>
        <w:t>职务，为法定代表人（负责人），</w:t>
      </w:r>
      <w:r>
        <w:rPr>
          <w:rFonts w:eastAsia="宋体" w:hint="eastAsia"/>
          <w:kern w:val="2"/>
          <w:sz w:val="21"/>
          <w:szCs w:val="21"/>
          <w:lang w:eastAsia="zh-CN"/>
        </w:rPr>
        <w:t>身份证号：</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kern w:val="2"/>
          <w:sz w:val="21"/>
          <w:szCs w:val="21"/>
          <w:lang w:eastAsia="zh-CN"/>
        </w:rPr>
        <w:t>特此证明。</w:t>
      </w:r>
    </w:p>
    <w:p>
      <w:pPr>
        <w:widowControl w:val="0"/>
        <w:spacing w:line="360" w:lineRule="auto"/>
        <w:jc w:val="both"/>
        <w:rPr>
          <w:rFonts w:ascii="宋体" w:eastAsia="宋体" w:cs="宋体"/>
          <w:kern w:val="2"/>
          <w:sz w:val="21"/>
          <w:szCs w:val="21"/>
          <w:lang w:eastAsia="zh-CN"/>
        </w:rPr>
      </w:pPr>
      <w:r>
        <w:rPr>
          <w:rFonts w:ascii="宋体" w:eastAsia="宋体" w:hAnsi="宋体" w:cs="宋体"/>
          <w:kern w:val="2"/>
          <w:sz w:val="21"/>
          <w:szCs w:val="21"/>
          <w:lang w:eastAsia="zh-CN"/>
        </w:rPr>
        <w:t xml:space="preserve">         </w:t>
      </w:r>
    </w:p>
    <w:p>
      <w:pPr>
        <w:widowControl w:val="0"/>
        <w:spacing w:line="360" w:lineRule="auto"/>
        <w:jc w:val="both"/>
        <w:rPr>
          <w:rFonts w:ascii="宋体" w:eastAsia="宋体" w:cs="宋体"/>
          <w:kern w:val="2"/>
          <w:sz w:val="21"/>
          <w:szCs w:val="21"/>
          <w:lang w:eastAsia="zh-CN"/>
        </w:rPr>
      </w:pPr>
      <w:r>
        <w:rPr>
          <w:rFonts w:ascii="宋体" w:eastAsia="宋体" w:hAnsi="宋体" w:cs="宋体" w:hint="eastAsia"/>
          <w:kern w:val="2"/>
          <w:sz w:val="21"/>
          <w:szCs w:val="21"/>
          <w:lang w:eastAsia="zh-CN"/>
        </w:rPr>
        <w:t>说明：</w:t>
      </w: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.法定代表人为投标人（企业事业单位、国家机关、社会团体）的主要行政负责人。</w:t>
      </w:r>
    </w:p>
    <w:p>
      <w:pPr>
        <w:widowControl w:val="0"/>
        <w:spacing w:line="360" w:lineRule="auto"/>
        <w:jc w:val="both"/>
        <w:rPr>
          <w:rFonts w:ascii="宋体" w:eastAsia="宋体" w:hAnsi="宋体" w:cs="宋体"/>
          <w:b/>
          <w:color w:val="FF0000"/>
          <w:kern w:val="2"/>
          <w:sz w:val="21"/>
          <w:szCs w:val="21"/>
          <w:lang w:eastAsia="zh-CN"/>
        </w:rPr>
      </w:pPr>
      <w:r>
        <w:rPr>
          <w:rFonts w:ascii="宋体" w:eastAsia="宋体" w:hAnsi="宋体" w:cs="宋体"/>
          <w:b/>
          <w:color w:val="FF0000"/>
          <w:kern w:val="2"/>
          <w:sz w:val="21"/>
          <w:szCs w:val="21"/>
          <w:lang w:eastAsia="zh-CN"/>
        </w:rPr>
        <w:t xml:space="preserve">      </w:t>
      </w:r>
      <w:r>
        <w:rPr>
          <w:rFonts w:ascii="宋体" w:eastAsia="宋体" w:hAnsi="宋体" w:cs="宋体" w:hint="eastAsia"/>
          <w:b/>
          <w:color w:val="FF0000"/>
          <w:kern w:val="2"/>
          <w:sz w:val="21"/>
          <w:szCs w:val="21"/>
          <w:lang w:eastAsia="zh-CN"/>
        </w:rPr>
        <w:t>2.本证明书要求投标供应商同时提供法定代表人（负责人）的身份证扫描件（正反两面）作为附件方为有效；港澳台居民可提供来往通行证扫描件；非中国国籍管辖范围人员，可提供公安部门认可的身份证明材料扫描件。</w:t>
      </w:r>
    </w:p>
    <w:p>
      <w:pPr>
        <w:widowControl w:val="0"/>
        <w:spacing w:line="360" w:lineRule="auto"/>
        <w:ind w:firstLine="630" w:firstLineChars="300"/>
        <w:jc w:val="both"/>
        <w:rPr>
          <w:rFonts w:ascii="宋体" w:eastAsia="宋体" w:cs="宋体"/>
          <w:kern w:val="2"/>
          <w:sz w:val="21"/>
          <w:szCs w:val="21"/>
          <w:lang w:eastAsia="zh-CN"/>
        </w:rPr>
      </w:pPr>
      <w:r>
        <w:rPr>
          <w:rFonts w:ascii="宋体" w:eastAsia="宋体" w:hAnsi="宋体" w:cs="宋体" w:hint="eastAsia"/>
          <w:kern w:val="2"/>
          <w:sz w:val="21"/>
          <w:szCs w:val="21"/>
          <w:lang w:eastAsia="zh-CN"/>
        </w:rPr>
        <w:t>3.本项目投标授权代表为法定代表人（负责人）的，无需提供《投标文件签署授权委托书》。</w:t>
      </w:r>
    </w:p>
    <w:p>
      <w:pPr>
        <w:widowControl w:val="0"/>
        <w:spacing w:line="360" w:lineRule="auto"/>
        <w:ind w:firstLine="630" w:firstLineChars="300"/>
        <w:jc w:val="both"/>
        <w:rPr>
          <w:rFonts w:ascii="宋体" w:eastAsia="宋体" w:cs="宋体"/>
          <w:kern w:val="2"/>
          <w:sz w:val="21"/>
          <w:szCs w:val="21"/>
          <w:lang w:eastAsia="zh-CN"/>
        </w:rPr>
      </w:pPr>
      <w:r>
        <w:rPr>
          <w:rFonts w:ascii="宋体" w:eastAsia="宋体" w:cs="宋体" w:hint="eastAsia"/>
          <w:kern w:val="2"/>
          <w:sz w:val="21"/>
          <w:szCs w:val="21"/>
          <w:lang w:eastAsia="zh-CN"/>
        </w:rPr>
        <w:t>4.内容必须填写真实、清楚，涂改无效，不得转让、买卖。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37"/>
        <w:gridCol w:w="454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99" w:type="pct"/>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after="120"/>
              <w:jc w:val="center"/>
              <w:rPr>
                <w:kern w:val="2"/>
                <w:sz w:val="21"/>
                <w:lang w:eastAsia="zh-CN"/>
              </w:rPr>
            </w:pPr>
          </w:p>
          <w:p>
            <w:pPr>
              <w:spacing w:line="360" w:lineRule="auto"/>
              <w:jc w:val="center"/>
              <w:rPr>
                <w:kern w:val="2"/>
                <w:lang w:eastAsia="zh-CN"/>
              </w:rPr>
            </w:pPr>
          </w:p>
        </w:tc>
        <w:tc>
          <w:tcPr>
            <w:tcW w:w="2500" w:type="pct"/>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after="120"/>
              <w:jc w:val="center"/>
              <w:rPr>
                <w:kern w:val="2"/>
                <w:sz w:val="21"/>
                <w:lang w:eastAsia="zh-CN"/>
              </w:rPr>
            </w:pPr>
          </w:p>
          <w:p>
            <w:pPr>
              <w:spacing w:line="360" w:lineRule="auto"/>
              <w:jc w:val="center"/>
              <w:rPr>
                <w:kern w:val="2"/>
                <w:lang w:eastAsia="zh-CN"/>
              </w:rPr>
            </w:pPr>
          </w:p>
        </w:tc>
      </w:tr>
    </w:tbl>
    <w:p>
      <w:pPr>
        <w:widowControl w:val="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jc w:val="center"/>
        <w:outlineLvl w:val="2"/>
        <w:rPr>
          <w:rFonts w:ascii="黑体" w:eastAsia="黑体" w:hAnsi="宋体"/>
          <w:bCs/>
          <w:kern w:val="2"/>
          <w:szCs w:val="32"/>
          <w:lang w:eastAsia="zh-CN"/>
        </w:rPr>
      </w:pPr>
      <w:r>
        <w:rPr>
          <w:rFonts w:ascii="黑体" w:eastAsia="黑体" w:hAnsi="宋体" w:hint="eastAsia"/>
          <w:bCs/>
          <w:kern w:val="2"/>
          <w:szCs w:val="32"/>
          <w:lang w:eastAsia="zh-CN"/>
        </w:rPr>
        <w:t>十、投标文件签署授权委托书</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u w:val="single"/>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p>
    <w:p>
      <w:pPr>
        <w:widowControl w:val="0"/>
        <w:spacing w:line="360" w:lineRule="auto"/>
        <w:ind w:firstLine="420" w:firstLineChars="200"/>
        <w:jc w:val="both"/>
        <w:rPr>
          <w:rFonts w:ascii="Calibri" w:eastAsia="宋体" w:hAnsi="Calibri"/>
          <w:kern w:val="2"/>
          <w:sz w:val="21"/>
          <w:szCs w:val="21"/>
          <w:u w:val="single"/>
          <w:lang w:eastAsia="zh-CN"/>
        </w:rPr>
      </w:pPr>
      <w:r>
        <w:rPr>
          <w:rFonts w:ascii="Calibri" w:eastAsia="宋体" w:hAnsi="Calibri" w:cstheme="minorBidi" w:hint="eastAsia"/>
          <w:kern w:val="2"/>
          <w:sz w:val="21"/>
          <w:szCs w:val="21"/>
          <w:lang w:eastAsia="zh-CN"/>
        </w:rPr>
        <w:t>身份</w:t>
      </w:r>
      <w:r>
        <w:rPr>
          <w:rFonts w:eastAsia="宋体" w:hAnsi="Calibri" w:cstheme="minorBidi" w:hint="eastAsia"/>
          <w:kern w:val="2"/>
          <w:sz w:val="21"/>
          <w:szCs w:val="21"/>
          <w:lang w:eastAsia="zh-CN"/>
        </w:rPr>
        <w:t>证件号</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p>
    <w:p>
      <w:pPr>
        <w:widowControl w:val="0"/>
        <w:spacing w:line="360" w:lineRule="auto"/>
        <w:ind w:firstLine="420" w:firstLineChars="200"/>
        <w:jc w:val="both"/>
        <w:rPr>
          <w:rFonts w:eastAsia="宋体"/>
          <w:kern w:val="2"/>
          <w:sz w:val="21"/>
          <w:szCs w:val="21"/>
          <w:u w:val="single"/>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p>
    <w:p>
      <w:pPr>
        <w:widowControl w:val="0"/>
        <w:spacing w:line="360" w:lineRule="auto"/>
        <w:ind w:firstLine="420" w:firstLineChars="200"/>
        <w:jc w:val="both"/>
        <w:rPr>
          <w:rFonts w:eastAsia="宋体"/>
          <w:kern w:val="2"/>
          <w:sz w:val="21"/>
          <w:szCs w:val="21"/>
          <w:u w:val="single"/>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jc w:val="both"/>
        <w:rPr>
          <w:rFonts w:eastAsia="宋体"/>
          <w:kern w:val="2"/>
          <w:sz w:val="21"/>
          <w:lang w:eastAsia="zh-CN"/>
        </w:rPr>
      </w:pP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37"/>
        <w:gridCol w:w="454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99" w:type="pct"/>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after="120"/>
              <w:jc w:val="center"/>
              <w:rPr>
                <w:kern w:val="2"/>
                <w:sz w:val="21"/>
                <w:lang w:eastAsia="zh-CN"/>
              </w:rPr>
            </w:pPr>
          </w:p>
          <w:p>
            <w:pPr>
              <w:spacing w:line="360" w:lineRule="auto"/>
              <w:jc w:val="center"/>
              <w:rPr>
                <w:kern w:val="2"/>
                <w:lang w:eastAsia="zh-CN"/>
              </w:rPr>
            </w:pPr>
          </w:p>
        </w:tc>
        <w:tc>
          <w:tcPr>
            <w:tcW w:w="2500" w:type="pct"/>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after="120"/>
              <w:jc w:val="center"/>
              <w:rPr>
                <w:kern w:val="2"/>
                <w:sz w:val="21"/>
                <w:lang w:eastAsia="zh-CN"/>
              </w:rPr>
            </w:pPr>
          </w:p>
          <w:p>
            <w:pPr>
              <w:spacing w:line="360" w:lineRule="auto"/>
              <w:jc w:val="center"/>
              <w:rPr>
                <w:kern w:val="2"/>
                <w:lang w:eastAsia="zh-CN"/>
              </w:rPr>
            </w:pPr>
          </w:p>
        </w:tc>
      </w:tr>
    </w:tbl>
    <w:p>
      <w:pPr>
        <w:widowControl w:val="0"/>
        <w:spacing w:line="360" w:lineRule="auto"/>
        <w:jc w:val="both"/>
        <w:rPr>
          <w:rFonts w:eastAsia="宋体"/>
          <w:b/>
          <w:kern w:val="2"/>
          <w:sz w:val="21"/>
          <w:szCs w:val="21"/>
          <w:lang w:eastAsia="zh-CN"/>
        </w:rPr>
      </w:pPr>
    </w:p>
    <w:p>
      <w:pPr>
        <w:widowControl w:val="0"/>
        <w:jc w:val="both"/>
        <w:rPr>
          <w:rFonts w:ascii="黑体" w:eastAsia="黑体"/>
          <w:lang w:eastAsia="zh-CN"/>
        </w:rPr>
      </w:pPr>
      <w:r>
        <w:rPr>
          <w:rFonts w:ascii="黑体" w:eastAsia="黑体" w:hint="eastAsia"/>
          <w:lang w:eastAsia="zh-CN"/>
        </w:rPr>
        <w:br w:type="page"/>
      </w:r>
    </w:p>
    <w:p>
      <w:pPr>
        <w:keepNext/>
        <w:keepLines/>
        <w:widowControl w:val="0"/>
        <w:spacing w:before="260" w:after="260"/>
        <w:jc w:val="center"/>
        <w:outlineLvl w:val="2"/>
        <w:rPr>
          <w:rFonts w:ascii="黑体" w:eastAsia="黑体" w:hAnsi="宋体"/>
          <w:bCs/>
          <w:lang w:eastAsia="zh-CN"/>
        </w:rPr>
      </w:pPr>
      <w:r>
        <w:rPr>
          <w:rFonts w:ascii="黑体" w:eastAsia="黑体" w:hAnsi="宋体" w:hint="eastAsia"/>
          <w:bCs/>
          <w:kern w:val="2"/>
          <w:szCs w:val="32"/>
          <w:lang w:eastAsia="zh-CN"/>
        </w:rPr>
        <w:t>十</w:t>
      </w:r>
      <w:r>
        <w:rPr>
          <w:rFonts w:ascii="黑体" w:eastAsia="黑体" w:hAnsi="宋体" w:hint="eastAsia"/>
          <w:bCs/>
          <w:lang w:eastAsia="zh-CN"/>
        </w:rPr>
        <w:t>一</w:t>
      </w:r>
      <w:r>
        <w:rPr>
          <w:rFonts w:ascii="黑体" w:eastAsia="黑体" w:hAnsi="宋体" w:hint="eastAsia"/>
          <w:bCs/>
          <w:lang w:eastAsia="zh-CN"/>
        </w:rPr>
        <w:t>、</w:t>
      </w:r>
      <w:bookmarkStart w:id="44" w:name="_Hlk72092634"/>
      <w:r>
        <w:rPr>
          <w:rFonts w:ascii="黑体" w:eastAsia="黑体" w:hAnsi="宋体" w:hint="eastAsia"/>
          <w:bCs/>
          <w:lang w:eastAsia="zh-CN"/>
        </w:rPr>
        <w:t>实质性条款响应情况表</w:t>
      </w:r>
      <w:bookmarkEnd w:id="44"/>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1"/>
        <w:gridCol w:w="4084"/>
        <w:gridCol w:w="1911"/>
        <w:gridCol w:w="1317"/>
        <w:gridCol w:w="103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jc w:val="center"/>
              <w:rPr>
                <w:rFonts w:ascii="宋体" w:eastAsia="宋体" w:hAnsi="宋体"/>
                <w:b/>
                <w:sz w:val="21"/>
                <w:szCs w:val="21"/>
                <w:lang w:eastAsia="zh-CN"/>
              </w:rPr>
            </w:pPr>
            <w:bookmarkStart w:id="45" w:name="_Hlk72092651"/>
            <w:r>
              <w:rPr>
                <w:rFonts w:ascii="宋体" w:eastAsia="宋体" w:hAnsi="宋体" w:hint="eastAsia"/>
                <w:b/>
                <w:sz w:val="21"/>
                <w:szCs w:val="21"/>
                <w:lang w:eastAsia="zh-CN"/>
              </w:rPr>
              <w:t>序号</w:t>
            </w:r>
          </w:p>
        </w:tc>
        <w:tc>
          <w:tcPr>
            <w:tcW w:w="3939" w:type="dxa"/>
            <w:vAlign w:val="center"/>
          </w:tcPr>
          <w:p>
            <w:pPr>
              <w:widowControl w:val="0"/>
              <w:adjustRightInd w:val="0"/>
              <w:snapToGrid w:val="0"/>
              <w:jc w:val="center"/>
              <w:rPr>
                <w:rFonts w:ascii="宋体" w:eastAsia="宋体" w:hAnsi="宋体"/>
                <w:b/>
                <w:sz w:val="21"/>
                <w:szCs w:val="21"/>
                <w:lang w:eastAsia="zh-CN"/>
              </w:rPr>
            </w:pPr>
            <w:r>
              <w:rPr>
                <w:rFonts w:eastAsia="宋体" w:hint="eastAsia"/>
                <w:b/>
                <w:color w:val="FF0000"/>
                <w:sz w:val="21"/>
                <w:szCs w:val="21"/>
                <w:lang w:eastAsia="zh-CN"/>
              </w:rPr>
              <w:t>★</w:t>
            </w:r>
            <w:r>
              <w:rPr>
                <w:rFonts w:ascii="宋体" w:eastAsia="宋体" w:hAnsi="宋体" w:hint="eastAsia"/>
                <w:b/>
                <w:sz w:val="21"/>
                <w:szCs w:val="21"/>
                <w:lang w:eastAsia="zh-CN"/>
              </w:rPr>
              <w:t>实质性条款具体内容</w:t>
            </w:r>
          </w:p>
        </w:tc>
        <w:tc>
          <w:tcPr>
            <w:tcW w:w="1843" w:type="dxa"/>
            <w:vAlign w:val="center"/>
          </w:tcPr>
          <w:p>
            <w:pPr>
              <w:widowControl w:val="0"/>
              <w:adjustRightInd w:val="0"/>
              <w:snapToGrid w:val="0"/>
              <w:jc w:val="center"/>
              <w:rPr>
                <w:rFonts w:ascii="宋体" w:eastAsia="宋体" w:hAnsi="宋体"/>
                <w:b/>
                <w:sz w:val="21"/>
                <w:szCs w:val="21"/>
                <w:lang w:eastAsia="zh-CN"/>
              </w:rPr>
            </w:pPr>
            <w:r>
              <w:rPr>
                <w:rFonts w:eastAsia="宋体" w:hint="eastAsia"/>
                <w:b/>
                <w:kern w:val="2"/>
                <w:sz w:val="21"/>
                <w:lang w:eastAsia="zh-CN"/>
              </w:rPr>
              <w:t>投标响应</w:t>
            </w:r>
          </w:p>
        </w:tc>
        <w:tc>
          <w:tcPr>
            <w:tcW w:w="1270" w:type="dxa"/>
            <w:vAlign w:val="center"/>
          </w:tcPr>
          <w:p>
            <w:pPr>
              <w:widowControl w:val="0"/>
              <w:adjustRightInd w:val="0"/>
              <w:snapToGrid w:val="0"/>
              <w:jc w:val="center"/>
              <w:rPr>
                <w:rFonts w:ascii="宋体" w:eastAsia="宋体" w:hAnsi="宋体"/>
                <w:b/>
                <w:sz w:val="21"/>
                <w:szCs w:val="21"/>
                <w:lang w:eastAsia="zh-CN"/>
              </w:rPr>
            </w:pPr>
            <w:r>
              <w:rPr>
                <w:rFonts w:eastAsia="宋体" w:hint="eastAsia"/>
                <w:b/>
                <w:kern w:val="2"/>
                <w:sz w:val="21"/>
                <w:lang w:eastAsia="zh-CN"/>
              </w:rPr>
              <w:t>偏离情况</w:t>
            </w:r>
          </w:p>
        </w:tc>
        <w:tc>
          <w:tcPr>
            <w:tcW w:w="998" w:type="dxa"/>
            <w:vAlign w:val="center"/>
          </w:tcPr>
          <w:p>
            <w:pPr>
              <w:widowControl w:val="0"/>
              <w:adjustRightInd w:val="0"/>
              <w:snapToGrid w:val="0"/>
              <w:jc w:val="center"/>
              <w:rPr>
                <w:rFonts w:ascii="宋体" w:eastAsia="宋体" w:hAnsi="宋体"/>
                <w:b/>
                <w:sz w:val="21"/>
                <w:szCs w:val="21"/>
                <w:lang w:eastAsia="zh-CN"/>
              </w:rPr>
            </w:pPr>
            <w:r>
              <w:rPr>
                <w:rFonts w:eastAsia="宋体" w:hint="eastAsia"/>
                <w:b/>
                <w:kern w:val="2"/>
                <w:sz w:val="21"/>
                <w:lang w:eastAsia="zh-CN"/>
              </w:rPr>
              <w:t>说明</w:t>
            </w:r>
          </w:p>
        </w:tc>
      </w:tr>
      <w:bookmarkEnd w:id="45"/>
      <w:tr>
        <w:tblPrEx>
          <w:tblW w:w="5000" w:type="pct"/>
          <w:tblInd w:w="0" w:type="dxa"/>
          <w:tblLayout w:type="fixed"/>
          <w:tblCellMar>
            <w:top w:w="0" w:type="dxa"/>
            <w:left w:w="108" w:type="dxa"/>
            <w:bottom w:w="0" w:type="dxa"/>
            <w:right w:w="108" w:type="dxa"/>
          </w:tblCellMar>
        </w:tblPrEx>
        <w:trPr>
          <w:trHeight w:val="381"/>
        </w:trPr>
        <w:tc>
          <w:tcPr>
            <w:tcW w:w="705" w:type="dxa"/>
            <w:vAlign w:val="center"/>
          </w:tcPr>
          <w:p>
            <w:pPr>
              <w:widowControl w:val="0"/>
              <w:adjustRightInd w:val="0"/>
              <w:snapToGrid w:val="0"/>
              <w:jc w:val="center"/>
              <w:rPr>
                <w:rFonts w:ascii="宋体" w:eastAsia="宋体" w:hAnsi="宋体"/>
                <w:sz w:val="21"/>
                <w:szCs w:val="21"/>
                <w:lang w:eastAsia="zh-CN"/>
              </w:rPr>
            </w:pPr>
            <w:r>
              <w:rPr>
                <w:rFonts w:ascii="宋体" w:eastAsia="宋体" w:hAnsi="宋体" w:hint="eastAsia"/>
                <w:sz w:val="21"/>
                <w:szCs w:val="21"/>
                <w:lang w:eastAsia="zh-CN"/>
              </w:rPr>
              <w:t>1</w:t>
            </w:r>
          </w:p>
        </w:tc>
        <w:tc>
          <w:tcPr>
            <w:tcW w:w="3939" w:type="dxa"/>
            <w:vAlign w:val="center"/>
          </w:tcPr>
          <w:p>
            <w:pPr>
              <w:widowControl w:val="0"/>
              <w:adjustRightInd w:val="0"/>
              <w:snapToGrid w:val="0"/>
              <w:jc w:val="center"/>
              <w:rPr>
                <w:rFonts w:eastAsia="宋体" w:hAnsi="宋体" w:hint="eastAsia"/>
                <w:sz w:val="21"/>
                <w:szCs w:val="21"/>
                <w:lang w:eastAsia="zh-CN"/>
              </w:rPr>
            </w:pPr>
            <w:r>
              <w:rPr>
                <w:rFonts w:eastAsia="宋体" w:hint="eastAsia"/>
                <w:b/>
                <w:color w:val="FF0000"/>
                <w:sz w:val="21"/>
                <w:szCs w:val="21"/>
                <w:lang w:eastAsia="zh-CN"/>
              </w:rPr>
              <w:t>满足本项目标★的条款要求</w:t>
            </w:r>
            <w:r>
              <w:rPr>
                <w:rFonts w:eastAsia="宋体" w:hint="eastAsia"/>
                <w:b/>
                <w:color w:val="FF0000"/>
                <w:sz w:val="21"/>
                <w:szCs w:val="21"/>
                <w:lang w:eastAsia="zh-CN"/>
              </w:rPr>
              <w:t>。</w:t>
            </w:r>
          </w:p>
        </w:tc>
        <w:tc>
          <w:tcPr>
            <w:tcW w:w="1843" w:type="dxa"/>
            <w:vAlign w:val="center"/>
          </w:tcPr>
          <w:p>
            <w:pPr>
              <w:widowControl w:val="0"/>
              <w:adjustRightInd w:val="0"/>
              <w:snapToGrid w:val="0"/>
              <w:jc w:val="center"/>
              <w:rPr>
                <w:rFonts w:ascii="宋体" w:eastAsia="宋体" w:hAnsi="宋体"/>
                <w:sz w:val="21"/>
                <w:szCs w:val="21"/>
                <w:lang w:eastAsia="zh-CN"/>
              </w:rPr>
            </w:pPr>
          </w:p>
        </w:tc>
        <w:tc>
          <w:tcPr>
            <w:tcW w:w="1270" w:type="dxa"/>
            <w:vAlign w:val="center"/>
          </w:tcPr>
          <w:p>
            <w:pPr>
              <w:widowControl w:val="0"/>
              <w:adjustRightInd w:val="0"/>
              <w:snapToGrid w:val="0"/>
              <w:jc w:val="center"/>
              <w:rPr>
                <w:rFonts w:ascii="宋体" w:eastAsia="宋体" w:hAnsi="宋体"/>
                <w:sz w:val="21"/>
                <w:szCs w:val="21"/>
                <w:lang w:eastAsia="zh-CN"/>
              </w:rPr>
            </w:pPr>
          </w:p>
        </w:tc>
        <w:tc>
          <w:tcPr>
            <w:tcW w:w="998" w:type="dxa"/>
            <w:vAlign w:val="center"/>
          </w:tcPr>
          <w:p>
            <w:pPr>
              <w:widowControl w:val="0"/>
              <w:adjustRightInd w:val="0"/>
              <w:snapToGrid w:val="0"/>
              <w:jc w:val="center"/>
              <w:rPr>
                <w:rFonts w:ascii="宋体" w:eastAsia="宋体" w:hAnsi="宋体"/>
                <w:sz w:val="21"/>
                <w:szCs w:val="21"/>
                <w:lang w:eastAsia="zh-CN"/>
              </w:rPr>
            </w:pPr>
          </w:p>
        </w:tc>
      </w:tr>
    </w:tbl>
    <w:p>
      <w:pPr>
        <w:widowControl w:val="0"/>
        <w:spacing w:line="276" w:lineRule="auto"/>
        <w:ind w:firstLine="420" w:firstLineChars="200"/>
        <w:jc w:val="both"/>
        <w:rPr>
          <w:rFonts w:ascii="宋体" w:eastAsia="宋体" w:hAnsi="宋体" w:cs="宋体"/>
          <w:bCs/>
          <w:kern w:val="2"/>
          <w:sz w:val="21"/>
          <w:szCs w:val="21"/>
          <w:lang w:eastAsia="zh-CN"/>
        </w:rPr>
      </w:pPr>
    </w:p>
    <w:p>
      <w:pPr>
        <w:widowControl w:val="0"/>
        <w:spacing w:line="276" w:lineRule="auto"/>
        <w:ind w:firstLine="420" w:firstLineChars="200"/>
        <w:jc w:val="both"/>
        <w:rPr>
          <w:rFonts w:ascii="宋体" w:eastAsia="宋体" w:hAnsi="宋体" w:cs="宋体"/>
          <w:bCs/>
          <w:kern w:val="2"/>
          <w:sz w:val="21"/>
          <w:szCs w:val="21"/>
          <w:lang w:eastAsia="zh-CN"/>
        </w:rPr>
      </w:pP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注：</w:t>
      </w: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2.“投标响应”一栏应当详细填写投标人自身响应情况，而不能不合理照搬照抄招标文件实质性条款具体内容。</w:t>
      </w:r>
      <w:r>
        <w:rPr>
          <w:rFonts w:ascii="宋体" w:eastAsia="宋体" w:hAnsi="宋体" w:cs="宋体" w:hint="eastAsia"/>
          <w:b/>
          <w:bCs/>
          <w:kern w:val="2"/>
          <w:sz w:val="21"/>
          <w:szCs w:val="21"/>
          <w:lang w:eastAsia="zh-CN"/>
        </w:rPr>
        <w:t>如完全满足实质性条款具体内容可填写“完全响应”。</w:t>
      </w: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b/>
          <w:bCs/>
          <w:kern w:val="2"/>
          <w:sz w:val="21"/>
          <w:szCs w:val="21"/>
          <w:lang w:eastAsia="zh-CN"/>
        </w:rPr>
        <w:t>“正偏离”、“负偏离”或“无偏离”</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4.评审委员会有权对投标响应情况作出判断（作出评审结论）。</w:t>
      </w: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spacing w:line="276"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spacing w:line="276" w:lineRule="auto"/>
        <w:jc w:val="both"/>
        <w:rPr>
          <w:rFonts w:ascii="宋体" w:eastAsia="宋体" w:hAnsi="宋体" w:cs="宋体"/>
          <w:bCs/>
          <w:kern w:val="2"/>
          <w:sz w:val="21"/>
          <w:szCs w:val="21"/>
          <w:lang w:eastAsia="zh-CN"/>
        </w:rPr>
      </w:pPr>
    </w:p>
    <w:p>
      <w:pPr>
        <w:keepNext/>
        <w:keepLines/>
        <w:widowControl w:val="0"/>
        <w:spacing w:before="260" w:after="260"/>
        <w:jc w:val="center"/>
        <w:outlineLvl w:val="2"/>
        <w:rPr>
          <w:rFonts w:eastAsia="黑体"/>
          <w:bCs/>
          <w:kern w:val="2"/>
          <w:szCs w:val="32"/>
          <w:lang w:eastAsia="zh-CN"/>
        </w:rPr>
      </w:pPr>
      <w:r>
        <w:rPr>
          <w:rFonts w:eastAsia="黑体" w:hint="eastAsia"/>
          <w:bCs/>
          <w:kern w:val="2"/>
          <w:szCs w:val="32"/>
          <w:lang w:eastAsia="zh-CN"/>
        </w:rPr>
        <w:t>十</w:t>
      </w:r>
      <w:r>
        <w:rPr>
          <w:rFonts w:eastAsia="黑体" w:hint="eastAsia"/>
          <w:bCs/>
          <w:kern w:val="2"/>
          <w:szCs w:val="32"/>
          <w:lang w:eastAsia="zh-CN"/>
        </w:rPr>
        <w:t>二</w:t>
      </w:r>
      <w:r>
        <w:rPr>
          <w:rFonts w:eastAsia="黑体"/>
          <w:bCs/>
          <w:kern w:val="2"/>
          <w:szCs w:val="32"/>
          <w:lang w:eastAsia="zh-CN"/>
        </w:rPr>
        <w:t>、技术要求偏离表</w:t>
      </w:r>
    </w:p>
    <w:tbl>
      <w:tblPr>
        <w:tblStyle w:val="TableNormal"/>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2"/>
        <w:gridCol w:w="941"/>
        <w:gridCol w:w="922"/>
        <w:gridCol w:w="2605"/>
        <w:gridCol w:w="2296"/>
        <w:gridCol w:w="998"/>
        <w:gridCol w:w="754"/>
      </w:tblGrid>
      <w:tr>
        <w:tblPrEx>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2"/>
        </w:trPr>
        <w:tc>
          <w:tcPr>
            <w:tcW w:w="607" w:type="dxa"/>
            <w:vAlign w:val="center"/>
          </w:tcPr>
          <w:p>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序号</w:t>
            </w:r>
          </w:p>
        </w:tc>
        <w:tc>
          <w:tcPr>
            <w:tcW w:w="1040" w:type="dxa"/>
            <w:vAlign w:val="center"/>
          </w:tcPr>
          <w:p>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bCs/>
                <w:sz w:val="21"/>
                <w:szCs w:val="21"/>
                <w:lang w:eastAsia="zh-CN" w:bidi="ar"/>
              </w:rPr>
              <w:t>服务系统平台名称</w:t>
            </w:r>
          </w:p>
        </w:tc>
        <w:tc>
          <w:tcPr>
            <w:tcW w:w="1018" w:type="dxa"/>
            <w:vAlign w:val="center"/>
          </w:tcPr>
          <w:p>
            <w:pPr>
              <w:widowControl w:val="0"/>
              <w:spacing w:line="276" w:lineRule="auto"/>
              <w:jc w:val="center"/>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功能模块</w:t>
            </w:r>
          </w:p>
        </w:tc>
        <w:tc>
          <w:tcPr>
            <w:tcW w:w="2936" w:type="dxa"/>
            <w:vAlign w:val="center"/>
          </w:tcPr>
          <w:p>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招标技术要求</w:t>
            </w:r>
          </w:p>
        </w:tc>
        <w:tc>
          <w:tcPr>
            <w:tcW w:w="2584" w:type="dxa"/>
            <w:vAlign w:val="center"/>
          </w:tcPr>
          <w:p>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投标技术响应</w:t>
            </w:r>
          </w:p>
        </w:tc>
        <w:tc>
          <w:tcPr>
            <w:tcW w:w="1105" w:type="dxa"/>
            <w:vAlign w:val="center"/>
          </w:tcPr>
          <w:p>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偏离情况</w:t>
            </w:r>
          </w:p>
        </w:tc>
        <w:tc>
          <w:tcPr>
            <w:tcW w:w="826" w:type="dxa"/>
            <w:vAlign w:val="center"/>
          </w:tcPr>
          <w:p>
            <w:pPr>
              <w:widowControl w:val="0"/>
              <w:spacing w:line="276" w:lineRule="auto"/>
              <w:jc w:val="center"/>
              <w:rPr>
                <w:rFonts w:ascii="宋体" w:eastAsia="宋体" w:hAnsi="宋体" w:cs="宋体"/>
                <w:b/>
                <w:color w:val="000000"/>
                <w:kern w:val="2"/>
                <w:sz w:val="21"/>
                <w:szCs w:val="21"/>
                <w:lang w:eastAsia="zh-CN"/>
              </w:rPr>
            </w:pPr>
            <w:r>
              <w:rPr>
                <w:rFonts w:ascii="宋体" w:eastAsia="宋体" w:hAnsi="宋体" w:cs="宋体" w:hint="eastAsia"/>
                <w:b/>
                <w:kern w:val="2"/>
                <w:sz w:val="21"/>
                <w:szCs w:val="21"/>
                <w:lang w:eastAsia="zh-CN"/>
              </w:rPr>
              <w:t>说明</w:t>
            </w:r>
          </w:p>
        </w:tc>
      </w:tr>
      <w:tr>
        <w:tblPrEx>
          <w:tblW w:w="5000" w:type="pct"/>
          <w:tblInd w:w="-37" w:type="dxa"/>
          <w:tblLayout w:type="fixed"/>
          <w:tblCellMar>
            <w:top w:w="0" w:type="dxa"/>
            <w:left w:w="108" w:type="dxa"/>
            <w:bottom w:w="0" w:type="dxa"/>
            <w:right w:w="108" w:type="dxa"/>
          </w:tblCellMar>
        </w:tblPrEx>
        <w:trPr>
          <w:trHeight w:val="321"/>
        </w:trPr>
        <w:tc>
          <w:tcPr>
            <w:tcW w:w="607" w:type="dxa"/>
            <w:vMerge w:val="restart"/>
            <w:vAlign w:val="center"/>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w:t>
            </w:r>
          </w:p>
        </w:tc>
        <w:tc>
          <w:tcPr>
            <w:tcW w:w="1040" w:type="dxa"/>
            <w:vMerge w:val="restart"/>
            <w:vAlign w:val="center"/>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系统平台</w:t>
            </w:r>
          </w:p>
        </w:tc>
        <w:tc>
          <w:tcPr>
            <w:tcW w:w="1018" w:type="dxa"/>
          </w:tcPr>
          <w:p>
            <w:pPr>
              <w:widowControl w:val="0"/>
              <w:spacing w:line="276" w:lineRule="auto"/>
              <w:jc w:val="center"/>
              <w:rPr>
                <w:rFonts w:ascii="宋体" w:eastAsia="宋体" w:hAnsi="宋体" w:cs="宋体" w:hint="eastAsia"/>
                <w:color w:val="000000"/>
                <w:kern w:val="2"/>
                <w:sz w:val="21"/>
                <w:szCs w:val="21"/>
                <w:lang w:eastAsia="zh-CN"/>
              </w:rPr>
            </w:pPr>
          </w:p>
        </w:tc>
        <w:tc>
          <w:tcPr>
            <w:tcW w:w="2936"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2584" w:type="dxa"/>
          </w:tcPr>
          <w:p>
            <w:pPr>
              <w:widowControl w:val="0"/>
              <w:spacing w:line="276" w:lineRule="auto"/>
              <w:jc w:val="both"/>
              <w:rPr>
                <w:rFonts w:ascii="宋体" w:eastAsia="宋体" w:hAnsi="宋体" w:cs="宋体"/>
                <w:color w:val="000000"/>
                <w:kern w:val="2"/>
                <w:sz w:val="21"/>
                <w:szCs w:val="21"/>
                <w:lang w:eastAsia="zh-CN"/>
              </w:rPr>
            </w:pPr>
          </w:p>
        </w:tc>
        <w:tc>
          <w:tcPr>
            <w:tcW w:w="1105" w:type="dxa"/>
          </w:tcPr>
          <w:p>
            <w:pPr>
              <w:widowControl w:val="0"/>
              <w:spacing w:line="276" w:lineRule="auto"/>
              <w:jc w:val="both"/>
              <w:rPr>
                <w:rFonts w:ascii="宋体" w:eastAsia="宋体" w:hAnsi="宋体" w:cs="宋体"/>
                <w:color w:val="000000"/>
                <w:kern w:val="2"/>
                <w:sz w:val="21"/>
                <w:szCs w:val="21"/>
                <w:lang w:eastAsia="zh-CN"/>
              </w:rPr>
            </w:pPr>
          </w:p>
        </w:tc>
        <w:tc>
          <w:tcPr>
            <w:tcW w:w="826"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1"/>
        </w:trPr>
        <w:tc>
          <w:tcPr>
            <w:tcW w:w="607"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4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18" w:type="dxa"/>
          </w:tcPr>
          <w:p>
            <w:pPr>
              <w:widowControl w:val="0"/>
              <w:spacing w:line="276" w:lineRule="auto"/>
              <w:jc w:val="center"/>
              <w:rPr>
                <w:rFonts w:ascii="宋体" w:eastAsia="宋体" w:hAnsi="宋体" w:cs="宋体"/>
                <w:color w:val="000000"/>
                <w:kern w:val="2"/>
                <w:sz w:val="21"/>
                <w:szCs w:val="21"/>
                <w:lang w:eastAsia="zh-CN"/>
              </w:rPr>
            </w:pPr>
          </w:p>
        </w:tc>
        <w:tc>
          <w:tcPr>
            <w:tcW w:w="2936"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2584" w:type="dxa"/>
          </w:tcPr>
          <w:p>
            <w:pPr>
              <w:widowControl w:val="0"/>
              <w:spacing w:line="276" w:lineRule="auto"/>
              <w:jc w:val="both"/>
              <w:rPr>
                <w:rFonts w:ascii="宋体" w:eastAsia="宋体" w:hAnsi="宋体" w:cs="宋体"/>
                <w:color w:val="000000"/>
                <w:kern w:val="2"/>
                <w:sz w:val="21"/>
                <w:szCs w:val="21"/>
                <w:lang w:eastAsia="zh-CN"/>
              </w:rPr>
            </w:pPr>
          </w:p>
        </w:tc>
        <w:tc>
          <w:tcPr>
            <w:tcW w:w="1105" w:type="dxa"/>
          </w:tcPr>
          <w:p>
            <w:pPr>
              <w:widowControl w:val="0"/>
              <w:spacing w:line="276" w:lineRule="auto"/>
              <w:jc w:val="both"/>
              <w:rPr>
                <w:rFonts w:ascii="宋体" w:eastAsia="宋体" w:hAnsi="宋体" w:cs="宋体"/>
                <w:color w:val="000000"/>
                <w:kern w:val="2"/>
                <w:sz w:val="21"/>
                <w:szCs w:val="21"/>
                <w:lang w:eastAsia="zh-CN"/>
              </w:rPr>
            </w:pPr>
          </w:p>
        </w:tc>
        <w:tc>
          <w:tcPr>
            <w:tcW w:w="826"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1"/>
        </w:trPr>
        <w:tc>
          <w:tcPr>
            <w:tcW w:w="607"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4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18" w:type="dxa"/>
          </w:tcPr>
          <w:p>
            <w:pPr>
              <w:widowControl w:val="0"/>
              <w:spacing w:line="276" w:lineRule="auto"/>
              <w:jc w:val="center"/>
              <w:rPr>
                <w:rFonts w:ascii="宋体" w:eastAsia="宋体" w:hAnsi="宋体" w:cs="宋体"/>
                <w:color w:val="000000"/>
                <w:kern w:val="2"/>
                <w:sz w:val="21"/>
                <w:szCs w:val="21"/>
                <w:lang w:eastAsia="zh-CN"/>
              </w:rPr>
            </w:pPr>
          </w:p>
        </w:tc>
        <w:tc>
          <w:tcPr>
            <w:tcW w:w="2936"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2584" w:type="dxa"/>
          </w:tcPr>
          <w:p>
            <w:pPr>
              <w:widowControl w:val="0"/>
              <w:spacing w:line="276" w:lineRule="auto"/>
              <w:jc w:val="both"/>
              <w:rPr>
                <w:rFonts w:ascii="宋体" w:eastAsia="宋体" w:hAnsi="宋体" w:cs="宋体"/>
                <w:color w:val="000000"/>
                <w:kern w:val="2"/>
                <w:sz w:val="21"/>
                <w:szCs w:val="21"/>
                <w:lang w:eastAsia="zh-CN"/>
              </w:rPr>
            </w:pPr>
          </w:p>
        </w:tc>
        <w:tc>
          <w:tcPr>
            <w:tcW w:w="1105" w:type="dxa"/>
          </w:tcPr>
          <w:p>
            <w:pPr>
              <w:widowControl w:val="0"/>
              <w:spacing w:line="276" w:lineRule="auto"/>
              <w:jc w:val="both"/>
              <w:rPr>
                <w:rFonts w:ascii="宋体" w:eastAsia="宋体" w:hAnsi="宋体" w:cs="宋体"/>
                <w:color w:val="000000"/>
                <w:kern w:val="2"/>
                <w:sz w:val="21"/>
                <w:szCs w:val="21"/>
                <w:lang w:eastAsia="zh-CN"/>
              </w:rPr>
            </w:pPr>
          </w:p>
        </w:tc>
        <w:tc>
          <w:tcPr>
            <w:tcW w:w="826"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1"/>
        </w:trPr>
        <w:tc>
          <w:tcPr>
            <w:tcW w:w="607"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4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18" w:type="dxa"/>
          </w:tcPr>
          <w:p>
            <w:pPr>
              <w:widowControl w:val="0"/>
              <w:spacing w:line="276" w:lineRule="auto"/>
              <w:jc w:val="center"/>
              <w:rPr>
                <w:rFonts w:ascii="宋体" w:eastAsia="宋体" w:hAnsi="宋体" w:cs="宋体"/>
                <w:color w:val="000000"/>
                <w:kern w:val="2"/>
                <w:sz w:val="21"/>
                <w:szCs w:val="21"/>
                <w:lang w:eastAsia="zh-CN"/>
              </w:rPr>
            </w:pPr>
          </w:p>
        </w:tc>
        <w:tc>
          <w:tcPr>
            <w:tcW w:w="2936"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2584" w:type="dxa"/>
          </w:tcPr>
          <w:p>
            <w:pPr>
              <w:widowControl w:val="0"/>
              <w:spacing w:line="276" w:lineRule="auto"/>
              <w:jc w:val="both"/>
              <w:rPr>
                <w:rFonts w:ascii="宋体" w:eastAsia="宋体" w:hAnsi="宋体" w:cs="宋体"/>
                <w:color w:val="000000"/>
                <w:kern w:val="2"/>
                <w:sz w:val="21"/>
                <w:szCs w:val="21"/>
                <w:lang w:eastAsia="zh-CN"/>
              </w:rPr>
            </w:pPr>
          </w:p>
        </w:tc>
        <w:tc>
          <w:tcPr>
            <w:tcW w:w="1105" w:type="dxa"/>
          </w:tcPr>
          <w:p>
            <w:pPr>
              <w:widowControl w:val="0"/>
              <w:spacing w:line="276" w:lineRule="auto"/>
              <w:jc w:val="both"/>
              <w:rPr>
                <w:rFonts w:ascii="宋体" w:eastAsia="宋体" w:hAnsi="宋体" w:cs="宋体"/>
                <w:color w:val="000000"/>
                <w:kern w:val="2"/>
                <w:sz w:val="21"/>
                <w:szCs w:val="21"/>
                <w:lang w:eastAsia="zh-CN"/>
              </w:rPr>
            </w:pPr>
          </w:p>
        </w:tc>
        <w:tc>
          <w:tcPr>
            <w:tcW w:w="826"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1"/>
        </w:trPr>
        <w:tc>
          <w:tcPr>
            <w:tcW w:w="607"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4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18" w:type="dxa"/>
          </w:tcPr>
          <w:p>
            <w:pPr>
              <w:widowControl w:val="0"/>
              <w:spacing w:line="276" w:lineRule="auto"/>
              <w:jc w:val="center"/>
              <w:rPr>
                <w:rFonts w:ascii="宋体" w:eastAsia="宋体" w:hAnsi="宋体" w:cs="宋体"/>
                <w:color w:val="000000"/>
                <w:kern w:val="2"/>
                <w:sz w:val="21"/>
                <w:szCs w:val="21"/>
                <w:lang w:eastAsia="zh-CN"/>
              </w:rPr>
            </w:pPr>
          </w:p>
        </w:tc>
        <w:tc>
          <w:tcPr>
            <w:tcW w:w="2936"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2584" w:type="dxa"/>
          </w:tcPr>
          <w:p>
            <w:pPr>
              <w:widowControl w:val="0"/>
              <w:spacing w:line="276" w:lineRule="auto"/>
              <w:jc w:val="both"/>
              <w:rPr>
                <w:rFonts w:ascii="宋体" w:eastAsia="宋体" w:hAnsi="宋体" w:cs="宋体"/>
                <w:color w:val="000000"/>
                <w:kern w:val="2"/>
                <w:sz w:val="21"/>
                <w:szCs w:val="21"/>
                <w:lang w:eastAsia="zh-CN"/>
              </w:rPr>
            </w:pPr>
          </w:p>
        </w:tc>
        <w:tc>
          <w:tcPr>
            <w:tcW w:w="1105" w:type="dxa"/>
          </w:tcPr>
          <w:p>
            <w:pPr>
              <w:widowControl w:val="0"/>
              <w:spacing w:line="276" w:lineRule="auto"/>
              <w:jc w:val="both"/>
              <w:rPr>
                <w:rFonts w:ascii="宋体" w:eastAsia="宋体" w:hAnsi="宋体" w:cs="宋体"/>
                <w:color w:val="000000"/>
                <w:kern w:val="2"/>
                <w:sz w:val="21"/>
                <w:szCs w:val="21"/>
                <w:lang w:eastAsia="zh-CN"/>
              </w:rPr>
            </w:pPr>
          </w:p>
        </w:tc>
        <w:tc>
          <w:tcPr>
            <w:tcW w:w="826"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1"/>
        </w:trPr>
        <w:tc>
          <w:tcPr>
            <w:tcW w:w="607"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4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18" w:type="dxa"/>
          </w:tcPr>
          <w:p>
            <w:pPr>
              <w:widowControl w:val="0"/>
              <w:spacing w:line="276" w:lineRule="auto"/>
              <w:jc w:val="center"/>
              <w:rPr>
                <w:rFonts w:ascii="宋体" w:eastAsia="宋体" w:hAnsi="宋体" w:cs="宋体"/>
                <w:color w:val="000000"/>
                <w:kern w:val="2"/>
                <w:sz w:val="21"/>
                <w:szCs w:val="21"/>
                <w:lang w:eastAsia="zh-CN"/>
              </w:rPr>
            </w:pPr>
          </w:p>
        </w:tc>
        <w:tc>
          <w:tcPr>
            <w:tcW w:w="2936"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p>
        </w:tc>
        <w:tc>
          <w:tcPr>
            <w:tcW w:w="2584" w:type="dxa"/>
          </w:tcPr>
          <w:p>
            <w:pPr>
              <w:widowControl w:val="0"/>
              <w:spacing w:line="276" w:lineRule="auto"/>
              <w:jc w:val="both"/>
              <w:rPr>
                <w:rFonts w:ascii="宋体" w:eastAsia="宋体" w:hAnsi="宋体" w:cs="宋体"/>
                <w:color w:val="000000"/>
                <w:kern w:val="2"/>
                <w:sz w:val="21"/>
                <w:szCs w:val="21"/>
                <w:lang w:eastAsia="zh-CN"/>
              </w:rPr>
            </w:pPr>
          </w:p>
        </w:tc>
        <w:tc>
          <w:tcPr>
            <w:tcW w:w="1105" w:type="dxa"/>
          </w:tcPr>
          <w:p>
            <w:pPr>
              <w:widowControl w:val="0"/>
              <w:spacing w:line="276" w:lineRule="auto"/>
              <w:jc w:val="both"/>
              <w:rPr>
                <w:rFonts w:ascii="宋体" w:eastAsia="宋体" w:hAnsi="宋体" w:cs="宋体"/>
                <w:color w:val="000000"/>
                <w:kern w:val="2"/>
                <w:sz w:val="21"/>
                <w:szCs w:val="21"/>
                <w:lang w:eastAsia="zh-CN"/>
              </w:rPr>
            </w:pPr>
          </w:p>
        </w:tc>
        <w:tc>
          <w:tcPr>
            <w:tcW w:w="826"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1"/>
        </w:trPr>
        <w:tc>
          <w:tcPr>
            <w:tcW w:w="607"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4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18" w:type="dxa"/>
          </w:tcPr>
          <w:p>
            <w:pPr>
              <w:widowControl w:val="0"/>
              <w:spacing w:line="276" w:lineRule="auto"/>
              <w:jc w:val="center"/>
              <w:rPr>
                <w:rFonts w:ascii="宋体" w:eastAsia="宋体" w:hAnsi="宋体" w:cs="宋体"/>
                <w:color w:val="000000"/>
                <w:kern w:val="2"/>
                <w:sz w:val="21"/>
                <w:szCs w:val="21"/>
                <w:lang w:eastAsia="zh-CN"/>
              </w:rPr>
            </w:pPr>
          </w:p>
        </w:tc>
        <w:tc>
          <w:tcPr>
            <w:tcW w:w="2936" w:type="dxa"/>
          </w:tcPr>
          <w:p>
            <w:pPr>
              <w:widowControl w:val="0"/>
              <w:spacing w:line="276" w:lineRule="auto"/>
              <w:jc w:val="center"/>
              <w:rPr>
                <w:rFonts w:ascii="宋体" w:eastAsia="宋体" w:hAnsi="宋体" w:cs="宋体"/>
                <w:b/>
                <w:bCs/>
                <w:color w:val="000000"/>
                <w:kern w:val="2"/>
                <w:sz w:val="21"/>
                <w:szCs w:val="21"/>
                <w:lang w:eastAsia="zh-CN"/>
              </w:rPr>
            </w:pPr>
            <w:r>
              <w:rPr>
                <w:rFonts w:ascii="宋体" w:eastAsia="宋体" w:hAnsi="宋体" w:cs="宋体" w:hint="eastAsia"/>
                <w:color w:val="000000"/>
                <w:kern w:val="2"/>
                <w:sz w:val="21"/>
                <w:szCs w:val="21"/>
                <w:lang w:eastAsia="zh-CN"/>
              </w:rPr>
              <w:t>……</w:t>
            </w:r>
          </w:p>
        </w:tc>
        <w:tc>
          <w:tcPr>
            <w:tcW w:w="2584" w:type="dxa"/>
          </w:tcPr>
          <w:p>
            <w:pPr>
              <w:widowControl w:val="0"/>
              <w:spacing w:line="276" w:lineRule="auto"/>
              <w:jc w:val="both"/>
              <w:rPr>
                <w:rFonts w:ascii="宋体" w:eastAsia="宋体" w:hAnsi="宋体" w:cs="宋体"/>
                <w:b/>
                <w:bCs/>
                <w:color w:val="FF0000"/>
                <w:kern w:val="2"/>
                <w:sz w:val="21"/>
                <w:szCs w:val="21"/>
                <w:lang w:eastAsia="zh-CN"/>
              </w:rPr>
            </w:pPr>
          </w:p>
        </w:tc>
        <w:tc>
          <w:tcPr>
            <w:tcW w:w="1105" w:type="dxa"/>
          </w:tcPr>
          <w:p>
            <w:pPr>
              <w:widowControl w:val="0"/>
              <w:spacing w:line="276" w:lineRule="auto"/>
              <w:jc w:val="both"/>
              <w:rPr>
                <w:rFonts w:ascii="宋体" w:eastAsia="宋体" w:hAnsi="宋体" w:cs="宋体"/>
                <w:b/>
                <w:bCs/>
                <w:color w:val="FF0000"/>
                <w:kern w:val="2"/>
                <w:sz w:val="21"/>
                <w:szCs w:val="21"/>
                <w:lang w:eastAsia="zh-CN"/>
              </w:rPr>
            </w:pPr>
          </w:p>
        </w:tc>
        <w:tc>
          <w:tcPr>
            <w:tcW w:w="826" w:type="dxa"/>
          </w:tcPr>
          <w:p>
            <w:pPr>
              <w:widowControl w:val="0"/>
              <w:spacing w:line="276" w:lineRule="auto"/>
              <w:jc w:val="both"/>
              <w:rPr>
                <w:rFonts w:ascii="宋体" w:eastAsia="宋体" w:hAnsi="宋体" w:cs="宋体"/>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1"/>
        </w:trPr>
        <w:tc>
          <w:tcPr>
            <w:tcW w:w="607"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40" w:type="dxa"/>
            <w:vMerge/>
            <w:vAlign w:val="center"/>
          </w:tcPr>
          <w:p>
            <w:pPr>
              <w:widowControl w:val="0"/>
              <w:spacing w:line="276" w:lineRule="auto"/>
              <w:jc w:val="center"/>
              <w:rPr>
                <w:rFonts w:ascii="宋体" w:eastAsia="宋体" w:hAnsi="宋体" w:cs="宋体"/>
                <w:color w:val="000000"/>
                <w:kern w:val="2"/>
                <w:sz w:val="21"/>
                <w:szCs w:val="21"/>
                <w:lang w:eastAsia="zh-CN"/>
              </w:rPr>
            </w:pPr>
          </w:p>
        </w:tc>
        <w:tc>
          <w:tcPr>
            <w:tcW w:w="1018" w:type="dxa"/>
          </w:tcPr>
          <w:p>
            <w:pPr>
              <w:widowControl w:val="0"/>
              <w:spacing w:line="276" w:lineRule="auto"/>
              <w:jc w:val="center"/>
              <w:rPr>
                <w:rFonts w:ascii="宋体" w:eastAsia="宋体" w:hAnsi="宋体" w:cs="宋体"/>
                <w:color w:val="000000"/>
                <w:kern w:val="2"/>
                <w:sz w:val="21"/>
                <w:szCs w:val="21"/>
                <w:lang w:eastAsia="zh-CN"/>
              </w:rPr>
            </w:pPr>
          </w:p>
        </w:tc>
        <w:tc>
          <w:tcPr>
            <w:tcW w:w="2936"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p>
        </w:tc>
        <w:tc>
          <w:tcPr>
            <w:tcW w:w="2584" w:type="dxa"/>
          </w:tcPr>
          <w:p>
            <w:pPr>
              <w:widowControl w:val="0"/>
              <w:spacing w:line="276" w:lineRule="auto"/>
              <w:jc w:val="both"/>
              <w:rPr>
                <w:rFonts w:ascii="宋体" w:eastAsia="宋体" w:hAnsi="宋体" w:cs="宋体"/>
                <w:color w:val="000000"/>
                <w:kern w:val="2"/>
                <w:sz w:val="21"/>
                <w:szCs w:val="21"/>
                <w:lang w:eastAsia="zh-CN"/>
              </w:rPr>
            </w:pPr>
          </w:p>
        </w:tc>
        <w:tc>
          <w:tcPr>
            <w:tcW w:w="1105" w:type="dxa"/>
          </w:tcPr>
          <w:p>
            <w:pPr>
              <w:widowControl w:val="0"/>
              <w:spacing w:line="276" w:lineRule="auto"/>
              <w:jc w:val="both"/>
              <w:rPr>
                <w:rFonts w:ascii="宋体" w:eastAsia="宋体" w:hAnsi="宋体" w:cs="宋体"/>
                <w:color w:val="000000"/>
                <w:kern w:val="2"/>
                <w:sz w:val="21"/>
                <w:szCs w:val="21"/>
                <w:lang w:eastAsia="zh-CN"/>
              </w:rPr>
            </w:pPr>
          </w:p>
        </w:tc>
        <w:tc>
          <w:tcPr>
            <w:tcW w:w="826"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1"/>
        </w:trPr>
        <w:tc>
          <w:tcPr>
            <w:tcW w:w="607" w:type="dxa"/>
            <w:vMerge w:val="restart"/>
            <w:vAlign w:val="center"/>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w:t>
            </w:r>
          </w:p>
        </w:tc>
        <w:tc>
          <w:tcPr>
            <w:tcW w:w="1040" w:type="dxa"/>
            <w:vMerge w:val="restart"/>
            <w:vAlign w:val="center"/>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系统平台</w:t>
            </w:r>
          </w:p>
        </w:tc>
        <w:tc>
          <w:tcPr>
            <w:tcW w:w="1018" w:type="dxa"/>
          </w:tcPr>
          <w:p>
            <w:pPr>
              <w:widowControl w:val="0"/>
              <w:spacing w:line="276" w:lineRule="auto"/>
              <w:jc w:val="center"/>
              <w:rPr>
                <w:rFonts w:ascii="宋体" w:eastAsia="宋体" w:hAnsi="宋体" w:cs="宋体" w:hint="eastAsia"/>
                <w:color w:val="000000"/>
                <w:kern w:val="2"/>
                <w:sz w:val="21"/>
                <w:szCs w:val="21"/>
                <w:lang w:eastAsia="zh-CN"/>
              </w:rPr>
            </w:pPr>
          </w:p>
        </w:tc>
        <w:tc>
          <w:tcPr>
            <w:tcW w:w="2936" w:type="dxa"/>
          </w:tcPr>
          <w:p>
            <w:pPr>
              <w:widowControl w:val="0"/>
              <w:spacing w:line="276" w:lineRule="auto"/>
              <w:jc w:val="center"/>
              <w:rPr>
                <w:rFonts w:ascii="宋体" w:eastAsia="宋体" w:hAnsi="宋体" w:cs="宋体"/>
                <w:b/>
                <w:bCs/>
                <w:color w:val="000000"/>
                <w:kern w:val="2"/>
                <w:sz w:val="21"/>
                <w:szCs w:val="21"/>
                <w:lang w:eastAsia="zh-CN"/>
              </w:rPr>
            </w:pPr>
            <w:r>
              <w:rPr>
                <w:rFonts w:ascii="宋体" w:eastAsia="宋体" w:hAnsi="宋体" w:cs="宋体" w:hint="eastAsia"/>
                <w:kern w:val="2"/>
                <w:sz w:val="21"/>
                <w:szCs w:val="21"/>
                <w:lang w:eastAsia="zh-CN"/>
              </w:rPr>
              <w:t>（填写相关内容）</w:t>
            </w:r>
          </w:p>
        </w:tc>
        <w:tc>
          <w:tcPr>
            <w:tcW w:w="2584" w:type="dxa"/>
          </w:tcPr>
          <w:p>
            <w:pPr>
              <w:widowControl w:val="0"/>
              <w:spacing w:line="276" w:lineRule="auto"/>
              <w:jc w:val="both"/>
              <w:rPr>
                <w:rFonts w:ascii="宋体" w:eastAsia="宋体" w:hAnsi="宋体" w:cs="宋体"/>
                <w:b/>
                <w:bCs/>
                <w:color w:val="FF0000"/>
                <w:kern w:val="2"/>
                <w:sz w:val="21"/>
                <w:szCs w:val="21"/>
                <w:lang w:eastAsia="zh-CN"/>
              </w:rPr>
            </w:pPr>
          </w:p>
        </w:tc>
        <w:tc>
          <w:tcPr>
            <w:tcW w:w="1105" w:type="dxa"/>
          </w:tcPr>
          <w:p>
            <w:pPr>
              <w:widowControl w:val="0"/>
              <w:spacing w:line="276" w:lineRule="auto"/>
              <w:jc w:val="both"/>
              <w:rPr>
                <w:rFonts w:ascii="宋体" w:eastAsia="宋体" w:hAnsi="宋体" w:cs="宋体"/>
                <w:b/>
                <w:bCs/>
                <w:color w:val="FF0000"/>
                <w:kern w:val="2"/>
                <w:sz w:val="21"/>
                <w:szCs w:val="21"/>
                <w:lang w:eastAsia="zh-CN"/>
              </w:rPr>
            </w:pPr>
          </w:p>
        </w:tc>
        <w:tc>
          <w:tcPr>
            <w:tcW w:w="826" w:type="dxa"/>
          </w:tcPr>
          <w:p>
            <w:pPr>
              <w:widowControl w:val="0"/>
              <w:spacing w:line="276" w:lineRule="auto"/>
              <w:jc w:val="both"/>
              <w:rPr>
                <w:rFonts w:ascii="宋体" w:eastAsia="宋体" w:hAnsi="宋体" w:cs="宋体"/>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1"/>
        </w:trPr>
        <w:tc>
          <w:tcPr>
            <w:tcW w:w="607" w:type="dxa"/>
            <w:vMerge/>
          </w:tcPr>
          <w:p>
            <w:pPr>
              <w:widowControl w:val="0"/>
              <w:spacing w:line="276" w:lineRule="auto"/>
              <w:jc w:val="center"/>
              <w:rPr>
                <w:rFonts w:ascii="宋体" w:eastAsia="宋体" w:hAnsi="宋体" w:cs="宋体"/>
                <w:color w:val="000000"/>
                <w:kern w:val="2"/>
                <w:sz w:val="21"/>
                <w:szCs w:val="21"/>
                <w:lang w:eastAsia="zh-CN"/>
              </w:rPr>
            </w:pPr>
          </w:p>
        </w:tc>
        <w:tc>
          <w:tcPr>
            <w:tcW w:w="1040" w:type="dxa"/>
            <w:vMerge/>
          </w:tcPr>
          <w:p>
            <w:pPr>
              <w:widowControl w:val="0"/>
              <w:spacing w:line="276" w:lineRule="auto"/>
              <w:jc w:val="both"/>
              <w:rPr>
                <w:rFonts w:ascii="宋体" w:eastAsia="宋体" w:hAnsi="宋体" w:cs="宋体"/>
                <w:color w:val="000000"/>
                <w:kern w:val="2"/>
                <w:sz w:val="21"/>
                <w:szCs w:val="21"/>
                <w:lang w:eastAsia="zh-CN"/>
              </w:rPr>
            </w:pPr>
          </w:p>
        </w:tc>
        <w:tc>
          <w:tcPr>
            <w:tcW w:w="1018" w:type="dxa"/>
          </w:tcPr>
          <w:p>
            <w:pPr>
              <w:widowControl w:val="0"/>
              <w:spacing w:line="276" w:lineRule="auto"/>
              <w:jc w:val="both"/>
              <w:rPr>
                <w:rFonts w:ascii="宋体" w:eastAsia="宋体" w:hAnsi="宋体" w:cs="宋体"/>
                <w:color w:val="000000"/>
                <w:kern w:val="2"/>
                <w:sz w:val="21"/>
                <w:szCs w:val="21"/>
                <w:lang w:eastAsia="zh-CN"/>
              </w:rPr>
            </w:pPr>
          </w:p>
        </w:tc>
        <w:tc>
          <w:tcPr>
            <w:tcW w:w="2936"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2584" w:type="dxa"/>
          </w:tcPr>
          <w:p>
            <w:pPr>
              <w:widowControl w:val="0"/>
              <w:spacing w:line="276" w:lineRule="auto"/>
              <w:jc w:val="both"/>
              <w:rPr>
                <w:rFonts w:ascii="宋体" w:eastAsia="宋体" w:hAnsi="宋体" w:cs="宋体"/>
                <w:color w:val="000000"/>
                <w:kern w:val="2"/>
                <w:sz w:val="21"/>
                <w:szCs w:val="21"/>
                <w:lang w:eastAsia="zh-CN"/>
              </w:rPr>
            </w:pPr>
          </w:p>
        </w:tc>
        <w:tc>
          <w:tcPr>
            <w:tcW w:w="1105" w:type="dxa"/>
          </w:tcPr>
          <w:p>
            <w:pPr>
              <w:widowControl w:val="0"/>
              <w:spacing w:line="276" w:lineRule="auto"/>
              <w:jc w:val="both"/>
              <w:rPr>
                <w:rFonts w:ascii="宋体" w:eastAsia="宋体" w:hAnsi="宋体" w:cs="宋体"/>
                <w:color w:val="000000"/>
                <w:kern w:val="2"/>
                <w:sz w:val="21"/>
                <w:szCs w:val="21"/>
                <w:lang w:eastAsia="zh-CN"/>
              </w:rPr>
            </w:pPr>
          </w:p>
        </w:tc>
        <w:tc>
          <w:tcPr>
            <w:tcW w:w="826"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1"/>
        </w:trPr>
        <w:tc>
          <w:tcPr>
            <w:tcW w:w="607" w:type="dxa"/>
            <w:vMerge/>
          </w:tcPr>
          <w:p>
            <w:pPr>
              <w:widowControl w:val="0"/>
              <w:spacing w:line="276" w:lineRule="auto"/>
              <w:jc w:val="center"/>
              <w:rPr>
                <w:rFonts w:ascii="宋体" w:eastAsia="宋体" w:hAnsi="宋体" w:cs="宋体"/>
                <w:color w:val="000000"/>
                <w:kern w:val="2"/>
                <w:sz w:val="21"/>
                <w:szCs w:val="21"/>
                <w:lang w:eastAsia="zh-CN"/>
              </w:rPr>
            </w:pPr>
          </w:p>
        </w:tc>
        <w:tc>
          <w:tcPr>
            <w:tcW w:w="1040" w:type="dxa"/>
            <w:vMerge/>
          </w:tcPr>
          <w:p>
            <w:pPr>
              <w:widowControl w:val="0"/>
              <w:spacing w:line="276" w:lineRule="auto"/>
              <w:jc w:val="both"/>
              <w:rPr>
                <w:rFonts w:ascii="宋体" w:eastAsia="宋体" w:hAnsi="宋体" w:cs="宋体"/>
                <w:color w:val="000000"/>
                <w:kern w:val="2"/>
                <w:sz w:val="21"/>
                <w:szCs w:val="21"/>
                <w:lang w:eastAsia="zh-CN"/>
              </w:rPr>
            </w:pPr>
          </w:p>
        </w:tc>
        <w:tc>
          <w:tcPr>
            <w:tcW w:w="1018" w:type="dxa"/>
          </w:tcPr>
          <w:p>
            <w:pPr>
              <w:widowControl w:val="0"/>
              <w:spacing w:line="276" w:lineRule="auto"/>
              <w:jc w:val="both"/>
              <w:rPr>
                <w:rFonts w:ascii="宋体" w:eastAsia="宋体" w:hAnsi="宋体" w:cs="宋体"/>
                <w:color w:val="000000"/>
                <w:kern w:val="2"/>
                <w:sz w:val="21"/>
                <w:szCs w:val="21"/>
                <w:lang w:eastAsia="zh-CN"/>
              </w:rPr>
            </w:pPr>
          </w:p>
        </w:tc>
        <w:tc>
          <w:tcPr>
            <w:tcW w:w="2936"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（填写相关内容）</w:t>
            </w:r>
          </w:p>
        </w:tc>
        <w:tc>
          <w:tcPr>
            <w:tcW w:w="2584" w:type="dxa"/>
          </w:tcPr>
          <w:p>
            <w:pPr>
              <w:widowControl w:val="0"/>
              <w:spacing w:line="276" w:lineRule="auto"/>
              <w:jc w:val="both"/>
              <w:rPr>
                <w:rFonts w:ascii="宋体" w:eastAsia="宋体" w:hAnsi="宋体" w:cs="宋体"/>
                <w:color w:val="000000"/>
                <w:kern w:val="2"/>
                <w:sz w:val="21"/>
                <w:szCs w:val="21"/>
                <w:lang w:eastAsia="zh-CN"/>
              </w:rPr>
            </w:pPr>
          </w:p>
        </w:tc>
        <w:tc>
          <w:tcPr>
            <w:tcW w:w="1105" w:type="dxa"/>
          </w:tcPr>
          <w:p>
            <w:pPr>
              <w:widowControl w:val="0"/>
              <w:spacing w:line="276" w:lineRule="auto"/>
              <w:jc w:val="both"/>
              <w:rPr>
                <w:rFonts w:ascii="宋体" w:eastAsia="宋体" w:hAnsi="宋体" w:cs="宋体"/>
                <w:color w:val="000000"/>
                <w:kern w:val="2"/>
                <w:sz w:val="21"/>
                <w:szCs w:val="21"/>
                <w:lang w:eastAsia="zh-CN"/>
              </w:rPr>
            </w:pPr>
          </w:p>
        </w:tc>
        <w:tc>
          <w:tcPr>
            <w:tcW w:w="826" w:type="dxa"/>
          </w:tcPr>
          <w:p>
            <w:pPr>
              <w:widowControl w:val="0"/>
              <w:spacing w:line="276" w:lineRule="auto"/>
              <w:jc w:val="both"/>
              <w:rPr>
                <w:rFonts w:ascii="宋体" w:eastAsia="宋体" w:hAnsi="宋体" w:cs="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31"/>
        </w:trPr>
        <w:tc>
          <w:tcPr>
            <w:tcW w:w="607" w:type="dxa"/>
            <w:vMerge/>
          </w:tcPr>
          <w:p>
            <w:pPr>
              <w:widowControl w:val="0"/>
              <w:spacing w:line="276" w:lineRule="auto"/>
              <w:jc w:val="center"/>
              <w:rPr>
                <w:rFonts w:ascii="宋体" w:eastAsia="宋体" w:hAnsi="宋体" w:cs="宋体"/>
                <w:color w:val="000000"/>
                <w:kern w:val="2"/>
                <w:sz w:val="21"/>
                <w:szCs w:val="21"/>
                <w:lang w:eastAsia="zh-CN"/>
              </w:rPr>
            </w:pPr>
          </w:p>
        </w:tc>
        <w:tc>
          <w:tcPr>
            <w:tcW w:w="1040" w:type="dxa"/>
            <w:vMerge/>
          </w:tcPr>
          <w:p>
            <w:pPr>
              <w:widowControl w:val="0"/>
              <w:spacing w:line="276" w:lineRule="auto"/>
              <w:jc w:val="both"/>
              <w:rPr>
                <w:rFonts w:ascii="宋体" w:eastAsia="宋体" w:hAnsi="宋体" w:cs="宋体"/>
                <w:color w:val="000000"/>
                <w:kern w:val="2"/>
                <w:sz w:val="21"/>
                <w:szCs w:val="21"/>
                <w:lang w:eastAsia="zh-CN"/>
              </w:rPr>
            </w:pPr>
          </w:p>
        </w:tc>
        <w:tc>
          <w:tcPr>
            <w:tcW w:w="1018" w:type="dxa"/>
          </w:tcPr>
          <w:p>
            <w:pPr>
              <w:widowControl w:val="0"/>
              <w:spacing w:line="276" w:lineRule="auto"/>
              <w:jc w:val="both"/>
              <w:rPr>
                <w:rFonts w:ascii="宋体" w:eastAsia="宋体" w:hAnsi="宋体" w:cs="宋体"/>
                <w:color w:val="000000"/>
                <w:kern w:val="2"/>
                <w:sz w:val="21"/>
                <w:szCs w:val="21"/>
                <w:lang w:eastAsia="zh-CN"/>
              </w:rPr>
            </w:pPr>
          </w:p>
        </w:tc>
        <w:tc>
          <w:tcPr>
            <w:tcW w:w="2936" w:type="dxa"/>
          </w:tcPr>
          <w:p>
            <w:pPr>
              <w:widowControl w:val="0"/>
              <w:spacing w:line="276" w:lineRule="auto"/>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w:t>
            </w:r>
          </w:p>
        </w:tc>
        <w:tc>
          <w:tcPr>
            <w:tcW w:w="2584" w:type="dxa"/>
          </w:tcPr>
          <w:p>
            <w:pPr>
              <w:widowControl w:val="0"/>
              <w:spacing w:line="276" w:lineRule="auto"/>
              <w:jc w:val="both"/>
              <w:rPr>
                <w:rFonts w:ascii="宋体" w:eastAsia="宋体" w:hAnsi="宋体" w:cs="宋体"/>
                <w:color w:val="000000"/>
                <w:kern w:val="2"/>
                <w:sz w:val="21"/>
                <w:szCs w:val="21"/>
                <w:lang w:eastAsia="zh-CN"/>
              </w:rPr>
            </w:pPr>
          </w:p>
        </w:tc>
        <w:tc>
          <w:tcPr>
            <w:tcW w:w="1105" w:type="dxa"/>
          </w:tcPr>
          <w:p>
            <w:pPr>
              <w:widowControl w:val="0"/>
              <w:spacing w:line="276" w:lineRule="auto"/>
              <w:jc w:val="both"/>
              <w:rPr>
                <w:rFonts w:ascii="宋体" w:eastAsia="宋体" w:hAnsi="宋体" w:cs="宋体"/>
                <w:color w:val="000000"/>
                <w:kern w:val="2"/>
                <w:sz w:val="21"/>
                <w:szCs w:val="21"/>
                <w:lang w:eastAsia="zh-CN"/>
              </w:rPr>
            </w:pPr>
          </w:p>
        </w:tc>
        <w:tc>
          <w:tcPr>
            <w:tcW w:w="826" w:type="dxa"/>
          </w:tcPr>
          <w:p>
            <w:pPr>
              <w:widowControl w:val="0"/>
              <w:spacing w:line="276" w:lineRule="auto"/>
              <w:jc w:val="both"/>
              <w:rPr>
                <w:rFonts w:ascii="宋体" w:eastAsia="宋体" w:hAnsi="宋体" w:cs="宋体"/>
                <w:color w:val="000000"/>
                <w:kern w:val="2"/>
                <w:sz w:val="21"/>
                <w:szCs w:val="21"/>
                <w:lang w:eastAsia="zh-CN"/>
              </w:rPr>
            </w:pPr>
          </w:p>
        </w:tc>
      </w:tr>
    </w:tbl>
    <w:p>
      <w:pPr>
        <w:widowControl w:val="0"/>
        <w:jc w:val="both"/>
        <w:rPr>
          <w:rFonts w:eastAsia="宋体"/>
          <w:b/>
          <w:kern w:val="2"/>
          <w:sz w:val="21"/>
          <w:szCs w:val="21"/>
          <w:lang w:eastAsia="zh-CN"/>
        </w:rPr>
      </w:pPr>
      <w:bookmarkStart w:id="46" w:name="_Hlk72095977"/>
      <w:r>
        <w:rPr>
          <w:rFonts w:eastAsia="宋体"/>
          <w:b/>
          <w:kern w:val="2"/>
          <w:sz w:val="21"/>
          <w:szCs w:val="21"/>
          <w:lang w:eastAsia="zh-CN"/>
        </w:rPr>
        <w:t>证明资料【如有的话，供应商提供的证明资料应统一编号（排序），格式自定】</w:t>
      </w:r>
      <w:bookmarkEnd w:id="46"/>
      <w:r>
        <w:rPr>
          <w:rFonts w:eastAsia="宋体"/>
          <w:b/>
          <w:kern w:val="2"/>
          <w:sz w:val="21"/>
          <w:szCs w:val="21"/>
          <w:lang w:eastAsia="zh-CN"/>
        </w:rPr>
        <w:t>：</w:t>
      </w:r>
    </w:p>
    <w:p>
      <w:pPr>
        <w:widowControl w:val="0"/>
        <w:ind w:firstLine="420" w:firstLineChars="200"/>
        <w:jc w:val="both"/>
        <w:rPr>
          <w:rFonts w:eastAsia="宋体"/>
          <w:b/>
          <w:kern w:val="2"/>
          <w:sz w:val="21"/>
          <w:szCs w:val="21"/>
          <w:lang w:eastAsia="zh-CN"/>
        </w:rPr>
      </w:pP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《技术要求偏离表》编制指引：</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1.技术要求偏离表的序号、</w:t>
      </w:r>
      <w:r>
        <w:rPr>
          <w:rFonts w:ascii="宋体" w:eastAsia="宋体" w:hAnsi="宋体" w:cs="宋体" w:hint="eastAsia"/>
          <w:b/>
          <w:bCs/>
          <w:sz w:val="21"/>
          <w:szCs w:val="21"/>
          <w:lang w:eastAsia="zh-CN" w:bidi="ar"/>
        </w:rPr>
        <w:t>服务系统平台名称</w:t>
      </w:r>
      <w:r>
        <w:rPr>
          <w:rFonts w:ascii="宋体" w:eastAsia="宋体" w:hAnsi="宋体" w:cs="宋体" w:hint="eastAsia"/>
          <w:b/>
          <w:kern w:val="2"/>
          <w:sz w:val="21"/>
          <w:szCs w:val="21"/>
          <w:lang w:eastAsia="zh-CN"/>
        </w:rPr>
        <w:t>、</w:t>
      </w:r>
      <w:r>
        <w:rPr>
          <w:rFonts w:ascii="宋体" w:eastAsia="宋体" w:hAnsi="宋体" w:cs="宋体" w:hint="eastAsia"/>
          <w:b/>
          <w:bCs/>
          <w:sz w:val="21"/>
          <w:szCs w:val="21"/>
          <w:lang w:eastAsia="zh-CN" w:bidi="ar"/>
        </w:rPr>
        <w:t>功能模块</w:t>
      </w:r>
      <w:r>
        <w:rPr>
          <w:rFonts w:ascii="宋体" w:eastAsia="宋体" w:hAnsi="宋体" w:cs="宋体" w:hint="eastAsia"/>
          <w:b/>
          <w:bCs/>
          <w:sz w:val="21"/>
          <w:szCs w:val="21"/>
          <w:lang w:eastAsia="zh-CN" w:bidi="ar"/>
        </w:rPr>
        <w:t>、</w:t>
      </w:r>
      <w:r>
        <w:rPr>
          <w:rFonts w:ascii="宋体" w:eastAsia="宋体" w:hAnsi="宋体" w:cs="宋体" w:hint="eastAsia"/>
          <w:b/>
          <w:kern w:val="2"/>
          <w:sz w:val="21"/>
          <w:szCs w:val="21"/>
          <w:lang w:eastAsia="zh-CN"/>
        </w:rPr>
        <w:t>招标技术要求等栏目对应“用户需求书”中的“技术要求”章节相关内容。</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3.“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4.未要求提供证明资料的招标技术要求，可以不提供证明资料（如实响应即可）。如未要求提供证明资料的招标技术要求，投标人提供相应的证明资料，出现证明资料与响应情况不一致的，以证明资料情况为准。</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5.证明资料条款响应要求：要求提供证明资料（且已对证明资料的形式、内容作出明确要求）进行响应的条款，可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7.证明资料的形式及其它具体要求：</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其它证明资料的形式要求参照以上要求执行；</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（4）证明资料均要求原件备查。</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8.其它注意事项：</w:t>
      </w:r>
    </w:p>
    <w:p>
      <w:pPr>
        <w:widowControl w:val="0"/>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（1）评审委员会有权对投标人的响应情况作出判断（评审结论）；</w:t>
      </w:r>
    </w:p>
    <w:p>
      <w:pPr>
        <w:widowControl w:val="0"/>
        <w:ind w:firstLine="420" w:firstLineChars="200"/>
        <w:jc w:val="both"/>
        <w:rPr>
          <w:rFonts w:eastAsia="宋体"/>
          <w:b/>
          <w:kern w:val="2"/>
          <w:sz w:val="21"/>
          <w:szCs w:val="21"/>
          <w:lang w:eastAsia="zh-CN"/>
        </w:rPr>
      </w:pPr>
      <w:r>
        <w:rPr>
          <w:rFonts w:ascii="宋体" w:eastAsia="宋体" w:hAnsi="宋体" w:cs="宋体" w:hint="eastAsia"/>
          <w:b/>
          <w:kern w:val="2"/>
          <w:sz w:val="21"/>
          <w:szCs w:val="21"/>
          <w:lang w:eastAsia="zh-CN"/>
        </w:rPr>
        <w:t>（2）评审委员会有权对以谋取中标为目的的技术规格模糊响应（如有意不合理照搬照抄招标文件的技术要求）或虚假响应予以认定，并视情况经政府集中采购机构报主管部门进行处理。</w:t>
      </w:r>
    </w:p>
    <w:p>
      <w:pPr>
        <w:widowControl w:val="0"/>
        <w:spacing w:line="276" w:lineRule="auto"/>
        <w:jc w:val="both"/>
        <w:rPr>
          <w:rFonts w:ascii="宋体" w:eastAsia="宋体" w:hAnsi="宋体" w:cs="宋体"/>
          <w:bCs/>
          <w:kern w:val="2"/>
          <w:sz w:val="21"/>
          <w:szCs w:val="21"/>
          <w:lang w:eastAsia="zh-CN"/>
        </w:rPr>
      </w:pPr>
    </w:p>
    <w:p>
      <w:pPr>
        <w:keepNext/>
        <w:keepLines/>
        <w:widowControl w:val="0"/>
        <w:adjustRightInd w:val="0"/>
        <w:snapToGrid w:val="0"/>
        <w:spacing w:before="260" w:after="260" w:line="276" w:lineRule="auto"/>
        <w:jc w:val="center"/>
        <w:outlineLvl w:val="2"/>
        <w:rPr>
          <w:rFonts w:ascii="黑体" w:eastAsia="黑体" w:hAnsi="宋体"/>
          <w:bCs/>
          <w:lang w:eastAsia="zh-CN"/>
        </w:rPr>
      </w:pPr>
      <w:r>
        <w:rPr>
          <w:rFonts w:ascii="黑体" w:eastAsia="黑体" w:hAnsi="宋体" w:hint="eastAsia"/>
          <w:bCs/>
          <w:kern w:val="2"/>
          <w:szCs w:val="32"/>
          <w:lang w:eastAsia="zh-CN"/>
        </w:rPr>
        <w:t>十</w:t>
      </w:r>
      <w:r>
        <w:rPr>
          <w:rFonts w:ascii="黑体" w:eastAsia="黑体" w:hAnsi="宋体" w:hint="eastAsia"/>
          <w:bCs/>
          <w:lang w:eastAsia="zh-CN"/>
        </w:rPr>
        <w:t>三</w:t>
      </w:r>
      <w:r>
        <w:rPr>
          <w:rFonts w:ascii="黑体" w:eastAsia="黑体" w:hAnsi="宋体" w:hint="eastAsia"/>
          <w:bCs/>
          <w:lang w:eastAsia="zh-CN"/>
        </w:rPr>
        <w:t>、项目实施方案</w:t>
      </w:r>
    </w:p>
    <w:p>
      <w:pPr>
        <w:widowControl w:val="0"/>
        <w:adjustRightInd w:val="0"/>
        <w:snapToGrid w:val="0"/>
        <w:spacing w:after="120" w:line="276" w:lineRule="auto"/>
        <w:jc w:val="both"/>
        <w:rPr>
          <w:rFonts w:eastAsia="宋体"/>
          <w:b/>
          <w:bCs/>
          <w:kern w:val="2"/>
          <w:sz w:val="21"/>
          <w:szCs w:val="21"/>
          <w:lang w:eastAsia="zh-CN"/>
        </w:rPr>
      </w:pPr>
      <w:r>
        <w:rPr>
          <w:rFonts w:eastAsia="宋体" w:hint="eastAsia"/>
          <w:kern w:val="2"/>
          <w:sz w:val="21"/>
          <w:szCs w:val="21"/>
          <w:lang w:eastAsia="zh-CN"/>
        </w:rPr>
        <w:t>（特别提示：投标人须按本招标文件评标信息中“</w:t>
      </w:r>
      <w:r>
        <w:rPr>
          <w:rFonts w:ascii="宋体" w:eastAsia="宋体" w:hAnsi="宋体" w:cs="宋体" w:hint="eastAsia"/>
          <w:kern w:val="2"/>
          <w:sz w:val="21"/>
          <w:szCs w:val="21"/>
          <w:lang w:eastAsia="zh-CN"/>
        </w:rPr>
        <w:t>项目实施方案</w:t>
      </w:r>
      <w:r>
        <w:rPr>
          <w:rFonts w:eastAsia="宋体" w:hint="eastAsia"/>
          <w:kern w:val="2"/>
          <w:sz w:val="21"/>
          <w:szCs w:val="21"/>
          <w:lang w:eastAsia="zh-CN"/>
        </w:rPr>
        <w:t>”这一评分因素要求，提供证明资料）</w:t>
      </w:r>
    </w:p>
    <w:p>
      <w:pPr>
        <w:keepNext/>
        <w:keepLines/>
        <w:widowControl w:val="0"/>
        <w:adjustRightInd w:val="0"/>
        <w:snapToGrid w:val="0"/>
        <w:spacing w:before="260" w:after="260" w:line="276" w:lineRule="auto"/>
        <w:jc w:val="center"/>
        <w:outlineLvl w:val="2"/>
        <w:rPr>
          <w:rFonts w:ascii="黑体" w:eastAsia="黑体" w:hAnsi="宋体"/>
          <w:bCs/>
          <w:lang w:eastAsia="zh-CN"/>
        </w:rPr>
      </w:pPr>
      <w:r>
        <w:rPr>
          <w:rFonts w:ascii="黑体" w:eastAsia="黑体" w:hAnsi="宋体" w:hint="eastAsia"/>
          <w:bCs/>
          <w:kern w:val="2"/>
          <w:szCs w:val="32"/>
          <w:lang w:eastAsia="zh-CN"/>
        </w:rPr>
        <w:t>十</w:t>
      </w:r>
      <w:r>
        <w:rPr>
          <w:rFonts w:ascii="黑体" w:eastAsia="黑体" w:hAnsi="宋体" w:hint="eastAsia"/>
          <w:bCs/>
          <w:lang w:eastAsia="zh-CN"/>
        </w:rPr>
        <w:t>四</w:t>
      </w:r>
      <w:r>
        <w:rPr>
          <w:rFonts w:ascii="黑体" w:eastAsia="黑体" w:hAnsi="宋体" w:hint="eastAsia"/>
          <w:bCs/>
          <w:lang w:eastAsia="zh-CN"/>
        </w:rPr>
        <w:t>、质量保证措施及方案</w:t>
      </w:r>
    </w:p>
    <w:p>
      <w:pPr>
        <w:widowControl w:val="0"/>
        <w:adjustRightInd w:val="0"/>
        <w:snapToGrid w:val="0"/>
        <w:spacing w:after="120" w:line="276" w:lineRule="auto"/>
        <w:jc w:val="both"/>
        <w:rPr>
          <w:rFonts w:eastAsia="宋体"/>
          <w:b/>
          <w:bCs/>
          <w:kern w:val="2"/>
          <w:sz w:val="21"/>
          <w:szCs w:val="21"/>
          <w:lang w:eastAsia="zh-CN"/>
        </w:rPr>
      </w:pPr>
      <w:r>
        <w:rPr>
          <w:rFonts w:eastAsia="宋体" w:hint="eastAsia"/>
          <w:kern w:val="2"/>
          <w:sz w:val="21"/>
          <w:szCs w:val="21"/>
          <w:lang w:eastAsia="zh-CN"/>
        </w:rPr>
        <w:t>（特别提示：投标人须按本招标文件评标信息中“</w:t>
      </w:r>
      <w:r>
        <w:rPr>
          <w:rFonts w:ascii="宋体" w:eastAsia="宋体" w:hAnsi="宋体" w:cs="宋体" w:hint="eastAsia"/>
          <w:kern w:val="2"/>
          <w:sz w:val="21"/>
          <w:szCs w:val="21"/>
          <w:lang w:eastAsia="zh-CN"/>
        </w:rPr>
        <w:t>质量保证措施及方案</w:t>
      </w:r>
      <w:r>
        <w:rPr>
          <w:rFonts w:eastAsia="宋体" w:hint="eastAsia"/>
          <w:kern w:val="2"/>
          <w:sz w:val="21"/>
          <w:szCs w:val="21"/>
          <w:lang w:eastAsia="zh-CN"/>
        </w:rPr>
        <w:t>”这一评分因素要求，提供证明资料）</w:t>
      </w:r>
    </w:p>
    <w:p>
      <w:pPr>
        <w:keepNext/>
        <w:keepLines/>
        <w:widowControl w:val="0"/>
        <w:adjustRightInd w:val="0"/>
        <w:snapToGrid w:val="0"/>
        <w:spacing w:before="260" w:after="260" w:line="276" w:lineRule="auto"/>
        <w:jc w:val="center"/>
        <w:outlineLvl w:val="2"/>
        <w:rPr>
          <w:rFonts w:ascii="黑体" w:eastAsia="黑体" w:hAnsi="宋体"/>
          <w:bCs/>
          <w:lang w:eastAsia="zh-CN"/>
        </w:rPr>
      </w:pPr>
      <w:r>
        <w:rPr>
          <w:rFonts w:ascii="黑体" w:eastAsia="黑体" w:hAnsi="宋体" w:hint="eastAsia"/>
          <w:bCs/>
          <w:kern w:val="2"/>
          <w:szCs w:val="32"/>
          <w:lang w:eastAsia="zh-CN"/>
        </w:rPr>
        <w:t>十</w:t>
      </w:r>
      <w:r>
        <w:rPr>
          <w:rFonts w:ascii="黑体" w:eastAsia="黑体" w:hAnsi="宋体" w:hint="eastAsia"/>
          <w:bCs/>
          <w:kern w:val="2"/>
          <w:szCs w:val="32"/>
          <w:lang w:eastAsia="zh-CN"/>
        </w:rPr>
        <w:t>五</w:t>
      </w:r>
      <w:r>
        <w:rPr>
          <w:rFonts w:ascii="黑体" w:eastAsia="黑体" w:hAnsi="宋体" w:hint="eastAsia"/>
          <w:bCs/>
          <w:lang w:eastAsia="zh-CN"/>
        </w:rPr>
        <w:t>、项目分析、应对措施及相关的合理化建议</w:t>
      </w:r>
    </w:p>
    <w:p>
      <w:pPr>
        <w:widowControl w:val="0"/>
        <w:adjustRightInd w:val="0"/>
        <w:snapToGrid w:val="0"/>
        <w:spacing w:after="120" w:line="276" w:lineRule="auto"/>
        <w:jc w:val="both"/>
        <w:rPr>
          <w:rFonts w:eastAsia="宋体"/>
          <w:b/>
          <w:bCs/>
          <w:kern w:val="2"/>
          <w:sz w:val="21"/>
          <w:szCs w:val="21"/>
          <w:lang w:eastAsia="zh-CN"/>
        </w:rPr>
      </w:pPr>
      <w:r>
        <w:rPr>
          <w:rFonts w:eastAsia="宋体" w:hint="eastAsia"/>
          <w:kern w:val="2"/>
          <w:sz w:val="21"/>
          <w:szCs w:val="21"/>
          <w:lang w:eastAsia="zh-CN"/>
        </w:rPr>
        <w:t>（特别提示：投标人须按本招标文件评标信息中“</w:t>
      </w:r>
      <w:r>
        <w:rPr>
          <w:rFonts w:ascii="宋体" w:eastAsia="宋体" w:hAnsi="宋体" w:cs="宋体" w:hint="eastAsia"/>
          <w:kern w:val="2"/>
          <w:sz w:val="21"/>
          <w:szCs w:val="21"/>
          <w:lang w:eastAsia="zh-CN"/>
        </w:rPr>
        <w:t>项目分析、应对措施及相关的合理化建议</w:t>
      </w:r>
      <w:r>
        <w:rPr>
          <w:rFonts w:eastAsia="宋体" w:hint="eastAsia"/>
          <w:kern w:val="2"/>
          <w:sz w:val="21"/>
          <w:szCs w:val="21"/>
          <w:lang w:eastAsia="zh-CN"/>
        </w:rPr>
        <w:t>”这一评分因素要求，提供证明资料）</w:t>
      </w:r>
    </w:p>
    <w:p>
      <w:pPr>
        <w:keepNext/>
        <w:keepLines/>
        <w:widowControl w:val="0"/>
        <w:adjustRightInd w:val="0"/>
        <w:snapToGrid w:val="0"/>
        <w:spacing w:before="260" w:after="260" w:line="276" w:lineRule="auto"/>
        <w:jc w:val="center"/>
        <w:outlineLvl w:val="2"/>
        <w:rPr>
          <w:rFonts w:ascii="黑体" w:eastAsia="黑体" w:hAnsi="宋体"/>
          <w:bCs/>
          <w:lang w:eastAsia="zh-CN"/>
        </w:rPr>
      </w:pPr>
      <w:r>
        <w:rPr>
          <w:rFonts w:ascii="黑体" w:eastAsia="黑体" w:hAnsi="宋体" w:hint="eastAsia"/>
          <w:bCs/>
          <w:kern w:val="2"/>
          <w:szCs w:val="32"/>
          <w:lang w:eastAsia="zh-CN"/>
        </w:rPr>
        <w:t>十</w:t>
      </w:r>
      <w:r>
        <w:rPr>
          <w:rFonts w:ascii="黑体" w:eastAsia="黑体" w:hAnsi="宋体" w:hint="eastAsia"/>
          <w:bCs/>
          <w:lang w:eastAsia="zh-CN"/>
        </w:rPr>
        <w:t>六</w:t>
      </w:r>
      <w:r>
        <w:rPr>
          <w:rFonts w:ascii="黑体" w:eastAsia="黑体" w:hAnsi="宋体" w:hint="eastAsia"/>
          <w:bCs/>
          <w:lang w:eastAsia="zh-CN"/>
        </w:rPr>
        <w:t>、项目完成（服务期满）后的服务承诺</w:t>
      </w:r>
    </w:p>
    <w:p>
      <w:pPr>
        <w:widowControl w:val="0"/>
        <w:adjustRightInd w:val="0"/>
        <w:snapToGrid w:val="0"/>
        <w:spacing w:after="120" w:line="276" w:lineRule="auto"/>
        <w:jc w:val="both"/>
        <w:rPr>
          <w:rFonts w:ascii="黑体" w:eastAsia="黑体" w:hAnsi="宋体"/>
          <w:kern w:val="2"/>
          <w:szCs w:val="20"/>
          <w:lang w:eastAsia="zh-CN"/>
        </w:rPr>
      </w:pPr>
      <w:r>
        <w:rPr>
          <w:rFonts w:eastAsia="宋体" w:hint="eastAsia"/>
          <w:kern w:val="2"/>
          <w:sz w:val="21"/>
          <w:szCs w:val="21"/>
          <w:lang w:eastAsia="zh-CN"/>
        </w:rPr>
        <w:t>（特别提示：投标人须按本招标文件评标信息中“</w:t>
      </w:r>
      <w:r>
        <w:rPr>
          <w:rFonts w:ascii="宋体" w:eastAsia="宋体" w:hAnsi="宋体" w:cs="宋体" w:hint="eastAsia"/>
          <w:kern w:val="2"/>
          <w:sz w:val="21"/>
          <w:szCs w:val="21"/>
          <w:lang w:eastAsia="zh-CN"/>
        </w:rPr>
        <w:t>项目完成（服务期满）后的服务承诺</w:t>
      </w:r>
      <w:r>
        <w:rPr>
          <w:rFonts w:eastAsia="宋体" w:hint="eastAsia"/>
          <w:kern w:val="2"/>
          <w:sz w:val="21"/>
          <w:szCs w:val="21"/>
          <w:lang w:eastAsia="zh-CN"/>
        </w:rPr>
        <w:t>”这一评分因素要求，提供证明资料）</w:t>
      </w:r>
    </w:p>
    <w:p>
      <w:pPr>
        <w:widowControl w:val="0"/>
        <w:jc w:val="both"/>
        <w:rPr>
          <w:rFonts w:ascii="黑体" w:eastAsia="黑体" w:hAnsi="宋体"/>
          <w:kern w:val="2"/>
          <w:lang w:eastAsia="zh-CN"/>
        </w:rPr>
      </w:pPr>
      <w:r>
        <w:rPr>
          <w:rFonts w:ascii="黑体" w:eastAsia="黑体" w:hAnsi="宋体" w:hint="eastAsia"/>
          <w:kern w:val="2"/>
          <w:lang w:eastAsia="zh-CN"/>
        </w:rPr>
        <w:br w:type="page"/>
      </w:r>
    </w:p>
    <w:p>
      <w:pPr>
        <w:keepNext/>
        <w:keepLines/>
        <w:widowControl w:val="0"/>
        <w:spacing w:before="260" w:after="260"/>
        <w:jc w:val="center"/>
        <w:outlineLvl w:val="2"/>
        <w:rPr>
          <w:rFonts w:ascii="黑体" w:eastAsia="黑体" w:hAnsi="宋体"/>
          <w:b/>
          <w:bCs/>
          <w:kern w:val="2"/>
          <w:szCs w:val="20"/>
          <w:lang w:eastAsia="zh-CN"/>
        </w:rPr>
      </w:pPr>
      <w:r>
        <w:rPr>
          <w:rFonts w:ascii="黑体" w:eastAsia="黑体" w:hAnsi="宋体" w:hint="eastAsia"/>
          <w:kern w:val="2"/>
          <w:szCs w:val="32"/>
          <w:lang w:eastAsia="zh-CN"/>
        </w:rPr>
        <w:t>十</w:t>
      </w:r>
      <w:r>
        <w:rPr>
          <w:rFonts w:ascii="黑体" w:eastAsia="黑体" w:hAnsi="宋体" w:hint="eastAsia"/>
          <w:kern w:val="2"/>
          <w:szCs w:val="32"/>
          <w:lang w:eastAsia="zh-CN"/>
        </w:rPr>
        <w:t>七</w:t>
      </w:r>
      <w:r>
        <w:rPr>
          <w:rFonts w:ascii="黑体" w:eastAsia="黑体" w:hAnsi="宋体" w:hint="eastAsia"/>
          <w:kern w:val="2"/>
          <w:szCs w:val="32"/>
          <w:lang w:eastAsia="zh-CN"/>
        </w:rPr>
        <w:t>、投标人认为需要加以说明的其他内容（格式自定）</w:t>
      </w:r>
    </w:p>
    <w:p>
      <w:pPr>
        <w:widowControl w:val="0"/>
        <w:adjustRightInd w:val="0"/>
        <w:snapToGrid w:val="0"/>
        <w:spacing w:line="320" w:lineRule="exact"/>
        <w:jc w:val="center"/>
        <w:rPr>
          <w:rFonts w:ascii="黑体" w:eastAsia="黑体" w:hAnsi="宋体"/>
          <w:kern w:val="2"/>
          <w:szCs w:val="20"/>
          <w:lang w:eastAsia="zh-CN"/>
        </w:rPr>
      </w:pPr>
      <w:r>
        <w:rPr>
          <w:rFonts w:ascii="黑体" w:eastAsia="黑体" w:hAnsi="宋体" w:hint="eastAsia"/>
          <w:kern w:val="2"/>
          <w:szCs w:val="20"/>
          <w:lang w:eastAsia="zh-CN"/>
        </w:rPr>
        <w:t>（一）政府采购违法行为风险知悉确认书</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本公司在投标前已充分知悉以下情形为参与政府采购活动时的重大风险事项，并承诺已对下述风险提示事项重点排查，做到严谨、诚信、依法依规参与政府采购活动。</w:t>
      </w:r>
    </w:p>
    <w:p>
      <w:pPr>
        <w:widowControl w:val="0"/>
        <w:adjustRightInd w:val="0"/>
        <w:snapToGrid w:val="0"/>
        <w:spacing w:line="320" w:lineRule="exact"/>
        <w:ind w:firstLine="420" w:firstLineChars="200"/>
        <w:jc w:val="both"/>
        <w:rPr>
          <w:rFonts w:eastAsia="宋体"/>
          <w:b/>
          <w:bCs/>
          <w:kern w:val="2"/>
          <w:sz w:val="21"/>
          <w:szCs w:val="21"/>
          <w:lang w:eastAsia="zh-CN"/>
        </w:rPr>
      </w:pPr>
      <w:r>
        <w:rPr>
          <w:rFonts w:ascii="宋体" w:eastAsia="宋体" w:hAnsi="宋体" w:hint="eastAsia"/>
          <w:b/>
          <w:bCs/>
          <w:kern w:val="2"/>
          <w:sz w:val="21"/>
          <w:szCs w:val="21"/>
          <w:lang w:eastAsia="zh-CN"/>
        </w:rPr>
        <w:t>一、本公司已充分知悉</w:t>
      </w:r>
      <w:r>
        <w:rPr>
          <w:rFonts w:eastAsia="宋体" w:hint="eastAsia"/>
          <w:b/>
          <w:bCs/>
          <w:kern w:val="2"/>
          <w:sz w:val="21"/>
          <w:szCs w:val="21"/>
          <w:lang w:eastAsia="zh-CN"/>
        </w:rPr>
        <w:t>“</w:t>
      </w:r>
      <w:r>
        <w:rPr>
          <w:rFonts w:ascii="宋体" w:eastAsia="宋体" w:hAnsi="宋体" w:hint="eastAsia"/>
          <w:b/>
          <w:bCs/>
          <w:kern w:val="2"/>
          <w:sz w:val="21"/>
          <w:szCs w:val="21"/>
          <w:lang w:eastAsia="zh-CN"/>
        </w:rPr>
        <w:t>隐瞒真实情况，提供虚假资料</w:t>
      </w:r>
      <w:r>
        <w:rPr>
          <w:rFonts w:eastAsia="宋体" w:hint="eastAsia"/>
          <w:b/>
          <w:bCs/>
          <w:kern w:val="2"/>
          <w:sz w:val="21"/>
          <w:szCs w:val="21"/>
          <w:lang w:eastAsia="zh-CN"/>
        </w:rPr>
        <w:t>”</w:t>
      </w:r>
      <w:r>
        <w:rPr>
          <w:rFonts w:ascii="宋体" w:eastAsia="宋体" w:hAnsi="宋体" w:hint="eastAsia"/>
          <w:b/>
          <w:bCs/>
          <w:kern w:val="2"/>
          <w:sz w:val="21"/>
          <w:szCs w:val="21"/>
          <w:lang w:eastAsia="zh-CN"/>
        </w:rPr>
        <w:t>的法定情形，相关情形包括但不限于：</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（一）通过转让或者租借等方式从其他单位获取资格或者资质证书投标的。</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（二）由其他单位或者其他单位负责人在投标供应商编制的投标文件上加盖印章或者签字的。</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（三）项目负责人或者主要技术人员不是本单位人员的。</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（四）投标保证金不是从投标供应商基本账户转出的。</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（五）其他隐瞒真实情况、提供虚假资料的行为。</w:t>
      </w:r>
    </w:p>
    <w:p>
      <w:pPr>
        <w:widowControl w:val="0"/>
        <w:adjustRightInd w:val="0"/>
        <w:snapToGrid w:val="0"/>
        <w:spacing w:line="320" w:lineRule="exact"/>
        <w:ind w:firstLine="420" w:firstLineChars="200"/>
        <w:jc w:val="both"/>
        <w:rPr>
          <w:rFonts w:eastAsia="宋体"/>
          <w:b/>
          <w:bCs/>
          <w:kern w:val="2"/>
          <w:sz w:val="21"/>
          <w:szCs w:val="21"/>
          <w:lang w:eastAsia="zh-CN"/>
        </w:rPr>
      </w:pPr>
      <w:r>
        <w:rPr>
          <w:rFonts w:ascii="宋体" w:eastAsia="宋体" w:hAnsi="宋体" w:hint="eastAsia"/>
          <w:b/>
          <w:bCs/>
          <w:kern w:val="2"/>
          <w:sz w:val="21"/>
          <w:szCs w:val="21"/>
          <w:lang w:eastAsia="zh-CN"/>
        </w:rPr>
        <w:t>二、本公司已充分知悉</w:t>
      </w:r>
      <w:r>
        <w:rPr>
          <w:rFonts w:eastAsia="宋体" w:hint="eastAsia"/>
          <w:b/>
          <w:bCs/>
          <w:kern w:val="2"/>
          <w:sz w:val="21"/>
          <w:szCs w:val="21"/>
          <w:lang w:eastAsia="zh-CN"/>
        </w:rPr>
        <w:t>“</w:t>
      </w:r>
      <w:r>
        <w:rPr>
          <w:rFonts w:ascii="宋体" w:eastAsia="宋体" w:hAnsi="宋体" w:hint="eastAsia"/>
          <w:b/>
          <w:bCs/>
          <w:kern w:val="2"/>
          <w:sz w:val="21"/>
          <w:szCs w:val="21"/>
          <w:lang w:eastAsia="zh-CN"/>
        </w:rPr>
        <w:t>与其他采购参加人串通投标</w:t>
      </w:r>
      <w:r>
        <w:rPr>
          <w:rFonts w:eastAsia="宋体" w:hint="eastAsia"/>
          <w:b/>
          <w:bCs/>
          <w:kern w:val="2"/>
          <w:sz w:val="21"/>
          <w:szCs w:val="21"/>
          <w:lang w:eastAsia="zh-CN"/>
        </w:rPr>
        <w:t>”</w:t>
      </w:r>
      <w:r>
        <w:rPr>
          <w:rFonts w:ascii="宋体" w:eastAsia="宋体" w:hAnsi="宋体" w:hint="eastAsia"/>
          <w:b/>
          <w:bCs/>
          <w:kern w:val="2"/>
          <w:sz w:val="21"/>
          <w:szCs w:val="21"/>
          <w:lang w:eastAsia="zh-CN"/>
        </w:rPr>
        <w:t>的法定情形，相关情形包括但不限于：</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（一）投标供应商之间相互约定给予未中标的供应商利益补偿。</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（二）不同投标供应商的法定代表人、主要经营负责人、项目投标授权代表人、项目负责人、主要技术人员为同一人、属同一单位或者在同一单位缴纳社会保险。</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（三）不同投标供应商的投标文件由同一单位或者同一人编制，或者由同一人分阶段参与编制的。</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（四）不同投标供应商的投标文件或部分投标文件相互混装。</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（五）不同投标供应商的投标文件内容存在非正常一致。</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（六）由同一单位工作人员为两家以上（含两家）供应商进行同一项投标活动的。</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（七）不同投标人的投标报价呈规律性差异。</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（八）不同投标人的投标保证金从同一单位或者个人的账户转出。</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（九）主管部门依照法律、法规认定的其他情形。</w:t>
      </w:r>
    </w:p>
    <w:p>
      <w:pPr>
        <w:widowControl w:val="0"/>
        <w:adjustRightInd w:val="0"/>
        <w:snapToGrid w:val="0"/>
        <w:spacing w:line="320" w:lineRule="exact"/>
        <w:ind w:firstLine="420" w:firstLineChars="200"/>
        <w:jc w:val="both"/>
        <w:rPr>
          <w:rFonts w:eastAsia="宋体"/>
          <w:b/>
          <w:bCs/>
          <w:kern w:val="2"/>
          <w:sz w:val="21"/>
          <w:szCs w:val="21"/>
          <w:lang w:eastAsia="zh-CN"/>
        </w:rPr>
      </w:pPr>
      <w:r>
        <w:rPr>
          <w:rFonts w:ascii="宋体" w:eastAsia="宋体" w:hAnsi="宋体" w:hint="eastAsia"/>
          <w:b/>
          <w:bCs/>
          <w:kern w:val="2"/>
          <w:sz w:val="21"/>
          <w:szCs w:val="21"/>
          <w:lang w:eastAsia="zh-CN"/>
        </w:rPr>
        <w:t>三、本公司已充分知悉下列情形所对应的法律风险，并在投标前已对相关风险事项进行排查。</w:t>
      </w:r>
    </w:p>
    <w:p>
      <w:pPr>
        <w:widowControl w:val="0"/>
        <w:autoSpaceDE w:val="0"/>
        <w:autoSpaceDN w:val="0"/>
        <w:adjustRightInd w:val="0"/>
        <w:snapToGrid w:val="0"/>
        <w:spacing w:line="320" w:lineRule="exact"/>
        <w:ind w:firstLine="420" w:firstLineChars="200"/>
        <w:jc w:val="both"/>
        <w:rPr>
          <w:rFonts w:ascii="宋体" w:eastAsia="宋体" w:hAnsi="宋体"/>
          <w:b/>
          <w:bCs/>
          <w:spacing w:val="-4"/>
          <w:sz w:val="21"/>
          <w:szCs w:val="21"/>
          <w:lang w:eastAsia="zh-CN"/>
        </w:rPr>
      </w:pPr>
      <w:r>
        <w:rPr>
          <w:rFonts w:ascii="宋体" w:eastAsia="宋体" w:hAnsi="宋体" w:hint="eastAsia"/>
          <w:spacing w:val="-4"/>
          <w:sz w:val="21"/>
          <w:szCs w:val="21"/>
          <w:lang w:eastAsia="zh-CN"/>
        </w:rPr>
        <w:t>（一）对于从其他主体获取的投标资料，供应商应审慎核查，确保投标资料的真实性。</w:t>
      </w:r>
      <w:r>
        <w:rPr>
          <w:rFonts w:ascii="宋体" w:eastAsia="宋体" w:hAnsi="宋体" w:hint="eastAsia"/>
          <w:b/>
          <w:bCs/>
          <w:spacing w:val="-4"/>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（三）对于涉及安全生产、特种作业、抢险救灾、防疫等政府采购项目，供应商实施提供虚假资料、串通投标等违法行为的，主管部门将依法从严处理。</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widowControl w:val="0"/>
        <w:autoSpaceDE w:val="0"/>
        <w:autoSpaceDN w:val="0"/>
        <w:adjustRightInd w:val="0"/>
        <w:snapToGrid w:val="0"/>
        <w:spacing w:line="320" w:lineRule="exact"/>
        <w:ind w:firstLine="420" w:firstLineChars="200"/>
        <w:jc w:val="both"/>
        <w:rPr>
          <w:rFonts w:eastAsia="宋体"/>
          <w:b/>
          <w:bCs/>
          <w:kern w:val="2"/>
          <w:sz w:val="21"/>
          <w:szCs w:val="21"/>
          <w:lang w:eastAsia="zh-CN"/>
        </w:rPr>
      </w:pPr>
      <w:r>
        <w:rPr>
          <w:rFonts w:ascii="宋体" w:eastAsia="宋体" w:hAnsi="宋体" w:hint="eastAsia"/>
          <w:b/>
          <w:bCs/>
          <w:kern w:val="2"/>
          <w:sz w:val="21"/>
          <w:szCs w:val="21"/>
          <w:lang w:eastAsia="zh-CN"/>
        </w:rPr>
        <w:t>四、本公司已充分知悉政府采购违法、违规行为的法律后果。</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autoSpaceDE w:val="0"/>
        <w:autoSpaceDN w:val="0"/>
        <w:adjustRightInd w:val="0"/>
        <w:snapToGrid w:val="0"/>
        <w:spacing w:line="320" w:lineRule="exact"/>
        <w:ind w:firstLine="420" w:firstLineChars="200"/>
        <w:jc w:val="both"/>
        <w:rPr>
          <w:rFonts w:ascii="宋体" w:eastAsia="宋体" w:hAnsi="宋体"/>
          <w:b/>
          <w:bCs/>
          <w:spacing w:val="-4"/>
          <w:sz w:val="21"/>
          <w:szCs w:val="21"/>
          <w:lang w:eastAsia="zh-CN"/>
        </w:rPr>
      </w:pPr>
      <w:r>
        <w:rPr>
          <w:rFonts w:ascii="宋体" w:eastAsia="宋体" w:hAnsi="宋体" w:hint="eastAsia"/>
          <w:b/>
          <w:bCs/>
          <w:spacing w:val="-4"/>
          <w:sz w:val="21"/>
          <w:szCs w:val="21"/>
          <w:lang w:eastAsia="zh-CN"/>
        </w:rPr>
        <w:t>以下文字请投标供应商抄写并确认：“本公司已仔细阅读《政府采购违法行为风险知悉确认书》，充分知悉违法行为的法律后果，并承诺将严谨、诚信、依法依规参与政府采购活动”。</w:t>
      </w:r>
    </w:p>
    <w:tbl>
      <w:tblPr>
        <w:tblStyle w:val="TableGrid"/>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078"/>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adjustRightInd w:val="0"/>
              <w:snapToGrid w:val="0"/>
              <w:spacing w:line="320" w:lineRule="exact"/>
              <w:rPr>
                <w:rFonts w:ascii="宋体" w:hAnsi="宋体"/>
                <w:spacing w:val="-4"/>
                <w:sz w:val="20"/>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adjustRightInd w:val="0"/>
              <w:snapToGrid w:val="0"/>
              <w:spacing w:line="320" w:lineRule="exact"/>
              <w:rPr>
                <w:rFonts w:ascii="宋体" w:hAnsi="宋体"/>
                <w:spacing w:val="-4"/>
                <w:sz w:val="20"/>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adjustRightInd w:val="0"/>
              <w:snapToGrid w:val="0"/>
              <w:spacing w:line="320" w:lineRule="exact"/>
              <w:rPr>
                <w:rFonts w:ascii="宋体" w:hAnsi="宋体"/>
                <w:spacing w:val="-4"/>
                <w:sz w:val="20"/>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adjustRightInd w:val="0"/>
              <w:snapToGrid w:val="0"/>
              <w:spacing w:line="320" w:lineRule="exact"/>
              <w:rPr>
                <w:rFonts w:ascii="宋体" w:hAnsi="宋体"/>
                <w:spacing w:val="-4"/>
                <w:sz w:val="20"/>
                <w:szCs w:val="21"/>
                <w:lang w:eastAsia="zh-CN"/>
              </w:rPr>
            </w:pPr>
          </w:p>
        </w:tc>
      </w:tr>
    </w:tbl>
    <w:p>
      <w:pPr>
        <w:widowControl w:val="0"/>
        <w:wordWrap w:val="0"/>
        <w:autoSpaceDE w:val="0"/>
        <w:autoSpaceDN w:val="0"/>
        <w:adjustRightInd w:val="0"/>
        <w:snapToGrid w:val="0"/>
        <w:spacing w:line="320" w:lineRule="exact"/>
        <w:ind w:firstLine="420" w:firstLineChars="200"/>
        <w:jc w:val="right"/>
        <w:rPr>
          <w:rFonts w:ascii="宋体" w:eastAsia="宋体" w:hAnsi="宋体"/>
          <w:spacing w:val="-4"/>
          <w:sz w:val="21"/>
          <w:szCs w:val="21"/>
          <w:lang w:eastAsia="zh-CN"/>
        </w:rPr>
      </w:pPr>
      <w:r>
        <w:rPr>
          <w:rFonts w:ascii="宋体" w:eastAsia="宋体" w:hAnsi="宋体" w:hint="eastAsia"/>
          <w:spacing w:val="-4"/>
          <w:sz w:val="21"/>
          <w:szCs w:val="21"/>
          <w:lang w:eastAsia="zh-CN"/>
        </w:rPr>
        <w:t xml:space="preserve">负责人/投标授权代表签名：     </w:t>
      </w:r>
    </w:p>
    <w:p>
      <w:pPr>
        <w:widowControl w:val="0"/>
        <w:wordWrap w:val="0"/>
        <w:autoSpaceDE w:val="0"/>
        <w:autoSpaceDN w:val="0"/>
        <w:adjustRightInd w:val="0"/>
        <w:snapToGrid w:val="0"/>
        <w:spacing w:line="320" w:lineRule="exact"/>
        <w:ind w:firstLine="420" w:firstLineChars="200"/>
        <w:jc w:val="right"/>
        <w:rPr>
          <w:rFonts w:ascii="宋体" w:eastAsia="宋体" w:hAnsi="宋体"/>
          <w:spacing w:val="-4"/>
          <w:sz w:val="21"/>
          <w:szCs w:val="21"/>
          <w:lang w:eastAsia="zh-CN"/>
        </w:rPr>
      </w:pPr>
      <w:r>
        <w:rPr>
          <w:rFonts w:ascii="宋体" w:eastAsia="宋体" w:hAnsi="宋体" w:hint="eastAsia"/>
          <w:spacing w:val="-4"/>
          <w:sz w:val="21"/>
          <w:szCs w:val="21"/>
          <w:lang w:eastAsia="zh-CN"/>
        </w:rPr>
        <w:t xml:space="preserve">知悉人（公章）：     </w:t>
      </w:r>
    </w:p>
    <w:p>
      <w:pPr>
        <w:widowControl w:val="0"/>
        <w:wordWrap w:val="0"/>
        <w:autoSpaceDE w:val="0"/>
        <w:autoSpaceDN w:val="0"/>
        <w:adjustRightInd w:val="0"/>
        <w:snapToGrid w:val="0"/>
        <w:spacing w:line="320" w:lineRule="exact"/>
        <w:ind w:firstLine="420" w:firstLineChars="200"/>
        <w:jc w:val="right"/>
        <w:rPr>
          <w:rFonts w:eastAsia="宋体"/>
          <w:kern w:val="2"/>
          <w:lang w:eastAsia="zh-CN"/>
        </w:rPr>
      </w:pPr>
      <w:r>
        <w:rPr>
          <w:rFonts w:ascii="宋体" w:eastAsia="宋体" w:hAnsi="宋体" w:hint="eastAsia"/>
          <w:spacing w:val="-4"/>
          <w:sz w:val="21"/>
          <w:szCs w:val="21"/>
          <w:lang w:eastAsia="zh-CN"/>
        </w:rPr>
        <w:t xml:space="preserve">日期：     </w:t>
      </w:r>
    </w:p>
    <w:p>
      <w:pPr>
        <w:widowControl w:val="0"/>
        <w:autoSpaceDE w:val="0"/>
        <w:autoSpaceDN w:val="0"/>
        <w:adjustRightInd w:val="0"/>
        <w:snapToGrid w:val="0"/>
        <w:spacing w:line="320" w:lineRule="exact"/>
        <w:ind w:firstLine="420" w:firstLineChars="200"/>
        <w:jc w:val="left"/>
        <w:rPr>
          <w:rFonts w:ascii="宋体" w:eastAsia="宋体" w:hAnsi="宋体"/>
          <w:spacing w:val="-4"/>
          <w:sz w:val="21"/>
          <w:szCs w:val="21"/>
          <w:lang w:eastAsia="zh-CN"/>
        </w:rPr>
      </w:pPr>
      <w:r>
        <w:rPr>
          <w:rFonts w:ascii="宋体" w:eastAsia="宋体" w:hAnsi="宋体" w:hint="eastAsia"/>
          <w:spacing w:val="-4"/>
          <w:sz w:val="21"/>
          <w:szCs w:val="21"/>
          <w:lang w:eastAsia="zh-CN"/>
        </w:rPr>
        <w:t>注：1.根据《深圳市财政局关于采购文件增加风险告知有关事项的通知》（深财购〔2022〕22 号），该风险知悉确认书用于对供应商违法行为的警示，不作为供应商资格性审查及符合性审查条件。</w:t>
      </w:r>
    </w:p>
    <w:p>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Pr>
          <w:rFonts w:ascii="宋体" w:eastAsia="宋体" w:hAnsi="宋体" w:hint="eastAsia"/>
          <w:spacing w:val="-4"/>
          <w:sz w:val="21"/>
          <w:szCs w:val="21"/>
          <w:lang w:eastAsia="zh-CN"/>
        </w:rPr>
        <w:t>2.投标供应商负责人或投标授权代表签字并加盖单位公章后，扫描上传至投标文件一并提交。</w:t>
      </w:r>
    </w:p>
    <w:p>
      <w:pPr>
        <w:widowControl w:val="0"/>
        <w:adjustRightInd w:val="0"/>
        <w:snapToGrid w:val="0"/>
        <w:spacing w:after="120" w:line="276" w:lineRule="auto"/>
        <w:jc w:val="both"/>
        <w:rPr>
          <w:rFonts w:eastAsia="宋体"/>
          <w:kern w:val="2"/>
          <w:sz w:val="21"/>
          <w:lang w:eastAsia="zh-CN"/>
        </w:rPr>
      </w:pPr>
    </w:p>
    <w:p>
      <w:pPr>
        <w:widowControl w:val="0"/>
        <w:jc w:val="center"/>
        <w:rPr>
          <w:rFonts w:ascii="黑体" w:eastAsia="黑体" w:hAnsi="Calibri"/>
          <w:kern w:val="2"/>
          <w:szCs w:val="20"/>
          <w:lang w:eastAsia="zh-CN"/>
        </w:rPr>
      </w:pPr>
      <w:r>
        <w:rPr>
          <w:rFonts w:ascii="黑体" w:eastAsia="黑体" w:hAnsi="Calibri" w:cstheme="minorBidi" w:hint="eastAsia"/>
          <w:kern w:val="2"/>
          <w:szCs w:val="20"/>
          <w:lang w:eastAsia="zh-CN"/>
        </w:rPr>
        <w:t>（二）订单融资情况</w:t>
      </w:r>
    </w:p>
    <w:p>
      <w:pPr>
        <w:widowControl w:val="0"/>
        <w:ind w:firstLine="420" w:firstLineChars="200"/>
        <w:jc w:val="both"/>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1、关于政府采购订单融资政策</w:t>
      </w:r>
    </w:p>
    <w:p>
      <w:pPr>
        <w:widowControl w:val="0"/>
        <w:spacing w:after="120"/>
        <w:ind w:firstLine="420" w:firstLineChars="200"/>
        <w:jc w:val="both"/>
        <w:rPr>
          <w:rFonts w:eastAsia="宋体"/>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2、供应商账户信息</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投标人（单位全称）：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u w:val="thick"/>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p>
    <w:p>
      <w:pPr>
        <w:widowControl w:val="0"/>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注：本项填写内容作为订单融资开展的参考信息，不作为供应商资格性审查及符合性审查条件。</w:t>
      </w:r>
    </w:p>
    <w:p>
      <w:pPr>
        <w:widowControl w:val="0"/>
        <w:spacing w:after="120"/>
        <w:jc w:val="both"/>
        <w:rPr>
          <w:rFonts w:eastAsia="宋体"/>
          <w:kern w:val="2"/>
          <w:sz w:val="21"/>
          <w:lang w:eastAsia="zh-CN"/>
        </w:rPr>
      </w:pPr>
    </w:p>
    <w:p>
      <w:pPr>
        <w:widowControl w:val="0"/>
        <w:spacing w:line="360" w:lineRule="auto"/>
        <w:jc w:val="both"/>
        <w:rPr>
          <w:rFonts w:eastAsia="宋体"/>
          <w:kern w:val="2"/>
          <w:lang w:eastAsia="zh-CN"/>
        </w:rPr>
      </w:pPr>
    </w:p>
    <w:p>
      <w:pPr>
        <w:widowControl w:val="0"/>
        <w:adjustRightInd w:val="0"/>
        <w:snapToGrid w:val="0"/>
        <w:spacing w:line="276" w:lineRule="auto"/>
        <w:jc w:val="center"/>
        <w:rPr>
          <w:rFonts w:ascii="黑体" w:eastAsia="黑体" w:hAnsi="宋体"/>
          <w:kern w:val="2"/>
          <w:szCs w:val="20"/>
          <w:lang w:eastAsia="zh-CN"/>
        </w:rPr>
      </w:pPr>
      <w:r>
        <w:rPr>
          <w:rFonts w:ascii="黑体" w:eastAsia="黑体" w:hAnsi="宋体" w:hint="eastAsia"/>
          <w:kern w:val="2"/>
          <w:szCs w:val="20"/>
          <w:lang w:eastAsia="zh-CN"/>
        </w:rPr>
        <w:t>（三）投标人认为需要加以说明的其他内容</w:t>
      </w:r>
    </w:p>
    <w:p>
      <w:pPr>
        <w:widowControl w:val="0"/>
        <w:spacing w:before="60" w:beforeLines="25" w:after="60" w:afterLines="25"/>
        <w:jc w:val="both"/>
        <w:rPr>
          <w:rFonts w:ascii="宋体" w:eastAsia="宋体"/>
          <w:sz w:val="21"/>
          <w:szCs w:val="21"/>
          <w:lang w:eastAsia="zh-CN"/>
        </w:rPr>
      </w:pPr>
    </w:p>
    <w:p>
      <w:pPr>
        <w:widowControl/>
        <w:jc w:val="left"/>
        <w:rPr>
          <w:rFonts w:ascii="宋体" w:eastAsia="宋体" w:hAnsi="宋体"/>
          <w:b/>
          <w:bCs/>
          <w:szCs w:val="20"/>
          <w:lang w:eastAsia="zh-CN"/>
        </w:rPr>
      </w:pPr>
      <w:r>
        <w:rPr>
          <w:rFonts w:eastAsia="宋体"/>
          <w:kern w:val="2"/>
          <w:sz w:val="21"/>
          <w:lang w:eastAsia="zh-CN"/>
        </w:rPr>
        <w:br w:type="page"/>
      </w:r>
    </w:p>
    <w:p>
      <w:pPr>
        <w:keepNext/>
        <w:keepLines/>
        <w:widowControl w:val="0"/>
        <w:adjustRightInd w:val="0"/>
        <w:spacing w:before="260" w:after="260" w:line="276"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spacing w:line="276" w:lineRule="auto"/>
        <w:ind w:firstLine="412" w:firstLineChars="196"/>
        <w:jc w:val="both"/>
        <w:rPr>
          <w:rFonts w:eastAsia="宋体"/>
          <w:kern w:val="2"/>
          <w:sz w:val="21"/>
          <w:lang w:eastAsia="zh-CN"/>
        </w:rPr>
      </w:pPr>
    </w:p>
    <w:p>
      <w:pPr>
        <w:widowControl w:val="0"/>
        <w:jc w:val="center"/>
        <w:outlineLvl w:val="0"/>
        <w:rPr>
          <w:rFonts w:ascii="Calibri" w:eastAsia="宋体" w:hAnsi="Calibri"/>
          <w:kern w:val="2"/>
          <w:sz w:val="21"/>
          <w:szCs w:val="22"/>
          <w:lang w:eastAsia="zh-CN"/>
        </w:rPr>
      </w:pPr>
      <w:r>
        <w:rPr>
          <w:rFonts w:ascii="Calibri" w:eastAsia="宋体" w:hAnsi="Calibri" w:cstheme="minorBidi" w:hint="eastAsia"/>
          <w:b/>
          <w:kern w:val="2"/>
          <w:szCs w:val="22"/>
          <w:lang w:eastAsia="zh-CN"/>
        </w:rPr>
        <w:t>（仅供参考，具体以项目需求及采购结果为准）</w:t>
      </w:r>
    </w:p>
    <w:p>
      <w:pPr>
        <w:widowControl w:val="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甲方：</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地址：</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联系人：</w:t>
      </w:r>
      <w:r>
        <w:rPr>
          <w:rFonts w:ascii="宋体" w:eastAsia="宋体" w:hAnsi="宋体" w:cstheme="minorBidi"/>
          <w:kern w:val="2"/>
          <w:sz w:val="21"/>
          <w:szCs w:val="21"/>
          <w:lang w:eastAsia="zh-CN"/>
        </w:rPr>
        <w:t xml:space="preserve">                          </w:t>
      </w:r>
    </w:p>
    <w:p>
      <w:pPr>
        <w:widowControl w:val="0"/>
        <w:jc w:val="both"/>
        <w:rPr>
          <w:rFonts w:ascii="宋体" w:eastAsia="宋体" w:hAnsi="宋体"/>
          <w:b/>
          <w:bCs/>
          <w:kern w:val="2"/>
          <w:sz w:val="21"/>
          <w:szCs w:val="21"/>
          <w:lang w:eastAsia="zh-CN"/>
        </w:rPr>
      </w:pPr>
      <w:r>
        <w:rPr>
          <w:rFonts w:ascii="宋体" w:eastAsia="宋体" w:hAnsi="宋体" w:cstheme="minorBidi" w:hint="eastAsia"/>
          <w:kern w:val="2"/>
          <w:sz w:val="21"/>
          <w:szCs w:val="21"/>
          <w:lang w:eastAsia="zh-CN"/>
        </w:rPr>
        <w:t>联系电话：</w:t>
      </w:r>
    </w:p>
    <w:p>
      <w:pPr>
        <w:widowControl w:val="0"/>
        <w:jc w:val="both"/>
        <w:rPr>
          <w:rFonts w:ascii="宋体" w:eastAsia="宋体" w:hAnsi="宋体"/>
          <w:b/>
          <w:bCs/>
          <w:kern w:val="2"/>
          <w:sz w:val="21"/>
          <w:szCs w:val="21"/>
          <w:lang w:eastAsia="zh-CN"/>
        </w:rPr>
      </w:pPr>
      <w:r>
        <w:rPr>
          <w:rFonts w:ascii="宋体" w:eastAsia="宋体" w:hAnsi="宋体" w:cstheme="minorBidi"/>
          <w:b/>
          <w:bCs/>
          <w:kern w:val="2"/>
          <w:sz w:val="21"/>
          <w:szCs w:val="21"/>
          <w:lang w:eastAsia="zh-CN"/>
        </w:rPr>
        <w:t xml:space="preserve"> </w:t>
      </w:r>
      <w:r>
        <w:rPr>
          <w:rFonts w:ascii="宋体" w:eastAsia="宋体" w:hAnsi="宋体" w:cstheme="minorBidi" w:hint="eastAsia"/>
          <w:b/>
          <w:bCs/>
          <w:kern w:val="2"/>
          <w:sz w:val="21"/>
          <w:szCs w:val="21"/>
          <w:lang w:eastAsia="zh-CN"/>
        </w:rPr>
        <w:t xml:space="preserve"> </w:t>
      </w:r>
      <w:r>
        <w:rPr>
          <w:rFonts w:ascii="宋体" w:eastAsia="宋体" w:hAnsi="宋体" w:cstheme="minorBidi"/>
          <w:b/>
          <w:bCs/>
          <w:kern w:val="2"/>
          <w:sz w:val="21"/>
          <w:szCs w:val="21"/>
          <w:lang w:eastAsia="zh-CN"/>
        </w:rPr>
        <w:t xml:space="preserve"> </w:t>
      </w:r>
    </w:p>
    <w:p>
      <w:pPr>
        <w:widowControl w:val="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乙方：</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地址：</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联系人：</w:t>
      </w:r>
      <w:r>
        <w:rPr>
          <w:rFonts w:ascii="宋体" w:eastAsia="宋体" w:hAnsi="宋体" w:cstheme="minorBidi"/>
          <w:kern w:val="2"/>
          <w:sz w:val="21"/>
          <w:szCs w:val="21"/>
          <w:lang w:eastAsia="zh-CN"/>
        </w:rPr>
        <w:t xml:space="preserve">                          </w:t>
      </w:r>
    </w:p>
    <w:p>
      <w:pPr>
        <w:widowControl w:val="0"/>
        <w:jc w:val="both"/>
        <w:rPr>
          <w:rFonts w:ascii="宋体" w:eastAsia="宋体" w:hAnsi="宋体"/>
          <w:b/>
          <w:bCs/>
          <w:kern w:val="2"/>
          <w:sz w:val="21"/>
          <w:szCs w:val="21"/>
          <w:lang w:eastAsia="zh-CN"/>
        </w:rPr>
      </w:pPr>
      <w:r>
        <w:rPr>
          <w:rFonts w:ascii="宋体" w:eastAsia="宋体" w:hAnsi="宋体" w:cstheme="minorBidi" w:hint="eastAsia"/>
          <w:kern w:val="2"/>
          <w:sz w:val="21"/>
          <w:szCs w:val="21"/>
          <w:lang w:eastAsia="zh-CN"/>
        </w:rPr>
        <w:t>联系电话：</w:t>
      </w:r>
    </w:p>
    <w:p>
      <w:pPr>
        <w:widowControl w:val="0"/>
        <w:jc w:val="both"/>
        <w:rPr>
          <w:rFonts w:ascii="宋体" w:eastAsia="宋体" w:hAnsi="宋体"/>
          <w:kern w:val="2"/>
          <w:sz w:val="21"/>
          <w:szCs w:val="21"/>
          <w:lang w:eastAsia="zh-CN"/>
        </w:rPr>
      </w:pPr>
      <w:r>
        <w:rPr>
          <w:rFonts w:ascii="宋体" w:eastAsia="宋体" w:hAnsi="宋体" w:cstheme="minorBidi"/>
          <w:b/>
          <w:bCs/>
          <w:kern w:val="2"/>
          <w:sz w:val="21"/>
          <w:szCs w:val="21"/>
          <w:lang w:eastAsia="zh-CN"/>
        </w:rPr>
        <w:t xml:space="preserve">            </w:t>
      </w:r>
      <w:r>
        <w:rPr>
          <w:rFonts w:ascii="宋体" w:eastAsia="宋体" w:hAnsi="宋体" w:cstheme="minorBidi" w:hint="eastAsia"/>
          <w:b/>
          <w:bCs/>
          <w:kern w:val="2"/>
          <w:sz w:val="21"/>
          <w:szCs w:val="21"/>
          <w:lang w:eastAsia="zh-CN"/>
        </w:rPr>
        <w:t xml:space="preserve">          </w:t>
      </w:r>
    </w:p>
    <w:p>
      <w:pPr>
        <w:widowControl w:val="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根据深圳公共资源交易中心（深圳交易集团有限公司*</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分公司）*</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号项目结果，*</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ascii="宋体" w:eastAsia="宋体" w:hAnsi="宋体" w:cstheme="minorBidi" w:hint="eastAsia"/>
          <w:b/>
          <w:bCs/>
          <w:snapToGrid w:val="0"/>
          <w:sz w:val="21"/>
          <w:szCs w:val="21"/>
          <w:u w:val="single"/>
          <w:lang w:val="zh-CN" w:eastAsia="zh-CN"/>
        </w:rPr>
        <w:t xml:space="preserve">                      服务项目</w:t>
      </w:r>
      <w:r>
        <w:rPr>
          <w:rFonts w:ascii="宋体" w:eastAsia="宋体" w:hAnsi="宋体" w:cstheme="minorBidi" w:hint="eastAsia"/>
          <w:kern w:val="2"/>
          <w:sz w:val="21"/>
          <w:szCs w:val="21"/>
          <w:lang w:eastAsia="zh-CN"/>
        </w:rPr>
        <w:t>，达成以下合同条款：</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第一条　项目概况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项目名称：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项目内容：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服务时间：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合同价款：合同总价为元，含一切税、费。</w:t>
      </w:r>
      <w:r>
        <w:rPr>
          <w:rFonts w:ascii="Calibri" w:eastAsia="宋体" w:hAnsi="Calibri" w:cstheme="minorBidi"/>
          <w:kern w:val="2"/>
          <w:sz w:val="21"/>
          <w:szCs w:val="22"/>
          <w:lang w:eastAsia="zh-CN"/>
        </w:rPr>
        <w:t>本合同总价包括</w:t>
      </w:r>
      <w:r>
        <w:rPr>
          <w:rFonts w:ascii="宋体" w:eastAsia="宋体" w:hAnsi="宋体" w:cstheme="minorBidi" w:hint="eastAsia"/>
          <w:kern w:val="2"/>
          <w:sz w:val="21"/>
          <w:szCs w:val="21"/>
          <w:lang w:eastAsia="zh-CN"/>
        </w:rPr>
        <w:t>乙方为实施本项目*</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所需的设备仪器费、车辆租赁费、</w:t>
      </w:r>
      <w:r>
        <w:rPr>
          <w:rFonts w:ascii="Calibri" w:eastAsia="宋体" w:hAnsi="Calibri" w:cstheme="minorBidi"/>
          <w:kern w:val="2"/>
          <w:sz w:val="21"/>
          <w:szCs w:val="22"/>
          <w:lang w:eastAsia="zh-CN"/>
        </w:rPr>
        <w:t>服务</w:t>
      </w:r>
      <w:r>
        <w:rPr>
          <w:rFonts w:ascii="Calibri" w:eastAsia="宋体" w:hAnsi="Calibri" w:cstheme="minorBidi" w:hint="eastAsia"/>
          <w:kern w:val="2"/>
          <w:sz w:val="21"/>
          <w:szCs w:val="22"/>
          <w:lang w:eastAsia="zh-CN"/>
        </w:rPr>
        <w:t>和</w:t>
      </w:r>
      <w:r>
        <w:rPr>
          <w:rFonts w:ascii="Calibri" w:eastAsia="宋体" w:hAnsi="Calibri" w:cstheme="minorBidi"/>
          <w:kern w:val="2"/>
          <w:sz w:val="21"/>
          <w:szCs w:val="22"/>
          <w:lang w:eastAsia="zh-CN"/>
        </w:rPr>
        <w:t>技术费用</w:t>
      </w:r>
      <w:r>
        <w:rPr>
          <w:rFonts w:ascii="Calibri" w:eastAsia="宋体" w:hAnsi="Calibri" w:cstheme="minorBidi" w:hint="eastAsia"/>
          <w:kern w:val="2"/>
          <w:sz w:val="21"/>
          <w:szCs w:val="22"/>
          <w:lang w:eastAsia="zh-CN"/>
        </w:rPr>
        <w:t>等</w:t>
      </w:r>
      <w:r>
        <w:rPr>
          <w:rFonts w:ascii="Calibri" w:eastAsia="宋体" w:hAnsi="Calibri" w:cstheme="minorBidi"/>
          <w:kern w:val="2"/>
          <w:sz w:val="21"/>
          <w:szCs w:val="22"/>
          <w:lang w:eastAsia="zh-CN"/>
        </w:rPr>
        <w:t>，为固定不变价格，且不随通货膨胀的影响而波动。合同总价包括</w:t>
      </w:r>
      <w:r>
        <w:rPr>
          <w:rFonts w:ascii="宋体" w:eastAsia="宋体" w:hAnsi="宋体" w:cstheme="minorBidi" w:hint="eastAsia"/>
          <w:kern w:val="2"/>
          <w:sz w:val="21"/>
          <w:szCs w:val="21"/>
          <w:lang w:eastAsia="zh-CN"/>
        </w:rPr>
        <w:t>乙方</w:t>
      </w:r>
      <w:r>
        <w:rPr>
          <w:rFonts w:ascii="Calibri" w:eastAsia="宋体" w:hAnsi="Calibri" w:cstheme="minorBidi"/>
          <w:kern w:val="2"/>
          <w:sz w:val="21"/>
          <w:szCs w:val="22"/>
          <w:lang w:eastAsia="zh-CN"/>
        </w:rPr>
        <w:t>履行本合同义务所发生的一切费用和支出和以各种方式寄送技术资料到</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方办公室所发生的费用。</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支付方式：分期支付。</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第二条  服务范围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1、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3、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 其他合同未明示的相关工作。</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第三条  时间要求及阶段成果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1、合同签订天内完成项目实施的准备工作，包括工作大纲和试验细则的编制；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第四条  服务资料归属</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所有提交给</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方的服务</w:t>
      </w:r>
      <w:r>
        <w:rPr>
          <w:rFonts w:ascii="Calibri" w:eastAsia="宋体" w:hAnsi="Calibri" w:cstheme="minorBidi" w:hint="eastAsia"/>
          <w:kern w:val="2"/>
          <w:sz w:val="21"/>
          <w:szCs w:val="22"/>
          <w:lang w:eastAsia="zh-CN"/>
        </w:rPr>
        <w:t>文件</w:t>
      </w:r>
      <w:r>
        <w:rPr>
          <w:rFonts w:ascii="Calibri" w:eastAsia="宋体" w:hAnsi="Calibri" w:cstheme="minorBidi"/>
          <w:kern w:val="2"/>
          <w:sz w:val="21"/>
          <w:szCs w:val="22"/>
          <w:lang w:eastAsia="zh-CN"/>
        </w:rPr>
        <w:t>及相关的资料的最后文本，包括为履行技术服务范围所编制的图纸、计划和证明资料等，都属于</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方的财产，</w:t>
      </w:r>
      <w:r>
        <w:rPr>
          <w:rFonts w:ascii="宋体" w:eastAsia="宋体" w:hAnsi="宋体" w:cstheme="minorBidi" w:hint="eastAsia"/>
          <w:kern w:val="2"/>
          <w:sz w:val="21"/>
          <w:szCs w:val="21"/>
          <w:lang w:eastAsia="zh-CN"/>
        </w:rPr>
        <w:t>乙</w:t>
      </w:r>
      <w:r>
        <w:rPr>
          <w:rFonts w:ascii="Calibri" w:eastAsia="宋体" w:hAnsi="Calibri" w:cstheme="minorBidi"/>
          <w:kern w:val="2"/>
          <w:sz w:val="21"/>
          <w:szCs w:val="22"/>
          <w:lang w:eastAsia="zh-CN"/>
        </w:rPr>
        <w:t>方在提交给</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方之前应将上述资料进行整理归类和编制索引</w:t>
      </w:r>
      <w:r>
        <w:rPr>
          <w:rFonts w:ascii="Calibri" w:eastAsia="宋体" w:hAnsi="Calibri" w:cstheme="minorBidi" w:hint="eastAsia"/>
          <w:kern w:val="2"/>
          <w:sz w:val="21"/>
          <w:szCs w:val="22"/>
          <w:lang w:eastAsia="zh-CN"/>
        </w:rPr>
        <w:t>。</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w:t>
      </w:r>
      <w:r>
        <w:rPr>
          <w:rFonts w:ascii="宋体" w:eastAsia="宋体" w:hAnsi="宋体" w:cstheme="minorBidi" w:hint="eastAsia"/>
          <w:kern w:val="2"/>
          <w:sz w:val="21"/>
          <w:szCs w:val="21"/>
          <w:lang w:eastAsia="zh-CN"/>
        </w:rPr>
        <w:t>乙</w:t>
      </w:r>
      <w:r>
        <w:rPr>
          <w:rFonts w:ascii="Calibri" w:eastAsia="宋体" w:hAnsi="Calibri" w:cstheme="minorBidi"/>
          <w:kern w:val="2"/>
          <w:sz w:val="21"/>
          <w:szCs w:val="22"/>
          <w:lang w:eastAsia="zh-CN"/>
        </w:rPr>
        <w:t>方未经</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方的书面同意，不得将上述资料用于与本服务项目之外的任何项目</w:t>
      </w:r>
      <w:r>
        <w:rPr>
          <w:rFonts w:ascii="Calibri" w:eastAsia="宋体" w:hAnsi="Calibri" w:cstheme="minorBidi" w:hint="eastAsia"/>
          <w:kern w:val="2"/>
          <w:sz w:val="21"/>
          <w:szCs w:val="22"/>
          <w:lang w:eastAsia="zh-CN"/>
        </w:rPr>
        <w:t>。</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r>
        <w:rPr>
          <w:rFonts w:ascii="Calibri" w:eastAsia="宋体" w:hAnsi="Calibri" w:cstheme="minorBidi"/>
          <w:kern w:val="2"/>
          <w:sz w:val="21"/>
          <w:szCs w:val="22"/>
          <w:lang w:eastAsia="zh-CN"/>
        </w:rPr>
        <w:t>合同履行</w:t>
      </w:r>
      <w:r>
        <w:rPr>
          <w:rFonts w:ascii="Calibri" w:eastAsia="宋体" w:hAnsi="Calibri" w:cstheme="minorBidi" w:hint="eastAsia"/>
          <w:kern w:val="2"/>
          <w:sz w:val="21"/>
          <w:szCs w:val="22"/>
          <w:lang w:eastAsia="zh-CN"/>
        </w:rPr>
        <w:t>完毕，</w:t>
      </w:r>
      <w:r>
        <w:rPr>
          <w:rFonts w:ascii="Calibri" w:eastAsia="宋体" w:hAnsi="Calibri" w:cstheme="minorBidi"/>
          <w:kern w:val="2"/>
          <w:sz w:val="21"/>
          <w:szCs w:val="22"/>
          <w:lang w:eastAsia="zh-CN"/>
        </w:rPr>
        <w:t>未经</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方的书面同意</w:t>
      </w:r>
      <w:r>
        <w:rPr>
          <w:rFonts w:ascii="Calibri" w:eastAsia="宋体" w:hAnsi="Calibri" w:cstheme="minorBidi" w:hint="eastAsia"/>
          <w:kern w:val="2"/>
          <w:sz w:val="21"/>
          <w:szCs w:val="22"/>
          <w:lang w:eastAsia="zh-CN"/>
        </w:rPr>
        <w:t>，</w:t>
      </w:r>
      <w:r>
        <w:rPr>
          <w:rFonts w:ascii="宋体" w:eastAsia="宋体" w:hAnsi="宋体" w:cstheme="minorBidi" w:hint="eastAsia"/>
          <w:kern w:val="2"/>
          <w:sz w:val="21"/>
          <w:szCs w:val="21"/>
          <w:lang w:eastAsia="zh-CN"/>
        </w:rPr>
        <w:t>乙</w:t>
      </w:r>
      <w:r>
        <w:rPr>
          <w:rFonts w:ascii="Calibri" w:eastAsia="宋体" w:hAnsi="Calibri" w:cstheme="minorBidi"/>
          <w:kern w:val="2"/>
          <w:sz w:val="21"/>
          <w:szCs w:val="22"/>
          <w:lang w:eastAsia="zh-CN"/>
        </w:rPr>
        <w:t>方</w:t>
      </w:r>
      <w:r>
        <w:rPr>
          <w:rFonts w:ascii="Calibri" w:eastAsia="宋体" w:hAnsi="Calibri" w:cstheme="minorBidi" w:hint="eastAsia"/>
          <w:kern w:val="2"/>
          <w:sz w:val="21"/>
          <w:szCs w:val="22"/>
          <w:lang w:eastAsia="zh-CN"/>
        </w:rPr>
        <w:t>不得保存在</w:t>
      </w:r>
      <w:r>
        <w:rPr>
          <w:rFonts w:ascii="Calibri" w:eastAsia="宋体" w:hAnsi="Calibri" w:cstheme="minorBidi"/>
          <w:kern w:val="2"/>
          <w:sz w:val="21"/>
          <w:szCs w:val="22"/>
          <w:lang w:eastAsia="zh-CN"/>
        </w:rPr>
        <w:t>履行合同过程中所获得或接触到的任何</w:t>
      </w:r>
      <w:r>
        <w:rPr>
          <w:rFonts w:ascii="宋体" w:eastAsia="宋体" w:hAnsi="宋体" w:cstheme="minorBidi" w:hint="eastAsia"/>
          <w:kern w:val="2"/>
          <w:sz w:val="21"/>
          <w:szCs w:val="21"/>
          <w:lang w:eastAsia="zh-CN"/>
        </w:rPr>
        <w:t>内部数据资料。</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第五条  甲方的义务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1、负责与本服务项目有关的第三方的协调，提供开展服务工作的外部条件。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2、向乙方提供与本项目服务工作有关的资料。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3、负责组织有关专家对项目试验成果评估报告的评审。</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第六条　乙方的义务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１、应按照招标文件、投标文件要求按期完成本项目服务工作。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2、负责组织项目的实施，保证工程进度和成桥荷载试验工作质量，并满足交通部交工验收相关标准。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2"/>
          <w:lang w:eastAsia="zh-CN"/>
        </w:rPr>
        <w:t>向甲方提交检测资料等各套，一套电子版文件。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4、在履行合同期间或合同规定期限内，不得泄露与本合同规定业务活动有关的保密资料。</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第七条  甲方的权利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、有权向乙方询问工作进展情况及相关的内容。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、有权阐述对具体问题的意见和建议。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第八条  乙方的权利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、乙方在本项目服务过程中，如甲方提供的资料不明确时可向甲方提出书面报告。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、乙方在本项目服务过程中，有权对第三方提出与本服务业务有关的问题进行核对或查问。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、乙方在本项目服务过程中，有到工程现场勘察的权利。</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第九条  甲方的责任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1、应当履行本合同约定的义务，如有违反则应当承担违约责任，赔偿给乙方造成的损失。</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2、甲方向乙方提出赔偿要求不能成立时，则应补偿由于该赔偿或其他要求所导致乙方的各种费用的支出。</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第十条  乙方的责任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4、乙方向甲方提出赔偿要求不能成立时，则应补偿由于该赔偿或其他要求所导致甲方的各种费用的支出。</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第十一条  人员要求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1、参加本项目试验的人员必须具有国家和有关部门规定的相应资质。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 参加本项目的试验人员的配置必须与投标文件中的服务承诺书和试验服务组织实施方案一致。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3、必须以直属试验人员参与本项目服务，不得使用挂靠队伍。</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第十二条  乙方服务工具要求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1、乙方应配备中标项目所需的足够数量的仪器、仪表以及工具等设备。用户不需向乙方提供施工工具和仪器、仪表。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2、乙方在提供服务过程中应自备车辆。</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第十三条  保密要求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乙方在履行合同过程中所获得或接触到的任何</w:t>
      </w:r>
      <w:r>
        <w:rPr>
          <w:rFonts w:ascii="宋体" w:eastAsia="宋体" w:hAnsi="宋体" w:cstheme="minorBidi" w:hint="eastAsia"/>
          <w:kern w:val="2"/>
          <w:sz w:val="21"/>
          <w:szCs w:val="21"/>
          <w:lang w:eastAsia="zh-CN"/>
        </w:rPr>
        <w:t>内部数据资料，未经甲方同意，不得向第三方透露。</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乙方</w:t>
      </w:r>
      <w:r>
        <w:rPr>
          <w:rFonts w:ascii="宋体" w:eastAsia="宋体" w:hAnsi="宋体" w:cstheme="minorBidi" w:hint="eastAsia"/>
          <w:kern w:val="2"/>
          <w:sz w:val="21"/>
          <w:szCs w:val="21"/>
          <w:lang w:eastAsia="zh-CN"/>
        </w:rPr>
        <w:t>实施项目的一切程序都应符合国家安全、保密的有关规定和标准。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乙方</w:t>
      </w:r>
      <w:r>
        <w:rPr>
          <w:rFonts w:ascii="宋体" w:eastAsia="宋体" w:hAnsi="宋体" w:cstheme="minorBidi" w:hint="eastAsia"/>
          <w:kern w:val="2"/>
          <w:sz w:val="21"/>
          <w:szCs w:val="21"/>
          <w:lang w:eastAsia="zh-CN"/>
        </w:rPr>
        <w:t>参加项目的有关人员均需同甲方签订保密协议。</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第十四条  验收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1、下列文件的验收分为</w:t>
      </w:r>
      <w:r>
        <w:rPr>
          <w:rFonts w:ascii="宋体" w:eastAsia="宋体" w:hAnsi="宋体" w:cstheme="minorBidi" w:hint="eastAsia"/>
          <w:kern w:val="2"/>
          <w:sz w:val="21"/>
          <w:szCs w:val="21"/>
          <w:u w:val="single"/>
          <w:lang w:eastAsia="zh-CN"/>
        </w:rPr>
        <w:t xml:space="preserve">          三</w:t>
      </w:r>
      <w:r>
        <w:rPr>
          <w:rFonts w:ascii="宋体" w:eastAsia="宋体" w:hAnsi="宋体" w:cstheme="minorBidi" w:hint="eastAsia"/>
          <w:kern w:val="2"/>
          <w:sz w:val="21"/>
          <w:szCs w:val="21"/>
          <w:lang w:eastAsia="zh-CN"/>
        </w:rPr>
        <w:t>个阶段: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3、验收依据为招标文件、投标文件，国家和行业有关规范、规程和标准。</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第十五条  付款方式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1、合同签订后   天内乙方向甲方开具合法有效的发票后，甲方于   天内向乙方支付合同总价%的款项。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2、检测完成并提交评估报告后  天内，乙方向甲方开具合法有效发票后 天，甲方向乙方支付合同总价%的款项。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3、报告通过专家评审后，甲方向乙方支付合同总价%的款项。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第十六条  争议解决办法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执行本合同发生的争议，由甲乙双方协商解决，如协商不成的，应提交甲方所在地人民法院诉讼解决。</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第十七条  风险责任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１、乙方应完全地按照招标文件的要求和乙方投标文件的承诺完成本项目，出于自身财务、技术、人力等原因导致项目失败的，应承担全部责任。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2、乙方在实施荷载试验过程中应对自身的安全生产负责，若非因甲方原因发生的各种事故甲方不承担任何责任。</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第十八条  违约责任</w:t>
      </w:r>
    </w:p>
    <w:p>
      <w:pPr>
        <w:widowControl w:val="0"/>
        <w:spacing w:line="240"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１、因乙方原因，未能按规定时间完成有关工作的，每延误一天，甲方可在支付合同余款中扣除合同价款千分之一。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2、由于乙方原因造成试验成果质量低劣，不能满足大纲要求时，应继续完善试验工作，其费用由乙方承担。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第十九条  其他</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1、本协议书与下列文件一起构成合同文件，如下述文件之间有任何抵触、矛盾或歧义，应按以下顺序解释：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（1）政府采购合同协议书及其变更、补充协议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（2）政府采购合同专用条款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（3）政府采购合同通用条款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（4）中标（成交）通知书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（5）投标（响应）文件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（8）国家法律、行政法规和规章制度规定或合同约定的作为合同组成部分的其他文件。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2、下列文件均为本合同的组成部分：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（1）号招标文件、答疑及补充通知；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（3）本合同执行中共同签署的补充与修正文件。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本合同未尽事宜，双方友好协商，达成解决方案，经双方签字后，可作为本合同的有效附件。</w:t>
      </w:r>
    </w:p>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spacing w:line="360" w:lineRule="auto"/>
        <w:ind w:firstLine="56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甲方（采购人）：   （盖章）       乙方（供应商）：    （盖章）</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法定代表人：                     法定代表人： </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委托代理人：                     委托代理人：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   年     月    日         日期：   年     月    日</w:t>
      </w:r>
    </w:p>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jc w:val="left"/>
        <w:rPr>
          <w:rFonts w:ascii="宋体" w:eastAsia="宋体" w:hAnsi="宋体"/>
          <w:kern w:val="2"/>
          <w:sz w:val="21"/>
          <w:szCs w:val="21"/>
          <w:lang w:eastAsia="zh-CN"/>
        </w:rPr>
      </w:pPr>
      <w:r>
        <w:rPr>
          <w:rFonts w:ascii="宋体" w:eastAsia="宋体" w:hAnsi="宋体" w:cstheme="minorBidi"/>
          <w:kern w:val="2"/>
          <w:sz w:val="21"/>
          <w:szCs w:val="21"/>
          <w:lang w:eastAsia="zh-CN"/>
        </w:rPr>
        <w:br w:type="page"/>
      </w:r>
    </w:p>
    <w:p>
      <w:pPr>
        <w:keepNext/>
        <w:keepLines/>
        <w:widowControl w:val="0"/>
        <w:adjustRightInd w:val="0"/>
        <w:spacing w:before="120" w:beforeLines="50" w:after="120" w:afterLines="50"/>
        <w:ind w:left="562"/>
        <w:jc w:val="center"/>
        <w:textAlignment w:val="baseline"/>
        <w:outlineLvl w:val="1"/>
        <w:rPr>
          <w:rFonts w:eastAsia="宋体"/>
          <w:b/>
          <w:bCs/>
          <w:sz w:val="28"/>
          <w:szCs w:val="28"/>
          <w:lang w:eastAsia="zh-CN"/>
        </w:rPr>
      </w:pPr>
      <w:r>
        <w:rPr>
          <w:rFonts w:eastAsia="宋体"/>
          <w:b/>
          <w:bCs/>
          <w:sz w:val="28"/>
          <w:szCs w:val="28"/>
          <w:lang w:eastAsia="zh-CN"/>
        </w:rPr>
        <w:t>第二册  通用条款（公开招标）</w:t>
      </w:r>
    </w:p>
    <w:p>
      <w:pPr>
        <w:keepNext/>
        <w:keepLines/>
        <w:widowControl w:val="0"/>
        <w:numPr>
          <w:ilvl w:val="0"/>
          <w:numId w:val="6"/>
        </w:numPr>
        <w:tabs>
          <w:tab w:val="left" w:pos="720"/>
        </w:tabs>
        <w:adjustRightInd w:val="0"/>
        <w:spacing w:before="120" w:beforeLines="50" w:after="120" w:afterLines="50"/>
        <w:ind w:left="562" w:hanging="562"/>
        <w:jc w:val="center"/>
        <w:textAlignment w:val="baseline"/>
        <w:outlineLvl w:val="1"/>
        <w:rPr>
          <w:rFonts w:eastAsia="宋体"/>
          <w:b/>
          <w:bCs/>
          <w:sz w:val="28"/>
          <w:szCs w:val="28"/>
          <w:lang w:eastAsia="zh-CN"/>
        </w:rPr>
      </w:pPr>
      <w:bookmarkStart w:id="47" w:name="_Hlk72399513"/>
      <w:r>
        <w:rPr>
          <w:rFonts w:eastAsia="宋体"/>
          <w:b/>
          <w:bCs/>
          <w:sz w:val="28"/>
          <w:szCs w:val="28"/>
          <w:lang w:eastAsia="zh-CN"/>
        </w:rPr>
        <w:t>总则</w:t>
      </w:r>
    </w:p>
    <w:bookmarkEnd w:id="47"/>
    <w:p>
      <w:pPr>
        <w:widowControl w:val="0"/>
        <w:spacing w:line="276" w:lineRule="auto"/>
        <w:jc w:val="both"/>
        <w:rPr>
          <w:rFonts w:eastAsia="黑体"/>
          <w:kern w:val="2"/>
          <w:lang w:eastAsia="zh-CN"/>
        </w:rPr>
      </w:pPr>
      <w:r>
        <w:rPr>
          <w:rFonts w:eastAsia="黑体"/>
          <w:kern w:val="2"/>
          <w:lang w:eastAsia="zh-CN"/>
        </w:rPr>
        <w:t>1. 通用条款说明</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1.1政府集中采购机构发出招标文件通用条款版本，列出深圳市政府采购项目进行招标采购所适用的通用条款内容。</w:t>
      </w:r>
      <w:bookmarkStart w:id="48" w:name="_Hlk72399729"/>
      <w:r>
        <w:rPr>
          <w:rFonts w:eastAsia="宋体"/>
          <w:kern w:val="2"/>
          <w:sz w:val="21"/>
          <w:szCs w:val="21"/>
          <w:lang w:eastAsia="zh-CN"/>
        </w:rPr>
        <w:t>如有需要，政府集中采购机构可以对通用条款的内容进行补充。</w:t>
      </w:r>
      <w:bookmarkEnd w:id="48"/>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1.2招标文件分为第一册“专用条款”和第二册“通用条款”。</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1.4“通用条款”是适用于政府采购公开招标项目的基础性条款，具有普遍性和通用性。</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1.5 “专用条款”和“通用条款”表述不一致或有冲突时，以“专用条款”为准。</w:t>
      </w:r>
    </w:p>
    <w:p>
      <w:pPr>
        <w:widowControl w:val="0"/>
        <w:spacing w:line="276" w:lineRule="auto"/>
        <w:jc w:val="both"/>
        <w:rPr>
          <w:rFonts w:eastAsia="黑体"/>
          <w:kern w:val="2"/>
          <w:lang w:eastAsia="zh-CN"/>
        </w:rPr>
      </w:pPr>
      <w:r>
        <w:rPr>
          <w:rFonts w:eastAsia="黑体"/>
          <w:kern w:val="2"/>
          <w:lang w:eastAsia="zh-CN"/>
        </w:rPr>
        <w:t>2．招标说明</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本项目</w:t>
      </w:r>
      <w:r>
        <w:rPr>
          <w:rFonts w:eastAsia="宋体" w:hint="eastAsia"/>
          <w:kern w:val="2"/>
          <w:sz w:val="21"/>
          <w:szCs w:val="21"/>
          <w:lang w:eastAsia="zh-CN"/>
        </w:rPr>
        <w:t>为自行采购项目，参照</w:t>
      </w:r>
      <w:r>
        <w:rPr>
          <w:rFonts w:eastAsia="宋体"/>
          <w:kern w:val="2"/>
          <w:sz w:val="21"/>
          <w:szCs w:val="21"/>
          <w:lang w:eastAsia="zh-CN"/>
        </w:rPr>
        <w:t>《深圳经济特区政府采购条例》、《深圳经济特区政府采购条例实施细则》及政府采购其他法律法规，通过公开招标方式确定中标供应商。</w:t>
      </w:r>
    </w:p>
    <w:p>
      <w:pPr>
        <w:widowControl w:val="0"/>
        <w:spacing w:line="276" w:lineRule="auto"/>
        <w:jc w:val="both"/>
        <w:rPr>
          <w:rFonts w:eastAsia="黑体"/>
          <w:kern w:val="2"/>
          <w:lang w:eastAsia="zh-CN"/>
        </w:rPr>
      </w:pPr>
      <w:r>
        <w:rPr>
          <w:rFonts w:eastAsia="黑体"/>
          <w:kern w:val="2"/>
          <w:lang w:eastAsia="zh-CN"/>
        </w:rPr>
        <w:t>3．定义</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招标文件中下列术语应解释为：</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3.1“采购人”：指利用财政性资金依法进行政府采购的国家机关、事业单位、团体组织；</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3.2 “政府集中采购机构”</w:t>
      </w:r>
      <w:r>
        <w:rPr>
          <w:rFonts w:eastAsia="宋体"/>
          <w:kern w:val="2"/>
          <w:sz w:val="21"/>
          <w:szCs w:val="21"/>
          <w:shd w:val="clear" w:color="auto" w:fill="FFFFFF"/>
          <w:lang w:eastAsia="zh-CN"/>
        </w:rPr>
        <w:t>是指市政府设立的，组织实施政府采购项目，并对政府采购活动提供服务的专门机构；</w:t>
      </w:r>
      <w:r>
        <w:rPr>
          <w:rFonts w:eastAsia="宋体"/>
          <w:kern w:val="2"/>
          <w:sz w:val="21"/>
          <w:szCs w:val="21"/>
          <w:lang w:eastAsia="zh-CN"/>
        </w:rPr>
        <w:t>本文件所述的“政府集中采购机构”指</w:t>
      </w:r>
      <w:r>
        <w:rPr>
          <w:rFonts w:eastAsia="宋体"/>
          <w:b/>
          <w:bCs/>
          <w:kern w:val="2"/>
          <w:sz w:val="21"/>
          <w:szCs w:val="21"/>
          <w:lang w:eastAsia="zh-CN"/>
        </w:rPr>
        <w:t>深圳公共资源交易中心</w:t>
      </w:r>
      <w:r>
        <w:rPr>
          <w:rFonts w:eastAsia="宋体"/>
          <w:kern w:val="2"/>
          <w:sz w:val="21"/>
          <w:szCs w:val="21"/>
          <w:lang w:eastAsia="zh-CN"/>
        </w:rPr>
        <w:t>；</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3.3“投标人”，即供应商，指参加投标竞争并愿意按照招标文件要求向采购人提供货物、工程或者服务的依法成立的法人、其他组织或者自然人；</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3.4“中标候选人”即“候选中标供应商”</w:t>
      </w:r>
      <w:r>
        <w:rPr>
          <w:rFonts w:ascii="宋体" w:eastAsia="宋体" w:hint="eastAsia"/>
          <w:sz w:val="21"/>
          <w:szCs w:val="21"/>
          <w:lang w:eastAsia="zh-CN"/>
        </w:rPr>
        <w:t>；</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3.5“评审委员会”是依据《深圳经济特区政府采购条例》、《深圳经济特区政府采购条例实施细则》等有关规定组建的专门负责本次招标其评审工作的临时性机构；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3.6“日期”指公历日；</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3.7“合同”指由本次招标所产生的合同或合约文件；</w:t>
      </w:r>
    </w:p>
    <w:p>
      <w:pPr>
        <w:widowControl w:val="0"/>
        <w:suppressAutoHyphens/>
        <w:wordWrap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3.8“电子投标文件”指利用</w:t>
      </w:r>
      <w:r>
        <w:rPr>
          <w:rFonts w:eastAsia="宋体"/>
          <w:b/>
          <w:bCs/>
          <w:color w:val="FF0000"/>
          <w:kern w:val="2"/>
          <w:sz w:val="21"/>
          <w:szCs w:val="21"/>
          <w:lang w:eastAsia="zh-CN"/>
        </w:rPr>
        <w:t>深圳公共资源交易中心（深圳交易集团有限公司</w:t>
      </w:r>
      <w:r>
        <w:rPr>
          <w:rFonts w:eastAsia="宋体" w:hint="eastAsia"/>
          <w:b/>
          <w:bCs/>
          <w:color w:val="FF0000"/>
          <w:kern w:val="2"/>
          <w:sz w:val="21"/>
          <w:szCs w:val="21"/>
          <w:lang w:eastAsia="zh-CN"/>
        </w:rPr>
        <w:t>南山</w:t>
      </w:r>
      <w:r>
        <w:rPr>
          <w:rFonts w:eastAsia="宋体"/>
          <w:b/>
          <w:bCs/>
          <w:color w:val="FF0000"/>
          <w:kern w:val="2"/>
          <w:sz w:val="21"/>
          <w:szCs w:val="21"/>
          <w:lang w:eastAsia="zh-CN"/>
        </w:rPr>
        <w:t>分公司）</w:t>
      </w:r>
      <w:r>
        <w:rPr>
          <w:rFonts w:eastAsia="宋体"/>
          <w:kern w:val="2"/>
          <w:sz w:val="21"/>
          <w:szCs w:val="21"/>
          <w:lang w:eastAsia="zh-CN"/>
        </w:rPr>
        <w:t>网站提供的</w:t>
      </w:r>
      <w:r>
        <w:rPr>
          <w:rFonts w:ascii="宋体" w:eastAsia="宋体" w:hAnsi="宋体" w:cstheme="minorBidi" w:hint="eastAsia"/>
          <w:kern w:val="2"/>
          <w:sz w:val="21"/>
          <w:szCs w:val="21"/>
          <w:lang w:eastAsia="zh-CN"/>
        </w:rPr>
        <w:t>深圳政府采购自行采购系统投标文件制作专用软件</w:t>
      </w:r>
      <w:r>
        <w:rPr>
          <w:rFonts w:eastAsia="宋体" w:hint="eastAsia"/>
          <w:kern w:val="2"/>
          <w:sz w:val="21"/>
          <w:lang w:eastAsia="zh-CN"/>
        </w:rPr>
        <w:t>（以下简称：投标文件制作软件）制作并加密的投标文件，适用于网上投标；（投标文件制作软件可从“下载地址：</w:t>
      </w:r>
      <w:r>
        <w:rPr>
          <w:rFonts w:ascii="宋体" w:eastAsia="宋体" w:hAnsi="宋体" w:cstheme="minorBidi" w:hint="eastAsia"/>
          <w:kern w:val="2"/>
          <w:sz w:val="21"/>
          <w:szCs w:val="21"/>
          <w:lang w:eastAsia="zh-CN"/>
        </w:rPr>
        <w:t>https://www.szggzy.com/jyfw/details.html?contentId=2053275</w:t>
      </w:r>
      <w:r>
        <w:rPr>
          <w:rFonts w:eastAsia="宋体" w:hint="eastAsia"/>
          <w:kern w:val="2"/>
          <w:sz w:val="21"/>
          <w:lang w:eastAsia="zh-CN"/>
        </w:rPr>
        <w:t>下载）</w:t>
      </w:r>
      <w:r>
        <w:rPr>
          <w:rFonts w:eastAsia="宋体"/>
          <w:kern w:val="2"/>
          <w:sz w:val="21"/>
          <w:szCs w:val="21"/>
          <w:lang w:eastAsia="zh-CN"/>
        </w:rPr>
        <w:t>；</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3.9“网上投标”指通过</w:t>
      </w:r>
      <w:r>
        <w:rPr>
          <w:rFonts w:ascii="宋体" w:eastAsia="宋体" w:hAnsi="宋体" w:cstheme="minorBidi" w:hint="eastAsia"/>
          <w:b/>
          <w:bCs/>
          <w:color w:val="FF0000"/>
          <w:kern w:val="2"/>
          <w:sz w:val="21"/>
          <w:szCs w:val="21"/>
          <w:lang w:eastAsia="zh-CN"/>
        </w:rPr>
        <w:t>深圳政府采购自行采购系统</w:t>
      </w:r>
      <w:r>
        <w:rPr>
          <w:rFonts w:eastAsia="宋体"/>
          <w:kern w:val="2"/>
          <w:sz w:val="21"/>
          <w:szCs w:val="21"/>
          <w:lang w:eastAsia="zh-CN"/>
        </w:rPr>
        <w:t>网站上传电子投标文件；</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3.10招标文件中的标题或题名仅起引导作用，而不应视为对招标文件内容的理解和解释。</w:t>
      </w:r>
    </w:p>
    <w:p>
      <w:pPr>
        <w:widowControl w:val="0"/>
        <w:spacing w:line="276" w:lineRule="auto"/>
        <w:jc w:val="both"/>
        <w:rPr>
          <w:rFonts w:eastAsia="黑体"/>
          <w:kern w:val="2"/>
          <w:lang w:eastAsia="zh-CN"/>
        </w:rPr>
      </w:pPr>
      <w:r>
        <w:rPr>
          <w:rFonts w:eastAsia="黑体"/>
          <w:kern w:val="2"/>
          <w:lang w:eastAsia="zh-CN"/>
        </w:rPr>
        <w:t xml:space="preserve">4. </w:t>
      </w:r>
      <w:bookmarkStart w:id="49" w:name="_Hlk72398643"/>
      <w:r>
        <w:rPr>
          <w:rFonts w:eastAsia="黑体"/>
          <w:kern w:val="2"/>
          <w:lang w:eastAsia="zh-CN"/>
        </w:rPr>
        <w:t>政府采购供应商责任</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4.1欢迎诚信、有实力和有社会责任心的供应商参与政府采购事业。</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spacing w:line="276" w:lineRule="auto"/>
        <w:jc w:val="both"/>
        <w:rPr>
          <w:rFonts w:eastAsia="黑体"/>
          <w:kern w:val="2"/>
          <w:lang w:eastAsia="zh-CN"/>
        </w:rPr>
      </w:pPr>
      <w:r>
        <w:rPr>
          <w:rFonts w:eastAsia="黑体"/>
          <w:kern w:val="2"/>
          <w:lang w:eastAsia="zh-CN"/>
        </w:rPr>
        <w:t>5．投标人参加政府采购的条件</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5.1投标人应在投标前到</w:t>
      </w:r>
      <w:r>
        <w:rPr>
          <w:rFonts w:eastAsia="宋体"/>
          <w:b/>
          <w:bCs/>
          <w:kern w:val="2"/>
          <w:sz w:val="21"/>
          <w:szCs w:val="21"/>
          <w:lang w:eastAsia="zh-CN"/>
        </w:rPr>
        <w:t>深圳公共资源交易中心（具体在深圳交易集团有限公司政府采购业务分公司进行办理）</w:t>
      </w:r>
      <w:r>
        <w:rPr>
          <w:rFonts w:eastAsia="宋体"/>
          <w:kern w:val="2"/>
          <w:sz w:val="21"/>
          <w:szCs w:val="21"/>
          <w:lang w:eastAsia="zh-CN"/>
        </w:rPr>
        <w:t>进行注册并办理电子密钥。</w:t>
      </w:r>
      <w:r>
        <w:rPr>
          <w:rFonts w:eastAsia="宋体" w:hint="eastAsia"/>
          <w:kern w:val="2"/>
          <w:sz w:val="21"/>
          <w:szCs w:val="21"/>
          <w:lang w:eastAsia="zh-CN"/>
        </w:rPr>
        <w:t>《供应商注册及信息变更指引》详见www.szggzy.com网站“交易服务指南-政府采购”。</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5.2投标人资格要求</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参加本项目的投标人应具备的资格条件详见本项目招标公告中 “投标人资格要求”（即申请人的资格要求）的内容。</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5.3联合体投标</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5.3.1</w:t>
      </w:r>
      <w:r>
        <w:rPr>
          <w:rFonts w:eastAsia="宋体" w:hint="eastAsia"/>
          <w:kern w:val="2"/>
          <w:sz w:val="21"/>
          <w:szCs w:val="21"/>
          <w:lang w:eastAsia="zh-CN"/>
        </w:rPr>
        <w:t xml:space="preserve">  </w:t>
      </w:r>
      <w:r>
        <w:rPr>
          <w:rFonts w:eastAsia="宋体"/>
          <w:kern w:val="2"/>
          <w:sz w:val="21"/>
          <w:szCs w:val="21"/>
          <w:lang w:eastAsia="zh-CN"/>
        </w:rPr>
        <w:t>以下有关联合体投标的条款仅适用于允许投标人组成联合体投标的项目。</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5.3.2  由两个或两个以上的自然人、法人或者其他组织可以组成一个联合体，以一个供应商的身份共同投标时，应符合以下原则：</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（1）投标联合体各方参加政府采购活动应当具备下列条件：</w:t>
      </w:r>
    </w:p>
    <w:p>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1、具有独立承担民事责任的能力；</w:t>
      </w:r>
    </w:p>
    <w:p>
      <w:pPr>
        <w:widowControl w:val="0"/>
        <w:spacing w:line="276" w:lineRule="auto"/>
        <w:ind w:left="420" w:firstLine="412" w:firstLineChars="196"/>
        <w:jc w:val="both"/>
        <w:rPr>
          <w:rFonts w:eastAsia="宋体"/>
          <w:kern w:val="2"/>
          <w:sz w:val="21"/>
          <w:lang w:eastAsia="zh-CN"/>
        </w:rPr>
      </w:pPr>
      <w:r>
        <w:rPr>
          <w:rFonts w:eastAsia="宋体"/>
          <w:kern w:val="2"/>
          <w:sz w:val="21"/>
          <w:lang w:eastAsia="zh-CN"/>
        </w:rPr>
        <w:t>2、有良好的商业信誉和健全的财务会计制度；</w:t>
      </w:r>
    </w:p>
    <w:p>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3、具有履行合同所必需的设备和专业技术能力；</w:t>
      </w:r>
    </w:p>
    <w:p>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4、有依法缴纳税收和社会保障资金的良好记录；</w:t>
      </w:r>
    </w:p>
    <w:p>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5、参加政府采购活动前三年内，在经营活动中没有重大违法记录；</w:t>
      </w:r>
    </w:p>
    <w:p>
      <w:pPr>
        <w:widowControl w:val="0"/>
        <w:spacing w:line="276" w:lineRule="auto"/>
        <w:ind w:left="480" w:firstLine="412" w:leftChars="200" w:firstLineChars="196"/>
        <w:jc w:val="both"/>
        <w:rPr>
          <w:rFonts w:eastAsia="宋体"/>
          <w:kern w:val="2"/>
          <w:sz w:val="21"/>
          <w:lang w:eastAsia="zh-CN"/>
        </w:rPr>
      </w:pPr>
      <w:r>
        <w:rPr>
          <w:rFonts w:eastAsia="宋体"/>
          <w:kern w:val="2"/>
          <w:sz w:val="21"/>
          <w:lang w:eastAsia="zh-CN"/>
        </w:rPr>
        <w:t>6、法律、行政法规规定的其他条件。</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（2）在投标截止前，投标联合体各方均应注册成</w:t>
      </w:r>
      <w:r>
        <w:rPr>
          <w:rFonts w:ascii="宋体" w:eastAsia="宋体" w:hAnsi="宋体" w:cstheme="minorBidi" w:hint="eastAsia"/>
          <w:kern w:val="2"/>
          <w:sz w:val="21"/>
          <w:szCs w:val="21"/>
          <w:lang w:eastAsia="zh-CN"/>
        </w:rPr>
        <w:t>深圳政府采购自行采购系统</w:t>
      </w:r>
      <w:r>
        <w:rPr>
          <w:rFonts w:eastAsia="宋体"/>
          <w:kern w:val="2"/>
          <w:sz w:val="21"/>
          <w:lang w:eastAsia="zh-CN"/>
        </w:rPr>
        <w:t>供应商；</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（3）联合体中有同类资质的供应商按照联合体分工承担相同工作的，应当按照资质等级较低的供应商确定资质等级；</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（5）投标人的投标文件及中标后签署的合同协议对联合体各方均具法律约束力；</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（6）联合体各方应当签订联合体投标协议，明确约定各方拟承担的工作和责任，并将该协议随投标文件一并递交给政府集中采购机构；</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（7）联合体中标后，联合体各方应当共同与采购人签订合同，就中标项目向采购人承担连带责任；</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val="0"/>
        <w:spacing w:line="276" w:lineRule="auto"/>
        <w:ind w:firstLine="412" w:firstLineChars="196"/>
        <w:jc w:val="both"/>
        <w:rPr>
          <w:rFonts w:eastAsia="宋体"/>
          <w:kern w:val="2"/>
          <w:sz w:val="21"/>
          <w:szCs w:val="21"/>
          <w:lang w:eastAsia="zh-CN"/>
        </w:rPr>
      </w:pPr>
      <w:r>
        <w:rPr>
          <w:rFonts w:eastAsia="宋体"/>
          <w:kern w:val="2"/>
          <w:sz w:val="21"/>
          <w:lang w:eastAsia="zh-CN"/>
        </w:rPr>
        <w:t>（9）本通用条款中“投标人”一词亦指联合体各方，专用条款另有规定或说明的除外。</w:t>
      </w:r>
    </w:p>
    <w:p>
      <w:pPr>
        <w:widowControl w:val="0"/>
        <w:spacing w:line="276" w:lineRule="auto"/>
        <w:jc w:val="both"/>
        <w:rPr>
          <w:rFonts w:eastAsia="黑体"/>
          <w:kern w:val="2"/>
          <w:lang w:eastAsia="zh-CN"/>
        </w:rPr>
      </w:pPr>
      <w:r>
        <w:rPr>
          <w:rFonts w:eastAsia="黑体"/>
          <w:kern w:val="2"/>
          <w:lang w:eastAsia="zh-CN"/>
        </w:rPr>
        <w:t>6．政策导向</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6.1政府采购扶持贫困地区、中小企业、监狱企业和残疾人福利性单位发展，支持节能减排、环境保护。</w:t>
      </w:r>
    </w:p>
    <w:p>
      <w:pPr>
        <w:widowControl w:val="0"/>
        <w:spacing w:line="276" w:lineRule="auto"/>
        <w:ind w:firstLine="405"/>
        <w:jc w:val="both"/>
        <w:rPr>
          <w:rFonts w:eastAsia="宋体"/>
          <w:kern w:val="2"/>
          <w:sz w:val="21"/>
          <w:lang w:eastAsia="zh-CN"/>
        </w:rPr>
      </w:pPr>
      <w:r>
        <w:rPr>
          <w:rFonts w:eastAsia="宋体"/>
          <w:kern w:val="2"/>
          <w:sz w:val="21"/>
          <w:lang w:eastAsia="zh-CN"/>
        </w:rPr>
        <w:t>6.2本项目落实深圳市政府采购供应商诚信管理政策要求。</w:t>
      </w:r>
    </w:p>
    <w:p>
      <w:pPr>
        <w:widowControl w:val="0"/>
        <w:ind w:firstLine="405"/>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6.3本项目支持投标人性别平等的相关政策。</w:t>
      </w:r>
    </w:p>
    <w:p>
      <w:pPr>
        <w:widowControl w:val="0"/>
        <w:spacing w:line="276" w:lineRule="auto"/>
        <w:jc w:val="both"/>
        <w:rPr>
          <w:rFonts w:eastAsia="黑体"/>
          <w:kern w:val="2"/>
          <w:lang w:eastAsia="zh-CN"/>
        </w:rPr>
      </w:pPr>
      <w:r>
        <w:rPr>
          <w:rFonts w:eastAsia="黑体"/>
          <w:kern w:val="2"/>
          <w:lang w:eastAsia="zh-CN"/>
        </w:rPr>
        <w:t>7</w:t>
      </w:r>
      <w:r>
        <w:rPr>
          <w:rFonts w:eastAsia="黑体" w:hint="eastAsia"/>
          <w:kern w:val="2"/>
          <w:lang w:eastAsia="zh-CN"/>
        </w:rPr>
        <w:t>．</w:t>
      </w:r>
      <w:r>
        <w:rPr>
          <w:rFonts w:eastAsia="黑体"/>
          <w:kern w:val="2"/>
          <w:lang w:eastAsia="zh-CN"/>
        </w:rPr>
        <w:t>本项目若涉及采购货物，则合格的货物及相应服务应满足以下要求：</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7.1必须是全新、未使用过的原装合格正品（包括零部件），如安装或配置了软件的，须为正版软件。</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7.2国产的货物及其有关服务必须符合中华人民共和国的设计、制造生产标准及行业标准。招标公告有其他要求的，亦应符合其要求。</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7.4投标人</w:t>
      </w:r>
      <w:bookmarkStart w:id="50" w:name="_Hlk72152753"/>
      <w:r>
        <w:rPr>
          <w:rFonts w:eastAsia="宋体"/>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7.5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7.6工期要求：投标人在投标时对其所投项目应提交交货进度、交货计划等，在合同规定的时间内完成项目实施工作。</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7.7投标人必须承担的设备运输、安装调试、验收检测和提供设备操作说明书、图纸等其他相关及类似的义务。</w:t>
      </w:r>
    </w:p>
    <w:p>
      <w:pPr>
        <w:widowControl w:val="0"/>
        <w:spacing w:line="276" w:lineRule="auto"/>
        <w:jc w:val="both"/>
        <w:rPr>
          <w:rFonts w:eastAsia="黑体"/>
          <w:kern w:val="2"/>
          <w:lang w:eastAsia="zh-CN"/>
        </w:rPr>
      </w:pPr>
      <w:r>
        <w:rPr>
          <w:rFonts w:eastAsia="黑体"/>
          <w:kern w:val="2"/>
          <w:lang w:eastAsia="zh-CN"/>
        </w:rPr>
        <w:t>8．投标费用</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不论投标结果如何，投标人应承担其编制投标文件与递交投标文件所涉及的一切费用。</w:t>
      </w:r>
    </w:p>
    <w:p>
      <w:pPr>
        <w:widowControl w:val="0"/>
        <w:spacing w:line="276" w:lineRule="auto"/>
        <w:jc w:val="both"/>
        <w:rPr>
          <w:rFonts w:eastAsia="黑体"/>
          <w:kern w:val="2"/>
          <w:lang w:eastAsia="zh-CN"/>
        </w:rPr>
      </w:pPr>
      <w:r>
        <w:rPr>
          <w:rFonts w:eastAsia="黑体"/>
          <w:kern w:val="2"/>
          <w:lang w:eastAsia="zh-CN"/>
        </w:rPr>
        <w:t>9．踏勘现场</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9.2投标人及其人员经过采购人的允许，可以进入采购人的项目现场踏勘。若招标文件要求投标人于统一时间地点踏勘现场的，投标人应当按时前往。</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9.3采购人应当通过政府集中采购机构向投标人提供有关现场的书面资料和数据。</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9.4任何人或任何组织在踏勘现场时向投标人提供的任何书面资料或口头承诺，未经政府集中采购机构在网上发布或书面通知，均作无效处理。</w:t>
      </w:r>
    </w:p>
    <w:p>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9.5未参与踏勘现场不作为否定投标人资格的理由。</w:t>
      </w:r>
    </w:p>
    <w:p>
      <w:pPr>
        <w:widowControl w:val="0"/>
        <w:spacing w:line="276" w:lineRule="auto"/>
        <w:jc w:val="both"/>
        <w:rPr>
          <w:rFonts w:eastAsia="黑体"/>
          <w:kern w:val="2"/>
          <w:lang w:eastAsia="zh-CN"/>
        </w:rPr>
      </w:pPr>
      <w:r>
        <w:rPr>
          <w:rFonts w:eastAsia="黑体"/>
          <w:kern w:val="2"/>
          <w:lang w:eastAsia="zh-CN"/>
        </w:rPr>
        <w:t>10．标前会议</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10.1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spacing w:line="276" w:lineRule="auto"/>
        <w:ind w:firstLine="412" w:firstLineChars="196"/>
        <w:jc w:val="both"/>
        <w:rPr>
          <w:rFonts w:eastAsia="宋体"/>
          <w:kern w:val="2"/>
          <w:sz w:val="21"/>
          <w:szCs w:val="21"/>
          <w:lang w:eastAsia="zh-CN"/>
        </w:rPr>
      </w:pPr>
      <w:r>
        <w:rPr>
          <w:rFonts w:eastAsia="宋体"/>
          <w:kern w:val="2"/>
          <w:sz w:val="21"/>
          <w:lang w:eastAsia="zh-CN"/>
        </w:rPr>
        <w:t>10.2任何人或任何组织在标前会议时向投标人提供的任何书面资料或口头承诺，未经政府集中采购机构在网上发布或书面通知，均作无效处理。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10.3未参与标前会议不作为否定投标人资格的理由。</w:t>
      </w:r>
    </w:p>
    <w:bookmarkEnd w:id="49"/>
    <w:p>
      <w:pPr>
        <w:keepNext/>
        <w:keepLines/>
        <w:widowControl w:val="0"/>
        <w:numPr>
          <w:ilvl w:val="0"/>
          <w:numId w:val="6"/>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招标文件</w:t>
      </w:r>
    </w:p>
    <w:p>
      <w:pPr>
        <w:widowControl w:val="0"/>
        <w:spacing w:line="276" w:lineRule="auto"/>
        <w:jc w:val="both"/>
        <w:rPr>
          <w:rFonts w:eastAsia="黑体"/>
          <w:kern w:val="2"/>
          <w:lang w:eastAsia="zh-CN"/>
        </w:rPr>
      </w:pPr>
      <w:r>
        <w:rPr>
          <w:rFonts w:eastAsia="黑体"/>
          <w:kern w:val="2"/>
          <w:lang w:eastAsia="zh-CN"/>
        </w:rPr>
        <w:t>11．</w:t>
      </w:r>
      <w:bookmarkStart w:id="51" w:name="_Hlk72399819"/>
      <w:r>
        <w:rPr>
          <w:rFonts w:eastAsia="黑体"/>
          <w:kern w:val="2"/>
          <w:lang w:eastAsia="zh-CN"/>
        </w:rPr>
        <w:t>招标文件的编制与组成</w:t>
      </w:r>
    </w:p>
    <w:p>
      <w:pPr>
        <w:widowControl w:val="0"/>
        <w:snapToGrid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11.1招标文件除以下内容外，政府集中采购机构在招标期间发出的澄清或修改等相关公告或通知内容，均是招标文件的组成部分，对投标人起约束作用；</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招标文件包括下列内容：</w:t>
      </w:r>
    </w:p>
    <w:p>
      <w:pPr>
        <w:widowControl w:val="0"/>
        <w:spacing w:line="276" w:lineRule="auto"/>
        <w:ind w:left="480" w:firstLine="412" w:leftChars="200" w:firstLineChars="196"/>
        <w:jc w:val="both"/>
        <w:rPr>
          <w:rFonts w:eastAsia="宋体"/>
          <w:b/>
          <w:kern w:val="2"/>
          <w:sz w:val="21"/>
          <w:szCs w:val="21"/>
          <w:lang w:eastAsia="zh-CN"/>
        </w:rPr>
      </w:pPr>
      <w:r>
        <w:rPr>
          <w:rFonts w:eastAsia="宋体"/>
          <w:b/>
          <w:kern w:val="2"/>
          <w:sz w:val="21"/>
          <w:szCs w:val="21"/>
          <w:lang w:eastAsia="zh-CN"/>
        </w:rPr>
        <w:t>第一册  专用条款</w:t>
      </w:r>
    </w:p>
    <w:p>
      <w:pPr>
        <w:widowControl w:val="0"/>
        <w:spacing w:line="276" w:lineRule="auto"/>
        <w:ind w:left="1234" w:leftChars="514"/>
        <w:jc w:val="both"/>
        <w:rPr>
          <w:rFonts w:eastAsia="宋体"/>
          <w:b/>
          <w:kern w:val="2"/>
          <w:sz w:val="21"/>
          <w:szCs w:val="21"/>
          <w:lang w:eastAsia="zh-CN"/>
        </w:rPr>
      </w:pPr>
      <w:r>
        <w:rPr>
          <w:rFonts w:eastAsia="宋体"/>
          <w:b/>
          <w:kern w:val="2"/>
          <w:sz w:val="21"/>
          <w:szCs w:val="21"/>
          <w:lang w:eastAsia="zh-CN"/>
        </w:rPr>
        <w:t>关键信息</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第一章  招标公告</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第二章  对通用条款的补充内容及其他关键信息</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第三章  用户需求书</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 xml:space="preserve">第四章 </w:t>
      </w:r>
      <w:r>
        <w:rPr>
          <w:rFonts w:eastAsia="宋体" w:hint="eastAsia"/>
          <w:kern w:val="2"/>
          <w:sz w:val="21"/>
          <w:lang w:eastAsia="zh-CN"/>
        </w:rPr>
        <w:t xml:space="preserve"> </w:t>
      </w:r>
      <w:r>
        <w:rPr>
          <w:rFonts w:eastAsia="宋体"/>
          <w:kern w:val="2"/>
          <w:sz w:val="21"/>
          <w:lang w:eastAsia="zh-CN"/>
        </w:rPr>
        <w:t>投标文件组成要求及格式</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第五章  合同条款及格式</w:t>
      </w:r>
    </w:p>
    <w:p>
      <w:pPr>
        <w:widowControl w:val="0"/>
        <w:spacing w:line="276" w:lineRule="auto"/>
        <w:ind w:left="480" w:firstLine="412" w:leftChars="200" w:firstLineChars="196"/>
        <w:jc w:val="both"/>
        <w:rPr>
          <w:rFonts w:eastAsia="宋体"/>
          <w:b/>
          <w:kern w:val="2"/>
          <w:sz w:val="21"/>
          <w:szCs w:val="21"/>
          <w:lang w:eastAsia="zh-CN"/>
        </w:rPr>
      </w:pPr>
      <w:r>
        <w:rPr>
          <w:rFonts w:eastAsia="宋体"/>
          <w:b/>
          <w:kern w:val="2"/>
          <w:sz w:val="21"/>
          <w:szCs w:val="21"/>
          <w:lang w:eastAsia="zh-CN"/>
        </w:rPr>
        <w:t>第二册  通用条款</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第一章  总则</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第二章  招标文件</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第三章  投标文件的编制</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第四章  投标文件的递交</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第五章  开标</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第六章  评审要求</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第七章  评审程序及评审方法</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第八章  定标及公示</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第九章  公开招标失败的后续处理</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第十章  合同的授予与备案</w:t>
      </w:r>
    </w:p>
    <w:p>
      <w:pPr>
        <w:widowControl w:val="0"/>
        <w:spacing w:line="276" w:lineRule="auto"/>
        <w:ind w:firstLine="1050" w:firstLineChars="500"/>
        <w:jc w:val="both"/>
        <w:rPr>
          <w:rFonts w:eastAsia="宋体"/>
          <w:kern w:val="2"/>
          <w:sz w:val="21"/>
          <w:lang w:eastAsia="zh-CN"/>
        </w:rPr>
      </w:pPr>
      <w:r>
        <w:rPr>
          <w:rFonts w:eastAsia="宋体"/>
          <w:kern w:val="2"/>
          <w:sz w:val="21"/>
          <w:lang w:eastAsia="zh-CN"/>
        </w:rPr>
        <w:t>第十一章  质疑处理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11.2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11.3</w:t>
      </w:r>
      <w:r>
        <w:rPr>
          <w:rFonts w:eastAsia="宋体"/>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spacing w:line="276" w:lineRule="auto"/>
        <w:jc w:val="both"/>
        <w:rPr>
          <w:rFonts w:eastAsia="黑体"/>
          <w:kern w:val="2"/>
          <w:lang w:eastAsia="zh-CN"/>
        </w:rPr>
      </w:pPr>
      <w:r>
        <w:rPr>
          <w:rFonts w:eastAsia="黑体"/>
          <w:kern w:val="2"/>
          <w:lang w:eastAsia="zh-CN"/>
        </w:rPr>
        <w:t>12．招标文件的澄清</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12.1招标文件澄清的目的是澄清、解答投标人在查阅招标文件后或现场踏勘中可能提出的与投标有关的疑问或询问。</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12.2投标人如对招标文件内容有疑问，应当在招标公告规定的澄清（提问）截止时间前以网上提问的形式通过网上政府采购系统提交政府集中采购机构。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12.3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13.3、13.4款规定执行。</w:t>
      </w:r>
    </w:p>
    <w:p>
      <w:pPr>
        <w:widowControl w:val="0"/>
        <w:spacing w:line="276" w:lineRule="auto"/>
        <w:jc w:val="both"/>
        <w:rPr>
          <w:rFonts w:eastAsia="黑体"/>
          <w:kern w:val="2"/>
          <w:lang w:eastAsia="zh-CN"/>
        </w:rPr>
      </w:pPr>
      <w:r>
        <w:rPr>
          <w:rFonts w:eastAsia="黑体"/>
          <w:kern w:val="2"/>
          <w:lang w:eastAsia="zh-CN"/>
        </w:rPr>
        <w:t>13．招标文件的修改</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13.1招标文件发出后，在投标截止日期前任何时候，确需要变更招标文件内容的，政府集中采购机构可主动或在解答投标人提出的澄清问题时对招标文件进行修改。</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13.2招标文件的修改以书面形式（包括政府集中采购机构网站发布方式，如更正公告等）发送给所有投标人，招标文件的修改内容作为招标文件的组成部分，并具有约束力。</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pPr>
        <w:keepNext/>
        <w:keepLines/>
        <w:widowControl w:val="0"/>
        <w:numPr>
          <w:ilvl w:val="0"/>
          <w:numId w:val="6"/>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投标文件的编制</w:t>
      </w:r>
    </w:p>
    <w:p>
      <w:pPr>
        <w:widowControl w:val="0"/>
        <w:spacing w:line="276" w:lineRule="auto"/>
        <w:jc w:val="both"/>
        <w:rPr>
          <w:rFonts w:eastAsia="黑体"/>
          <w:kern w:val="2"/>
          <w:lang w:eastAsia="zh-CN"/>
        </w:rPr>
      </w:pPr>
      <w:r>
        <w:rPr>
          <w:rFonts w:eastAsia="黑体"/>
          <w:kern w:val="2"/>
          <w:lang w:eastAsia="zh-CN"/>
        </w:rPr>
        <w:t>14．</w:t>
      </w:r>
      <w:bookmarkStart w:id="52" w:name="_Hlk72400236"/>
      <w:r>
        <w:rPr>
          <w:rFonts w:eastAsia="黑体"/>
          <w:kern w:val="2"/>
          <w:lang w:eastAsia="zh-CN"/>
        </w:rPr>
        <w:t>投标文件的语言及度量单位</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14.1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14.2除技术规范另有规定外，投标文件使用的度量单位，均采用中华人民共和国法定计量单位。</w:t>
      </w:r>
    </w:p>
    <w:bookmarkEnd w:id="52"/>
    <w:p>
      <w:pPr>
        <w:widowControl w:val="0"/>
        <w:spacing w:line="276" w:lineRule="auto"/>
        <w:jc w:val="both"/>
        <w:rPr>
          <w:rFonts w:eastAsia="黑体"/>
          <w:kern w:val="2"/>
          <w:lang w:eastAsia="zh-CN"/>
        </w:rPr>
      </w:pPr>
      <w:r>
        <w:rPr>
          <w:rFonts w:eastAsia="黑体"/>
          <w:kern w:val="2"/>
          <w:lang w:eastAsia="zh-CN"/>
        </w:rPr>
        <w:t>15．</w:t>
      </w:r>
      <w:bookmarkStart w:id="53" w:name="_Hlk72401567"/>
      <w:r>
        <w:rPr>
          <w:rFonts w:eastAsia="黑体"/>
          <w:kern w:val="2"/>
          <w:lang w:eastAsia="zh-CN"/>
        </w:rPr>
        <w:t>投标文件的组成</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具体内容在招标文件专用条款中进行规定。</w:t>
      </w:r>
    </w:p>
    <w:p>
      <w:pPr>
        <w:widowControl w:val="0"/>
        <w:spacing w:line="276" w:lineRule="auto"/>
        <w:jc w:val="both"/>
        <w:rPr>
          <w:rFonts w:eastAsia="黑体"/>
          <w:kern w:val="2"/>
          <w:lang w:eastAsia="zh-CN"/>
        </w:rPr>
      </w:pPr>
      <w:r>
        <w:rPr>
          <w:rFonts w:eastAsia="黑体"/>
          <w:kern w:val="2"/>
          <w:lang w:eastAsia="zh-CN"/>
        </w:rPr>
        <w:t>16．投标文件格式</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投标文件包括本通用条款第15条中规定的内容。如招标文件提供了投标文件格式，则</w:t>
      </w:r>
      <w:r>
        <w:rPr>
          <w:rFonts w:eastAsia="宋体"/>
          <w:b/>
          <w:bCs/>
          <w:kern w:val="2"/>
          <w:sz w:val="21"/>
          <w:szCs w:val="21"/>
          <w:lang w:eastAsia="zh-CN"/>
        </w:rPr>
        <w:t>投标人提交的投标文件应毫无例外地使用招标文件所提供的相应格式</w:t>
      </w:r>
      <w:r>
        <w:rPr>
          <w:rFonts w:eastAsia="宋体"/>
          <w:kern w:val="2"/>
          <w:sz w:val="21"/>
          <w:szCs w:val="21"/>
          <w:lang w:eastAsia="zh-CN"/>
        </w:rPr>
        <w:t>（表格均可按同样格式扩展）。</w:t>
      </w:r>
    </w:p>
    <w:p>
      <w:pPr>
        <w:widowControl w:val="0"/>
        <w:spacing w:line="276" w:lineRule="auto"/>
        <w:jc w:val="both"/>
        <w:rPr>
          <w:rFonts w:eastAsia="黑体"/>
          <w:kern w:val="2"/>
          <w:lang w:eastAsia="zh-CN"/>
        </w:rPr>
      </w:pPr>
      <w:r>
        <w:rPr>
          <w:rFonts w:eastAsia="黑体"/>
          <w:kern w:val="2"/>
          <w:lang w:eastAsia="zh-CN"/>
        </w:rPr>
        <w:t>17．投标货币</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本项目的投标报价应以人民币计。</w:t>
      </w:r>
    </w:p>
    <w:bookmarkEnd w:id="53"/>
    <w:p>
      <w:pPr>
        <w:widowControl w:val="0"/>
        <w:spacing w:line="276" w:lineRule="auto"/>
        <w:jc w:val="both"/>
        <w:rPr>
          <w:rFonts w:eastAsia="黑体"/>
          <w:kern w:val="2"/>
          <w:lang w:eastAsia="zh-CN"/>
        </w:rPr>
      </w:pPr>
      <w:r>
        <w:rPr>
          <w:rFonts w:eastAsia="黑体"/>
          <w:kern w:val="2"/>
          <w:lang w:eastAsia="zh-CN"/>
        </w:rPr>
        <w:t>18．</w:t>
      </w:r>
      <w:bookmarkStart w:id="54" w:name="_Hlk72401735"/>
      <w:r>
        <w:rPr>
          <w:rFonts w:eastAsia="黑体"/>
          <w:kern w:val="2"/>
          <w:lang w:eastAsia="zh-CN"/>
        </w:rPr>
        <w:t>证明投标文件投标技术方案的合格性和符合招标文件规定的文件要求</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18.1投标人应提交证明文件，证明其投标技术方案项下的货物和服务的合格性符合招标文件规定。该投标技术方案及其证明文件均作为投标文件组成部分。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18.2.1主要技术指标和性能的详细说明。</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kern w:val="2"/>
          <w:sz w:val="21"/>
          <w:lang w:eastAsia="zh-CN"/>
        </w:rPr>
        <w:t>清晰度要求能够使用电脑阅读、识别和判断</w:t>
      </w:r>
      <w:r>
        <w:rPr>
          <w:rFonts w:eastAsia="宋体"/>
          <w:kern w:val="2"/>
          <w:sz w:val="21"/>
          <w:szCs w:val="21"/>
          <w:lang w:eastAsia="zh-CN"/>
        </w:rPr>
        <w:t>；</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18.3相关资料不符合18.2款要求的，评审委员会有权认定为投标技术方案不合格响应，其相关分数予以扣减或作投标无效处理。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kern w:val="2"/>
          <w:sz w:val="21"/>
          <w:lang w:eastAsia="zh-CN"/>
        </w:rPr>
        <w:t>满足要求</w:t>
      </w:r>
      <w:r>
        <w:rPr>
          <w:rFonts w:eastAsia="宋体"/>
          <w:kern w:val="2"/>
          <w:sz w:val="21"/>
          <w:szCs w:val="21"/>
          <w:lang w:eastAsia="zh-CN"/>
        </w:rPr>
        <w:t>，由评审委员会来评判。</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18.5除非另有规定或说明，投标人对同一项目投标时，不得同时提供两套或两套以上的投标方案。</w:t>
      </w:r>
    </w:p>
    <w:bookmarkEnd w:id="54"/>
    <w:p>
      <w:pPr>
        <w:widowControl w:val="0"/>
        <w:spacing w:line="276" w:lineRule="auto"/>
        <w:jc w:val="both"/>
        <w:rPr>
          <w:rFonts w:eastAsia="黑体"/>
          <w:kern w:val="2"/>
          <w:lang w:eastAsia="zh-CN"/>
        </w:rPr>
      </w:pPr>
      <w:r>
        <w:rPr>
          <w:rFonts w:eastAsia="黑体"/>
          <w:kern w:val="2"/>
          <w:lang w:eastAsia="zh-CN"/>
        </w:rPr>
        <w:t>19．</w:t>
      </w:r>
      <w:bookmarkStart w:id="55" w:name="_Hlk72402034"/>
      <w:r>
        <w:rPr>
          <w:rFonts w:eastAsia="黑体"/>
          <w:kern w:val="2"/>
          <w:lang w:eastAsia="zh-CN"/>
        </w:rPr>
        <w:t>投标文件其他证明文件的要求</w:t>
      </w:r>
    </w:p>
    <w:p>
      <w:pPr>
        <w:widowControl w:val="0"/>
        <w:spacing w:line="276" w:lineRule="auto"/>
        <w:ind w:firstLine="420" w:firstLineChars="200"/>
        <w:jc w:val="both"/>
        <w:rPr>
          <w:rFonts w:eastAsia="宋体"/>
          <w:color w:val="FF0000"/>
          <w:kern w:val="2"/>
          <w:sz w:val="21"/>
          <w:szCs w:val="21"/>
          <w:lang w:eastAsia="zh-CN"/>
        </w:rPr>
      </w:pPr>
      <w:r>
        <w:rPr>
          <w:rFonts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r>
        <w:rPr>
          <w:rFonts w:eastAsia="宋体" w:hint="eastAsia"/>
          <w:kern w:val="2"/>
          <w:sz w:val="21"/>
          <w:szCs w:val="21"/>
          <w:lang w:eastAsia="zh-CN"/>
        </w:rPr>
        <w:t>若投标人未按要求提供证明材料或提供的是部分证明材料或提供不清晰的扫描件（或照片）的，</w:t>
      </w:r>
      <w:ins w:id="56" w:author="YuHanyuan" w:date="2025-03-21T17:50:00Z">
        <w:r>
          <w:rPr>
            <w:rFonts w:eastAsia="宋体" w:hint="eastAsia"/>
            <w:kern w:val="2"/>
            <w:sz w:val="21"/>
            <w:szCs w:val="21"/>
            <w:lang w:eastAsia="zh-CN"/>
          </w:rPr>
          <w:t>采购人、代理机构以及评审委员会依据各自审查范围，有权认定其投标文件未对招标文件有关需求进行响应，</w:t>
        </w:r>
      </w:ins>
      <w:r>
        <w:rPr>
          <w:rFonts w:eastAsia="宋体" w:hint="eastAsia"/>
          <w:kern w:val="2"/>
          <w:sz w:val="21"/>
          <w:szCs w:val="21"/>
          <w:lang w:eastAsia="zh-CN"/>
        </w:rPr>
        <w:t>，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r>
        <w:rPr>
          <w:rFonts w:eastAsia="宋体"/>
          <w:kern w:val="2"/>
          <w:sz w:val="21"/>
          <w:szCs w:val="21"/>
          <w:lang w:eastAsia="zh-CN"/>
        </w:rPr>
        <w:t>。</w:t>
      </w:r>
      <w:bookmarkStart w:id="57" w:name="_Hlk71407299"/>
    </w:p>
    <w:bookmarkEnd w:id="57"/>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spacing w:line="276" w:lineRule="auto"/>
        <w:jc w:val="both"/>
        <w:rPr>
          <w:rFonts w:eastAsia="黑体"/>
          <w:kern w:val="2"/>
          <w:lang w:eastAsia="zh-CN"/>
        </w:rPr>
      </w:pPr>
      <w:r>
        <w:rPr>
          <w:rFonts w:eastAsia="黑体"/>
          <w:kern w:val="2"/>
          <w:lang w:eastAsia="zh-CN"/>
        </w:rPr>
        <w:t>20．投标有效期</w:t>
      </w:r>
    </w:p>
    <w:bookmarkEnd w:id="55"/>
    <w:p>
      <w:pPr>
        <w:widowControl w:val="0"/>
        <w:spacing w:line="276" w:lineRule="auto"/>
        <w:ind w:firstLine="412" w:firstLineChars="196"/>
        <w:jc w:val="both"/>
        <w:rPr>
          <w:rFonts w:eastAsia="宋体"/>
          <w:kern w:val="2"/>
          <w:sz w:val="21"/>
          <w:szCs w:val="21"/>
          <w:lang w:eastAsia="zh-CN"/>
        </w:rPr>
      </w:pPr>
      <w:bookmarkStart w:id="58" w:name="_Hlk72402214"/>
      <w:r>
        <w:rPr>
          <w:rFonts w:eastAsia="宋体"/>
          <w:kern w:val="2"/>
          <w:sz w:val="21"/>
          <w:szCs w:val="21"/>
          <w:lang w:eastAsia="zh-CN"/>
        </w:rPr>
        <w:t>20.1投标有效期为从投标截止之日算起的日历天数。在此期限内，所有投标文件均保持有效。</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20.2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20.3中标供应商的投标文件有效期，截止于完成本招标文件规定的全部项目内容，并通过竣工验收及保修期结束。</w:t>
      </w:r>
    </w:p>
    <w:bookmarkEnd w:id="58"/>
    <w:p>
      <w:pPr>
        <w:widowControl w:val="0"/>
        <w:spacing w:line="276" w:lineRule="auto"/>
        <w:jc w:val="both"/>
        <w:rPr>
          <w:rFonts w:eastAsia="黑体"/>
          <w:kern w:val="2"/>
          <w:lang w:eastAsia="zh-CN"/>
        </w:rPr>
      </w:pPr>
      <w:r>
        <w:rPr>
          <w:rFonts w:eastAsia="黑体"/>
          <w:kern w:val="2"/>
          <w:lang w:eastAsia="zh-CN"/>
        </w:rPr>
        <w:t>21．</w:t>
      </w:r>
      <w:bookmarkStart w:id="59" w:name="_Hlk72402325"/>
      <w:r>
        <w:rPr>
          <w:rFonts w:eastAsia="黑体"/>
          <w:kern w:val="2"/>
          <w:lang w:eastAsia="zh-CN"/>
        </w:rPr>
        <w:t xml:space="preserve">关于投标保证金 </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val="0"/>
        <w:spacing w:line="276" w:lineRule="auto"/>
        <w:jc w:val="both"/>
        <w:rPr>
          <w:rFonts w:eastAsia="黑体"/>
          <w:kern w:val="2"/>
          <w:lang w:eastAsia="zh-CN"/>
        </w:rPr>
      </w:pPr>
      <w:r>
        <w:rPr>
          <w:rFonts w:eastAsia="黑体"/>
          <w:kern w:val="2"/>
          <w:lang w:eastAsia="zh-CN"/>
        </w:rPr>
        <w:t>22．投标人的替代方案</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9"/>
    <w:p>
      <w:pPr>
        <w:widowControl w:val="0"/>
        <w:spacing w:line="276" w:lineRule="auto"/>
        <w:jc w:val="both"/>
        <w:rPr>
          <w:rFonts w:eastAsia="黑体"/>
          <w:kern w:val="2"/>
          <w:lang w:eastAsia="zh-CN"/>
        </w:rPr>
      </w:pPr>
      <w:r>
        <w:rPr>
          <w:rFonts w:eastAsia="黑体"/>
          <w:kern w:val="2"/>
          <w:lang w:eastAsia="zh-CN"/>
        </w:rPr>
        <w:t>23．</w:t>
      </w:r>
      <w:bookmarkStart w:id="60" w:name="_Hlk72402860"/>
      <w:r>
        <w:rPr>
          <w:rFonts w:eastAsia="黑体"/>
          <w:kern w:val="2"/>
          <w:lang w:eastAsia="zh-CN"/>
        </w:rPr>
        <w:t>投标文件的制作要求</w:t>
      </w:r>
    </w:p>
    <w:p>
      <w:pPr>
        <w:widowControl w:val="0"/>
        <w:wordWrap w:val="0"/>
        <w:spacing w:line="276" w:lineRule="auto"/>
        <w:ind w:firstLine="412" w:firstLineChars="196"/>
        <w:jc w:val="both"/>
        <w:rPr>
          <w:rFonts w:eastAsia="宋体"/>
          <w:kern w:val="2"/>
          <w:sz w:val="21"/>
          <w:lang w:eastAsia="zh-CN"/>
        </w:rPr>
      </w:pPr>
      <w:r>
        <w:rPr>
          <w:rFonts w:eastAsia="宋体"/>
          <w:kern w:val="2"/>
          <w:sz w:val="21"/>
          <w:lang w:eastAsia="zh-CN"/>
        </w:rPr>
        <w:t>23.1</w:t>
      </w:r>
      <w:r>
        <w:rPr>
          <w:rFonts w:eastAsia="宋体" w:hint="eastAsia"/>
          <w:kern w:val="2"/>
          <w:sz w:val="21"/>
          <w:lang w:eastAsia="zh-CN"/>
        </w:rPr>
        <w:t>投标人应准备所投项目的电子投标文件一份。</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23.2投标人在使用《</w:t>
      </w:r>
      <w:r>
        <w:rPr>
          <w:rFonts w:ascii="宋体" w:eastAsia="宋体" w:hAnsi="宋体" w:cstheme="minorBidi" w:hint="eastAsia"/>
          <w:kern w:val="2"/>
          <w:sz w:val="21"/>
          <w:szCs w:val="21"/>
          <w:lang w:eastAsia="zh-CN"/>
        </w:rPr>
        <w:t>投标书编制软件</w:t>
      </w:r>
      <w:r>
        <w:rPr>
          <w:rFonts w:eastAsia="宋体"/>
          <w:kern w:val="2"/>
          <w:sz w:val="21"/>
          <w:lang w:eastAsia="zh-CN"/>
        </w:rPr>
        <w:t>》编制投标书时须注意：</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23.2.1导入《</w:t>
      </w:r>
      <w:r>
        <w:rPr>
          <w:rFonts w:ascii="宋体" w:eastAsia="宋体" w:hAnsi="宋体" w:cstheme="minorBidi" w:hint="eastAsia"/>
          <w:kern w:val="2"/>
          <w:sz w:val="21"/>
          <w:szCs w:val="21"/>
          <w:lang w:eastAsia="zh-CN"/>
        </w:rPr>
        <w:t>投标书编制软件</w:t>
      </w:r>
      <w:r>
        <w:rPr>
          <w:rFonts w:eastAsia="宋体"/>
          <w:kern w:val="2"/>
          <w:sz w:val="21"/>
          <w:lang w:eastAsia="zh-CN"/>
        </w:rPr>
        <w:t>》的招标文件项目编号、包号应与以此制作的投标文件项目编号、包号一致。例如，不能将甲项目A包的招标书导入《</w:t>
      </w:r>
      <w:r>
        <w:rPr>
          <w:rFonts w:ascii="宋体" w:eastAsia="宋体" w:hAnsi="宋体" w:cstheme="minorBidi" w:hint="eastAsia"/>
          <w:kern w:val="2"/>
          <w:sz w:val="21"/>
          <w:szCs w:val="21"/>
          <w:lang w:eastAsia="zh-CN"/>
        </w:rPr>
        <w:t>投标书编制软件</w:t>
      </w:r>
      <w:r>
        <w:rPr>
          <w:rFonts w:eastAsia="宋体"/>
          <w:kern w:val="2"/>
          <w:sz w:val="21"/>
          <w:lang w:eastAsia="zh-CN"/>
        </w:rPr>
        <w:t>》，制作乙项目B包的投标书。</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23.2.2不能用非本公司的电子密钥加密本公司的投标文件，或者用其它公司的登录用户上传本公司的投标文件。</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23.2.3要求用《</w:t>
      </w:r>
      <w:r>
        <w:rPr>
          <w:rFonts w:ascii="宋体" w:eastAsia="宋体" w:hAnsi="宋体" w:cstheme="minorBidi" w:hint="eastAsia"/>
          <w:kern w:val="2"/>
          <w:sz w:val="21"/>
          <w:szCs w:val="21"/>
          <w:lang w:eastAsia="zh-CN"/>
        </w:rPr>
        <w:t>投标书编制软件</w:t>
      </w:r>
      <w:r>
        <w:rPr>
          <w:rFonts w:eastAsia="宋体"/>
          <w:kern w:val="2"/>
          <w:sz w:val="21"/>
          <w:lang w:eastAsia="zh-CN"/>
        </w:rPr>
        <w:t>》编制投标书的包，不能用其它方式编制投标书。编制投标文件时，电脑须连通互联网。</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23.2.4投标文件不能带病毒。政府集中采购机构将用专业杀毒软件对投标文件进行病毒检测，如果软件报告发现病毒，则政府集中采购机构认为该投标文件带病毒。</w:t>
      </w:r>
    </w:p>
    <w:p>
      <w:pPr>
        <w:widowControl w:val="0"/>
        <w:spacing w:line="276" w:lineRule="auto"/>
        <w:ind w:firstLine="420" w:firstLineChars="200"/>
        <w:jc w:val="both"/>
        <w:rPr>
          <w:rFonts w:eastAsia="宋体"/>
          <w:b/>
          <w:kern w:val="2"/>
          <w:sz w:val="21"/>
          <w:lang w:eastAsia="zh-CN"/>
        </w:rPr>
      </w:pPr>
      <w:r>
        <w:rPr>
          <w:rFonts w:eastAsia="宋体"/>
          <w:kern w:val="2"/>
          <w:sz w:val="21"/>
          <w:lang w:eastAsia="zh-CN"/>
        </w:rPr>
        <w:t>23.2.5</w:t>
      </w:r>
      <w:r>
        <w:rPr>
          <w:rFonts w:eastAsia="宋体"/>
          <w:b/>
          <w:kern w:val="2"/>
          <w:sz w:val="21"/>
          <w:lang w:eastAsia="zh-CN"/>
        </w:rPr>
        <w:t>“开标一览表”中的“投标报价”将作为价格分计算依据；其它信息仅是对投标文件相关内容的概括性表述，不作为评审依据。</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23.2.6投标人在编辑投标文件时，</w:t>
      </w:r>
      <w:r>
        <w:rPr>
          <w:rFonts w:eastAsia="宋体"/>
          <w:b/>
          <w:kern w:val="2"/>
          <w:sz w:val="21"/>
          <w:lang w:eastAsia="zh-CN"/>
        </w:rPr>
        <w:t>在投标文件目录中属于本节点内容的必须在本节点中填写，填写到其他节点或附件，</w:t>
      </w:r>
      <w:r>
        <w:rPr>
          <w:rFonts w:eastAsia="宋体"/>
          <w:kern w:val="2"/>
          <w:sz w:val="21"/>
          <w:lang w:eastAsia="zh-CN"/>
        </w:rPr>
        <w:t>一切后果由供应商自行承担。</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w:t>
      </w:r>
      <w:r>
        <w:rPr>
          <w:rFonts w:eastAsia="宋体" w:hint="eastAsia"/>
          <w:kern w:val="2"/>
          <w:sz w:val="21"/>
          <w:lang w:eastAsia="zh-CN"/>
        </w:rPr>
        <w:t>7</w:t>
      </w:r>
      <w:r>
        <w:rPr>
          <w:rFonts w:eastAsia="宋体"/>
          <w:kern w:val="2"/>
          <w:sz w:val="21"/>
          <w:lang w:eastAsia="zh-CN"/>
        </w:rPr>
        <w:t>政府集中采购机构不接受投标截止时间后递交的纸质、电子、传真等所有形式的投标文件。由于对网上</w:t>
      </w:r>
      <w:r>
        <w:rPr>
          <w:rFonts w:eastAsia="宋体" w:hint="eastAsia"/>
          <w:kern w:val="2"/>
          <w:sz w:val="21"/>
          <w:lang w:eastAsia="zh-CN"/>
        </w:rPr>
        <w:t>自行</w:t>
      </w:r>
      <w:r>
        <w:rPr>
          <w:rFonts w:eastAsia="宋体"/>
          <w:kern w:val="2"/>
          <w:sz w:val="21"/>
          <w:lang w:eastAsia="zh-C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23.2.</w:t>
      </w:r>
      <w:r>
        <w:rPr>
          <w:rFonts w:eastAsia="宋体" w:hint="eastAsia"/>
          <w:kern w:val="2"/>
          <w:sz w:val="21"/>
          <w:lang w:eastAsia="zh-CN"/>
        </w:rPr>
        <w:t>8</w:t>
      </w:r>
      <w:r>
        <w:rPr>
          <w:rFonts w:eastAsia="宋体"/>
          <w:kern w:val="2"/>
          <w:sz w:val="21"/>
          <w:lang w:eastAsia="zh-CN"/>
        </w:rPr>
        <w:t>如果开标时出现网络故障、技术故障，影响了政府采购活动，政府集中采购机构有权采取措施如延期、接受无法从网上上传的投标书等，以保障政府采购活动的公开、公平和公正。</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23.3电报、电话、传真形式的投标概不接受。</w:t>
      </w:r>
    </w:p>
    <w:p>
      <w:pPr>
        <w:widowControl w:val="0"/>
        <w:spacing w:line="276" w:lineRule="auto"/>
        <w:ind w:firstLine="412" w:firstLineChars="196"/>
        <w:jc w:val="both"/>
        <w:rPr>
          <w:rFonts w:eastAsia="宋体"/>
          <w:b/>
          <w:kern w:val="2"/>
          <w:sz w:val="21"/>
          <w:lang w:eastAsia="zh-CN"/>
        </w:rPr>
      </w:pPr>
      <w:r>
        <w:rPr>
          <w:rFonts w:eastAsia="宋体"/>
          <w:b/>
          <w:kern w:val="2"/>
          <w:sz w:val="21"/>
          <w:lang w:eastAsia="zh-CN"/>
        </w:rPr>
        <w:t>23.4</w:t>
      </w:r>
      <w:r>
        <w:rPr>
          <w:rFonts w:ascii="宋体" w:eastAsia="宋体" w:hAnsi="宋体" w:cstheme="minorBidi" w:hint="eastAsia"/>
          <w:b/>
          <w:kern w:val="2"/>
          <w:sz w:val="21"/>
          <w:szCs w:val="21"/>
          <w:lang w:eastAsia="zh-CN"/>
        </w:rPr>
        <w:t>全流程线上投标的投标文件无须盖章或签字</w:t>
      </w:r>
      <w:r>
        <w:rPr>
          <w:rFonts w:eastAsia="宋体"/>
          <w:b/>
          <w:kern w:val="2"/>
          <w:sz w:val="21"/>
          <w:lang w:eastAsia="zh-CN"/>
        </w:rPr>
        <w:t>，</w:t>
      </w:r>
      <w:r>
        <w:rPr>
          <w:rFonts w:eastAsia="宋体"/>
          <w:kern w:val="2"/>
          <w:sz w:val="21"/>
          <w:lang w:eastAsia="zh-CN"/>
        </w:rPr>
        <w:t>专用条款另有要求的除外。</w:t>
      </w:r>
    </w:p>
    <w:p>
      <w:pPr>
        <w:widowControl w:val="0"/>
        <w:spacing w:line="276" w:lineRule="auto"/>
        <w:ind w:firstLine="412" w:firstLineChars="196"/>
        <w:jc w:val="both"/>
        <w:rPr>
          <w:rFonts w:eastAsia="宋体"/>
          <w:kern w:val="2"/>
          <w:sz w:val="21"/>
          <w:lang w:eastAsia="zh-CN"/>
        </w:rPr>
      </w:pPr>
      <w:r>
        <w:rPr>
          <w:rFonts w:eastAsia="宋体"/>
          <w:b/>
          <w:kern w:val="2"/>
          <w:sz w:val="21"/>
          <w:lang w:eastAsia="zh-CN"/>
        </w:rPr>
        <w:t>23.5</w:t>
      </w:r>
      <w:r>
        <w:rPr>
          <w:rFonts w:eastAsia="宋体"/>
          <w:kern w:val="2"/>
          <w:sz w:val="21"/>
          <w:lang w:eastAsia="zh-CN"/>
        </w:rPr>
        <w:t xml:space="preserve"> 各类资格（资质）文件提供扫描件，专用条款另有要求的除外。</w:t>
      </w:r>
      <w:bookmarkEnd w:id="60"/>
    </w:p>
    <w:p>
      <w:pPr>
        <w:keepNext/>
        <w:keepLines/>
        <w:widowControl w:val="0"/>
        <w:numPr>
          <w:ilvl w:val="0"/>
          <w:numId w:val="6"/>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投标文件的递交</w:t>
      </w:r>
      <w:bookmarkStart w:id="61" w:name="_Hlk72405459"/>
    </w:p>
    <w:p>
      <w:pPr>
        <w:widowControl w:val="0"/>
        <w:spacing w:line="276" w:lineRule="auto"/>
        <w:jc w:val="both"/>
        <w:rPr>
          <w:rFonts w:eastAsia="黑体"/>
          <w:kern w:val="2"/>
          <w:lang w:eastAsia="zh-CN"/>
        </w:rPr>
      </w:pPr>
      <w:r>
        <w:rPr>
          <w:rFonts w:eastAsia="黑体"/>
          <w:kern w:val="2"/>
          <w:lang w:eastAsia="zh-CN"/>
        </w:rPr>
        <w:t>24．投标</w:t>
      </w:r>
      <w:r>
        <w:rPr>
          <w:rFonts w:eastAsia="黑体" w:hint="eastAsia"/>
          <w:kern w:val="2"/>
          <w:lang w:eastAsia="zh-CN"/>
        </w:rPr>
        <w:t>文件</w:t>
      </w:r>
      <w:r>
        <w:rPr>
          <w:rFonts w:eastAsia="黑体"/>
          <w:kern w:val="2"/>
          <w:lang w:eastAsia="zh-CN"/>
        </w:rPr>
        <w:t>的保密</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24.1</w:t>
      </w:r>
      <w:r>
        <w:rPr>
          <w:rFonts w:ascii="宋体" w:eastAsia="宋体" w:hAnsi="宋体" w:cstheme="minorBidi" w:hint="eastAsia"/>
          <w:kern w:val="2"/>
          <w:sz w:val="21"/>
          <w:szCs w:val="21"/>
          <w:lang w:eastAsia="zh-CN"/>
        </w:rPr>
        <w:t>在投标文件制作完成后，生成后会选择是否加密投标文件，如不加密则直接点击生成文件即可，如需加密请插入CA锁，点击加密后生成文件，需输入CA锁密码即可加密成功。加密后会提示文件生成成功！</w:t>
      </w:r>
    </w:p>
    <w:p>
      <w:pPr>
        <w:widowControl w:val="0"/>
        <w:spacing w:line="276" w:lineRule="auto"/>
        <w:ind w:firstLine="420" w:firstLineChars="200"/>
        <w:jc w:val="both"/>
        <w:rPr>
          <w:rFonts w:eastAsia="宋体"/>
          <w:b/>
          <w:kern w:val="2"/>
          <w:sz w:val="21"/>
          <w:lang w:eastAsia="zh-CN"/>
        </w:rPr>
      </w:pPr>
      <w:r>
        <w:rPr>
          <w:rFonts w:eastAsia="宋体"/>
          <w:b/>
          <w:kern w:val="2"/>
          <w:sz w:val="21"/>
          <w:lang w:eastAsia="zh-CN"/>
        </w:rPr>
        <w:t>24.2若采购项目出现延期情况：</w:t>
      </w:r>
    </w:p>
    <w:p>
      <w:pPr>
        <w:widowControl w:val="0"/>
        <w:spacing w:line="276" w:lineRule="auto"/>
        <w:ind w:firstLine="420" w:firstLineChars="200"/>
        <w:jc w:val="both"/>
        <w:rPr>
          <w:rFonts w:eastAsia="黑体"/>
          <w:b/>
          <w:kern w:val="2"/>
          <w:lang w:eastAsia="zh-CN"/>
        </w:rPr>
      </w:pPr>
      <w:r>
        <w:rPr>
          <w:rFonts w:eastAsia="宋体"/>
          <w:b/>
          <w:kern w:val="2"/>
          <w:sz w:val="21"/>
          <w:lang w:eastAsia="zh-CN"/>
        </w:rPr>
        <w:t>如果供下载的招标文件有更新，投标人必须重新下载招标文件、重新制作投标文件、重新加密投标文件、重新上传投标文件</w:t>
      </w:r>
      <w:r>
        <w:rPr>
          <w:rFonts w:eastAsia="宋体" w:hint="eastAsia"/>
          <w:b/>
          <w:kern w:val="2"/>
          <w:sz w:val="21"/>
          <w:lang w:eastAsia="zh-CN"/>
        </w:rPr>
        <w:t>。</w:t>
      </w:r>
    </w:p>
    <w:p>
      <w:pPr>
        <w:widowControl w:val="0"/>
        <w:spacing w:line="276" w:lineRule="auto"/>
        <w:jc w:val="both"/>
        <w:rPr>
          <w:rFonts w:eastAsia="黑体"/>
          <w:kern w:val="2"/>
          <w:lang w:eastAsia="zh-CN"/>
        </w:rPr>
      </w:pPr>
      <w:r>
        <w:rPr>
          <w:rFonts w:eastAsia="黑体"/>
          <w:kern w:val="2"/>
          <w:lang w:eastAsia="zh-CN"/>
        </w:rPr>
        <w:t>25．上传投标文件及投标截止日期</w:t>
      </w:r>
    </w:p>
    <w:p>
      <w:pPr>
        <w:widowControl w:val="0"/>
        <w:ind w:firstLine="420" w:firstLineChars="200"/>
        <w:jc w:val="both"/>
        <w:rPr>
          <w:rFonts w:eastAsia="宋体"/>
          <w:kern w:val="2"/>
          <w:sz w:val="21"/>
          <w:lang w:eastAsia="zh-CN"/>
        </w:rPr>
      </w:pPr>
      <w:r>
        <w:rPr>
          <w:rFonts w:eastAsia="宋体"/>
          <w:kern w:val="2"/>
          <w:sz w:val="21"/>
          <w:lang w:eastAsia="zh-CN"/>
        </w:rPr>
        <w:t>25.1实行网上投标，投标人必须在招标文件规定的投标截止时间前用电子密钥登录</w:t>
      </w:r>
      <w:r>
        <w:rPr>
          <w:rFonts w:eastAsia="宋体" w:hint="eastAsia"/>
          <w:kern w:val="2"/>
          <w:sz w:val="21"/>
          <w:lang w:eastAsia="zh-CN"/>
        </w:rPr>
        <w:t>“</w:t>
      </w:r>
      <w:r>
        <w:rPr>
          <w:rFonts w:ascii="宋体" w:eastAsia="宋体" w:hAnsi="宋体" w:cstheme="minorBidi" w:hint="eastAsia"/>
          <w:kern w:val="2"/>
          <w:sz w:val="21"/>
          <w:szCs w:val="21"/>
          <w:lang w:eastAsia="zh-CN"/>
        </w:rPr>
        <w:t>深圳政府采购自行采购系统（https://trade.szggzy.com/ggzy/center/#/login）</w:t>
      </w:r>
      <w:r>
        <w:rPr>
          <w:rFonts w:eastAsia="宋体" w:hint="eastAsia"/>
          <w:kern w:val="2"/>
          <w:sz w:val="21"/>
          <w:lang w:eastAsia="zh-CN"/>
        </w:rPr>
        <w:t>”</w:t>
      </w:r>
      <w:r>
        <w:rPr>
          <w:rFonts w:eastAsia="宋体"/>
          <w:kern w:val="2"/>
          <w:sz w:val="21"/>
          <w:lang w:eastAsia="zh-CN"/>
        </w:rPr>
        <w:t>。如上传过程中遇到问题，可拨打</w:t>
      </w:r>
      <w:r>
        <w:rPr>
          <w:rFonts w:eastAsia="宋体" w:hint="eastAsia"/>
          <w:kern w:val="2"/>
          <w:sz w:val="21"/>
          <w:lang w:eastAsia="zh-CN"/>
        </w:rPr>
        <w:t>采购公告中</w:t>
      </w:r>
      <w:r>
        <w:rPr>
          <w:rFonts w:eastAsia="宋体"/>
          <w:kern w:val="2"/>
          <w:sz w:val="21"/>
          <w:lang w:eastAsia="zh-CN"/>
        </w:rPr>
        <w:t>技术支持电话。</w:t>
      </w:r>
      <w:r>
        <w:rPr>
          <w:rFonts w:ascii="宋体" w:eastAsia="宋体" w:hAnsi="宋体" w:cstheme="minorBidi" w:hint="eastAsia"/>
          <w:kern w:val="2"/>
          <w:sz w:val="21"/>
          <w:szCs w:val="21"/>
          <w:lang w:eastAsia="zh-CN"/>
        </w:rPr>
        <w:t>如多次上传均告失败，请在投标截止时间之前携带加密后的电子投标文件送达至深圳公共资源交易中心（深圳交易集团有限公司南山分公司）3楼服务大厅（地址：深圳市南山区沙河西路3185号南山智谷A座深圳交易集团总部大楼）</w:t>
      </w:r>
      <w:r>
        <w:rPr>
          <w:rFonts w:ascii="宋体" w:eastAsia="宋体" w:hAnsi="宋体" w:cstheme="minorBidi"/>
          <w:kern w:val="2"/>
          <w:sz w:val="21"/>
          <w:szCs w:val="21"/>
          <w:lang w:eastAsia="zh-CN"/>
        </w:rPr>
        <w:t>协助上传</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但上传过程</w:t>
      </w:r>
      <w:r>
        <w:rPr>
          <w:rFonts w:ascii="宋体" w:eastAsia="宋体" w:hAnsi="宋体" w:cstheme="minorBidi" w:hint="eastAsia"/>
          <w:kern w:val="2"/>
          <w:sz w:val="21"/>
          <w:szCs w:val="21"/>
          <w:lang w:eastAsia="zh-CN"/>
        </w:rPr>
        <w:t>中</w:t>
      </w:r>
      <w:r>
        <w:rPr>
          <w:rFonts w:ascii="宋体" w:eastAsia="宋体" w:hAnsi="宋体" w:cstheme="minorBidi"/>
          <w:kern w:val="2"/>
          <w:sz w:val="21"/>
          <w:szCs w:val="21"/>
          <w:lang w:eastAsia="zh-CN"/>
        </w:rPr>
        <w:t>投标截止时间到达仍无法上传成功的，由投标人自行负责</w:t>
      </w:r>
      <w:r>
        <w:rPr>
          <w:rFonts w:ascii="宋体" w:eastAsia="宋体" w:hAnsi="宋体" w:cstheme="minorBidi" w:hint="eastAsia"/>
          <w:kern w:val="2"/>
          <w:sz w:val="21"/>
          <w:szCs w:val="21"/>
          <w:lang w:eastAsia="zh-CN"/>
        </w:rPr>
        <w:t>。</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25.3投标截止时间以后不得上传投标文件。</w:t>
      </w:r>
    </w:p>
    <w:bookmarkEnd w:id="61"/>
    <w:p>
      <w:pPr>
        <w:widowControl w:val="0"/>
        <w:spacing w:line="276" w:lineRule="auto"/>
        <w:jc w:val="both"/>
        <w:rPr>
          <w:rFonts w:eastAsia="黑体"/>
          <w:kern w:val="2"/>
          <w:lang w:eastAsia="zh-CN"/>
        </w:rPr>
      </w:pPr>
      <w:r>
        <w:rPr>
          <w:rFonts w:eastAsia="黑体"/>
          <w:kern w:val="2"/>
          <w:lang w:eastAsia="zh-CN"/>
        </w:rPr>
        <w:t>26．样品、演示、方案讲解</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26.1 样品、演示、方案讲解等事项在招标文件专用条款中进行规定。</w:t>
      </w:r>
    </w:p>
    <w:p>
      <w:pPr>
        <w:widowControl w:val="0"/>
        <w:spacing w:line="276" w:lineRule="auto"/>
        <w:jc w:val="both"/>
        <w:rPr>
          <w:rFonts w:eastAsia="黑体"/>
          <w:kern w:val="2"/>
          <w:lang w:eastAsia="zh-CN"/>
        </w:rPr>
      </w:pPr>
      <w:bookmarkStart w:id="62" w:name="_Hlk72428346"/>
      <w:r>
        <w:rPr>
          <w:rFonts w:eastAsia="黑体"/>
          <w:kern w:val="2"/>
          <w:lang w:eastAsia="zh-CN"/>
        </w:rPr>
        <w:t>27．投标文件的修改和撤销</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27.1投标方在提交投标文件后可对其投标文件进行修改并重新上传投标文件或在网上进行撤销投标的操作。</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27.2投标截止时间以后不得修改投标文件。</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27.3从投标截止期至投标人在投标文件中确定的投标有效期之间的这段时间内，投标人不得撤回其投标。</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27.4政府集中采购机构不退还投标文件，专用条款另有规定的除外。</w:t>
      </w:r>
    </w:p>
    <w:bookmarkEnd w:id="62"/>
    <w:p>
      <w:pPr>
        <w:keepNext/>
        <w:keepLines/>
        <w:widowControl w:val="0"/>
        <w:numPr>
          <w:ilvl w:val="0"/>
          <w:numId w:val="6"/>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开标</w:t>
      </w:r>
    </w:p>
    <w:p>
      <w:pPr>
        <w:widowControl w:val="0"/>
        <w:spacing w:line="276" w:lineRule="auto"/>
        <w:jc w:val="both"/>
        <w:rPr>
          <w:rFonts w:eastAsia="黑体"/>
          <w:kern w:val="2"/>
          <w:lang w:eastAsia="zh-CN"/>
        </w:rPr>
      </w:pPr>
      <w:r>
        <w:rPr>
          <w:rFonts w:eastAsia="黑体"/>
          <w:kern w:val="2"/>
          <w:lang w:eastAsia="zh-CN"/>
        </w:rPr>
        <w:t>28．开标</w:t>
      </w:r>
    </w:p>
    <w:p>
      <w:pPr>
        <w:widowControl w:val="0"/>
        <w:spacing w:line="276" w:lineRule="auto"/>
        <w:ind w:firstLine="420" w:firstLineChars="200"/>
        <w:jc w:val="both"/>
        <w:rPr>
          <w:rFonts w:eastAsia="宋体"/>
          <w:kern w:val="2"/>
          <w:sz w:val="21"/>
          <w:lang w:eastAsia="zh-CN"/>
        </w:rPr>
      </w:pPr>
      <w:r>
        <w:rPr>
          <w:rFonts w:eastAsia="宋体"/>
          <w:kern w:val="2"/>
          <w:sz w:val="21"/>
          <w:szCs w:val="21"/>
          <w:lang w:eastAsia="zh-CN"/>
        </w:rPr>
        <w:t>28.1</w:t>
      </w:r>
      <w:r>
        <w:rPr>
          <w:rFonts w:eastAsia="宋体"/>
          <w:kern w:val="2"/>
          <w:sz w:val="21"/>
          <w:lang w:eastAsia="zh-CN"/>
        </w:rPr>
        <w:t>投标人须在开标当日的开标时间至解密截止时间内进行解密，逾期未解密的作无效处理。解密方法：登录“</w:t>
      </w:r>
      <w:r>
        <w:rPr>
          <w:rFonts w:ascii="宋体" w:eastAsia="宋体" w:hAnsi="宋体" w:cstheme="minorBidi" w:hint="eastAsia"/>
          <w:kern w:val="2"/>
          <w:sz w:val="21"/>
          <w:szCs w:val="21"/>
          <w:lang w:eastAsia="zh-CN"/>
        </w:rPr>
        <w:t>深圳政府采购自行采购系统（https://trade.szggzy.com/ggzy/center/#/login）</w:t>
      </w:r>
      <w:r>
        <w:rPr>
          <w:rFonts w:eastAsia="宋体"/>
          <w:kern w:val="2"/>
          <w:sz w:val="21"/>
          <w:lang w:eastAsia="zh-CN"/>
        </w:rPr>
        <w:t>”，使用本单位制作电子投标文件同一个电子密钥进行在线解密、查询开标情况。</w:t>
      </w:r>
    </w:p>
    <w:p>
      <w:pPr>
        <w:widowControl w:val="0"/>
        <w:spacing w:line="276" w:lineRule="auto"/>
        <w:ind w:firstLine="359" w:firstLineChars="171"/>
        <w:jc w:val="both"/>
        <w:rPr>
          <w:rFonts w:eastAsia="宋体"/>
          <w:kern w:val="2"/>
          <w:sz w:val="21"/>
          <w:szCs w:val="21"/>
          <w:lang w:eastAsia="zh-CN"/>
        </w:rPr>
      </w:pPr>
      <w:r>
        <w:rPr>
          <w:rFonts w:eastAsia="宋体"/>
          <w:kern w:val="2"/>
          <w:sz w:val="21"/>
          <w:szCs w:val="21"/>
          <w:lang w:eastAsia="zh-CN"/>
        </w:rPr>
        <w:t>28.2</w:t>
      </w:r>
      <w:r>
        <w:rPr>
          <w:rFonts w:eastAsia="宋体" w:hint="eastAsia"/>
          <w:kern w:val="2"/>
          <w:sz w:val="21"/>
          <w:szCs w:val="21"/>
          <w:lang w:eastAsia="zh-CN"/>
        </w:rPr>
        <w:t>政府集中采购机构将在满足开标条件（①解密时间结束，解密后的投标供应商数量满足开标要求或②解密时间结束前所有投标供应商均完成投标文件解密）后，对投标文件进行开标，并在网上公布开标结果。</w:t>
      </w:r>
    </w:p>
    <w:p>
      <w:pPr>
        <w:keepNext/>
        <w:keepLines/>
        <w:widowControl w:val="0"/>
        <w:numPr>
          <w:ilvl w:val="0"/>
          <w:numId w:val="6"/>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评审要求</w:t>
      </w:r>
    </w:p>
    <w:p>
      <w:pPr>
        <w:widowControl w:val="0"/>
        <w:spacing w:line="276" w:lineRule="auto"/>
        <w:jc w:val="both"/>
        <w:rPr>
          <w:rFonts w:eastAsia="黑体"/>
          <w:kern w:val="2"/>
          <w:lang w:eastAsia="zh-CN"/>
        </w:rPr>
      </w:pPr>
      <w:r>
        <w:rPr>
          <w:rFonts w:eastAsia="黑体"/>
          <w:kern w:val="2"/>
          <w:lang w:eastAsia="zh-CN"/>
        </w:rPr>
        <w:t>29．评审委员会组成</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29.1网上开标结束后召开评审会议，</w:t>
      </w:r>
      <w:r>
        <w:rPr>
          <w:rFonts w:eastAsia="宋体"/>
          <w:kern w:val="2"/>
          <w:sz w:val="21"/>
          <w:szCs w:val="21"/>
          <w:lang w:eastAsia="zh-CN"/>
        </w:rPr>
        <w:t>评审委员会</w:t>
      </w:r>
      <w:r>
        <w:rPr>
          <w:rFonts w:eastAsia="宋体"/>
          <w:kern w:val="2"/>
          <w:sz w:val="21"/>
          <w:lang w:eastAsia="zh-CN"/>
        </w:rPr>
        <w:t>由政府集中采购机构依法组建，负责评审活动。</w:t>
      </w:r>
    </w:p>
    <w:p>
      <w:pPr>
        <w:widowControl w:val="0"/>
        <w:spacing w:line="276" w:lineRule="auto"/>
        <w:ind w:firstLine="412" w:firstLineChars="196"/>
        <w:jc w:val="both"/>
        <w:rPr>
          <w:rFonts w:eastAsia="宋体"/>
          <w:kern w:val="2"/>
          <w:sz w:val="21"/>
          <w:lang w:eastAsia="zh-CN"/>
        </w:rPr>
      </w:pPr>
      <w:bookmarkStart w:id="63" w:name="_Hlk72436580"/>
      <w:r>
        <w:rPr>
          <w:rFonts w:eastAsia="宋体"/>
          <w:kern w:val="2"/>
          <w:sz w:val="21"/>
          <w:lang w:eastAsia="zh-CN"/>
        </w:rPr>
        <w:t>评审委员会由采购人代表和评审专家组成，成员人数应当为5人以上单数（部分条件下为7人以上单数），其中评审专家不得少于成员总数的三分之二。</w:t>
      </w:r>
      <w:bookmarkEnd w:id="63"/>
      <w:r>
        <w:rPr>
          <w:rFonts w:eastAsia="宋体"/>
          <w:kern w:val="2"/>
          <w:sz w:val="21"/>
          <w:lang w:eastAsia="zh-CN"/>
        </w:rPr>
        <w:t>评定分离项目评审专家均由评审专家组成。</w:t>
      </w:r>
      <w:r>
        <w:rPr>
          <w:rFonts w:eastAsia="宋体"/>
          <w:kern w:val="2"/>
          <w:sz w:val="21"/>
          <w:szCs w:val="21"/>
          <w:lang w:eastAsia="zh-CN"/>
        </w:rPr>
        <w:t>评审专家一般是</w:t>
      </w:r>
      <w:r>
        <w:rPr>
          <w:rFonts w:eastAsia="宋体"/>
          <w:kern w:val="2"/>
          <w:sz w:val="21"/>
          <w:lang w:eastAsia="zh-CN"/>
        </w:rPr>
        <w:t>从深圳市政府采购评审专家库中随机抽取。采购人代表须持</w:t>
      </w:r>
      <w:r>
        <w:rPr>
          <w:rFonts w:eastAsia="宋体" w:hint="eastAsia"/>
          <w:kern w:val="2"/>
          <w:sz w:val="21"/>
          <w:lang w:eastAsia="zh-CN"/>
        </w:rPr>
        <w:t>本单位签发</w:t>
      </w:r>
      <w:r>
        <w:rPr>
          <w:rFonts w:eastAsia="宋体"/>
          <w:kern w:val="2"/>
          <w:sz w:val="21"/>
          <w:lang w:eastAsia="zh-CN"/>
        </w:rPr>
        <w:t>的《评审授权书》参加评审。</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29.2评审定标应当遵循公平、公正、科学、择优的原则。</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29.3评审活动依法进行，任何单位和个人不得非法干预评标过程和结果。</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29.4评审过程中不允许违背评标程序或采用招标文件未载明的评标方法或评标因素进行评标。</w:t>
      </w:r>
    </w:p>
    <w:p>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kern w:val="2"/>
          <w:sz w:val="21"/>
          <w:lang w:eastAsia="zh-CN"/>
        </w:rPr>
        <w:t>信息公开的内容除外</w:t>
      </w:r>
      <w:r>
        <w:rPr>
          <w:rFonts w:eastAsia="宋体"/>
          <w:bCs/>
          <w:kern w:val="2"/>
          <w:sz w:val="21"/>
          <w:lang w:eastAsia="zh-CN"/>
        </w:rPr>
        <w:t>）。</w:t>
      </w:r>
    </w:p>
    <w:p>
      <w:pPr>
        <w:widowControl w:val="0"/>
        <w:spacing w:line="276" w:lineRule="auto"/>
        <w:jc w:val="both"/>
        <w:rPr>
          <w:rFonts w:eastAsia="黑体"/>
          <w:kern w:val="2"/>
          <w:lang w:eastAsia="zh-CN"/>
        </w:rPr>
      </w:pPr>
      <w:r>
        <w:rPr>
          <w:rFonts w:eastAsia="黑体"/>
          <w:kern w:val="2"/>
          <w:lang w:eastAsia="zh-CN"/>
        </w:rPr>
        <w:t>30．向评审委员会提供的资料</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30.1公开发布的招标文件，包括图纸、服务清单、答疑文件等；</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30.2其他评标必须的资料。</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30.3</w:t>
      </w:r>
      <w:r>
        <w:rPr>
          <w:rFonts w:eastAsia="宋体"/>
          <w:kern w:val="2"/>
          <w:sz w:val="21"/>
          <w:szCs w:val="21"/>
          <w:lang w:eastAsia="zh-CN"/>
        </w:rPr>
        <w:t>评审委员会</w:t>
      </w:r>
      <w:r>
        <w:rPr>
          <w:rFonts w:eastAsia="宋体"/>
          <w:kern w:val="2"/>
          <w:sz w:val="21"/>
          <w:lang w:eastAsia="zh-CN"/>
        </w:rPr>
        <w:t>应当认真研究招标文件，至少应了解熟悉以下内容：</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（1）招标的目的；</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（2）招标项目需求的范围和性质；</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（3）招标文件规定的投标人的资格、预算金额、商务条款；</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（4）招标文件规定的评标程序、评标方法和评标因素；</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（5）招标文件所列示的资格性审查表及符合性审查表。</w:t>
      </w:r>
    </w:p>
    <w:p>
      <w:pPr>
        <w:widowControl w:val="0"/>
        <w:spacing w:line="276" w:lineRule="auto"/>
        <w:jc w:val="both"/>
        <w:rPr>
          <w:rFonts w:eastAsia="黑体"/>
          <w:kern w:val="2"/>
          <w:lang w:eastAsia="zh-CN"/>
        </w:rPr>
      </w:pPr>
      <w:r>
        <w:rPr>
          <w:rFonts w:eastAsia="黑体"/>
          <w:kern w:val="2"/>
          <w:lang w:eastAsia="zh-CN"/>
        </w:rPr>
        <w:t>31．独立评审</w:t>
      </w:r>
    </w:p>
    <w:p>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31.1</w:t>
      </w:r>
      <w:r>
        <w:rPr>
          <w:rFonts w:eastAsia="宋体"/>
          <w:kern w:val="2"/>
          <w:sz w:val="21"/>
          <w:szCs w:val="21"/>
          <w:lang w:eastAsia="zh-CN"/>
        </w:rPr>
        <w:t>评审委员会</w:t>
      </w:r>
      <w:r>
        <w:rPr>
          <w:rFonts w:eastAsia="宋体"/>
          <w:bCs/>
          <w:kern w:val="2"/>
          <w:sz w:val="21"/>
          <w:lang w:eastAsia="zh-CN"/>
        </w:rPr>
        <w:t>成员的评标活动应当独立进行，并应遵循投标文件初审、澄清有关问题、比较与评价、确定中标供应商、编写评审报告的工作程序。</w:t>
      </w:r>
    </w:p>
    <w:p>
      <w:pPr>
        <w:keepNext/>
        <w:keepLines/>
        <w:widowControl w:val="0"/>
        <w:numPr>
          <w:ilvl w:val="0"/>
          <w:numId w:val="6"/>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评审程序及评审方法</w:t>
      </w:r>
    </w:p>
    <w:p>
      <w:pPr>
        <w:widowControl w:val="0"/>
        <w:spacing w:line="276" w:lineRule="auto"/>
        <w:jc w:val="both"/>
        <w:rPr>
          <w:rFonts w:eastAsia="黑体"/>
          <w:kern w:val="2"/>
          <w:lang w:eastAsia="zh-CN"/>
        </w:rPr>
      </w:pPr>
      <w:r>
        <w:rPr>
          <w:rFonts w:eastAsia="黑体"/>
          <w:kern w:val="2"/>
          <w:lang w:eastAsia="zh-CN"/>
        </w:rPr>
        <w:t>32．投标文件初审</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32.1投标文件初审包括资格性审查和符合性审查。</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资格性审查：依据法律法规和招标文件的规定，对投标文件中的资格证明等进行审查，以确定投标供应商是否具备投标资格。</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符合性审查：依据招标文件的规定，对投标文件的有效性、完整性和对招标文件的响应程度进行审查，以确定是否满足符合性审查的要求。</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32.2 投标文件初审内容请详见《资格性审查表》和《符合性审查表》部分。投标人若有一条审查不通过则按投标无效处理。</w:t>
      </w:r>
    </w:p>
    <w:p>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32.3 投标文件初审中关于供应商家数的计算:</w:t>
      </w:r>
    </w:p>
    <w:p>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bCs/>
          <w:kern w:val="2"/>
          <w:sz w:val="21"/>
          <w:szCs w:val="21"/>
          <w:lang w:eastAsia="zh-CN"/>
        </w:rPr>
        <w:t>评审委员会</w:t>
      </w:r>
      <w:r>
        <w:rPr>
          <w:rFonts w:eastAsia="宋体"/>
          <w:bCs/>
          <w:kern w:val="2"/>
          <w:sz w:val="21"/>
          <w:lang w:eastAsia="zh-CN"/>
        </w:rPr>
        <w:t>按照招标文件规定的方式确定一个投标人获得中标人推荐资格，招标文件未规定的采取随机抽取方式确定，其他同品牌投标人不作为中标候选人。</w:t>
      </w:r>
    </w:p>
    <w:p>
      <w:pPr>
        <w:widowControl w:val="0"/>
        <w:spacing w:line="276" w:lineRule="auto"/>
        <w:ind w:firstLine="412" w:firstLineChars="196"/>
        <w:jc w:val="both"/>
        <w:rPr>
          <w:rFonts w:eastAsia="宋体"/>
          <w:bCs/>
          <w:kern w:val="2"/>
          <w:sz w:val="21"/>
          <w:lang w:eastAsia="zh-CN"/>
        </w:rPr>
      </w:pPr>
      <w:r>
        <w:rPr>
          <w:rFonts w:eastAsia="宋体"/>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32.4投标人投标文件作无效处理的情形，具体包括但不限于以下：</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32.4.1不同投标人的投标文件由同一单位或者同一个人编制，或者由同一个人分阶段参与编制；</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32.4.2不同投标人委托同一单位或者个人办理投标事宜；</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32.4.3不同投标人的投标文件载明的项目管理成员或者联系人员为同一人；</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32.4.4不同投标人的投标文件异常一致或者投标报价呈规律性差异；</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32.4.5不同投标供应商的投标文件或部分投标文件相互混装；</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32.4.6投标供应商之间相互约定给予未中标的供应商利益补偿；</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32.4.7不同投标供应商的法定代表人、主要经营负责人、项目投标授权代表人、项目负责人、主要技术人员为同一人、属同一单位或者同一单位缴纳社会保险；</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32.4.8不同投标供应商的投标文件内容存在非正常一致；</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32.4.9在同一单位工作人员为两家以上（含两家）供应商进行同一项投标活动；</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32.4.10主管部门依照法律、法规认定的其他情形。</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32.5对不属于《资格性审查表》和《符合性审查表》所列的其他情形，除专用条款另有规定和32.4条款所列情形外，不得作为投标无效的理由。</w:t>
      </w:r>
    </w:p>
    <w:p>
      <w:pPr>
        <w:widowControl w:val="0"/>
        <w:spacing w:line="276" w:lineRule="auto"/>
        <w:jc w:val="both"/>
        <w:rPr>
          <w:rFonts w:eastAsia="黑体"/>
          <w:kern w:val="2"/>
          <w:lang w:eastAsia="zh-CN"/>
        </w:rPr>
      </w:pPr>
      <w:r>
        <w:rPr>
          <w:rFonts w:eastAsia="黑体"/>
          <w:kern w:val="2"/>
          <w:lang w:eastAsia="zh-CN"/>
        </w:rPr>
        <w:t>33．澄清有关问题</w:t>
      </w:r>
    </w:p>
    <w:p>
      <w:pPr>
        <w:widowControl w:val="0"/>
        <w:spacing w:line="276" w:lineRule="auto"/>
        <w:ind w:firstLine="412" w:firstLineChars="196"/>
        <w:jc w:val="both"/>
        <w:rPr>
          <w:rFonts w:eastAsia="宋体"/>
          <w:kern w:val="2"/>
          <w:sz w:val="21"/>
          <w:lang w:eastAsia="zh-CN"/>
        </w:rPr>
      </w:pPr>
      <w:bookmarkStart w:id="64" w:name="_Hlk71407321"/>
      <w:r>
        <w:rPr>
          <w:rFonts w:eastAsia="宋体"/>
          <w:kern w:val="2"/>
          <w:sz w:val="21"/>
          <w:lang w:eastAsia="zh-CN"/>
        </w:rPr>
        <w:t>33.1对招标文件中描述有歧义或前后不一致的地方（不含</w:t>
      </w:r>
      <w:r>
        <w:rPr>
          <w:rFonts w:eastAsia="宋体"/>
          <w:kern w:val="2"/>
          <w:sz w:val="21"/>
          <w:szCs w:val="21"/>
          <w:lang w:eastAsia="zh-CN"/>
        </w:rPr>
        <w:t>招标文件存在歧义、重大缺陷导致评审工作无法进行的情况）</w:t>
      </w:r>
      <w:r>
        <w:rPr>
          <w:rFonts w:eastAsia="宋体"/>
          <w:kern w:val="2"/>
          <w:sz w:val="21"/>
          <w:lang w:eastAsia="zh-CN"/>
        </w:rPr>
        <w:t>，评审委员会有权进行评判，但对同一条款的评判应适用于每个投标人。</w:t>
      </w:r>
      <w:bookmarkEnd w:id="64"/>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33.2</w:t>
      </w:r>
      <w:r>
        <w:rPr>
          <w:rFonts w:eastAsia="宋体"/>
          <w:kern w:val="2"/>
          <w:sz w:val="21"/>
          <w:szCs w:val="21"/>
          <w:lang w:eastAsia="zh-CN"/>
        </w:rPr>
        <w:t>评审委员会发现招标文件存在歧义、重大缺陷导致评审工作无法进行，或者招标文件内容违反国家有关强制性规定的，应当停止评审工作，与政府集中采购机构沟通并作书面记录。经确认后，项目应当修改招标文件，重新组织采购活动。</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33.3对于投标文件中含义不明确、同类问题表述不一致或者有明显文字和计算错误的内容，评审委员会应当以书面形式要求投标人作出必要的澄清、说明或者补正。</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根据本通用条款第34条，凡属于评审委员会在评审中发现的算术错误进行核实的修改不在此列。</w:t>
      </w:r>
    </w:p>
    <w:p>
      <w:pPr>
        <w:widowControl w:val="0"/>
        <w:spacing w:line="276" w:lineRule="auto"/>
        <w:jc w:val="both"/>
        <w:rPr>
          <w:rFonts w:eastAsia="黑体"/>
          <w:kern w:val="2"/>
          <w:lang w:eastAsia="zh-CN"/>
        </w:rPr>
      </w:pPr>
      <w:bookmarkStart w:id="65" w:name="_Toc100052400"/>
      <w:bookmarkStart w:id="66" w:name="_Toc73518151"/>
      <w:bookmarkStart w:id="67" w:name="_Toc73521581"/>
      <w:bookmarkStart w:id="68" w:name="_Toc73521669"/>
      <w:bookmarkStart w:id="69" w:name="_Toc73517673"/>
      <w:r>
        <w:rPr>
          <w:rFonts w:eastAsia="黑体"/>
          <w:kern w:val="2"/>
          <w:lang w:eastAsia="zh-CN"/>
        </w:rPr>
        <w:t>34．错误的修正</w:t>
      </w:r>
      <w:bookmarkEnd w:id="65"/>
      <w:bookmarkEnd w:id="66"/>
      <w:bookmarkEnd w:id="67"/>
      <w:bookmarkEnd w:id="68"/>
      <w:bookmarkEnd w:id="69"/>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投标文件报价出现前后不一致的，除专用条款另有规定外，按照下列规定修正：</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34.1投标文件中开标一览表投标报价内容与投标文件中投标报价相应内容不一致的，以开标一览表为准；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34.2大写金额和小写金额不一致的，以大写金额为准；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34.3单价金额小数点或者百分比有明显错位，以开标一览表的总价为准，并修改单价；</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34.4总价金额与按单价汇总金额不一致的，以单价金额计算结果为准。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spacing w:line="276" w:lineRule="auto"/>
        <w:jc w:val="both"/>
        <w:rPr>
          <w:rFonts w:eastAsia="黑体"/>
          <w:kern w:val="2"/>
          <w:lang w:eastAsia="zh-CN"/>
        </w:rPr>
      </w:pPr>
      <w:r>
        <w:rPr>
          <w:rFonts w:eastAsia="黑体"/>
          <w:kern w:val="2"/>
          <w:lang w:eastAsia="zh-CN"/>
        </w:rPr>
        <w:t>35．投标文件的比较与评价</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spacing w:line="276" w:lineRule="auto"/>
        <w:jc w:val="both"/>
        <w:rPr>
          <w:rFonts w:eastAsia="黑体"/>
          <w:kern w:val="2"/>
          <w:lang w:eastAsia="zh-CN"/>
        </w:rPr>
      </w:pPr>
      <w:r>
        <w:rPr>
          <w:rFonts w:eastAsia="黑体"/>
          <w:kern w:val="2"/>
          <w:lang w:eastAsia="zh-CN"/>
        </w:rPr>
        <w:t>36. 实地考察</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36.1在评审期间，评审委员会根据招标文件规定（详见“一、对通用条款的补充内容”），有权对本项目的投标人开展实地考察，投标人需时刻做好接收实地考察的准备。</w:t>
      </w:r>
    </w:p>
    <w:p>
      <w:pPr>
        <w:widowControl w:val="0"/>
        <w:spacing w:line="276" w:lineRule="auto"/>
        <w:jc w:val="both"/>
        <w:rPr>
          <w:rFonts w:eastAsia="黑体"/>
          <w:kern w:val="2"/>
          <w:lang w:eastAsia="zh-CN"/>
        </w:rPr>
      </w:pPr>
      <w:r>
        <w:rPr>
          <w:rFonts w:eastAsia="黑体"/>
          <w:kern w:val="2"/>
          <w:lang w:eastAsia="zh-CN"/>
        </w:rPr>
        <w:t>37．评审方法</w:t>
      </w:r>
    </w:p>
    <w:p>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37.1.1最低价法</w:t>
      </w:r>
    </w:p>
    <w:p>
      <w:pPr>
        <w:widowControl w:val="0"/>
        <w:spacing w:line="276" w:lineRule="auto"/>
        <w:ind w:firstLine="412" w:firstLineChars="196"/>
        <w:jc w:val="both"/>
        <w:rPr>
          <w:rFonts w:eastAsia="宋体"/>
          <w:kern w:val="2"/>
          <w:sz w:val="21"/>
          <w:lang w:eastAsia="zh-CN"/>
        </w:rPr>
      </w:pPr>
      <w:bookmarkStart w:id="70" w:name="_Hlk72438142"/>
      <w:r>
        <w:rPr>
          <w:rFonts w:eastAsia="宋体"/>
          <w:kern w:val="2"/>
          <w:sz w:val="21"/>
          <w:lang w:eastAsia="zh-CN"/>
        </w:rPr>
        <w:t>最低价法，是指完全满足招标文件实质性要求，按照报价由低到高的顺序，依据招标文件中规定的数量或者比例推荐候选中标供应商。</w:t>
      </w:r>
    </w:p>
    <w:p>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37.1.2综合评分法</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综合评分法，是指在满足招标文件全部实质性要求的前提下，按照招标文件中规定的各项因素进行综合评审，评审总得分排名前列的投标人，作为推荐的候选中标供应商。</w:t>
      </w:r>
      <w:bookmarkEnd w:id="70"/>
    </w:p>
    <w:p>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37.2 本项目采用的评审方法见本项目招标文件第一册“专用条款”的相关内容。</w:t>
      </w:r>
    </w:p>
    <w:p>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37.3重新评审的情形</w:t>
      </w:r>
    </w:p>
    <w:p>
      <w:pPr>
        <w:widowControl w:val="0"/>
        <w:spacing w:line="276" w:lineRule="auto"/>
        <w:ind w:firstLine="412" w:firstLineChars="196"/>
        <w:jc w:val="both"/>
        <w:rPr>
          <w:rFonts w:eastAsia="宋体"/>
          <w:b/>
          <w:bCs/>
          <w:kern w:val="2"/>
          <w:sz w:val="21"/>
          <w:szCs w:val="21"/>
          <w:lang w:eastAsia="zh-CN"/>
        </w:rPr>
      </w:pPr>
      <w:r>
        <w:rPr>
          <w:rFonts w:eastAsia="宋体"/>
          <w:sz w:val="21"/>
          <w:szCs w:val="21"/>
          <w:lang w:eastAsia="zh-CN"/>
        </w:rPr>
        <w:t>评审结果汇总完成后，除下列情形外，任何人不得修改评审结果：</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37.3.1分值汇总计算错误的；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37.3.2分项评分超出评分标准范围的；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37.3.3评审委员会成员对客观评审因素评分不一致的；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37.3.4经评审委员会认定评分畸高、畸低的。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spacing w:line="276" w:lineRule="auto"/>
        <w:ind w:firstLine="412" w:firstLineChars="196"/>
        <w:jc w:val="both"/>
        <w:rPr>
          <w:rFonts w:eastAsia="宋体"/>
          <w:b/>
          <w:bCs/>
          <w:kern w:val="2"/>
          <w:sz w:val="21"/>
          <w:szCs w:val="21"/>
          <w:lang w:eastAsia="zh-CN"/>
        </w:rPr>
      </w:pPr>
      <w:r>
        <w:rPr>
          <w:rFonts w:eastAsia="宋体"/>
          <w:b/>
          <w:bCs/>
          <w:kern w:val="2"/>
          <w:sz w:val="21"/>
          <w:szCs w:val="21"/>
          <w:lang w:eastAsia="zh-CN"/>
        </w:rPr>
        <w:t>37.4重新组建评审委员会的情形</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评审委员会或者其成员存在下列情形导致评审结果无效的，重新组建评审委员会进行评标，并书面报告本级财政部门：</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37.4.1评审委员会组成不符合《政府采购货物和服务招标投标管理办法》规定的；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37.4.2有《政府采购货物和服务招标投标管理办法》第六十二条第一至五项情形的；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37.4.3评审委员会及其成员独立评标受到非法干预的；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37.4.4有政府采购法实施条例第七十五条规定的违法行为的。</w:t>
      </w:r>
    </w:p>
    <w:p>
      <w:pPr>
        <w:widowControl w:val="0"/>
        <w:spacing w:line="276" w:lineRule="auto"/>
        <w:ind w:firstLine="412" w:firstLineChars="196"/>
        <w:jc w:val="both"/>
        <w:rPr>
          <w:rFonts w:eastAsia="宋体"/>
          <w:sz w:val="21"/>
          <w:szCs w:val="21"/>
          <w:lang w:eastAsia="zh-CN"/>
        </w:rPr>
      </w:pPr>
      <w:r>
        <w:rPr>
          <w:rFonts w:eastAsia="宋体"/>
          <w:sz w:val="21"/>
          <w:szCs w:val="21"/>
          <w:lang w:eastAsia="zh-CN"/>
        </w:rPr>
        <w:t>有违法违规行为的原评审委员会成员不得参加重新组建的评审委员会。</w:t>
      </w:r>
    </w:p>
    <w:p>
      <w:pPr>
        <w:keepNext/>
        <w:keepLines/>
        <w:widowControl w:val="0"/>
        <w:numPr>
          <w:ilvl w:val="0"/>
          <w:numId w:val="6"/>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定标及公示</w:t>
      </w:r>
    </w:p>
    <w:p>
      <w:pPr>
        <w:widowControl w:val="0"/>
        <w:spacing w:line="276" w:lineRule="auto"/>
        <w:jc w:val="both"/>
        <w:rPr>
          <w:rFonts w:eastAsia="黑体"/>
          <w:kern w:val="2"/>
          <w:lang w:eastAsia="zh-CN"/>
        </w:rPr>
      </w:pPr>
      <w:r>
        <w:rPr>
          <w:rFonts w:eastAsia="黑体"/>
          <w:kern w:val="2"/>
          <w:lang w:eastAsia="zh-CN"/>
        </w:rPr>
        <w:t>38．定标方法</w:t>
      </w:r>
    </w:p>
    <w:p>
      <w:pPr>
        <w:widowControl w:val="0"/>
        <w:spacing w:line="276" w:lineRule="auto"/>
        <w:ind w:firstLine="412" w:firstLineChars="196"/>
        <w:jc w:val="both"/>
        <w:rPr>
          <w:rFonts w:eastAsia="宋体"/>
          <w:kern w:val="2"/>
          <w:sz w:val="21"/>
          <w:szCs w:val="21"/>
          <w:lang w:eastAsia="zh-CN"/>
        </w:rPr>
      </w:pPr>
      <w:bookmarkStart w:id="71" w:name="_Hlk73782795"/>
      <w:r>
        <w:rPr>
          <w:rFonts w:eastAsia="宋体"/>
          <w:kern w:val="2"/>
          <w:sz w:val="21"/>
          <w:szCs w:val="21"/>
          <w:lang w:eastAsia="zh-CN"/>
        </w:rPr>
        <w:t>38.1非评定分离项目定标方法</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38.1.1评审委员会依据本项目招标文件所约定的评审方法进行评审和比较，向政府集中采购机构提交书面评审报告，并根据评审方法比较评价结果从优到劣进行排序，确定候选中标供应商。</w:t>
      </w:r>
    </w:p>
    <w:p>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38.1.2</w:t>
      </w:r>
      <w:r>
        <w:rPr>
          <w:rFonts w:eastAsia="宋体"/>
          <w:kern w:val="2"/>
          <w:sz w:val="21"/>
          <w:lang w:eastAsia="zh-CN"/>
        </w:rPr>
        <w:t>采用最低价法的，评审结果按投标报价由低到高顺序排列。投标报价相同的并列。投标文件满足招标文件全部实质性要求且投标报价最低的投标人为</w:t>
      </w:r>
      <w:bookmarkStart w:id="72" w:name="_Hlk73821177"/>
      <w:r>
        <w:rPr>
          <w:rFonts w:eastAsia="宋体"/>
          <w:kern w:val="2"/>
          <w:sz w:val="21"/>
          <w:lang w:eastAsia="zh-CN"/>
        </w:rPr>
        <w:t>中标供应商</w:t>
      </w:r>
      <w:bookmarkEnd w:id="72"/>
      <w:r>
        <w:rPr>
          <w:rFonts w:eastAsia="宋体"/>
          <w:kern w:val="2"/>
          <w:sz w:val="21"/>
          <w:lang w:eastAsia="zh-CN"/>
        </w:rPr>
        <w:t>。</w:t>
      </w:r>
    </w:p>
    <w:p>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38.1.3采</w:t>
      </w:r>
      <w:r>
        <w:rPr>
          <w:rFonts w:eastAsia="宋体"/>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38.2评定分离项目定标方法</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 xml:space="preserve">38.2.2 </w:t>
      </w:r>
      <w:bookmarkStart w:id="73" w:name="_Hlk71469733"/>
      <w:r>
        <w:rPr>
          <w:rFonts w:eastAsia="宋体"/>
          <w:kern w:val="2"/>
          <w:sz w:val="21"/>
          <w:lang w:eastAsia="zh-CN"/>
        </w:rPr>
        <w:t>适用评定分离的政府采购项目，采用综合评分法评审。</w:t>
      </w:r>
      <w:r>
        <w:rPr>
          <w:rFonts w:eastAsia="宋体"/>
          <w:kern w:val="2"/>
          <w:sz w:val="21"/>
          <w:szCs w:val="21"/>
          <w:lang w:eastAsia="zh-CN"/>
        </w:rPr>
        <w:t>评审委员会按照评审结果，推荐</w:t>
      </w:r>
      <w:r>
        <w:rPr>
          <w:rFonts w:eastAsia="宋体"/>
          <w:kern w:val="2"/>
          <w:sz w:val="21"/>
          <w:lang w:eastAsia="zh-CN"/>
        </w:rPr>
        <w:t>三个合格的候选中标供应商。</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38.2.3</w:t>
      </w:r>
      <w:bookmarkStart w:id="74" w:name="_Hlk71469688"/>
      <w:r>
        <w:rPr>
          <w:rFonts w:eastAsia="宋体"/>
          <w:kern w:val="2"/>
          <w:sz w:val="21"/>
          <w:lang w:eastAsia="zh-CN"/>
        </w:rPr>
        <w:t>适用评定分离的政府采购项目，</w:t>
      </w:r>
      <w:r>
        <w:rPr>
          <w:rFonts w:eastAsia="宋体"/>
          <w:kern w:val="2"/>
          <w:sz w:val="21"/>
          <w:szCs w:val="21"/>
          <w:lang w:eastAsia="zh-CN"/>
        </w:rPr>
        <w:t>按照自定法确定中标供应商：自定法是指采购人组织定标委员会，由定标委员会在三家候选中标供应商中确定中标供应商。</w:t>
      </w:r>
      <w:bookmarkEnd w:id="73"/>
      <w:bookmarkEnd w:id="74"/>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38.2.4政府集中采购机构</w:t>
      </w:r>
      <w:r>
        <w:rPr>
          <w:rFonts w:eastAsia="宋体"/>
          <w:kern w:val="2"/>
          <w:sz w:val="21"/>
          <w:lang w:eastAsia="zh-CN"/>
        </w:rPr>
        <w:t>应当自评审结束之日起两个工作日内将候选中标供应商名单及其投标文件、评审报告送交采购人</w:t>
      </w:r>
      <w:r>
        <w:rPr>
          <w:rFonts w:eastAsia="宋体"/>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政府集中采购机构。具体定标程序及相关要求以按照《深圳市财政局关于印发〈深圳市政府采购评标定标分离管理办法〉的通知》（深财规【2020】1号）执行。</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说明：采购人及投标供应商应按照上述方法提前做好相关准备。</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38.3专用条款另有规定的，按专用条款相关要求定标。</w:t>
      </w:r>
      <w:bookmarkEnd w:id="71"/>
    </w:p>
    <w:p>
      <w:pPr>
        <w:widowControl w:val="0"/>
        <w:spacing w:line="276" w:lineRule="auto"/>
        <w:jc w:val="both"/>
        <w:rPr>
          <w:rFonts w:eastAsia="黑体"/>
          <w:kern w:val="2"/>
          <w:lang w:eastAsia="zh-CN"/>
        </w:rPr>
      </w:pPr>
      <w:r>
        <w:rPr>
          <w:rFonts w:eastAsia="黑体"/>
          <w:kern w:val="2"/>
          <w:lang w:eastAsia="zh-CN"/>
        </w:rPr>
        <w:t>39．编写评审报告</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spacing w:line="276" w:lineRule="auto"/>
        <w:jc w:val="both"/>
        <w:rPr>
          <w:rFonts w:eastAsia="黑体"/>
          <w:kern w:val="2"/>
          <w:lang w:eastAsia="zh-CN"/>
        </w:rPr>
      </w:pPr>
      <w:r>
        <w:rPr>
          <w:rFonts w:eastAsia="黑体"/>
          <w:kern w:val="2"/>
          <w:lang w:eastAsia="zh-CN"/>
        </w:rPr>
        <w:t>40．中标</w:t>
      </w:r>
      <w:r>
        <w:rPr>
          <w:rFonts w:eastAsia="黑体" w:hint="eastAsia"/>
          <w:kern w:val="2"/>
          <w:lang w:eastAsia="zh-CN"/>
        </w:rPr>
        <w:t>（成交）</w:t>
      </w:r>
      <w:r>
        <w:rPr>
          <w:rFonts w:eastAsia="黑体"/>
          <w:kern w:val="2"/>
          <w:lang w:eastAsia="zh-CN"/>
        </w:rPr>
        <w:t>公告</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40.1</w:t>
      </w:r>
      <w:bookmarkStart w:id="75" w:name="_Hlk72438709"/>
      <w:r>
        <w:rPr>
          <w:rFonts w:eastAsia="宋体"/>
          <w:kern w:val="2"/>
          <w:sz w:val="21"/>
          <w:szCs w:val="21"/>
          <w:lang w:eastAsia="zh-CN"/>
        </w:rPr>
        <w:t>为体现“公开、公平、公正”的原则，评审结束后经采购人确认（确定）评审结果，政府集中采购机构将在“</w:t>
      </w:r>
      <w:r>
        <w:rPr>
          <w:rFonts w:ascii="宋体" w:eastAsia="宋体" w:hAnsi="宋体" w:cstheme="minorBidi" w:hint="eastAsia"/>
          <w:kern w:val="2"/>
          <w:sz w:val="21"/>
          <w:szCs w:val="21"/>
          <w:lang w:eastAsia="zh-CN"/>
        </w:rPr>
        <w:t>深圳交易集团（深圳公共资源交易中心）官网</w:t>
      </w:r>
      <w:r>
        <w:rPr>
          <w:rFonts w:ascii="宋体" w:eastAsia="宋体" w:hAnsi="宋体" w:cstheme="minorBidi" w:hint="eastAsia"/>
          <w:b/>
          <w:bCs/>
          <w:kern w:val="2"/>
          <w:sz w:val="21"/>
          <w:szCs w:val="21"/>
          <w:lang w:eastAsia="zh-CN"/>
        </w:rPr>
        <w:t>https://www.szexgrp.com/jyfw/zfcg-view.html?id=zfcg</w:t>
      </w:r>
      <w:r>
        <w:rPr>
          <w:rFonts w:eastAsia="宋体"/>
          <w:kern w:val="2"/>
          <w:sz w:val="21"/>
          <w:szCs w:val="21"/>
          <w:lang w:eastAsia="zh-CN"/>
        </w:rPr>
        <w:t>”上发布中标结果公告。</w:t>
      </w:r>
      <w:bookmarkEnd w:id="75"/>
      <w:bookmarkStart w:id="76" w:name="_Hlk72438751"/>
      <w:r>
        <w:rPr>
          <w:rFonts w:eastAsia="宋体"/>
          <w:kern w:val="2"/>
          <w:sz w:val="21"/>
          <w:szCs w:val="21"/>
          <w:lang w:eastAsia="zh-CN"/>
        </w:rPr>
        <w:t>供应商如对评审结果有异议，可在发布公示日期起七个工作日内向政府集中采购机构提出。监督电话：0755-</w:t>
      </w:r>
      <w:r>
        <w:rPr>
          <w:rFonts w:eastAsia="宋体" w:hint="eastAsia"/>
          <w:kern w:val="2"/>
          <w:sz w:val="21"/>
          <w:szCs w:val="21"/>
          <w:lang w:eastAsia="zh-CN"/>
        </w:rPr>
        <w:t>26662884</w:t>
      </w:r>
      <w:r>
        <w:rPr>
          <w:rFonts w:eastAsia="宋体"/>
          <w:kern w:val="2"/>
          <w:sz w:val="21"/>
          <w:szCs w:val="21"/>
          <w:lang w:eastAsia="zh-CN"/>
        </w:rPr>
        <w:t>。若在公示期内未提出质疑，则视为认同该评审结果。</w:t>
      </w:r>
    </w:p>
    <w:bookmarkEnd w:id="76"/>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40.2质疑、投诉供应商应保证质疑、投诉内容的真实性和可靠性，并承担相应的法律责任。</w:t>
      </w:r>
    </w:p>
    <w:p>
      <w:pPr>
        <w:widowControl w:val="0"/>
        <w:spacing w:line="276" w:lineRule="auto"/>
        <w:jc w:val="both"/>
        <w:rPr>
          <w:rFonts w:eastAsia="黑体"/>
          <w:kern w:val="2"/>
          <w:lang w:eastAsia="zh-CN"/>
        </w:rPr>
      </w:pPr>
      <w:r>
        <w:rPr>
          <w:rFonts w:eastAsia="黑体"/>
          <w:kern w:val="2"/>
          <w:lang w:eastAsia="zh-CN"/>
        </w:rPr>
        <w:t>41．中标通知书</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41.1</w:t>
      </w:r>
      <w:bookmarkStart w:id="77" w:name="_Hlk72438863"/>
      <w:r>
        <w:rPr>
          <w:rFonts w:eastAsia="宋体"/>
          <w:kern w:val="2"/>
          <w:sz w:val="21"/>
          <w:szCs w:val="21"/>
          <w:lang w:eastAsia="zh-CN"/>
        </w:rPr>
        <w:t>中标公告公布以后无异常的情况下,中标供应商和采购人可自行在“</w:t>
      </w:r>
      <w:r>
        <w:rPr>
          <w:rFonts w:ascii="宋体" w:eastAsia="宋体" w:hAnsi="宋体" w:cstheme="minorBidi" w:hint="eastAsia"/>
          <w:kern w:val="2"/>
          <w:sz w:val="21"/>
          <w:szCs w:val="21"/>
          <w:lang w:eastAsia="zh-CN"/>
        </w:rPr>
        <w:t>深圳政府采购自行采购系统（https://trade.szggzy.com/ggzy/center/#/login）</w:t>
      </w:r>
      <w:r>
        <w:rPr>
          <w:rFonts w:eastAsia="宋体"/>
          <w:kern w:val="2"/>
          <w:sz w:val="21"/>
          <w:szCs w:val="21"/>
          <w:lang w:eastAsia="zh-CN"/>
        </w:rPr>
        <w:t>”上打印</w:t>
      </w:r>
      <w:r>
        <w:rPr>
          <w:rFonts w:eastAsia="宋体"/>
          <w:b/>
          <w:kern w:val="2"/>
          <w:sz w:val="21"/>
          <w:szCs w:val="21"/>
          <w:lang w:eastAsia="zh-CN"/>
        </w:rPr>
        <w:t>《数字中标通知书》（</w:t>
      </w:r>
      <w:r>
        <w:rPr>
          <w:rFonts w:eastAsia="宋体"/>
          <w:kern w:val="2"/>
          <w:sz w:val="21"/>
          <w:szCs w:val="21"/>
          <w:lang w:eastAsia="zh-CN"/>
        </w:rPr>
        <w:t>咨询电话：</w:t>
      </w:r>
      <w:r>
        <w:rPr>
          <w:rFonts w:eastAsia="宋体" w:hint="eastAsia"/>
          <w:b/>
          <w:bCs/>
          <w:kern w:val="2"/>
          <w:sz w:val="21"/>
          <w:szCs w:val="21"/>
          <w:lang w:eastAsia="zh-CN"/>
        </w:rPr>
        <w:t>0755-36568999</w:t>
      </w:r>
      <w:r>
        <w:rPr>
          <w:rFonts w:eastAsia="宋体"/>
          <w:kern w:val="2"/>
          <w:sz w:val="21"/>
          <w:szCs w:val="21"/>
          <w:lang w:eastAsia="zh-CN"/>
        </w:rPr>
        <w:t>）。</w:t>
      </w:r>
      <w:bookmarkEnd w:id="77"/>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41.2中标通知书是合同的重要组成部分。</w:t>
      </w:r>
    </w:p>
    <w:p>
      <w:pPr>
        <w:widowControl w:val="0"/>
        <w:spacing w:line="276" w:lineRule="auto"/>
        <w:ind w:firstLine="412" w:firstLineChars="196"/>
        <w:jc w:val="both"/>
        <w:rPr>
          <w:rFonts w:eastAsia="宋体"/>
          <w:kern w:val="2"/>
          <w:sz w:val="21"/>
          <w:szCs w:val="21"/>
          <w:lang w:eastAsia="zh-CN"/>
        </w:rPr>
      </w:pPr>
      <w:bookmarkStart w:id="78" w:name="_Hlk71407340"/>
      <w:r>
        <w:rPr>
          <w:rFonts w:eastAsia="宋体"/>
          <w:kern w:val="2"/>
          <w:sz w:val="21"/>
          <w:szCs w:val="21"/>
          <w:lang w:eastAsia="zh-CN"/>
        </w:rPr>
        <w:t>41.3因质疑投诉或其它原因导致项目结果变更或采购终止的，政府集中采购机构有权吊销中标通知书。</w:t>
      </w:r>
    </w:p>
    <w:bookmarkEnd w:id="78"/>
    <w:p>
      <w:pPr>
        <w:keepNext/>
        <w:keepLines/>
        <w:widowControl w:val="0"/>
        <w:numPr>
          <w:ilvl w:val="0"/>
          <w:numId w:val="6"/>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公开招标失败的后续处理</w:t>
      </w:r>
    </w:p>
    <w:p>
      <w:pPr>
        <w:widowControl w:val="0"/>
        <w:spacing w:line="276" w:lineRule="auto"/>
        <w:jc w:val="both"/>
        <w:rPr>
          <w:rFonts w:eastAsia="黑体"/>
          <w:kern w:val="2"/>
          <w:lang w:eastAsia="zh-CN"/>
        </w:rPr>
      </w:pPr>
      <w:r>
        <w:rPr>
          <w:rFonts w:eastAsia="黑体"/>
          <w:kern w:val="2"/>
          <w:lang w:eastAsia="zh-CN"/>
        </w:rPr>
        <w:t>42．公开招标失败的处理</w:t>
      </w:r>
    </w:p>
    <w:p>
      <w:pPr>
        <w:widowControl w:val="0"/>
        <w:spacing w:line="276" w:lineRule="auto"/>
        <w:ind w:firstLine="412" w:firstLineChars="196"/>
        <w:jc w:val="both"/>
        <w:rPr>
          <w:rFonts w:eastAsia="宋体"/>
          <w:kern w:val="2"/>
          <w:sz w:val="21"/>
          <w:lang w:eastAsia="zh-CN"/>
        </w:rPr>
      </w:pPr>
      <w:r>
        <w:rPr>
          <w:rFonts w:eastAsia="宋体"/>
          <w:kern w:val="2"/>
          <w:sz w:val="21"/>
          <w:szCs w:val="21"/>
          <w:lang w:eastAsia="zh-CN"/>
        </w:rPr>
        <w:t>42.1本项目公开招标过程中若由于投标截止后</w:t>
      </w:r>
      <w:r>
        <w:rPr>
          <w:rFonts w:eastAsia="宋体"/>
          <w:kern w:val="2"/>
          <w:sz w:val="21"/>
          <w:lang w:eastAsia="zh-CN"/>
        </w:rPr>
        <w:t>实际递交投标文件的供应商数量不足、经</w:t>
      </w:r>
      <w:r>
        <w:rPr>
          <w:rFonts w:eastAsia="宋体"/>
          <w:kern w:val="2"/>
          <w:sz w:val="21"/>
          <w:szCs w:val="21"/>
          <w:lang w:eastAsia="zh-CN"/>
        </w:rPr>
        <w:t>评审委员会</w:t>
      </w:r>
      <w:r>
        <w:rPr>
          <w:rFonts w:eastAsia="宋体"/>
          <w:kern w:val="2"/>
          <w:sz w:val="21"/>
          <w:lang w:eastAsia="zh-CN"/>
        </w:rPr>
        <w:t>评审对招标文件作实质响应的供应商不足等原因造成公开招标失败，可由政府集中采购机构重新组织采购。</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spacing w:line="276" w:lineRule="auto"/>
        <w:ind w:firstLine="412" w:firstLineChars="196"/>
        <w:jc w:val="both"/>
        <w:rPr>
          <w:rFonts w:eastAsia="宋体"/>
          <w:kern w:val="2"/>
          <w:sz w:val="21"/>
          <w:lang w:eastAsia="zh-CN"/>
        </w:rPr>
      </w:pPr>
      <w:r>
        <w:rPr>
          <w:rFonts w:eastAsia="宋体"/>
          <w:kern w:val="2"/>
          <w:sz w:val="21"/>
          <w:lang w:eastAsia="zh-CN"/>
        </w:rPr>
        <w:t>42.</w:t>
      </w:r>
      <w:r>
        <w:rPr>
          <w:rFonts w:eastAsia="宋体" w:hint="eastAsia"/>
          <w:kern w:val="2"/>
          <w:sz w:val="21"/>
          <w:lang w:eastAsia="zh-CN"/>
        </w:rPr>
        <w:t>3</w:t>
      </w:r>
      <w:r>
        <w:rPr>
          <w:rFonts w:eastAsia="宋体"/>
          <w:kern w:val="2"/>
          <w:sz w:val="21"/>
          <w:lang w:eastAsia="zh-CN"/>
        </w:rPr>
        <w:t>公开招标失败的采购项目重新组织公开招标，由政府集中采购机构重新按公开招标流程组织采购活动。</w:t>
      </w:r>
    </w:p>
    <w:p>
      <w:pPr>
        <w:keepNext/>
        <w:keepLines/>
        <w:widowControl w:val="0"/>
        <w:numPr>
          <w:ilvl w:val="0"/>
          <w:numId w:val="6"/>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bookmarkStart w:id="79" w:name="_Hlk72439043"/>
      <w:r>
        <w:rPr>
          <w:rFonts w:eastAsia="宋体"/>
          <w:b/>
          <w:bCs/>
          <w:sz w:val="28"/>
          <w:szCs w:val="28"/>
          <w:lang w:eastAsia="zh-CN"/>
        </w:rPr>
        <w:t>合同的授予与备案</w:t>
      </w:r>
      <w:bookmarkEnd w:id="79"/>
    </w:p>
    <w:p>
      <w:pPr>
        <w:widowControl w:val="0"/>
        <w:spacing w:line="276" w:lineRule="auto"/>
        <w:jc w:val="both"/>
        <w:rPr>
          <w:rFonts w:eastAsia="黑体"/>
          <w:kern w:val="2"/>
          <w:lang w:eastAsia="zh-CN"/>
        </w:rPr>
      </w:pPr>
      <w:bookmarkStart w:id="80" w:name="_Toc100052408"/>
      <w:bookmarkStart w:id="81" w:name="_Toc73521674"/>
      <w:bookmarkStart w:id="82" w:name="_Toc73518157"/>
      <w:bookmarkStart w:id="83" w:name="_Toc73517679"/>
      <w:bookmarkStart w:id="84" w:name="_Toc73521586"/>
      <w:bookmarkStart w:id="85" w:name="_Hlk72439088"/>
      <w:r>
        <w:rPr>
          <w:rFonts w:eastAsia="黑体"/>
          <w:kern w:val="2"/>
          <w:lang w:eastAsia="zh-CN"/>
        </w:rPr>
        <w:t>43．合同授予标准</w:t>
      </w:r>
      <w:bookmarkEnd w:id="80"/>
      <w:bookmarkEnd w:id="81"/>
      <w:bookmarkEnd w:id="82"/>
      <w:bookmarkEnd w:id="83"/>
      <w:bookmarkEnd w:id="84"/>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本项目的合同将授予经本招标文件规定评审确定的中标供应商。</w:t>
      </w:r>
    </w:p>
    <w:p>
      <w:pPr>
        <w:widowControl w:val="0"/>
        <w:spacing w:line="276" w:lineRule="auto"/>
        <w:jc w:val="both"/>
        <w:rPr>
          <w:rFonts w:eastAsia="黑体"/>
          <w:kern w:val="2"/>
          <w:lang w:eastAsia="zh-CN"/>
        </w:rPr>
      </w:pPr>
      <w:bookmarkStart w:id="86" w:name="_Toc73518158"/>
      <w:bookmarkStart w:id="87" w:name="_Toc73521587"/>
      <w:bookmarkStart w:id="88" w:name="_Toc73521675"/>
      <w:bookmarkStart w:id="89" w:name="_Toc73517680"/>
      <w:bookmarkStart w:id="90" w:name="_Toc100052409"/>
      <w:r>
        <w:rPr>
          <w:rFonts w:eastAsia="黑体"/>
          <w:kern w:val="2"/>
          <w:lang w:eastAsia="zh-CN"/>
        </w:rPr>
        <w:t>44．</w:t>
      </w:r>
      <w:bookmarkEnd w:id="86"/>
      <w:bookmarkEnd w:id="87"/>
      <w:bookmarkEnd w:id="88"/>
      <w:bookmarkEnd w:id="89"/>
      <w:bookmarkEnd w:id="90"/>
      <w:r>
        <w:rPr>
          <w:rFonts w:eastAsia="黑体"/>
          <w:kern w:val="2"/>
          <w:lang w:eastAsia="zh-CN"/>
        </w:rPr>
        <w:t>接受和拒绝任何或所有投标的权力</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spacing w:line="276" w:lineRule="auto"/>
        <w:jc w:val="both"/>
        <w:rPr>
          <w:rFonts w:eastAsia="黑体"/>
          <w:kern w:val="2"/>
          <w:lang w:eastAsia="zh-CN"/>
        </w:rPr>
      </w:pPr>
      <w:bookmarkStart w:id="91" w:name="_Toc100052410"/>
      <w:bookmarkStart w:id="92" w:name="_Toc73521677"/>
      <w:bookmarkStart w:id="93" w:name="_Toc73521589"/>
      <w:bookmarkStart w:id="94" w:name="_Toc73517682"/>
      <w:bookmarkStart w:id="95" w:name="_Toc73518160"/>
      <w:r>
        <w:rPr>
          <w:rFonts w:eastAsia="黑体"/>
          <w:kern w:val="2"/>
          <w:lang w:eastAsia="zh-CN"/>
        </w:rPr>
        <w:t>45．合同的签订</w:t>
      </w:r>
      <w:bookmarkEnd w:id="91"/>
      <w:bookmarkEnd w:id="92"/>
      <w:bookmarkEnd w:id="93"/>
      <w:bookmarkEnd w:id="94"/>
      <w:bookmarkEnd w:id="95"/>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45.2中标人应当按照合同约定履行义务，完成中标项目，不得将中标项目转让（转包）给他人。</w:t>
      </w:r>
    </w:p>
    <w:p>
      <w:pPr>
        <w:widowControl w:val="0"/>
        <w:spacing w:line="276" w:lineRule="auto"/>
        <w:jc w:val="both"/>
        <w:rPr>
          <w:rFonts w:eastAsia="黑体"/>
          <w:kern w:val="2"/>
          <w:lang w:eastAsia="zh-CN"/>
        </w:rPr>
      </w:pPr>
      <w:bookmarkStart w:id="96" w:name="_Toc73517683"/>
      <w:bookmarkStart w:id="97" w:name="_Toc73518161"/>
      <w:bookmarkStart w:id="98" w:name="_Toc73521678"/>
      <w:bookmarkStart w:id="99" w:name="_Toc100052411"/>
      <w:bookmarkStart w:id="100" w:name="_Toc73521590"/>
      <w:r>
        <w:rPr>
          <w:rFonts w:eastAsia="黑体"/>
          <w:kern w:val="2"/>
          <w:lang w:eastAsia="zh-CN"/>
        </w:rPr>
        <w:t>46．履约担保</w:t>
      </w:r>
      <w:bookmarkEnd w:id="96"/>
      <w:bookmarkEnd w:id="97"/>
      <w:bookmarkEnd w:id="98"/>
      <w:bookmarkEnd w:id="99"/>
      <w:bookmarkEnd w:id="100"/>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46.1在签订项目合同的同时，中标人应按“对通用条款的补充内容”中规定的金额向采购人提交履约担保；</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46.2，允许供应商自主选择以支票、汇票、本票、保函等非现金方式提交履约担保；</w:t>
      </w:r>
      <w:r>
        <w:rPr>
          <w:rFonts w:eastAsia="宋体"/>
          <w:kern w:val="2"/>
          <w:sz w:val="21"/>
          <w:lang w:eastAsia="zh-CN"/>
        </w:rPr>
        <w:t>中标人提交履约担保不是合同签订的前提条件，不要求中标人提供除法律、法规明确规定外的其他担保。</w:t>
      </w:r>
    </w:p>
    <w:p>
      <w:pPr>
        <w:widowControl w:val="0"/>
        <w:spacing w:line="276" w:lineRule="auto"/>
        <w:jc w:val="both"/>
        <w:rPr>
          <w:rFonts w:eastAsia="黑体"/>
          <w:kern w:val="2"/>
          <w:lang w:eastAsia="zh-CN"/>
        </w:rPr>
      </w:pPr>
      <w:r>
        <w:rPr>
          <w:rFonts w:eastAsia="黑体"/>
          <w:kern w:val="2"/>
          <w:lang w:eastAsia="zh-CN"/>
        </w:rPr>
        <w:t>47. 合同备案</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采购人</w:t>
      </w:r>
      <w:r>
        <w:rPr>
          <w:rFonts w:eastAsia="宋体" w:hint="eastAsia"/>
          <w:kern w:val="2"/>
          <w:sz w:val="21"/>
          <w:szCs w:val="21"/>
          <w:lang w:eastAsia="zh-CN"/>
        </w:rPr>
        <w:t>与中标供应商自中标通知书发出之日起10个工作日内签订政府采购合同，并按财政部门规定提交备案。</w:t>
      </w:r>
    </w:p>
    <w:p>
      <w:pPr>
        <w:widowControl w:val="0"/>
        <w:spacing w:line="276" w:lineRule="auto"/>
        <w:jc w:val="both"/>
        <w:rPr>
          <w:rFonts w:eastAsia="黑体"/>
          <w:kern w:val="2"/>
          <w:lang w:eastAsia="zh-CN"/>
        </w:rPr>
      </w:pPr>
      <w:r>
        <w:rPr>
          <w:rFonts w:eastAsia="黑体"/>
          <w:kern w:val="2"/>
          <w:lang w:eastAsia="zh-CN"/>
        </w:rPr>
        <w:t>48. 合同变更</w:t>
      </w:r>
    </w:p>
    <w:p>
      <w:pPr>
        <w:widowControl w:val="0"/>
        <w:spacing w:line="276" w:lineRule="auto"/>
        <w:ind w:firstLine="412" w:firstLineChars="196"/>
        <w:jc w:val="both"/>
        <w:rPr>
          <w:rFonts w:eastAsia="宋体"/>
          <w:kern w:val="2"/>
          <w:sz w:val="21"/>
          <w:szCs w:val="21"/>
          <w:lang w:eastAsia="zh-CN"/>
        </w:rPr>
      </w:pPr>
      <w:r>
        <w:rPr>
          <w:rFonts w:eastAsia="宋体" w:hint="eastAsia"/>
          <w:kern w:val="2"/>
          <w:sz w:val="21"/>
          <w:szCs w:val="21"/>
          <w:lang w:eastAsia="zh-CN"/>
        </w:rPr>
        <w:t>合同变更事宜参照《深圳市财政局关于优化政府采购合同备案的通知》（深财发保〔2022〕2号）相关规定，</w:t>
      </w:r>
      <w:r>
        <w:rPr>
          <w:rFonts w:ascii="宋体" w:eastAsia="宋体" w:hAnsi="宋体" w:cstheme="minorBidi" w:hint="eastAsia"/>
          <w:kern w:val="2"/>
          <w:sz w:val="21"/>
          <w:szCs w:val="21"/>
          <w:lang w:eastAsia="zh-CN"/>
        </w:rPr>
        <w:t>按采购人内控制度</w:t>
      </w:r>
      <w:r>
        <w:rPr>
          <w:rFonts w:eastAsia="宋体" w:hint="eastAsia"/>
          <w:kern w:val="2"/>
          <w:sz w:val="21"/>
          <w:szCs w:val="21"/>
          <w:lang w:eastAsia="zh-CN"/>
        </w:rPr>
        <w:t>执行</w:t>
      </w:r>
      <w:r>
        <w:rPr>
          <w:rFonts w:eastAsia="宋体"/>
          <w:kern w:val="2"/>
          <w:sz w:val="21"/>
          <w:szCs w:val="21"/>
          <w:lang w:eastAsia="zh-CN"/>
        </w:rPr>
        <w:t>。</w:t>
      </w:r>
    </w:p>
    <w:p>
      <w:pPr>
        <w:widowControl w:val="0"/>
        <w:spacing w:line="276" w:lineRule="auto"/>
        <w:jc w:val="both"/>
        <w:rPr>
          <w:rFonts w:eastAsia="黑体"/>
          <w:kern w:val="2"/>
          <w:lang w:eastAsia="zh-CN"/>
        </w:rPr>
      </w:pPr>
      <w:r>
        <w:rPr>
          <w:rFonts w:eastAsia="黑体"/>
          <w:kern w:val="2"/>
          <w:lang w:eastAsia="zh-CN"/>
        </w:rPr>
        <w:t>49. 项目验收</w:t>
      </w:r>
    </w:p>
    <w:p>
      <w:pPr>
        <w:widowControl/>
        <w:spacing w:line="276" w:lineRule="auto"/>
        <w:ind w:right="176" w:firstLine="420"/>
        <w:jc w:val="left"/>
        <w:rPr>
          <w:rFonts w:eastAsia="宋体"/>
          <w:kern w:val="2"/>
          <w:sz w:val="21"/>
          <w:lang w:eastAsia="zh-CN"/>
        </w:rPr>
      </w:pPr>
      <w:r>
        <w:rPr>
          <w:rFonts w:eastAsia="宋体"/>
          <w:kern w:val="2"/>
          <w:sz w:val="21"/>
          <w:lang w:eastAsia="zh-CN"/>
        </w:rPr>
        <w:t>49.1采购人应当按照招标文件和合同规定的标准和方法，及时组织验收。</w:t>
      </w:r>
    </w:p>
    <w:p>
      <w:pPr>
        <w:widowControl w:val="0"/>
        <w:spacing w:line="276" w:lineRule="auto"/>
        <w:jc w:val="both"/>
        <w:rPr>
          <w:rFonts w:eastAsia="黑体"/>
          <w:kern w:val="2"/>
          <w:lang w:eastAsia="zh-CN"/>
        </w:rPr>
      </w:pPr>
      <w:r>
        <w:rPr>
          <w:rFonts w:eastAsia="黑体"/>
          <w:kern w:val="2"/>
          <w:lang w:eastAsia="zh-CN"/>
        </w:rPr>
        <w:t>50. 宣传</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凡与政府采购活动有关的宣传或广告，若当中提及</w:t>
      </w:r>
      <w:r>
        <w:rPr>
          <w:rFonts w:eastAsia="宋体" w:hint="eastAsia"/>
          <w:kern w:val="2"/>
          <w:sz w:val="21"/>
          <w:szCs w:val="21"/>
          <w:lang w:eastAsia="zh-CN"/>
        </w:rPr>
        <w:t>本次</w:t>
      </w:r>
      <w:r>
        <w:rPr>
          <w:rFonts w:eastAsia="宋体"/>
          <w:kern w:val="2"/>
          <w:sz w:val="21"/>
          <w:szCs w:val="21"/>
          <w:lang w:eastAsia="zh-CN"/>
        </w:rPr>
        <w:t>采购</w:t>
      </w:r>
      <w:r>
        <w:rPr>
          <w:rFonts w:eastAsia="宋体" w:hint="eastAsia"/>
          <w:kern w:val="2"/>
          <w:sz w:val="21"/>
          <w:szCs w:val="21"/>
          <w:lang w:eastAsia="zh-CN"/>
        </w:rPr>
        <w:t>项目</w:t>
      </w:r>
      <w:r>
        <w:rPr>
          <w:rFonts w:eastAsia="宋体"/>
          <w:kern w:val="2"/>
          <w:sz w:val="21"/>
          <w:szCs w:val="21"/>
          <w:lang w:eastAsia="zh-CN"/>
        </w:rPr>
        <w:t>，必须事先将具体对外宣传方案报</w:t>
      </w:r>
      <w:r>
        <w:rPr>
          <w:rFonts w:ascii="宋体" w:eastAsia="宋体" w:hAnsi="宋体" w:cstheme="minorBidi" w:hint="eastAsia"/>
          <w:kern w:val="2"/>
          <w:sz w:val="21"/>
          <w:szCs w:val="21"/>
          <w:lang w:eastAsia="zh-CN"/>
        </w:rPr>
        <w:t>采购人</w:t>
      </w:r>
      <w:r>
        <w:rPr>
          <w:rFonts w:eastAsia="宋体"/>
          <w:kern w:val="2"/>
          <w:sz w:val="21"/>
          <w:szCs w:val="21"/>
          <w:lang w:eastAsia="zh-CN"/>
        </w:rPr>
        <w:t>，并征得其同意。对外市场宣传包括但不限于以下形式：</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a.名片、宣传册、广告标语等；</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b.案例介绍、推广等；</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c.工作人员向其他消费群体宣传。</w:t>
      </w:r>
    </w:p>
    <w:p>
      <w:pPr>
        <w:widowControl w:val="0"/>
        <w:spacing w:line="276" w:lineRule="auto"/>
        <w:jc w:val="both"/>
        <w:rPr>
          <w:rFonts w:eastAsia="黑体"/>
          <w:kern w:val="2"/>
          <w:lang w:eastAsia="zh-CN"/>
        </w:rPr>
      </w:pPr>
      <w:r>
        <w:rPr>
          <w:rFonts w:eastAsia="黑体"/>
          <w:kern w:val="2"/>
          <w:lang w:eastAsia="zh-CN"/>
        </w:rPr>
        <w:t>51. 供应商违法责任</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（1）在采购活动中应当回避而未回避的；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（2）未按本条例规定签订、履行采购合同，造成严重后果的；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（3）隐瞒真实情况，提供虚假资料的；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（4）以非法手段排斥其他供应商参与竞争的；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（5）与其他采购参加人串通投标的；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（6）恶意投诉的；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（7）向采购项目相关人行贿或者提供其他不当利益的；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（8）阻碍、抗拒主管部门监督检查的；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（9）其他违反本条例规定的行为。</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51.2</w:t>
      </w:r>
      <w:r>
        <w:rPr>
          <w:rFonts w:eastAsia="宋体" w:hint="eastAsia"/>
          <w:kern w:val="2"/>
          <w:sz w:val="21"/>
          <w:szCs w:val="21"/>
          <w:lang w:eastAsia="zh-CN"/>
        </w:rPr>
        <w:t>根据《深圳市财政局关于调整政府采购投标（响应）保证金管理政策的通知 》（深财购〔2021〕51号）的要求，供应商在政府采购活动中出现《深圳经济特区政府采购条例实施细则》第八十条所列情形的，政府集中采购机构或采购人不予退还其交纳的谈判保证金，情节严重的，并由主管部门记入供应商诚信档案，予以通报</w:t>
      </w:r>
      <w:r>
        <w:rPr>
          <w:rFonts w:eastAsia="宋体"/>
          <w:kern w:val="2"/>
          <w:sz w:val="21"/>
          <w:szCs w:val="21"/>
          <w:lang w:eastAsia="zh-CN"/>
        </w:rPr>
        <w:t>：</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（1）投标截止后，撤销投标的；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（2）中标后无正当理由未在规定期限内签订合同的；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（3）将中标项目转让给他人、或者在投标文件中未说明且未经采购人、采购招标机构同意，将中标项目分包给他人的；</w:t>
      </w:r>
    </w:p>
    <w:p>
      <w:pPr>
        <w:widowControl w:val="0"/>
        <w:spacing w:line="276" w:lineRule="auto"/>
        <w:ind w:firstLine="412" w:firstLineChars="196"/>
        <w:jc w:val="both"/>
        <w:rPr>
          <w:rFonts w:eastAsia="宋体"/>
          <w:kern w:val="2"/>
          <w:sz w:val="21"/>
          <w:szCs w:val="21"/>
          <w:lang w:eastAsia="zh-CN"/>
        </w:rPr>
      </w:pPr>
      <w:r>
        <w:rPr>
          <w:rFonts w:eastAsia="宋体"/>
          <w:kern w:val="2"/>
          <w:sz w:val="21"/>
          <w:szCs w:val="21"/>
          <w:lang w:eastAsia="zh-CN"/>
        </w:rPr>
        <w:t>（4）拒绝履行合同义务的。</w:t>
      </w:r>
    </w:p>
    <w:bookmarkEnd w:id="85"/>
    <w:p>
      <w:pPr>
        <w:keepNext/>
        <w:keepLines/>
        <w:widowControl w:val="0"/>
        <w:numPr>
          <w:ilvl w:val="0"/>
          <w:numId w:val="6"/>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质疑处理</w:t>
      </w:r>
    </w:p>
    <w:p>
      <w:pPr>
        <w:widowControl w:val="0"/>
        <w:spacing w:line="276" w:lineRule="auto"/>
        <w:jc w:val="both"/>
        <w:rPr>
          <w:rFonts w:eastAsia="黑体"/>
          <w:kern w:val="2"/>
          <w:lang w:eastAsia="zh-CN"/>
        </w:rPr>
      </w:pPr>
      <w:bookmarkStart w:id="101" w:name="_Hlk72439706"/>
      <w:r>
        <w:rPr>
          <w:rFonts w:eastAsia="黑体"/>
          <w:kern w:val="2"/>
          <w:lang w:eastAsia="zh-CN"/>
        </w:rPr>
        <w:t>52.质疑提出与答复</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52.1提出质疑</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参与政府采购活动的供应商认为自己的权益在采购活动中受到损害的，应当自知道或者应当知道其权益受到损害之日起七个工作日内向采购人、政府集中采购机构以书面形式提出质疑。</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52.2法律依据</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52.3质疑条件</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52.3.1提出质疑的供应商应当是参与所质疑项目采购活动的供应商；</w:t>
      </w:r>
      <w:bookmarkStart w:id="102" w:name="_Hlk75374941"/>
      <w:r>
        <w:rPr>
          <w:rFonts w:eastAsia="宋体"/>
          <w:kern w:val="2"/>
          <w:sz w:val="21"/>
          <w:szCs w:val="21"/>
          <w:lang w:eastAsia="zh-CN"/>
        </w:rPr>
        <w:t>以联合体形式参与的，质疑应当由组成联合体的所有成员共同提出</w:t>
      </w:r>
      <w:bookmarkEnd w:id="102"/>
      <w:r>
        <w:rPr>
          <w:rFonts w:eastAsia="宋体"/>
          <w:kern w:val="2"/>
          <w:sz w:val="21"/>
          <w:szCs w:val="21"/>
          <w:lang w:eastAsia="zh-CN"/>
        </w:rPr>
        <w:t>；</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spacing w:line="276" w:lineRule="auto"/>
        <w:ind w:firstLine="420"/>
        <w:jc w:val="both"/>
        <w:rPr>
          <w:rFonts w:eastAsia="宋体"/>
          <w:kern w:val="2"/>
          <w:sz w:val="21"/>
          <w:szCs w:val="21"/>
          <w:lang w:eastAsia="zh-CN"/>
        </w:rPr>
      </w:pPr>
      <w:r>
        <w:rPr>
          <w:rFonts w:eastAsia="宋体"/>
          <w:kern w:val="2"/>
          <w:sz w:val="21"/>
          <w:szCs w:val="21"/>
          <w:lang w:eastAsia="zh-CN"/>
        </w:rPr>
        <w:t>52.3.3应提交书面质疑函，质疑函应当包括以下内容：</w:t>
      </w:r>
    </w:p>
    <w:p>
      <w:pPr>
        <w:widowControl w:val="0"/>
        <w:spacing w:line="276" w:lineRule="auto"/>
        <w:ind w:firstLine="420"/>
        <w:jc w:val="both"/>
        <w:rPr>
          <w:rFonts w:eastAsia="宋体"/>
          <w:kern w:val="2"/>
          <w:sz w:val="21"/>
          <w:szCs w:val="21"/>
          <w:lang w:eastAsia="zh-CN"/>
        </w:rPr>
      </w:pPr>
      <w:r>
        <w:rPr>
          <w:rFonts w:eastAsia="宋体"/>
          <w:kern w:val="2"/>
          <w:sz w:val="21"/>
          <w:szCs w:val="21"/>
          <w:lang w:eastAsia="zh-CN"/>
        </w:rPr>
        <w:t>（1）供应商的名称（或者姓名）、地址、邮编、邮箱、联系人及联系电话；</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（2）质疑项目的名称、编号；</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（3）具体、明确的质疑对象、质疑事项和质疑请求；</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（4）因质疑事项而受损害的权益；</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（5）事实依据；</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（6）必要的法律依据；</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（7）提出质疑的日期。</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供应商为自然人的，应当由本人签字；供应商为法人或者其他组织的，应当由法定代表人（负责人），或者其授权代理人签字或者盖章，并加盖公章。</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52.4提交材料</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52.5</w:t>
      </w:r>
      <w:r>
        <w:rPr>
          <w:rFonts w:eastAsia="宋体" w:hint="eastAsia"/>
          <w:kern w:val="2"/>
          <w:sz w:val="21"/>
          <w:szCs w:val="21"/>
          <w:lang w:eastAsia="zh-CN"/>
        </w:rPr>
        <w:t>收文地点</w:t>
      </w:r>
    </w:p>
    <w:p>
      <w:pPr>
        <w:widowControl w:val="0"/>
        <w:spacing w:line="276" w:lineRule="auto"/>
        <w:ind w:firstLine="420" w:firstLineChars="200"/>
        <w:jc w:val="both"/>
        <w:rPr>
          <w:rFonts w:eastAsia="宋体"/>
          <w:b/>
          <w:bCs/>
          <w:kern w:val="2"/>
          <w:sz w:val="21"/>
          <w:szCs w:val="21"/>
          <w:lang w:eastAsia="zh-CN"/>
        </w:rPr>
      </w:pPr>
      <w:r>
        <w:rPr>
          <w:rFonts w:eastAsia="宋体"/>
          <w:b/>
          <w:bCs/>
          <w:kern w:val="2"/>
          <w:sz w:val="21"/>
          <w:szCs w:val="21"/>
          <w:lang w:eastAsia="zh-CN"/>
        </w:rPr>
        <w:t>地址：深圳市南山区沙河西路3185号南山智谷A座（深圳交易集团总部大楼）27楼，质疑咨询电话：</w:t>
      </w:r>
      <w:r>
        <w:rPr>
          <w:rFonts w:eastAsia="宋体" w:hint="eastAsia"/>
          <w:b/>
          <w:bCs/>
          <w:kern w:val="2"/>
          <w:sz w:val="21"/>
          <w:szCs w:val="21"/>
          <w:lang w:eastAsia="zh-CN"/>
        </w:rPr>
        <w:t>0755-86500054、0755-86500050</w:t>
      </w:r>
      <w:r>
        <w:rPr>
          <w:rFonts w:eastAsia="宋体"/>
          <w:b/>
          <w:bCs/>
          <w:kern w:val="2"/>
          <w:sz w:val="21"/>
          <w:szCs w:val="21"/>
          <w:lang w:eastAsia="zh-CN"/>
        </w:rPr>
        <w:t>。</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52.6收文办理程序</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spacing w:line="276" w:lineRule="auto"/>
        <w:ind w:firstLine="420" w:firstLineChars="200"/>
        <w:jc w:val="both"/>
        <w:rPr>
          <w:rFonts w:eastAsia="仿宋"/>
          <w:kern w:val="2"/>
          <w:sz w:val="28"/>
          <w:szCs w:val="28"/>
          <w:lang w:eastAsia="zh-CN"/>
        </w:rPr>
      </w:pPr>
      <w:r>
        <w:rPr>
          <w:rFonts w:eastAsia="宋体"/>
          <w:kern w:val="2"/>
          <w:sz w:val="21"/>
          <w:szCs w:val="21"/>
          <w:lang w:eastAsia="zh-CN"/>
        </w:rPr>
        <w:t>52.6.2供应商提交的质疑材料不符合质疑条件的，视情况处理：</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供应商提交的质疑材料不全或者未按要求签字或者盖章的，政府集中采购机构应当一次性告知供应商需补正的内容和补正期限。</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供应商提交的质疑存在下列情形之一的，不予受理：</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（1）质疑主体不满足要求的；</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（2）供应商自身权益未受到损害的；</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（3）供应商未在法定质疑期限内提出质疑的；</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（4）质疑材料不全或者未按要求签字或者盖章的情况下，要求补正后，逾期未补正或者补正后仍不符合规定的；</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（5）其他不符合受理条件情形的。</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质疑事项不予受理的，政府集中采购机构应当向供应商出具不符合质疑条件告知书。</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52.7质疑答复时限</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自收文之日起七个工作日内。</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52.8投诉</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对质疑答复不满意或者未在规定时间内答复的，提出质疑的供应商可以在答复期满后</w:t>
      </w:r>
      <w:r>
        <w:rPr>
          <w:rFonts w:eastAsia="宋体" w:hint="eastAsia"/>
          <w:kern w:val="2"/>
          <w:sz w:val="21"/>
          <w:szCs w:val="21"/>
          <w:lang w:eastAsia="zh-CN"/>
        </w:rPr>
        <w:t>7</w:t>
      </w:r>
      <w:r>
        <w:rPr>
          <w:rFonts w:eastAsia="宋体"/>
          <w:kern w:val="2"/>
          <w:sz w:val="21"/>
          <w:szCs w:val="21"/>
          <w:lang w:eastAsia="zh-CN"/>
        </w:rPr>
        <w:t>个工作日内向</w:t>
      </w:r>
      <w:r>
        <w:rPr>
          <w:rFonts w:eastAsia="宋体" w:hint="eastAsia"/>
          <w:kern w:val="2"/>
          <w:sz w:val="21"/>
          <w:szCs w:val="21"/>
          <w:lang w:eastAsia="zh-CN"/>
        </w:rPr>
        <w:t>本项目采购人</w:t>
      </w:r>
      <w:r>
        <w:rPr>
          <w:rFonts w:eastAsia="宋体"/>
          <w:kern w:val="2"/>
          <w:sz w:val="21"/>
          <w:szCs w:val="21"/>
          <w:lang w:eastAsia="zh-CN"/>
        </w:rPr>
        <w:t>投诉。</w:t>
      </w:r>
    </w:p>
    <w:p>
      <w:pPr>
        <w:widowControl w:val="0"/>
        <w:spacing w:line="276" w:lineRule="auto"/>
        <w:jc w:val="both"/>
        <w:rPr>
          <w:rFonts w:eastAsia="黑体"/>
          <w:kern w:val="2"/>
          <w:lang w:eastAsia="zh-CN"/>
        </w:rPr>
      </w:pPr>
      <w:r>
        <w:rPr>
          <w:rFonts w:eastAsia="黑体"/>
          <w:kern w:val="2"/>
          <w:lang w:eastAsia="zh-CN"/>
        </w:rPr>
        <w:t>53. 质疑后续处理</w:t>
      </w:r>
    </w:p>
    <w:p>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53.1供应商质疑不成立，或者成立但未对中标、成交结果构成影响的，继续开展采购活动。</w:t>
      </w:r>
    </w:p>
    <w:p>
      <w:pPr>
        <w:widowControl w:val="0"/>
        <w:spacing w:line="276" w:lineRule="auto"/>
        <w:ind w:firstLine="420" w:firstLineChars="200"/>
        <w:jc w:val="both"/>
        <w:rPr>
          <w:rFonts w:eastAsia="宋体"/>
          <w:kern w:val="2"/>
          <w:sz w:val="21"/>
          <w:lang w:eastAsia="zh-CN"/>
        </w:rPr>
      </w:pPr>
      <w:r>
        <w:rPr>
          <w:rFonts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w:t>
      </w:r>
      <w:r>
        <w:rPr>
          <w:rFonts w:eastAsia="宋体" w:hint="eastAsia"/>
          <w:kern w:val="2"/>
          <w:sz w:val="21"/>
          <w:szCs w:val="21"/>
          <w:lang w:eastAsia="zh-CN"/>
        </w:rPr>
        <w:t>合格供应商符合法定数量时，可以从合格的中标或者成交候选人中另行确定中标、成交供应商的，应当依法另行确定中标、成交供应商；否则应当重新开展采购活动。（3）被质疑供应商应配合提供质疑答辩意见，并提供相关证据材料，逾期不作书面答辩的，视同放弃答辩权利，依法承担由此可能产生的不利法律后果。</w:t>
      </w:r>
    </w:p>
    <w:p>
      <w:pPr>
        <w:widowControl w:val="0"/>
        <w:jc w:val="center"/>
        <w:rPr>
          <w:rFonts w:eastAsia="宋体"/>
          <w:kern w:val="2"/>
          <w:sz w:val="21"/>
          <w:lang w:eastAsia="zh-CN"/>
        </w:rPr>
      </w:pPr>
    </w:p>
    <w:p>
      <w:pPr>
        <w:widowControl w:val="0"/>
        <w:jc w:val="center"/>
        <w:rPr>
          <w:rFonts w:eastAsia="宋体"/>
          <w:kern w:val="2"/>
          <w:sz w:val="21"/>
          <w:lang w:eastAsia="zh-CN"/>
        </w:rPr>
      </w:pPr>
      <w:r>
        <w:rPr>
          <w:rFonts w:eastAsia="宋体"/>
          <w:kern w:val="2"/>
          <w:sz w:val="21"/>
          <w:lang w:eastAsia="zh-CN"/>
        </w:rPr>
        <w:t>---- END ----</w:t>
      </w:r>
      <w:bookmarkEnd w:id="101"/>
    </w:p>
    <w:p>
      <w:pPr>
        <w:widowControl w:val="0"/>
        <w:jc w:val="center"/>
        <w:rPr>
          <w:rFonts w:ascii="宋体" w:eastAsia="宋体" w:hAnsi="宋体"/>
          <w:kern w:val="2"/>
          <w:sz w:val="21"/>
          <w:szCs w:val="21"/>
          <w:lang w:eastAsia="zh-CN"/>
        </w:rPr>
      </w:pPr>
    </w:p>
    <w:p>
      <w:pPr>
        <w:widowControl w:val="0"/>
        <w:jc w:val="both"/>
        <w:rPr>
          <w:rFonts w:ascii="Calibri" w:eastAsia="宋体" w:hAnsi="Calibri"/>
          <w:kern w:val="2"/>
          <w:sz w:val="21"/>
          <w:szCs w:val="22"/>
          <w:lang w:eastAsia="zh-CN"/>
        </w:rPr>
        <w:sectPr>
          <w:footerReference w:type="even" r:id="rId4"/>
          <w:footerReference w:type="default" r:id="rId5"/>
          <w:pgSz w:w="11907" w:h="16840"/>
          <w:pgMar w:top="1440" w:right="1531" w:bottom="1440" w:left="1514"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深圳市南山区人民医院个体化3D模型重建（胸腹部手术规划）服务-A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获奖情况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自主知识产权产品（创新、设计）情况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质量保证措施及方案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投标人认为需要加以说明的其他内容（格式自定）</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NSZXCG-2025-00057-001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深圳市南山区人民医院个体化3D模型重建（胸腹部手术规划）服务-A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FangSong" w:eastAsia="FangSong" w:hAnsi="FangSong" w:cs="FangSong"/>
                <w:color w:val="666666"/>
                <w:lang w:val="en" w:eastAsia="en"/>
              </w:rPr>
              <w:br/>
            </w:r>
            <w:r>
              <w:rPr>
                <w:rFonts w:ascii="FangSong" w:eastAsia="FangSong" w:hAnsi="FangSong" w:cs="FangSong"/>
                <w:color w:val="666666"/>
                <w:lang w:val="en" w:eastAsia="en"/>
              </w:rPr>
              <w:t>1.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8.本项目是（否）专门面向中小企业采购：否；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投标文件组成要求及格式-《供应商基本情况表》，如供应商存在未提供《供应商基本情况表》或所提供《供应商基本情况表》不符合采购文件要求的情形，按资格审查不通过处理）；：</w:t>
            </w:r>
            <w:r>
              <w:rPr>
                <w:rFonts w:ascii="FangSong" w:eastAsia="FangSong" w:hAnsi="FangSong" w:cs="FangSong"/>
                <w:color w:val="666666"/>
                <w:lang w:val="en" w:eastAsia="en"/>
              </w:rPr>
              <w:br/>
            </w:r>
            <w:r>
              <w:rPr>
                <w:rFonts w:ascii="FangSong" w:eastAsia="FangSong" w:hAnsi="FangSong" w:cs="FangSong"/>
                <w:color w:val="666666"/>
                <w:lang w:val="en" w:eastAsia="en"/>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投标文件组成要求及格式-《供应商基本情况表》，如供应商存在未提供《供应商基本情况表》或所提供《供应商基本情况表》不符合采购文件要求的情形，按资格审查不通过处理）；</w:t>
            </w:r>
            <w:r>
              <w:rPr>
                <w:rFonts w:ascii="FangSong" w:eastAsia="FangSong" w:hAnsi="FangSong" w:cs="FangSong"/>
                <w:color w:val="666666"/>
                <w:lang w:val="en" w:eastAsia="en"/>
              </w:rPr>
              <w:br/>
            </w:r>
            <w:r>
              <w:rPr>
                <w:rFonts w:ascii="FangSong" w:eastAsia="FangSong" w:hAnsi="FangSong" w:cs="FangSong"/>
                <w:color w:val="666666"/>
                <w:lang w:val="en" w:eastAsia="en"/>
              </w:rPr>
              <w:t>10.（1）投标人若为生产企业，所投产品为第二、三类医疗器械的，提供监督管理部门颁发的涵盖所投医疗器械的《医疗器械生产许可证》（有效期内）扫描件；（2）投标人若为经营企业，所投产品为第二类医疗器械的，提供监督管理部门颁发的涵盖所投医疗器械的《医疗器械经营备案凭证》（有效期内）扫描件；所投产品为第三类医疗器械的，提供监督管理部门颁发的涵盖所投医疗器械的《医疗器械经营许可证》（有效期内）扫描件。：</w:t>
            </w:r>
            <w:r>
              <w:rPr>
                <w:rFonts w:ascii="FangSong" w:eastAsia="FangSong" w:hAnsi="FangSong" w:cs="FangSong"/>
                <w:color w:val="666666"/>
                <w:lang w:val="en" w:eastAsia="en"/>
              </w:rPr>
              <w:br/>
            </w:r>
            <w:r>
              <w:rPr>
                <w:rFonts w:ascii="FangSong" w:eastAsia="FangSong" w:hAnsi="FangSong" w:cs="FangSong"/>
                <w:color w:val="666666"/>
                <w:lang w:val="en" w:eastAsia="en"/>
              </w:rPr>
              <w:t>10.（1）投标人若为生产企业，所投产品为第二、三类医疗器械的，提供监督管理部门颁发的涵盖所投医疗器械的《医疗器械生产许可证》（有效期内）扫描件；（2）投标人若为经营企业，所投产品为第二类医疗器械的，提供监督管理部门颁发的涵盖所投医疗器械的《医疗器械经营备案凭证》（有效期内）扫描件；所投产品为第三类医疗器械的，提供监督管理部门颁发的涵盖所投医疗器械的《医疗器械经营许可证》（有效期内）扫描件。</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填报的综合折扣不满足“0＜综合折扣≤0.70（70%）”公式要求的；填报的综合折扣不满足“最多保留小数点后2位”要求的；综合折扣缺填、漏填或填报了两个或以上综合折扣；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填报的综合折扣不满足“0＜综合折扣≤0.70（70%）”公式要求的；填报的综合折扣不满足“最多保留小数点后2位”要求的；综合折扣缺填、漏填或填报了两个或以上综合折扣；</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作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作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未按招标文件所提供的样式填写《投标函》；未按招标文件所提供的《政府采购投标及履约承诺函》进行承诺或不符合承诺的；未按招标文件对投标文件组成的要求提供投标文件；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投标人结合本项目需求，提供项目实施方案，内容包括但不限于： ①项目整体实施计划； ②各项服务； ③组织实施方案； ④项目主要团队成员情况以及各项管理规章制度。 （二）评分依据 1.投标人提供的方案每包含以上任意1项内容的，得12.5分；其他情况不得分，本小项最高得50分。 2.在满足第1项评分（即第1项得分）的基础上，根据以下标准进行评价评分： （1）评价为优：方案内容详细、条理清晰、准确合理，考虑全面可靠，能够全面理解本项目的要求，并有针对性作出响应，具体落实措施可行性高且针对性强的，评审为优，得50分； （2）评价为良：方案内容较详细、条理较清晰、较准确合理，考虑较全面可靠，能够比较全面理解本项目的要求，具体落实措施可行性较高且针对性较强的，得30分； （3）评价为中：方案内容不尽合理、针对性一般、可操作性一般，得10分； （4）评价为差：方案不合理、无针对性、无可操作性，为不得分，即得0分。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质量保证措施及方案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投标人结合本项目需求，提供质量保证措施方案，内容包括但不限于： ①医学影像处理的准确性； ②完成时间以及安全性。 （二）评分依据 1.投标人提供的方案每包含以上任意1项内容的，得25分；其他情况不得分，本小项最高得50分。 2.在满足第1项评分（即第1项得分）的基础上，根据以下标准进行评价评分： （1）评价为优：方案内容详细、条理清晰、准确合理，考虑全面可靠，能够全面理解本项目的要求，并有针对性作出响应，具体落实措施可行性高且针对性强的，得50分； （2）评价为良：方案内容较详细、条理较清晰、较准确合理，考虑较全面可靠，能够比较全面理解本项目的要求，具体落实措施可行性较高且针对性较强的，得30分； （3）评价为中：方案内容不尽合理、针对性一般、可操作性一般的，得10分； （4）评价为差：方案不合理、无针对性、无可操作性的，得0分。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投标人结合本项目需求，提供项目分析、应对措施及相关的合理化建议，内容包括但不限于： ①分析项目的重点难点； ②项目风险控制； ③验收方案、应急措施等。 （二）评分依据 1.投标人提供的方案每包含以上任意1项内容的，得20分；其他情况不得分，本小项最高得60分。 2.在满足第1项评分（即第1项得分）的基础上，根据以下标准进行评价评分： （1）评价为优：方案内容详细、条理清晰、准确合理，考虑全面可靠，能够全面理解本项目的要求，并有针对性作出响应，具体落实措施可行性高且针对性强的，得40分； （2）评价为良：方案内容较详细、条理较清晰、较准确合理，考虑较全面可靠，能够比较全面理解本项目的要求，具体落实措施可行性较高且针对性较强的，得20分； （3）评价为中：方案内容不尽合理、针对性一般、可操作性一般的，得10分； （4）评价为差：方案不合理、无针对性、无可操作性的，得0分。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投标人结合本项目需求，提供项目完成（服务期满）后的服务承诺，内容包括但不限于： ①承诺服务期满移交所有项目服务资料文件； ②承诺服务期满后提交服务期内总结报告； ③承诺服务期满后在接到采购人技术咨询问题1天内远程或现场解决。 （二）评分依据 1.投标人提供的方案每包含以上任意1项内容的，得20分；其他情况不得分，本小项最高得60分。 2.在满足第1项评分（即第1项得分）的基础上，根据以下标准进行评价评分： （1）评价为优：方案内容详细、条理清晰、准确合理，考虑全面可靠，能够全面理解本项目的要求，并有针对性作出响应，具体落实措施可行性高且针对性强的，得40分； （2）评价为良：方案内容较详细、条理较清晰、较准确合理，考虑较全面可靠，能够比较全面理解本项目的要求，具体落实措施可行性较高且针对性较强的，得20分； （3）评价为中：方案内容不尽合理、针对性一般、可操作性一般的，得10分； （4）评价为差：方案不合理、无针对性、无可操作性的，得0分。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拟投入的配套服务平台软件重要技术参数响应情况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根据项目需求中配套服务平台软件技术要求的满足程度进行评价，评审委员会以投标文件《技术要求偏离表》响应情况进行打分。 （二）评分依据 带“▲”号重要技术要求，每有一项负偏离的扣12.5分，扣完为止； 本项最高100分，最低得0分。 如技术要求中载明提供证明材料的，需提供对应的证明材料，其余技术要求以投标人填写的响应情况为准。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拟投入的配套服务平台软件一般技术参数响应情况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根据项目需求中配套服务平台软件技术要求的满足程度进行评价，评审委员会以投标文件《技术要求偏离表》响应情况进行打分。 （二）评分依据 除带“★”不可偏离技术要求和“▲”号重要技术要求以外的一般技术要求每有一项负偏离的扣2.2分，扣完为止； 本项最高100分，最低得0分。 如技术要求中载明提供证明材料的，需提供对应的证明材料，其余技术要求以投标人填写的响应情况为准。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综合实力部分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提供投标人2022年1月1日至本项目投标截止日（以合同签订日期为准），提供具有个体化3D模型重建（胸腹部手术规划）服务或者三维可视化服务或者三维重建技术服务的项目业绩，每提供1宗业绩的得20分，其它情况不得分，本项最高得100分。 （二）评分依据 1.提供合同关键页（包括但不限于签订合同双方名称页、合同项目名称、主要内容页、合同签订日期页、合同双方签字盖章页）证明材料【若合同甲方（采购方）有名称变更的，投标人还需提供说明函并加盖投标人公章】扫描件 2.如未按要求提供证明材料，或所提供的证明材料未能体现上述评分内容的，一律作不得分处理。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考察投标人的相关认证情况： ①具有ISO9001质量管理体系认证证书，得20分，最高得20分； ②具有ISO14001环境管理体系认证证书，得40分，最高得40分； ③具有ISO13485医疗器械质量管理体系认证证书，得40分，最高得40分； 以上3项得分累计，满分100分。 （二）评审依据 1.投标人提供有效期内的认证证书扫描件以及全国认证认可信息公共服务平台（认e云）（httpcx.cnca.cn）的认证信息截图（包括但不限于证书编号、证书状态、证书到期日期、组织名称、发证机构名称）并体现网址。 2.如未按要求提供证明材料，或所提供的证明材料未能体现上述评分内容的，视为该证明材料无效。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获奖情况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自2015年1月1日至本项目投标截止日，获得事业单位或政府部门或党政机关颁发的信息化项目相关获奖证书的，每提供一个获奖证书得34分，累计得分，最高得100分。同一项目同时满足多个奖项要求的不可累计得分，仅按最优情况计算1次分值，同一奖项不可累计得分。 （二）评分依据： 1.要求提供奖项照片或获奖（荣誉）证书等证明材料作为得分依据。 2.以上资料均要求提供扫描件。评分中出现无证明资料或专家无法凭所提供资料判断是否得分的情况，一律作不得分处理。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自主知识产权产品（创新、设计）情况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考察投标人自主知识产权情况： 1.具有医学三维模型重建服务类软件著作权证书，得15分； 2.具有医学影像存储与传输系统类软件著作权证书，得15分； 3.具有腔镜影像与三维融合类软件著作权证书，得20分； 4.具有医学影像支气管分割方法相关专利证书（不含外观设计专利），得15分； 5.提供医学影像肺动静脉提取方法相关专利证书（不含外观设计专利），得25分； 6.提供外科学、呼吸系统疾病、消化系统疾病领域核心期刊论文中作者单位体现投标人名称或发布作者有投标人成员的文章2篇，得10分，只提供1篇不得分； 注：上述1-6项证书或文章的名称如不完全一致，但实际功能相同或同等意义功能表述相同的亦可认为符合相关证书要求。 注：以上6项累计得分，最高得100分。如同一个证书同时满足多项要求的，不得重复计分，以得分最优情况计算1次分值。 （二）评分依据 1.关于1-5项的软件著作权证书及专利证书，要求提供有效的证书扫描件证明材料作为得分依据。 2.关于第6项的文章，要求提供文章扫描件作为证明材料，如作者单位未体现投标人信息，但有发布作者有投标人成员的，还需同时提供投标人为该人员缴交的近三个月任意一个月（具体指投标截止日所在月的上一个月起倒算）社保缴交证明材料（证明资料可为社保收缴部门盖章证明资料、社保窗口打印资料或社保官网截图）。如社保材料因社保部门原因暂时无法取得，则可以往前顺延一个月。如投标人注册成立时间不足1个月的，可提供承诺函证明拟投入的项目负责人为其自有员工（格式自拟），否则投入的该人员作不得分处理。 2.如未按要求提供证明材料，或所提供的证明材料未能体现上述评分内容的，视为该证明材料无效，一律作不得分处理。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0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w:t>
    </w:r>
    <w:r>
      <w:rPr>
        <w:rFonts w:ascii="宋体" w:hAnsi="宋体" w:cs="宋体" w:hint="eastAsia"/>
      </w:rPr>
      <w:t xml:space="preserve"> </w:t>
    </w: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55</w:t>
    </w:r>
    <w:r>
      <w:rPr>
        <w:rFonts w:ascii="宋体" w:hAnsi="宋体" w:cs="宋体" w:hint="eastAsia"/>
      </w:rPr>
      <w:fldChar w:fldCharType="end"/>
    </w:r>
    <w:r>
      <w:t xml:space="preserve"> -</w:t>
    </w:r>
  </w:p>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1FCB49"/>
    <w:multiLevelType w:val="singleLevel"/>
    <w:tmpl w:val="9A1FCB49"/>
    <w:lvl w:ilvl="0">
      <w:start w:val="1"/>
      <w:numFmt w:val="decimal"/>
      <w:suff w:val="nothing"/>
      <w:lvlText w:val="（%1）"/>
      <w:lvlJc w:val="left"/>
    </w:lvl>
  </w:abstractNum>
  <w:abstractNum w:abstractNumId="1">
    <w:nsid w:val="B4F30691"/>
    <w:multiLevelType w:val="singleLevel"/>
    <w:tmpl w:val="B4F30691"/>
    <w:lvl w:ilvl="0">
      <w:start w:val="3"/>
      <w:numFmt w:val="decimal"/>
      <w:suff w:val="nothing"/>
      <w:lvlText w:val="（%1）"/>
      <w:lvlJc w:val="left"/>
    </w:lvl>
  </w:abstractNum>
  <w:abstractNum w:abstractNumId="2">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4B5A39C"/>
    <w:multiLevelType w:val="singleLevel"/>
    <w:tmpl w:val="14B5A39C"/>
    <w:lvl w:ilvl="0">
      <w:start w:val="1"/>
      <w:numFmt w:val="chineseCounting"/>
      <w:suff w:val="nothing"/>
      <w:lvlText w:val="（%1）"/>
      <w:lvlJc w:val="left"/>
      <w:rPr>
        <w:rFonts w:hint="eastAsia"/>
      </w:rPr>
    </w:lvl>
  </w:abstractNum>
  <w:abstractNum w:abstractNumId="4">
    <w:nsid w:val="5B36B47E"/>
    <w:multiLevelType w:val="singleLevel"/>
    <w:tmpl w:val="5B36B47E"/>
    <w:lvl w:ilvl="0">
      <w:start w:val="1"/>
      <w:numFmt w:val="decimal"/>
      <w:suff w:val="nothing"/>
      <w:lvlText w:val="%1、"/>
      <w:lvlJc w:val="left"/>
    </w:lvl>
  </w:abstractNum>
  <w:abstractNum w:abstractNumId="5">
    <w:nsid w:val="69314538"/>
    <w:multiLevelType w:val="singleLevel"/>
    <w:tmpl w:val="69314538"/>
    <w:lvl w:ilvl="0">
      <w:start w:val="1"/>
      <w:numFmt w:val="decimal"/>
      <w:lvlText w:val="%1."/>
      <w:lvlJc w:val="left"/>
      <w:pPr>
        <w:tabs>
          <w:tab w:val="left" w:pos="312"/>
        </w:tabs>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autoRedefine/>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0"/>
    <w:autoRedefine/>
    <w:qFormat/>
    <w:pPr>
      <w:adjustRightInd w:val="0"/>
      <w:jc w:val="center"/>
      <w:textAlignment w:val="baseline"/>
      <w:outlineLvl w:val="1"/>
    </w:pPr>
    <w:rPr>
      <w:kern w:val="0"/>
      <w:sz w:val="24"/>
      <w:szCs w:val="20"/>
    </w:rPr>
  </w:style>
  <w:style w:type="paragraph" w:styleId="Heading3">
    <w:name w:val="heading 3"/>
    <w:basedOn w:val="Normal"/>
    <w:next w:val="Normal"/>
    <w:link w:val="3Char1"/>
    <w:uiPriority w:val="9"/>
    <w:qFormat/>
    <w:pPr>
      <w:widowControl w:val="0"/>
      <w:spacing w:before="260" w:after="260"/>
      <w:jc w:val="both"/>
      <w:outlineLvl w:val="2"/>
    </w:pPr>
    <w:rPr>
      <w:rFonts w:ascii="宋体" w:eastAsia="宋体" w:hAnsi="宋体" w:cstheme="minorBidi"/>
      <w:kern w:val="2"/>
      <w:sz w:val="21"/>
      <w:szCs w:val="32"/>
      <w:lang w:eastAsia="zh-CN"/>
    </w:rPr>
  </w:style>
  <w:style w:type="paragraph" w:styleId="Heading4">
    <w:name w:val="heading 4"/>
    <w:basedOn w:val="Normal"/>
    <w:next w:val="Normal"/>
    <w:link w:val="4Char"/>
    <w:autoRedefine/>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Char"/>
    <w:autoRedefine/>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
    <w:name w:val="页脚 Char"/>
    <w:basedOn w:val="DefaultParagraphFont"/>
    <w:link w:val="Footer"/>
    <w:autoRedefine/>
    <w:qFormat/>
    <w:rPr>
      <w:rFonts w:eastAsia="宋体"/>
      <w:sz w:val="18"/>
      <w:szCs w:val="18"/>
    </w:rPr>
  </w:style>
  <w:style w:type="character" w:styleId="PageNumber">
    <w:name w:val="page number"/>
    <w:basedOn w:val="DefaultParagraphFont"/>
    <w:autoRedefine/>
    <w:qFormat/>
  </w:style>
  <w:style w:type="paragraph" w:styleId="BodyText">
    <w:name w:val="Body Text"/>
    <w:basedOn w:val="Normal"/>
    <w:next w:val="BodyText2"/>
    <w:link w:val="Char0"/>
    <w:autoRedefine/>
    <w:unhideWhenUsed/>
    <w:qFormat/>
    <w:pPr>
      <w:widowControl w:val="0"/>
      <w:spacing w:after="120"/>
      <w:jc w:val="both"/>
    </w:pPr>
    <w:rPr>
      <w:rFonts w:eastAsia="宋体"/>
      <w:kern w:val="2"/>
      <w:sz w:val="21"/>
      <w:lang w:eastAsia="zh-CN"/>
    </w:rPr>
  </w:style>
  <w:style w:type="paragraph" w:styleId="BodyText2">
    <w:name w:val="Body Text 2"/>
    <w:basedOn w:val="Normal"/>
    <w:link w:val="2Char"/>
    <w:autoRedefine/>
    <w:qFormat/>
    <w:pPr>
      <w:widowControl w:val="0"/>
      <w:spacing w:line="360" w:lineRule="auto"/>
      <w:jc w:val="both"/>
    </w:pPr>
    <w:rPr>
      <w:rFonts w:eastAsia="宋体"/>
      <w:kern w:val="2"/>
      <w:lang w:eastAsia="zh-CN"/>
    </w:rPr>
  </w:style>
  <w:style w:type="character" w:customStyle="1" w:styleId="2Char">
    <w:name w:val="正文文本 2 Char"/>
    <w:basedOn w:val="DefaultParagraphFont"/>
    <w:link w:val="BodyText2"/>
    <w:autoRedefine/>
    <w:qFormat/>
    <w:rPr>
      <w:rFonts w:eastAsia="宋体"/>
      <w:sz w:val="24"/>
      <w:szCs w:val="24"/>
    </w:rPr>
  </w:style>
  <w:style w:type="character" w:customStyle="1" w:styleId="Char0">
    <w:name w:val="正文文本 Char"/>
    <w:basedOn w:val="DefaultParagraphFont"/>
    <w:link w:val="BodyText"/>
    <w:autoRedefine/>
    <w:qFormat/>
    <w:rPr>
      <w:rFonts w:eastAsia="宋体"/>
      <w:szCs w:val="24"/>
    </w:rPr>
  </w:style>
  <w:style w:type="paragraph" w:styleId="NormalWeb">
    <w:name w:val="Normal (Web)"/>
    <w:basedOn w:val="Normal"/>
    <w:link w:val="Char1"/>
    <w:autoRedefine/>
    <w:uiPriority w:val="99"/>
    <w:qFormat/>
    <w:pPr>
      <w:widowControl w:val="0"/>
      <w:jc w:val="both"/>
    </w:pPr>
    <w:rPr>
      <w:rFonts w:eastAsia="宋体"/>
      <w:kern w:val="2"/>
      <w:lang w:eastAsia="zh-CN"/>
    </w:rPr>
  </w:style>
  <w:style w:type="character" w:customStyle="1" w:styleId="Char1">
    <w:name w:val="普通(网站) Char"/>
    <w:link w:val="NormalWeb"/>
    <w:autoRedefine/>
    <w:uiPriority w:val="99"/>
    <w:qFormat/>
    <w:rPr>
      <w:rFonts w:eastAsia="宋体"/>
      <w:sz w:val="24"/>
      <w:szCs w:val="24"/>
    </w:rPr>
  </w:style>
  <w:style w:type="paragraph" w:styleId="PlainText">
    <w:name w:val="Plain Text"/>
    <w:basedOn w:val="Normal"/>
    <w:link w:val="Char2"/>
    <w:autoRedefine/>
    <w:qFormat/>
    <w:pPr>
      <w:widowControl w:val="0"/>
      <w:jc w:val="both"/>
    </w:pPr>
    <w:rPr>
      <w:rFonts w:ascii="宋体" w:eastAsia="宋体" w:hAnsi="Courier New"/>
      <w:kern w:val="2"/>
      <w:sz w:val="21"/>
      <w:szCs w:val="20"/>
      <w:lang w:eastAsia="zh-CN"/>
    </w:rPr>
  </w:style>
  <w:style w:type="character" w:customStyle="1" w:styleId="Char2">
    <w:name w:val="纯文本 Char"/>
    <w:basedOn w:val="DefaultParagraphFont"/>
    <w:link w:val="PlainText"/>
    <w:autoRedefine/>
    <w:qFormat/>
    <w:rPr>
      <w:rFonts w:ascii="宋体" w:eastAsia="宋体" w:hAnsi="Courier New"/>
    </w:rPr>
  </w:style>
  <w:style w:type="paragraph" w:styleId="CommentText">
    <w:name w:val="annotation text"/>
    <w:basedOn w:val="Normal"/>
    <w:link w:val="Char3"/>
    <w:autoRedefine/>
    <w:qFormat/>
    <w:pPr>
      <w:widowControl w:val="0"/>
      <w:autoSpaceDE w:val="0"/>
      <w:autoSpaceDN w:val="0"/>
      <w:adjustRightInd w:val="0"/>
      <w:textAlignment w:val="baseline"/>
    </w:pPr>
    <w:rPr>
      <w:rFonts w:ascii="宋体" w:eastAsia="宋体"/>
      <w:sz w:val="34"/>
      <w:szCs w:val="20"/>
      <w:lang w:eastAsia="zh-CN"/>
    </w:rPr>
  </w:style>
  <w:style w:type="character" w:customStyle="1" w:styleId="Char3">
    <w:name w:val="批注文字 Char"/>
    <w:basedOn w:val="DefaultParagraphFont"/>
    <w:link w:val="CommentText"/>
    <w:autoRedefine/>
    <w:qFormat/>
    <w:rPr>
      <w:rFonts w:ascii="宋体" w:eastAsia="宋体"/>
      <w:sz w:val="34"/>
    </w:rPr>
  </w:style>
  <w:style w:type="character" w:customStyle="1" w:styleId="3Char1">
    <w:name w:val="标题 3 Char1"/>
    <w:link w:val="Heading3"/>
    <w:autoRedefine/>
    <w:uiPriority w:val="9"/>
    <w:qFormat/>
    <w:rPr>
      <w:rFonts w:ascii="宋体" w:eastAsia="宋体" w:hAnsi="宋体"/>
      <w:b/>
      <w:bCs/>
      <w:sz w:val="28"/>
      <w:szCs w:val="32"/>
    </w:rPr>
  </w:style>
  <w:style w:type="character" w:customStyle="1" w:styleId="4Char">
    <w:name w:val="标题 4 Char"/>
    <w:basedOn w:val="DefaultParagraphFont"/>
    <w:link w:val="Heading4"/>
    <w:autoRedefine/>
    <w:uiPriority w:val="9"/>
    <w:qFormat/>
    <w:rPr>
      <w:rFonts w:ascii="Arial" w:eastAsia="黑体" w:hAnsi="Arial"/>
      <w:b/>
      <w:bCs/>
      <w:sz w:val="28"/>
      <w:szCs w:val="28"/>
    </w:rPr>
  </w:style>
  <w:style w:type="character" w:customStyle="1" w:styleId="2Char0">
    <w:name w:val="标题 2 Char"/>
    <w:basedOn w:val="DefaultParagraphFont"/>
    <w:link w:val="Heading2"/>
    <w:autoRedefine/>
    <w:qFormat/>
    <w:rPr>
      <w:rFonts w:ascii="宋体" w:eastAsia="宋体" w:hAnsi="宋体"/>
      <w:b/>
      <w:bCs/>
      <w:sz w:val="24"/>
    </w:rPr>
  </w:style>
  <w:style w:type="character" w:customStyle="1" w:styleId="1Char">
    <w:name w:val="标题 1 Char"/>
    <w:basedOn w:val="DefaultParagraphFont"/>
    <w:link w:val="Heading1"/>
    <w:autoRedefine/>
    <w:qFormat/>
    <w:rPr>
      <w:rFonts w:ascii="宋体" w:eastAsia="黑体" w:hAnsi="宋体"/>
      <w:b/>
      <w:bCs/>
      <w:kern w:val="44"/>
      <w:sz w:val="28"/>
      <w:szCs w:val="44"/>
    </w:rPr>
  </w:style>
  <w:style w:type="table" w:styleId="TableGrid">
    <w:name w:val="Table Grid"/>
    <w:basedOn w:val="TableNormal"/>
    <w:autoRedefine/>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Footer"/>
    <w:link w:val="Char4"/>
    <w:autoRedefine/>
    <w:qFormat/>
    <w:pPr>
      <w:widowControl w:val="0"/>
      <w:ind w:firstLine="420"/>
      <w:jc w:val="both"/>
    </w:pPr>
    <w:rPr>
      <w:rFonts w:eastAsia="宋体"/>
      <w:kern w:val="2"/>
      <w:sz w:val="21"/>
      <w:szCs w:val="20"/>
      <w:lang w:eastAsia="zh-CN"/>
    </w:rPr>
  </w:style>
  <w:style w:type="character" w:customStyle="1" w:styleId="Char4">
    <w:name w:val="正文缩进 Char"/>
    <w:link w:val="NormalIndent"/>
    <w:autoRedefine/>
    <w:qFormat/>
    <w:rPr>
      <w:rFonts w:eastAsia="宋体"/>
    </w:rPr>
  </w:style>
  <w:style w:type="paragraph" w:styleId="BodyTextIndent">
    <w:name w:val="Body Text Indent"/>
    <w:basedOn w:val="Normal"/>
    <w:link w:val="Char5"/>
    <w:autoRedefine/>
    <w:qFormat/>
    <w:pPr>
      <w:widowControl w:val="0"/>
      <w:spacing w:line="360" w:lineRule="auto"/>
      <w:ind w:firstLine="420" w:firstLineChars="200"/>
      <w:jc w:val="both"/>
    </w:pPr>
    <w:rPr>
      <w:rFonts w:eastAsia="宋体"/>
      <w:kern w:val="2"/>
      <w:sz w:val="21"/>
      <w:lang w:eastAsia="zh-CN"/>
    </w:rPr>
  </w:style>
  <w:style w:type="character" w:customStyle="1" w:styleId="Char5">
    <w:name w:val="正文文本缩进 Char"/>
    <w:basedOn w:val="DefaultParagraphFont"/>
    <w:link w:val="BodyTextIndent"/>
    <w:autoRedefine/>
    <w:qFormat/>
    <w:rPr>
      <w:rFonts w:eastAsia="宋体"/>
      <w:szCs w:val="24"/>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