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widowControl w:val="0"/>
        <w:spacing w:before="0" w:after="0"/>
        <w:jc w:val="both"/>
        <w:rPr>
          <w:rFonts w:eastAsia="宋体"/>
          <w:b/>
          <w:bCs/>
          <w:sz w:val="40"/>
          <w:szCs w:val="40"/>
          <w:lang w:eastAsia="zh-CN"/>
        </w:rPr>
      </w:pPr>
    </w:p>
    <w:p>
      <w:pPr>
        <w:widowControl/>
        <w:tabs>
          <w:tab w:val="left" w:pos="1350"/>
          <w:tab w:val="center" w:pos="4536"/>
        </w:tabs>
        <w:spacing w:before="454" w:after="454"/>
        <w:ind w:right="1"/>
        <w:jc w:val="center"/>
        <w:outlineLvl w:val="0"/>
        <w:rPr>
          <w:rFonts w:eastAsia="宋体"/>
          <w:b/>
          <w:bCs/>
          <w:sz w:val="40"/>
          <w:szCs w:val="40"/>
          <w:lang w:eastAsia="zh-CN"/>
        </w:rPr>
      </w:pPr>
      <w:r>
        <w:rPr>
          <w:rFonts w:eastAsia="宋体" w:hint="eastAsia"/>
          <w:b/>
          <w:bCs/>
          <w:sz w:val="40"/>
          <w:szCs w:val="40"/>
          <w:lang w:eastAsia="zh-CN"/>
        </w:rPr>
        <w:t>深圳市南山区妇幼保健院院内零星修缮服务</w:t>
      </w:r>
    </w:p>
    <w:p>
      <w:pPr>
        <w:widowControl/>
        <w:spacing w:beforeAutospacing="1" w:afterAutospacing="1"/>
        <w:jc w:val="center"/>
        <w:outlineLvl w:val="1"/>
        <w:rPr>
          <w:rFonts w:ascii="黑体" w:eastAsia="黑体" w:hAnsi="宋体" w:cs="黑体"/>
          <w:sz w:val="40"/>
          <w:szCs w:val="40"/>
          <w:lang w:eastAsia="zh-CN"/>
        </w:rPr>
      </w:pPr>
    </w:p>
    <w:p>
      <w:pPr>
        <w:widowControl/>
        <w:spacing w:beforeAutospacing="1" w:afterAutospacing="1"/>
        <w:jc w:val="center"/>
        <w:outlineLvl w:val="1"/>
        <w:rPr>
          <w:rFonts w:ascii="黑体" w:eastAsia="黑体" w:hAnsi="宋体" w:cs="黑体"/>
          <w:sz w:val="40"/>
          <w:szCs w:val="40"/>
          <w:lang w:eastAsia="zh-CN"/>
        </w:rPr>
      </w:pPr>
      <w:r>
        <w:rPr>
          <w:rFonts w:ascii="黑体" w:eastAsia="黑体" w:hAnsi="宋体" w:cs="黑体" w:hint="eastAsia"/>
          <w:sz w:val="40"/>
          <w:szCs w:val="40"/>
          <w:lang w:eastAsia="zh-CN"/>
        </w:rPr>
        <w:t>招标文件信息</w:t>
      </w:r>
    </w:p>
    <w:tbl>
      <w:tblPr>
        <w:tblStyle w:val="TableNormal"/>
        <w:tblW w:w="5000" w:type="pct"/>
        <w:jc w:val="center"/>
        <w:tblCellSpacing w:w="0" w:type="dxa"/>
        <w:tblLayout w:type="fixed"/>
        <w:tblCellMar>
          <w:top w:w="45" w:type="dxa"/>
          <w:left w:w="45" w:type="dxa"/>
          <w:bottom w:w="45" w:type="dxa"/>
          <w:right w:w="45" w:type="dxa"/>
        </w:tblCellMar>
      </w:tblPr>
      <w:tblGrid>
        <w:gridCol w:w="7907"/>
        <w:gridCol w:w="1045"/>
      </w:tblGrid>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eastAsia="宋体"/>
                <w:sz w:val="30"/>
                <w:szCs w:val="30"/>
                <w:lang w:eastAsia="zh-CN"/>
              </w:rPr>
              <w:t>项目编号：</w:t>
            </w:r>
          </w:p>
        </w:tc>
        <w:tc>
          <w:tcPr>
            <w:tcW w:w="360" w:type="dxa"/>
            <w:shd w:val="clear" w:color="auto" w:fill="auto"/>
            <w:vAlign w:val="center"/>
          </w:tcPr>
          <w:p>
            <w:pPr>
              <w:widowControl/>
              <w:jc w:val="left"/>
              <w:rPr>
                <w:rFonts w:eastAsia="宋体"/>
                <w:kern w:val="2"/>
                <w:sz w:val="30"/>
                <w:szCs w:val="30"/>
                <w:lang w:eastAsia="zh-CN"/>
              </w:rPr>
            </w:pPr>
            <w:r>
              <w:rPr>
                <w:rFonts w:eastAsia="宋体" w:hint="eastAsia"/>
                <w:kern w:val="2"/>
                <w:sz w:val="30"/>
                <w:szCs w:val="30"/>
                <w:lang w:eastAsia="zh-CN"/>
              </w:rPr>
              <w:t>NSZXCG-2025-00020</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360" w:type="dxa"/>
            <w:shd w:val="clear" w:color="auto" w:fill="auto"/>
            <w:vAlign w:val="center"/>
          </w:tcPr>
          <w:p>
            <w:pPr>
              <w:widowControl/>
              <w:jc w:val="right"/>
              <w:rPr>
                <w:rFonts w:eastAsia="宋体"/>
                <w:kern w:val="2"/>
                <w:sz w:val="30"/>
                <w:szCs w:val="30"/>
                <w:lang w:eastAsia="zh-CN"/>
              </w:rPr>
            </w:pPr>
            <w:r>
              <w:rPr>
                <w:rFonts w:eastAsia="宋体"/>
                <w:sz w:val="30"/>
                <w:szCs w:val="30"/>
                <w:lang w:eastAsia="zh-CN"/>
              </w:rPr>
              <w:t>项目名称：</w:t>
            </w:r>
          </w:p>
        </w:tc>
        <w:tc>
          <w:tcPr>
            <w:tcW w:w="360" w:type="dxa"/>
            <w:shd w:val="clear" w:color="auto" w:fill="auto"/>
            <w:vAlign w:val="center"/>
          </w:tcPr>
          <w:p>
            <w:pPr>
              <w:widowControl/>
              <w:jc w:val="left"/>
              <w:rPr>
                <w:rFonts w:eastAsia="宋体"/>
                <w:kern w:val="2"/>
                <w:sz w:val="30"/>
                <w:szCs w:val="30"/>
                <w:lang w:eastAsia="zh-CN"/>
              </w:rPr>
            </w:pPr>
            <w:r>
              <w:rPr>
                <w:rFonts w:eastAsia="宋体" w:hint="eastAsia"/>
                <w:kern w:val="2"/>
                <w:sz w:val="30"/>
                <w:szCs w:val="30"/>
                <w:lang w:eastAsia="zh-CN"/>
              </w:rPr>
              <w:t>深圳市南山区妇幼保健院院内零星修缮服务</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360" w:type="dxa"/>
            <w:shd w:val="clear" w:color="auto" w:fill="auto"/>
            <w:vAlign w:val="center"/>
          </w:tcPr>
          <w:p>
            <w:pPr>
              <w:widowControl/>
              <w:jc w:val="right"/>
              <w:rPr>
                <w:rFonts w:eastAsia="宋体"/>
                <w:kern w:val="2"/>
                <w:sz w:val="30"/>
                <w:szCs w:val="30"/>
                <w:lang w:eastAsia="zh-CN"/>
              </w:rPr>
            </w:pPr>
            <w:r>
              <w:rPr>
                <w:rFonts w:eastAsia="宋体"/>
                <w:sz w:val="30"/>
                <w:szCs w:val="30"/>
                <w:lang w:eastAsia="zh-CN"/>
              </w:rPr>
              <w:t>包 号：</w:t>
            </w:r>
          </w:p>
        </w:tc>
        <w:tc>
          <w:tcPr>
            <w:tcW w:w="360" w:type="dxa"/>
            <w:shd w:val="clear" w:color="auto" w:fill="auto"/>
            <w:vAlign w:val="center"/>
          </w:tcPr>
          <w:p>
            <w:pPr>
              <w:widowControl/>
              <w:jc w:val="left"/>
              <w:rPr>
                <w:rFonts w:eastAsia="宋体"/>
                <w:kern w:val="2"/>
                <w:sz w:val="30"/>
                <w:szCs w:val="30"/>
                <w:lang w:eastAsia="zh-CN"/>
              </w:rPr>
            </w:pPr>
            <w:r>
              <w:rPr>
                <w:rFonts w:eastAsia="宋体"/>
                <w:sz w:val="30"/>
                <w:szCs w:val="30"/>
                <w:lang w:eastAsia="zh-CN"/>
              </w:rPr>
              <w:t>A</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360"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项目类型：</w:t>
            </w:r>
          </w:p>
        </w:tc>
        <w:tc>
          <w:tcPr>
            <w:tcW w:w="360" w:type="dxa"/>
            <w:shd w:val="clear" w:color="auto" w:fill="auto"/>
            <w:vAlign w:val="center"/>
          </w:tcPr>
          <w:p>
            <w:pPr>
              <w:widowControl/>
              <w:jc w:val="left"/>
              <w:rPr>
                <w:rFonts w:eastAsia="宋体"/>
                <w:kern w:val="2"/>
                <w:sz w:val="30"/>
                <w:szCs w:val="30"/>
                <w:lang w:eastAsia="zh-CN"/>
              </w:rPr>
            </w:pPr>
            <w:r>
              <w:rPr>
                <w:rFonts w:ascii="宋体" w:eastAsia="宋体" w:hAnsi="宋体" w:cs="宋体" w:hint="eastAsia"/>
                <w:sz w:val="30"/>
                <w:szCs w:val="30"/>
                <w:lang w:eastAsia="zh-CN"/>
              </w:rPr>
              <w:t>服务</w:t>
            </w:r>
            <w:r>
              <w:rPr>
                <w:rFonts w:ascii="宋体" w:eastAsia="宋体" w:hAnsi="宋体" w:cs="宋体"/>
                <w:sz w:val="30"/>
                <w:szCs w:val="30"/>
                <w:lang w:eastAsia="zh-CN"/>
              </w:rPr>
              <w:t>类</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360"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采购方式：</w:t>
            </w:r>
          </w:p>
        </w:tc>
        <w:tc>
          <w:tcPr>
            <w:tcW w:w="360" w:type="dxa"/>
            <w:shd w:val="clear" w:color="auto" w:fill="auto"/>
            <w:vAlign w:val="center"/>
          </w:tcPr>
          <w:p>
            <w:pPr>
              <w:widowControl/>
              <w:jc w:val="left"/>
              <w:rPr>
                <w:rFonts w:eastAsia="宋体"/>
                <w:kern w:val="2"/>
                <w:sz w:val="30"/>
                <w:szCs w:val="30"/>
                <w:lang w:eastAsia="zh-CN"/>
              </w:rPr>
            </w:pPr>
            <w:r>
              <w:rPr>
                <w:rFonts w:ascii="宋体" w:eastAsia="宋体" w:hAnsi="宋体" w:cs="宋体"/>
                <w:sz w:val="30"/>
                <w:szCs w:val="30"/>
                <w:lang w:eastAsia="zh-CN"/>
              </w:rPr>
              <w:t>公开招标</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360"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货币类型：</w:t>
            </w:r>
          </w:p>
        </w:tc>
        <w:tc>
          <w:tcPr>
            <w:tcW w:w="360" w:type="dxa"/>
            <w:shd w:val="clear" w:color="auto" w:fill="auto"/>
            <w:vAlign w:val="center"/>
          </w:tcPr>
          <w:p>
            <w:pPr>
              <w:widowControl/>
              <w:jc w:val="left"/>
              <w:rPr>
                <w:rFonts w:eastAsia="宋体"/>
                <w:kern w:val="2"/>
                <w:sz w:val="30"/>
                <w:szCs w:val="30"/>
                <w:lang w:eastAsia="zh-CN"/>
              </w:rPr>
            </w:pPr>
            <w:r>
              <w:rPr>
                <w:rFonts w:ascii="宋体" w:eastAsia="宋体" w:hAnsi="宋体" w:cs="宋体"/>
                <w:sz w:val="30"/>
                <w:szCs w:val="30"/>
                <w:lang w:eastAsia="zh-CN"/>
              </w:rPr>
              <w:t>人民币</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360"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评标方法：</w:t>
            </w:r>
          </w:p>
        </w:tc>
        <w:tc>
          <w:tcPr>
            <w:tcW w:w="360" w:type="dxa"/>
            <w:shd w:val="clear" w:color="auto" w:fill="auto"/>
            <w:vAlign w:val="center"/>
          </w:tcPr>
          <w:p>
            <w:pPr>
              <w:widowControl/>
              <w:jc w:val="left"/>
              <w:rPr>
                <w:rFonts w:eastAsia="宋体"/>
                <w:kern w:val="2"/>
                <w:sz w:val="30"/>
                <w:szCs w:val="30"/>
                <w:lang w:eastAsia="zh-CN"/>
              </w:rPr>
            </w:pPr>
            <w:r>
              <w:rPr>
                <w:rFonts w:ascii="宋体" w:eastAsia="宋体" w:hAnsi="宋体" w:cs="宋体"/>
                <w:sz w:val="30"/>
                <w:szCs w:val="30"/>
                <w:lang w:eastAsia="zh-CN"/>
              </w:rPr>
              <w:t>综合评分法</w:t>
            </w:r>
          </w:p>
        </w:tc>
      </w:tr>
    </w:tbl>
    <w:p>
      <w:pPr>
        <w:widowControl w:val="0"/>
        <w:jc w:val="both"/>
        <w:rPr>
          <w:rFonts w:ascii="黑体" w:eastAsia="黑体" w:hAnsi="黑体"/>
          <w:kern w:val="2"/>
          <w:sz w:val="40"/>
          <w:szCs w:val="40"/>
          <w:lang w:eastAsia="zh-CN"/>
        </w:rPr>
      </w:pPr>
      <w:r>
        <w:rPr>
          <w:rFonts w:ascii="黑体" w:eastAsia="黑体" w:hAnsi="黑体" w:hint="eastAsia"/>
          <w:kern w:val="2"/>
          <w:sz w:val="40"/>
          <w:szCs w:val="40"/>
          <w:lang w:eastAsia="zh-CN"/>
        </w:rPr>
        <w:br w:type="page"/>
      </w:r>
    </w:p>
    <w:p>
      <w:pPr>
        <w:widowControl w:val="0"/>
        <w:spacing w:after="120"/>
        <w:jc w:val="both"/>
        <w:rPr>
          <w:rFonts w:eastAsia="宋体"/>
          <w:kern w:val="2"/>
          <w:sz w:val="21"/>
          <w:lang w:eastAsia="zh-CN"/>
        </w:rPr>
      </w:pPr>
    </w:p>
    <w:p>
      <w:pPr>
        <w:widowControl w:val="0"/>
        <w:jc w:val="center"/>
        <w:outlineLvl w:val="1"/>
        <w:rPr>
          <w:rFonts w:ascii="黑体" w:eastAsia="黑体" w:hAnsi="黑体"/>
          <w:kern w:val="2"/>
          <w:sz w:val="40"/>
          <w:szCs w:val="40"/>
          <w:lang w:eastAsia="zh-CN"/>
        </w:rPr>
      </w:pPr>
      <w:r>
        <w:rPr>
          <w:rFonts w:ascii="黑体" w:eastAsia="黑体" w:hAnsi="黑体" w:hint="eastAsia"/>
          <w:kern w:val="2"/>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6246"/>
        <w:gridCol w:w="2832"/>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center"/>
              <w:rPr>
                <w:rFonts w:ascii="宋体" w:eastAsia="宋体" w:hAnsi="宋体" w:cs="宋体"/>
                <w:kern w:val="2"/>
                <w:sz w:val="28"/>
                <w:szCs w:val="28"/>
                <w:lang w:eastAsia="zh-CN"/>
              </w:rPr>
            </w:pPr>
            <w:r>
              <w:rPr>
                <w:rFonts w:eastAsia="宋体"/>
                <w:kern w:val="2"/>
                <w:sz w:val="28"/>
                <w:szCs w:val="28"/>
                <w:lang w:eastAsia="zh-CN"/>
              </w:rPr>
              <w:t>序号</w:t>
            </w:r>
          </w:p>
        </w:tc>
        <w:tc>
          <w:tcPr>
            <w:tcW w:w="360"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center"/>
              <w:rPr>
                <w:rFonts w:ascii="宋体" w:eastAsia="宋体" w:hAnsi="宋体" w:cs="宋体"/>
                <w:kern w:val="2"/>
                <w:sz w:val="28"/>
                <w:szCs w:val="28"/>
                <w:lang w:eastAsia="zh-CN"/>
              </w:rPr>
            </w:pPr>
            <w:r>
              <w:rPr>
                <w:rFonts w:eastAsia="宋体"/>
                <w:kern w:val="2"/>
                <w:sz w:val="28"/>
                <w:szCs w:val="28"/>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360"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kern w:val="2"/>
                <w:sz w:val="21"/>
                <w:szCs w:val="21"/>
                <w:lang w:eastAsia="zh-CN"/>
              </w:rPr>
            </w:pPr>
            <w:r>
              <w:rPr>
                <w:rFonts w:ascii="宋体" w:eastAsia="宋体" w:hAnsi="宋体" w:cs="宋体" w:hint="eastAsia"/>
                <w:sz w:val="21"/>
                <w:szCs w:val="21"/>
                <w:lang w:eastAsia="zh-CN"/>
              </w:rPr>
              <w:t>投标人不符合资格要求，或未提交相应的资格证明资料（详见招标公告</w:t>
            </w:r>
            <w:r>
              <w:rPr>
                <w:rFonts w:ascii="宋体" w:eastAsia="宋体" w:hAnsi="宋体" w:cs="宋体" w:hint="eastAsia"/>
                <w:kern w:val="2"/>
                <w:sz w:val="21"/>
                <w:szCs w:val="21"/>
                <w:lang w:eastAsia="zh-CN"/>
              </w:rPr>
              <w:t>投标人资格要求，即申请人的资格要求</w:t>
            </w:r>
            <w:r>
              <w:rPr>
                <w:rFonts w:ascii="宋体" w:eastAsia="宋体" w:hAnsi="宋体" w:cs="宋体" w:hint="eastAsia"/>
                <w:sz w:val="21"/>
                <w:szCs w:val="21"/>
                <w:lang w:eastAsia="zh-CN"/>
              </w:rPr>
              <w:t>）</w:t>
            </w:r>
          </w:p>
        </w:tc>
      </w:tr>
    </w:tbl>
    <w:p>
      <w:pPr>
        <w:widowControl w:val="0"/>
        <w:spacing w:before="280"/>
        <w:jc w:val="center"/>
        <w:outlineLvl w:val="1"/>
        <w:rPr>
          <w:rFonts w:ascii="黑体" w:eastAsia="黑体" w:hAnsi="黑体"/>
          <w:kern w:val="2"/>
          <w:sz w:val="40"/>
          <w:szCs w:val="40"/>
          <w:lang w:eastAsia="zh-CN"/>
        </w:rPr>
      </w:pPr>
      <w:r>
        <w:rPr>
          <w:rFonts w:ascii="黑体" w:eastAsia="黑体" w:hAnsi="黑体" w:hint="eastAsia"/>
          <w:kern w:val="2"/>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6246"/>
        <w:gridCol w:w="2832"/>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eastAsia="宋体"/>
                <w:kern w:val="2"/>
                <w:sz w:val="28"/>
                <w:szCs w:val="28"/>
                <w:lang w:eastAsia="zh-CN"/>
              </w:rPr>
            </w:pPr>
            <w:r>
              <w:rPr>
                <w:rFonts w:ascii="宋体" w:eastAsia="宋体" w:hAnsi="宋体" w:cs="宋体"/>
                <w:sz w:val="28"/>
                <w:szCs w:val="28"/>
                <w:lang w:eastAsia="zh-CN"/>
              </w:rPr>
              <w:t>序号</w:t>
            </w:r>
          </w:p>
        </w:tc>
        <w:tc>
          <w:tcPr>
            <w:tcW w:w="360"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eastAsia="宋体"/>
                <w:kern w:val="2"/>
                <w:sz w:val="28"/>
                <w:szCs w:val="28"/>
                <w:lang w:eastAsia="zh-CN"/>
              </w:rPr>
            </w:pPr>
            <w:r>
              <w:rPr>
                <w:rFonts w:ascii="宋体" w:eastAsia="宋体" w:hAnsi="宋体" w:cs="宋体"/>
                <w:sz w:val="28"/>
                <w:szCs w:val="28"/>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1</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cs="宋体"/>
                <w:kern w:val="2"/>
                <w:sz w:val="21"/>
                <w:szCs w:val="21"/>
                <w:lang w:eastAsia="zh-CN"/>
              </w:rPr>
            </w:pPr>
            <w:r>
              <w:rPr>
                <w:rFonts w:ascii="宋体" w:eastAsia="宋体" w:hAnsi="宋体" w:cs="宋体" w:hint="eastAsia"/>
                <w:kern w:val="2"/>
                <w:sz w:val="21"/>
                <w:lang w:eastAsia="zh-CN"/>
              </w:rPr>
              <w:t>不得将一个包的内容拆开投标；</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2</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cs="宋体"/>
                <w:kern w:val="2"/>
                <w:sz w:val="21"/>
                <w:szCs w:val="21"/>
                <w:lang w:eastAsia="zh-CN"/>
              </w:rPr>
            </w:pPr>
            <w:r>
              <w:rPr>
                <w:rFonts w:ascii="宋体" w:eastAsia="宋体" w:hAnsi="宋体" w:cs="宋体" w:hint="eastAsia"/>
                <w:kern w:val="2"/>
                <w:sz w:val="21"/>
                <w:lang w:eastAsia="zh-CN"/>
              </w:rPr>
              <w:t>对同一项目投标时，不得提供两套以上的投标方案（招标文件另有规定的除外）；</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3</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rPr>
                <w:rFonts w:eastAsia="宋体"/>
                <w:szCs w:val="21"/>
                <w:lang w:eastAsia="zh-CN"/>
              </w:rPr>
            </w:pPr>
            <w:r>
              <w:rPr>
                <w:rFonts w:ascii="宋体" w:eastAsia="宋体" w:hAnsi="宋体" w:cs="宋体" w:hint="eastAsia"/>
                <w:kern w:val="2"/>
                <w:sz w:val="21"/>
                <w:lang w:eastAsia="zh-CN"/>
              </w:rPr>
              <w:t>填报的综合折扣不满足“0＜综合折扣≤1（100%）”公式要求的；填报的综合折扣不满足“最多保留小数点后</w:t>
            </w:r>
            <w:r>
              <w:rPr>
                <w:rFonts w:ascii="宋体" w:eastAsia="宋体" w:hAnsi="宋体" w:cs="宋体" w:hint="eastAsia"/>
                <w:kern w:val="2"/>
                <w:sz w:val="21"/>
                <w:lang w:eastAsia="zh-CN"/>
              </w:rPr>
              <w:t>2</w:t>
            </w:r>
            <w:r>
              <w:rPr>
                <w:rFonts w:ascii="宋体" w:eastAsia="宋体" w:hAnsi="宋体" w:cs="宋体" w:hint="eastAsia"/>
                <w:kern w:val="2"/>
                <w:sz w:val="21"/>
                <w:lang w:eastAsia="zh-CN"/>
              </w:rPr>
              <w:t>位”要求的；综合折扣缺填、漏填或填报了两个或以上综合折扣；</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4</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cs="宋体"/>
                <w:kern w:val="2"/>
                <w:sz w:val="21"/>
                <w:szCs w:val="21"/>
                <w:lang w:eastAsia="zh-CN"/>
              </w:rPr>
            </w:pPr>
            <w:r>
              <w:rPr>
                <w:rFonts w:ascii="宋体" w:eastAsia="宋体" w:hAnsi="宋体" w:cs="宋体" w:hint="eastAsia"/>
                <w:kern w:val="2"/>
                <w:sz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5</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所投货物、服务在技术、商务等方面没有实质性满足招标文件要求的（是否实质性满足招标文件要求，由评审委员会根据实质性条款响应情况作出评判；若招标文件未设置实质性条款，不得据此做投标无效处理）；</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6</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cs="宋体"/>
                <w:kern w:val="2"/>
                <w:sz w:val="21"/>
                <w:szCs w:val="21"/>
                <w:lang w:eastAsia="zh-CN"/>
              </w:rPr>
            </w:pPr>
            <w:r>
              <w:rPr>
                <w:rFonts w:ascii="宋体" w:eastAsia="宋体" w:hAnsi="宋体" w:cs="宋体" w:hint="eastAsia"/>
                <w:kern w:val="2"/>
                <w:sz w:val="21"/>
                <w:lang w:eastAsia="zh-CN"/>
              </w:rPr>
              <w:t>未按招标文件所提供的样式填写《投标函》；未按招标文件所提供的《政府采购投标及履约承诺函》进行承诺或不符合承诺的；未按招标文件对投标文件组成的要求提供投标文件；</w:t>
            </w:r>
          </w:p>
        </w:tc>
      </w:tr>
      <w:tr>
        <w:tblPrEx>
          <w:tblW w:w="5000" w:type="pct"/>
          <w:jc w:val="center"/>
          <w:tblLayout w:type="fixed"/>
          <w:tblCellMar>
            <w:top w:w="20" w:type="dxa"/>
            <w:left w:w="108" w:type="dxa"/>
            <w:bottom w:w="20" w:type="dxa"/>
            <w:right w:w="108" w:type="dxa"/>
          </w:tblCellMar>
        </w:tblPrEx>
        <w:trPr>
          <w:trHeight w:val="502"/>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7</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cs="宋体"/>
                <w:kern w:val="2"/>
                <w:sz w:val="21"/>
                <w:szCs w:val="21"/>
                <w:lang w:eastAsia="zh-CN"/>
              </w:rPr>
            </w:pPr>
            <w:r>
              <w:rPr>
                <w:rFonts w:ascii="Calibri" w:eastAsia="宋体" w:hAnsi="Calibri" w:cstheme="minorBidi" w:hint="eastAsia"/>
                <w:kern w:val="2"/>
                <w:sz w:val="21"/>
                <w:szCs w:val="22"/>
                <w:lang w:eastAsia="zh-CN"/>
              </w:rPr>
              <w:t>采购标的/所投产品/服务清单/报价等任意一类有缺漏项或响应不全，或者对招标文件规定的项目需求内容或者需求数量进行修改，评审委员会判定投标响应不满足采购需求；</w:t>
            </w:r>
          </w:p>
        </w:tc>
      </w:tr>
      <w:tr>
        <w:tblPrEx>
          <w:tblW w:w="5000" w:type="pct"/>
          <w:jc w:val="center"/>
          <w:tblLayout w:type="fixed"/>
          <w:tblCellMar>
            <w:top w:w="20" w:type="dxa"/>
            <w:left w:w="108" w:type="dxa"/>
            <w:bottom w:w="20" w:type="dxa"/>
            <w:right w:w="108" w:type="dxa"/>
          </w:tblCellMar>
        </w:tblPrEx>
        <w:trPr>
          <w:trHeight w:val="28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8</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cs="宋体"/>
                <w:kern w:val="2"/>
                <w:sz w:val="21"/>
                <w:szCs w:val="21"/>
                <w:lang w:eastAsia="zh-CN"/>
              </w:rPr>
            </w:pPr>
            <w:r>
              <w:rPr>
                <w:rFonts w:ascii="宋体" w:eastAsia="宋体" w:hAnsi="宋体" w:cs="宋体" w:hint="eastAsia"/>
                <w:kern w:val="2"/>
                <w:sz w:val="21"/>
                <w:lang w:eastAsia="zh-CN"/>
              </w:rPr>
              <w:t>投标文件电子文档不得带病毒；</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rPr>
              <w:t>9</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cs="宋体"/>
                <w:kern w:val="2"/>
                <w:sz w:val="21"/>
                <w:szCs w:val="21"/>
                <w:lang w:eastAsia="zh-CN"/>
              </w:rPr>
            </w:pPr>
            <w:r>
              <w:rPr>
                <w:rFonts w:ascii="宋体" w:eastAsia="宋体" w:hAnsi="宋体" w:cs="宋体" w:hint="eastAsia"/>
                <w:kern w:val="2"/>
                <w:sz w:val="21"/>
                <w:lang w:eastAsia="zh-CN"/>
              </w:rPr>
              <w:t>投标文件用不属于本公司的电子密钥</w:t>
            </w:r>
            <w:r>
              <w:rPr>
                <w:rFonts w:ascii="Calibri" w:eastAsia="宋体" w:hAnsi="Calibri" w:cstheme="minorBidi" w:hint="eastAsia"/>
                <w:kern w:val="2"/>
                <w:sz w:val="21"/>
                <w:szCs w:val="22"/>
                <w:lang w:eastAsia="zh-CN"/>
              </w:rPr>
              <w:t>进行加密</w:t>
            </w:r>
            <w:r>
              <w:rPr>
                <w:rFonts w:ascii="宋体" w:eastAsia="宋体" w:hAnsi="宋体" w:cs="宋体" w:hint="eastAsia"/>
                <w:kern w:val="2"/>
                <w:sz w:val="21"/>
                <w:lang w:eastAsia="zh-CN"/>
              </w:rPr>
              <w:t>或</w:t>
            </w:r>
            <w:r>
              <w:rPr>
                <w:rFonts w:ascii="Calibri" w:eastAsia="宋体" w:hAnsi="Calibri" w:cstheme="minorBidi" w:hint="eastAsia"/>
                <w:kern w:val="2"/>
                <w:sz w:val="21"/>
                <w:szCs w:val="22"/>
                <w:lang w:eastAsia="zh-CN"/>
              </w:rPr>
              <w:t>投标文件未按时解密的；</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ascii="宋体" w:eastAsia="宋体" w:hAnsi="宋体" w:cs="宋体"/>
                <w:sz w:val="21"/>
                <w:szCs w:val="21"/>
                <w:lang w:eastAsia="zh-CN"/>
              </w:rPr>
            </w:pPr>
            <w:r>
              <w:rPr>
                <w:rFonts w:ascii="宋体" w:eastAsia="宋体" w:hAnsi="宋体" w:cs="宋体" w:hint="eastAsia"/>
                <w:sz w:val="21"/>
                <w:szCs w:val="21"/>
                <w:lang w:eastAsia="zh-CN"/>
              </w:rPr>
              <w:t>10</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cs="宋体"/>
                <w:kern w:val="2"/>
                <w:sz w:val="21"/>
                <w:lang w:eastAsia="zh-CN"/>
              </w:rPr>
            </w:pPr>
            <w:r>
              <w:rPr>
                <w:rFonts w:ascii="宋体" w:eastAsia="宋体" w:hAnsi="宋体" w:cs="宋体" w:hint="eastAsia"/>
                <w:kern w:val="2"/>
                <w:sz w:val="21"/>
                <w:lang w:eastAsia="zh-CN"/>
              </w:rPr>
              <w:t>法律、法规、规章、规范性文件规定的其他情形。</w:t>
            </w:r>
          </w:p>
        </w:tc>
      </w:tr>
    </w:tbl>
    <w:p>
      <w:pPr>
        <w:widowControl w:val="0"/>
        <w:jc w:val="both"/>
        <w:rPr>
          <w:rFonts w:ascii="黑体" w:eastAsia="黑体" w:hAnsi="黑体"/>
          <w:kern w:val="2"/>
          <w:sz w:val="40"/>
          <w:szCs w:val="40"/>
          <w:lang w:eastAsia="zh-CN"/>
        </w:rPr>
      </w:pPr>
      <w:r>
        <w:rPr>
          <w:rFonts w:ascii="黑体" w:eastAsia="黑体" w:hAnsi="黑体" w:hint="eastAsia"/>
          <w:kern w:val="2"/>
          <w:sz w:val="40"/>
          <w:szCs w:val="40"/>
          <w:lang w:eastAsia="zh-CN"/>
        </w:rPr>
        <w:br w:type="page"/>
      </w:r>
    </w:p>
    <w:p>
      <w:pPr>
        <w:widowControl w:val="0"/>
        <w:jc w:val="center"/>
        <w:outlineLvl w:val="1"/>
        <w:rPr>
          <w:rFonts w:ascii="黑体" w:eastAsia="黑体" w:hAnsi="黑体"/>
          <w:kern w:val="2"/>
          <w:sz w:val="40"/>
          <w:szCs w:val="40"/>
          <w:lang w:eastAsia="zh-CN"/>
        </w:rPr>
      </w:pPr>
      <w:r>
        <w:rPr>
          <w:rFonts w:ascii="黑体" w:eastAsia="黑体" w:hAnsi="黑体" w:hint="eastAsia"/>
          <w:kern w:val="2"/>
          <w:sz w:val="40"/>
          <w:szCs w:val="40"/>
          <w:lang w:eastAsia="zh-CN"/>
        </w:rPr>
        <w:t>评标信息</w:t>
      </w:r>
    </w:p>
    <w:tbl>
      <w:tblPr>
        <w:tblStyle w:val="TableNormal"/>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Pr>
      <w:tblGrid>
        <w:gridCol w:w="8972"/>
      </w:tblGrid>
      <w:tr>
        <w:tblPrEx>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PrEx>
        <w:trPr>
          <w:tblCellSpacing w:w="0" w:type="dxa"/>
          <w:jc w:val="center"/>
        </w:trPr>
        <w:tc>
          <w:tcPr>
            <w:tcW w:w="9072" w:type="dxa"/>
            <w:vAlign w:val="center"/>
          </w:tcPr>
          <w:p>
            <w:pPr>
              <w:widowControl w:val="0"/>
              <w:jc w:val="left"/>
              <w:rPr>
                <w:rFonts w:ascii="宋体" w:eastAsia="宋体" w:hAnsi="宋体" w:cs="宋体"/>
                <w:b/>
                <w:bCs/>
                <w:kern w:val="2"/>
                <w:lang w:eastAsia="zh-CN"/>
              </w:rPr>
            </w:pPr>
            <w:r>
              <w:rPr>
                <w:rFonts w:eastAsia="宋体"/>
                <w:b/>
                <w:bCs/>
                <w:kern w:val="2"/>
                <w:sz w:val="21"/>
                <w:lang w:eastAsia="zh-CN"/>
              </w:rPr>
              <w:t>评标方法：</w:t>
            </w:r>
            <w:r>
              <w:rPr>
                <w:rFonts w:ascii="Calibri" w:eastAsia="宋体" w:hAnsi="Calibri" w:cstheme="minorBidi"/>
                <w:b/>
                <w:bCs/>
                <w:kern w:val="2"/>
                <w:sz w:val="21"/>
                <w:szCs w:val="22"/>
                <w:lang w:eastAsia="zh-CN"/>
              </w:rPr>
              <w:t>综合评分法</w:t>
            </w:r>
          </w:p>
        </w:tc>
      </w:tr>
      <w:tr>
        <w:tblPrEx>
          <w:tblW w:w="5000" w:type="pct"/>
          <w:jc w:val="center"/>
          <w:tblCellSpacing w:w="0" w:type="dxa"/>
          <w:tblLayout w:type="fixed"/>
          <w:tblCellMar>
            <w:top w:w="45" w:type="dxa"/>
            <w:left w:w="45" w:type="dxa"/>
            <w:bottom w:w="45" w:type="dxa"/>
            <w:right w:w="45" w:type="dxa"/>
          </w:tblCellMar>
        </w:tblPrEx>
        <w:trPr>
          <w:tblCellSpacing w:w="0" w:type="dxa"/>
          <w:jc w:val="center"/>
        </w:trPr>
        <w:tc>
          <w:tcPr>
            <w:tcW w:w="9072" w:type="dxa"/>
            <w:vAlign w:val="center"/>
          </w:tcPr>
          <w:p>
            <w:pPr>
              <w:widowControl w:val="0"/>
              <w:spacing w:line="276" w:lineRule="auto"/>
              <w:ind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综合评分法，是指投标文件满足招标文件全部实质性要求，且按照评审因素的量化指标评审得分最高的投标人为中标候选人的评标方法。</w:t>
            </w:r>
          </w:p>
          <w:p>
            <w:pPr>
              <w:widowControl w:val="0"/>
              <w:spacing w:line="276" w:lineRule="auto"/>
              <w:ind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价格分计算方法：</w:t>
            </w:r>
          </w:p>
          <w:p>
            <w:pPr>
              <w:widowControl w:val="0"/>
              <w:spacing w:line="276" w:lineRule="auto"/>
              <w:ind w:left="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采用低价优先法计算，即满足招标文件要求且投标价格最低的投标报价为评标基准价，其价格分为满分。其他投标人的价格分统一按照下列公式计算： </w:t>
            </w:r>
          </w:p>
          <w:p>
            <w:pPr>
              <w:widowControl w:val="0"/>
              <w:spacing w:line="276" w:lineRule="auto"/>
              <w:ind w:left="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投标报价得分=(评标基准价／投标报价)×100 </w:t>
            </w:r>
          </w:p>
          <w:p>
            <w:pPr>
              <w:widowControl w:val="0"/>
              <w:spacing w:line="276" w:lineRule="auto"/>
              <w:ind w:left="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评标总得分＝F1×A1＋F2×A2＋……＋Fn×An </w:t>
            </w:r>
          </w:p>
          <w:p>
            <w:pPr>
              <w:widowControl w:val="0"/>
              <w:spacing w:line="276" w:lineRule="auto"/>
              <w:ind w:left="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F1、F2……Fn分别为各项评审因素的得分； </w:t>
            </w:r>
          </w:p>
          <w:p>
            <w:pPr>
              <w:widowControl w:val="0"/>
              <w:spacing w:line="276" w:lineRule="auto"/>
              <w:ind w:left="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A1、A2、……An 分别为各项评审因素所占的权重(A1＋A2＋……＋An＝1)。 </w:t>
            </w:r>
          </w:p>
          <w:p>
            <w:pPr>
              <w:widowControl w:val="0"/>
              <w:spacing w:line="276" w:lineRule="auto"/>
              <w:ind w:left="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评标过程中，不得去掉报价中的最高报价和最低报价。</w:t>
            </w:r>
          </w:p>
          <w:p>
            <w:pPr>
              <w:widowControl/>
              <w:ind w:left="420"/>
              <w:jc w:val="both"/>
              <w:rPr>
                <w:rFonts w:eastAsia="宋体"/>
                <w:kern w:val="2"/>
                <w:sz w:val="21"/>
                <w:szCs w:val="21"/>
                <w:lang w:eastAsia="zh-CN"/>
              </w:rPr>
            </w:pPr>
            <w:r>
              <w:rPr>
                <w:rFonts w:eastAsia="宋体" w:hint="eastAsia"/>
                <w:kern w:val="2"/>
                <w:sz w:val="21"/>
                <w:szCs w:val="21"/>
                <w:lang w:eastAsia="zh-CN"/>
              </w:rPr>
              <w:t>因落实政府采购政策进行价格调整的，以调整后的价格计算评标基准价和投标报价。</w:t>
            </w:r>
          </w:p>
          <w:p>
            <w:pPr>
              <w:widowControl w:val="0"/>
              <w:spacing w:after="120"/>
              <w:jc w:val="both"/>
              <w:rPr>
                <w:rFonts w:eastAsia="宋体"/>
                <w:kern w:val="2"/>
                <w:sz w:val="21"/>
                <w:lang w:eastAsia="zh-CN"/>
              </w:rPr>
            </w:pPr>
          </w:p>
        </w:tc>
      </w:tr>
    </w:tbl>
    <w:tbl>
      <w:tblPr>
        <w:tblStyle w:val="TableNormal"/>
        <w:tblpPr w:leftFromText="180" w:rightFromText="180" w:vertAnchor="text" w:horzAnchor="page" w:tblpX="1509" w:tblpY="228"/>
        <w:tblOverlap w:val="never"/>
        <w:tblW w:w="5000" w:type="pct"/>
        <w:tblCellSpacing w:w="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108" w:type="dxa"/>
          <w:bottom w:w="20" w:type="dxa"/>
          <w:right w:w="108" w:type="dxa"/>
        </w:tblCellMar>
      </w:tblPr>
      <w:tblGrid>
        <w:gridCol w:w="689"/>
        <w:gridCol w:w="551"/>
        <w:gridCol w:w="2252"/>
        <w:gridCol w:w="939"/>
        <w:gridCol w:w="4667"/>
      </w:tblGrid>
      <w:tr>
        <w:tblPrEx>
          <w:tblW w:w="5000" w:type="pct"/>
          <w:tblCellSpacing w:w="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108" w:type="dxa"/>
            <w:bottom w:w="20" w:type="dxa"/>
            <w:right w:w="108" w:type="dxa"/>
          </w:tblCellMar>
        </w:tblPrEx>
        <w:trPr>
          <w:tblCellSpacing w:w="0" w:type="dxa"/>
        </w:trPr>
        <w:tc>
          <w:tcPr>
            <w:tcW w:w="685" w:type="dxa"/>
            <w:tcBorders>
              <w:tl2br w:val="nil"/>
              <w:tr2bl w:val="nil"/>
            </w:tcBorders>
            <w:shd w:val="clear" w:color="auto" w:fill="E6EFFA"/>
            <w:vAlign w:val="center"/>
          </w:tcPr>
          <w:p>
            <w:pPr>
              <w:widowControl w:val="0"/>
              <w:wordWrap w:val="0"/>
              <w:adjustRightInd w:val="0"/>
              <w:snapToGrid w:val="0"/>
              <w:spacing w:line="320" w:lineRule="exact"/>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序号</w:t>
            </w:r>
          </w:p>
        </w:tc>
        <w:tc>
          <w:tcPr>
            <w:tcW w:w="3722" w:type="dxa"/>
            <w:gridSpan w:val="3"/>
            <w:tcBorders>
              <w:tl2br w:val="nil"/>
              <w:tr2bl w:val="nil"/>
            </w:tcBorders>
            <w:shd w:val="clear" w:color="auto" w:fill="E6EFFA"/>
            <w:vAlign w:val="center"/>
          </w:tcPr>
          <w:p>
            <w:pPr>
              <w:widowControl w:val="0"/>
              <w:wordWrap w:val="0"/>
              <w:adjustRightInd w:val="0"/>
              <w:snapToGrid w:val="0"/>
              <w:spacing w:line="320" w:lineRule="exact"/>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评分项</w:t>
            </w:r>
          </w:p>
        </w:tc>
        <w:tc>
          <w:tcPr>
            <w:tcW w:w="4642" w:type="dxa"/>
            <w:tcBorders>
              <w:tl2br w:val="nil"/>
              <w:tr2bl w:val="nil"/>
            </w:tcBorders>
            <w:shd w:val="clear" w:color="auto" w:fill="E6EFFA"/>
            <w:vAlign w:val="center"/>
          </w:tcPr>
          <w:p>
            <w:pPr>
              <w:widowControl w:val="0"/>
              <w:wordWrap w:val="0"/>
              <w:adjustRightInd w:val="0"/>
              <w:snapToGrid w:val="0"/>
              <w:spacing w:line="320" w:lineRule="exact"/>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权重(%)</w:t>
            </w:r>
          </w:p>
        </w:tc>
      </w:tr>
      <w:tr>
        <w:tblPrEx>
          <w:tblW w:w="5000" w:type="pct"/>
          <w:tblCellSpacing w:w="0" w:type="dxa"/>
          <w:tblInd w:w="0" w:type="dxa"/>
          <w:tblLayout w:type="fixed"/>
          <w:tblCellMar>
            <w:top w:w="20" w:type="dxa"/>
            <w:left w:w="108" w:type="dxa"/>
            <w:bottom w:w="20" w:type="dxa"/>
            <w:right w:w="108" w:type="dxa"/>
          </w:tblCellMar>
        </w:tblPrEx>
        <w:trPr>
          <w:tblCellSpacing w:w="0" w:type="dxa"/>
        </w:trPr>
        <w:tc>
          <w:tcPr>
            <w:tcW w:w="685" w:type="dxa"/>
            <w:vMerge w:val="restart"/>
            <w:tcBorders>
              <w:tl2br w:val="nil"/>
              <w:tr2bl w:val="nil"/>
            </w:tcBorders>
          </w:tcPr>
          <w:p>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1</w:t>
            </w:r>
          </w:p>
        </w:tc>
        <w:tc>
          <w:tcPr>
            <w:tcW w:w="3722" w:type="dxa"/>
            <w:gridSpan w:val="3"/>
            <w:tcBorders>
              <w:tl2br w:val="nil"/>
              <w:tr2bl w:val="nil"/>
            </w:tcBorders>
          </w:tcPr>
          <w:p>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价格</w:t>
            </w:r>
          </w:p>
        </w:tc>
        <w:tc>
          <w:tcPr>
            <w:tcW w:w="4642" w:type="dxa"/>
            <w:tcBorders>
              <w:tl2br w:val="nil"/>
              <w:tr2bl w:val="nil"/>
            </w:tcBorders>
          </w:tcPr>
          <w:p>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15</w:t>
            </w:r>
          </w:p>
        </w:tc>
      </w:tr>
      <w:tr>
        <w:tblPrEx>
          <w:tblW w:w="5000" w:type="pct"/>
          <w:tblCellSpacing w:w="0" w:type="dxa"/>
          <w:tblInd w:w="0" w:type="dxa"/>
          <w:tblLayout w:type="fixed"/>
          <w:tblCellMar>
            <w:top w:w="20" w:type="dxa"/>
            <w:left w:w="108" w:type="dxa"/>
            <w:bottom w:w="20" w:type="dxa"/>
            <w:right w:w="108" w:type="dxa"/>
          </w:tblCellMar>
        </w:tblPrEx>
        <w:trPr>
          <w:tblCellSpacing w:w="0" w:type="dxa"/>
        </w:trPr>
        <w:tc>
          <w:tcPr>
            <w:tcW w:w="685" w:type="dxa"/>
            <w:vMerge/>
            <w:tcBorders>
              <w:tl2br w:val="nil"/>
              <w:tr2bl w:val="nil"/>
            </w:tcBorders>
            <w:vAlign w:val="center"/>
          </w:tcPr>
          <w:p>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8364" w:type="dxa"/>
            <w:gridSpan w:val="4"/>
            <w:tcBorders>
              <w:tl2br w:val="nil"/>
              <w:tr2bl w:val="nil"/>
            </w:tcBorders>
          </w:tcPr>
          <w:p>
            <w:pPr>
              <w:widowControl w:val="0"/>
              <w:wordWrap w:val="0"/>
              <w:adjustRightInd w:val="0"/>
              <w:snapToGrid w:val="0"/>
              <w:spacing w:line="320" w:lineRule="exact"/>
              <w:jc w:val="both"/>
              <w:rPr>
                <w:rFonts w:ascii="宋体" w:eastAsia="宋体" w:hAnsi="宋体" w:cs="宋体"/>
                <w:kern w:val="2"/>
                <w:sz w:val="21"/>
                <w:szCs w:val="21"/>
                <w:lang w:eastAsia="zh-CN"/>
              </w:rPr>
            </w:pPr>
          </w:p>
        </w:tc>
      </w:tr>
      <w:tr>
        <w:tblPrEx>
          <w:tblW w:w="5000" w:type="pct"/>
          <w:tblCellSpacing w:w="0" w:type="dxa"/>
          <w:tblInd w:w="0" w:type="dxa"/>
          <w:tblLayout w:type="fixed"/>
          <w:tblCellMar>
            <w:top w:w="20" w:type="dxa"/>
            <w:left w:w="108" w:type="dxa"/>
            <w:bottom w:w="20" w:type="dxa"/>
            <w:right w:w="108" w:type="dxa"/>
          </w:tblCellMar>
        </w:tblPrEx>
        <w:trPr>
          <w:trHeight w:val="90"/>
          <w:tblCellSpacing w:w="0" w:type="dxa"/>
        </w:trPr>
        <w:tc>
          <w:tcPr>
            <w:tcW w:w="685" w:type="dxa"/>
            <w:vMerge w:val="restart"/>
            <w:tcBorders>
              <w:tl2br w:val="nil"/>
              <w:tr2bl w:val="nil"/>
            </w:tcBorders>
          </w:tcPr>
          <w:p>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2</w:t>
            </w:r>
          </w:p>
        </w:tc>
        <w:tc>
          <w:tcPr>
            <w:tcW w:w="3722" w:type="dxa"/>
            <w:gridSpan w:val="3"/>
            <w:tcBorders>
              <w:tl2br w:val="nil"/>
              <w:tr2bl w:val="nil"/>
            </w:tcBorders>
          </w:tcPr>
          <w:p>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技术部分</w:t>
            </w:r>
          </w:p>
        </w:tc>
        <w:tc>
          <w:tcPr>
            <w:tcW w:w="4642" w:type="dxa"/>
            <w:tcBorders>
              <w:tl2br w:val="nil"/>
              <w:tr2bl w:val="nil"/>
            </w:tcBorders>
          </w:tcPr>
          <w:p>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52</w:t>
            </w:r>
          </w:p>
        </w:tc>
      </w:tr>
      <w:tr>
        <w:tblPrEx>
          <w:tblW w:w="5000" w:type="pct"/>
          <w:tblCellSpacing w:w="0" w:type="dxa"/>
          <w:tblInd w:w="0" w:type="dxa"/>
          <w:tblLayout w:type="fixed"/>
          <w:tblCellMar>
            <w:top w:w="20" w:type="dxa"/>
            <w:left w:w="108" w:type="dxa"/>
            <w:bottom w:w="20" w:type="dxa"/>
            <w:right w:w="108" w:type="dxa"/>
          </w:tblCellMar>
        </w:tblPrEx>
        <w:trPr>
          <w:tblCellSpacing w:w="0" w:type="dxa"/>
        </w:trPr>
        <w:tc>
          <w:tcPr>
            <w:tcW w:w="685" w:type="dxa"/>
            <w:vMerge/>
            <w:tcBorders>
              <w:tl2br w:val="nil"/>
              <w:tr2bl w:val="nil"/>
            </w:tcBorders>
            <w:vAlign w:val="center"/>
          </w:tcPr>
          <w:p>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8364" w:type="dxa"/>
            <w:gridSpan w:val="4"/>
            <w:tcBorders>
              <w:tl2br w:val="nil"/>
              <w:tr2bl w:val="nil"/>
            </w:tcBorders>
          </w:tcPr>
          <w:p>
            <w:pPr>
              <w:widowControl w:val="0"/>
              <w:wordWrap w:val="0"/>
              <w:adjustRightInd w:val="0"/>
              <w:snapToGrid w:val="0"/>
              <w:spacing w:line="320" w:lineRule="exact"/>
              <w:jc w:val="both"/>
              <w:rPr>
                <w:rFonts w:ascii="宋体" w:eastAsia="宋体" w:hAnsi="宋体" w:cs="宋体"/>
                <w:kern w:val="2"/>
                <w:sz w:val="21"/>
                <w:szCs w:val="21"/>
                <w:lang w:eastAsia="zh-CN"/>
              </w:rPr>
            </w:pPr>
          </w:p>
        </w:tc>
      </w:tr>
      <w:tr>
        <w:tblPrEx>
          <w:tblW w:w="5000" w:type="pct"/>
          <w:tblCellSpacing w:w="0" w:type="dxa"/>
          <w:tblInd w:w="0" w:type="dxa"/>
          <w:tblLayout w:type="fixed"/>
          <w:tblCellMar>
            <w:top w:w="20" w:type="dxa"/>
            <w:left w:w="108" w:type="dxa"/>
            <w:bottom w:w="20" w:type="dxa"/>
            <w:right w:w="108" w:type="dxa"/>
          </w:tblCellMar>
        </w:tblPrEx>
        <w:trPr>
          <w:tblCellSpacing w:w="0" w:type="dxa"/>
        </w:trPr>
        <w:tc>
          <w:tcPr>
            <w:tcW w:w="685" w:type="dxa"/>
            <w:vMerge/>
            <w:tcBorders>
              <w:tl2br w:val="nil"/>
              <w:tr2bl w:val="nil"/>
            </w:tcBorders>
            <w:shd w:val="clear" w:color="auto" w:fill="E6EFFA"/>
            <w:vAlign w:val="center"/>
          </w:tcPr>
          <w:p>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548" w:type="dxa"/>
            <w:tcBorders>
              <w:tl2br w:val="nil"/>
              <w:tr2bl w:val="nil"/>
            </w:tcBorders>
            <w:shd w:val="clear" w:color="auto" w:fill="E6EFFA"/>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序号</w:t>
            </w:r>
          </w:p>
        </w:tc>
        <w:tc>
          <w:tcPr>
            <w:tcW w:w="2240" w:type="dxa"/>
            <w:tcBorders>
              <w:tl2br w:val="nil"/>
              <w:tr2bl w:val="nil"/>
            </w:tcBorders>
            <w:shd w:val="clear" w:color="auto" w:fill="E6EFFA"/>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评分因素</w:t>
            </w:r>
          </w:p>
        </w:tc>
        <w:tc>
          <w:tcPr>
            <w:tcW w:w="934" w:type="dxa"/>
            <w:tcBorders>
              <w:tl2br w:val="nil"/>
              <w:tr2bl w:val="nil"/>
            </w:tcBorders>
            <w:shd w:val="clear" w:color="auto" w:fill="E6EFFA"/>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权重(%)</w:t>
            </w:r>
          </w:p>
        </w:tc>
        <w:tc>
          <w:tcPr>
            <w:tcW w:w="4642" w:type="dxa"/>
            <w:tcBorders>
              <w:tl2br w:val="nil"/>
              <w:tr2bl w:val="nil"/>
            </w:tcBorders>
            <w:shd w:val="clear" w:color="auto" w:fill="E6EFFA"/>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评分准则</w:t>
            </w:r>
          </w:p>
        </w:tc>
      </w:tr>
      <w:tr>
        <w:tblPrEx>
          <w:tblW w:w="5000" w:type="pct"/>
          <w:tblCellSpacing w:w="0" w:type="dxa"/>
          <w:tblInd w:w="0" w:type="dxa"/>
          <w:tblLayout w:type="fixed"/>
          <w:tblCellMar>
            <w:top w:w="20" w:type="dxa"/>
            <w:left w:w="108" w:type="dxa"/>
            <w:bottom w:w="20" w:type="dxa"/>
            <w:right w:w="108" w:type="dxa"/>
          </w:tblCellMar>
        </w:tblPrEx>
        <w:trPr>
          <w:tblCellSpacing w:w="0" w:type="dxa"/>
        </w:trPr>
        <w:tc>
          <w:tcPr>
            <w:tcW w:w="685" w:type="dxa"/>
            <w:vMerge/>
            <w:tcBorders>
              <w:tl2br w:val="nil"/>
              <w:tr2bl w:val="nil"/>
            </w:tcBorders>
            <w:vAlign w:val="center"/>
          </w:tcPr>
          <w:p>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548" w:type="dxa"/>
            <w:tcBorders>
              <w:tl2br w:val="nil"/>
              <w:tr2bl w:val="nil"/>
            </w:tcBorders>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2240" w:type="dxa"/>
            <w:tcBorders>
              <w:tl2br w:val="nil"/>
              <w:tr2bl w:val="nil"/>
            </w:tcBorders>
            <w:vAlign w:val="center"/>
          </w:tcPr>
          <w:p>
            <w:pPr>
              <w:widowControl w:val="0"/>
              <w:spacing w:line="360" w:lineRule="auto"/>
              <w:jc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项目实施方案</w:t>
            </w:r>
          </w:p>
        </w:tc>
        <w:tc>
          <w:tcPr>
            <w:tcW w:w="934" w:type="dxa"/>
            <w:tcBorders>
              <w:tl2br w:val="nil"/>
              <w:tr2bl w:val="nil"/>
            </w:tcBorders>
            <w:vAlign w:val="center"/>
          </w:tcPr>
          <w:p>
            <w:pPr>
              <w:widowControl w:val="0"/>
              <w:spacing w:line="360" w:lineRule="auto"/>
              <w:jc w:val="center"/>
              <w:rPr>
                <w:rFonts w:ascii="宋体" w:eastAsia="宋体" w:hAnsi="宋体" w:cs="宋体" w:hint="eastAsia"/>
                <w:kern w:val="2"/>
                <w:sz w:val="22"/>
                <w:szCs w:val="22"/>
                <w:lang w:eastAsia="zh-CN"/>
              </w:rPr>
            </w:pPr>
            <w:r>
              <w:rPr>
                <w:rFonts w:ascii="宋体" w:eastAsia="宋体" w:hAnsi="宋体" w:cs="宋体" w:hint="eastAsia"/>
                <w:kern w:val="2"/>
                <w:sz w:val="22"/>
                <w:szCs w:val="22"/>
                <w:lang w:eastAsia="zh-CN"/>
              </w:rPr>
              <w:t>8</w:t>
            </w:r>
          </w:p>
        </w:tc>
        <w:tc>
          <w:tcPr>
            <w:tcW w:w="4642" w:type="dxa"/>
            <w:tcBorders>
              <w:tl2br w:val="nil"/>
              <w:tr2bl w:val="nil"/>
            </w:tcBorders>
          </w:tcPr>
          <w:p>
            <w:pPr>
              <w:widowControl w:val="0"/>
              <w:jc w:val="both"/>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（一）评分内容</w:t>
            </w:r>
          </w:p>
          <w:p>
            <w:pPr>
              <w:widowControl w:val="0"/>
              <w:jc w:val="both"/>
              <w:rPr>
                <w:rFonts w:ascii="宋体" w:eastAsia="宋体" w:hAnsi="宋体" w:cs="宋体"/>
                <w:kern w:val="2"/>
                <w:sz w:val="21"/>
                <w:szCs w:val="21"/>
                <w:lang w:eastAsia="zh-CN"/>
              </w:rPr>
            </w:pPr>
            <w:r>
              <w:rPr>
                <w:rFonts w:ascii="宋体" w:eastAsia="宋体" w:hAnsi="宋体" w:cstheme="minorBidi" w:hint="eastAsia"/>
                <w:color w:val="000000"/>
                <w:sz w:val="21"/>
                <w:szCs w:val="21"/>
                <w:lang w:eastAsia="zh-CN"/>
              </w:rPr>
              <w:t>根据投标人提供的项目实施方案进行评价，项目实施方案要求至少包含以下内容：</w:t>
            </w:r>
            <w:r>
              <w:rPr>
                <w:rFonts w:ascii="宋体" w:eastAsia="宋体" w:hAnsi="宋体" w:cs="宋体" w:hint="eastAsia"/>
                <w:kern w:val="2"/>
                <w:sz w:val="21"/>
                <w:szCs w:val="21"/>
                <w:lang w:eastAsia="zh-CN"/>
              </w:rPr>
              <w:br/>
            </w:r>
            <w:r>
              <w:rPr>
                <w:rFonts w:ascii="宋体" w:eastAsia="宋体" w:hAnsi="宋体" w:cs="宋体" w:hint="eastAsia"/>
                <w:kern w:val="2"/>
                <w:sz w:val="21"/>
                <w:szCs w:val="21"/>
                <w:lang w:eastAsia="zh-CN"/>
              </w:rPr>
              <w:t>（1）对项目背景的理解；</w:t>
            </w:r>
          </w:p>
          <w:p>
            <w:pPr>
              <w:widowControl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（2）对项目工作目的及意义的认识；</w:t>
            </w:r>
          </w:p>
          <w:p>
            <w:pPr>
              <w:widowControl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（3）对项目关键技术、工艺、工作方法和技术路线；</w:t>
            </w:r>
          </w:p>
          <w:p>
            <w:pPr>
              <w:widowControl w:val="0"/>
              <w:jc w:val="both"/>
              <w:rPr>
                <w:rFonts w:ascii="宋体" w:eastAsia="宋体" w:hAnsi="宋体" w:cs="宋体"/>
                <w:b/>
                <w:bCs/>
                <w:sz w:val="21"/>
                <w:szCs w:val="21"/>
                <w:lang w:eastAsia="zh-CN" w:bidi="ar"/>
              </w:rPr>
            </w:pPr>
            <w:r>
              <w:rPr>
                <w:rFonts w:ascii="宋体" w:eastAsia="宋体" w:hAnsi="宋体" w:cs="宋体" w:hint="eastAsia"/>
                <w:b/>
                <w:bCs/>
                <w:sz w:val="21"/>
                <w:szCs w:val="21"/>
                <w:lang w:eastAsia="zh-CN" w:bidi="ar"/>
              </w:rPr>
              <w:t>（二）评分依据</w:t>
            </w:r>
          </w:p>
          <w:p>
            <w:pPr>
              <w:widowControl w:val="0"/>
              <w:jc w:val="left"/>
              <w:rPr>
                <w:rFonts w:ascii="宋体" w:eastAsia="宋体" w:hAnsi="宋体" w:cs="宋体"/>
                <w:bCs/>
                <w:sz w:val="21"/>
                <w:szCs w:val="21"/>
                <w:lang w:eastAsia="zh-CN" w:bidi="ar"/>
              </w:rPr>
            </w:pPr>
            <w:r>
              <w:rPr>
                <w:rFonts w:ascii="宋体" w:eastAsia="宋体" w:hAnsi="宋体" w:cs="宋体" w:hint="eastAsia"/>
                <w:bCs/>
                <w:sz w:val="21"/>
                <w:szCs w:val="21"/>
                <w:lang w:eastAsia="zh-CN" w:bidi="ar"/>
              </w:rPr>
              <w:t>1.投标人提供的项目技术方案,每包含以上任意一项要求得15分，全部满足得45分。</w:t>
            </w:r>
          </w:p>
          <w:p>
            <w:pPr>
              <w:widowControl w:val="0"/>
              <w:jc w:val="left"/>
              <w:rPr>
                <w:rFonts w:ascii="宋体" w:eastAsia="宋体" w:hAnsi="宋体" w:cs="宋体"/>
                <w:bCs/>
                <w:sz w:val="21"/>
                <w:szCs w:val="21"/>
                <w:lang w:eastAsia="zh-CN" w:bidi="ar"/>
              </w:rPr>
            </w:pPr>
            <w:r>
              <w:rPr>
                <w:rFonts w:ascii="宋体" w:eastAsia="宋体" w:hAnsi="宋体" w:cs="宋体" w:hint="eastAsia"/>
                <w:bCs/>
                <w:sz w:val="21"/>
                <w:szCs w:val="21"/>
                <w:lang w:eastAsia="zh-CN" w:bidi="ar"/>
              </w:rPr>
              <w:t>2.在第1项得分的基础上，专家根据各投标人提供的具体内容按照量化的评审因素指标进一步评审：</w:t>
            </w:r>
          </w:p>
          <w:p>
            <w:pPr>
              <w:widowControl w:val="0"/>
              <w:jc w:val="left"/>
              <w:rPr>
                <w:rFonts w:ascii="宋体" w:eastAsia="宋体" w:hAnsi="宋体" w:cs="宋体"/>
                <w:bCs/>
                <w:sz w:val="21"/>
                <w:szCs w:val="21"/>
                <w:lang w:eastAsia="zh-CN" w:bidi="ar"/>
              </w:rPr>
            </w:pPr>
            <w:r>
              <w:rPr>
                <w:rFonts w:ascii="宋体" w:eastAsia="宋体" w:hAnsi="宋体" w:cs="宋体" w:hint="eastAsia"/>
                <w:bCs/>
                <w:sz w:val="21"/>
                <w:szCs w:val="21"/>
                <w:lang w:eastAsia="zh-CN" w:bidi="ar"/>
              </w:rPr>
              <w:t>（1）评审为优：方案整体实操性高，结合采购方实际情况得55分。</w:t>
            </w:r>
          </w:p>
          <w:p>
            <w:pPr>
              <w:widowControl w:val="0"/>
              <w:jc w:val="left"/>
              <w:rPr>
                <w:rFonts w:ascii="宋体" w:eastAsia="宋体" w:hAnsi="宋体" w:cs="宋体"/>
                <w:bCs/>
                <w:sz w:val="21"/>
                <w:szCs w:val="21"/>
                <w:lang w:eastAsia="zh-CN" w:bidi="ar"/>
              </w:rPr>
            </w:pPr>
            <w:r>
              <w:rPr>
                <w:rFonts w:ascii="宋体" w:eastAsia="宋体" w:hAnsi="宋体" w:cs="宋体" w:hint="eastAsia"/>
                <w:bCs/>
                <w:sz w:val="21"/>
                <w:szCs w:val="21"/>
                <w:lang w:eastAsia="zh-CN" w:bidi="ar"/>
              </w:rPr>
              <w:t>（2）评审为良：方案整体实操性较高，贴近采购方实际情况得30分。</w:t>
            </w:r>
          </w:p>
          <w:p>
            <w:pPr>
              <w:widowControl w:val="0"/>
              <w:jc w:val="left"/>
              <w:rPr>
                <w:rFonts w:ascii="宋体" w:eastAsia="宋体" w:hAnsi="宋体" w:cs="宋体"/>
                <w:bCs/>
                <w:sz w:val="21"/>
                <w:szCs w:val="21"/>
                <w:lang w:eastAsia="zh-CN" w:bidi="ar"/>
              </w:rPr>
            </w:pPr>
            <w:r>
              <w:rPr>
                <w:rFonts w:ascii="宋体" w:eastAsia="宋体" w:hAnsi="宋体" w:cs="宋体" w:hint="eastAsia"/>
                <w:bCs/>
                <w:sz w:val="21"/>
                <w:szCs w:val="21"/>
                <w:lang w:eastAsia="zh-CN" w:bidi="ar"/>
              </w:rPr>
              <w:t>（3）评审为中：方案有一定实操性，基本符合采购方实际情况得15分。</w:t>
            </w:r>
          </w:p>
          <w:p>
            <w:pPr>
              <w:widowControl w:val="0"/>
              <w:wordWrap w:val="0"/>
              <w:jc w:val="both"/>
              <w:rPr>
                <w:rFonts w:ascii="宋体" w:eastAsia="宋体" w:hAnsi="宋体" w:cs="宋体"/>
                <w:b/>
                <w:bCs/>
                <w:kern w:val="2"/>
                <w:sz w:val="22"/>
                <w:szCs w:val="22"/>
                <w:lang w:eastAsia="zh-CN"/>
              </w:rPr>
            </w:pPr>
            <w:r>
              <w:rPr>
                <w:rFonts w:ascii="宋体" w:eastAsia="宋体" w:hAnsi="宋体" w:cs="宋体" w:hint="eastAsia"/>
                <w:bCs/>
                <w:sz w:val="21"/>
                <w:szCs w:val="21"/>
                <w:lang w:eastAsia="zh-CN" w:bidi="ar"/>
              </w:rPr>
              <w:t>（4）评审为差：方案实操性低，偏离采购方实际情况得0分</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br/>
            </w:r>
            <w:r>
              <w:rPr>
                <w:rFonts w:ascii="宋体" w:eastAsia="宋体" w:hAnsi="宋体" w:cstheme="minorBidi" w:hint="eastAsia"/>
                <w:b/>
                <w:bCs/>
                <w:color w:val="000000"/>
                <w:sz w:val="21"/>
                <w:szCs w:val="21"/>
                <w:lang w:eastAsia="zh-CN"/>
              </w:rPr>
              <w:t>以上2项得分累计，最高得100分。</w:t>
            </w:r>
          </w:p>
        </w:tc>
      </w:tr>
      <w:tr>
        <w:tblPrEx>
          <w:tblW w:w="5000" w:type="pct"/>
          <w:tblCellSpacing w:w="0" w:type="dxa"/>
          <w:tblInd w:w="0" w:type="dxa"/>
          <w:tblLayout w:type="fixed"/>
          <w:tblCellMar>
            <w:top w:w="20" w:type="dxa"/>
            <w:left w:w="108" w:type="dxa"/>
            <w:bottom w:w="20" w:type="dxa"/>
            <w:right w:w="108" w:type="dxa"/>
          </w:tblCellMar>
        </w:tblPrEx>
        <w:trPr>
          <w:tblCellSpacing w:w="0" w:type="dxa"/>
        </w:trPr>
        <w:tc>
          <w:tcPr>
            <w:tcW w:w="685" w:type="dxa"/>
            <w:vMerge/>
            <w:tcBorders>
              <w:tl2br w:val="nil"/>
              <w:tr2bl w:val="nil"/>
            </w:tcBorders>
            <w:vAlign w:val="center"/>
          </w:tcPr>
          <w:p>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548" w:type="dxa"/>
            <w:tcBorders>
              <w:tl2br w:val="nil"/>
              <w:tr2bl w:val="nil"/>
            </w:tcBorders>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2240" w:type="dxa"/>
            <w:tcBorders>
              <w:tl2br w:val="nil"/>
              <w:tr2bl w:val="nil"/>
            </w:tcBorders>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项目重点难点分析、应对措施及相关的合理化建议</w:t>
            </w:r>
          </w:p>
        </w:tc>
        <w:tc>
          <w:tcPr>
            <w:tcW w:w="934" w:type="dxa"/>
            <w:tcBorders>
              <w:tl2br w:val="nil"/>
              <w:tr2bl w:val="nil"/>
            </w:tcBorders>
            <w:vAlign w:val="center"/>
          </w:tcPr>
          <w:p>
            <w:pPr>
              <w:widowControl w:val="0"/>
              <w:wordWrap w:val="0"/>
              <w:adjustRightInd w:val="0"/>
              <w:snapToGrid w:val="0"/>
              <w:spacing w:line="320" w:lineRule="exact"/>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8</w:t>
            </w:r>
          </w:p>
        </w:tc>
        <w:tc>
          <w:tcPr>
            <w:tcW w:w="4642" w:type="dxa"/>
            <w:tcBorders>
              <w:tl2br w:val="nil"/>
              <w:tr2bl w:val="nil"/>
            </w:tcBorders>
            <w:vAlign w:val="center"/>
          </w:tcPr>
          <w:p>
            <w:pPr>
              <w:widowControl w:val="0"/>
              <w:adjustRightInd w:val="0"/>
              <w:snapToGrid w:val="0"/>
              <w:jc w:val="left"/>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（一）评分内容</w:t>
            </w:r>
          </w:p>
          <w:p>
            <w:pPr>
              <w:widowControl w:val="0"/>
              <w:adjustRightInd w:val="0"/>
              <w:snapToGrid w:val="0"/>
              <w:jc w:val="left"/>
              <w:rPr>
                <w:rFonts w:ascii="宋体" w:eastAsia="宋体" w:hAnsi="宋体" w:cs="宋体"/>
                <w:kern w:val="2"/>
                <w:sz w:val="21"/>
                <w:szCs w:val="21"/>
                <w:lang w:eastAsia="zh-CN"/>
              </w:rPr>
            </w:pPr>
            <w:r>
              <w:rPr>
                <w:rFonts w:ascii="宋体" w:eastAsia="宋体" w:hAnsi="宋体" w:cstheme="minorBidi" w:hint="eastAsia"/>
                <w:color w:val="000000"/>
                <w:sz w:val="21"/>
                <w:szCs w:val="21"/>
                <w:lang w:eastAsia="zh-CN"/>
              </w:rPr>
              <w:t>根据投标人提供的</w:t>
            </w:r>
            <w:r>
              <w:rPr>
                <w:rFonts w:ascii="宋体" w:eastAsia="宋体" w:hAnsi="宋体" w:cs="宋体" w:hint="eastAsia"/>
                <w:kern w:val="2"/>
                <w:sz w:val="21"/>
                <w:szCs w:val="21"/>
                <w:lang w:eastAsia="zh-CN"/>
              </w:rPr>
              <w:t>项目重点难点分析、应对措施及相关的合理化建议</w:t>
            </w:r>
            <w:r>
              <w:rPr>
                <w:rFonts w:ascii="宋体" w:eastAsia="宋体" w:hAnsi="宋体" w:cstheme="minorBidi" w:hint="eastAsia"/>
                <w:color w:val="000000"/>
                <w:sz w:val="21"/>
                <w:szCs w:val="21"/>
                <w:lang w:eastAsia="zh-CN"/>
              </w:rPr>
              <w:t>进行评价，方案要求至少包含以下内容：</w:t>
            </w:r>
            <w:r>
              <w:rPr>
                <w:rFonts w:ascii="宋体" w:eastAsia="宋体" w:hAnsi="宋体" w:cs="宋体" w:hint="eastAsia"/>
                <w:kern w:val="2"/>
                <w:sz w:val="21"/>
                <w:szCs w:val="21"/>
                <w:lang w:eastAsia="zh-CN"/>
              </w:rPr>
              <w:br/>
            </w:r>
            <w:r>
              <w:rPr>
                <w:rFonts w:ascii="宋体" w:eastAsia="宋体" w:hAnsi="宋体" w:cs="宋体" w:hint="eastAsia"/>
                <w:kern w:val="2"/>
                <w:sz w:val="21"/>
                <w:szCs w:val="21"/>
                <w:lang w:eastAsia="zh-CN"/>
              </w:rPr>
              <w:t>（1）对重点问题的把握与分析；</w:t>
            </w:r>
          </w:p>
          <w:p>
            <w:pPr>
              <w:widowControl w:val="0"/>
              <w:adjustRightInd w:val="0"/>
              <w:snapToGrid w:val="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（2）对难点问题的把握与分析；</w:t>
            </w:r>
          </w:p>
          <w:p>
            <w:pPr>
              <w:widowControl w:val="0"/>
              <w:adjustRightInd w:val="0"/>
              <w:snapToGrid w:val="0"/>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（3）解决思路和方法。</w:t>
            </w:r>
          </w:p>
          <w:p>
            <w:pPr>
              <w:widowControl w:val="0"/>
              <w:adjustRightInd w:val="0"/>
              <w:snapToGrid w:val="0"/>
              <w:jc w:val="left"/>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（二）评分依据</w:t>
            </w:r>
          </w:p>
          <w:p>
            <w:pPr>
              <w:widowControl w:val="0"/>
              <w:jc w:val="left"/>
              <w:rPr>
                <w:rFonts w:ascii="宋体" w:eastAsia="宋体" w:hAnsi="宋体" w:cs="宋体"/>
                <w:bCs/>
                <w:sz w:val="21"/>
                <w:szCs w:val="21"/>
                <w:lang w:eastAsia="zh-CN" w:bidi="ar"/>
              </w:rPr>
            </w:pPr>
            <w:r>
              <w:rPr>
                <w:rFonts w:ascii="宋体" w:eastAsia="宋体" w:hAnsi="宋体" w:cs="宋体" w:hint="eastAsia"/>
                <w:bCs/>
                <w:sz w:val="21"/>
                <w:szCs w:val="21"/>
                <w:lang w:eastAsia="zh-CN" w:bidi="ar"/>
              </w:rPr>
              <w:t>1.投标人提供的项目技术方案,每包含以上任意一项要求得15分，全部满足得45分。</w:t>
            </w:r>
          </w:p>
          <w:p>
            <w:pPr>
              <w:widowControl w:val="0"/>
              <w:jc w:val="left"/>
              <w:rPr>
                <w:rFonts w:ascii="宋体" w:eastAsia="宋体" w:hAnsi="宋体" w:cs="宋体"/>
                <w:bCs/>
                <w:sz w:val="21"/>
                <w:szCs w:val="21"/>
                <w:lang w:eastAsia="zh-CN" w:bidi="ar"/>
              </w:rPr>
            </w:pPr>
            <w:r>
              <w:rPr>
                <w:rFonts w:ascii="宋体" w:eastAsia="宋体" w:hAnsi="宋体" w:cs="宋体" w:hint="eastAsia"/>
                <w:bCs/>
                <w:sz w:val="21"/>
                <w:szCs w:val="21"/>
                <w:lang w:eastAsia="zh-CN" w:bidi="ar"/>
              </w:rPr>
              <w:t>2.在第1项得分的基础上，专家根据各投标人提供的具体内容按照量化的评审因素指标进一步评审：</w:t>
            </w:r>
          </w:p>
          <w:p>
            <w:pPr>
              <w:widowControl w:val="0"/>
              <w:jc w:val="left"/>
              <w:rPr>
                <w:rFonts w:ascii="宋体" w:eastAsia="宋体" w:hAnsi="宋体" w:cs="宋体"/>
                <w:bCs/>
                <w:sz w:val="21"/>
                <w:szCs w:val="21"/>
                <w:lang w:eastAsia="zh-CN" w:bidi="ar"/>
              </w:rPr>
            </w:pPr>
            <w:r>
              <w:rPr>
                <w:rFonts w:ascii="宋体" w:eastAsia="宋体" w:hAnsi="宋体" w:cs="宋体" w:hint="eastAsia"/>
                <w:bCs/>
                <w:sz w:val="21"/>
                <w:szCs w:val="21"/>
                <w:lang w:eastAsia="zh-CN" w:bidi="ar"/>
              </w:rPr>
              <w:t>（1）评审为优：方案整体实操性高，结合采购方实际情况，得55分。</w:t>
            </w:r>
          </w:p>
          <w:p>
            <w:pPr>
              <w:widowControl w:val="0"/>
              <w:jc w:val="left"/>
              <w:rPr>
                <w:rFonts w:ascii="宋体" w:eastAsia="宋体" w:hAnsi="宋体" w:cs="宋体"/>
                <w:bCs/>
                <w:sz w:val="21"/>
                <w:szCs w:val="21"/>
                <w:lang w:eastAsia="zh-CN" w:bidi="ar"/>
              </w:rPr>
            </w:pPr>
            <w:r>
              <w:rPr>
                <w:rFonts w:ascii="宋体" w:eastAsia="宋体" w:hAnsi="宋体" w:cs="宋体" w:hint="eastAsia"/>
                <w:bCs/>
                <w:sz w:val="21"/>
                <w:szCs w:val="21"/>
                <w:lang w:eastAsia="zh-CN" w:bidi="ar"/>
              </w:rPr>
              <w:t>（2）评审为良：方案整体实操性较高，贴近采购方实际情况得30分。</w:t>
            </w:r>
          </w:p>
          <w:p>
            <w:pPr>
              <w:widowControl w:val="0"/>
              <w:jc w:val="left"/>
              <w:rPr>
                <w:rFonts w:ascii="宋体" w:eastAsia="宋体" w:hAnsi="宋体" w:cs="宋体"/>
                <w:bCs/>
                <w:sz w:val="21"/>
                <w:szCs w:val="21"/>
                <w:lang w:eastAsia="zh-CN" w:bidi="ar"/>
              </w:rPr>
            </w:pPr>
            <w:r>
              <w:rPr>
                <w:rFonts w:ascii="宋体" w:eastAsia="宋体" w:hAnsi="宋体" w:cs="宋体" w:hint="eastAsia"/>
                <w:bCs/>
                <w:sz w:val="21"/>
                <w:szCs w:val="21"/>
                <w:lang w:eastAsia="zh-CN" w:bidi="ar"/>
              </w:rPr>
              <w:t>（3）评审为中：方案有一定实操性，基本符合采购方实际情况得15分。</w:t>
            </w:r>
          </w:p>
          <w:p>
            <w:pPr>
              <w:widowControl w:val="0"/>
              <w:adjustRightInd w:val="0"/>
              <w:snapToGrid w:val="0"/>
              <w:jc w:val="left"/>
              <w:rPr>
                <w:rFonts w:ascii="宋体" w:eastAsia="宋体" w:hAnsi="宋体" w:cs="宋体"/>
                <w:kern w:val="2"/>
                <w:sz w:val="21"/>
                <w:szCs w:val="21"/>
                <w:lang w:eastAsia="zh-CN"/>
              </w:rPr>
            </w:pPr>
            <w:r>
              <w:rPr>
                <w:rFonts w:ascii="宋体" w:eastAsia="宋体" w:hAnsi="宋体" w:cs="宋体" w:hint="eastAsia"/>
                <w:bCs/>
                <w:sz w:val="21"/>
                <w:szCs w:val="21"/>
                <w:lang w:eastAsia="zh-CN" w:bidi="ar"/>
              </w:rPr>
              <w:t>（4）评审为差：方案实操性低，偏离采购方实际情况得0分</w:t>
            </w:r>
            <w:r>
              <w:rPr>
                <w:rFonts w:ascii="宋体" w:eastAsia="宋体" w:hAnsi="宋体" w:cs="宋体" w:hint="eastAsia"/>
                <w:kern w:val="2"/>
                <w:sz w:val="21"/>
                <w:szCs w:val="21"/>
                <w:lang w:eastAsia="zh-CN"/>
              </w:rPr>
              <w:t>。</w:t>
            </w:r>
            <w:r>
              <w:rPr>
                <w:rFonts w:ascii="宋体" w:eastAsia="宋体" w:hAnsi="宋体" w:cs="宋体" w:hint="eastAsia"/>
                <w:kern w:val="2"/>
                <w:sz w:val="21"/>
                <w:szCs w:val="21"/>
                <w:lang w:eastAsia="zh-CN"/>
              </w:rPr>
              <w:br/>
            </w:r>
            <w:r>
              <w:rPr>
                <w:rFonts w:ascii="宋体" w:eastAsia="宋体" w:hAnsi="宋体" w:cstheme="minorBidi" w:hint="eastAsia"/>
                <w:b/>
                <w:bCs/>
                <w:color w:val="000000"/>
                <w:sz w:val="21"/>
                <w:szCs w:val="21"/>
                <w:lang w:eastAsia="zh-CN"/>
              </w:rPr>
              <w:t>以上2项得分累计，最高得100分。</w:t>
            </w:r>
          </w:p>
        </w:tc>
      </w:tr>
      <w:tr>
        <w:tblPrEx>
          <w:tblW w:w="5000" w:type="pct"/>
          <w:tblCellSpacing w:w="0" w:type="dxa"/>
          <w:tblInd w:w="0" w:type="dxa"/>
          <w:tblLayout w:type="fixed"/>
          <w:tblCellMar>
            <w:top w:w="20" w:type="dxa"/>
            <w:left w:w="108" w:type="dxa"/>
            <w:bottom w:w="20" w:type="dxa"/>
            <w:right w:w="108" w:type="dxa"/>
          </w:tblCellMar>
        </w:tblPrEx>
        <w:trPr>
          <w:trHeight w:val="5451"/>
          <w:tblCellSpacing w:w="0" w:type="dxa"/>
        </w:trPr>
        <w:tc>
          <w:tcPr>
            <w:tcW w:w="685" w:type="dxa"/>
            <w:vMerge/>
            <w:tcBorders>
              <w:tl2br w:val="nil"/>
              <w:tr2bl w:val="nil"/>
            </w:tcBorders>
            <w:vAlign w:val="center"/>
          </w:tcPr>
          <w:p>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548" w:type="dxa"/>
            <w:tcBorders>
              <w:tl2br w:val="nil"/>
              <w:tr2bl w:val="nil"/>
            </w:tcBorders>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2240" w:type="dxa"/>
            <w:tcBorders>
              <w:tl2br w:val="nil"/>
              <w:tr2bl w:val="nil"/>
            </w:tcBorders>
            <w:vAlign w:val="center"/>
          </w:tcPr>
          <w:p>
            <w:pPr>
              <w:widowControl w:val="0"/>
              <w:jc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施工质量保证方案</w:t>
            </w:r>
          </w:p>
        </w:tc>
        <w:tc>
          <w:tcPr>
            <w:tcW w:w="934" w:type="dxa"/>
            <w:tcBorders>
              <w:tl2br w:val="nil"/>
              <w:tr2bl w:val="nil"/>
            </w:tcBorders>
            <w:vAlign w:val="center"/>
          </w:tcPr>
          <w:p>
            <w:pPr>
              <w:widowControl w:val="0"/>
              <w:jc w:val="center"/>
              <w:rPr>
                <w:rFonts w:ascii="宋体" w:eastAsia="宋体" w:hAnsi="宋体" w:cs="宋体" w:hint="eastAsia"/>
                <w:kern w:val="2"/>
                <w:sz w:val="22"/>
                <w:szCs w:val="22"/>
                <w:lang w:eastAsia="zh-CN"/>
              </w:rPr>
            </w:pPr>
            <w:r>
              <w:rPr>
                <w:rFonts w:ascii="宋体" w:eastAsia="宋体" w:hAnsi="宋体" w:cs="宋体" w:hint="eastAsia"/>
                <w:kern w:val="2"/>
                <w:sz w:val="22"/>
                <w:szCs w:val="22"/>
                <w:lang w:eastAsia="zh-CN"/>
              </w:rPr>
              <w:t>7</w:t>
            </w:r>
          </w:p>
        </w:tc>
        <w:tc>
          <w:tcPr>
            <w:tcW w:w="4642" w:type="dxa"/>
            <w:tcBorders>
              <w:tl2br w:val="nil"/>
              <w:tr2bl w:val="nil"/>
            </w:tcBorders>
            <w:vAlign w:val="center"/>
          </w:tcPr>
          <w:p>
            <w:pPr>
              <w:widowControl w:val="0"/>
              <w:jc w:val="left"/>
              <w:rPr>
                <w:rFonts w:ascii="宋体" w:eastAsia="宋体" w:hAnsi="宋体" w:cs="宋体"/>
                <w:b/>
                <w:bCs/>
                <w:kern w:val="2"/>
                <w:sz w:val="22"/>
                <w:szCs w:val="22"/>
                <w:lang w:eastAsia="zh-CN"/>
              </w:rPr>
            </w:pPr>
            <w:r>
              <w:rPr>
                <w:rFonts w:ascii="宋体" w:eastAsia="宋体" w:hAnsi="宋体" w:cs="宋体" w:hint="eastAsia"/>
                <w:b/>
                <w:bCs/>
                <w:kern w:val="2"/>
                <w:sz w:val="22"/>
                <w:szCs w:val="22"/>
                <w:lang w:eastAsia="zh-CN"/>
              </w:rPr>
              <w:t>（一）评分内容</w:t>
            </w:r>
          </w:p>
          <w:p>
            <w:pPr>
              <w:widowControl w:val="0"/>
              <w:jc w:val="left"/>
              <w:rPr>
                <w:rFonts w:ascii="宋体" w:eastAsia="宋体" w:hAnsi="宋体" w:cs="宋体"/>
                <w:kern w:val="2"/>
                <w:sz w:val="22"/>
                <w:szCs w:val="22"/>
                <w:lang w:eastAsia="zh-CN"/>
              </w:rPr>
            </w:pPr>
            <w:r>
              <w:rPr>
                <w:rFonts w:ascii="宋体" w:eastAsia="宋体" w:hAnsi="宋体" w:cs="宋体" w:hint="eastAsia"/>
                <w:kern w:val="2"/>
                <w:sz w:val="22"/>
                <w:szCs w:val="22"/>
                <w:lang w:eastAsia="zh-CN"/>
              </w:rPr>
              <w:t>要求针对本项目实际情况列出具体的施工质量保证方案，包括但不限于以下内容：</w:t>
            </w:r>
          </w:p>
          <w:p>
            <w:pPr>
              <w:widowControl w:val="0"/>
              <w:jc w:val="left"/>
              <w:rPr>
                <w:rFonts w:ascii="宋体" w:eastAsia="宋体" w:hAnsi="宋体" w:cs="宋体"/>
                <w:kern w:val="2"/>
                <w:sz w:val="22"/>
                <w:szCs w:val="22"/>
                <w:lang w:eastAsia="zh-CN"/>
              </w:rPr>
            </w:pPr>
            <w:r>
              <w:rPr>
                <w:rFonts w:ascii="宋体" w:eastAsia="宋体" w:hAnsi="宋体" w:cs="宋体" w:hint="eastAsia"/>
                <w:kern w:val="2"/>
                <w:sz w:val="22"/>
                <w:szCs w:val="22"/>
                <w:lang w:eastAsia="zh-CN"/>
              </w:rPr>
              <w:t>1.质量保证体系；</w:t>
            </w:r>
          </w:p>
          <w:p>
            <w:pPr>
              <w:widowControl w:val="0"/>
              <w:jc w:val="left"/>
              <w:rPr>
                <w:rFonts w:ascii="宋体" w:eastAsia="宋体" w:hAnsi="宋体" w:cs="宋体"/>
                <w:kern w:val="2"/>
                <w:sz w:val="22"/>
                <w:szCs w:val="22"/>
                <w:lang w:eastAsia="zh-CN"/>
              </w:rPr>
            </w:pPr>
            <w:r>
              <w:rPr>
                <w:rFonts w:ascii="宋体" w:eastAsia="宋体" w:hAnsi="宋体" w:cs="宋体" w:hint="eastAsia"/>
                <w:kern w:val="2"/>
                <w:sz w:val="22"/>
                <w:szCs w:val="22"/>
                <w:lang w:eastAsia="zh-CN"/>
              </w:rPr>
              <w:t>2.工程质量的技术保证措施。</w:t>
            </w:r>
          </w:p>
          <w:p>
            <w:pPr>
              <w:widowControl w:val="0"/>
              <w:jc w:val="left"/>
              <w:rPr>
                <w:rFonts w:ascii="宋体" w:eastAsia="宋体" w:hAnsi="宋体" w:cs="宋体"/>
                <w:kern w:val="2"/>
                <w:sz w:val="21"/>
                <w:szCs w:val="22"/>
                <w:lang w:eastAsia="zh-CN"/>
              </w:rPr>
            </w:pPr>
            <w:r>
              <w:rPr>
                <w:rFonts w:ascii="宋体" w:eastAsia="宋体" w:hAnsi="宋体" w:cs="宋体" w:hint="eastAsia"/>
                <w:b/>
                <w:kern w:val="2"/>
                <w:sz w:val="22"/>
                <w:szCs w:val="22"/>
                <w:lang w:eastAsia="zh-CN"/>
              </w:rPr>
              <w:t>（二）评分依据</w:t>
            </w:r>
          </w:p>
          <w:p>
            <w:pPr>
              <w:widowControl w:val="0"/>
              <w:jc w:val="left"/>
              <w:rPr>
                <w:rFonts w:ascii="宋体" w:eastAsia="宋体" w:hAnsi="宋体" w:cs="宋体"/>
                <w:bCs/>
                <w:sz w:val="21"/>
                <w:szCs w:val="21"/>
                <w:lang w:eastAsia="zh-CN" w:bidi="ar"/>
              </w:rPr>
            </w:pPr>
            <w:r>
              <w:rPr>
                <w:rFonts w:ascii="宋体" w:eastAsia="宋体" w:hAnsi="宋体" w:cs="宋体" w:hint="eastAsia"/>
                <w:bCs/>
                <w:sz w:val="21"/>
                <w:szCs w:val="21"/>
                <w:lang w:eastAsia="zh-CN" w:bidi="ar"/>
              </w:rPr>
              <w:t>1.投标人提供的项目技术方案,每包含以上任意一项要求得20分，全部满足得40分。</w:t>
            </w:r>
          </w:p>
          <w:p>
            <w:pPr>
              <w:widowControl w:val="0"/>
              <w:jc w:val="left"/>
              <w:rPr>
                <w:rFonts w:ascii="宋体" w:eastAsia="宋体" w:hAnsi="宋体" w:cs="宋体"/>
                <w:bCs/>
                <w:sz w:val="21"/>
                <w:szCs w:val="21"/>
                <w:lang w:eastAsia="zh-CN" w:bidi="ar"/>
              </w:rPr>
            </w:pPr>
            <w:r>
              <w:rPr>
                <w:rFonts w:ascii="宋体" w:eastAsia="宋体" w:hAnsi="宋体" w:cs="宋体" w:hint="eastAsia"/>
                <w:bCs/>
                <w:sz w:val="21"/>
                <w:szCs w:val="21"/>
                <w:lang w:eastAsia="zh-CN" w:bidi="ar"/>
              </w:rPr>
              <w:t>2.在第1项得分的基础上，专家根据各投标人提供的具体内容按照量化的评审因素指标进一步评审：</w:t>
            </w:r>
          </w:p>
          <w:p>
            <w:pPr>
              <w:widowControl w:val="0"/>
              <w:jc w:val="left"/>
              <w:rPr>
                <w:rFonts w:ascii="宋体" w:eastAsia="宋体" w:hAnsi="宋体" w:cs="宋体"/>
                <w:kern w:val="2"/>
                <w:sz w:val="22"/>
                <w:szCs w:val="22"/>
                <w:lang w:eastAsia="zh-CN"/>
              </w:rPr>
            </w:pPr>
            <w:r>
              <w:rPr>
                <w:rFonts w:ascii="宋体" w:eastAsia="宋体" w:hAnsi="宋体" w:cs="宋体" w:hint="eastAsia"/>
                <w:kern w:val="2"/>
                <w:sz w:val="22"/>
                <w:szCs w:val="22"/>
                <w:lang w:eastAsia="zh-CN"/>
              </w:rPr>
              <w:t>（1）</w:t>
            </w:r>
            <w:r>
              <w:rPr>
                <w:rFonts w:ascii="宋体" w:eastAsia="宋体" w:hAnsi="宋体" w:cs="宋体" w:hint="eastAsia"/>
                <w:bCs/>
                <w:sz w:val="21"/>
                <w:szCs w:val="21"/>
                <w:lang w:eastAsia="zh-CN" w:bidi="ar"/>
              </w:rPr>
              <w:t>评审为优</w:t>
            </w:r>
            <w:r>
              <w:rPr>
                <w:rFonts w:ascii="宋体" w:eastAsia="宋体" w:hAnsi="宋体" w:cs="宋体" w:hint="eastAsia"/>
                <w:kern w:val="2"/>
                <w:sz w:val="22"/>
                <w:szCs w:val="22"/>
                <w:lang w:eastAsia="zh-CN"/>
              </w:rPr>
              <w:t>：方案非常可行、合理，符合采购方实际，得60分；</w:t>
            </w:r>
          </w:p>
          <w:p>
            <w:pPr>
              <w:widowControl w:val="0"/>
              <w:jc w:val="left"/>
              <w:rPr>
                <w:rFonts w:ascii="宋体" w:eastAsia="宋体" w:hAnsi="宋体" w:cs="宋体"/>
                <w:kern w:val="2"/>
                <w:sz w:val="22"/>
                <w:szCs w:val="22"/>
                <w:lang w:eastAsia="zh-CN"/>
              </w:rPr>
            </w:pPr>
            <w:r>
              <w:rPr>
                <w:rFonts w:ascii="宋体" w:eastAsia="宋体" w:hAnsi="宋体" w:cs="宋体" w:hint="eastAsia"/>
                <w:kern w:val="2"/>
                <w:sz w:val="22"/>
                <w:szCs w:val="22"/>
                <w:lang w:eastAsia="zh-CN"/>
              </w:rPr>
              <w:t>（2）</w:t>
            </w:r>
            <w:r>
              <w:rPr>
                <w:rFonts w:ascii="宋体" w:eastAsia="宋体" w:hAnsi="宋体" w:cs="宋体" w:hint="eastAsia"/>
                <w:bCs/>
                <w:sz w:val="21"/>
                <w:szCs w:val="21"/>
                <w:lang w:eastAsia="zh-CN" w:bidi="ar"/>
              </w:rPr>
              <w:t>评审为</w:t>
            </w:r>
            <w:r>
              <w:rPr>
                <w:rFonts w:ascii="宋体" w:eastAsia="宋体" w:hAnsi="宋体" w:cs="宋体" w:hint="eastAsia"/>
                <w:kern w:val="2"/>
                <w:sz w:val="22"/>
                <w:szCs w:val="22"/>
                <w:lang w:eastAsia="zh-CN"/>
              </w:rPr>
              <w:t>良：方案可行、较合理，比较符合采购方实际，得35分；</w:t>
            </w:r>
          </w:p>
          <w:p>
            <w:pPr>
              <w:widowControl w:val="0"/>
              <w:jc w:val="left"/>
              <w:rPr>
                <w:rFonts w:ascii="宋体" w:eastAsia="宋体" w:hAnsi="宋体" w:cs="宋体"/>
                <w:kern w:val="2"/>
                <w:sz w:val="22"/>
                <w:szCs w:val="22"/>
                <w:lang w:eastAsia="zh-CN"/>
              </w:rPr>
            </w:pPr>
            <w:r>
              <w:rPr>
                <w:rFonts w:ascii="宋体" w:eastAsia="宋体" w:hAnsi="宋体" w:cs="宋体" w:hint="eastAsia"/>
                <w:kern w:val="2"/>
                <w:sz w:val="22"/>
                <w:szCs w:val="22"/>
                <w:lang w:eastAsia="zh-CN"/>
              </w:rPr>
              <w:t>（3）</w:t>
            </w:r>
            <w:r>
              <w:rPr>
                <w:rFonts w:ascii="宋体" w:eastAsia="宋体" w:hAnsi="宋体" w:cs="宋体" w:hint="eastAsia"/>
                <w:bCs/>
                <w:sz w:val="21"/>
                <w:szCs w:val="21"/>
                <w:lang w:eastAsia="zh-CN" w:bidi="ar"/>
              </w:rPr>
              <w:t>评审为</w:t>
            </w:r>
            <w:r>
              <w:rPr>
                <w:rFonts w:ascii="宋体" w:eastAsia="宋体" w:hAnsi="宋体" w:cs="宋体" w:hint="eastAsia"/>
                <w:kern w:val="2"/>
                <w:sz w:val="22"/>
                <w:szCs w:val="22"/>
                <w:lang w:eastAsia="zh-CN"/>
              </w:rPr>
              <w:t>中：方案可行、合理、评价一般，基本符合采购方实际，得20分；</w:t>
            </w:r>
          </w:p>
          <w:p>
            <w:pPr>
              <w:widowControl w:val="0"/>
              <w:jc w:val="left"/>
              <w:rPr>
                <w:rFonts w:ascii="宋体" w:eastAsia="宋体" w:hAnsi="宋体" w:cs="宋体"/>
                <w:kern w:val="2"/>
                <w:sz w:val="22"/>
                <w:szCs w:val="22"/>
                <w:lang w:eastAsia="zh-CN"/>
              </w:rPr>
            </w:pPr>
            <w:r>
              <w:rPr>
                <w:rFonts w:ascii="宋体" w:eastAsia="宋体" w:hAnsi="宋体" w:cs="宋体" w:hint="eastAsia"/>
                <w:kern w:val="2"/>
                <w:sz w:val="22"/>
                <w:szCs w:val="22"/>
                <w:lang w:eastAsia="zh-CN"/>
              </w:rPr>
              <w:t>（4）</w:t>
            </w:r>
            <w:r>
              <w:rPr>
                <w:rFonts w:ascii="宋体" w:eastAsia="宋体" w:hAnsi="宋体" w:cs="宋体" w:hint="eastAsia"/>
                <w:bCs/>
                <w:sz w:val="21"/>
                <w:szCs w:val="21"/>
                <w:lang w:eastAsia="zh-CN" w:bidi="ar"/>
              </w:rPr>
              <w:t>评审为</w:t>
            </w:r>
            <w:r>
              <w:rPr>
                <w:rFonts w:ascii="宋体" w:eastAsia="宋体" w:hAnsi="宋体" w:cs="宋体" w:hint="eastAsia"/>
                <w:kern w:val="2"/>
                <w:sz w:val="22"/>
                <w:szCs w:val="22"/>
                <w:lang w:eastAsia="zh-CN"/>
              </w:rPr>
              <w:t>差：方案可行性差、偏离采购方实际情况则不得分。</w:t>
            </w:r>
            <w:r>
              <w:rPr>
                <w:rFonts w:ascii="宋体" w:eastAsia="宋体" w:hAnsi="宋体" w:cs="宋体" w:hint="eastAsia"/>
                <w:kern w:val="2"/>
                <w:sz w:val="22"/>
                <w:szCs w:val="22"/>
                <w:lang w:eastAsia="zh-CN"/>
              </w:rPr>
              <w:br/>
            </w:r>
            <w:r>
              <w:rPr>
                <w:rFonts w:ascii="宋体" w:eastAsia="宋体" w:hAnsi="宋体" w:cstheme="minorBidi" w:hint="eastAsia"/>
                <w:b/>
                <w:bCs/>
                <w:color w:val="000000"/>
                <w:sz w:val="21"/>
                <w:szCs w:val="21"/>
                <w:lang w:eastAsia="zh-CN"/>
              </w:rPr>
              <w:t>以上2项得分累计，最高得100分。</w:t>
            </w:r>
          </w:p>
        </w:tc>
      </w:tr>
      <w:tr>
        <w:tblPrEx>
          <w:tblW w:w="5000" w:type="pct"/>
          <w:tblCellSpacing w:w="0" w:type="dxa"/>
          <w:tblInd w:w="0" w:type="dxa"/>
          <w:tblLayout w:type="fixed"/>
          <w:tblCellMar>
            <w:top w:w="20" w:type="dxa"/>
            <w:left w:w="108" w:type="dxa"/>
            <w:bottom w:w="20" w:type="dxa"/>
            <w:right w:w="108" w:type="dxa"/>
          </w:tblCellMar>
        </w:tblPrEx>
        <w:trPr>
          <w:tblCellSpacing w:w="0" w:type="dxa"/>
        </w:trPr>
        <w:tc>
          <w:tcPr>
            <w:tcW w:w="685" w:type="dxa"/>
            <w:vMerge/>
            <w:tcBorders>
              <w:tl2br w:val="nil"/>
              <w:tr2bl w:val="nil"/>
            </w:tcBorders>
            <w:vAlign w:val="center"/>
          </w:tcPr>
          <w:p>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548" w:type="dxa"/>
            <w:tcBorders>
              <w:tl2br w:val="nil"/>
              <w:tr2bl w:val="nil"/>
            </w:tcBorders>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4</w:t>
            </w:r>
          </w:p>
        </w:tc>
        <w:tc>
          <w:tcPr>
            <w:tcW w:w="2240" w:type="dxa"/>
            <w:tcBorders>
              <w:tl2br w:val="nil"/>
              <w:tr2bl w:val="nil"/>
            </w:tcBorders>
            <w:vAlign w:val="center"/>
          </w:tcPr>
          <w:p>
            <w:pPr>
              <w:widowControl w:val="0"/>
              <w:wordWrap w:val="0"/>
              <w:spacing w:line="360" w:lineRule="auto"/>
              <w:jc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施工进度、安全、环境保护措施及方案</w:t>
            </w:r>
          </w:p>
        </w:tc>
        <w:tc>
          <w:tcPr>
            <w:tcW w:w="934" w:type="dxa"/>
            <w:tcBorders>
              <w:tl2br w:val="nil"/>
              <w:tr2bl w:val="nil"/>
            </w:tcBorders>
            <w:vAlign w:val="center"/>
          </w:tcPr>
          <w:p>
            <w:pPr>
              <w:widowControl w:val="0"/>
              <w:wordWrap w:val="0"/>
              <w:spacing w:line="360" w:lineRule="auto"/>
              <w:jc w:val="center"/>
              <w:rPr>
                <w:rFonts w:ascii="宋体" w:eastAsia="宋体" w:hAnsi="宋体" w:cs="宋体" w:hint="eastAsia"/>
                <w:kern w:val="2"/>
                <w:sz w:val="22"/>
                <w:szCs w:val="22"/>
                <w:lang w:eastAsia="zh-CN"/>
              </w:rPr>
            </w:pPr>
            <w:r>
              <w:rPr>
                <w:rFonts w:ascii="宋体" w:eastAsia="宋体" w:hAnsi="宋体" w:cs="宋体" w:hint="eastAsia"/>
                <w:kern w:val="2"/>
                <w:sz w:val="22"/>
                <w:szCs w:val="22"/>
                <w:lang w:eastAsia="zh-CN"/>
              </w:rPr>
              <w:t>7</w:t>
            </w:r>
            <w:bookmarkStart w:id="0" w:name="_GoBack"/>
            <w:bookmarkEnd w:id="0"/>
          </w:p>
        </w:tc>
        <w:tc>
          <w:tcPr>
            <w:tcW w:w="4642" w:type="dxa"/>
            <w:tcBorders>
              <w:tl2br w:val="nil"/>
              <w:tr2bl w:val="nil"/>
            </w:tcBorders>
          </w:tcPr>
          <w:p>
            <w:pPr>
              <w:widowControl/>
              <w:jc w:val="both"/>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（一）评分内容</w:t>
            </w:r>
          </w:p>
          <w:p>
            <w:pPr>
              <w:widowControl w:val="0"/>
              <w:jc w:val="both"/>
              <w:rPr>
                <w:rFonts w:ascii="宋体" w:eastAsia="宋体" w:hAnsi="宋体" w:cs="宋体"/>
                <w:kern w:val="2"/>
                <w:sz w:val="21"/>
                <w:szCs w:val="21"/>
                <w:lang w:eastAsia="zh-CN"/>
              </w:rPr>
            </w:pPr>
            <w:r>
              <w:rPr>
                <w:rFonts w:ascii="宋体" w:eastAsia="宋体" w:hAnsi="宋体" w:cstheme="minorBidi" w:hint="eastAsia"/>
                <w:color w:val="000000"/>
                <w:sz w:val="21"/>
                <w:szCs w:val="21"/>
                <w:lang w:eastAsia="zh-CN"/>
              </w:rPr>
              <w:t>根据投标人提供的</w:t>
            </w:r>
            <w:r>
              <w:rPr>
                <w:rFonts w:ascii="宋体" w:eastAsia="宋体" w:hAnsi="宋体" w:cs="宋体" w:hint="eastAsia"/>
                <w:kern w:val="2"/>
                <w:sz w:val="22"/>
                <w:szCs w:val="22"/>
                <w:lang w:eastAsia="zh-CN"/>
              </w:rPr>
              <w:t>施工进度、安全、环境保护措施及方案</w:t>
            </w:r>
            <w:r>
              <w:rPr>
                <w:rFonts w:ascii="宋体" w:eastAsia="宋体" w:hAnsi="宋体" w:cstheme="minorBidi" w:hint="eastAsia"/>
                <w:color w:val="000000"/>
                <w:sz w:val="21"/>
                <w:szCs w:val="21"/>
                <w:lang w:eastAsia="zh-CN"/>
              </w:rPr>
              <w:t>进行评价，方案要求至少包含以下内容：</w:t>
            </w:r>
            <w:r>
              <w:rPr>
                <w:rFonts w:ascii="宋体" w:eastAsia="宋体" w:hAnsi="宋体" w:cs="宋体" w:hint="eastAsia"/>
                <w:kern w:val="2"/>
                <w:sz w:val="21"/>
                <w:szCs w:val="21"/>
                <w:lang w:eastAsia="zh-CN"/>
              </w:rPr>
              <w:br/>
            </w:r>
            <w:r>
              <w:rPr>
                <w:rFonts w:ascii="宋体" w:eastAsia="宋体" w:hAnsi="宋体" w:cs="宋体" w:hint="eastAsia"/>
                <w:kern w:val="2"/>
                <w:sz w:val="21"/>
                <w:szCs w:val="21"/>
                <w:lang w:eastAsia="zh-CN"/>
              </w:rPr>
              <w:t>（1）施工进度保障措施及方案；</w:t>
            </w:r>
          </w:p>
          <w:p>
            <w:pPr>
              <w:widowControl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（2）安全文明施工保障措施及方案。</w:t>
            </w:r>
          </w:p>
          <w:p>
            <w:pPr>
              <w:widowControl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（3）环境保护措施及方案</w:t>
            </w:r>
          </w:p>
          <w:p>
            <w:pPr>
              <w:widowControl/>
              <w:jc w:val="both"/>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（二）评分依据</w:t>
            </w:r>
          </w:p>
          <w:p>
            <w:pPr>
              <w:widowControl w:val="0"/>
              <w:jc w:val="left"/>
              <w:rPr>
                <w:rFonts w:ascii="宋体" w:eastAsia="宋体" w:hAnsi="宋体" w:cs="宋体"/>
                <w:bCs/>
                <w:sz w:val="21"/>
                <w:szCs w:val="21"/>
                <w:lang w:eastAsia="zh-CN" w:bidi="ar"/>
              </w:rPr>
            </w:pPr>
            <w:r>
              <w:rPr>
                <w:rFonts w:ascii="宋体" w:eastAsia="宋体" w:hAnsi="宋体" w:cs="宋体" w:hint="eastAsia"/>
                <w:bCs/>
                <w:sz w:val="21"/>
                <w:szCs w:val="21"/>
                <w:lang w:eastAsia="zh-CN" w:bidi="ar"/>
              </w:rPr>
              <w:t>1.投标人提供的项目技术方案,每包含以上任意一项要求得15分，全部满足得45分。</w:t>
            </w:r>
          </w:p>
          <w:p>
            <w:pPr>
              <w:widowControl w:val="0"/>
              <w:jc w:val="left"/>
              <w:rPr>
                <w:rFonts w:ascii="宋体" w:eastAsia="宋体" w:hAnsi="宋体" w:cs="宋体"/>
                <w:bCs/>
                <w:sz w:val="21"/>
                <w:szCs w:val="21"/>
                <w:lang w:eastAsia="zh-CN" w:bidi="ar"/>
              </w:rPr>
            </w:pPr>
            <w:r>
              <w:rPr>
                <w:rFonts w:ascii="宋体" w:eastAsia="宋体" w:hAnsi="宋体" w:cs="宋体" w:hint="eastAsia"/>
                <w:bCs/>
                <w:sz w:val="21"/>
                <w:szCs w:val="21"/>
                <w:lang w:eastAsia="zh-CN" w:bidi="ar"/>
              </w:rPr>
              <w:t>2.在第1项得分的基础上，专家根据各投标人提供的具体内容按照量化的评审因素指标进一步评审：</w:t>
            </w:r>
          </w:p>
          <w:p>
            <w:pPr>
              <w:widowControl w:val="0"/>
              <w:ind w:firstLine="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（1）评审为优：安全、环保、进度等保障措施及方案科学有效，全面、合理，符合采购方实际得55分。</w:t>
            </w:r>
          </w:p>
          <w:p>
            <w:pPr>
              <w:widowControl w:val="0"/>
              <w:ind w:firstLine="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（2）评审为良：安全、环保、进度等保障措施及方案比较科学有效，较为全面、合理，</w:t>
            </w:r>
            <w:r>
              <w:rPr>
                <w:rFonts w:ascii="宋体" w:eastAsia="宋体" w:hAnsi="宋体" w:cs="宋体" w:hint="eastAsia"/>
                <w:bCs/>
                <w:sz w:val="21"/>
                <w:szCs w:val="21"/>
                <w:lang w:eastAsia="zh-CN" w:bidi="ar"/>
              </w:rPr>
              <w:t>贴近采购方实际情况</w:t>
            </w:r>
            <w:r>
              <w:rPr>
                <w:rFonts w:ascii="宋体" w:eastAsia="宋体" w:hAnsi="宋体" w:cs="宋体" w:hint="eastAsia"/>
                <w:kern w:val="2"/>
                <w:sz w:val="21"/>
                <w:szCs w:val="21"/>
                <w:lang w:eastAsia="zh-CN"/>
              </w:rPr>
              <w:t>得30分。</w:t>
            </w:r>
          </w:p>
          <w:p>
            <w:pPr>
              <w:widowControl w:val="0"/>
              <w:ind w:firstLine="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（3）评审为中：安全、环保、进度等保障措施及方案科学有效性一般，不够全面、合理性一般，</w:t>
            </w:r>
            <w:r>
              <w:rPr>
                <w:rFonts w:ascii="宋体" w:eastAsia="宋体" w:hAnsi="宋体" w:cs="宋体" w:hint="eastAsia"/>
                <w:bCs/>
                <w:kern w:val="2"/>
                <w:sz w:val="21"/>
                <w:szCs w:val="21"/>
                <w:lang w:eastAsia="zh-CN"/>
              </w:rPr>
              <w:t>基本符合采购方实际情况得15</w:t>
            </w:r>
            <w:r>
              <w:rPr>
                <w:rFonts w:ascii="宋体" w:eastAsia="宋体" w:hAnsi="宋体" w:cs="宋体" w:hint="eastAsia"/>
                <w:kern w:val="2"/>
                <w:sz w:val="21"/>
                <w:szCs w:val="21"/>
                <w:lang w:eastAsia="zh-CN"/>
              </w:rPr>
              <w:t>分。</w:t>
            </w:r>
          </w:p>
          <w:p>
            <w:pPr>
              <w:widowControl w:val="0"/>
              <w:jc w:val="left"/>
              <w:rPr>
                <w:rFonts w:ascii="宋体" w:eastAsia="宋体" w:hAnsi="宋体" w:cs="宋体"/>
                <w:b/>
                <w:bCs/>
                <w:kern w:val="2"/>
                <w:sz w:val="22"/>
                <w:szCs w:val="22"/>
                <w:lang w:eastAsia="zh-CN"/>
              </w:rPr>
            </w:pPr>
            <w:r>
              <w:rPr>
                <w:rFonts w:ascii="宋体" w:eastAsia="宋体" w:hAnsi="宋体" w:cs="宋体" w:hint="eastAsia"/>
                <w:kern w:val="2"/>
                <w:sz w:val="21"/>
                <w:szCs w:val="21"/>
                <w:lang w:eastAsia="zh-CN"/>
              </w:rPr>
              <w:t>（4）评审为差：安全、环保、进度等保障措施及方案不合理，不全面，偏离采购方实际情况得0分。</w:t>
            </w:r>
            <w:r>
              <w:rPr>
                <w:rFonts w:ascii="宋体" w:eastAsia="宋体" w:hAnsi="宋体" w:cs="宋体" w:hint="eastAsia"/>
                <w:kern w:val="2"/>
                <w:sz w:val="21"/>
                <w:szCs w:val="21"/>
                <w:lang w:eastAsia="zh-CN"/>
              </w:rPr>
              <w:br/>
            </w:r>
            <w:r>
              <w:rPr>
                <w:rFonts w:ascii="宋体" w:eastAsia="宋体" w:hAnsi="宋体" w:cstheme="minorBidi" w:hint="eastAsia"/>
                <w:b/>
                <w:bCs/>
                <w:color w:val="000000"/>
                <w:sz w:val="21"/>
                <w:szCs w:val="21"/>
                <w:lang w:eastAsia="zh-CN"/>
              </w:rPr>
              <w:t>以上2项得分累计，最高得100分。</w:t>
            </w:r>
          </w:p>
        </w:tc>
      </w:tr>
      <w:tr>
        <w:tblPrEx>
          <w:tblW w:w="5000" w:type="pct"/>
          <w:tblCellSpacing w:w="0" w:type="dxa"/>
          <w:tblInd w:w="0" w:type="dxa"/>
          <w:tblLayout w:type="fixed"/>
          <w:tblCellMar>
            <w:top w:w="20" w:type="dxa"/>
            <w:left w:w="108" w:type="dxa"/>
            <w:bottom w:w="20" w:type="dxa"/>
            <w:right w:w="108" w:type="dxa"/>
          </w:tblCellMar>
        </w:tblPrEx>
        <w:trPr>
          <w:tblCellSpacing w:w="0" w:type="dxa"/>
        </w:trPr>
        <w:tc>
          <w:tcPr>
            <w:tcW w:w="685" w:type="dxa"/>
            <w:vMerge/>
            <w:tcBorders>
              <w:tl2br w:val="nil"/>
              <w:tr2bl w:val="nil"/>
            </w:tcBorders>
            <w:vAlign w:val="center"/>
          </w:tcPr>
          <w:p>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548" w:type="dxa"/>
            <w:tcBorders>
              <w:tl2br w:val="nil"/>
              <w:tr2bl w:val="nil"/>
            </w:tcBorders>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5</w:t>
            </w:r>
          </w:p>
        </w:tc>
        <w:tc>
          <w:tcPr>
            <w:tcW w:w="2240" w:type="dxa"/>
            <w:tcBorders>
              <w:tl2br w:val="nil"/>
              <w:tr2bl w:val="nil"/>
            </w:tcBorders>
            <w:vAlign w:val="center"/>
          </w:tcPr>
          <w:p>
            <w:pPr>
              <w:widowControl w:val="0"/>
              <w:wordWrap w:val="0"/>
              <w:spacing w:line="360" w:lineRule="auto"/>
              <w:jc w:val="center"/>
              <w:rPr>
                <w:rFonts w:ascii="宋体" w:eastAsia="宋体" w:hAnsi="宋体" w:cs="宋体"/>
                <w:kern w:val="2"/>
                <w:sz w:val="22"/>
                <w:szCs w:val="22"/>
                <w:lang w:eastAsia="zh-CN"/>
              </w:rPr>
            </w:pPr>
            <w:r>
              <w:rPr>
                <w:rFonts w:ascii="宋体" w:eastAsia="宋体" w:hAnsi="宋体" w:cs="宋体" w:hint="eastAsia"/>
                <w:kern w:val="2"/>
                <w:sz w:val="21"/>
                <w:szCs w:val="21"/>
                <w:lang w:eastAsia="zh-CN"/>
              </w:rPr>
              <w:t>项目完成（服务期满）后的服务承诺</w:t>
            </w:r>
          </w:p>
        </w:tc>
        <w:tc>
          <w:tcPr>
            <w:tcW w:w="934" w:type="dxa"/>
            <w:tcBorders>
              <w:tl2br w:val="nil"/>
              <w:tr2bl w:val="nil"/>
            </w:tcBorders>
            <w:vAlign w:val="center"/>
          </w:tcPr>
          <w:p>
            <w:pPr>
              <w:widowControl w:val="0"/>
              <w:wordWrap w:val="0"/>
              <w:spacing w:line="360" w:lineRule="auto"/>
              <w:jc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2</w:t>
            </w:r>
          </w:p>
        </w:tc>
        <w:tc>
          <w:tcPr>
            <w:tcW w:w="4642" w:type="dxa"/>
            <w:tcBorders>
              <w:tl2br w:val="nil"/>
              <w:tr2bl w:val="nil"/>
            </w:tcBorders>
          </w:tcPr>
          <w:p>
            <w:pPr>
              <w:widowControl/>
              <w:jc w:val="both"/>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（一）评分内容</w:t>
            </w:r>
          </w:p>
          <w:p>
            <w:pPr>
              <w:widowControl/>
              <w:jc w:val="both"/>
              <w:rPr>
                <w:rFonts w:ascii="宋体" w:eastAsia="宋体" w:hAnsi="宋体" w:cs="宋体"/>
                <w:sz w:val="21"/>
                <w:szCs w:val="21"/>
                <w:lang w:eastAsia="zh-CN" w:bidi="ar"/>
              </w:rPr>
            </w:pPr>
            <w:r>
              <w:rPr>
                <w:rFonts w:ascii="宋体" w:eastAsia="宋体" w:hAnsi="宋体" w:cstheme="minorBidi" w:hint="eastAsia"/>
                <w:color w:val="000000"/>
                <w:sz w:val="21"/>
                <w:szCs w:val="21"/>
                <w:lang w:eastAsia="zh-CN"/>
              </w:rPr>
              <w:t>根据投标人提供的</w:t>
            </w:r>
            <w:r>
              <w:rPr>
                <w:rFonts w:ascii="宋体" w:eastAsia="宋体" w:hAnsi="宋体" w:cs="宋体" w:hint="eastAsia"/>
                <w:kern w:val="2"/>
                <w:sz w:val="21"/>
                <w:szCs w:val="21"/>
                <w:lang w:eastAsia="zh-CN"/>
              </w:rPr>
              <w:t>项目完成（服务期满）后的服务承诺</w:t>
            </w:r>
            <w:r>
              <w:rPr>
                <w:rFonts w:ascii="宋体" w:eastAsia="宋体" w:hAnsi="宋体" w:cstheme="minorBidi" w:hint="eastAsia"/>
                <w:color w:val="000000"/>
                <w:sz w:val="21"/>
                <w:szCs w:val="21"/>
                <w:lang w:eastAsia="zh-CN"/>
              </w:rPr>
              <w:t>进行评价，方案要求至少包含以下内容：</w:t>
            </w:r>
            <w:r>
              <w:rPr>
                <w:rFonts w:ascii="宋体" w:eastAsia="宋体" w:hAnsi="宋体" w:cs="宋体" w:hint="eastAsia"/>
                <w:sz w:val="21"/>
                <w:szCs w:val="21"/>
                <w:lang w:eastAsia="zh-CN" w:bidi="ar"/>
              </w:rPr>
              <w:br/>
            </w:r>
            <w:r>
              <w:rPr>
                <w:rFonts w:ascii="宋体" w:eastAsia="宋体" w:hAnsi="宋体" w:cs="宋体" w:hint="eastAsia"/>
                <w:sz w:val="21"/>
                <w:szCs w:val="21"/>
                <w:lang w:eastAsia="zh-CN" w:bidi="ar"/>
              </w:rPr>
              <w:t>（1）提供售后服务承诺书；</w:t>
            </w:r>
          </w:p>
          <w:p>
            <w:pPr>
              <w:widowControl/>
              <w:jc w:val="both"/>
              <w:rPr>
                <w:rFonts w:ascii="宋体" w:eastAsia="宋体" w:hAnsi="宋体" w:cs="宋体"/>
                <w:sz w:val="21"/>
                <w:szCs w:val="21"/>
                <w:lang w:eastAsia="zh-CN" w:bidi="ar"/>
              </w:rPr>
            </w:pPr>
            <w:r>
              <w:rPr>
                <w:rFonts w:ascii="宋体" w:eastAsia="宋体" w:hAnsi="宋体" w:cs="宋体" w:hint="eastAsia"/>
                <w:sz w:val="21"/>
                <w:szCs w:val="21"/>
                <w:lang w:eastAsia="zh-CN" w:bidi="ar"/>
              </w:rPr>
              <w:t>（2）售后服务内容；</w:t>
            </w:r>
          </w:p>
          <w:p>
            <w:pPr>
              <w:widowControl/>
              <w:jc w:val="both"/>
              <w:rPr>
                <w:rFonts w:ascii="宋体" w:eastAsia="宋体" w:hAnsi="宋体" w:cs="宋体"/>
                <w:sz w:val="21"/>
                <w:szCs w:val="21"/>
                <w:lang w:eastAsia="zh-CN" w:bidi="ar"/>
              </w:rPr>
            </w:pPr>
            <w:r>
              <w:rPr>
                <w:rFonts w:ascii="宋体" w:eastAsia="宋体" w:hAnsi="宋体" w:cs="宋体" w:hint="eastAsia"/>
                <w:sz w:val="21"/>
                <w:szCs w:val="21"/>
                <w:lang w:eastAsia="zh-CN" w:bidi="ar"/>
              </w:rPr>
              <w:t>（3）安排专人负责标准技术咨询，并提供其联系手机、电话、Email。</w:t>
            </w:r>
          </w:p>
          <w:p>
            <w:pPr>
              <w:widowControl/>
              <w:jc w:val="both"/>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（二）评分标准</w:t>
            </w:r>
          </w:p>
          <w:p>
            <w:pPr>
              <w:widowControl w:val="0"/>
              <w:jc w:val="left"/>
              <w:rPr>
                <w:rFonts w:ascii="宋体" w:eastAsia="宋体" w:hAnsi="宋体" w:cs="宋体"/>
                <w:bCs/>
                <w:sz w:val="21"/>
                <w:szCs w:val="21"/>
                <w:lang w:eastAsia="zh-CN" w:bidi="ar"/>
              </w:rPr>
            </w:pPr>
            <w:r>
              <w:rPr>
                <w:rFonts w:ascii="宋体" w:eastAsia="宋体" w:hAnsi="宋体" w:cs="宋体" w:hint="eastAsia"/>
                <w:bCs/>
                <w:sz w:val="21"/>
                <w:szCs w:val="21"/>
                <w:lang w:eastAsia="zh-CN" w:bidi="ar"/>
              </w:rPr>
              <w:t>1.投标人提供的项目技术方案,每包含以上任意一项要求得10分，全部满足得30分。</w:t>
            </w:r>
          </w:p>
          <w:p>
            <w:pPr>
              <w:widowControl w:val="0"/>
              <w:jc w:val="left"/>
              <w:rPr>
                <w:rFonts w:ascii="宋体" w:eastAsia="宋体" w:hAnsi="宋体" w:cs="宋体"/>
                <w:bCs/>
                <w:sz w:val="21"/>
                <w:szCs w:val="21"/>
                <w:lang w:eastAsia="zh-CN" w:bidi="ar"/>
              </w:rPr>
            </w:pPr>
            <w:r>
              <w:rPr>
                <w:rFonts w:ascii="宋体" w:eastAsia="宋体" w:hAnsi="宋体" w:cs="宋体" w:hint="eastAsia"/>
                <w:bCs/>
                <w:sz w:val="21"/>
                <w:szCs w:val="21"/>
                <w:lang w:eastAsia="zh-CN" w:bidi="ar"/>
              </w:rPr>
              <w:t>2.在第1项得分的基础上，专家根据各投标人提供的具体内容按照量化的评审因素指标进一步评审：</w:t>
            </w:r>
          </w:p>
          <w:p>
            <w:pPr>
              <w:widowControl/>
              <w:jc w:val="both"/>
              <w:rPr>
                <w:rFonts w:ascii="宋体" w:eastAsia="宋体" w:hAnsi="宋体" w:cs="宋体"/>
                <w:sz w:val="21"/>
                <w:szCs w:val="21"/>
                <w:lang w:eastAsia="zh-CN" w:bidi="ar"/>
              </w:rPr>
            </w:pPr>
            <w:r>
              <w:rPr>
                <w:rFonts w:ascii="宋体" w:eastAsia="宋体" w:hAnsi="宋体" w:cs="宋体" w:hint="eastAsia"/>
                <w:bCs/>
                <w:sz w:val="21"/>
                <w:szCs w:val="21"/>
                <w:lang w:eastAsia="zh-CN" w:bidi="ar"/>
              </w:rPr>
              <w:t>（1）</w:t>
            </w:r>
            <w:r>
              <w:rPr>
                <w:rFonts w:ascii="宋体" w:eastAsia="宋体" w:hAnsi="宋体" w:cs="宋体" w:hint="eastAsia"/>
                <w:kern w:val="2"/>
                <w:sz w:val="21"/>
                <w:szCs w:val="21"/>
                <w:lang w:eastAsia="zh-CN"/>
              </w:rPr>
              <w:t>评审为</w:t>
            </w:r>
            <w:r>
              <w:rPr>
                <w:rFonts w:ascii="宋体" w:eastAsia="宋体" w:hAnsi="宋体" w:cs="宋体" w:hint="eastAsia"/>
                <w:sz w:val="21"/>
                <w:szCs w:val="21"/>
                <w:lang w:eastAsia="zh-CN" w:bidi="ar"/>
              </w:rPr>
              <w:t>优：服务承诺完整、完善，承诺内容全面可信，有明确的服务时限得</w:t>
            </w:r>
            <w:r>
              <w:rPr>
                <w:rFonts w:ascii="宋体" w:eastAsia="宋体" w:hAnsi="宋体" w:cs="宋体" w:hint="eastAsia"/>
                <w:kern w:val="2"/>
                <w:sz w:val="21"/>
                <w:szCs w:val="21"/>
                <w:lang w:eastAsia="zh-CN"/>
              </w:rPr>
              <w:t>70分</w:t>
            </w:r>
            <w:r>
              <w:rPr>
                <w:rFonts w:ascii="宋体" w:eastAsia="宋体" w:hAnsi="宋体" w:cs="宋体" w:hint="eastAsia"/>
                <w:sz w:val="21"/>
                <w:szCs w:val="21"/>
                <w:lang w:eastAsia="zh-CN" w:bidi="ar"/>
              </w:rPr>
              <w:t>。</w:t>
            </w:r>
          </w:p>
          <w:p>
            <w:pPr>
              <w:widowControl/>
              <w:jc w:val="both"/>
              <w:rPr>
                <w:rFonts w:ascii="宋体" w:eastAsia="宋体" w:hAnsi="宋体" w:cs="宋体"/>
                <w:sz w:val="21"/>
                <w:szCs w:val="21"/>
                <w:lang w:eastAsia="zh-CN" w:bidi="ar"/>
              </w:rPr>
            </w:pPr>
            <w:r>
              <w:rPr>
                <w:rFonts w:ascii="宋体" w:eastAsia="宋体" w:hAnsi="宋体" w:cs="宋体" w:hint="eastAsia"/>
                <w:bCs/>
                <w:sz w:val="21"/>
                <w:szCs w:val="21"/>
                <w:lang w:eastAsia="zh-CN" w:bidi="ar"/>
              </w:rPr>
              <w:t>（2）</w:t>
            </w:r>
            <w:r>
              <w:rPr>
                <w:rFonts w:ascii="宋体" w:eastAsia="宋体" w:hAnsi="宋体" w:cs="宋体" w:hint="eastAsia"/>
                <w:kern w:val="2"/>
                <w:sz w:val="21"/>
                <w:szCs w:val="21"/>
                <w:lang w:eastAsia="zh-CN"/>
              </w:rPr>
              <w:t>评审为</w:t>
            </w:r>
            <w:r>
              <w:rPr>
                <w:rFonts w:ascii="宋体" w:eastAsia="宋体" w:hAnsi="宋体" w:cs="宋体" w:hint="eastAsia"/>
                <w:sz w:val="21"/>
                <w:szCs w:val="21"/>
                <w:lang w:eastAsia="zh-CN" w:bidi="ar"/>
              </w:rPr>
              <w:t>良：服务承诺完整，承诺内容可信，服务时限模糊得</w:t>
            </w:r>
            <w:r>
              <w:rPr>
                <w:rFonts w:ascii="宋体" w:eastAsia="宋体" w:hAnsi="宋体" w:cs="宋体" w:hint="eastAsia"/>
                <w:kern w:val="2"/>
                <w:sz w:val="21"/>
                <w:szCs w:val="21"/>
                <w:lang w:eastAsia="zh-CN"/>
              </w:rPr>
              <w:t>30分</w:t>
            </w:r>
            <w:r>
              <w:rPr>
                <w:rFonts w:ascii="宋体" w:eastAsia="宋体" w:hAnsi="宋体" w:cs="宋体" w:hint="eastAsia"/>
                <w:sz w:val="21"/>
                <w:szCs w:val="21"/>
                <w:lang w:eastAsia="zh-CN" w:bidi="ar"/>
              </w:rPr>
              <w:t>。</w:t>
            </w:r>
          </w:p>
          <w:p>
            <w:pPr>
              <w:widowControl/>
              <w:jc w:val="both"/>
              <w:rPr>
                <w:rFonts w:ascii="宋体" w:eastAsia="宋体" w:hAnsi="宋体" w:cs="宋体"/>
                <w:sz w:val="21"/>
                <w:szCs w:val="21"/>
                <w:lang w:eastAsia="zh-CN" w:bidi="ar"/>
              </w:rPr>
            </w:pPr>
            <w:r>
              <w:rPr>
                <w:rFonts w:ascii="宋体" w:eastAsia="宋体" w:hAnsi="宋体" w:cs="宋体" w:hint="eastAsia"/>
                <w:bCs/>
                <w:sz w:val="21"/>
                <w:szCs w:val="21"/>
                <w:lang w:eastAsia="zh-CN" w:bidi="ar"/>
              </w:rPr>
              <w:t>（3）</w:t>
            </w:r>
            <w:r>
              <w:rPr>
                <w:rFonts w:ascii="宋体" w:eastAsia="宋体" w:hAnsi="宋体" w:cs="宋体" w:hint="eastAsia"/>
                <w:kern w:val="2"/>
                <w:sz w:val="21"/>
                <w:szCs w:val="21"/>
                <w:lang w:eastAsia="zh-CN"/>
              </w:rPr>
              <w:t>评审为</w:t>
            </w:r>
            <w:r>
              <w:rPr>
                <w:rFonts w:ascii="宋体" w:eastAsia="宋体" w:hAnsi="宋体" w:cs="宋体" w:hint="eastAsia"/>
                <w:sz w:val="21"/>
                <w:szCs w:val="21"/>
                <w:lang w:eastAsia="zh-CN" w:bidi="ar"/>
              </w:rPr>
              <w:t>中：服务承诺有缺漏，承诺可信度低，服务时限模糊甚至无标明得10分。</w:t>
            </w:r>
          </w:p>
          <w:p>
            <w:pPr>
              <w:widowControl/>
              <w:jc w:val="both"/>
              <w:rPr>
                <w:rFonts w:ascii="宋体" w:eastAsia="宋体" w:hAnsi="宋体" w:cs="宋体"/>
                <w:sz w:val="21"/>
                <w:szCs w:val="21"/>
                <w:lang w:eastAsia="zh-CN" w:bidi="ar"/>
              </w:rPr>
            </w:pPr>
            <w:r>
              <w:rPr>
                <w:rFonts w:ascii="宋体" w:eastAsia="宋体" w:hAnsi="宋体" w:cs="宋体" w:hint="eastAsia"/>
                <w:sz w:val="21"/>
                <w:szCs w:val="21"/>
                <w:lang w:eastAsia="zh-CN" w:bidi="ar"/>
              </w:rPr>
              <w:t>（4）</w:t>
            </w:r>
            <w:r>
              <w:rPr>
                <w:rFonts w:ascii="宋体" w:eastAsia="宋体" w:hAnsi="宋体" w:cs="宋体" w:hint="eastAsia"/>
                <w:kern w:val="2"/>
                <w:sz w:val="21"/>
                <w:szCs w:val="21"/>
                <w:lang w:eastAsia="zh-CN"/>
              </w:rPr>
              <w:t>评审为</w:t>
            </w:r>
            <w:r>
              <w:rPr>
                <w:rFonts w:ascii="宋体" w:eastAsia="宋体" w:hAnsi="宋体" w:cs="宋体" w:hint="eastAsia"/>
                <w:sz w:val="21"/>
                <w:szCs w:val="21"/>
                <w:lang w:eastAsia="zh-CN" w:bidi="ar"/>
              </w:rPr>
              <w:t>差：服务承诺严重缺漏，无可信度，无服务时限得0分。</w:t>
            </w:r>
          </w:p>
          <w:p>
            <w:pPr>
              <w:widowControl/>
              <w:jc w:val="both"/>
              <w:rPr>
                <w:rFonts w:ascii="宋体" w:eastAsia="宋体" w:hAnsi="宋体" w:cs="宋体"/>
                <w:sz w:val="21"/>
                <w:szCs w:val="21"/>
                <w:lang w:eastAsia="zh-CN" w:bidi="ar"/>
              </w:rPr>
            </w:pPr>
            <w:r>
              <w:rPr>
                <w:rFonts w:ascii="宋体" w:eastAsia="宋体" w:hAnsi="宋体" w:cstheme="minorBidi" w:hint="eastAsia"/>
                <w:b/>
                <w:bCs/>
                <w:color w:val="000000"/>
                <w:sz w:val="21"/>
                <w:szCs w:val="21"/>
                <w:lang w:eastAsia="zh-CN"/>
              </w:rPr>
              <w:t>以上2项得分累计，最高得100分。</w:t>
            </w:r>
          </w:p>
        </w:tc>
      </w:tr>
      <w:tr>
        <w:tblPrEx>
          <w:tblW w:w="5000" w:type="pct"/>
          <w:tblCellSpacing w:w="0" w:type="dxa"/>
          <w:tblInd w:w="0" w:type="dxa"/>
          <w:tblLayout w:type="fixed"/>
          <w:tblCellMar>
            <w:top w:w="20" w:type="dxa"/>
            <w:left w:w="108" w:type="dxa"/>
            <w:bottom w:w="20" w:type="dxa"/>
            <w:right w:w="108" w:type="dxa"/>
          </w:tblCellMar>
        </w:tblPrEx>
        <w:trPr>
          <w:trHeight w:val="282"/>
          <w:tblCellSpacing w:w="0" w:type="dxa"/>
        </w:trPr>
        <w:tc>
          <w:tcPr>
            <w:tcW w:w="685" w:type="dxa"/>
            <w:vMerge/>
            <w:tcBorders>
              <w:tl2br w:val="nil"/>
              <w:tr2bl w:val="nil"/>
            </w:tcBorders>
            <w:vAlign w:val="center"/>
          </w:tcPr>
          <w:p>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548" w:type="dxa"/>
            <w:tcBorders>
              <w:tl2br w:val="nil"/>
              <w:tr2bl w:val="nil"/>
            </w:tcBorders>
            <w:shd w:val="clear" w:color="auto" w:fill="auto"/>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6</w:t>
            </w:r>
          </w:p>
        </w:tc>
        <w:tc>
          <w:tcPr>
            <w:tcW w:w="2240" w:type="dxa"/>
            <w:tcBorders>
              <w:tl2br w:val="nil"/>
              <w:tr2bl w:val="nil"/>
            </w:tcBorders>
            <w:shd w:val="clear" w:color="auto" w:fill="auto"/>
            <w:vAlign w:val="center"/>
          </w:tcPr>
          <w:p>
            <w:pPr>
              <w:widowControl w:val="0"/>
              <w:spacing w:line="360" w:lineRule="auto"/>
              <w:jc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施工响应时间承诺</w:t>
            </w:r>
          </w:p>
        </w:tc>
        <w:tc>
          <w:tcPr>
            <w:tcW w:w="934" w:type="dxa"/>
            <w:tcBorders>
              <w:tl2br w:val="nil"/>
              <w:tr2bl w:val="nil"/>
            </w:tcBorders>
            <w:shd w:val="clear" w:color="auto" w:fill="auto"/>
            <w:vAlign w:val="center"/>
          </w:tcPr>
          <w:p>
            <w:pPr>
              <w:widowControl w:val="0"/>
              <w:spacing w:line="360" w:lineRule="auto"/>
              <w:jc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2</w:t>
            </w:r>
          </w:p>
        </w:tc>
        <w:tc>
          <w:tcPr>
            <w:tcW w:w="4642" w:type="dxa"/>
            <w:tcBorders>
              <w:tl2br w:val="nil"/>
              <w:tr2bl w:val="nil"/>
            </w:tcBorders>
            <w:shd w:val="clear" w:color="auto" w:fill="auto"/>
          </w:tcPr>
          <w:p>
            <w:pPr>
              <w:widowControl w:val="0"/>
              <w:wordWrap w:val="0"/>
              <w:jc w:val="both"/>
              <w:rPr>
                <w:rFonts w:ascii="宋体" w:eastAsia="宋体" w:hAnsi="宋体" w:cs="宋体"/>
                <w:b/>
                <w:bCs/>
                <w:kern w:val="2"/>
                <w:sz w:val="22"/>
                <w:szCs w:val="22"/>
                <w:lang w:eastAsia="zh-CN"/>
              </w:rPr>
            </w:pPr>
            <w:r>
              <w:rPr>
                <w:rFonts w:ascii="宋体" w:eastAsia="宋体" w:hAnsi="宋体" w:cs="宋体" w:hint="eastAsia"/>
                <w:b/>
                <w:bCs/>
                <w:kern w:val="2"/>
                <w:sz w:val="22"/>
                <w:szCs w:val="22"/>
                <w:lang w:eastAsia="zh-CN"/>
              </w:rPr>
              <w:t>（一）评分内容</w:t>
            </w:r>
          </w:p>
          <w:p>
            <w:pPr>
              <w:widowControl w:val="0"/>
              <w:wordWrap w:val="0"/>
              <w:jc w:val="both"/>
              <w:rPr>
                <w:rFonts w:ascii="宋体" w:eastAsia="宋体" w:hAnsi="宋体" w:cs="宋体"/>
                <w:kern w:val="2"/>
                <w:sz w:val="22"/>
                <w:szCs w:val="22"/>
                <w:lang w:eastAsia="zh-CN"/>
              </w:rPr>
            </w:pPr>
            <w:r>
              <w:rPr>
                <w:rFonts w:ascii="宋体" w:eastAsia="宋体" w:hAnsi="宋体" w:cs="宋体" w:hint="eastAsia"/>
                <w:kern w:val="2"/>
                <w:sz w:val="22"/>
                <w:szCs w:val="22"/>
                <w:lang w:eastAsia="zh-CN"/>
              </w:rPr>
              <w:t>根据投标人提供的施工响应时间承诺情况进行评审：</w:t>
            </w:r>
          </w:p>
          <w:p>
            <w:pPr>
              <w:widowControl w:val="0"/>
              <w:wordWrap w:val="0"/>
              <w:jc w:val="both"/>
              <w:rPr>
                <w:rFonts w:ascii="宋体" w:eastAsia="宋体" w:hAnsi="宋体" w:cs="宋体"/>
                <w:kern w:val="2"/>
                <w:sz w:val="22"/>
                <w:szCs w:val="22"/>
                <w:lang w:eastAsia="zh-CN"/>
              </w:rPr>
            </w:pPr>
            <w:r>
              <w:rPr>
                <w:rFonts w:ascii="宋体" w:eastAsia="宋体" w:hAnsi="宋体" w:cs="宋体" w:hint="eastAsia"/>
                <w:kern w:val="2"/>
                <w:sz w:val="22"/>
                <w:szCs w:val="22"/>
                <w:lang w:eastAsia="zh-CN"/>
              </w:rPr>
              <w:t>（1）投标人承诺在接受到指令后到达现场的时间，工程响应时间不超过1小时（含）的，得100分；</w:t>
            </w:r>
          </w:p>
          <w:p>
            <w:pPr>
              <w:widowControl w:val="0"/>
              <w:wordWrap w:val="0"/>
              <w:jc w:val="both"/>
              <w:rPr>
                <w:rFonts w:ascii="宋体" w:eastAsia="宋体" w:hAnsi="宋体" w:cs="宋体"/>
                <w:kern w:val="2"/>
                <w:sz w:val="22"/>
                <w:szCs w:val="22"/>
                <w:lang w:eastAsia="zh-CN"/>
              </w:rPr>
            </w:pPr>
            <w:r>
              <w:rPr>
                <w:rFonts w:ascii="宋体" w:eastAsia="宋体" w:hAnsi="宋体" w:cs="宋体" w:hint="eastAsia"/>
                <w:kern w:val="2"/>
                <w:sz w:val="22"/>
                <w:szCs w:val="22"/>
                <w:lang w:eastAsia="zh-CN"/>
              </w:rPr>
              <w:t>（2）投标人承诺在接受到指令后到达现场的时间，工程响应时间不超过2小时（含）的，得50分；</w:t>
            </w:r>
          </w:p>
          <w:p>
            <w:pPr>
              <w:widowControl w:val="0"/>
              <w:wordWrap w:val="0"/>
              <w:jc w:val="both"/>
              <w:rPr>
                <w:rFonts w:ascii="宋体" w:eastAsia="宋体" w:hAnsi="宋体" w:cs="宋体"/>
                <w:kern w:val="2"/>
                <w:sz w:val="22"/>
                <w:szCs w:val="22"/>
                <w:lang w:eastAsia="zh-CN"/>
              </w:rPr>
            </w:pPr>
            <w:r>
              <w:rPr>
                <w:rFonts w:ascii="宋体" w:eastAsia="宋体" w:hAnsi="宋体" w:cs="宋体" w:hint="eastAsia"/>
                <w:kern w:val="2"/>
                <w:sz w:val="22"/>
                <w:szCs w:val="22"/>
                <w:lang w:eastAsia="zh-CN"/>
              </w:rPr>
              <w:t>（3）投标人承诺在接受到指令后到达现场的时间，工程响应时间不超过4小时（含）的，得25分。</w:t>
            </w:r>
          </w:p>
          <w:p>
            <w:pPr>
              <w:widowControl w:val="0"/>
              <w:wordWrap w:val="0"/>
              <w:jc w:val="both"/>
              <w:rPr>
                <w:rFonts w:ascii="宋体" w:eastAsia="宋体" w:hAnsi="宋体" w:cs="宋体"/>
                <w:b/>
                <w:bCs/>
                <w:kern w:val="2"/>
                <w:sz w:val="22"/>
                <w:szCs w:val="22"/>
                <w:lang w:eastAsia="zh-CN"/>
              </w:rPr>
            </w:pPr>
            <w:r>
              <w:rPr>
                <w:rFonts w:ascii="宋体" w:eastAsia="宋体" w:hAnsi="宋体" w:cs="宋体" w:hint="eastAsia"/>
                <w:b/>
                <w:bCs/>
                <w:kern w:val="2"/>
                <w:sz w:val="22"/>
                <w:szCs w:val="22"/>
                <w:lang w:eastAsia="zh-CN"/>
              </w:rPr>
              <w:t>（二）评分依据</w:t>
            </w:r>
          </w:p>
          <w:p>
            <w:pPr>
              <w:widowControl w:val="0"/>
              <w:wordWrap w:val="0"/>
              <w:jc w:val="both"/>
              <w:rPr>
                <w:rFonts w:ascii="宋体" w:eastAsia="宋体" w:hAnsi="宋体" w:cs="宋体"/>
                <w:kern w:val="2"/>
                <w:sz w:val="22"/>
                <w:szCs w:val="22"/>
                <w:lang w:eastAsia="zh-CN"/>
              </w:rPr>
            </w:pPr>
            <w:r>
              <w:rPr>
                <w:rFonts w:ascii="宋体" w:eastAsia="宋体" w:hAnsi="宋体" w:cs="宋体" w:hint="eastAsia"/>
                <w:kern w:val="2"/>
                <w:sz w:val="22"/>
                <w:szCs w:val="22"/>
                <w:lang w:eastAsia="zh-CN"/>
              </w:rPr>
              <w:t>要求投标人提供承诺函（格式自拟）作为得分依据，未提供承诺或承诺内容不满足要求不得分。</w:t>
            </w:r>
          </w:p>
        </w:tc>
      </w:tr>
      <w:tr>
        <w:tblPrEx>
          <w:tblW w:w="5000" w:type="pct"/>
          <w:tblCellSpacing w:w="0" w:type="dxa"/>
          <w:tblInd w:w="0" w:type="dxa"/>
          <w:tblLayout w:type="fixed"/>
          <w:tblCellMar>
            <w:top w:w="20" w:type="dxa"/>
            <w:left w:w="108" w:type="dxa"/>
            <w:bottom w:w="20" w:type="dxa"/>
            <w:right w:w="108" w:type="dxa"/>
          </w:tblCellMar>
        </w:tblPrEx>
        <w:trPr>
          <w:trHeight w:val="282"/>
          <w:tblCellSpacing w:w="0" w:type="dxa"/>
        </w:trPr>
        <w:tc>
          <w:tcPr>
            <w:tcW w:w="685" w:type="dxa"/>
            <w:vMerge/>
            <w:tcBorders>
              <w:tl2br w:val="nil"/>
              <w:tr2bl w:val="nil"/>
            </w:tcBorders>
            <w:vAlign w:val="center"/>
          </w:tcPr>
          <w:p>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548" w:type="dxa"/>
            <w:tcBorders>
              <w:tl2br w:val="nil"/>
              <w:tr2bl w:val="nil"/>
            </w:tcBorders>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7</w:t>
            </w:r>
          </w:p>
        </w:tc>
        <w:tc>
          <w:tcPr>
            <w:tcW w:w="2240" w:type="dxa"/>
            <w:tcBorders>
              <w:tl2br w:val="nil"/>
              <w:tr2bl w:val="nil"/>
            </w:tcBorders>
            <w:shd w:val="clear" w:color="auto" w:fill="auto"/>
            <w:vAlign w:val="center"/>
          </w:tcPr>
          <w:p>
            <w:pPr>
              <w:widowControl w:val="0"/>
              <w:spacing w:after="160"/>
              <w:jc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免费质保期</w:t>
            </w:r>
          </w:p>
        </w:tc>
        <w:tc>
          <w:tcPr>
            <w:tcW w:w="934" w:type="dxa"/>
            <w:tcBorders>
              <w:tl2br w:val="nil"/>
              <w:tr2bl w:val="nil"/>
            </w:tcBorders>
            <w:shd w:val="clear" w:color="auto" w:fill="auto"/>
            <w:vAlign w:val="center"/>
          </w:tcPr>
          <w:p>
            <w:pPr>
              <w:widowControl w:val="0"/>
              <w:jc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8</w:t>
            </w:r>
          </w:p>
        </w:tc>
        <w:tc>
          <w:tcPr>
            <w:tcW w:w="4642" w:type="dxa"/>
            <w:tcBorders>
              <w:tl2br w:val="nil"/>
              <w:tr2bl w:val="nil"/>
            </w:tcBorders>
            <w:shd w:val="clear" w:color="auto" w:fill="auto"/>
            <w:vAlign w:val="center"/>
          </w:tcPr>
          <w:p>
            <w:pPr>
              <w:widowControl w:val="0"/>
              <w:jc w:val="left"/>
              <w:rPr>
                <w:rFonts w:ascii="宋体" w:eastAsia="宋体" w:hAnsi="宋体" w:cs="宋体"/>
                <w:b/>
                <w:bCs/>
                <w:kern w:val="2"/>
                <w:sz w:val="22"/>
                <w:szCs w:val="22"/>
                <w:lang w:eastAsia="zh-CN"/>
              </w:rPr>
            </w:pPr>
            <w:r>
              <w:rPr>
                <w:rFonts w:ascii="宋体" w:eastAsia="宋体" w:hAnsi="宋体" w:cs="宋体" w:hint="eastAsia"/>
                <w:b/>
                <w:bCs/>
                <w:kern w:val="2"/>
                <w:sz w:val="22"/>
                <w:szCs w:val="22"/>
                <w:lang w:eastAsia="zh-CN"/>
              </w:rPr>
              <w:t>（一）评分内容：</w:t>
            </w:r>
          </w:p>
          <w:p>
            <w:pPr>
              <w:widowControl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根据实质性条款中免费质保期的响应情况进行评价，评审委员会以投标文件《实质性条款响应情况表》中免费质保期响应情况进行打分。</w:t>
            </w:r>
          </w:p>
          <w:p>
            <w:pPr>
              <w:widowControl w:val="0"/>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（二）评分依据</w:t>
            </w:r>
          </w:p>
          <w:p>
            <w:pPr>
              <w:widowControl w:val="0"/>
              <w:jc w:val="left"/>
              <w:rPr>
                <w:rFonts w:ascii="Calibri" w:eastAsia="宋体" w:hAnsi="Calibri"/>
                <w:kern w:val="2"/>
                <w:sz w:val="21"/>
                <w:szCs w:val="22"/>
                <w:lang w:eastAsia="zh-CN"/>
              </w:rPr>
            </w:pPr>
            <w:r>
              <w:rPr>
                <w:rFonts w:ascii="宋体" w:eastAsia="宋体" w:hAnsi="宋体" w:cs="宋体" w:hint="eastAsia"/>
                <w:kern w:val="2"/>
                <w:sz w:val="21"/>
                <w:szCs w:val="21"/>
                <w:lang w:eastAsia="zh-CN"/>
              </w:rPr>
              <w:t>在满足招标文件免费质保期要求的前提下，整体每延长1年免费保修期的得50分，最高100分。</w:t>
            </w:r>
          </w:p>
        </w:tc>
      </w:tr>
      <w:tr>
        <w:tblPrEx>
          <w:tblW w:w="5000" w:type="pct"/>
          <w:tblCellSpacing w:w="0" w:type="dxa"/>
          <w:tblInd w:w="0" w:type="dxa"/>
          <w:tblLayout w:type="fixed"/>
          <w:tblCellMar>
            <w:top w:w="20" w:type="dxa"/>
            <w:left w:w="108" w:type="dxa"/>
            <w:bottom w:w="20" w:type="dxa"/>
            <w:right w:w="108" w:type="dxa"/>
          </w:tblCellMar>
        </w:tblPrEx>
        <w:trPr>
          <w:trHeight w:val="282"/>
          <w:tblCellSpacing w:w="0" w:type="dxa"/>
        </w:trPr>
        <w:tc>
          <w:tcPr>
            <w:tcW w:w="685" w:type="dxa"/>
            <w:vMerge/>
            <w:tcBorders>
              <w:tl2br w:val="nil"/>
              <w:tr2bl w:val="nil"/>
            </w:tcBorders>
            <w:vAlign w:val="center"/>
          </w:tcPr>
          <w:p>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548" w:type="dxa"/>
            <w:tcBorders>
              <w:tl2br w:val="nil"/>
              <w:tr2bl w:val="nil"/>
            </w:tcBorders>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8</w:t>
            </w:r>
          </w:p>
        </w:tc>
        <w:tc>
          <w:tcPr>
            <w:tcW w:w="2240" w:type="dxa"/>
            <w:tcBorders>
              <w:tl2br w:val="nil"/>
              <w:tr2bl w:val="nil"/>
            </w:tcBorders>
            <w:shd w:val="clear" w:color="auto" w:fill="auto"/>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拟安排的项目负责人情况（仅限一人）</w:t>
            </w:r>
          </w:p>
        </w:tc>
        <w:tc>
          <w:tcPr>
            <w:tcW w:w="934" w:type="dxa"/>
            <w:tcBorders>
              <w:tl2br w:val="nil"/>
              <w:tr2bl w:val="nil"/>
            </w:tcBorders>
            <w:shd w:val="clear" w:color="auto" w:fill="auto"/>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w:t>
            </w:r>
          </w:p>
        </w:tc>
        <w:tc>
          <w:tcPr>
            <w:tcW w:w="4642" w:type="dxa"/>
            <w:tcBorders>
              <w:tl2br w:val="nil"/>
              <w:tr2bl w:val="nil"/>
            </w:tcBorders>
            <w:shd w:val="clear" w:color="auto" w:fill="auto"/>
          </w:tcPr>
          <w:p>
            <w:pPr>
              <w:widowControl w:val="0"/>
              <w:spacing w:after="0"/>
              <w:jc w:val="both"/>
              <w:rPr>
                <w:rFonts w:ascii="宋体" w:eastAsia="宋体" w:hAnsi="宋体" w:cs="宋体"/>
                <w:kern w:val="2"/>
                <w:sz w:val="22"/>
                <w:szCs w:val="22"/>
                <w:lang w:eastAsia="zh-CN"/>
              </w:rPr>
            </w:pPr>
            <w:r>
              <w:rPr>
                <w:rFonts w:ascii="宋体" w:eastAsia="宋体" w:hAnsi="宋体" w:hint="eastAsia"/>
                <w:b/>
                <w:bCs/>
                <w:sz w:val="22"/>
                <w:szCs w:val="22"/>
                <w:lang w:eastAsia="zh-CN"/>
              </w:rPr>
              <w:t>（一）评分内容</w:t>
            </w:r>
            <w:r>
              <w:rPr>
                <w:rFonts w:ascii="宋体" w:eastAsia="宋体" w:hAnsi="宋体" w:hint="eastAsia"/>
                <w:b/>
                <w:bCs/>
                <w:sz w:val="22"/>
                <w:szCs w:val="22"/>
                <w:lang w:eastAsia="zh-CN"/>
              </w:rPr>
              <w:br/>
            </w:r>
            <w:r>
              <w:rPr>
                <w:rFonts w:ascii="宋体" w:eastAsia="宋体" w:hAnsi="宋体" w:hint="eastAsia"/>
                <w:sz w:val="22"/>
                <w:szCs w:val="22"/>
                <w:lang w:eastAsia="zh-CN"/>
              </w:rPr>
              <w:t>拟安排的项目负责人（仅限一人）须为投标人自有员工（以社保为准），否则投入的该人员作不得分处理。</w:t>
            </w:r>
            <w:r>
              <w:rPr>
                <w:rFonts w:ascii="宋体" w:eastAsia="宋体" w:hAnsi="宋体" w:cs="宋体" w:hint="eastAsia"/>
                <w:kern w:val="2"/>
                <w:sz w:val="22"/>
                <w:szCs w:val="22"/>
                <w:lang w:eastAsia="zh-CN"/>
              </w:rPr>
              <w:t>在此基础上按照以下规则评分：</w:t>
            </w:r>
            <w:r>
              <w:rPr>
                <w:rFonts w:ascii="宋体" w:eastAsia="宋体" w:hAnsi="宋体" w:hint="eastAsia"/>
                <w:sz w:val="22"/>
                <w:szCs w:val="22"/>
                <w:lang w:eastAsia="zh-CN"/>
              </w:rPr>
              <w:br/>
            </w:r>
            <w:r>
              <w:rPr>
                <w:rFonts w:ascii="宋体" w:eastAsia="宋体" w:hAnsi="宋体" w:hint="eastAsia"/>
                <w:sz w:val="22"/>
                <w:szCs w:val="22"/>
                <w:lang w:eastAsia="zh-CN"/>
              </w:rPr>
              <w:t>①具有人社部门颁发的建筑装饰专业的工程师（中级）或以上职称的，得50分；</w:t>
            </w:r>
            <w:r>
              <w:rPr>
                <w:rFonts w:ascii="宋体" w:eastAsia="宋体" w:hAnsi="宋体" w:hint="eastAsia"/>
                <w:sz w:val="22"/>
                <w:szCs w:val="22"/>
                <w:lang w:eastAsia="zh-CN"/>
              </w:rPr>
              <w:br/>
            </w:r>
            <w:r>
              <w:rPr>
                <w:rFonts w:ascii="宋体" w:eastAsia="宋体" w:hAnsi="宋体" w:hint="eastAsia"/>
                <w:sz w:val="22"/>
                <w:szCs w:val="22"/>
                <w:lang w:eastAsia="zh-CN"/>
              </w:rPr>
              <w:t>②具有住建部门颁发的建筑施工企业项目负责人安全生产考核合格证书，得50分.</w:t>
            </w:r>
            <w:r>
              <w:rPr>
                <w:rFonts w:ascii="宋体" w:eastAsia="宋体" w:hAnsi="宋体" w:hint="eastAsia"/>
                <w:sz w:val="22"/>
                <w:szCs w:val="22"/>
                <w:lang w:eastAsia="zh-CN"/>
              </w:rPr>
              <w:br/>
            </w:r>
            <w:r>
              <w:rPr>
                <w:rFonts w:ascii="宋体" w:eastAsia="宋体" w:hAnsi="宋体" w:hint="eastAsia"/>
                <w:b/>
                <w:bCs/>
                <w:sz w:val="22"/>
                <w:szCs w:val="22"/>
                <w:lang w:eastAsia="zh-CN"/>
              </w:rPr>
              <w:t>以上2项得分累计，满分100分。</w:t>
            </w:r>
            <w:r>
              <w:rPr>
                <w:rFonts w:ascii="宋体" w:eastAsia="宋体" w:hAnsi="宋体" w:hint="eastAsia"/>
                <w:b/>
                <w:bCs/>
                <w:sz w:val="22"/>
                <w:szCs w:val="22"/>
                <w:lang w:eastAsia="zh-CN"/>
              </w:rPr>
              <w:br/>
            </w:r>
            <w:r>
              <w:rPr>
                <w:rFonts w:ascii="宋体" w:eastAsia="宋体" w:hAnsi="宋体" w:hint="eastAsia"/>
                <w:b/>
                <w:bCs/>
                <w:sz w:val="22"/>
                <w:szCs w:val="22"/>
                <w:lang w:eastAsia="zh-CN"/>
              </w:rPr>
              <w:t>（二）评分依据</w:t>
            </w:r>
            <w:r>
              <w:rPr>
                <w:rFonts w:ascii="宋体" w:eastAsia="宋体" w:hAnsi="宋体" w:hint="eastAsia"/>
                <w:b/>
                <w:bCs/>
                <w:sz w:val="22"/>
                <w:szCs w:val="22"/>
                <w:lang w:eastAsia="zh-CN"/>
              </w:rPr>
              <w:br/>
            </w:r>
            <w:r>
              <w:rPr>
                <w:rFonts w:ascii="宋体" w:eastAsia="宋体" w:hAnsi="宋体" w:cs="宋体" w:hint="eastAsia"/>
                <w:kern w:val="2"/>
                <w:sz w:val="22"/>
                <w:szCs w:val="22"/>
                <w:lang w:eastAsia="zh-CN"/>
              </w:rPr>
              <w:t>1.</w:t>
            </w:r>
            <w:r>
              <w:rPr>
                <w:rFonts w:eastAsia="宋体" w:hint="eastAsia"/>
                <w:kern w:val="2"/>
                <w:sz w:val="22"/>
                <w:szCs w:val="22"/>
                <w:lang w:eastAsia="zh-CN"/>
              </w:rPr>
              <w:t>【自有员工证明】</w:t>
            </w:r>
            <w:r>
              <w:rPr>
                <w:rFonts w:ascii="宋体" w:eastAsia="宋体" w:hAnsi="宋体" w:cs="宋体" w:hint="eastAsia"/>
                <w:kern w:val="2"/>
                <w:sz w:val="22"/>
                <w:szCs w:val="22"/>
                <w:lang w:eastAsia="zh-CN"/>
              </w:rPr>
              <w:t>提供为项目负责人缴交的近三个月（具体指投标截止日所在月的上一个月起倒算）中任意一个月社保缴交证明材料（证明资料可为社保收缴部门盖章证明资料、社保窗口打印资料或社保官网截图）扫描件。</w:t>
            </w:r>
            <w:r>
              <w:rPr>
                <w:rFonts w:ascii="宋体" w:eastAsia="宋体" w:hAnsi="宋体" w:hint="eastAsia"/>
                <w:kern w:val="2"/>
                <w:sz w:val="22"/>
                <w:szCs w:val="22"/>
                <w:lang w:eastAsia="zh-CN"/>
              </w:rPr>
              <w:t>如社保材料因社保部门原因暂时无法取得，则可以往前顺延一个月。</w:t>
            </w:r>
            <w:r>
              <w:rPr>
                <w:rFonts w:ascii="宋体" w:eastAsia="宋体" w:hAnsi="宋体" w:cs="宋体" w:hint="eastAsia"/>
                <w:kern w:val="2"/>
                <w:sz w:val="22"/>
                <w:szCs w:val="22"/>
                <w:lang w:eastAsia="zh-CN"/>
              </w:rPr>
              <w:t>如投标人注册成立时间不足1个月的，可提供承诺函证明拟投入的项目负责人为其自有员工（格式自拟）。</w:t>
            </w:r>
          </w:p>
          <w:p>
            <w:pPr>
              <w:widowControl w:val="0"/>
              <w:spacing w:after="0"/>
              <w:jc w:val="both"/>
              <w:rPr>
                <w:rFonts w:eastAsia="宋体" w:hAnsi="宋体" w:cs="宋体"/>
                <w:color w:val="0000FF"/>
                <w:kern w:val="2"/>
                <w:sz w:val="21"/>
                <w:szCs w:val="21"/>
                <w:lang w:eastAsia="zh-CN"/>
              </w:rPr>
            </w:pPr>
            <w:r>
              <w:rPr>
                <w:rFonts w:ascii="宋体" w:eastAsia="宋体" w:hAnsi="宋体" w:cs="宋体" w:hint="eastAsia"/>
                <w:kern w:val="2"/>
                <w:sz w:val="22"/>
                <w:szCs w:val="22"/>
                <w:lang w:eastAsia="zh-CN"/>
              </w:rPr>
              <w:t>2.【证书</w:t>
            </w:r>
            <w:r>
              <w:rPr>
                <w:rFonts w:ascii="宋体" w:eastAsia="宋体" w:hAnsi="宋体" w:cs="宋体" w:hint="eastAsia"/>
                <w:sz w:val="22"/>
                <w:szCs w:val="22"/>
                <w:lang w:eastAsia="zh-CN"/>
              </w:rPr>
              <w:t>证明材料</w:t>
            </w:r>
            <w:r>
              <w:rPr>
                <w:rFonts w:ascii="宋体" w:eastAsia="宋体" w:hAnsi="宋体" w:cs="宋体" w:hint="eastAsia"/>
                <w:kern w:val="2"/>
                <w:sz w:val="22"/>
                <w:szCs w:val="22"/>
                <w:lang w:eastAsia="zh-CN"/>
              </w:rPr>
              <w:t>】提供项目负责人相关证书扫描件作为得分依据；</w:t>
            </w:r>
            <w:r>
              <w:rPr>
                <w:rFonts w:ascii="宋体" w:eastAsia="宋体" w:hAnsi="宋体" w:cs="宋体" w:hint="eastAsia"/>
                <w:kern w:val="2"/>
                <w:sz w:val="22"/>
                <w:szCs w:val="22"/>
                <w:lang w:eastAsia="zh-CN"/>
              </w:rPr>
              <w:br/>
            </w:r>
            <w:r>
              <w:rPr>
                <w:rFonts w:eastAsia="宋体" w:hint="eastAsia"/>
                <w:kern w:val="2"/>
                <w:sz w:val="22"/>
                <w:szCs w:val="22"/>
                <w:lang w:eastAsia="zh-CN"/>
              </w:rPr>
              <w:t>3.</w:t>
            </w:r>
            <w:r>
              <w:rPr>
                <w:rFonts w:eastAsia="宋体" w:hAnsi="宋体" w:hint="eastAsia"/>
                <w:kern w:val="2"/>
                <w:sz w:val="22"/>
                <w:szCs w:val="22"/>
                <w:lang w:eastAsia="zh-CN"/>
              </w:rPr>
              <w:t>以上材料均提供扫描件，如未按要求提供证明材料，或所提供的证明材料未能体现上述评分内容的，该证明材料视为无效。</w:t>
            </w:r>
          </w:p>
        </w:tc>
      </w:tr>
      <w:tr>
        <w:tblPrEx>
          <w:tblW w:w="5000" w:type="pct"/>
          <w:tblCellSpacing w:w="0" w:type="dxa"/>
          <w:tblInd w:w="0" w:type="dxa"/>
          <w:tblLayout w:type="fixed"/>
          <w:tblCellMar>
            <w:top w:w="20" w:type="dxa"/>
            <w:left w:w="108" w:type="dxa"/>
            <w:bottom w:w="20" w:type="dxa"/>
            <w:right w:w="108" w:type="dxa"/>
          </w:tblCellMar>
        </w:tblPrEx>
        <w:trPr>
          <w:tblCellSpacing w:w="0" w:type="dxa"/>
        </w:trPr>
        <w:tc>
          <w:tcPr>
            <w:tcW w:w="685" w:type="dxa"/>
            <w:vMerge w:val="restart"/>
            <w:tcBorders>
              <w:tl2br w:val="nil"/>
              <w:tr2bl w:val="nil"/>
            </w:tcBorders>
          </w:tcPr>
          <w:p>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3</w:t>
            </w:r>
          </w:p>
        </w:tc>
        <w:tc>
          <w:tcPr>
            <w:tcW w:w="3722" w:type="dxa"/>
            <w:gridSpan w:val="3"/>
            <w:tcBorders>
              <w:tl2br w:val="nil"/>
              <w:tr2bl w:val="nil"/>
            </w:tcBorders>
            <w:vAlign w:val="center"/>
          </w:tcPr>
          <w:p>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综合实力部分</w:t>
            </w:r>
          </w:p>
        </w:tc>
        <w:tc>
          <w:tcPr>
            <w:tcW w:w="4642" w:type="dxa"/>
            <w:tcBorders>
              <w:tl2br w:val="nil"/>
              <w:tr2bl w:val="nil"/>
            </w:tcBorders>
          </w:tcPr>
          <w:p>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28</w:t>
            </w:r>
          </w:p>
        </w:tc>
      </w:tr>
      <w:tr>
        <w:tblPrEx>
          <w:tblW w:w="5000" w:type="pct"/>
          <w:tblCellSpacing w:w="0" w:type="dxa"/>
          <w:tblInd w:w="0" w:type="dxa"/>
          <w:tblLayout w:type="fixed"/>
          <w:tblCellMar>
            <w:top w:w="20" w:type="dxa"/>
            <w:left w:w="108" w:type="dxa"/>
            <w:bottom w:w="20" w:type="dxa"/>
            <w:right w:w="108" w:type="dxa"/>
          </w:tblCellMar>
        </w:tblPrEx>
        <w:trPr>
          <w:tblCellSpacing w:w="0" w:type="dxa"/>
        </w:trPr>
        <w:tc>
          <w:tcPr>
            <w:tcW w:w="685" w:type="dxa"/>
            <w:vMerge/>
            <w:tcBorders>
              <w:tl2br w:val="nil"/>
              <w:tr2bl w:val="nil"/>
            </w:tcBorders>
            <w:vAlign w:val="center"/>
          </w:tcPr>
          <w:p>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8364" w:type="dxa"/>
            <w:gridSpan w:val="4"/>
            <w:tcBorders>
              <w:tl2br w:val="nil"/>
              <w:tr2bl w:val="nil"/>
            </w:tcBorders>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p>
        </w:tc>
      </w:tr>
      <w:tr>
        <w:tblPrEx>
          <w:tblW w:w="5000" w:type="pct"/>
          <w:tblCellSpacing w:w="0" w:type="dxa"/>
          <w:tblInd w:w="0" w:type="dxa"/>
          <w:tblLayout w:type="fixed"/>
          <w:tblCellMar>
            <w:top w:w="20" w:type="dxa"/>
            <w:left w:w="108" w:type="dxa"/>
            <w:bottom w:w="20" w:type="dxa"/>
            <w:right w:w="108" w:type="dxa"/>
          </w:tblCellMar>
        </w:tblPrEx>
        <w:trPr>
          <w:tblCellSpacing w:w="0" w:type="dxa"/>
        </w:trPr>
        <w:tc>
          <w:tcPr>
            <w:tcW w:w="685" w:type="dxa"/>
            <w:vMerge/>
            <w:tcBorders>
              <w:tl2br w:val="nil"/>
              <w:tr2bl w:val="nil"/>
            </w:tcBorders>
            <w:shd w:val="clear" w:color="auto" w:fill="E6EFFA"/>
            <w:vAlign w:val="center"/>
          </w:tcPr>
          <w:p>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548" w:type="dxa"/>
            <w:tcBorders>
              <w:tl2br w:val="nil"/>
              <w:tr2bl w:val="nil"/>
            </w:tcBorders>
            <w:shd w:val="clear" w:color="auto" w:fill="E6EFFA"/>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序号</w:t>
            </w:r>
          </w:p>
        </w:tc>
        <w:tc>
          <w:tcPr>
            <w:tcW w:w="2240" w:type="dxa"/>
            <w:tcBorders>
              <w:tl2br w:val="nil"/>
              <w:tr2bl w:val="nil"/>
            </w:tcBorders>
            <w:shd w:val="clear" w:color="auto" w:fill="E6EFFA"/>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评分因素</w:t>
            </w:r>
          </w:p>
        </w:tc>
        <w:tc>
          <w:tcPr>
            <w:tcW w:w="934" w:type="dxa"/>
            <w:tcBorders>
              <w:tl2br w:val="nil"/>
              <w:tr2bl w:val="nil"/>
            </w:tcBorders>
            <w:shd w:val="clear" w:color="auto" w:fill="E6EFFA"/>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权重(%)</w:t>
            </w:r>
          </w:p>
        </w:tc>
        <w:tc>
          <w:tcPr>
            <w:tcW w:w="4642" w:type="dxa"/>
            <w:tcBorders>
              <w:tl2br w:val="nil"/>
              <w:tr2bl w:val="nil"/>
            </w:tcBorders>
            <w:shd w:val="clear" w:color="auto" w:fill="E6EFFA"/>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评分准则</w:t>
            </w:r>
          </w:p>
        </w:tc>
      </w:tr>
      <w:tr>
        <w:tblPrEx>
          <w:tblW w:w="5000" w:type="pct"/>
          <w:tblCellSpacing w:w="0" w:type="dxa"/>
          <w:tblInd w:w="0" w:type="dxa"/>
          <w:tblLayout w:type="fixed"/>
          <w:tblCellMar>
            <w:top w:w="20" w:type="dxa"/>
            <w:left w:w="108" w:type="dxa"/>
            <w:bottom w:w="20" w:type="dxa"/>
            <w:right w:w="108" w:type="dxa"/>
          </w:tblCellMar>
        </w:tblPrEx>
        <w:trPr>
          <w:tblCellSpacing w:w="0" w:type="dxa"/>
        </w:trPr>
        <w:tc>
          <w:tcPr>
            <w:tcW w:w="685" w:type="dxa"/>
            <w:vMerge/>
            <w:tcBorders>
              <w:tl2br w:val="nil"/>
              <w:tr2bl w:val="nil"/>
            </w:tcBorders>
            <w:vAlign w:val="center"/>
          </w:tcPr>
          <w:p>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548" w:type="dxa"/>
            <w:tcBorders>
              <w:tl2br w:val="nil"/>
              <w:tr2bl w:val="nil"/>
            </w:tcBorders>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2240" w:type="dxa"/>
            <w:tcBorders>
              <w:tl2br w:val="nil"/>
              <w:tr2bl w:val="nil"/>
            </w:tcBorders>
            <w:vAlign w:val="center"/>
          </w:tcPr>
          <w:p>
            <w:pPr>
              <w:widowControl w:val="0"/>
              <w:spacing w:after="160"/>
              <w:jc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同类项目业绩</w:t>
            </w:r>
          </w:p>
        </w:tc>
        <w:tc>
          <w:tcPr>
            <w:tcW w:w="934" w:type="dxa"/>
            <w:tcBorders>
              <w:tl2br w:val="nil"/>
              <w:tr2bl w:val="nil"/>
            </w:tcBorders>
            <w:vAlign w:val="center"/>
          </w:tcPr>
          <w:p>
            <w:pPr>
              <w:widowControl w:val="0"/>
              <w:jc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12</w:t>
            </w:r>
          </w:p>
        </w:tc>
        <w:tc>
          <w:tcPr>
            <w:tcW w:w="4642" w:type="dxa"/>
            <w:tcBorders>
              <w:tl2br w:val="nil"/>
              <w:tr2bl w:val="nil"/>
            </w:tcBorders>
            <w:vAlign w:val="center"/>
          </w:tcPr>
          <w:p>
            <w:pPr>
              <w:widowControl/>
              <w:jc w:val="left"/>
              <w:rPr>
                <w:rFonts w:ascii="宋体" w:eastAsia="宋体" w:hAnsi="宋体" w:cs="宋体"/>
                <w:b/>
                <w:bCs/>
                <w:kern w:val="2"/>
                <w:sz w:val="22"/>
                <w:szCs w:val="22"/>
                <w:lang w:eastAsia="zh-CN"/>
              </w:rPr>
            </w:pPr>
            <w:r>
              <w:rPr>
                <w:rFonts w:ascii="宋体" w:eastAsia="宋体" w:hAnsi="宋体" w:cs="宋体" w:hint="eastAsia"/>
                <w:b/>
                <w:bCs/>
                <w:kern w:val="2"/>
                <w:sz w:val="22"/>
                <w:szCs w:val="22"/>
                <w:lang w:eastAsia="zh-CN"/>
              </w:rPr>
              <w:t>（一）评分内容：</w:t>
            </w:r>
          </w:p>
          <w:p>
            <w:pPr>
              <w:widowControl/>
              <w:jc w:val="left"/>
              <w:rPr>
                <w:rFonts w:ascii="宋体" w:eastAsia="宋体" w:hAnsi="宋体" w:cs="宋体"/>
                <w:kern w:val="2"/>
                <w:sz w:val="22"/>
                <w:szCs w:val="22"/>
                <w:lang w:eastAsia="zh-CN"/>
              </w:rPr>
            </w:pPr>
            <w:r>
              <w:rPr>
                <w:rFonts w:ascii="宋体" w:eastAsia="宋体" w:hAnsi="宋体" w:cs="宋体" w:hint="eastAsia"/>
                <w:kern w:val="2"/>
                <w:sz w:val="22"/>
                <w:szCs w:val="22"/>
                <w:lang w:eastAsia="zh-CN"/>
              </w:rPr>
              <w:t>投标人近三年内（2022年1月1日起至本项目投标截止之日止，以合同签订时间为准）具有的同类项目业绩情况，每提供一个</w:t>
            </w:r>
            <w:r>
              <w:rPr>
                <w:rFonts w:ascii="宋体" w:eastAsia="宋体" w:hAnsi="宋体" w:cs="宋体" w:hint="eastAsia"/>
                <w:b/>
                <w:bCs/>
                <w:kern w:val="2"/>
                <w:sz w:val="22"/>
                <w:szCs w:val="22"/>
                <w:lang w:eastAsia="zh-CN"/>
              </w:rPr>
              <w:t>行政机关或事业单位委托的年度零星修缮服务合同或者装修装饰项目合同</w:t>
            </w:r>
            <w:r>
              <w:rPr>
                <w:rFonts w:ascii="宋体" w:eastAsia="宋体" w:hAnsi="宋体" w:cs="宋体" w:hint="eastAsia"/>
                <w:kern w:val="2"/>
                <w:sz w:val="22"/>
                <w:szCs w:val="22"/>
                <w:lang w:eastAsia="zh-CN"/>
              </w:rPr>
              <w:t>的得35分，累计得分，最高得100分，其他情况不得分。</w:t>
            </w:r>
            <w:r>
              <w:rPr>
                <w:rFonts w:ascii="宋体" w:eastAsia="宋体" w:hAnsi="宋体" w:cs="宋体" w:hint="eastAsia"/>
                <w:kern w:val="2"/>
                <w:sz w:val="22"/>
                <w:szCs w:val="22"/>
                <w:lang w:eastAsia="zh-CN"/>
              </w:rPr>
              <w:br/>
            </w:r>
            <w:r>
              <w:rPr>
                <w:rFonts w:ascii="宋体" w:eastAsia="宋体" w:hAnsi="宋体" w:cs="宋体" w:hint="eastAsia"/>
                <w:kern w:val="2"/>
                <w:sz w:val="22"/>
                <w:szCs w:val="22"/>
                <w:lang w:eastAsia="zh-CN"/>
              </w:rPr>
              <w:t>注：同一合同同时满足多项要求的，不可累计得分，仅按最优情况计算一次分值。</w:t>
            </w:r>
          </w:p>
          <w:p>
            <w:pPr>
              <w:widowControl w:val="0"/>
              <w:jc w:val="left"/>
              <w:rPr>
                <w:rFonts w:ascii="宋体" w:eastAsia="宋体" w:hAnsi="宋体" w:cs="宋体"/>
                <w:kern w:val="2"/>
                <w:sz w:val="21"/>
                <w:szCs w:val="22"/>
                <w:lang w:eastAsia="zh-CN"/>
              </w:rPr>
            </w:pPr>
            <w:r>
              <w:rPr>
                <w:rFonts w:ascii="宋体" w:eastAsia="宋体" w:hAnsi="宋体" w:cs="宋体" w:hint="eastAsia"/>
                <w:b/>
                <w:kern w:val="2"/>
                <w:sz w:val="22"/>
                <w:szCs w:val="22"/>
                <w:lang w:eastAsia="zh-CN"/>
              </w:rPr>
              <w:t>（二）评分标准：</w:t>
            </w:r>
          </w:p>
          <w:p>
            <w:pPr>
              <w:widowControl/>
              <w:jc w:val="left"/>
              <w:rPr>
                <w:rFonts w:ascii="宋体" w:eastAsia="宋体" w:hAnsi="宋体" w:cs="宋体"/>
                <w:kern w:val="2"/>
                <w:sz w:val="22"/>
                <w:szCs w:val="22"/>
                <w:lang w:eastAsia="zh-CN"/>
              </w:rPr>
            </w:pPr>
            <w:r>
              <w:rPr>
                <w:rFonts w:ascii="宋体" w:eastAsia="宋体" w:hAnsi="宋体" w:cs="宋体" w:hint="eastAsia"/>
                <w:kern w:val="2"/>
                <w:sz w:val="22"/>
                <w:szCs w:val="22"/>
                <w:lang w:eastAsia="zh-CN"/>
              </w:rPr>
              <w:t>1.提供同类业绩项目合同关键页（包括但不限于：合同名称页、合同主要内容页、合同签订日期页、合同双方签字盖章页）作为证明文件，未提供的不得分。</w:t>
            </w:r>
          </w:p>
          <w:p>
            <w:pPr>
              <w:widowControl/>
              <w:jc w:val="left"/>
              <w:rPr>
                <w:rFonts w:ascii="宋体" w:eastAsia="宋体" w:hAnsi="宋体" w:cs="宋体"/>
                <w:kern w:val="2"/>
                <w:sz w:val="22"/>
                <w:szCs w:val="22"/>
                <w:lang w:eastAsia="zh-CN"/>
              </w:rPr>
            </w:pPr>
            <w:r>
              <w:rPr>
                <w:rFonts w:ascii="宋体" w:eastAsia="宋体" w:hAnsi="宋体" w:cs="宋体" w:hint="eastAsia"/>
                <w:kern w:val="2"/>
                <w:sz w:val="22"/>
                <w:szCs w:val="22"/>
                <w:lang w:eastAsia="zh-CN"/>
              </w:rPr>
              <w:t>2.通过合同关键信息无法判断是否得分的，还须同时提供能证明得分的其它证明资料，如中标通知书、项目报告、项目委托书等。</w:t>
            </w:r>
          </w:p>
          <w:p>
            <w:pPr>
              <w:widowControl/>
              <w:jc w:val="left"/>
              <w:rPr>
                <w:rFonts w:ascii="宋体" w:eastAsia="宋体" w:hAnsi="宋体" w:cs="宋体"/>
                <w:kern w:val="2"/>
                <w:sz w:val="22"/>
                <w:szCs w:val="22"/>
                <w:lang w:eastAsia="zh-CN"/>
              </w:rPr>
            </w:pPr>
            <w:r>
              <w:rPr>
                <w:rFonts w:ascii="宋体" w:eastAsia="宋体" w:hAnsi="宋体" w:cs="宋体" w:hint="eastAsia"/>
                <w:kern w:val="2"/>
                <w:sz w:val="22"/>
                <w:szCs w:val="22"/>
                <w:lang w:eastAsia="zh-CN"/>
              </w:rPr>
              <w:t>3.以上资料均要求提供扫描件。如未按要求提供证明材料，或所提供的证明材料未能体现上述评分内容的，一律作不得分处理。</w:t>
            </w:r>
          </w:p>
          <w:p>
            <w:pPr>
              <w:widowControl/>
              <w:jc w:val="left"/>
              <w:rPr>
                <w:rFonts w:ascii="宋体" w:eastAsia="宋体" w:hAnsi="宋体" w:cs="宋体"/>
                <w:kern w:val="2"/>
                <w:sz w:val="22"/>
                <w:szCs w:val="22"/>
                <w:lang w:eastAsia="zh-CN"/>
              </w:rPr>
            </w:pPr>
            <w:r>
              <w:rPr>
                <w:rFonts w:ascii="宋体" w:eastAsia="宋体" w:hAnsi="宋体" w:cs="宋体" w:hint="eastAsia"/>
                <w:kern w:val="2"/>
                <w:sz w:val="22"/>
                <w:szCs w:val="22"/>
                <w:lang w:eastAsia="zh-CN"/>
              </w:rPr>
              <w:t>4.续签合同不可重复计分，每个合同只计一次分数。</w:t>
            </w:r>
          </w:p>
        </w:tc>
      </w:tr>
      <w:tr>
        <w:tblPrEx>
          <w:tblW w:w="5000" w:type="pct"/>
          <w:tblCellSpacing w:w="0" w:type="dxa"/>
          <w:tblInd w:w="0" w:type="dxa"/>
          <w:tblLayout w:type="fixed"/>
          <w:tblCellMar>
            <w:top w:w="20" w:type="dxa"/>
            <w:left w:w="108" w:type="dxa"/>
            <w:bottom w:w="20" w:type="dxa"/>
            <w:right w:w="108" w:type="dxa"/>
          </w:tblCellMar>
        </w:tblPrEx>
        <w:trPr>
          <w:tblCellSpacing w:w="0" w:type="dxa"/>
        </w:trPr>
        <w:tc>
          <w:tcPr>
            <w:tcW w:w="685" w:type="dxa"/>
            <w:vMerge/>
            <w:tcBorders>
              <w:tl2br w:val="nil"/>
              <w:tr2bl w:val="nil"/>
            </w:tcBorders>
            <w:vAlign w:val="center"/>
          </w:tcPr>
          <w:p>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548" w:type="dxa"/>
            <w:tcBorders>
              <w:tl2br w:val="nil"/>
              <w:tr2bl w:val="nil"/>
            </w:tcBorders>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2240" w:type="dxa"/>
            <w:tcBorders>
              <w:tl2br w:val="nil"/>
              <w:tr2bl w:val="nil"/>
            </w:tcBorders>
            <w:vAlign w:val="center"/>
          </w:tcPr>
          <w:p>
            <w:pPr>
              <w:widowControl w:val="0"/>
              <w:spacing w:after="160"/>
              <w:jc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履约评价</w:t>
            </w:r>
          </w:p>
        </w:tc>
        <w:tc>
          <w:tcPr>
            <w:tcW w:w="934" w:type="dxa"/>
            <w:tcBorders>
              <w:tl2br w:val="nil"/>
              <w:tr2bl w:val="nil"/>
            </w:tcBorders>
            <w:vAlign w:val="center"/>
          </w:tcPr>
          <w:p>
            <w:pPr>
              <w:widowControl w:val="0"/>
              <w:jc w:val="center"/>
              <w:rPr>
                <w:rFonts w:ascii="宋体" w:eastAsia="宋体" w:hAnsi="宋体" w:cs="宋体"/>
                <w:kern w:val="2"/>
                <w:sz w:val="22"/>
                <w:szCs w:val="22"/>
                <w:lang w:eastAsia="zh-CN"/>
              </w:rPr>
            </w:pPr>
            <w:r>
              <w:rPr>
                <w:rFonts w:ascii="宋体" w:eastAsia="宋体" w:hAnsi="宋体" w:cs="宋体" w:hint="eastAsia"/>
                <w:kern w:val="2"/>
                <w:sz w:val="22"/>
                <w:szCs w:val="22"/>
                <w:lang w:eastAsia="zh-CN"/>
              </w:rPr>
              <w:t>6</w:t>
            </w:r>
          </w:p>
        </w:tc>
        <w:tc>
          <w:tcPr>
            <w:tcW w:w="4642" w:type="dxa"/>
            <w:tcBorders>
              <w:tl2br w:val="nil"/>
              <w:tr2bl w:val="nil"/>
            </w:tcBorders>
            <w:vAlign w:val="center"/>
          </w:tcPr>
          <w:p>
            <w:pPr>
              <w:widowControl w:val="0"/>
              <w:spacing w:before="120" w:beforeLines="50"/>
              <w:jc w:val="left"/>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（一）评分内容</w:t>
            </w:r>
          </w:p>
          <w:p>
            <w:pPr>
              <w:widowControl/>
              <w:spacing w:before="120" w:beforeLines="50"/>
              <w:jc w:val="left"/>
              <w:textAlignment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投标人在上述“同类项目业绩”经评审得分的有效业绩，经服务单位（合同甲方、发包方、采购方）履约评价的情况：</w:t>
            </w:r>
            <w:r>
              <w:rPr>
                <w:rFonts w:ascii="宋体" w:eastAsia="宋体" w:hAnsi="宋体" w:cs="宋体" w:hint="eastAsia"/>
                <w:kern w:val="2"/>
                <w:sz w:val="21"/>
                <w:szCs w:val="21"/>
                <w:lang w:eastAsia="zh-CN"/>
              </w:rPr>
              <w:t>综合</w:t>
            </w:r>
            <w:r>
              <w:rPr>
                <w:rFonts w:ascii="宋体" w:eastAsia="宋体" w:hAnsi="宋体" w:cs="宋体" w:hint="eastAsia"/>
                <w:kern w:val="2"/>
                <w:sz w:val="21"/>
                <w:szCs w:val="21"/>
                <w:lang w:eastAsia="zh-CN"/>
              </w:rPr>
              <w:t>履约评价结果为最高级的（优、优秀、满意或90分或以上</w:t>
            </w:r>
            <w:r>
              <w:rPr>
                <w:rFonts w:ascii="宋体" w:eastAsia="宋体" w:hAnsi="宋体" w:cstheme="minorBidi" w:hint="eastAsia"/>
                <w:kern w:val="2"/>
                <w:sz w:val="21"/>
                <w:szCs w:val="21"/>
                <w:lang w:eastAsia="zh-CN"/>
              </w:rPr>
              <w:t>等同等意义最高级评价的</w:t>
            </w:r>
            <w:r>
              <w:rPr>
                <w:rFonts w:ascii="宋体" w:eastAsia="宋体" w:hAnsi="宋体" w:cs="宋体" w:hint="eastAsia"/>
                <w:kern w:val="2"/>
                <w:sz w:val="21"/>
                <w:szCs w:val="21"/>
                <w:lang w:eastAsia="zh-CN"/>
              </w:rPr>
              <w:t>），每提供一项得35分；</w:t>
            </w:r>
            <w:r>
              <w:rPr>
                <w:rFonts w:ascii="宋体" w:eastAsia="宋体" w:hAnsi="宋体" w:cs="宋体" w:hint="eastAsia"/>
                <w:kern w:val="2"/>
                <w:sz w:val="21"/>
                <w:szCs w:val="21"/>
                <w:lang w:eastAsia="zh-CN"/>
              </w:rPr>
              <w:t>综合</w:t>
            </w:r>
            <w:r>
              <w:rPr>
                <w:rFonts w:ascii="宋体" w:eastAsia="宋体" w:hAnsi="宋体" w:cs="宋体" w:hint="eastAsia"/>
                <w:kern w:val="2"/>
                <w:sz w:val="21"/>
                <w:szCs w:val="21"/>
                <w:lang w:eastAsia="zh-CN"/>
              </w:rPr>
              <w:t>履约评价结果为次高级的（良好、比较满意、比较优秀或80分或以上</w:t>
            </w:r>
            <w:r>
              <w:rPr>
                <w:rFonts w:ascii="宋体" w:eastAsia="宋体" w:hAnsi="宋体" w:cstheme="minorBidi" w:hint="eastAsia"/>
                <w:kern w:val="2"/>
                <w:sz w:val="21"/>
                <w:szCs w:val="21"/>
                <w:lang w:eastAsia="zh-CN"/>
              </w:rPr>
              <w:t>等同等意义次高级评价的</w:t>
            </w:r>
            <w:r>
              <w:rPr>
                <w:rFonts w:ascii="宋体" w:eastAsia="宋体" w:hAnsi="宋体" w:cs="宋体" w:hint="eastAsia"/>
                <w:kern w:val="2"/>
                <w:sz w:val="21"/>
                <w:szCs w:val="21"/>
                <w:lang w:eastAsia="zh-CN"/>
              </w:rPr>
              <w:t>），每提供一项得15分；累计得分，最高得100分，其他情况不得分。同一项目的履约评价不得累计得分，按最优情况计分。</w:t>
            </w:r>
          </w:p>
          <w:p>
            <w:pPr>
              <w:widowControl w:val="0"/>
              <w:spacing w:before="120" w:beforeLines="50"/>
              <w:jc w:val="left"/>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（二）评分依据</w:t>
            </w:r>
          </w:p>
          <w:p>
            <w:pPr>
              <w:widowControl w:val="0"/>
              <w:wordWrap w:val="0"/>
              <w:spacing w:before="120" w:beforeLines="5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提供同类项目业绩的履约评价证明材料【项目履约评价方须与合同甲方（采购方、发包方）一致，且履约评价证明材料需加盖合同甲方（采购方、发包方）公章（或工程项目章）；若合同甲方（采购方、发包方）有名称变更的，投标人还需提供说明函并加盖投标人公章】扫描件。</w:t>
            </w:r>
          </w:p>
          <w:p>
            <w:pPr>
              <w:widowControl w:val="0"/>
              <w:wordWrap w:val="0"/>
              <w:spacing w:before="120" w:beforeLines="5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2.如履约评价中只有“合格”与“不合格”两种档次的，不符合评审要求，作不得分处理。</w:t>
            </w:r>
          </w:p>
          <w:p>
            <w:pPr>
              <w:widowControl w:val="0"/>
              <w:autoSpaceDE w:val="0"/>
              <w:autoSpaceDN w:val="0"/>
              <w:adjustRightInd w:val="0"/>
              <w:jc w:val="left"/>
              <w:textAlignment w:val="baseline"/>
              <w:rPr>
                <w:rFonts w:ascii="Calibri" w:eastAsia="宋体" w:hAnsi="Calibri"/>
                <w:kern w:val="2"/>
                <w:sz w:val="21"/>
                <w:szCs w:val="22"/>
                <w:lang w:eastAsia="zh-CN"/>
              </w:rPr>
            </w:pPr>
            <w:r>
              <w:rPr>
                <w:rFonts w:ascii="宋体" w:eastAsia="宋体" w:hAnsi="宋体" w:cs="宋体" w:hint="eastAsia"/>
                <w:kern w:val="2"/>
                <w:sz w:val="21"/>
                <w:szCs w:val="21"/>
                <w:lang w:eastAsia="zh-CN"/>
              </w:rPr>
              <w:t>3.如未按要求提供证明材料，或所提供的证明材料未能体现上述评分内容的，视为该证明材料无效，作不得分处理。</w:t>
            </w:r>
          </w:p>
        </w:tc>
      </w:tr>
      <w:tr>
        <w:tblPrEx>
          <w:tblW w:w="5000" w:type="pct"/>
          <w:tblCellSpacing w:w="0" w:type="dxa"/>
          <w:tblInd w:w="0" w:type="dxa"/>
          <w:tblLayout w:type="fixed"/>
          <w:tblCellMar>
            <w:top w:w="20" w:type="dxa"/>
            <w:left w:w="108" w:type="dxa"/>
            <w:bottom w:w="20" w:type="dxa"/>
            <w:right w:w="108" w:type="dxa"/>
          </w:tblCellMar>
        </w:tblPrEx>
        <w:trPr>
          <w:trHeight w:val="90"/>
          <w:tblCellSpacing w:w="0" w:type="dxa"/>
        </w:trPr>
        <w:tc>
          <w:tcPr>
            <w:tcW w:w="685" w:type="dxa"/>
            <w:vMerge/>
            <w:tcBorders>
              <w:tl2br w:val="nil"/>
              <w:tr2bl w:val="nil"/>
            </w:tcBorders>
            <w:vAlign w:val="center"/>
          </w:tcPr>
          <w:p>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548" w:type="dxa"/>
            <w:tcBorders>
              <w:tl2br w:val="nil"/>
              <w:tr2bl w:val="nil"/>
            </w:tcBorders>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2240" w:type="dxa"/>
            <w:tcBorders>
              <w:tl2br w:val="nil"/>
              <w:tr2bl w:val="nil"/>
            </w:tcBorders>
            <w:vAlign w:val="center"/>
          </w:tcPr>
          <w:p>
            <w:pPr>
              <w:widowControl w:val="0"/>
              <w:wordWrap w:val="0"/>
              <w:jc w:val="center"/>
              <w:rPr>
                <w:rFonts w:ascii="宋体" w:eastAsia="宋体" w:hAnsi="宋体"/>
                <w:kern w:val="2"/>
                <w:sz w:val="21"/>
                <w:szCs w:val="21"/>
                <w:lang w:eastAsia="zh-CN"/>
              </w:rPr>
            </w:pPr>
            <w:r>
              <w:rPr>
                <w:rFonts w:ascii="宋体" w:eastAsia="宋体" w:hAnsi="宋体" w:cs="宋体" w:hint="eastAsia"/>
                <w:kern w:val="2"/>
                <w:sz w:val="21"/>
                <w:szCs w:val="21"/>
                <w:lang w:eastAsia="zh-CN"/>
              </w:rPr>
              <w:t>认证情况</w:t>
            </w:r>
          </w:p>
        </w:tc>
        <w:tc>
          <w:tcPr>
            <w:tcW w:w="934" w:type="dxa"/>
            <w:tcBorders>
              <w:tl2br w:val="nil"/>
              <w:tr2bl w:val="nil"/>
            </w:tcBorders>
            <w:vAlign w:val="center"/>
          </w:tcPr>
          <w:p>
            <w:pPr>
              <w:widowControl w:val="0"/>
              <w:wordWrap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10</w:t>
            </w:r>
            <w:r>
              <w:rPr>
                <w:rFonts w:ascii="宋体" w:eastAsia="宋体" w:hAnsi="宋体" w:cstheme="minorBidi"/>
                <w:kern w:val="2"/>
                <w:sz w:val="21"/>
                <w:szCs w:val="21"/>
                <w:lang w:eastAsia="zh-CN"/>
              </w:rPr>
              <w:t xml:space="preserve"> </w:t>
            </w:r>
          </w:p>
        </w:tc>
        <w:tc>
          <w:tcPr>
            <w:tcW w:w="4642" w:type="dxa"/>
            <w:tcBorders>
              <w:tl2br w:val="nil"/>
              <w:tr2bl w:val="nil"/>
            </w:tcBorders>
          </w:tcPr>
          <w:p>
            <w:pPr>
              <w:widowControl/>
              <w:jc w:val="left"/>
              <w:rPr>
                <w:rFonts w:ascii="宋体" w:eastAsia="宋体" w:hAnsi="宋体" w:cs="宋体"/>
                <w:b/>
                <w:bCs/>
                <w:kern w:val="2"/>
                <w:sz w:val="22"/>
                <w:szCs w:val="22"/>
                <w:lang w:eastAsia="zh-CN"/>
              </w:rPr>
            </w:pPr>
            <w:r>
              <w:rPr>
                <w:rFonts w:ascii="宋体" w:eastAsia="宋体" w:hAnsi="宋体" w:cs="宋体" w:hint="eastAsia"/>
                <w:b/>
                <w:bCs/>
                <w:kern w:val="2"/>
                <w:sz w:val="22"/>
                <w:szCs w:val="22"/>
                <w:lang w:eastAsia="zh-CN"/>
              </w:rPr>
              <w:t>（一）评分内容</w:t>
            </w:r>
            <w:r>
              <w:rPr>
                <w:rFonts w:ascii="宋体" w:eastAsia="宋体" w:hAnsi="宋体" w:cs="宋体" w:hint="eastAsia"/>
                <w:b/>
                <w:bCs/>
                <w:kern w:val="2"/>
                <w:sz w:val="22"/>
                <w:szCs w:val="22"/>
                <w:lang w:eastAsia="zh-CN"/>
              </w:rPr>
              <w:br/>
            </w:r>
            <w:r>
              <w:rPr>
                <w:rFonts w:ascii="宋体" w:eastAsia="宋体" w:hAnsi="宋体" w:cs="宋体" w:hint="eastAsia"/>
                <w:b/>
                <w:bCs/>
                <w:kern w:val="2"/>
                <w:sz w:val="22"/>
                <w:szCs w:val="22"/>
                <w:lang w:eastAsia="zh-CN"/>
              </w:rPr>
              <w:t>考察投标人以下认证情况：</w:t>
            </w:r>
          </w:p>
          <w:p>
            <w:pPr>
              <w:widowControl w:val="0"/>
              <w:wordWrap w:val="0"/>
              <w:jc w:val="both"/>
              <w:rPr>
                <w:rFonts w:ascii="宋体" w:eastAsia="宋体" w:hAnsi="宋体"/>
                <w:kern w:val="2"/>
                <w:sz w:val="21"/>
                <w:szCs w:val="21"/>
                <w:lang w:eastAsia="zh-CN"/>
              </w:rPr>
            </w:pPr>
            <w:r>
              <w:rPr>
                <w:rFonts w:ascii="宋体" w:eastAsia="宋体" w:hAnsi="宋体" w:cstheme="minorBidi"/>
                <w:kern w:val="2"/>
                <w:sz w:val="21"/>
                <w:szCs w:val="21"/>
                <w:lang w:eastAsia="zh-CN"/>
              </w:rPr>
              <w:t>1、具有ISO9001</w:t>
            </w:r>
            <w:r>
              <w:rPr>
                <w:rFonts w:ascii="宋体" w:eastAsia="宋体" w:hAnsi="宋体" w:cstheme="minorBidi" w:hint="eastAsia"/>
                <w:kern w:val="2"/>
                <w:sz w:val="21"/>
                <w:szCs w:val="21"/>
                <w:lang w:eastAsia="zh-CN"/>
              </w:rPr>
              <w:t>质量管理体系认证</w:t>
            </w:r>
            <w:r>
              <w:rPr>
                <w:rFonts w:ascii="宋体" w:eastAsia="宋体" w:hAnsi="宋体" w:cstheme="minorBidi"/>
                <w:kern w:val="2"/>
                <w:sz w:val="21"/>
                <w:szCs w:val="21"/>
                <w:lang w:eastAsia="zh-CN"/>
              </w:rPr>
              <w:t>证书</w:t>
            </w:r>
            <w:r>
              <w:rPr>
                <w:rFonts w:ascii="宋体" w:eastAsia="宋体" w:hAnsi="宋体" w:cstheme="minorBidi" w:hint="eastAsia"/>
                <w:kern w:val="2"/>
                <w:sz w:val="21"/>
                <w:szCs w:val="21"/>
                <w:lang w:eastAsia="zh-CN"/>
              </w:rPr>
              <w:t>,许可范围包含：建筑装修装饰工程专业承包，</w:t>
            </w:r>
            <w:r>
              <w:rPr>
                <w:rFonts w:ascii="宋体" w:eastAsia="宋体" w:hAnsi="宋体" w:cstheme="minorBidi"/>
                <w:kern w:val="2"/>
                <w:sz w:val="21"/>
                <w:szCs w:val="21"/>
                <w:lang w:eastAsia="zh-CN"/>
              </w:rPr>
              <w:t>得</w:t>
            </w:r>
            <w:r>
              <w:rPr>
                <w:rFonts w:ascii="宋体" w:eastAsia="宋体" w:hAnsi="宋体" w:cstheme="minorBidi" w:hint="eastAsia"/>
                <w:kern w:val="2"/>
                <w:sz w:val="21"/>
                <w:szCs w:val="21"/>
                <w:lang w:eastAsia="zh-CN"/>
              </w:rPr>
              <w:t>20</w:t>
            </w:r>
            <w:r>
              <w:rPr>
                <w:rFonts w:ascii="宋体" w:eastAsia="宋体" w:hAnsi="宋体" w:cstheme="minorBidi"/>
                <w:kern w:val="2"/>
                <w:sz w:val="21"/>
                <w:szCs w:val="21"/>
                <w:lang w:eastAsia="zh-CN"/>
              </w:rPr>
              <w:t>分；</w:t>
            </w:r>
          </w:p>
          <w:p>
            <w:pPr>
              <w:widowControl w:val="0"/>
              <w:wordWrap w:val="0"/>
              <w:jc w:val="both"/>
              <w:rPr>
                <w:rFonts w:ascii="宋体" w:eastAsia="宋体" w:hAnsi="宋体"/>
                <w:kern w:val="2"/>
                <w:sz w:val="21"/>
                <w:szCs w:val="21"/>
                <w:lang w:eastAsia="zh-CN"/>
              </w:rPr>
            </w:pPr>
            <w:r>
              <w:rPr>
                <w:rFonts w:ascii="宋体" w:eastAsia="宋体" w:hAnsi="宋体" w:cstheme="minorBidi"/>
                <w:kern w:val="2"/>
                <w:sz w:val="21"/>
                <w:szCs w:val="21"/>
                <w:lang w:eastAsia="zh-CN"/>
              </w:rPr>
              <w:t>2、具有ISO14001</w:t>
            </w:r>
            <w:r>
              <w:rPr>
                <w:rFonts w:ascii="宋体" w:eastAsia="宋体" w:hAnsi="宋体" w:cstheme="minorBidi" w:hint="eastAsia"/>
                <w:kern w:val="2"/>
                <w:sz w:val="21"/>
                <w:szCs w:val="21"/>
                <w:lang w:eastAsia="zh-CN"/>
              </w:rPr>
              <w:t>环境管理体系认证证书</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许可范围包含：建筑装修装饰工程专业承包，</w:t>
            </w:r>
            <w:r>
              <w:rPr>
                <w:rFonts w:ascii="宋体" w:eastAsia="宋体" w:hAnsi="宋体" w:cstheme="minorBidi"/>
                <w:kern w:val="2"/>
                <w:sz w:val="21"/>
                <w:szCs w:val="21"/>
                <w:lang w:eastAsia="zh-CN"/>
              </w:rPr>
              <w:t>得</w:t>
            </w:r>
            <w:r>
              <w:rPr>
                <w:rFonts w:ascii="宋体" w:eastAsia="宋体" w:hAnsi="宋体" w:cstheme="minorBidi" w:hint="eastAsia"/>
                <w:kern w:val="2"/>
                <w:sz w:val="21"/>
                <w:szCs w:val="21"/>
                <w:lang w:eastAsia="zh-CN"/>
              </w:rPr>
              <w:t>20</w:t>
            </w:r>
            <w:r>
              <w:rPr>
                <w:rFonts w:ascii="宋体" w:eastAsia="宋体" w:hAnsi="宋体" w:cstheme="minorBidi"/>
                <w:kern w:val="2"/>
                <w:sz w:val="21"/>
                <w:szCs w:val="21"/>
                <w:lang w:eastAsia="zh-CN"/>
              </w:rPr>
              <w:t>分；</w:t>
            </w:r>
          </w:p>
          <w:p>
            <w:pPr>
              <w:widowControl w:val="0"/>
              <w:wordWrap w:val="0"/>
              <w:jc w:val="both"/>
              <w:rPr>
                <w:rFonts w:ascii="宋体" w:eastAsia="宋体" w:hAnsi="宋体"/>
                <w:kern w:val="2"/>
                <w:sz w:val="21"/>
                <w:szCs w:val="21"/>
                <w:lang w:eastAsia="zh-CN"/>
              </w:rPr>
            </w:pPr>
            <w:r>
              <w:rPr>
                <w:rFonts w:ascii="宋体" w:eastAsia="宋体" w:hAnsi="宋体" w:cstheme="minorBidi"/>
                <w:kern w:val="2"/>
                <w:sz w:val="21"/>
                <w:szCs w:val="21"/>
                <w:lang w:eastAsia="zh-CN"/>
              </w:rPr>
              <w:t>3、具有ISO45001</w:t>
            </w:r>
            <w:r>
              <w:rPr>
                <w:rFonts w:ascii="宋体" w:eastAsia="宋体" w:hAnsi="宋体" w:cstheme="minorBidi" w:hint="eastAsia"/>
                <w:kern w:val="2"/>
                <w:sz w:val="21"/>
                <w:szCs w:val="21"/>
                <w:lang w:eastAsia="zh-CN"/>
              </w:rPr>
              <w:t>职业健康安全管理体系认证证书</w:t>
            </w:r>
            <w:r>
              <w:rPr>
                <w:rFonts w:ascii="宋体" w:eastAsia="宋体" w:hAnsi="宋体" w:cstheme="minorBidi"/>
                <w:kern w:val="2"/>
                <w:sz w:val="21"/>
                <w:szCs w:val="21"/>
                <w:lang w:eastAsia="zh-CN"/>
              </w:rPr>
              <w:t>，</w:t>
            </w:r>
            <w:r>
              <w:rPr>
                <w:rFonts w:ascii="宋体" w:eastAsia="宋体" w:hAnsi="宋体" w:cstheme="minorBidi" w:hint="eastAsia"/>
                <w:kern w:val="2"/>
                <w:sz w:val="21"/>
                <w:szCs w:val="21"/>
                <w:lang w:eastAsia="zh-CN"/>
              </w:rPr>
              <w:t>许可范围包含：建筑装修装饰工程专业承包，</w:t>
            </w:r>
            <w:r>
              <w:rPr>
                <w:rFonts w:ascii="宋体" w:eastAsia="宋体" w:hAnsi="宋体" w:cstheme="minorBidi"/>
                <w:kern w:val="2"/>
                <w:sz w:val="21"/>
                <w:szCs w:val="21"/>
                <w:lang w:eastAsia="zh-CN"/>
              </w:rPr>
              <w:t>得</w:t>
            </w:r>
            <w:r>
              <w:rPr>
                <w:rFonts w:ascii="宋体" w:eastAsia="宋体" w:hAnsi="宋体" w:cstheme="minorBidi" w:hint="eastAsia"/>
                <w:kern w:val="2"/>
                <w:sz w:val="21"/>
                <w:szCs w:val="21"/>
                <w:lang w:eastAsia="zh-CN"/>
              </w:rPr>
              <w:t>20</w:t>
            </w:r>
            <w:r>
              <w:rPr>
                <w:rFonts w:ascii="宋体" w:eastAsia="宋体" w:hAnsi="宋体" w:cstheme="minorBidi"/>
                <w:kern w:val="2"/>
                <w:sz w:val="21"/>
                <w:szCs w:val="21"/>
                <w:lang w:eastAsia="zh-CN"/>
              </w:rPr>
              <w:t>分</w:t>
            </w:r>
            <w:r>
              <w:rPr>
                <w:rFonts w:ascii="宋体" w:eastAsia="宋体" w:hAnsi="宋体" w:cstheme="minorBidi" w:hint="eastAsia"/>
                <w:kern w:val="2"/>
                <w:sz w:val="21"/>
                <w:szCs w:val="21"/>
                <w:lang w:eastAsia="zh-CN"/>
              </w:rPr>
              <w:t>；</w:t>
            </w:r>
          </w:p>
          <w:p>
            <w:pPr>
              <w:widowControl w:val="0"/>
              <w:wordWrap w:val="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4、具有售后服务认证证书（GB/T27922），认证覆盖业务范围包含：建筑装修装饰工程施工所涉及的售后服务（四星级或以上），得20分；</w:t>
            </w:r>
          </w:p>
          <w:p>
            <w:pPr>
              <w:widowControl w:val="0"/>
              <w:wordWrap w:val="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5、具有安全技术防范企业设计施工维护能力评价等级证书（肆级及以上），得20分；</w:t>
            </w:r>
          </w:p>
          <w:p>
            <w:pPr>
              <w:widowControl w:val="0"/>
              <w:wordWrap w:val="0"/>
              <w:jc w:val="both"/>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以上5项累计得分，最高得100分。</w:t>
            </w:r>
            <w:r>
              <w:rPr>
                <w:rFonts w:ascii="宋体" w:eastAsia="宋体" w:hAnsi="宋体" w:cs="宋体" w:hint="eastAsia"/>
                <w:b/>
                <w:bCs/>
                <w:kern w:val="2"/>
                <w:sz w:val="21"/>
                <w:szCs w:val="21"/>
                <w:lang w:eastAsia="zh-CN"/>
              </w:rPr>
              <w:t>同一个证书满足多项要求的按最优情况计分，不可重复计分。</w:t>
            </w:r>
          </w:p>
          <w:p>
            <w:pPr>
              <w:widowControl w:val="0"/>
              <w:wordWrap w:val="0"/>
              <w:jc w:val="both"/>
              <w:rPr>
                <w:rFonts w:ascii="宋体" w:eastAsia="宋体" w:hAnsi="宋体"/>
                <w:b/>
                <w:kern w:val="2"/>
                <w:sz w:val="21"/>
                <w:szCs w:val="21"/>
                <w:lang w:eastAsia="zh-CN"/>
              </w:rPr>
            </w:pPr>
          </w:p>
          <w:p>
            <w:pPr>
              <w:widowControl w:val="0"/>
              <w:wordWrap w:val="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（二）评分依据</w:t>
            </w:r>
          </w:p>
          <w:p>
            <w:pPr>
              <w:widowControl w:val="0"/>
              <w:wordWrap w:val="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1.关于</w:t>
            </w:r>
            <w:r>
              <w:rPr>
                <w:rFonts w:ascii="宋体" w:eastAsia="宋体" w:hAnsi="宋体" w:cstheme="minorBidi" w:hint="eastAsia"/>
                <w:b/>
                <w:bCs/>
                <w:kern w:val="2"/>
                <w:sz w:val="21"/>
                <w:szCs w:val="21"/>
                <w:lang w:eastAsia="zh-CN"/>
              </w:rPr>
              <w:t>质量管理体系认证</w:t>
            </w:r>
            <w:r>
              <w:rPr>
                <w:rFonts w:ascii="宋体" w:eastAsia="宋体" w:hAnsi="宋体" w:cstheme="minorBidi"/>
                <w:b/>
                <w:bCs/>
                <w:kern w:val="2"/>
                <w:sz w:val="21"/>
                <w:szCs w:val="21"/>
                <w:lang w:eastAsia="zh-CN"/>
              </w:rPr>
              <w:t>证书</w:t>
            </w:r>
            <w:r>
              <w:rPr>
                <w:rFonts w:ascii="宋体" w:eastAsia="宋体" w:hAnsi="宋体" w:cstheme="minorBidi" w:hint="eastAsia"/>
                <w:b/>
                <w:bCs/>
                <w:kern w:val="2"/>
                <w:sz w:val="21"/>
                <w:szCs w:val="21"/>
                <w:lang w:eastAsia="zh-CN"/>
              </w:rPr>
              <w:t>、环境管理体系认证证书、职业健康安全管理体系认证证书、售后服务认证证书</w:t>
            </w:r>
            <w:r>
              <w:rPr>
                <w:rFonts w:ascii="宋体" w:eastAsia="宋体" w:hAnsi="宋体" w:cstheme="minorBidi" w:hint="eastAsia"/>
                <w:kern w:val="2"/>
                <w:sz w:val="21"/>
                <w:szCs w:val="21"/>
                <w:lang w:eastAsia="zh-CN"/>
              </w:rPr>
              <w:t>，要求提供在有效期内的认证证书扫描件及全国认证认可信息公共服务平台（认e云）（http://cx.cnca.cn/）的认证信息截图（须体现网站信息）。</w:t>
            </w:r>
          </w:p>
          <w:p>
            <w:pPr>
              <w:widowControl w:val="0"/>
              <w:wordWrap w:val="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2.关于</w:t>
            </w:r>
            <w:r>
              <w:rPr>
                <w:rFonts w:ascii="宋体" w:eastAsia="宋体" w:hAnsi="宋体" w:cstheme="minorBidi" w:hint="eastAsia"/>
                <w:b/>
                <w:bCs/>
                <w:kern w:val="2"/>
                <w:sz w:val="21"/>
                <w:szCs w:val="21"/>
                <w:lang w:eastAsia="zh-CN"/>
              </w:rPr>
              <w:t>安全技术防范企业设计施工维护能力评价等级证书，要求提供在有效期内的证书扫描件，</w:t>
            </w:r>
            <w:r>
              <w:rPr>
                <w:rFonts w:ascii="宋体" w:eastAsia="宋体" w:hAnsi="宋体" w:cstheme="minorBidi" w:hint="eastAsia"/>
                <w:kern w:val="2"/>
                <w:sz w:val="21"/>
                <w:szCs w:val="21"/>
                <w:lang w:eastAsia="zh-CN"/>
              </w:rPr>
              <w:t>如证书为行业协会（学会）颁发的，还需提供提供该协会（学会）在中国社会组织政务服务平台（https://chinanpo.mca.gov.cn)的查询“正常”的页面截图（截图需显示网站信息、查询状态）。</w:t>
            </w:r>
          </w:p>
          <w:p>
            <w:pPr>
              <w:widowControl w:val="0"/>
              <w:wordWrap w:val="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3.如未按要求提供证明材料，或所提供的证明材料未能体现上述评分内容的，视为该证明材料无效。</w:t>
            </w:r>
          </w:p>
        </w:tc>
      </w:tr>
      <w:tr>
        <w:tblPrEx>
          <w:tblW w:w="5000" w:type="pct"/>
          <w:tblCellSpacing w:w="0" w:type="dxa"/>
          <w:tblInd w:w="0" w:type="dxa"/>
          <w:tblLayout w:type="fixed"/>
          <w:tblCellMar>
            <w:top w:w="20" w:type="dxa"/>
            <w:left w:w="108" w:type="dxa"/>
            <w:bottom w:w="20" w:type="dxa"/>
            <w:right w:w="108" w:type="dxa"/>
          </w:tblCellMar>
        </w:tblPrEx>
        <w:trPr>
          <w:tblCellSpacing w:w="0" w:type="dxa"/>
        </w:trPr>
        <w:tc>
          <w:tcPr>
            <w:tcW w:w="685" w:type="dxa"/>
            <w:vMerge w:val="restart"/>
            <w:tcBorders>
              <w:tl2br w:val="nil"/>
              <w:tr2bl w:val="nil"/>
            </w:tcBorders>
          </w:tcPr>
          <w:p>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4</w:t>
            </w:r>
          </w:p>
        </w:tc>
        <w:tc>
          <w:tcPr>
            <w:tcW w:w="3722" w:type="dxa"/>
            <w:gridSpan w:val="3"/>
            <w:tcBorders>
              <w:tl2br w:val="nil"/>
              <w:tr2bl w:val="nil"/>
            </w:tcBorders>
            <w:vAlign w:val="center"/>
          </w:tcPr>
          <w:p>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诚信情况</w:t>
            </w:r>
          </w:p>
        </w:tc>
        <w:tc>
          <w:tcPr>
            <w:tcW w:w="4642" w:type="dxa"/>
            <w:tcBorders>
              <w:tl2br w:val="nil"/>
              <w:tr2bl w:val="nil"/>
            </w:tcBorders>
          </w:tcPr>
          <w:p>
            <w:pPr>
              <w:widowControl w:val="0"/>
              <w:wordWrap w:val="0"/>
              <w:adjustRightInd w:val="0"/>
              <w:snapToGrid w:val="0"/>
              <w:spacing w:line="320" w:lineRule="exact"/>
              <w:jc w:val="center"/>
              <w:rPr>
                <w:rFonts w:ascii="宋体" w:eastAsia="宋体" w:hAnsi="宋体" w:cs="宋体"/>
                <w:b/>
                <w:bCs/>
                <w:color w:val="0000FF"/>
                <w:kern w:val="2"/>
                <w:sz w:val="21"/>
                <w:szCs w:val="21"/>
                <w:lang w:eastAsia="zh-CN"/>
              </w:rPr>
            </w:pPr>
            <w:r>
              <w:rPr>
                <w:rFonts w:ascii="宋体" w:eastAsia="宋体" w:hAnsi="宋体" w:cs="宋体" w:hint="eastAsia"/>
                <w:b/>
                <w:bCs/>
                <w:color w:val="0000FF"/>
                <w:kern w:val="2"/>
                <w:sz w:val="21"/>
                <w:szCs w:val="21"/>
                <w:lang w:eastAsia="zh-CN"/>
              </w:rPr>
              <w:t>5</w:t>
            </w:r>
          </w:p>
        </w:tc>
      </w:tr>
      <w:tr>
        <w:tblPrEx>
          <w:tblW w:w="5000" w:type="pct"/>
          <w:tblCellSpacing w:w="0" w:type="dxa"/>
          <w:tblInd w:w="0" w:type="dxa"/>
          <w:tblLayout w:type="fixed"/>
          <w:tblCellMar>
            <w:top w:w="20" w:type="dxa"/>
            <w:left w:w="108" w:type="dxa"/>
            <w:bottom w:w="20" w:type="dxa"/>
            <w:right w:w="108" w:type="dxa"/>
          </w:tblCellMar>
        </w:tblPrEx>
        <w:trPr>
          <w:tblCellSpacing w:w="0" w:type="dxa"/>
        </w:trPr>
        <w:tc>
          <w:tcPr>
            <w:tcW w:w="685" w:type="dxa"/>
            <w:vMerge/>
            <w:tcBorders>
              <w:tl2br w:val="nil"/>
              <w:tr2bl w:val="nil"/>
            </w:tcBorders>
            <w:vAlign w:val="center"/>
          </w:tcPr>
          <w:p>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8364" w:type="dxa"/>
            <w:gridSpan w:val="4"/>
            <w:tcBorders>
              <w:tl2br w:val="nil"/>
              <w:tr2bl w:val="nil"/>
            </w:tcBorders>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p>
        </w:tc>
      </w:tr>
      <w:tr>
        <w:tblPrEx>
          <w:tblW w:w="5000" w:type="pct"/>
          <w:tblCellSpacing w:w="0" w:type="dxa"/>
          <w:tblInd w:w="0" w:type="dxa"/>
          <w:tblLayout w:type="fixed"/>
          <w:tblCellMar>
            <w:top w:w="20" w:type="dxa"/>
            <w:left w:w="108" w:type="dxa"/>
            <w:bottom w:w="20" w:type="dxa"/>
            <w:right w:w="108" w:type="dxa"/>
          </w:tblCellMar>
        </w:tblPrEx>
        <w:trPr>
          <w:tblCellSpacing w:w="0" w:type="dxa"/>
        </w:trPr>
        <w:tc>
          <w:tcPr>
            <w:tcW w:w="685" w:type="dxa"/>
            <w:vMerge/>
            <w:tcBorders>
              <w:tl2br w:val="nil"/>
              <w:tr2bl w:val="nil"/>
            </w:tcBorders>
            <w:shd w:val="clear" w:color="auto" w:fill="E6EFFA"/>
            <w:vAlign w:val="center"/>
          </w:tcPr>
          <w:p>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548" w:type="dxa"/>
            <w:tcBorders>
              <w:tl2br w:val="nil"/>
              <w:tr2bl w:val="nil"/>
            </w:tcBorders>
            <w:shd w:val="clear" w:color="auto" w:fill="E6EFFA"/>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序号</w:t>
            </w:r>
          </w:p>
        </w:tc>
        <w:tc>
          <w:tcPr>
            <w:tcW w:w="2240" w:type="dxa"/>
            <w:tcBorders>
              <w:tl2br w:val="nil"/>
              <w:tr2bl w:val="nil"/>
            </w:tcBorders>
            <w:shd w:val="clear" w:color="auto" w:fill="E6EFFA"/>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评分因素</w:t>
            </w:r>
          </w:p>
        </w:tc>
        <w:tc>
          <w:tcPr>
            <w:tcW w:w="934" w:type="dxa"/>
            <w:tcBorders>
              <w:tl2br w:val="nil"/>
              <w:tr2bl w:val="nil"/>
            </w:tcBorders>
            <w:shd w:val="clear" w:color="auto" w:fill="E6EFFA"/>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权重(%)</w:t>
            </w:r>
          </w:p>
        </w:tc>
        <w:tc>
          <w:tcPr>
            <w:tcW w:w="4642" w:type="dxa"/>
            <w:tcBorders>
              <w:tl2br w:val="nil"/>
              <w:tr2bl w:val="nil"/>
            </w:tcBorders>
            <w:shd w:val="clear" w:color="auto" w:fill="E6EFFA"/>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评分准则</w:t>
            </w:r>
          </w:p>
        </w:tc>
      </w:tr>
      <w:tr>
        <w:tblPrEx>
          <w:tblW w:w="5000" w:type="pct"/>
          <w:tblCellSpacing w:w="0" w:type="dxa"/>
          <w:tblInd w:w="0" w:type="dxa"/>
          <w:tblLayout w:type="fixed"/>
          <w:tblCellMar>
            <w:top w:w="20" w:type="dxa"/>
            <w:left w:w="108" w:type="dxa"/>
            <w:bottom w:w="20" w:type="dxa"/>
            <w:right w:w="108" w:type="dxa"/>
          </w:tblCellMar>
        </w:tblPrEx>
        <w:trPr>
          <w:tblCellSpacing w:w="0" w:type="dxa"/>
        </w:trPr>
        <w:tc>
          <w:tcPr>
            <w:tcW w:w="685" w:type="dxa"/>
            <w:vMerge/>
            <w:tcBorders>
              <w:tl2br w:val="nil"/>
              <w:tr2bl w:val="nil"/>
            </w:tcBorders>
            <w:vAlign w:val="center"/>
          </w:tcPr>
          <w:p>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548" w:type="dxa"/>
            <w:tcBorders>
              <w:tl2br w:val="nil"/>
              <w:tr2bl w:val="nil"/>
            </w:tcBorders>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2240" w:type="dxa"/>
            <w:tcBorders>
              <w:tl2br w:val="nil"/>
              <w:tr2bl w:val="nil"/>
            </w:tcBorders>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诚信情况</w:t>
            </w:r>
          </w:p>
        </w:tc>
        <w:tc>
          <w:tcPr>
            <w:tcW w:w="934" w:type="dxa"/>
            <w:tcBorders>
              <w:tl2br w:val="nil"/>
              <w:tr2bl w:val="nil"/>
            </w:tcBorders>
            <w:vAlign w:val="center"/>
          </w:tcPr>
          <w:p>
            <w:pPr>
              <w:widowControl w:val="0"/>
              <w:wordWrap w:val="0"/>
              <w:adjustRightInd w:val="0"/>
              <w:snapToGrid w:val="0"/>
              <w:spacing w:line="32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5</w:t>
            </w:r>
          </w:p>
        </w:tc>
        <w:tc>
          <w:tcPr>
            <w:tcW w:w="4642" w:type="dxa"/>
            <w:tcBorders>
              <w:tl2br w:val="nil"/>
              <w:tr2bl w:val="nil"/>
            </w:tcBorders>
          </w:tcPr>
          <w:p>
            <w:pPr>
              <w:widowControl w:val="0"/>
              <w:wordWrap w:val="0"/>
              <w:spacing w:after="1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p>
          <w:p>
            <w:pPr>
              <w:widowControl w:val="0"/>
              <w:wordWrap w:val="0"/>
              <w:adjustRightInd w:val="0"/>
              <w:snapToGrid w:val="0"/>
              <w:spacing w:line="320" w:lineRule="exact"/>
              <w:jc w:val="both"/>
              <w:rPr>
                <w:rFonts w:ascii="宋体" w:eastAsia="宋体" w:hAnsi="宋体" w:cs="宋体"/>
                <w:color w:val="FF0000"/>
                <w:kern w:val="2"/>
                <w:sz w:val="21"/>
                <w:szCs w:val="21"/>
                <w:lang w:eastAsia="zh-CN"/>
              </w:rPr>
            </w:pPr>
            <w:r>
              <w:rPr>
                <w:rFonts w:ascii="宋体" w:eastAsia="宋体" w:hAnsi="宋体" w:cs="宋体" w:hint="eastAsia"/>
                <w:kern w:val="2"/>
                <w:sz w:val="21"/>
                <w:szCs w:val="21"/>
                <w:lang w:eastAsia="zh-CN"/>
              </w:rPr>
              <w:t>查询渠道：通过“信用中国”（www.creditchina.gov.cn，下载信用信息报告）、“中国政府采购网”（www.ccgp.gov.cn）、以及“深圳市政府采购监管网”（http://zfcg.sz.gov.cn）查询供应商信用信息，信用信息以开标当日的查询结果为准。</w:t>
            </w:r>
          </w:p>
        </w:tc>
      </w:tr>
      <w:tr>
        <w:tblPrEx>
          <w:tblW w:w="5000" w:type="pct"/>
          <w:tblCellSpacing w:w="0" w:type="dxa"/>
          <w:tblInd w:w="0" w:type="dxa"/>
          <w:tblLayout w:type="fixed"/>
          <w:tblCellMar>
            <w:top w:w="20" w:type="dxa"/>
            <w:left w:w="108" w:type="dxa"/>
            <w:bottom w:w="20" w:type="dxa"/>
            <w:right w:w="108" w:type="dxa"/>
          </w:tblCellMar>
        </w:tblPrEx>
        <w:trPr>
          <w:tblCellSpacing w:w="0" w:type="dxa"/>
        </w:trPr>
        <w:tc>
          <w:tcPr>
            <w:tcW w:w="685" w:type="dxa"/>
            <w:vMerge/>
            <w:tcBorders>
              <w:tl2br w:val="nil"/>
              <w:tr2bl w:val="nil"/>
            </w:tcBorders>
            <w:vAlign w:val="center"/>
          </w:tcPr>
          <w:p>
            <w:pPr>
              <w:widowControl w:val="0"/>
              <w:adjustRightInd w:val="0"/>
              <w:snapToGrid w:val="0"/>
              <w:spacing w:line="320" w:lineRule="exact"/>
              <w:jc w:val="both"/>
              <w:rPr>
                <w:rFonts w:ascii="宋体" w:eastAsia="宋体" w:hAnsi="宋体" w:cs="宋体"/>
                <w:b/>
                <w:bCs/>
                <w:color w:val="0000FF"/>
                <w:kern w:val="2"/>
                <w:sz w:val="21"/>
                <w:szCs w:val="21"/>
                <w:lang w:eastAsia="zh-CN"/>
              </w:rPr>
            </w:pPr>
          </w:p>
        </w:tc>
        <w:tc>
          <w:tcPr>
            <w:tcW w:w="8364" w:type="dxa"/>
            <w:gridSpan w:val="4"/>
            <w:tcBorders>
              <w:tl2br w:val="nil"/>
              <w:tr2bl w:val="nil"/>
            </w:tcBorders>
          </w:tcPr>
          <w:p>
            <w:pPr>
              <w:widowControl w:val="0"/>
              <w:wordWrap w:val="0"/>
              <w:adjustRightInd w:val="0"/>
              <w:snapToGrid w:val="0"/>
              <w:spacing w:line="320" w:lineRule="exact"/>
              <w:jc w:val="both"/>
              <w:rPr>
                <w:rFonts w:ascii="宋体" w:eastAsia="宋体" w:hAnsi="宋体" w:cs="宋体"/>
                <w:kern w:val="2"/>
                <w:sz w:val="21"/>
                <w:szCs w:val="21"/>
                <w:lang w:eastAsia="zh-CN"/>
              </w:rPr>
            </w:pPr>
          </w:p>
        </w:tc>
      </w:tr>
    </w:tbl>
    <w:p>
      <w:pPr>
        <w:widowControl w:val="0"/>
        <w:wordWrap w:val="0"/>
        <w:jc w:val="both"/>
        <w:rPr>
          <w:rFonts w:eastAsia="宋体"/>
          <w:b/>
          <w:bCs/>
          <w:kern w:val="2"/>
          <w:sz w:val="21"/>
          <w:lang w:eastAsia="zh-CN"/>
        </w:rPr>
      </w:pPr>
    </w:p>
    <w:p>
      <w:pPr>
        <w:widowControl w:val="0"/>
        <w:jc w:val="both"/>
        <w:rPr>
          <w:rFonts w:eastAsia="宋体"/>
          <w:b/>
          <w:kern w:val="2"/>
          <w:sz w:val="120"/>
          <w:szCs w:val="120"/>
          <w:lang w:eastAsia="zh-CN"/>
        </w:rPr>
      </w:pPr>
      <w:r>
        <w:rPr>
          <w:rFonts w:eastAsia="宋体" w:hint="eastAsia"/>
          <w:b/>
          <w:kern w:val="2"/>
          <w:sz w:val="120"/>
          <w:szCs w:val="120"/>
          <w:lang w:eastAsia="zh-CN"/>
        </w:rPr>
        <w:br w:type="page"/>
      </w:r>
    </w:p>
    <w:p>
      <w:pPr>
        <w:widowControl w:val="0"/>
        <w:jc w:val="center"/>
        <w:rPr>
          <w:rFonts w:eastAsia="宋体"/>
          <w:b/>
          <w:kern w:val="2"/>
          <w:sz w:val="120"/>
          <w:szCs w:val="120"/>
          <w:lang w:eastAsia="zh-CN"/>
        </w:rPr>
      </w:pPr>
    </w:p>
    <w:p>
      <w:pPr>
        <w:widowControl w:val="0"/>
        <w:jc w:val="center"/>
        <w:rPr>
          <w:rFonts w:eastAsia="宋体"/>
          <w:b/>
          <w:kern w:val="2"/>
          <w:sz w:val="120"/>
          <w:szCs w:val="120"/>
          <w:lang w:eastAsia="zh-CN"/>
        </w:rPr>
      </w:pPr>
    </w:p>
    <w:p>
      <w:pPr>
        <w:widowControl w:val="0"/>
        <w:spacing w:line="276" w:lineRule="auto"/>
        <w:jc w:val="center"/>
        <w:rPr>
          <w:rFonts w:eastAsia="宋体"/>
          <w:b/>
          <w:kern w:val="2"/>
          <w:sz w:val="120"/>
          <w:szCs w:val="120"/>
          <w:lang w:eastAsia="zh-CN"/>
        </w:rPr>
      </w:pPr>
      <w:r>
        <w:rPr>
          <w:rFonts w:eastAsia="宋体" w:hint="eastAsia"/>
          <w:b/>
          <w:kern w:val="2"/>
          <w:sz w:val="120"/>
          <w:szCs w:val="120"/>
          <w:lang w:eastAsia="zh-CN"/>
        </w:rPr>
        <w:t>自行采购</w:t>
      </w:r>
    </w:p>
    <w:p>
      <w:pPr>
        <w:widowControl w:val="0"/>
        <w:spacing w:line="276" w:lineRule="auto"/>
        <w:jc w:val="center"/>
        <w:rPr>
          <w:rFonts w:eastAsia="宋体"/>
          <w:b/>
          <w:kern w:val="2"/>
          <w:sz w:val="120"/>
          <w:szCs w:val="120"/>
          <w:lang w:eastAsia="zh-CN"/>
        </w:rPr>
      </w:pPr>
      <w:r>
        <w:rPr>
          <w:rFonts w:eastAsia="宋体" w:hint="eastAsia"/>
          <w:b/>
          <w:kern w:val="2"/>
          <w:sz w:val="120"/>
          <w:szCs w:val="120"/>
          <w:lang w:eastAsia="zh-CN"/>
        </w:rPr>
        <w:t>招标文件</w:t>
      </w:r>
    </w:p>
    <w:p>
      <w:pPr>
        <w:widowControl w:val="0"/>
        <w:spacing w:line="276" w:lineRule="auto"/>
        <w:jc w:val="center"/>
        <w:rPr>
          <w:rFonts w:eastAsia="宋体"/>
          <w:b/>
          <w:kern w:val="2"/>
          <w:sz w:val="52"/>
          <w:szCs w:val="52"/>
          <w:lang w:eastAsia="zh-CN"/>
        </w:rPr>
      </w:pPr>
      <w:r>
        <w:rPr>
          <w:rFonts w:eastAsia="宋体" w:hint="eastAsia"/>
          <w:b/>
          <w:kern w:val="2"/>
          <w:sz w:val="52"/>
          <w:szCs w:val="52"/>
          <w:lang w:eastAsia="zh-CN"/>
        </w:rPr>
        <w:t>（服务类）</w:t>
      </w: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both"/>
        <w:rPr>
          <w:rFonts w:eastAsia="宋体"/>
          <w:kern w:val="2"/>
          <w:sz w:val="21"/>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spacing w:line="276" w:lineRule="auto"/>
        <w:jc w:val="center"/>
        <w:rPr>
          <w:rFonts w:eastAsia="宋体"/>
          <w:b/>
          <w:kern w:val="2"/>
          <w:sz w:val="44"/>
          <w:szCs w:val="44"/>
          <w:lang w:eastAsia="zh-CN"/>
        </w:rPr>
      </w:pPr>
      <w:bookmarkStart w:id="1" w:name="_Hlk71465316"/>
      <w:r>
        <w:rPr>
          <w:rFonts w:eastAsia="宋体" w:hint="eastAsia"/>
          <w:b/>
          <w:kern w:val="2"/>
          <w:sz w:val="44"/>
          <w:szCs w:val="44"/>
          <w:lang w:eastAsia="zh-CN"/>
        </w:rPr>
        <w:t>深圳公共资源交易中心</w:t>
      </w:r>
    </w:p>
    <w:p>
      <w:pPr>
        <w:widowControl w:val="0"/>
        <w:spacing w:line="276" w:lineRule="auto"/>
        <w:jc w:val="center"/>
        <w:rPr>
          <w:rFonts w:eastAsia="宋体"/>
          <w:kern w:val="2"/>
          <w:sz w:val="44"/>
          <w:szCs w:val="44"/>
          <w:lang w:eastAsia="zh-CN"/>
        </w:rPr>
      </w:pPr>
      <w:r>
        <w:rPr>
          <w:rFonts w:eastAsia="宋体" w:hint="eastAsia"/>
          <w:b/>
          <w:kern w:val="2"/>
          <w:sz w:val="44"/>
          <w:szCs w:val="44"/>
          <w:lang w:eastAsia="zh-CN"/>
        </w:rPr>
        <w:t>（2025年）</w:t>
      </w:r>
      <w:bookmarkEnd w:id="1"/>
    </w:p>
    <w:p>
      <w:pPr>
        <w:widowControl w:val="0"/>
        <w:ind w:firstLine="3150" w:firstLineChars="1500"/>
        <w:jc w:val="both"/>
        <w:rPr>
          <w:rFonts w:eastAsia="宋体"/>
          <w:kern w:val="2"/>
          <w:sz w:val="21"/>
          <w:lang w:eastAsia="zh-CN"/>
        </w:rPr>
      </w:pPr>
      <w:r>
        <w:rPr>
          <w:rFonts w:eastAsia="宋体" w:hint="eastAsia"/>
          <w:kern w:val="2"/>
          <w:sz w:val="21"/>
          <w:lang w:eastAsia="zh-CN"/>
        </w:rPr>
        <w:br w:type="page"/>
      </w:r>
    </w:p>
    <w:p>
      <w:pPr>
        <w:keepNext/>
        <w:keepLines/>
        <w:widowControl w:val="0"/>
        <w:adjustRightInd w:val="0"/>
        <w:spacing w:before="260" w:after="260" w:line="240" w:lineRule="auto"/>
        <w:jc w:val="center"/>
        <w:textAlignment w:val="baseline"/>
        <w:outlineLvl w:val="1"/>
        <w:rPr>
          <w:rFonts w:ascii="宋体" w:eastAsia="宋体" w:hAnsi="宋体" w:cs="宋体"/>
          <w:b/>
          <w:bCs/>
          <w:color w:val="FF0000"/>
          <w:sz w:val="28"/>
          <w:szCs w:val="28"/>
          <w:lang w:eastAsia="zh-CN"/>
        </w:rPr>
      </w:pPr>
      <w:r>
        <w:rPr>
          <w:rFonts w:ascii="宋体" w:eastAsia="宋体" w:hAnsi="宋体" w:cs="宋体" w:hint="eastAsia"/>
          <w:b/>
          <w:bCs/>
          <w:color w:val="FF0000"/>
          <w:sz w:val="28"/>
          <w:szCs w:val="28"/>
          <w:lang w:eastAsia="zh-CN"/>
        </w:rPr>
        <w:t>警示条款</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本项目为自行采购项目，参照《深圳经济特区政府采购条例》、《深圳经济特区政府采购条例实施细则》及政府采购其他法律法规，按照采购人内控制度，通过公开招标方式确定中标供应商。</w:t>
      </w:r>
    </w:p>
    <w:p>
      <w:pPr>
        <w:widowControl w:val="0"/>
        <w:ind w:firstLine="420" w:firstLineChars="200"/>
        <w:jc w:val="both"/>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一、</w:t>
      </w:r>
      <w:r>
        <w:rPr>
          <w:rFonts w:ascii="宋体" w:eastAsia="宋体" w:hAnsi="宋体" w:cs="宋体" w:hint="eastAsia"/>
          <w:b/>
          <w:bCs/>
          <w:color w:val="FF0000"/>
          <w:kern w:val="2"/>
          <w:sz w:val="21"/>
          <w:szCs w:val="21"/>
          <w:lang w:eastAsia="zh-CN"/>
        </w:rPr>
        <w:t>《深圳经济特区政府采购条例》第五十七条</w:t>
      </w:r>
      <w:r>
        <w:rPr>
          <w:rFonts w:ascii="宋体" w:eastAsia="宋体" w:hAnsi="宋体" w:cs="宋体" w:hint="eastAsia"/>
          <w:color w:val="FF0000"/>
          <w:kern w:val="2"/>
          <w:sz w:val="21"/>
          <w:szCs w:val="21"/>
          <w:lang w:eastAsia="zh-CN"/>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widowControl w:val="0"/>
        <w:ind w:firstLine="420" w:firstLineChars="200"/>
        <w:jc w:val="both"/>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（一）在采购活动中应当回避而未回避的；</w:t>
      </w:r>
    </w:p>
    <w:p>
      <w:pPr>
        <w:widowControl w:val="0"/>
        <w:ind w:firstLine="420" w:firstLineChars="200"/>
        <w:jc w:val="both"/>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（二）未按本条例规定签订、履行采购合同，造成严重后果的；</w:t>
      </w:r>
    </w:p>
    <w:p>
      <w:pPr>
        <w:widowControl w:val="0"/>
        <w:ind w:firstLine="420" w:firstLineChars="200"/>
        <w:jc w:val="both"/>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（三）隐瞒真实情况，提供虚假资料的；</w:t>
      </w:r>
    </w:p>
    <w:p>
      <w:pPr>
        <w:widowControl w:val="0"/>
        <w:ind w:firstLine="420" w:firstLineChars="200"/>
        <w:jc w:val="both"/>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（四）以非法手段排斥其他供应商参与竞争的；</w:t>
      </w:r>
    </w:p>
    <w:p>
      <w:pPr>
        <w:widowControl w:val="0"/>
        <w:ind w:firstLine="420" w:firstLineChars="200"/>
        <w:jc w:val="both"/>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（五）与其他采购参加人串通投标的；</w:t>
      </w:r>
    </w:p>
    <w:p>
      <w:pPr>
        <w:widowControl w:val="0"/>
        <w:ind w:firstLine="420" w:firstLineChars="200"/>
        <w:jc w:val="both"/>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（六）恶意投诉的；</w:t>
      </w:r>
    </w:p>
    <w:p>
      <w:pPr>
        <w:widowControl w:val="0"/>
        <w:ind w:firstLine="420" w:firstLineChars="200"/>
        <w:jc w:val="both"/>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（七）向采购项目相关人行贿或者提供其他不当利益的；</w:t>
      </w:r>
    </w:p>
    <w:p>
      <w:pPr>
        <w:widowControl w:val="0"/>
        <w:ind w:firstLine="420" w:firstLineChars="200"/>
        <w:jc w:val="both"/>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（八）阻碍、抗拒主管部门监督检查的；</w:t>
      </w:r>
    </w:p>
    <w:p>
      <w:pPr>
        <w:widowControl w:val="0"/>
        <w:ind w:firstLine="420" w:firstLineChars="200"/>
        <w:jc w:val="both"/>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（九）其他违反本条例规定的行为。</w:t>
      </w:r>
    </w:p>
    <w:p>
      <w:pPr>
        <w:widowControl w:val="0"/>
        <w:ind w:firstLine="420" w:firstLineChars="200"/>
        <w:jc w:val="both"/>
        <w:rPr>
          <w:rFonts w:ascii="宋体" w:eastAsia="宋体" w:hAnsi="宋体" w:cs="宋体"/>
          <w:color w:val="FF0000"/>
          <w:kern w:val="2"/>
          <w:sz w:val="21"/>
          <w:szCs w:val="21"/>
          <w:lang w:eastAsia="zh-CN"/>
        </w:rPr>
      </w:pPr>
      <w:r>
        <w:rPr>
          <w:rFonts w:ascii="宋体" w:eastAsia="宋体" w:hAnsi="宋体" w:cs="宋体" w:hint="eastAsia"/>
          <w:b/>
          <w:bCs/>
          <w:color w:val="FF0000"/>
          <w:kern w:val="2"/>
          <w:sz w:val="21"/>
          <w:szCs w:val="21"/>
          <w:lang w:eastAsia="zh-CN"/>
        </w:rPr>
        <w:t xml:space="preserve">二、《深圳经济特区政府采购条例实施细则》第七十五条 </w:t>
      </w:r>
      <w:r>
        <w:rPr>
          <w:rFonts w:ascii="宋体" w:eastAsia="宋体" w:hAnsi="宋体" w:cs="宋体" w:hint="eastAsia"/>
          <w:color w:val="FF0000"/>
          <w:kern w:val="2"/>
          <w:sz w:val="21"/>
          <w:szCs w:val="21"/>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widowControl w:val="0"/>
        <w:ind w:firstLine="420" w:firstLineChars="200"/>
        <w:jc w:val="both"/>
        <w:rPr>
          <w:rFonts w:ascii="宋体" w:eastAsia="宋体" w:hAnsi="宋体" w:cs="宋体"/>
          <w:color w:val="FF0000"/>
          <w:kern w:val="2"/>
          <w:sz w:val="21"/>
          <w:szCs w:val="21"/>
          <w:lang w:eastAsia="zh-CN"/>
        </w:rPr>
      </w:pPr>
      <w:r>
        <w:rPr>
          <w:rFonts w:ascii="宋体" w:eastAsia="宋体" w:hAnsi="宋体" w:cs="宋体" w:hint="eastAsia"/>
          <w:b/>
          <w:bCs/>
          <w:color w:val="FF0000"/>
          <w:kern w:val="2"/>
          <w:sz w:val="21"/>
          <w:szCs w:val="21"/>
          <w:lang w:eastAsia="zh-CN"/>
        </w:rPr>
        <w:t xml:space="preserve">三、《深圳经济特区政府采购条例实施细则》第七十七条 </w:t>
      </w:r>
      <w:r>
        <w:rPr>
          <w:rFonts w:ascii="宋体" w:eastAsia="宋体" w:hAnsi="宋体" w:cs="宋体" w:hint="eastAsia"/>
          <w:color w:val="FF0000"/>
          <w:kern w:val="2"/>
          <w:sz w:val="21"/>
          <w:szCs w:val="21"/>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widowControl w:val="0"/>
        <w:ind w:firstLine="420" w:firstLineChars="200"/>
        <w:jc w:val="both"/>
        <w:rPr>
          <w:rFonts w:ascii="宋体" w:eastAsia="宋体" w:hAnsi="宋体" w:cs="宋体"/>
          <w:color w:val="FF0000"/>
          <w:kern w:val="2"/>
          <w:sz w:val="21"/>
          <w:szCs w:val="21"/>
          <w:lang w:eastAsia="zh-CN"/>
        </w:rPr>
      </w:pPr>
      <w:r>
        <w:rPr>
          <w:rFonts w:ascii="宋体" w:eastAsia="宋体" w:hAnsi="宋体" w:cs="宋体" w:hint="eastAsia"/>
          <w:color w:val="FF0000"/>
          <w:kern w:val="2"/>
          <w:sz w:val="21"/>
          <w:szCs w:val="21"/>
          <w:lang w:eastAsia="zh-CN"/>
        </w:rPr>
        <w:t>投标供应商不能提供项目负责人或者主要技术人员的劳动合同、社会保险等劳动关系证明材料的，视为存在前款第（三）项规定的情形。</w:t>
      </w:r>
    </w:p>
    <w:p>
      <w:pPr>
        <w:widowControl w:val="0"/>
        <w:ind w:firstLine="420" w:firstLineChars="200"/>
        <w:jc w:val="both"/>
        <w:rPr>
          <w:rFonts w:ascii="宋体" w:eastAsia="宋体" w:hAnsi="宋体" w:cs="宋体"/>
          <w:b/>
          <w:color w:val="FF0000"/>
          <w:kern w:val="2"/>
          <w:sz w:val="21"/>
          <w:szCs w:val="21"/>
          <w:lang w:eastAsia="zh-CN"/>
        </w:rPr>
      </w:pPr>
      <w:r>
        <w:rPr>
          <w:rFonts w:ascii="宋体" w:eastAsia="宋体" w:hAnsi="宋体" w:cs="宋体" w:hint="eastAsia"/>
          <w:b/>
          <w:color w:val="FF0000"/>
          <w:kern w:val="2"/>
          <w:sz w:val="21"/>
          <w:szCs w:val="21"/>
          <w:lang w:eastAsia="zh-CN"/>
        </w:rPr>
        <w:t>四、请投标供应商阅读《政府采购违法行为风险知悉确认书》（内容详见“投标文件正文”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widowControl w:val="0"/>
        <w:ind w:firstLine="420" w:firstLineChars="200"/>
        <w:jc w:val="both"/>
        <w:rPr>
          <w:rFonts w:ascii="宋体" w:eastAsia="宋体" w:hAnsi="宋体" w:cs="宋体"/>
          <w:bCs/>
          <w:color w:val="FF0000"/>
          <w:kern w:val="2"/>
          <w:sz w:val="21"/>
          <w:szCs w:val="21"/>
          <w:lang w:eastAsia="zh-CN"/>
        </w:rPr>
      </w:pPr>
      <w:r>
        <w:rPr>
          <w:rFonts w:ascii="宋体" w:eastAsia="宋体" w:hAnsi="宋体" w:cs="宋体" w:hint="eastAsia"/>
          <w:bCs/>
          <w:color w:val="FF0000"/>
          <w:kern w:val="2"/>
          <w:sz w:val="21"/>
          <w:szCs w:val="21"/>
          <w:lang w:eastAsia="zh-CN"/>
        </w:rPr>
        <w:t>五、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p>
    <w:p>
      <w:pPr>
        <w:widowControl w:val="0"/>
        <w:spacing w:line="360" w:lineRule="auto"/>
        <w:jc w:val="both"/>
        <w:rPr>
          <w:rFonts w:eastAsia="宋体"/>
          <w:kern w:val="2"/>
          <w:lang w:eastAsia="zh-CN"/>
        </w:rPr>
      </w:pPr>
    </w:p>
    <w:p>
      <w:pPr>
        <w:keepNext/>
        <w:keepLines/>
        <w:widowControl w:val="0"/>
        <w:spacing w:before="340" w:after="330" w:line="360" w:lineRule="auto"/>
        <w:jc w:val="center"/>
        <w:outlineLvl w:val="0"/>
        <w:rPr>
          <w:rFonts w:ascii="宋体" w:eastAsia="黑体" w:hAnsi="宋体"/>
          <w:b/>
          <w:bCs/>
          <w:kern w:val="44"/>
          <w:sz w:val="28"/>
          <w:szCs w:val="44"/>
          <w:lang w:eastAsia="zh-CN"/>
        </w:rPr>
      </w:pPr>
    </w:p>
    <w:p>
      <w:pPr>
        <w:keepNext/>
        <w:keepLines/>
        <w:widowControl w:val="0"/>
        <w:spacing w:before="340" w:after="330" w:line="360" w:lineRule="auto"/>
        <w:jc w:val="center"/>
        <w:outlineLvl w:val="0"/>
        <w:rPr>
          <w:rFonts w:ascii="宋体" w:eastAsia="黑体" w:hAnsi="宋体"/>
          <w:b/>
          <w:bCs/>
          <w:kern w:val="44"/>
          <w:sz w:val="28"/>
          <w:szCs w:val="44"/>
          <w:lang w:eastAsia="zh-CN"/>
        </w:rPr>
      </w:pPr>
      <w:r>
        <w:rPr>
          <w:rFonts w:ascii="宋体" w:eastAsia="黑体" w:hAnsi="宋体" w:hint="eastAsia"/>
          <w:b/>
          <w:bCs/>
          <w:kern w:val="44"/>
          <w:sz w:val="28"/>
          <w:szCs w:val="44"/>
          <w:lang w:eastAsia="zh-CN"/>
        </w:rPr>
        <w:t>目   录</w:t>
      </w:r>
    </w:p>
    <w:p>
      <w:pPr>
        <w:widowControl w:val="0"/>
        <w:jc w:val="both"/>
        <w:outlineLvl w:val="0"/>
        <w:rPr>
          <w:rFonts w:ascii="Calibri" w:eastAsia="宋体" w:hAnsi="Calibri"/>
          <w:b/>
          <w:kern w:val="2"/>
          <w:szCs w:val="22"/>
          <w:lang w:eastAsia="zh-CN"/>
        </w:rPr>
      </w:pPr>
      <w:r>
        <w:rPr>
          <w:rFonts w:ascii="Calibri" w:eastAsia="宋体" w:hAnsi="Calibri" w:cstheme="minorBidi" w:hint="eastAsia"/>
          <w:b/>
          <w:kern w:val="2"/>
          <w:szCs w:val="22"/>
          <w:lang w:eastAsia="zh-CN"/>
        </w:rPr>
        <w:t>第一册  专用条款</w:t>
      </w:r>
    </w:p>
    <w:p>
      <w:pPr>
        <w:widowControl w:val="0"/>
        <w:ind w:firstLine="960" w:firstLineChars="400"/>
        <w:jc w:val="both"/>
        <w:rPr>
          <w:rFonts w:ascii="Calibri" w:eastAsia="宋体" w:hAnsi="Calibri"/>
          <w:kern w:val="2"/>
          <w:szCs w:val="22"/>
          <w:lang w:eastAsia="zh-CN"/>
        </w:rPr>
      </w:pPr>
      <w:r>
        <w:rPr>
          <w:rFonts w:ascii="Calibri" w:eastAsia="宋体" w:hAnsi="Calibri" w:cstheme="minorBidi" w:hint="eastAsia"/>
          <w:kern w:val="2"/>
          <w:szCs w:val="22"/>
          <w:lang w:eastAsia="zh-CN"/>
        </w:rPr>
        <w:t>关键信息</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招标公告</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第二章  </w:t>
      </w:r>
      <w:bookmarkStart w:id="2" w:name="_Hlk71994379"/>
      <w:r>
        <w:rPr>
          <w:rFonts w:ascii="宋体" w:eastAsia="宋体" w:hAnsi="宋体" w:cstheme="minorBidi" w:hint="eastAsia"/>
          <w:kern w:val="2"/>
          <w:sz w:val="21"/>
          <w:szCs w:val="21"/>
          <w:lang w:eastAsia="zh-CN"/>
        </w:rPr>
        <w:t>对通用条款的补充内容及其他关键信息</w:t>
      </w:r>
      <w:bookmarkEnd w:id="2"/>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第三章 </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用户需求书</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 xml:space="preserve">第四章 </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投标文件组成要求及格式</w:t>
      </w:r>
    </w:p>
    <w:p>
      <w:pPr>
        <w:widowControl w:val="0"/>
        <w:ind w:left="720" w:firstLine="630" w:leftChars="300" w:firstLineChars="3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合同条款及格式</w:t>
      </w:r>
    </w:p>
    <w:p>
      <w:pPr>
        <w:widowControl w:val="0"/>
        <w:jc w:val="both"/>
        <w:rPr>
          <w:rFonts w:ascii="Calibri" w:eastAsia="宋体" w:hAnsi="Calibri"/>
          <w:b/>
          <w:kern w:val="2"/>
          <w:szCs w:val="22"/>
          <w:lang w:eastAsia="zh-CN"/>
        </w:rPr>
      </w:pPr>
    </w:p>
    <w:p>
      <w:pPr>
        <w:widowControl w:val="0"/>
        <w:jc w:val="both"/>
        <w:outlineLvl w:val="0"/>
        <w:rPr>
          <w:rFonts w:ascii="Calibri" w:eastAsia="宋体" w:hAnsi="Calibri"/>
          <w:b/>
          <w:kern w:val="2"/>
          <w:szCs w:val="22"/>
          <w:lang w:eastAsia="zh-CN"/>
        </w:rPr>
      </w:pPr>
      <w:r>
        <w:rPr>
          <w:rFonts w:ascii="Calibri" w:eastAsia="宋体" w:hAnsi="Calibri" w:cstheme="minorBidi" w:hint="eastAsia"/>
          <w:b/>
          <w:kern w:val="2"/>
          <w:szCs w:val="22"/>
          <w:lang w:eastAsia="zh-CN"/>
        </w:rPr>
        <w:t>第二册  通用条款</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总则</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  招标文件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  投标文件的编制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  投标文件的递交</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开标</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第六章  评审要求</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第七章  评审程序及评审方法</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第八章  定标及公示</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第九章  公开招标失败的后续处理</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第十章  合同的授予与备案</w:t>
      </w:r>
    </w:p>
    <w:p>
      <w:pPr>
        <w:widowControl w:val="0"/>
        <w:ind w:firstLine="1050" w:firstLineChars="500"/>
        <w:jc w:val="both"/>
        <w:outlineLvl w:val="0"/>
        <w:rPr>
          <w:rFonts w:ascii="Calibri" w:eastAsia="宋体" w:hAnsi="Calibri"/>
          <w:b/>
          <w:kern w:val="2"/>
          <w:szCs w:val="22"/>
          <w:lang w:eastAsia="zh-CN"/>
        </w:rPr>
      </w:pPr>
      <w:r>
        <w:rPr>
          <w:rFonts w:ascii="宋体" w:eastAsia="宋体" w:hAnsi="宋体" w:cstheme="minorBidi" w:hint="eastAsia"/>
          <w:kern w:val="2"/>
          <w:sz w:val="21"/>
          <w:szCs w:val="21"/>
          <w:lang w:eastAsia="zh-CN"/>
        </w:rPr>
        <w:t>第十一章  质疑处理</w:t>
      </w:r>
    </w:p>
    <w:p>
      <w:pPr>
        <w:widowControl w:val="0"/>
        <w:adjustRightInd w:val="0"/>
        <w:snapToGrid w:val="0"/>
        <w:spacing w:line="360" w:lineRule="auto"/>
        <w:ind w:firstLine="420" w:firstLineChars="200"/>
        <w:jc w:val="left"/>
        <w:rPr>
          <w:rFonts w:ascii="宋体" w:eastAsia="宋体" w:hAnsi="宋体"/>
          <w:kern w:val="2"/>
          <w:sz w:val="21"/>
          <w:szCs w:val="21"/>
          <w:lang w:eastAsia="zh-CN"/>
        </w:rPr>
      </w:pPr>
    </w:p>
    <w:p>
      <w:pPr>
        <w:keepNext/>
        <w:keepLines/>
        <w:widowControl w:val="0"/>
        <w:spacing w:before="340" w:after="330" w:line="360" w:lineRule="auto"/>
        <w:jc w:val="center"/>
        <w:outlineLvl w:val="0"/>
        <w:rPr>
          <w:rFonts w:ascii="宋体" w:eastAsia="黑体" w:hAnsi="宋体"/>
          <w:b/>
          <w:bCs/>
          <w:kern w:val="44"/>
          <w:szCs w:val="44"/>
          <w:lang w:eastAsia="zh-CN"/>
        </w:rPr>
      </w:pPr>
      <w:r>
        <w:rPr>
          <w:rFonts w:ascii="宋体" w:eastAsia="黑体" w:hAnsi="宋体"/>
          <w:b/>
          <w:bCs/>
          <w:kern w:val="44"/>
          <w:sz w:val="28"/>
          <w:szCs w:val="44"/>
          <w:lang w:eastAsia="zh-CN"/>
        </w:rPr>
        <w:br w:type="page"/>
      </w:r>
      <w:bookmarkStart w:id="3" w:name="bt合同条款"/>
      <w:bookmarkEnd w:id="3"/>
      <w:bookmarkStart w:id="4" w:name="合同格式"/>
      <w:bookmarkEnd w:id="4"/>
      <w:bookmarkStart w:id="5" w:name="bt技术标投标文件格式"/>
      <w:bookmarkEnd w:id="5"/>
      <w:bookmarkStart w:id="6" w:name="bt说明"/>
      <w:bookmarkEnd w:id="6"/>
      <w:bookmarkStart w:id="7" w:name="bt合同条款及格式"/>
      <w:bookmarkEnd w:id="7"/>
      <w:bookmarkStart w:id="8" w:name="bt合同格式"/>
      <w:bookmarkEnd w:id="8"/>
      <w:bookmarkStart w:id="9" w:name="bt开标一览表"/>
      <w:bookmarkEnd w:id="9"/>
      <w:bookmarkStart w:id="10" w:name="bt其他资料2"/>
      <w:bookmarkEnd w:id="10"/>
      <w:bookmarkStart w:id="11" w:name="bt其他资料由投标人自定"/>
      <w:bookmarkEnd w:id="11"/>
      <w:bookmarkStart w:id="12" w:name="bt投标文件签署授权委托书"/>
      <w:bookmarkEnd w:id="12"/>
      <w:bookmarkStart w:id="13" w:name="bt商务标投标文件格式"/>
      <w:bookmarkEnd w:id="13"/>
      <w:bookmarkStart w:id="14" w:name="bt本工程承诺书"/>
      <w:bookmarkEnd w:id="14"/>
      <w:bookmarkStart w:id="15" w:name="bt投标报价汇总表"/>
      <w:bookmarkEnd w:id="15"/>
      <w:bookmarkStart w:id="16" w:name="bt投标人须知"/>
      <w:bookmarkEnd w:id="16"/>
      <w:bookmarkStart w:id="17" w:name="bt投标函"/>
      <w:bookmarkEnd w:id="17"/>
      <w:bookmarkStart w:id="18" w:name="bt投标人情况介绍"/>
      <w:bookmarkEnd w:id="18"/>
      <w:bookmarkStart w:id="19" w:name="bt项目管理班子配备情况"/>
      <w:bookmarkEnd w:id="19"/>
      <w:r>
        <w:rPr>
          <w:rFonts w:ascii="宋体" w:eastAsia="黑体" w:hAnsi="宋体" w:hint="eastAsia"/>
          <w:b/>
          <w:bCs/>
          <w:kern w:val="44"/>
          <w:sz w:val="28"/>
          <w:szCs w:val="44"/>
          <w:lang w:eastAsia="zh-CN"/>
        </w:rPr>
        <w:t>第一册  专用条款</w:t>
      </w:r>
    </w:p>
    <w:p>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第一章  招标公告</w:t>
      </w:r>
    </w:p>
    <w:p>
      <w:pPr>
        <w:widowControl w:val="0"/>
        <w:spacing w:line="360" w:lineRule="auto"/>
        <w:jc w:val="both"/>
        <w:rPr>
          <w:rFonts w:ascii="宋体" w:eastAsia="宋体" w:hAnsi="宋体" w:cs="宋体"/>
          <w:b/>
          <w:bCs/>
          <w:sz w:val="21"/>
          <w:szCs w:val="21"/>
          <w:lang w:eastAsia="zh-CN"/>
        </w:rPr>
      </w:pPr>
      <w:r>
        <w:rPr>
          <w:rFonts w:ascii="宋体" w:eastAsia="宋体" w:hAnsi="宋体" w:cs="宋体" w:hint="eastAsia"/>
          <w:b/>
          <w:bCs/>
          <w:sz w:val="21"/>
          <w:szCs w:val="21"/>
          <w:lang w:eastAsia="zh-CN"/>
        </w:rPr>
        <w:t>申请人的资格要求：</w:t>
      </w:r>
    </w:p>
    <w:p>
      <w:pPr>
        <w:widowControl w:val="0"/>
        <w:spacing w:line="276" w:lineRule="auto"/>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1.</w:t>
      </w:r>
      <w:bookmarkStart w:id="20" w:name="_Hlk72162904"/>
      <w:r>
        <w:rPr>
          <w:rFonts w:ascii="Calibri" w:eastAsia="宋体" w:hAnsi="Calibri" w:cstheme="minorBidi" w:hint="eastAsia"/>
          <w:kern w:val="2"/>
          <w:sz w:val="21"/>
          <w:szCs w:val="22"/>
          <w:lang w:eastAsia="zh-CN"/>
        </w:rPr>
        <w:t>具有独立承担民事责任的能力（提供营业执照或事业单位法人证书等证明资料扫描件；分支机构参与投标的，须同时提供总公司授权文件且授权书载明其民事责任由总公司承担，提供总公司及分支机构的营业执照扫描件，总公司或者分支机构只允许一家投标，不允许同时参与本项目投标）</w:t>
      </w:r>
      <w:r>
        <w:rPr>
          <w:rFonts w:ascii="Calibri" w:eastAsia="宋体" w:hAnsi="Calibri" w:cstheme="minorBidi" w:hint="eastAsia"/>
          <w:kern w:val="2"/>
          <w:sz w:val="21"/>
          <w:szCs w:val="22"/>
          <w:lang w:eastAsia="zh-CN"/>
        </w:rPr>
        <w:t>；</w:t>
      </w:r>
      <w:bookmarkEnd w:id="20"/>
    </w:p>
    <w:p>
      <w:pPr>
        <w:widowControl w:val="0"/>
        <w:spacing w:line="276" w:lineRule="auto"/>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2.</w:t>
      </w:r>
      <w:r>
        <w:rPr>
          <w:rFonts w:ascii="宋体" w:eastAsia="宋体" w:hAnsi="宋体" w:cs="宋体" w:hint="eastAsia"/>
          <w:sz w:val="21"/>
          <w:szCs w:val="21"/>
          <w:lang w:eastAsia="zh-CN"/>
        </w:rPr>
        <w:t>本项目不接受联合体投标，不接受投标人选用进口产品参与投标</w:t>
      </w:r>
      <w:r>
        <w:rPr>
          <w:rFonts w:ascii="宋体" w:eastAsia="宋体" w:hAnsi="宋体" w:cs="宋体" w:hint="eastAsia"/>
          <w:sz w:val="21"/>
          <w:szCs w:val="21"/>
          <w:lang w:eastAsia="zh-CN"/>
        </w:rPr>
        <w:t>；</w:t>
      </w:r>
    </w:p>
    <w:p>
      <w:pPr>
        <w:widowControl w:val="0"/>
        <w:spacing w:line="276" w:lineRule="auto"/>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3.参与本项目政府采购活动时不存在被有关部门禁止参与政府采购活动且在有效期内的情况（由供应商在《政府采购投标及履约承诺函》中作出声明）；</w:t>
      </w:r>
    </w:p>
    <w:p>
      <w:pPr>
        <w:widowControl w:val="0"/>
        <w:spacing w:line="276" w:lineRule="auto"/>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4.具备《中华人民共和国政府采购法》第二十二条第一款的条件（由供应商在《政府采购投标及履约承诺函》中作出声明）；</w:t>
      </w:r>
    </w:p>
    <w:p>
      <w:pPr>
        <w:widowControl w:val="0"/>
        <w:spacing w:line="276" w:lineRule="auto"/>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5.未被列入失信被执行人、重大税收违法案件当事人名单、政府采购严重违法失信行为记录名单（由供应商在《政府采购投标及履约承诺函》中作出声明）；</w:t>
      </w:r>
    </w:p>
    <w:p>
      <w:pPr>
        <w:widowControl w:val="0"/>
        <w:spacing w:line="276" w:lineRule="auto"/>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6.</w:t>
      </w:r>
      <w:r>
        <w:rPr>
          <w:rFonts w:ascii="宋体" w:eastAsia="宋体" w:hAnsi="宋体" w:cs="宋体" w:hint="eastAsia"/>
          <w:sz w:val="21"/>
          <w:szCs w:val="21"/>
          <w:lang w:eastAsia="zh-CN"/>
        </w:rPr>
        <w:t>不存在《深圳市财政局政府采购供应商信用信息管理办法》（深财规〔2023〕3号）列明的严重违法失信行为（由供应商在《政府采购投标及履约承诺函》中作出声明）；</w:t>
      </w:r>
    </w:p>
    <w:p>
      <w:pPr>
        <w:widowControl w:val="0"/>
        <w:spacing w:line="276" w:lineRule="auto"/>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7.为采购项目提供整体设计、规范编制或者项目管理、监理、检测等服务的供应商，不得再参加该采购项目的其他采购活动（由供应商在《政府采购投标及履约承诺函》中作出声明）；</w:t>
      </w:r>
    </w:p>
    <w:p>
      <w:pPr>
        <w:widowControl w:val="0"/>
        <w:spacing w:line="276" w:lineRule="auto"/>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8.</w:t>
      </w:r>
      <w:r>
        <w:rPr>
          <w:rFonts w:ascii="宋体" w:eastAsia="宋体" w:hAnsi="宋体" w:cs="宋体" w:hint="eastAsia"/>
          <w:sz w:val="21"/>
          <w:szCs w:val="21"/>
          <w:lang w:eastAsia="zh-CN"/>
        </w:rPr>
        <w:t>本项目是（否）专门面向中小企业采购：否。</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9.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并加盖供应商公章，格式见第四章 投标文件组成要求及格式-《供应商基本情况表》，如供应商存在未提供《供应商基本情况表》或所提供《供应商基本情况表》不符合采购文件要求的情形，按资格审查不通过处理）。</w:t>
      </w:r>
    </w:p>
    <w:p>
      <w:pPr>
        <w:widowControl w:val="0"/>
        <w:spacing w:after="120"/>
        <w:ind w:firstLine="420" w:firstLineChars="200"/>
        <w:jc w:val="both"/>
        <w:rPr>
          <w:rFonts w:ascii="宋体" w:eastAsia="宋体" w:hAnsi="宋体" w:cs="宋体"/>
          <w:color w:val="FF0000"/>
          <w:sz w:val="21"/>
          <w:szCs w:val="21"/>
          <w:lang w:eastAsia="zh-CN"/>
        </w:rPr>
      </w:pPr>
      <w:r>
        <w:rPr>
          <w:rFonts w:ascii="宋体" w:eastAsia="宋体" w:hAnsi="宋体" w:cs="宋体" w:hint="eastAsia"/>
          <w:b/>
          <w:bCs/>
          <w:color w:val="FF0000"/>
          <w:sz w:val="21"/>
          <w:szCs w:val="21"/>
          <w:lang w:eastAsia="zh-CN"/>
        </w:rPr>
        <w:t>10.</w:t>
      </w:r>
      <w:r>
        <w:rPr>
          <w:rFonts w:ascii="宋体" w:eastAsia="宋体" w:hAnsi="宋体" w:cs="宋体" w:hint="eastAsia"/>
          <w:b/>
          <w:bCs/>
          <w:color w:val="FF0000"/>
          <w:sz w:val="21"/>
          <w:szCs w:val="21"/>
          <w:lang w:eastAsia="zh-CN"/>
        </w:rPr>
        <w:t>投标人必须具有</w:t>
      </w:r>
      <w:r>
        <w:rPr>
          <w:rFonts w:ascii="宋体" w:eastAsia="宋体" w:hAnsi="宋体" w:cs="宋体" w:hint="eastAsia"/>
          <w:b/>
          <w:bCs/>
          <w:color w:val="FF0000"/>
          <w:sz w:val="21"/>
          <w:szCs w:val="21"/>
          <w:lang w:eastAsia="zh-CN"/>
        </w:rPr>
        <w:t>以下2类证书：（1）</w:t>
      </w:r>
      <w:r>
        <w:rPr>
          <w:rFonts w:ascii="宋体" w:eastAsia="宋体" w:hAnsi="宋体" w:cs="宋体" w:hint="eastAsia"/>
          <w:b/>
          <w:bCs/>
          <w:color w:val="FF0000"/>
          <w:sz w:val="21"/>
          <w:szCs w:val="21"/>
          <w:lang w:eastAsia="zh-CN"/>
        </w:rPr>
        <w:t>建筑工程施工总承包三级及以上（含本级）资质或建筑装修装饰工程专业承包三级及以上（含本级）资质（提供有效期内资质证书扫描件）</w:t>
      </w:r>
      <w:r>
        <w:rPr>
          <w:rFonts w:ascii="宋体" w:eastAsia="宋体" w:hAnsi="宋体" w:cs="宋体" w:hint="eastAsia"/>
          <w:b/>
          <w:bCs/>
          <w:color w:val="FF0000"/>
          <w:sz w:val="21"/>
          <w:szCs w:val="21"/>
          <w:lang w:eastAsia="zh-CN"/>
        </w:rPr>
        <w:t>；（</w:t>
      </w:r>
      <w:r>
        <w:rPr>
          <w:rFonts w:ascii="宋体" w:eastAsia="宋体" w:hAnsi="宋体" w:cs="宋体" w:hint="eastAsia"/>
          <w:b/>
          <w:bCs/>
          <w:color w:val="FF0000"/>
          <w:sz w:val="21"/>
          <w:szCs w:val="21"/>
          <w:lang w:eastAsia="zh-CN"/>
        </w:rPr>
        <w:t>2</w:t>
      </w:r>
      <w:r>
        <w:rPr>
          <w:rFonts w:ascii="宋体" w:eastAsia="宋体" w:hAnsi="宋体" w:cs="宋体" w:hint="eastAsia"/>
          <w:b/>
          <w:bCs/>
          <w:color w:val="FF0000"/>
          <w:sz w:val="21"/>
          <w:szCs w:val="21"/>
          <w:lang w:eastAsia="zh-CN"/>
        </w:rPr>
        <w:t>）</w:t>
      </w:r>
      <w:r>
        <w:rPr>
          <w:rFonts w:ascii="宋体" w:eastAsia="宋体" w:hAnsi="宋体" w:cs="宋体" w:hint="eastAsia"/>
          <w:b/>
          <w:bCs/>
          <w:color w:val="FF0000"/>
          <w:sz w:val="21"/>
          <w:szCs w:val="21"/>
          <w:lang w:eastAsia="zh-CN"/>
        </w:rPr>
        <w:t>安全生产许可证（提供有效期内证书扫描件）。</w:t>
      </w:r>
    </w:p>
    <w:p>
      <w:pPr>
        <w:widowControl w:val="0"/>
        <w:spacing w:line="276" w:lineRule="auto"/>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注：</w:t>
      </w:r>
      <w:r>
        <w:rPr>
          <w:rFonts w:ascii="宋体" w:eastAsia="宋体" w:hAnsi="宋体" w:cs="宋体" w:hint="eastAsia"/>
          <w:sz w:val="21"/>
          <w:szCs w:val="21"/>
          <w:lang w:eastAsia="zh-CN"/>
        </w:rPr>
        <w:t>（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widowControl w:val="0"/>
        <w:ind w:firstLine="420" w:firstLineChars="200"/>
        <w:jc w:val="both"/>
        <w:rPr>
          <w:rFonts w:ascii="宋体" w:eastAsia="宋体" w:hAnsi="宋体" w:cs="宋体"/>
          <w:sz w:val="21"/>
          <w:szCs w:val="21"/>
          <w:lang w:eastAsia="zh-CN"/>
        </w:rPr>
      </w:pPr>
      <w:r>
        <w:rPr>
          <w:rFonts w:ascii="宋体" w:eastAsia="宋体" w:hAnsi="宋体" w:cs="宋体" w:hint="eastAsia"/>
          <w:sz w:val="21"/>
          <w:szCs w:val="21"/>
          <w:lang w:eastAsia="zh-CN"/>
        </w:rPr>
        <w:t>（2）供应商</w:t>
      </w:r>
      <w:bookmarkStart w:id="21" w:name="_Hlk72353022"/>
      <w:r>
        <w:rPr>
          <w:rFonts w:ascii="宋体" w:eastAsia="宋体" w:hAnsi="宋体" w:cs="宋体" w:hint="eastAsia"/>
          <w:sz w:val="21"/>
          <w:szCs w:val="21"/>
          <w:lang w:eastAsia="zh-CN"/>
        </w:rPr>
        <w:t>投标（上传投标文件）</w:t>
      </w:r>
      <w:bookmarkEnd w:id="21"/>
      <w:r>
        <w:rPr>
          <w:rFonts w:ascii="宋体" w:eastAsia="宋体" w:hAnsi="宋体" w:cs="宋体" w:hint="eastAsia"/>
          <w:sz w:val="21"/>
          <w:szCs w:val="21"/>
          <w:lang w:eastAsia="zh-CN"/>
        </w:rPr>
        <w:t>必须先行办理注册手续，具体</w:t>
      </w:r>
      <w:r>
        <w:rPr>
          <w:rFonts w:ascii="宋体" w:eastAsia="宋体" w:hAnsi="宋体" w:cstheme="minorBidi" w:hint="eastAsia"/>
          <w:kern w:val="2"/>
          <w:sz w:val="21"/>
          <w:szCs w:val="22"/>
          <w:lang w:eastAsia="zh-CN"/>
        </w:rPr>
        <w:t>操作指引请按照深圳公共资源交易网/交易服务指南/政府采购/资料下载/深圳政府采购自行采购系统用户操作指引（供应商）相关内容指引办理。</w:t>
      </w:r>
    </w:p>
    <w:p>
      <w:pPr>
        <w:widowControl w:val="0"/>
        <w:spacing w:line="276" w:lineRule="auto"/>
        <w:ind w:firstLine="420" w:firstLineChars="200"/>
        <w:jc w:val="left"/>
        <w:rPr>
          <w:rFonts w:ascii="宋体" w:eastAsia="宋体" w:hAnsi="宋体" w:cs="宋体"/>
          <w:sz w:val="21"/>
          <w:szCs w:val="21"/>
          <w:lang w:eastAsia="zh-CN"/>
        </w:rPr>
      </w:pPr>
    </w:p>
    <w:p>
      <w:pPr>
        <w:widowControl w:val="0"/>
        <w:jc w:val="left"/>
        <w:rPr>
          <w:rFonts w:eastAsia="宋体"/>
          <w:b/>
          <w:bCs/>
          <w:kern w:val="2"/>
          <w:sz w:val="28"/>
          <w:szCs w:val="28"/>
          <w:lang w:eastAsia="zh-CN"/>
        </w:rPr>
      </w:pPr>
      <w:r>
        <w:rPr>
          <w:rFonts w:ascii="宋体" w:eastAsia="宋体" w:hAnsi="宋体" w:cs="宋体" w:hint="eastAsia"/>
          <w:b/>
          <w:bCs/>
          <w:color w:val="0000FF"/>
          <w:kern w:val="2"/>
          <w:sz w:val="21"/>
          <w:szCs w:val="21"/>
          <w:lang w:eastAsia="zh-CN"/>
        </w:rPr>
        <w:t>完整公告内容详见：</w:t>
      </w:r>
      <w:r>
        <w:rPr>
          <w:rFonts w:ascii="Calibri" w:eastAsia="宋体" w:hAnsi="Calibri" w:cstheme="minorBidi" w:hint="eastAsia"/>
          <w:kern w:val="2"/>
          <w:sz w:val="22"/>
          <w:szCs w:val="18"/>
          <w:lang w:eastAsia="zh-CN"/>
        </w:rPr>
        <w:t>深圳交易集团（深圳公共资源交易中心）官网https://www.szexgrp.com/jyfw/zfcg-view.html?id=zfcg</w:t>
      </w:r>
    </w:p>
    <w:p>
      <w:pPr>
        <w:widowControl w:val="0"/>
        <w:jc w:val="both"/>
        <w:rPr>
          <w:rFonts w:eastAsia="宋体"/>
          <w:kern w:val="2"/>
          <w:sz w:val="21"/>
          <w:lang w:eastAsia="zh-CN"/>
        </w:rPr>
      </w:pPr>
      <w:r>
        <w:rPr>
          <w:rFonts w:eastAsia="宋体" w:hint="eastAsia"/>
          <w:kern w:val="2"/>
          <w:sz w:val="21"/>
          <w:lang w:eastAsia="zh-CN"/>
        </w:rPr>
        <w:br w:type="page"/>
      </w:r>
    </w:p>
    <w:p>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第二章  对通用条款的补充内容及其他关键信息</w:t>
      </w:r>
    </w:p>
    <w:p>
      <w:pPr>
        <w:keepNext/>
        <w:keepLines/>
        <w:widowControl w:val="0"/>
        <w:adjustRightInd w:val="0"/>
        <w:spacing w:before="120" w:beforeLines="50" w:after="120" w:afterLines="50"/>
        <w:jc w:val="center"/>
        <w:textAlignment w:val="baseline"/>
        <w:outlineLvl w:val="1"/>
        <w:rPr>
          <w:rFonts w:ascii="宋体" w:eastAsia="宋体" w:hAnsi="宋体"/>
          <w:b/>
          <w:bCs/>
          <w:sz w:val="28"/>
          <w:szCs w:val="28"/>
          <w:lang w:eastAsia="zh-CN"/>
        </w:rPr>
      </w:pPr>
      <w:bookmarkStart w:id="22" w:name="_Toc60560625"/>
      <w:bookmarkStart w:id="23" w:name="_Toc73517639"/>
      <w:bookmarkStart w:id="24" w:name="_Toc101074876"/>
      <w:bookmarkStart w:id="25" w:name="_Toc60631620"/>
      <w:bookmarkStart w:id="26" w:name="_Toc73521635"/>
      <w:bookmarkStart w:id="27" w:name="_Toc73518117"/>
      <w:bookmarkStart w:id="28" w:name="_Toc73521547"/>
      <w:bookmarkStart w:id="29" w:name="_Toc100052364"/>
      <w:r>
        <w:rPr>
          <w:rFonts w:ascii="宋体" w:eastAsia="宋体" w:hAnsi="宋体" w:hint="eastAsia"/>
          <w:b/>
          <w:bCs/>
          <w:lang w:eastAsia="zh-CN"/>
        </w:rPr>
        <w:t>一、对通用条款的补充内容</w:t>
      </w:r>
    </w:p>
    <w:bookmarkEnd w:id="22"/>
    <w:bookmarkEnd w:id="23"/>
    <w:bookmarkEnd w:id="24"/>
    <w:bookmarkEnd w:id="25"/>
    <w:bookmarkEnd w:id="26"/>
    <w:bookmarkEnd w:id="27"/>
    <w:bookmarkEnd w:id="28"/>
    <w:bookmarkEnd w:id="29"/>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1061"/>
        <w:gridCol w:w="2614"/>
        <w:gridCol w:w="5403"/>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8" w:type="dxa"/>
            <w:vAlign w:val="center"/>
          </w:tcPr>
          <w:p>
            <w:pPr>
              <w:widowControl w:val="0"/>
              <w:spacing w:line="300" w:lineRule="exact"/>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通用条款序号</w:t>
            </w:r>
          </w:p>
        </w:tc>
        <w:tc>
          <w:tcPr>
            <w:tcW w:w="2409" w:type="dxa"/>
            <w:vAlign w:val="center"/>
          </w:tcPr>
          <w:p>
            <w:pPr>
              <w:widowControl w:val="0"/>
              <w:spacing w:line="300" w:lineRule="exact"/>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涉及事项</w:t>
            </w:r>
          </w:p>
        </w:tc>
        <w:tc>
          <w:tcPr>
            <w:tcW w:w="4980" w:type="dxa"/>
            <w:vAlign w:val="center"/>
          </w:tcPr>
          <w:p>
            <w:pPr>
              <w:widowControl w:val="0"/>
              <w:spacing w:line="300" w:lineRule="exact"/>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具  体  补  充  内  容</w:t>
            </w:r>
          </w:p>
        </w:tc>
      </w:tr>
      <w:tr>
        <w:tblPrEx>
          <w:tblW w:w="5000" w:type="pct"/>
          <w:jc w:val="center"/>
          <w:tblLayout w:type="fixed"/>
          <w:tblCellMar>
            <w:top w:w="0" w:type="dxa"/>
            <w:left w:w="108" w:type="dxa"/>
            <w:bottom w:w="0" w:type="dxa"/>
            <w:right w:w="108" w:type="dxa"/>
          </w:tblCellMar>
        </w:tblPrEx>
        <w:trPr>
          <w:cantSplit/>
          <w:trHeight w:val="20"/>
          <w:jc w:val="center"/>
        </w:trPr>
        <w:tc>
          <w:tcPr>
            <w:tcW w:w="8367" w:type="dxa"/>
            <w:gridSpan w:val="3"/>
            <w:vAlign w:val="center"/>
          </w:tcPr>
          <w:p>
            <w:pPr>
              <w:widowControl w:val="0"/>
              <w:spacing w:line="300" w:lineRule="exact"/>
              <w:jc w:val="center"/>
              <w:rPr>
                <w:rFonts w:ascii="宋体" w:eastAsia="宋体" w:hAnsi="宋体" w:cs="宋体"/>
                <w:color w:val="0000FF"/>
                <w:kern w:val="2"/>
                <w:sz w:val="21"/>
                <w:szCs w:val="21"/>
                <w:highlight w:val="yellow"/>
                <w:lang w:eastAsia="zh-CN"/>
              </w:rPr>
            </w:pPr>
            <w:r>
              <w:rPr>
                <w:rFonts w:ascii="Calibri" w:eastAsia="宋体" w:hAnsi="Calibri" w:cstheme="minorBidi" w:hint="eastAsia"/>
                <w:kern w:val="2"/>
                <w:sz w:val="21"/>
                <w:szCs w:val="22"/>
                <w:lang w:eastAsia="zh-CN"/>
              </w:rPr>
              <w:t>本项目为自行采购项目，相关事宜按照招标文件要求及采购单位内控制度执行。</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3.1</w:t>
            </w:r>
          </w:p>
        </w:tc>
        <w:tc>
          <w:tcPr>
            <w:tcW w:w="2409" w:type="dxa"/>
            <w:vAlign w:val="center"/>
          </w:tcPr>
          <w:p>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采购人</w:t>
            </w:r>
          </w:p>
        </w:tc>
        <w:tc>
          <w:tcPr>
            <w:tcW w:w="4980" w:type="dxa"/>
            <w:vAlign w:val="center"/>
          </w:tcPr>
          <w:p>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深圳市南山区妇幼保健院</w:t>
            </w:r>
          </w:p>
        </w:tc>
      </w:tr>
      <w:tr>
        <w:tblPrEx>
          <w:tblW w:w="5000" w:type="pct"/>
          <w:jc w:val="center"/>
          <w:tblLayout w:type="fixed"/>
          <w:tblCellMar>
            <w:top w:w="0" w:type="dxa"/>
            <w:left w:w="108" w:type="dxa"/>
            <w:bottom w:w="0" w:type="dxa"/>
            <w:right w:w="108" w:type="dxa"/>
          </w:tblCellMar>
        </w:tblPrEx>
        <w:trPr>
          <w:cantSplit/>
          <w:trHeight w:val="90"/>
          <w:jc w:val="center"/>
        </w:trPr>
        <w:tc>
          <w:tcPr>
            <w:tcW w:w="978" w:type="dxa"/>
            <w:vAlign w:val="center"/>
          </w:tcPr>
          <w:p>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3.2</w:t>
            </w:r>
          </w:p>
        </w:tc>
        <w:tc>
          <w:tcPr>
            <w:tcW w:w="2409" w:type="dxa"/>
            <w:vAlign w:val="center"/>
          </w:tcPr>
          <w:p>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政府集中采购机构</w:t>
            </w:r>
          </w:p>
        </w:tc>
        <w:tc>
          <w:tcPr>
            <w:tcW w:w="4980" w:type="dxa"/>
            <w:vAlign w:val="center"/>
          </w:tcPr>
          <w:p>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深圳公共资源交易中心</w:t>
            </w:r>
          </w:p>
          <w:p>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w:t>
            </w:r>
            <w:r>
              <w:rPr>
                <w:rFonts w:ascii="宋体" w:eastAsia="宋体" w:hAnsi="宋体" w:cs="宋体" w:hint="eastAsia"/>
                <w:color w:val="0000FF"/>
                <w:kern w:val="2"/>
                <w:sz w:val="21"/>
                <w:szCs w:val="21"/>
                <w:lang w:eastAsia="zh-CN"/>
              </w:rPr>
              <w:t>深圳交易集团有限公司南山分公司</w:t>
            </w:r>
            <w:r>
              <w:rPr>
                <w:rFonts w:ascii="宋体" w:eastAsia="宋体" w:hAnsi="宋体" w:cs="宋体" w:hint="eastAsia"/>
                <w:kern w:val="2"/>
                <w:sz w:val="21"/>
                <w:szCs w:val="21"/>
                <w:lang w:eastAsia="zh-CN"/>
              </w:rPr>
              <w:t>）</w:t>
            </w:r>
          </w:p>
        </w:tc>
      </w:tr>
      <w:tr>
        <w:tblPrEx>
          <w:tblW w:w="5000" w:type="pct"/>
          <w:jc w:val="center"/>
          <w:tblLayout w:type="fixed"/>
          <w:tblCellMar>
            <w:top w:w="0" w:type="dxa"/>
            <w:left w:w="108" w:type="dxa"/>
            <w:bottom w:w="0" w:type="dxa"/>
            <w:right w:w="108" w:type="dxa"/>
          </w:tblCellMar>
        </w:tblPrEx>
        <w:trPr>
          <w:cantSplit/>
          <w:trHeight w:val="575"/>
          <w:jc w:val="center"/>
        </w:trPr>
        <w:tc>
          <w:tcPr>
            <w:tcW w:w="978" w:type="dxa"/>
            <w:vAlign w:val="center"/>
          </w:tcPr>
          <w:p>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9</w:t>
            </w:r>
          </w:p>
        </w:tc>
        <w:tc>
          <w:tcPr>
            <w:tcW w:w="2409" w:type="dxa"/>
            <w:vAlign w:val="center"/>
          </w:tcPr>
          <w:p>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踏勘现场</w:t>
            </w:r>
          </w:p>
        </w:tc>
        <w:tc>
          <w:tcPr>
            <w:tcW w:w="4980" w:type="dxa"/>
            <w:vAlign w:val="center"/>
          </w:tcPr>
          <w:p>
            <w:pPr>
              <w:widowControl w:val="0"/>
              <w:spacing w:line="300" w:lineRule="exact"/>
              <w:jc w:val="center"/>
              <w:rPr>
                <w:rFonts w:ascii="宋体" w:eastAsia="宋体" w:hAnsi="宋体" w:cs="宋体"/>
                <w:kern w:val="2"/>
                <w:sz w:val="21"/>
                <w:szCs w:val="21"/>
                <w:lang w:eastAsia="zh-CN"/>
              </w:rPr>
            </w:pPr>
            <w:r>
              <w:rPr>
                <w:rFonts w:ascii="Wingdings 2" w:eastAsia="宋体" w:hAnsi="Wingdings 2" w:cs="宋体"/>
                <w:kern w:val="2"/>
                <w:sz w:val="21"/>
                <w:szCs w:val="21"/>
                <w:lang w:eastAsia="zh-CN"/>
              </w:rPr>
              <w:sym w:font="Wingdings 2" w:char="F052"/>
            </w:r>
            <w:r>
              <w:rPr>
                <w:rFonts w:ascii="宋体" w:eastAsia="宋体" w:hAnsi="宋体" w:cs="宋体" w:hint="eastAsia"/>
                <w:kern w:val="2"/>
                <w:sz w:val="21"/>
                <w:szCs w:val="21"/>
                <w:lang w:eastAsia="zh-CN"/>
              </w:rPr>
              <w:t xml:space="preserve">不组织   </w:t>
            </w:r>
            <w:r>
              <w:rPr>
                <w:rFonts w:ascii="Wingdings 2" w:eastAsia="宋体" w:hAnsi="Wingdings 2" w:cs="宋体"/>
                <w:kern w:val="2"/>
                <w:sz w:val="21"/>
                <w:szCs w:val="21"/>
                <w:lang w:eastAsia="zh-CN"/>
              </w:rPr>
              <w:sym w:font="Wingdings 2" w:char="F0A3"/>
            </w:r>
            <w:r>
              <w:rPr>
                <w:rFonts w:ascii="宋体" w:eastAsia="宋体" w:hAnsi="宋体" w:cs="宋体" w:hint="eastAsia"/>
                <w:kern w:val="2"/>
                <w:sz w:val="21"/>
                <w:szCs w:val="21"/>
                <w:lang w:eastAsia="zh-CN"/>
              </w:rPr>
              <w:t>组织</w:t>
            </w:r>
          </w:p>
          <w:p>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具体见其他关键信息章节</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w:t>
            </w:r>
          </w:p>
        </w:tc>
        <w:tc>
          <w:tcPr>
            <w:tcW w:w="2409" w:type="dxa"/>
            <w:vAlign w:val="center"/>
          </w:tcPr>
          <w:p>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标前会议</w:t>
            </w:r>
          </w:p>
        </w:tc>
        <w:tc>
          <w:tcPr>
            <w:tcW w:w="4980" w:type="dxa"/>
            <w:vAlign w:val="center"/>
          </w:tcPr>
          <w:p>
            <w:pPr>
              <w:widowControl w:val="0"/>
              <w:spacing w:line="300" w:lineRule="exact"/>
              <w:jc w:val="center"/>
              <w:rPr>
                <w:rFonts w:ascii="宋体" w:eastAsia="宋体" w:hAnsi="宋体" w:cs="宋体"/>
                <w:kern w:val="2"/>
                <w:sz w:val="21"/>
                <w:szCs w:val="21"/>
                <w:lang w:eastAsia="zh-CN"/>
              </w:rPr>
            </w:pPr>
            <w:r>
              <w:rPr>
                <w:rFonts w:ascii="Wingdings 2" w:eastAsia="宋体" w:hAnsi="Wingdings 2" w:cs="宋体"/>
                <w:kern w:val="2"/>
                <w:sz w:val="21"/>
                <w:szCs w:val="21"/>
                <w:lang w:eastAsia="zh-CN"/>
              </w:rPr>
              <w:sym w:font="Wingdings 2" w:char="F052"/>
            </w:r>
            <w:r>
              <w:rPr>
                <w:rFonts w:ascii="宋体" w:eastAsia="宋体" w:hAnsi="宋体" w:cs="宋体" w:hint="eastAsia"/>
                <w:kern w:val="2"/>
                <w:sz w:val="21"/>
                <w:szCs w:val="21"/>
                <w:lang w:eastAsia="zh-CN"/>
              </w:rPr>
              <w:t xml:space="preserve">不组织   </w:t>
            </w:r>
            <w:r>
              <w:rPr>
                <w:rFonts w:ascii="Wingdings 2" w:eastAsia="宋体" w:hAnsi="Wingdings 2" w:cs="宋体"/>
                <w:kern w:val="2"/>
                <w:sz w:val="21"/>
                <w:szCs w:val="21"/>
                <w:lang w:eastAsia="zh-CN"/>
              </w:rPr>
              <w:sym w:font="Wingdings 2" w:char="F0A3"/>
            </w:r>
            <w:r>
              <w:rPr>
                <w:rFonts w:ascii="宋体" w:eastAsia="宋体" w:hAnsi="宋体" w:cs="宋体" w:hint="eastAsia"/>
                <w:kern w:val="2"/>
                <w:sz w:val="21"/>
                <w:szCs w:val="21"/>
                <w:lang w:eastAsia="zh-CN"/>
              </w:rPr>
              <w:t>组织</w:t>
            </w:r>
          </w:p>
          <w:p>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具体见其他关键信息章节</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12/13</w:t>
            </w:r>
          </w:p>
        </w:tc>
        <w:tc>
          <w:tcPr>
            <w:tcW w:w="2409" w:type="dxa"/>
            <w:vAlign w:val="center"/>
          </w:tcPr>
          <w:p>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招标文件的澄清和修改</w:t>
            </w:r>
          </w:p>
        </w:tc>
        <w:tc>
          <w:tcPr>
            <w:tcW w:w="4980" w:type="dxa"/>
            <w:vAlign w:val="center"/>
          </w:tcPr>
          <w:p>
            <w:pPr>
              <w:widowControl w:val="0"/>
              <w:spacing w:line="300" w:lineRule="exact"/>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投标截止日三日前，投标人有义务在招标期间在政府集中采购机构网站浏览与本项目有关的澄清和修改信息</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20</w:t>
            </w:r>
          </w:p>
        </w:tc>
        <w:tc>
          <w:tcPr>
            <w:tcW w:w="2409" w:type="dxa"/>
            <w:vAlign w:val="center"/>
          </w:tcPr>
          <w:p>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投标有效期</w:t>
            </w:r>
          </w:p>
        </w:tc>
        <w:tc>
          <w:tcPr>
            <w:tcW w:w="4980" w:type="dxa"/>
            <w:vAlign w:val="center"/>
          </w:tcPr>
          <w:p>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120个日历日</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22</w:t>
            </w:r>
          </w:p>
        </w:tc>
        <w:tc>
          <w:tcPr>
            <w:tcW w:w="2409" w:type="dxa"/>
            <w:vAlign w:val="center"/>
          </w:tcPr>
          <w:p>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投标人的替代方案</w:t>
            </w:r>
          </w:p>
        </w:tc>
        <w:tc>
          <w:tcPr>
            <w:tcW w:w="4980" w:type="dxa"/>
            <w:vAlign w:val="center"/>
          </w:tcPr>
          <w:p>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25</w:t>
            </w:r>
          </w:p>
        </w:tc>
        <w:tc>
          <w:tcPr>
            <w:tcW w:w="2409" w:type="dxa"/>
            <w:vAlign w:val="center"/>
          </w:tcPr>
          <w:p>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投标文件的大小</w:t>
            </w:r>
          </w:p>
        </w:tc>
        <w:tc>
          <w:tcPr>
            <w:tcW w:w="4980" w:type="dxa"/>
            <w:vAlign w:val="center"/>
          </w:tcPr>
          <w:p>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投标文件大小不得超过100MB</w:t>
            </w:r>
          </w:p>
        </w:tc>
      </w:tr>
      <w:tr>
        <w:tblPrEx>
          <w:tblW w:w="5000" w:type="pct"/>
          <w:jc w:val="center"/>
          <w:tblLayout w:type="fixed"/>
          <w:tblCellMar>
            <w:top w:w="0" w:type="dxa"/>
            <w:left w:w="108" w:type="dxa"/>
            <w:bottom w:w="0" w:type="dxa"/>
            <w:right w:w="108" w:type="dxa"/>
          </w:tblCellMar>
        </w:tblPrEx>
        <w:trPr>
          <w:cantSplit/>
          <w:trHeight w:val="514"/>
          <w:jc w:val="center"/>
        </w:trPr>
        <w:tc>
          <w:tcPr>
            <w:tcW w:w="978" w:type="dxa"/>
            <w:vAlign w:val="center"/>
          </w:tcPr>
          <w:p>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26</w:t>
            </w:r>
          </w:p>
        </w:tc>
        <w:tc>
          <w:tcPr>
            <w:tcW w:w="2409" w:type="dxa"/>
            <w:vAlign w:val="center"/>
          </w:tcPr>
          <w:p>
            <w:pPr>
              <w:widowControl w:val="0"/>
              <w:spacing w:line="300" w:lineRule="exact"/>
              <w:jc w:val="center"/>
              <w:rPr>
                <w:rFonts w:ascii="宋体" w:eastAsia="宋体" w:hAnsi="宋体" w:cs="宋体"/>
                <w:kern w:val="2"/>
                <w:sz w:val="21"/>
                <w:szCs w:val="21"/>
                <w:lang w:eastAsia="zh-CN"/>
              </w:rPr>
            </w:pPr>
            <w:bookmarkStart w:id="30" w:name="_Hlk71664860"/>
            <w:r>
              <w:rPr>
                <w:rFonts w:ascii="宋体" w:eastAsia="宋体" w:hAnsi="宋体" w:cs="宋体" w:hint="eastAsia"/>
                <w:kern w:val="2"/>
                <w:sz w:val="21"/>
                <w:szCs w:val="21"/>
                <w:lang w:eastAsia="zh-CN"/>
              </w:rPr>
              <w:t>样品、演示、方案讲解</w:t>
            </w:r>
            <w:bookmarkEnd w:id="30"/>
          </w:p>
        </w:tc>
        <w:tc>
          <w:tcPr>
            <w:tcW w:w="4980" w:type="dxa"/>
            <w:vAlign w:val="center"/>
          </w:tcPr>
          <w:p>
            <w:pPr>
              <w:widowControl w:val="0"/>
              <w:spacing w:line="300" w:lineRule="exact"/>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如有样品、演示、方案讲解，具体安排见第三章 用户需求书相关要求</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37</w:t>
            </w:r>
          </w:p>
        </w:tc>
        <w:tc>
          <w:tcPr>
            <w:tcW w:w="2409" w:type="dxa"/>
            <w:vAlign w:val="center"/>
          </w:tcPr>
          <w:p>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评审方法</w:t>
            </w:r>
          </w:p>
        </w:tc>
        <w:tc>
          <w:tcPr>
            <w:tcW w:w="4980" w:type="dxa"/>
            <w:vAlign w:val="center"/>
          </w:tcPr>
          <w:p>
            <w:pPr>
              <w:widowControl w:val="0"/>
              <w:spacing w:line="300" w:lineRule="exact"/>
              <w:jc w:val="left"/>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 最低价法</w:t>
            </w:r>
          </w:p>
          <w:p>
            <w:pPr>
              <w:widowControl w:val="0"/>
              <w:spacing w:line="300" w:lineRule="exact"/>
              <w:jc w:val="left"/>
              <w:rPr>
                <w:rFonts w:ascii="宋体" w:eastAsia="宋体" w:hAnsi="宋体" w:cs="宋体"/>
                <w:kern w:val="2"/>
                <w:sz w:val="21"/>
                <w:szCs w:val="21"/>
                <w:lang w:eastAsia="zh-CN"/>
              </w:rPr>
            </w:pPr>
            <w:r>
              <w:rPr>
                <w:rFonts w:ascii="Wingdings 2" w:eastAsia="宋体" w:hAnsi="Wingdings 2" w:cs="宋体"/>
                <w:bCs/>
                <w:kern w:val="2"/>
                <w:sz w:val="21"/>
                <w:szCs w:val="21"/>
                <w:lang w:eastAsia="zh-CN"/>
              </w:rPr>
              <w:sym w:font="Wingdings 2" w:char="F052"/>
            </w:r>
            <w:r>
              <w:rPr>
                <w:rFonts w:ascii="宋体" w:eastAsia="宋体" w:hAnsi="宋体" w:cs="宋体" w:hint="eastAsia"/>
                <w:bCs/>
                <w:kern w:val="2"/>
                <w:sz w:val="21"/>
                <w:szCs w:val="21"/>
                <w:lang w:eastAsia="zh-CN"/>
              </w:rPr>
              <w:t xml:space="preserve"> 综合评分法</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Merge w:val="restart"/>
            <w:vAlign w:val="center"/>
          </w:tcPr>
          <w:p>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38</w:t>
            </w:r>
          </w:p>
        </w:tc>
        <w:tc>
          <w:tcPr>
            <w:tcW w:w="2409" w:type="dxa"/>
            <w:vMerge w:val="restart"/>
            <w:vAlign w:val="center"/>
          </w:tcPr>
          <w:p>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定标方法</w:t>
            </w:r>
          </w:p>
        </w:tc>
        <w:tc>
          <w:tcPr>
            <w:tcW w:w="4980" w:type="dxa"/>
            <w:vAlign w:val="center"/>
          </w:tcPr>
          <w:p>
            <w:pPr>
              <w:widowControl w:val="0"/>
              <w:spacing w:line="300" w:lineRule="exact"/>
              <w:jc w:val="left"/>
              <w:rPr>
                <w:rFonts w:ascii="宋体" w:eastAsia="宋体" w:hAnsi="宋体" w:cs="宋体"/>
                <w:bCs/>
                <w:kern w:val="2"/>
                <w:sz w:val="21"/>
                <w:szCs w:val="21"/>
                <w:lang w:eastAsia="zh-CN"/>
              </w:rPr>
            </w:pPr>
            <w:r>
              <w:rPr>
                <w:rFonts w:ascii="Wingdings 2" w:eastAsia="宋体" w:hAnsi="Wingdings 2" w:cs="宋体"/>
                <w:bCs/>
                <w:kern w:val="2"/>
                <w:sz w:val="21"/>
                <w:szCs w:val="21"/>
                <w:lang w:eastAsia="zh-CN"/>
              </w:rPr>
              <w:sym w:font="Wingdings 2" w:char="F052"/>
            </w:r>
            <w:r>
              <w:rPr>
                <w:rFonts w:ascii="宋体" w:eastAsia="宋体" w:hAnsi="宋体" w:cs="宋体" w:hint="eastAsia"/>
                <w:bCs/>
                <w:kern w:val="2"/>
                <w:sz w:val="21"/>
                <w:szCs w:val="21"/>
                <w:lang w:eastAsia="zh-CN"/>
              </w:rPr>
              <w:t xml:space="preserve"> 非评定分离</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Merge/>
            <w:vAlign w:val="center"/>
          </w:tcPr>
          <w:p>
            <w:pPr>
              <w:widowControl w:val="0"/>
              <w:spacing w:line="300" w:lineRule="exact"/>
              <w:jc w:val="center"/>
              <w:rPr>
                <w:rFonts w:ascii="宋体" w:eastAsia="宋体" w:hAnsi="宋体" w:cs="宋体"/>
                <w:kern w:val="2"/>
                <w:sz w:val="21"/>
                <w:szCs w:val="21"/>
                <w:lang w:eastAsia="zh-CN"/>
              </w:rPr>
            </w:pPr>
          </w:p>
        </w:tc>
        <w:tc>
          <w:tcPr>
            <w:tcW w:w="2409" w:type="dxa"/>
            <w:vMerge/>
            <w:vAlign w:val="center"/>
          </w:tcPr>
          <w:p>
            <w:pPr>
              <w:widowControl w:val="0"/>
              <w:spacing w:line="300" w:lineRule="exact"/>
              <w:jc w:val="center"/>
              <w:rPr>
                <w:rFonts w:ascii="宋体" w:eastAsia="宋体" w:hAnsi="宋体" w:cs="宋体"/>
                <w:kern w:val="2"/>
                <w:sz w:val="21"/>
                <w:szCs w:val="21"/>
                <w:lang w:eastAsia="zh-CN"/>
              </w:rPr>
            </w:pPr>
          </w:p>
        </w:tc>
        <w:tc>
          <w:tcPr>
            <w:tcW w:w="4980" w:type="dxa"/>
            <w:vAlign w:val="center"/>
          </w:tcPr>
          <w:p>
            <w:pPr>
              <w:widowControl w:val="0"/>
              <w:spacing w:line="300" w:lineRule="exact"/>
              <w:jc w:val="left"/>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 评定分离</w:t>
            </w:r>
          </w:p>
          <w:p>
            <w:pPr>
              <w:widowControl w:val="0"/>
              <w:spacing w:line="300" w:lineRule="exact"/>
              <w:jc w:val="left"/>
              <w:rPr>
                <w:rFonts w:ascii="宋体" w:eastAsia="宋体" w:hAnsi="宋体" w:cs="宋体"/>
                <w:bCs/>
                <w:kern w:val="2"/>
                <w:sz w:val="21"/>
                <w:szCs w:val="21"/>
                <w:lang w:eastAsia="zh-CN"/>
              </w:rPr>
            </w:pPr>
            <w:r>
              <w:rPr>
                <w:rFonts w:ascii="宋体" w:eastAsia="宋体" w:hAnsi="宋体" w:cs="宋体" w:hint="eastAsia"/>
                <w:bCs/>
                <w:color w:val="000000"/>
                <w:kern w:val="2"/>
                <w:sz w:val="21"/>
                <w:szCs w:val="21"/>
                <w:lang w:eastAsia="zh-CN"/>
              </w:rPr>
              <w:t>本项目推荐的候选中标供应商进行/不进行排名，且中标（成交）结果信息公示内容仅公示候选中标供应商名单，不公示得分和排名。</w:t>
            </w:r>
          </w:p>
        </w:tc>
      </w:tr>
      <w:tr>
        <w:tblPrEx>
          <w:tblW w:w="5000" w:type="pct"/>
          <w:jc w:val="center"/>
          <w:tblLayout w:type="fixed"/>
          <w:tblCellMar>
            <w:top w:w="0" w:type="dxa"/>
            <w:left w:w="108" w:type="dxa"/>
            <w:bottom w:w="0" w:type="dxa"/>
            <w:right w:w="108" w:type="dxa"/>
          </w:tblCellMar>
        </w:tblPrEx>
        <w:trPr>
          <w:cantSplit/>
          <w:trHeight w:val="162"/>
          <w:jc w:val="center"/>
        </w:trPr>
        <w:tc>
          <w:tcPr>
            <w:tcW w:w="978" w:type="dxa"/>
            <w:vMerge w:val="restart"/>
            <w:vAlign w:val="center"/>
          </w:tcPr>
          <w:p>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46</w:t>
            </w:r>
          </w:p>
        </w:tc>
        <w:tc>
          <w:tcPr>
            <w:tcW w:w="2409" w:type="dxa"/>
            <w:vMerge w:val="restart"/>
            <w:vAlign w:val="center"/>
          </w:tcPr>
          <w:p>
            <w:pPr>
              <w:widowControl w:val="0"/>
              <w:spacing w:line="30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履约担保</w:t>
            </w:r>
          </w:p>
        </w:tc>
        <w:tc>
          <w:tcPr>
            <w:tcW w:w="4980" w:type="dxa"/>
            <w:tcBorders>
              <w:bottom w:val="single" w:sz="4" w:space="0" w:color="auto"/>
            </w:tcBorders>
            <w:vAlign w:val="center"/>
          </w:tcPr>
          <w:p>
            <w:pPr>
              <w:widowControl w:val="0"/>
              <w:spacing w:line="300" w:lineRule="exact"/>
              <w:jc w:val="left"/>
              <w:rPr>
                <w:rFonts w:ascii="宋体" w:eastAsia="宋体" w:hAnsi="宋体" w:cs="宋体"/>
                <w:kern w:val="2"/>
                <w:sz w:val="21"/>
                <w:szCs w:val="21"/>
                <w:lang w:eastAsia="zh-CN"/>
              </w:rPr>
            </w:pPr>
            <w:r>
              <w:rPr>
                <w:rFonts w:ascii="Wingdings 2" w:eastAsia="宋体" w:hAnsi="Wingdings 2" w:cs="宋体"/>
                <w:bCs/>
                <w:kern w:val="2"/>
                <w:sz w:val="21"/>
                <w:szCs w:val="21"/>
                <w:lang w:eastAsia="zh-CN"/>
              </w:rPr>
              <w:sym w:font="Wingdings 2" w:char="F052"/>
            </w:r>
            <w:r>
              <w:rPr>
                <w:rFonts w:ascii="宋体" w:eastAsia="宋体" w:hAnsi="宋体" w:cs="宋体" w:hint="eastAsia"/>
                <w:bCs/>
                <w:kern w:val="2"/>
                <w:sz w:val="21"/>
                <w:szCs w:val="21"/>
                <w:lang w:eastAsia="zh-CN"/>
              </w:rPr>
              <w:t xml:space="preserve"> 不需要</w:t>
            </w:r>
          </w:p>
        </w:tc>
      </w:tr>
      <w:tr>
        <w:tblPrEx>
          <w:tblW w:w="5000" w:type="pct"/>
          <w:jc w:val="center"/>
          <w:tblLayout w:type="fixed"/>
          <w:tblCellMar>
            <w:top w:w="0" w:type="dxa"/>
            <w:left w:w="108" w:type="dxa"/>
            <w:bottom w:w="0" w:type="dxa"/>
            <w:right w:w="108" w:type="dxa"/>
          </w:tblCellMar>
        </w:tblPrEx>
        <w:trPr>
          <w:cantSplit/>
          <w:trHeight w:val="1980"/>
          <w:jc w:val="center"/>
        </w:trPr>
        <w:tc>
          <w:tcPr>
            <w:tcW w:w="978" w:type="dxa"/>
            <w:vMerge/>
            <w:vAlign w:val="center"/>
          </w:tcPr>
          <w:p>
            <w:pPr>
              <w:widowControl w:val="0"/>
              <w:spacing w:line="300" w:lineRule="exact"/>
              <w:jc w:val="center"/>
              <w:rPr>
                <w:rFonts w:ascii="宋体" w:eastAsia="宋体" w:hAnsi="宋体" w:cs="宋体"/>
                <w:kern w:val="2"/>
                <w:sz w:val="21"/>
                <w:szCs w:val="21"/>
                <w:lang w:eastAsia="zh-CN"/>
              </w:rPr>
            </w:pPr>
          </w:p>
        </w:tc>
        <w:tc>
          <w:tcPr>
            <w:tcW w:w="2409" w:type="dxa"/>
            <w:vMerge/>
            <w:vAlign w:val="center"/>
          </w:tcPr>
          <w:p>
            <w:pPr>
              <w:widowControl w:val="0"/>
              <w:spacing w:line="300" w:lineRule="exact"/>
              <w:jc w:val="center"/>
              <w:rPr>
                <w:rFonts w:ascii="宋体" w:eastAsia="宋体" w:hAnsi="宋体" w:cs="宋体"/>
                <w:kern w:val="2"/>
                <w:sz w:val="21"/>
                <w:szCs w:val="21"/>
                <w:lang w:eastAsia="zh-CN"/>
              </w:rPr>
            </w:pPr>
          </w:p>
        </w:tc>
        <w:tc>
          <w:tcPr>
            <w:tcW w:w="4980" w:type="dxa"/>
            <w:tcBorders>
              <w:top w:val="single" w:sz="4" w:space="0" w:color="auto"/>
            </w:tcBorders>
            <w:vAlign w:val="center"/>
          </w:tcPr>
          <w:p>
            <w:pPr>
              <w:widowControl w:val="0"/>
              <w:spacing w:line="300" w:lineRule="exact"/>
              <w:jc w:val="left"/>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w:t>
            </w:r>
            <w:r>
              <w:rPr>
                <w:rFonts w:ascii="宋体" w:eastAsia="宋体" w:hAnsi="宋体" w:cs="宋体" w:hint="eastAsia"/>
                <w:kern w:val="2"/>
                <w:sz w:val="21"/>
                <w:szCs w:val="21"/>
                <w:lang w:eastAsia="zh-CN"/>
              </w:rPr>
              <w:t xml:space="preserve"> </w:t>
            </w:r>
            <w:r>
              <w:rPr>
                <w:rFonts w:ascii="宋体" w:eastAsia="宋体" w:hAnsi="宋体" w:cs="宋体" w:hint="eastAsia"/>
                <w:color w:val="000000"/>
                <w:kern w:val="2"/>
                <w:sz w:val="21"/>
                <w:szCs w:val="21"/>
                <w:lang w:eastAsia="zh-CN"/>
              </w:rPr>
              <w:t>需要，合同金额的</w:t>
            </w:r>
            <w:r>
              <w:rPr>
                <w:rFonts w:ascii="宋体" w:eastAsia="宋体" w:hAnsi="宋体" w:cs="宋体" w:hint="eastAsia"/>
                <w:color w:val="000000"/>
                <w:kern w:val="2"/>
                <w:sz w:val="21"/>
                <w:szCs w:val="21"/>
                <w:u w:val="single"/>
                <w:lang w:eastAsia="zh-CN"/>
              </w:rPr>
              <w:t xml:space="preserve">  %（</w:t>
            </w:r>
            <w:r>
              <w:rPr>
                <w:rFonts w:ascii="宋体" w:eastAsia="宋体" w:hAnsi="宋体" w:cs="宋体" w:hint="eastAsia"/>
                <w:color w:val="000000"/>
                <w:kern w:val="2"/>
                <w:sz w:val="21"/>
                <w:u w:val="single"/>
                <w:lang w:eastAsia="zh-CN"/>
              </w:rPr>
              <w:t>≤5%</w:t>
            </w:r>
            <w:r>
              <w:rPr>
                <w:rFonts w:ascii="宋体" w:eastAsia="宋体" w:hAnsi="宋体" w:cs="宋体" w:hint="eastAsia"/>
                <w:color w:val="000000"/>
                <w:kern w:val="2"/>
                <w:sz w:val="21"/>
                <w:szCs w:val="21"/>
                <w:u w:val="single"/>
                <w:lang w:eastAsia="zh-CN"/>
              </w:rPr>
              <w:t>）</w:t>
            </w:r>
            <w:r>
              <w:rPr>
                <w:rFonts w:ascii="宋体" w:eastAsia="宋体" w:hAnsi="宋体" w:cs="宋体" w:hint="eastAsia"/>
                <w:color w:val="000000"/>
                <w:kern w:val="2"/>
                <w:sz w:val="21"/>
                <w:szCs w:val="21"/>
                <w:lang w:eastAsia="zh-CN"/>
              </w:rPr>
              <w:t>，投标供应商自主选择以支票、汇票、本票、保函等非现金形式缴纳或提交。履约保证金在中标人履行完成合同约定权利义务事项在合同期满之日起</w:t>
            </w:r>
            <w:r>
              <w:rPr>
                <w:rFonts w:ascii="宋体" w:eastAsia="宋体" w:hAnsi="宋体" w:cs="宋体" w:hint="eastAsia"/>
                <w:color w:val="000000"/>
                <w:kern w:val="2"/>
                <w:sz w:val="21"/>
                <w:szCs w:val="21"/>
                <w:u w:val="single"/>
                <w:lang w:eastAsia="zh-CN"/>
              </w:rPr>
              <w:t xml:space="preserve">    日</w:t>
            </w:r>
            <w:r>
              <w:rPr>
                <w:rFonts w:ascii="宋体" w:eastAsia="宋体" w:hAnsi="宋体" w:cs="宋体" w:hint="eastAsia"/>
                <w:color w:val="000000"/>
                <w:kern w:val="2"/>
                <w:sz w:val="21"/>
                <w:szCs w:val="21"/>
                <w:lang w:eastAsia="zh-CN"/>
              </w:rPr>
              <w:t>内按原方式退还，不计利息。采购人逾期退还履约保证金的，向中标人每日偿付履约保证金的</w:t>
            </w:r>
            <w:r>
              <w:rPr>
                <w:rFonts w:ascii="宋体" w:eastAsia="宋体" w:hAnsi="宋体" w:cs="宋体" w:hint="eastAsia"/>
                <w:color w:val="000000"/>
                <w:kern w:val="2"/>
                <w:sz w:val="21"/>
                <w:szCs w:val="21"/>
                <w:u w:val="single"/>
                <w:lang w:eastAsia="zh-CN"/>
              </w:rPr>
              <w:t>0.5‰</w:t>
            </w:r>
            <w:r>
              <w:rPr>
                <w:rFonts w:ascii="宋体" w:eastAsia="宋体" w:hAnsi="宋体" w:cs="宋体" w:hint="eastAsia"/>
                <w:color w:val="000000"/>
                <w:kern w:val="2"/>
                <w:sz w:val="21"/>
                <w:szCs w:val="21"/>
                <w:lang w:eastAsia="zh-CN"/>
              </w:rPr>
              <w:t>的利息。因中标人原因而未能达到本项目验收标准或验收不通过的，履约保证金不予退还。</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cs="宋体"/>
                <w:kern w:val="2"/>
                <w:sz w:val="21"/>
                <w:szCs w:val="21"/>
                <w:lang w:eastAsia="zh-CN"/>
              </w:rPr>
            </w:pPr>
            <w:r>
              <w:rPr>
                <w:rFonts w:ascii="宋体" w:eastAsia="宋体" w:hAnsi="宋体" w:cs="宋体" w:hint="eastAsia"/>
                <w:kern w:val="2"/>
                <w:sz w:val="21"/>
                <w:lang w:eastAsia="zh-CN"/>
              </w:rPr>
              <w:t>52.8</w:t>
            </w:r>
          </w:p>
        </w:tc>
        <w:tc>
          <w:tcPr>
            <w:tcW w:w="2409" w:type="dxa"/>
            <w:vAlign w:val="center"/>
          </w:tcPr>
          <w:p>
            <w:pPr>
              <w:widowControl w:val="0"/>
              <w:jc w:val="center"/>
              <w:rPr>
                <w:rFonts w:ascii="宋体" w:eastAsia="宋体" w:hAnsi="宋体" w:cs="宋体"/>
                <w:kern w:val="2"/>
                <w:sz w:val="21"/>
                <w:szCs w:val="21"/>
                <w:lang w:eastAsia="zh-CN"/>
              </w:rPr>
            </w:pPr>
            <w:r>
              <w:rPr>
                <w:rFonts w:ascii="宋体" w:eastAsia="宋体" w:hAnsi="宋体" w:cs="宋体" w:hint="eastAsia"/>
                <w:kern w:val="2"/>
                <w:sz w:val="21"/>
                <w:lang w:eastAsia="zh-CN"/>
              </w:rPr>
              <w:t>投诉（仅适用自行采购项目）</w:t>
            </w:r>
          </w:p>
        </w:tc>
        <w:tc>
          <w:tcPr>
            <w:tcW w:w="4980" w:type="dxa"/>
            <w:vAlign w:val="center"/>
          </w:tcPr>
          <w:p>
            <w:pPr>
              <w:widowControl w:val="0"/>
              <w:jc w:val="left"/>
              <w:rPr>
                <w:rFonts w:ascii="宋体" w:eastAsia="宋体" w:hAnsi="宋体" w:cs="宋体"/>
                <w:bCs/>
                <w:kern w:val="2"/>
                <w:sz w:val="21"/>
                <w:szCs w:val="21"/>
                <w:lang w:eastAsia="zh-CN"/>
              </w:rPr>
            </w:pPr>
            <w:r>
              <w:rPr>
                <w:rFonts w:ascii="宋体" w:eastAsia="宋体" w:hAnsi="宋体" w:cs="宋体" w:hint="eastAsia"/>
                <w:kern w:val="2"/>
                <w:sz w:val="21"/>
                <w:lang w:eastAsia="zh-CN"/>
              </w:rPr>
              <w:t>本项目为自行采购项目，提出质疑的供应商对质疑答复不满意或者未在规定时间内答复的，可以在答复期满后7个工作日内向采购人投诉。</w:t>
            </w:r>
          </w:p>
        </w:tc>
      </w:tr>
    </w:tbl>
    <w:p>
      <w:pPr>
        <w:widowControl w:val="0"/>
        <w:spacing w:line="300" w:lineRule="exact"/>
        <w:jc w:val="both"/>
        <w:rPr>
          <w:rFonts w:ascii="宋体" w:eastAsia="宋体" w:hAnsi="宋体" w:cs="宋体"/>
          <w:b/>
          <w:kern w:val="2"/>
          <w:sz w:val="21"/>
          <w:lang w:eastAsia="zh-CN"/>
        </w:rPr>
      </w:pPr>
      <w:r>
        <w:rPr>
          <w:rFonts w:ascii="宋体" w:eastAsia="宋体" w:hAnsi="宋体" w:cs="宋体" w:hint="eastAsia"/>
          <w:kern w:val="2"/>
          <w:sz w:val="21"/>
          <w:szCs w:val="21"/>
          <w:lang w:eastAsia="zh-CN"/>
        </w:rPr>
        <w:t>备注：本表是通用条款相关条款的补充和明确，如与通用条款内容相冲突的，以本表为准。</w:t>
      </w:r>
    </w:p>
    <w:p>
      <w:pPr>
        <w:widowControl w:val="0"/>
        <w:jc w:val="both"/>
        <w:rPr>
          <w:rFonts w:eastAsia="宋体"/>
          <w:b/>
          <w:kern w:val="2"/>
          <w:sz w:val="21"/>
          <w:lang w:eastAsia="zh-CN"/>
        </w:rPr>
      </w:pPr>
    </w:p>
    <w:p>
      <w:pPr>
        <w:widowControl w:val="0"/>
        <w:jc w:val="both"/>
        <w:rPr>
          <w:rFonts w:eastAsia="宋体"/>
          <w:kern w:val="2"/>
          <w:sz w:val="21"/>
          <w:lang w:eastAsia="zh-CN"/>
        </w:rPr>
      </w:pPr>
      <w:r>
        <w:rPr>
          <w:rFonts w:eastAsia="宋体" w:hint="eastAsia"/>
          <w:kern w:val="2"/>
          <w:sz w:val="21"/>
          <w:lang w:eastAsia="zh-CN"/>
        </w:rPr>
        <w:br w:type="page"/>
      </w:r>
    </w:p>
    <w:p>
      <w:pPr>
        <w:keepNext/>
        <w:keepLines/>
        <w:widowControl w:val="0"/>
        <w:adjustRightInd w:val="0"/>
        <w:spacing w:before="120" w:beforeLines="50" w:after="120" w:afterLines="50"/>
        <w:jc w:val="center"/>
        <w:textAlignment w:val="baseline"/>
        <w:outlineLvl w:val="1"/>
        <w:rPr>
          <w:rFonts w:ascii="宋体" w:eastAsia="宋体" w:hAnsi="宋体"/>
          <w:b/>
          <w:bCs/>
          <w:lang w:eastAsia="zh-CN"/>
        </w:rPr>
      </w:pPr>
      <w:r>
        <w:rPr>
          <w:rFonts w:ascii="宋体" w:eastAsia="宋体" w:hAnsi="宋体" w:hint="eastAsia"/>
          <w:b/>
          <w:bCs/>
          <w:lang w:eastAsia="zh-CN"/>
        </w:rPr>
        <w:t>二、其他关键信息</w:t>
      </w:r>
    </w:p>
    <w:p>
      <w:pPr>
        <w:widowControl w:val="0"/>
        <w:adjustRightInd w:val="0"/>
        <w:spacing w:line="276" w:lineRule="auto"/>
        <w:ind w:firstLine="420" w:firstLineChars="200"/>
        <w:jc w:val="both"/>
        <w:rPr>
          <w:rFonts w:eastAsia="宋体"/>
          <w:b/>
          <w:bCs/>
          <w:kern w:val="2"/>
          <w:sz w:val="21"/>
          <w:lang w:eastAsia="zh-CN"/>
        </w:rPr>
      </w:pPr>
      <w:r>
        <w:rPr>
          <w:rFonts w:eastAsia="宋体" w:hint="eastAsia"/>
          <w:b/>
          <w:bCs/>
          <w:kern w:val="2"/>
          <w:sz w:val="21"/>
          <w:lang w:eastAsia="zh-CN"/>
        </w:rPr>
        <w:t>（一）评标定标信息</w:t>
      </w:r>
    </w:p>
    <w:p>
      <w:pPr>
        <w:widowControl w:val="0"/>
        <w:adjustRightInd w:val="0"/>
        <w:spacing w:line="276" w:lineRule="auto"/>
        <w:jc w:val="center"/>
        <w:rPr>
          <w:rFonts w:eastAsia="宋体"/>
          <w:kern w:val="2"/>
          <w:sz w:val="21"/>
          <w:lang w:eastAsia="zh-CN"/>
        </w:rPr>
      </w:pPr>
      <w:bookmarkStart w:id="31" w:name="_Hlk72579465"/>
      <w:r>
        <w:rPr>
          <w:rFonts w:eastAsia="宋体" w:hint="eastAsia"/>
          <w:b/>
          <w:kern w:val="2"/>
          <w:sz w:val="21"/>
          <w:lang w:eastAsia="zh-CN"/>
        </w:rPr>
        <w:t>非评定分离项目</w:t>
      </w:r>
    </w:p>
    <w:p>
      <w:pPr>
        <w:widowControl w:val="0"/>
        <w:adjustRightInd w:val="0"/>
        <w:spacing w:line="276" w:lineRule="auto"/>
        <w:jc w:val="center"/>
        <w:rPr>
          <w:rFonts w:eastAsia="宋体"/>
          <w:b/>
          <w:kern w:val="2"/>
          <w:sz w:val="21"/>
          <w:lang w:eastAsia="zh-CN"/>
        </w:rPr>
      </w:pPr>
    </w:p>
    <w:tbl>
      <w:tblPr>
        <w:tblStyle w:val="13"/>
        <w:tblW w:w="5000" w:type="pct"/>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398"/>
        <w:gridCol w:w="4680"/>
      </w:tblGrid>
      <w:tr>
        <w:tblPrEx>
          <w:tblW w:w="5000" w:type="pct"/>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912" w:type="dxa"/>
          </w:tcPr>
          <w:p>
            <w:pPr>
              <w:jc w:val="center"/>
              <w:rPr>
                <w:sz w:val="22"/>
                <w:szCs w:val="20"/>
                <w:lang w:eastAsia="zh-CN"/>
              </w:rPr>
            </w:pPr>
            <w:r>
              <w:rPr>
                <w:rFonts w:cstheme="minorBidi" w:hint="eastAsia"/>
                <w:sz w:val="22"/>
                <w:szCs w:val="20"/>
                <w:lang w:eastAsia="zh-CN"/>
              </w:rPr>
              <w:t>评标方法</w:t>
            </w:r>
          </w:p>
        </w:tc>
        <w:tc>
          <w:tcPr>
            <w:tcW w:w="4163" w:type="dxa"/>
          </w:tcPr>
          <w:p>
            <w:pPr>
              <w:jc w:val="center"/>
              <w:rPr>
                <w:sz w:val="22"/>
                <w:szCs w:val="20"/>
                <w:lang w:eastAsia="zh-CN"/>
              </w:rPr>
            </w:pPr>
            <w:r>
              <w:rPr>
                <w:rFonts w:cstheme="minorBidi" w:hint="eastAsia"/>
                <w:sz w:val="22"/>
                <w:szCs w:val="20"/>
                <w:lang w:eastAsia="zh-CN"/>
              </w:rPr>
              <w:t>综合评分法</w:t>
            </w:r>
          </w:p>
        </w:tc>
      </w:tr>
      <w:tr>
        <w:tblPrEx>
          <w:tblW w:w="5000" w:type="pct"/>
          <w:tblInd w:w="352" w:type="dxa"/>
          <w:tblLayout w:type="fixed"/>
          <w:tblCellMar>
            <w:top w:w="0" w:type="dxa"/>
            <w:left w:w="108" w:type="dxa"/>
            <w:bottom w:w="0" w:type="dxa"/>
            <w:right w:w="108" w:type="dxa"/>
          </w:tblCellMar>
        </w:tblPrEx>
        <w:tc>
          <w:tcPr>
            <w:tcW w:w="3912" w:type="dxa"/>
          </w:tcPr>
          <w:p>
            <w:pPr>
              <w:jc w:val="center"/>
              <w:rPr>
                <w:sz w:val="22"/>
                <w:szCs w:val="20"/>
                <w:lang w:eastAsia="zh-CN"/>
              </w:rPr>
            </w:pPr>
            <w:r>
              <w:rPr>
                <w:rFonts w:cstheme="minorBidi" w:hint="eastAsia"/>
                <w:sz w:val="22"/>
                <w:szCs w:val="20"/>
                <w:lang w:eastAsia="zh-CN"/>
              </w:rPr>
              <w:t>候选中标供应商家数</w:t>
            </w:r>
          </w:p>
        </w:tc>
        <w:tc>
          <w:tcPr>
            <w:tcW w:w="4163" w:type="dxa"/>
          </w:tcPr>
          <w:p>
            <w:pPr>
              <w:jc w:val="center"/>
              <w:rPr>
                <w:sz w:val="22"/>
                <w:szCs w:val="20"/>
                <w:lang w:eastAsia="zh-CN"/>
              </w:rPr>
            </w:pPr>
            <w:r>
              <w:rPr>
                <w:rFonts w:cstheme="minorBidi" w:hint="eastAsia"/>
                <w:sz w:val="22"/>
                <w:szCs w:val="20"/>
                <w:lang w:eastAsia="zh-CN"/>
              </w:rPr>
              <w:t>3</w:t>
            </w:r>
          </w:p>
        </w:tc>
      </w:tr>
      <w:tr>
        <w:tblPrEx>
          <w:tblW w:w="5000" w:type="pct"/>
          <w:tblInd w:w="352" w:type="dxa"/>
          <w:tblLayout w:type="fixed"/>
          <w:tblCellMar>
            <w:top w:w="0" w:type="dxa"/>
            <w:left w:w="108" w:type="dxa"/>
            <w:bottom w:w="0" w:type="dxa"/>
            <w:right w:w="108" w:type="dxa"/>
          </w:tblCellMar>
        </w:tblPrEx>
        <w:tc>
          <w:tcPr>
            <w:tcW w:w="3912" w:type="dxa"/>
          </w:tcPr>
          <w:p>
            <w:pPr>
              <w:jc w:val="center"/>
              <w:rPr>
                <w:sz w:val="22"/>
                <w:szCs w:val="20"/>
                <w:lang w:eastAsia="zh-CN"/>
              </w:rPr>
            </w:pPr>
            <w:r>
              <w:rPr>
                <w:rFonts w:cstheme="minorBidi" w:hint="eastAsia"/>
                <w:sz w:val="22"/>
                <w:szCs w:val="20"/>
                <w:lang w:eastAsia="zh-CN"/>
              </w:rPr>
              <w:t>中标供应商家数</w:t>
            </w:r>
          </w:p>
        </w:tc>
        <w:tc>
          <w:tcPr>
            <w:tcW w:w="4163" w:type="dxa"/>
          </w:tcPr>
          <w:p>
            <w:pPr>
              <w:jc w:val="center"/>
              <w:rPr>
                <w:sz w:val="22"/>
                <w:szCs w:val="20"/>
                <w:lang w:eastAsia="zh-CN"/>
              </w:rPr>
            </w:pPr>
            <w:r>
              <w:rPr>
                <w:rFonts w:cstheme="minorBidi" w:hint="eastAsia"/>
                <w:sz w:val="22"/>
                <w:szCs w:val="20"/>
                <w:lang w:eastAsia="zh-CN"/>
              </w:rPr>
              <w:t>1</w:t>
            </w:r>
          </w:p>
        </w:tc>
      </w:tr>
    </w:tbl>
    <w:p>
      <w:pPr>
        <w:widowControl w:val="0"/>
        <w:adjustRightInd w:val="0"/>
        <w:spacing w:line="276" w:lineRule="auto"/>
        <w:jc w:val="both"/>
        <w:rPr>
          <w:rFonts w:eastAsia="宋体"/>
          <w:kern w:val="2"/>
          <w:sz w:val="21"/>
          <w:lang w:eastAsia="zh-CN"/>
        </w:rPr>
      </w:pPr>
    </w:p>
    <w:bookmarkEnd w:id="31"/>
    <w:p>
      <w:pPr>
        <w:widowControl w:val="0"/>
        <w:adjustRightInd w:val="0"/>
        <w:spacing w:line="276" w:lineRule="auto"/>
        <w:ind w:firstLine="420" w:firstLineChars="200"/>
        <w:jc w:val="both"/>
        <w:rPr>
          <w:rFonts w:ascii="宋体" w:eastAsia="宋体" w:hAnsi="宋体" w:cs="宋体"/>
          <w:b/>
          <w:bCs/>
          <w:kern w:val="2"/>
          <w:sz w:val="21"/>
          <w:lang w:eastAsia="zh-CN"/>
        </w:rPr>
      </w:pPr>
      <w:r>
        <w:rPr>
          <w:rFonts w:ascii="宋体" w:eastAsia="宋体" w:hAnsi="宋体" w:cs="宋体" w:hint="eastAsia"/>
          <w:b/>
          <w:kern w:val="2"/>
          <w:sz w:val="21"/>
          <w:lang w:eastAsia="zh-CN"/>
        </w:rPr>
        <w:t>（二）其他事项</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b/>
          <w:bCs/>
          <w:kern w:val="2"/>
          <w:sz w:val="21"/>
          <w:szCs w:val="22"/>
          <w:lang w:eastAsia="zh-CN"/>
        </w:rPr>
        <w:t>1</w:t>
      </w:r>
      <w:r>
        <w:rPr>
          <w:rFonts w:ascii="Calibri" w:eastAsia="宋体" w:hAnsi="Calibri" w:cstheme="minorBidi" w:hint="eastAsia"/>
          <w:b/>
          <w:bCs/>
          <w:kern w:val="2"/>
          <w:sz w:val="21"/>
          <w:szCs w:val="22"/>
          <w:lang w:eastAsia="zh-CN"/>
        </w:rPr>
        <w:t>、关于享受优惠政策的主体及价格扣除比例</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w:t>
      </w:r>
      <w:r>
        <w:rPr>
          <w:rFonts w:eastAsia="宋体" w:hAnsi="Calibri" w:cstheme="minorBidi" w:hint="eastAsia"/>
          <w:kern w:val="2"/>
          <w:sz w:val="21"/>
          <w:szCs w:val="22"/>
          <w:lang w:eastAsia="zh-CN"/>
        </w:rPr>
        <w:t>专门面向中小企业采购的项目，不再执行价格扣除比例。</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（2）</w:t>
      </w:r>
      <w:r>
        <w:rPr>
          <w:rFonts w:eastAsia="宋体" w:hAnsi="Calibri" w:cstheme="minorBidi" w:hint="eastAsia"/>
          <w:kern w:val="2"/>
          <w:sz w:val="21"/>
          <w:szCs w:val="22"/>
          <w:lang w:eastAsia="zh-CN"/>
        </w:rPr>
        <w:t>非专门面向中小企业采购的项目，应执行价格扣除比例：</w:t>
      </w:r>
      <w:r>
        <w:rPr>
          <w:rFonts w:ascii="Calibri" w:eastAsia="宋体" w:hAnsi="Calibri" w:cstheme="minorBidi" w:hint="eastAsia"/>
          <w:kern w:val="2"/>
          <w:sz w:val="21"/>
          <w:szCs w:val="22"/>
          <w:lang w:eastAsia="zh-CN"/>
        </w:rPr>
        <w:t>供应商提供的服务全部由优惠主体承接，则对其投标总价给予</w:t>
      </w:r>
      <w:r>
        <w:rPr>
          <w:rFonts w:ascii="Calibri" w:eastAsia="宋体" w:hAnsi="Calibri" w:cstheme="minorBidi"/>
          <w:color w:val="FF0000"/>
          <w:kern w:val="2"/>
          <w:sz w:val="21"/>
          <w:szCs w:val="22"/>
          <w:u w:val="single"/>
          <w:lang w:eastAsia="zh-CN"/>
        </w:rPr>
        <w:t xml:space="preserve">  </w:t>
      </w:r>
      <w:r>
        <w:rPr>
          <w:rFonts w:ascii="Calibri" w:eastAsia="宋体" w:hAnsi="Calibri" w:cstheme="minorBidi" w:hint="eastAsia"/>
          <w:color w:val="FF0000"/>
          <w:kern w:val="2"/>
          <w:sz w:val="21"/>
          <w:szCs w:val="22"/>
          <w:u w:val="single"/>
          <w:lang w:eastAsia="zh-CN"/>
        </w:rPr>
        <w:t>10</w:t>
      </w:r>
      <w:r>
        <w:rPr>
          <w:rFonts w:ascii="Calibri" w:eastAsia="宋体" w:hAnsi="Calibri" w:cstheme="minorBidi"/>
          <w:color w:val="FF0000"/>
          <w:kern w:val="2"/>
          <w:sz w:val="21"/>
          <w:szCs w:val="22"/>
          <w:u w:val="single"/>
          <w:lang w:eastAsia="zh-CN"/>
        </w:rPr>
        <w:t xml:space="preserve">  %</w:t>
      </w:r>
      <w:r>
        <w:rPr>
          <w:rFonts w:ascii="Calibri" w:eastAsia="宋体" w:hAnsi="Calibri" w:cstheme="minorBidi" w:hint="eastAsia"/>
          <w:kern w:val="2"/>
          <w:sz w:val="21"/>
          <w:szCs w:val="22"/>
          <w:lang w:eastAsia="zh-CN"/>
        </w:rPr>
        <w:t>的扣除，用扣除后的价格参与评审。满足多项优惠政策的企业，不重复享受多项价格扣除政策。</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备注：（a）</w:t>
      </w:r>
      <w:r>
        <w:rPr>
          <w:rFonts w:eastAsia="宋体" w:hAnsi="Calibri" w:cstheme="minorBidi" w:hint="eastAsia"/>
          <w:kern w:val="2"/>
          <w:sz w:val="21"/>
          <w:szCs w:val="22"/>
          <w:lang w:eastAsia="zh-CN"/>
        </w:rPr>
        <w:t>享受价格扣除</w:t>
      </w:r>
      <w:r>
        <w:rPr>
          <w:rFonts w:ascii="Calibri" w:eastAsia="宋体" w:hAnsi="Calibri" w:cstheme="minorBidi" w:hint="eastAsia"/>
          <w:kern w:val="2"/>
          <w:sz w:val="21"/>
          <w:szCs w:val="22"/>
          <w:lang w:eastAsia="zh-CN"/>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ascii="Calibri" w:eastAsia="宋体" w:hAnsi="Calibri" w:cstheme="minorBidi"/>
          <w:kern w:val="2"/>
          <w:sz w:val="21"/>
          <w:szCs w:val="22"/>
          <w:lang w:eastAsia="zh-CN"/>
        </w:rPr>
        <w:t>b)</w:t>
      </w:r>
      <w:r>
        <w:rPr>
          <w:rFonts w:ascii="Calibri" w:eastAsia="宋体" w:hAnsi="Calibri" w:cstheme="minorBidi" w:hint="eastAsia"/>
          <w:kern w:val="2"/>
          <w:sz w:val="21"/>
          <w:szCs w:val="22"/>
          <w:lang w:eastAsia="zh-CN"/>
        </w:rPr>
        <w:t>优惠主体承接是指提供服务的人员为中小企业依照《中华人民共和国劳动合同法》订立劳动合同的从业人员。</w:t>
      </w:r>
    </w:p>
    <w:p>
      <w:pPr>
        <w:widowControl w:val="0"/>
        <w:numPr>
          <w:ilvl w:val="0"/>
          <w:numId w:val="1"/>
        </w:numPr>
        <w:ind w:firstLine="420" w:firstLineChars="200"/>
        <w:jc w:val="both"/>
        <w:rPr>
          <w:rFonts w:ascii="Calibri" w:eastAsia="宋体" w:hAnsi="Calibri"/>
          <w:kern w:val="2"/>
          <w:sz w:val="21"/>
          <w:szCs w:val="21"/>
          <w:lang w:eastAsia="zh-CN"/>
        </w:rPr>
      </w:pPr>
      <w:r>
        <w:rPr>
          <w:rFonts w:ascii="宋体" w:eastAsia="宋体" w:hAnsi="宋体" w:cs="宋体"/>
          <w:kern w:val="2"/>
          <w:sz w:val="21"/>
          <w:szCs w:val="21"/>
          <w:lang w:eastAsia="zh-CN"/>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eastAsia="宋体" w:hAnsi="宋体" w:cs="宋体"/>
          <w:b/>
          <w:bCs/>
          <w:color w:val="FF0000"/>
          <w:kern w:val="2"/>
          <w:sz w:val="21"/>
          <w:szCs w:val="21"/>
          <w:lang w:eastAsia="zh-CN"/>
        </w:rPr>
        <w:t>《中小企业声明函》中相关企业所属行业应当与采购标的所属行业相一致。</w:t>
      </w:r>
      <w:r>
        <w:rPr>
          <w:rFonts w:ascii="Calibri" w:eastAsia="宋体" w:hAnsi="Calibri" w:cstheme="minorBidi" w:hint="eastAsia"/>
          <w:b/>
          <w:bCs/>
          <w:color w:val="FF0000"/>
          <w:kern w:val="2"/>
          <w:sz w:val="21"/>
          <w:szCs w:val="22"/>
          <w:lang w:eastAsia="zh-CN"/>
        </w:rPr>
        <w:t>标的所属行业</w:t>
      </w:r>
      <w:r>
        <w:rPr>
          <w:rFonts w:eastAsia="宋体" w:hAnsi="Calibri" w:cstheme="minorBidi" w:hint="eastAsia"/>
          <w:b/>
          <w:bCs/>
          <w:color w:val="FF0000"/>
          <w:kern w:val="2"/>
          <w:sz w:val="21"/>
          <w:szCs w:val="22"/>
          <w:lang w:eastAsia="zh-CN"/>
        </w:rPr>
        <w:t>以招标文件第一册第三章用户需求书“</w:t>
      </w:r>
      <w:r>
        <w:rPr>
          <w:rFonts w:ascii="Calibri" w:eastAsia="宋体" w:hAnsi="Calibri" w:cstheme="minorBidi" w:hint="eastAsia"/>
          <w:b/>
          <w:bCs/>
          <w:color w:val="FF0000"/>
          <w:kern w:val="2"/>
          <w:sz w:val="21"/>
          <w:szCs w:val="22"/>
          <w:lang w:eastAsia="zh-CN"/>
        </w:rPr>
        <w:t>服务需求</w:t>
      </w:r>
      <w:r>
        <w:rPr>
          <w:rFonts w:eastAsia="宋体" w:hAnsi="Calibri" w:cstheme="minorBidi" w:hint="eastAsia"/>
          <w:b/>
          <w:bCs/>
          <w:color w:val="FF0000"/>
          <w:kern w:val="2"/>
          <w:sz w:val="21"/>
          <w:szCs w:val="22"/>
          <w:lang w:eastAsia="zh-CN"/>
        </w:rPr>
        <w:t>明细”的“标的所属行业”一栏为准</w:t>
      </w:r>
      <w:r>
        <w:rPr>
          <w:rFonts w:ascii="宋体" w:eastAsia="宋体" w:hAnsi="宋体" w:cs="宋体"/>
          <w:b/>
          <w:bCs/>
          <w:color w:val="FF0000"/>
          <w:kern w:val="2"/>
          <w:sz w:val="21"/>
          <w:szCs w:val="21"/>
          <w:lang w:eastAsia="zh-CN"/>
        </w:rPr>
        <w:t>。</w:t>
      </w:r>
      <w:r>
        <w:rPr>
          <w:rFonts w:ascii="Calibri" w:eastAsia="宋体" w:hAnsi="Calibri" w:cstheme="minorBidi" w:hint="eastAsia"/>
          <w:kern w:val="2"/>
          <w:sz w:val="21"/>
          <w:szCs w:val="21"/>
          <w:lang w:eastAsia="zh-CN"/>
        </w:rPr>
        <w:t>。</w:t>
      </w:r>
    </w:p>
    <w:p>
      <w:pPr>
        <w:widowControl w:val="0"/>
        <w:numPr>
          <w:ilvl w:val="0"/>
          <w:numId w:val="1"/>
        </w:numPr>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1"/>
          <w:lang w:eastAsia="zh-CN"/>
        </w:rPr>
        <w:t>小型企业、微</w:t>
      </w:r>
      <w:r>
        <w:rPr>
          <w:rFonts w:ascii="Calibri" w:eastAsia="宋体" w:hAnsi="Calibri" w:cstheme="minorBidi" w:hint="eastAsia"/>
          <w:kern w:val="2"/>
          <w:sz w:val="21"/>
          <w:szCs w:val="22"/>
          <w:lang w:eastAsia="zh-CN"/>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w:t>
      </w:r>
      <w:r>
        <w:rPr>
          <w:rFonts w:ascii="宋体" w:eastAsia="宋体" w:hAnsi="宋体" w:hint="eastAsia"/>
          <w:b/>
          <w:bCs/>
          <w:kern w:val="2"/>
          <w:szCs w:val="20"/>
          <w:lang w:eastAsia="zh-CN"/>
        </w:rPr>
        <w:t>投标文件组成要求及格式</w:t>
      </w:r>
      <w:r>
        <w:rPr>
          <w:rFonts w:ascii="Calibri" w:eastAsia="宋体" w:hAnsi="Calibri" w:cstheme="minorBidi" w:hint="eastAsia"/>
          <w:kern w:val="2"/>
          <w:sz w:val="21"/>
          <w:szCs w:val="22"/>
          <w:lang w:eastAsia="zh-CN"/>
        </w:rPr>
        <w:t>”中“三、投标人情况及资格证明文件”章节提供的格式）。</w:t>
      </w:r>
    </w:p>
    <w:p>
      <w:pPr>
        <w:widowControl w:val="0"/>
        <w:ind w:firstLine="420" w:firstLineChars="200"/>
        <w:jc w:val="both"/>
        <w:rPr>
          <w:rFonts w:ascii="宋体" w:eastAsia="宋体" w:hAnsi="宋体"/>
          <w:b/>
          <w:kern w:val="2"/>
          <w:sz w:val="21"/>
          <w:szCs w:val="22"/>
          <w:lang w:eastAsia="zh-CN"/>
        </w:rPr>
      </w:pPr>
      <w:r>
        <w:rPr>
          <w:rFonts w:ascii="Calibri" w:eastAsia="宋体" w:hAnsi="Calibri" w:cstheme="minorBidi" w:hint="eastAsia"/>
          <w:kern w:val="2"/>
          <w:sz w:val="21"/>
          <w:szCs w:val="22"/>
          <w:lang w:eastAsia="zh-CN"/>
        </w:rPr>
        <w:t>（5）享受价格扣除获得政府采购合同的，小微企业不得将合同分包给大中型企业。</w:t>
      </w:r>
    </w:p>
    <w:p>
      <w:pPr>
        <w:widowControl w:val="0"/>
        <w:ind w:firstLine="432"/>
        <w:jc w:val="both"/>
        <w:rPr>
          <w:rFonts w:eastAsia="宋体"/>
          <w:kern w:val="2"/>
          <w:sz w:val="21"/>
          <w:lang w:eastAsia="zh-CN"/>
        </w:rPr>
      </w:pPr>
    </w:p>
    <w:p>
      <w:pPr>
        <w:widowControl w:val="0"/>
        <w:adjustRightInd w:val="0"/>
        <w:spacing w:line="276" w:lineRule="auto"/>
        <w:ind w:firstLine="420" w:firstLineChars="200"/>
        <w:jc w:val="both"/>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2.长期服务采购项目</w:t>
      </w:r>
    </w:p>
    <w:p>
      <w:pPr>
        <w:widowControl w:val="0"/>
        <w:spacing w:line="276" w:lineRule="auto"/>
        <w:ind w:firstLine="420" w:firstLineChars="200"/>
        <w:jc w:val="both"/>
        <w:rPr>
          <w:rFonts w:eastAsia="宋体"/>
          <w:kern w:val="2"/>
          <w:sz w:val="21"/>
          <w:lang w:eastAsia="zh-CN"/>
        </w:rPr>
      </w:pPr>
      <w:r>
        <w:rPr>
          <w:rFonts w:eastAsia="宋体" w:hint="eastAsia"/>
          <w:color w:val="000000"/>
          <w:kern w:val="2"/>
          <w:sz w:val="21"/>
          <w:lang w:eastAsia="zh-CN"/>
        </w:rPr>
        <w:t>本项目为长期服务项目，合同期满可以续签，但合同履行期限最长不得超过三十六个月。如甲方对履约情况不满意，甲方不再续约。</w:t>
      </w:r>
    </w:p>
    <w:p>
      <w:pPr>
        <w:widowControl w:val="0"/>
        <w:adjustRightInd w:val="0"/>
        <w:spacing w:line="276" w:lineRule="auto"/>
        <w:ind w:firstLine="420" w:firstLineChars="200"/>
        <w:jc w:val="both"/>
        <w:rPr>
          <w:rFonts w:ascii="宋体" w:eastAsia="宋体" w:hAnsi="宋体" w:cs="宋体"/>
          <w:b/>
          <w:bCs/>
          <w:kern w:val="2"/>
          <w:sz w:val="21"/>
          <w:szCs w:val="21"/>
          <w:lang w:eastAsia="zh-CN"/>
        </w:rPr>
      </w:pPr>
    </w:p>
    <w:p>
      <w:pPr>
        <w:widowControl w:val="0"/>
        <w:adjustRightInd w:val="0"/>
        <w:spacing w:line="276" w:lineRule="auto"/>
        <w:ind w:firstLine="420" w:firstLineChars="200"/>
        <w:jc w:val="both"/>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3.代理服务费</w:t>
      </w:r>
    </w:p>
    <w:p>
      <w:pPr>
        <w:widowControl w:val="0"/>
        <w:ind w:firstLine="420" w:firstLineChars="200"/>
        <w:jc w:val="both"/>
        <w:rPr>
          <w:rFonts w:ascii="Calibri" w:eastAsia="宋体" w:hAnsi="Calibri"/>
          <w:b/>
          <w:bCs/>
          <w:kern w:val="2"/>
          <w:sz w:val="21"/>
          <w:szCs w:val="22"/>
          <w:lang w:eastAsia="zh-CN"/>
        </w:rPr>
      </w:pPr>
      <w:r>
        <w:rPr>
          <w:rFonts w:eastAsia="宋体" w:hAnsi="Calibri" w:cstheme="minorBidi" w:hint="eastAsia"/>
          <w:b/>
          <w:bCs/>
          <w:kern w:val="2"/>
          <w:sz w:val="21"/>
          <w:szCs w:val="22"/>
          <w:lang w:eastAsia="zh-CN"/>
        </w:rPr>
        <w:t>本项目为代理服务项目，将向中标（成交）供应商收取代理服务费。</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供应商在领取《中标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通知书》之前须向深圳公共资源交易中心（深圳交易集团有限公司南山分公司）交纳代理服务费。若因中标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供应商交纳代理服务费所产生的时间影响到合同签订的，由中标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供应商自行承担责任。代理服务费标准参照</w:t>
      </w:r>
      <w:r>
        <w:rPr>
          <w:rFonts w:eastAsia="宋体" w:hAnsi="Calibri" w:cstheme="minorBidi" w:hint="eastAsia"/>
          <w:kern w:val="2"/>
          <w:sz w:val="21"/>
          <w:szCs w:val="22"/>
          <w:lang w:eastAsia="zh-CN"/>
        </w:rPr>
        <w:t>下列</w:t>
      </w:r>
      <w:r>
        <w:rPr>
          <w:rFonts w:ascii="Calibri" w:eastAsia="宋体" w:hAnsi="Calibri" w:cstheme="minorBidi" w:hint="eastAsia"/>
          <w:kern w:val="2"/>
          <w:sz w:val="21"/>
          <w:szCs w:val="22"/>
          <w:lang w:eastAsia="zh-CN"/>
        </w:rPr>
        <w:t>标准收取。</w:t>
      </w:r>
      <w:r>
        <w:rPr>
          <w:rFonts w:ascii="Calibri" w:eastAsia="宋体" w:hAnsi="Calibri" w:cstheme="minorBidi" w:hint="eastAsia"/>
          <w:b/>
          <w:color w:val="FF0000"/>
          <w:kern w:val="2"/>
          <w:sz w:val="21"/>
          <w:szCs w:val="22"/>
          <w:lang w:eastAsia="zh-CN"/>
        </w:rPr>
        <w:t>本项目类型为服务采购：</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1</w:t>
      </w:r>
      <w:r>
        <w:rPr>
          <w:rFonts w:ascii="Calibri" w:eastAsia="宋体" w:hAnsi="Calibri" w:cstheme="minorBidi" w:hint="eastAsia"/>
          <w:kern w:val="2"/>
          <w:sz w:val="21"/>
          <w:szCs w:val="22"/>
          <w:lang w:eastAsia="zh-CN"/>
        </w:rPr>
        <w:t>）代理服务费以《中标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通知书》确定的</w:t>
      </w:r>
      <w:r>
        <w:rPr>
          <w:rFonts w:eastAsia="宋体" w:hAnsi="Calibri" w:cstheme="minorBidi" w:hint="eastAsia"/>
          <w:kern w:val="2"/>
          <w:sz w:val="21"/>
          <w:szCs w:val="22"/>
          <w:lang w:eastAsia="zh-CN"/>
        </w:rPr>
        <w:t>中标（</w:t>
      </w:r>
      <w:r>
        <w:rPr>
          <w:rFonts w:ascii="Calibri"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金额作为计算基数，按差额定率累进法计算。</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2</w:t>
      </w:r>
      <w:r>
        <w:rPr>
          <w:rFonts w:ascii="Calibri" w:eastAsia="宋体" w:hAnsi="Calibri" w:cstheme="minorBidi" w:hint="eastAsia"/>
          <w:kern w:val="2"/>
          <w:sz w:val="21"/>
          <w:szCs w:val="22"/>
          <w:lang w:eastAsia="zh-CN"/>
        </w:rPr>
        <w:t>）中标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金额的各部分费率如下表：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330"/>
        <w:gridCol w:w="1916"/>
        <w:gridCol w:w="1916"/>
        <w:gridCol w:w="1916"/>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01"/>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eastAsia="宋体" w:hAnsi="Calibri" w:cstheme="minorBidi" w:hint="eastAsia"/>
                <w:kern w:val="2"/>
                <w:sz w:val="21"/>
                <w:szCs w:val="22"/>
                <w:lang w:eastAsia="zh-CN"/>
              </w:rPr>
              <w:t>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金额</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货物采购</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服务采购</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工程采购</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100万元以下</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100万元（含）-500万元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1.1%</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0.8%</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0.7%</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500万元（含）-1000万元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0.8%</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0.45%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0.55%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1000万元（含）-5000万元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0.25%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0.35%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5000万元（含）-1亿元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0.25%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0.1%</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0.2%</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1亿元（含）-5亿元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5亿元（含）-10亿元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0.035%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0.035%</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0.035%</w:t>
            </w:r>
          </w:p>
        </w:tc>
      </w:tr>
      <w:tr>
        <w:tblPrEx>
          <w:tblW w:w="5000" w:type="pct"/>
          <w:jc w:val="center"/>
          <w:tblLayout w:type="fixed"/>
          <w:tblCellMar>
            <w:top w:w="0" w:type="dxa"/>
            <w:left w:w="108" w:type="dxa"/>
            <w:bottom w:w="0" w:type="dxa"/>
            <w:right w:w="108" w:type="dxa"/>
          </w:tblCellMar>
        </w:tblPrEx>
        <w:trPr>
          <w:trHeight w:val="90"/>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10亿元（含）-50亿元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0.008%</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0.008%</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0.008%</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50亿元（含）-100亿元</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0.006%</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0.006%</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0.006%</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100亿元（含）以上</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0.004%</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0.004%</w:t>
            </w:r>
          </w:p>
        </w:tc>
        <w:tc>
          <w:tcPr>
            <w:tcW w:w="1799" w:type="dxa"/>
            <w:vAlign w:val="center"/>
          </w:tcPr>
          <w:p>
            <w:pPr>
              <w:widowControl/>
              <w:spacing w:line="360"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0.004%</w:t>
            </w:r>
          </w:p>
        </w:tc>
      </w:tr>
    </w:tbl>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 xml:space="preserve">备注：1.每宗交易代理服务费不低于 </w:t>
      </w:r>
      <w:r>
        <w:rPr>
          <w:rFonts w:eastAsia="宋体" w:hAnsi="Calibri" w:cstheme="minorBidi" w:hint="eastAsia"/>
          <w:kern w:val="2"/>
          <w:sz w:val="21"/>
          <w:szCs w:val="22"/>
          <w:lang w:eastAsia="zh-CN"/>
        </w:rPr>
        <w:t>5</w:t>
      </w:r>
      <w:r>
        <w:rPr>
          <w:rFonts w:ascii="Calibri" w:eastAsia="宋体" w:hAnsi="Calibri" w:cstheme="minorBidi" w:hint="eastAsia"/>
          <w:kern w:val="2"/>
          <w:sz w:val="21"/>
          <w:szCs w:val="22"/>
          <w:lang w:eastAsia="zh-CN"/>
        </w:rPr>
        <w:t>000 元；</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2.对于报总价的采购类项目，中标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价为中标（成交）金额；对于报单价、折扣或费率的采购类项目，中标</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成交</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价为预算上限金额或经委托方与代理方确定的支付上限金额；</w:t>
      </w:r>
    </w:p>
    <w:p>
      <w:pPr>
        <w:widowControl w:val="0"/>
        <w:ind w:firstLine="420" w:firstLineChars="200"/>
        <w:jc w:val="both"/>
        <w:rPr>
          <w:rFonts w:ascii="Calibri" w:eastAsia="宋体" w:hAnsi="Calibri"/>
          <w:kern w:val="2"/>
          <w:sz w:val="21"/>
          <w:szCs w:val="22"/>
          <w:lang w:eastAsia="zh-CN"/>
        </w:rPr>
      </w:pP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如某货物采购项目，中标（成交）金额为600万元，总共交纳的代理服务费的具体计算过程如下：</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标准代理服务费＝（100万以下部分的代理服务费）+（100万～500万部分的代理服务费）+（500万～600万部分的代理服务费）＝100万元×1.5%+（500-100）万元×1.1%+（600-500）万元×0.8%=1.5万元+4.4万元+0.8万元＝6.7万元</w:t>
      </w:r>
    </w:p>
    <w:p>
      <w:pPr>
        <w:widowControl w:val="0"/>
        <w:ind w:firstLine="420" w:firstLineChars="200"/>
        <w:jc w:val="both"/>
        <w:rPr>
          <w:rFonts w:ascii="宋体" w:eastAsia="宋体" w:hAnsi="宋体"/>
          <w:b/>
          <w:bCs/>
          <w:sz w:val="28"/>
          <w:szCs w:val="28"/>
          <w:lang w:eastAsia="zh-CN"/>
        </w:rPr>
      </w:pP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3</w:t>
      </w:r>
      <w:r>
        <w:rPr>
          <w:rFonts w:ascii="Calibri" w:eastAsia="宋体" w:hAnsi="Calibri" w:cstheme="minorBidi" w:hint="eastAsia"/>
          <w:kern w:val="2"/>
          <w:sz w:val="21"/>
          <w:szCs w:val="22"/>
          <w:lang w:eastAsia="zh-CN"/>
        </w:rPr>
        <w:t>）中标（成交）供应商中标（成交）后，必须按规定采用银行对公转账方式向深圳交易集团有限公司直接交纳代理服务费，交纳信息及要求按照缴款</w:t>
      </w:r>
      <w:r>
        <w:rPr>
          <w:rFonts w:ascii="Calibri" w:eastAsia="宋体" w:hAnsi="Calibri" w:cstheme="minorBidi" w:hint="eastAsia"/>
          <w:kern w:val="2"/>
          <w:sz w:val="21"/>
          <w:szCs w:val="22"/>
          <w:lang w:eastAsia="zh-CN"/>
        </w:rPr>
        <w:t>（</w:t>
      </w:r>
      <w:r>
        <w:rPr>
          <w:rFonts w:eastAsia="宋体" w:hAnsi="Calibri" w:cstheme="minorBidi" w:hint="eastAsia"/>
          <w:kern w:val="2"/>
          <w:sz w:val="21"/>
          <w:szCs w:val="22"/>
          <w:lang w:eastAsia="zh-CN"/>
        </w:rPr>
        <w:t>付款</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通知书执行。</w:t>
      </w:r>
      <w:bookmarkStart w:id="32" w:name="_Toc128884461"/>
    </w:p>
    <w:p>
      <w:pPr>
        <w:widowControl w:val="0"/>
        <w:jc w:val="both"/>
        <w:rPr>
          <w:rFonts w:eastAsia="宋体"/>
          <w:kern w:val="2"/>
          <w:sz w:val="28"/>
          <w:szCs w:val="28"/>
          <w:lang w:eastAsia="zh-CN"/>
        </w:rPr>
      </w:pPr>
      <w:r>
        <w:rPr>
          <w:rFonts w:eastAsia="宋体" w:hint="eastAsia"/>
          <w:kern w:val="2"/>
          <w:sz w:val="28"/>
          <w:szCs w:val="28"/>
          <w:lang w:eastAsia="zh-CN"/>
        </w:rPr>
        <w:br w:type="page"/>
      </w:r>
    </w:p>
    <w:p>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第三章 用户需求书</w:t>
      </w:r>
    </w:p>
    <w:p>
      <w:pPr>
        <w:keepNext/>
        <w:keepLines/>
        <w:widowControl w:val="0"/>
        <w:adjustRightInd w:val="0"/>
        <w:spacing w:before="120" w:beforeLines="50" w:after="120" w:afterLines="50"/>
        <w:jc w:val="center"/>
        <w:textAlignment w:val="baseline"/>
        <w:outlineLvl w:val="1"/>
        <w:rPr>
          <w:rFonts w:ascii="宋体" w:eastAsia="宋体" w:hAnsi="宋体"/>
          <w:b/>
          <w:bCs/>
          <w:lang w:eastAsia="zh-CN"/>
        </w:rPr>
      </w:pPr>
      <w:r>
        <w:rPr>
          <w:rFonts w:ascii="宋体" w:eastAsia="宋体" w:hAnsi="宋体" w:hint="eastAsia"/>
          <w:b/>
          <w:bCs/>
          <w:lang w:eastAsia="zh-CN"/>
        </w:rPr>
        <w:t>一、项目基本信息</w:t>
      </w:r>
    </w:p>
    <w:tbl>
      <w:tblPr>
        <w:tblStyle w:val="TableNormal"/>
        <w:tblpPr w:leftFromText="180" w:rightFromText="180" w:vertAnchor="text" w:horzAnchor="margin" w:tblpY="17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12"/>
        <w:gridCol w:w="2442"/>
        <w:gridCol w:w="3175"/>
        <w:gridCol w:w="264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4"/>
        </w:trPr>
        <w:tc>
          <w:tcPr>
            <w:tcW w:w="771" w:type="dxa"/>
            <w:vAlign w:val="center"/>
          </w:tcPr>
          <w:p>
            <w:pPr>
              <w:widowControl w:val="0"/>
              <w:spacing w:line="276" w:lineRule="auto"/>
              <w:jc w:val="center"/>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序号</w:t>
            </w:r>
          </w:p>
        </w:tc>
        <w:tc>
          <w:tcPr>
            <w:tcW w:w="2317" w:type="dxa"/>
            <w:vAlign w:val="center"/>
          </w:tcPr>
          <w:p>
            <w:pPr>
              <w:widowControl w:val="0"/>
              <w:spacing w:line="276" w:lineRule="auto"/>
              <w:jc w:val="center"/>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采购计划编号</w:t>
            </w:r>
          </w:p>
        </w:tc>
        <w:tc>
          <w:tcPr>
            <w:tcW w:w="3012" w:type="dxa"/>
            <w:vAlign w:val="center"/>
          </w:tcPr>
          <w:p>
            <w:pPr>
              <w:widowControl w:val="0"/>
              <w:spacing w:line="276" w:lineRule="auto"/>
              <w:jc w:val="center"/>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采购项目名称</w:t>
            </w:r>
          </w:p>
        </w:tc>
        <w:tc>
          <w:tcPr>
            <w:tcW w:w="2513" w:type="dxa"/>
            <w:vAlign w:val="center"/>
          </w:tcPr>
          <w:p>
            <w:pPr>
              <w:widowControl w:val="0"/>
              <w:spacing w:line="276" w:lineRule="auto"/>
              <w:jc w:val="center"/>
              <w:rPr>
                <w:rFonts w:ascii="宋体" w:eastAsia="宋体" w:hAnsi="宋体" w:cs="宋体"/>
                <w:b/>
                <w:color w:val="FF0000"/>
                <w:kern w:val="2"/>
                <w:sz w:val="21"/>
                <w:szCs w:val="21"/>
                <w:lang w:eastAsia="zh-CN"/>
              </w:rPr>
            </w:pPr>
            <w:r>
              <w:rPr>
                <w:rFonts w:ascii="宋体" w:eastAsia="宋体" w:hAnsi="宋体" w:cstheme="minorBidi" w:hint="eastAsia"/>
                <w:b/>
                <w:color w:val="FF0000"/>
                <w:kern w:val="2"/>
                <w:szCs w:val="21"/>
                <w:lang w:eastAsia="zh-CN"/>
              </w:rPr>
              <w:t>年度总支付金额上限</w:t>
            </w:r>
          </w:p>
        </w:tc>
      </w:tr>
      <w:tr>
        <w:tblPrEx>
          <w:tblW w:w="5000" w:type="pct"/>
          <w:tblInd w:w="0" w:type="dxa"/>
          <w:tblLayout w:type="fixed"/>
          <w:tblCellMar>
            <w:top w:w="0" w:type="dxa"/>
            <w:left w:w="108" w:type="dxa"/>
            <w:bottom w:w="0" w:type="dxa"/>
            <w:right w:w="108" w:type="dxa"/>
          </w:tblCellMar>
        </w:tblPrEx>
        <w:trPr>
          <w:trHeight w:val="413"/>
        </w:trPr>
        <w:tc>
          <w:tcPr>
            <w:tcW w:w="771" w:type="dxa"/>
            <w:vAlign w:val="center"/>
          </w:tcPr>
          <w:p>
            <w:pPr>
              <w:widowControl w:val="0"/>
              <w:spacing w:line="276" w:lineRule="auto"/>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1</w:t>
            </w:r>
          </w:p>
        </w:tc>
        <w:tc>
          <w:tcPr>
            <w:tcW w:w="2317" w:type="dxa"/>
            <w:vAlign w:val="center"/>
          </w:tcPr>
          <w:p>
            <w:pPr>
              <w:widowControl w:val="0"/>
              <w:spacing w:line="276" w:lineRule="auto"/>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JYCG-DECL-2025-06607</w:t>
            </w:r>
          </w:p>
        </w:tc>
        <w:tc>
          <w:tcPr>
            <w:tcW w:w="3012" w:type="dxa"/>
            <w:vAlign w:val="center"/>
          </w:tcPr>
          <w:p>
            <w:pPr>
              <w:widowControl w:val="0"/>
              <w:spacing w:line="276" w:lineRule="auto"/>
              <w:jc w:val="center"/>
              <w:rPr>
                <w:rFonts w:ascii="宋体" w:eastAsia="宋体" w:hAnsi="宋体" w:cs="宋体"/>
                <w:b/>
                <w:bCs/>
                <w:color w:val="FF0000"/>
                <w:kern w:val="2"/>
                <w:sz w:val="21"/>
                <w:szCs w:val="21"/>
                <w:lang w:eastAsia="zh-CN"/>
              </w:rPr>
            </w:pPr>
            <w:r>
              <w:rPr>
                <w:rFonts w:ascii="宋体" w:eastAsia="宋体" w:hAnsi="宋体" w:cs="宋体" w:hint="eastAsia"/>
                <w:b/>
                <w:bCs/>
                <w:color w:val="FF0000"/>
                <w:kern w:val="2"/>
                <w:sz w:val="21"/>
                <w:szCs w:val="21"/>
                <w:lang w:eastAsia="zh-CN"/>
              </w:rPr>
              <w:t>深圳市南山区妇幼保健院院内零星修缮服务</w:t>
            </w:r>
          </w:p>
        </w:tc>
        <w:tc>
          <w:tcPr>
            <w:tcW w:w="2513" w:type="dxa"/>
            <w:vAlign w:val="center"/>
          </w:tcPr>
          <w:p>
            <w:pPr>
              <w:widowControl w:val="0"/>
              <w:spacing w:line="276" w:lineRule="auto"/>
              <w:jc w:val="both"/>
              <w:rPr>
                <w:rFonts w:ascii="宋体" w:eastAsia="宋体" w:hAnsi="宋体" w:cs="宋体"/>
                <w:b/>
                <w:color w:val="FF0000"/>
                <w:kern w:val="2"/>
                <w:sz w:val="21"/>
                <w:szCs w:val="21"/>
                <w:lang w:eastAsia="zh-CN"/>
              </w:rPr>
            </w:pPr>
            <w:r>
              <w:rPr>
                <w:rFonts w:ascii="宋体" w:eastAsia="宋体" w:hAnsi="宋体" w:cs="宋体"/>
                <w:b/>
                <w:color w:val="FF0000"/>
                <w:kern w:val="2"/>
                <w:sz w:val="21"/>
                <w:szCs w:val="21"/>
                <w:lang w:eastAsia="zh-CN"/>
              </w:rPr>
              <w:t>本项目按实际发生量结算，年度总支付金额上限为</w:t>
            </w:r>
            <w:r>
              <w:rPr>
                <w:rFonts w:ascii="宋体" w:eastAsia="宋体" w:hAnsi="宋体" w:cs="宋体" w:hint="eastAsia"/>
                <w:b/>
                <w:color w:val="FF0000"/>
                <w:kern w:val="2"/>
                <w:sz w:val="21"/>
                <w:szCs w:val="21"/>
                <w:lang w:eastAsia="zh-CN"/>
              </w:rPr>
              <w:t>99</w:t>
            </w:r>
            <w:r>
              <w:rPr>
                <w:rFonts w:ascii="宋体" w:eastAsia="宋体" w:hAnsi="宋体" w:cs="宋体"/>
                <w:b/>
                <w:color w:val="FF0000"/>
                <w:kern w:val="2"/>
                <w:sz w:val="21"/>
                <w:szCs w:val="21"/>
                <w:lang w:eastAsia="zh-CN"/>
              </w:rPr>
              <w:t>万元/年</w:t>
            </w:r>
            <w:r>
              <w:rPr>
                <w:rFonts w:ascii="宋体" w:eastAsia="宋体" w:hAnsi="宋体" w:cs="宋体" w:hint="eastAsia"/>
                <w:b/>
                <w:color w:val="FF0000"/>
                <w:kern w:val="2"/>
                <w:sz w:val="21"/>
                <w:szCs w:val="21"/>
                <w:lang w:eastAsia="zh-CN"/>
              </w:rPr>
              <w:t>。</w:t>
            </w:r>
          </w:p>
        </w:tc>
      </w:tr>
    </w:tbl>
    <w:p>
      <w:pPr>
        <w:keepNext/>
        <w:keepLines/>
        <w:widowControl w:val="0"/>
        <w:adjustRightInd w:val="0"/>
        <w:spacing w:before="120" w:beforeLines="50" w:after="120" w:afterLines="50"/>
        <w:jc w:val="center"/>
        <w:textAlignment w:val="baseline"/>
        <w:outlineLvl w:val="1"/>
        <w:rPr>
          <w:rFonts w:ascii="宋体" w:eastAsia="宋体" w:hAnsi="宋体"/>
          <w:b/>
          <w:bCs/>
          <w:lang w:eastAsia="zh-CN"/>
        </w:rPr>
      </w:pPr>
    </w:p>
    <w:p>
      <w:pPr>
        <w:keepNext/>
        <w:keepLines/>
        <w:widowControl w:val="0"/>
        <w:adjustRightInd w:val="0"/>
        <w:spacing w:before="120" w:beforeLines="50" w:after="120" w:afterLines="50"/>
        <w:jc w:val="center"/>
        <w:textAlignment w:val="baseline"/>
        <w:outlineLvl w:val="1"/>
        <w:rPr>
          <w:rFonts w:ascii="宋体" w:eastAsia="宋体" w:hAnsi="宋体"/>
          <w:b/>
          <w:bCs/>
          <w:lang w:eastAsia="zh-CN"/>
        </w:rPr>
      </w:pPr>
      <w:r>
        <w:rPr>
          <w:rFonts w:ascii="宋体" w:eastAsia="宋体" w:hAnsi="宋体" w:hint="eastAsia"/>
          <w:b/>
          <w:bCs/>
          <w:lang w:eastAsia="zh-CN"/>
        </w:rPr>
        <w:t>二、项目概况</w:t>
      </w:r>
    </w:p>
    <w:p>
      <w:pPr>
        <w:widowControl w:val="0"/>
        <w:spacing w:line="360" w:lineRule="auto"/>
        <w:ind w:firstLine="420" w:firstLineChars="200"/>
        <w:jc w:val="both"/>
        <w:rPr>
          <w:rFonts w:eastAsia="宋体"/>
          <w:kern w:val="2"/>
          <w:sz w:val="21"/>
          <w:lang w:eastAsia="zh-CN"/>
        </w:rPr>
      </w:pPr>
      <w:r>
        <w:rPr>
          <w:rFonts w:eastAsia="宋体" w:hint="eastAsia"/>
          <w:kern w:val="2"/>
          <w:sz w:val="21"/>
          <w:lang w:eastAsia="zh-CN"/>
        </w:rPr>
        <w:t>为了做好我院院内零星修缮服务工作，拟招标一家服务商负责实施。</w:t>
      </w:r>
    </w:p>
    <w:p>
      <w:pPr>
        <w:widowControl w:val="0"/>
        <w:spacing w:line="360" w:lineRule="auto"/>
        <w:ind w:firstLine="420" w:firstLineChars="200"/>
        <w:jc w:val="both"/>
        <w:rPr>
          <w:rFonts w:eastAsia="宋体"/>
          <w:b/>
          <w:bCs/>
          <w:kern w:val="2"/>
          <w:sz w:val="21"/>
          <w:lang w:eastAsia="zh-CN"/>
        </w:rPr>
      </w:pPr>
      <w:r>
        <w:rPr>
          <w:rFonts w:eastAsia="宋体" w:hint="eastAsia"/>
          <w:b/>
          <w:bCs/>
          <w:kern w:val="2"/>
          <w:sz w:val="21"/>
          <w:lang w:eastAsia="zh-CN"/>
        </w:rPr>
        <w:t>1.招标内容：</w:t>
      </w:r>
    </w:p>
    <w:p>
      <w:pPr>
        <w:widowControl w:val="0"/>
        <w:spacing w:line="360" w:lineRule="auto"/>
        <w:ind w:firstLine="420" w:firstLineChars="200"/>
        <w:jc w:val="both"/>
        <w:rPr>
          <w:rFonts w:eastAsia="宋体"/>
          <w:kern w:val="2"/>
          <w:sz w:val="21"/>
          <w:lang w:eastAsia="zh-CN"/>
        </w:rPr>
      </w:pPr>
      <w:r>
        <w:rPr>
          <w:rFonts w:eastAsia="宋体" w:hint="eastAsia"/>
          <w:kern w:val="2"/>
          <w:sz w:val="21"/>
          <w:lang w:eastAsia="zh-CN"/>
        </w:rPr>
        <w:t>包括但不限于：承担院内单个项目费用5万元以内（不含5万）的零星修缮服务，主要包括：</w:t>
      </w:r>
    </w:p>
    <w:p>
      <w:pPr>
        <w:widowControl w:val="0"/>
        <w:spacing w:line="360" w:lineRule="auto"/>
        <w:ind w:firstLine="420" w:firstLineChars="200"/>
        <w:jc w:val="both"/>
        <w:rPr>
          <w:rFonts w:eastAsia="宋体"/>
          <w:kern w:val="2"/>
          <w:sz w:val="21"/>
          <w:lang w:eastAsia="zh-CN"/>
        </w:rPr>
      </w:pPr>
      <w:r>
        <w:rPr>
          <w:rFonts w:eastAsia="宋体" w:hint="eastAsia"/>
          <w:kern w:val="2"/>
          <w:sz w:val="21"/>
          <w:lang w:eastAsia="zh-CN"/>
        </w:rPr>
        <w:t>1）建筑室内外局部零星修缮改造；</w:t>
      </w:r>
    </w:p>
    <w:p>
      <w:pPr>
        <w:widowControl w:val="0"/>
        <w:spacing w:line="360" w:lineRule="auto"/>
        <w:ind w:firstLine="420" w:firstLineChars="200"/>
        <w:jc w:val="both"/>
        <w:rPr>
          <w:rFonts w:eastAsia="宋体"/>
          <w:kern w:val="2"/>
          <w:sz w:val="21"/>
          <w:lang w:eastAsia="zh-CN"/>
        </w:rPr>
      </w:pPr>
      <w:r>
        <w:rPr>
          <w:rFonts w:eastAsia="宋体" w:hint="eastAsia"/>
          <w:kern w:val="2"/>
          <w:sz w:val="21"/>
          <w:lang w:eastAsia="zh-CN"/>
        </w:rPr>
        <w:t>2）局部零星水电修缮改造；</w:t>
      </w:r>
    </w:p>
    <w:p>
      <w:pPr>
        <w:widowControl w:val="0"/>
        <w:spacing w:line="360" w:lineRule="auto"/>
        <w:ind w:firstLine="420" w:firstLineChars="200"/>
        <w:jc w:val="both"/>
        <w:rPr>
          <w:rFonts w:eastAsia="宋体"/>
          <w:kern w:val="2"/>
          <w:sz w:val="21"/>
          <w:lang w:eastAsia="zh-CN"/>
        </w:rPr>
      </w:pPr>
      <w:r>
        <w:rPr>
          <w:rFonts w:eastAsia="宋体" w:hint="eastAsia"/>
          <w:kern w:val="2"/>
          <w:sz w:val="21"/>
          <w:lang w:eastAsia="zh-CN"/>
        </w:rPr>
        <w:t>3）局部零星防水补漏；</w:t>
      </w:r>
    </w:p>
    <w:p>
      <w:pPr>
        <w:widowControl w:val="0"/>
        <w:spacing w:line="360" w:lineRule="auto"/>
        <w:ind w:firstLine="420" w:firstLineChars="200"/>
        <w:jc w:val="both"/>
        <w:rPr>
          <w:rFonts w:eastAsia="宋体"/>
          <w:kern w:val="2"/>
          <w:sz w:val="21"/>
          <w:lang w:eastAsia="zh-CN"/>
        </w:rPr>
      </w:pPr>
      <w:r>
        <w:rPr>
          <w:rFonts w:eastAsia="宋体" w:hint="eastAsia"/>
          <w:kern w:val="2"/>
          <w:sz w:val="21"/>
          <w:lang w:eastAsia="zh-CN"/>
        </w:rPr>
        <w:t>4）基建设施突发故障修缮；</w:t>
      </w:r>
    </w:p>
    <w:p>
      <w:pPr>
        <w:widowControl w:val="0"/>
        <w:spacing w:line="360" w:lineRule="auto"/>
        <w:ind w:firstLine="420" w:firstLineChars="200"/>
        <w:jc w:val="both"/>
        <w:rPr>
          <w:rFonts w:eastAsia="宋体"/>
          <w:kern w:val="2"/>
          <w:sz w:val="21"/>
          <w:lang w:eastAsia="zh-CN"/>
        </w:rPr>
      </w:pPr>
      <w:r>
        <w:rPr>
          <w:rFonts w:eastAsia="宋体" w:hint="eastAsia"/>
          <w:kern w:val="2"/>
          <w:sz w:val="21"/>
          <w:lang w:eastAsia="zh-CN"/>
        </w:rPr>
        <w:t>5）上级机关对我院检查工作中发现需要限时立即整改的项目；</w:t>
      </w:r>
    </w:p>
    <w:p>
      <w:pPr>
        <w:widowControl w:val="0"/>
        <w:spacing w:line="360" w:lineRule="auto"/>
        <w:ind w:firstLine="420" w:firstLineChars="200"/>
        <w:jc w:val="both"/>
        <w:rPr>
          <w:rFonts w:eastAsia="宋体"/>
          <w:kern w:val="2"/>
          <w:sz w:val="21"/>
          <w:lang w:eastAsia="zh-CN"/>
        </w:rPr>
      </w:pPr>
      <w:r>
        <w:rPr>
          <w:rFonts w:eastAsia="宋体" w:hint="eastAsia"/>
          <w:kern w:val="2"/>
          <w:sz w:val="21"/>
          <w:lang w:eastAsia="zh-CN"/>
        </w:rPr>
        <w:t>6）其它小型零星修缮等；</w:t>
      </w:r>
    </w:p>
    <w:p>
      <w:pPr>
        <w:widowControl w:val="0"/>
        <w:spacing w:line="360" w:lineRule="auto"/>
        <w:ind w:firstLine="420" w:firstLineChars="200"/>
        <w:jc w:val="both"/>
        <w:rPr>
          <w:rFonts w:eastAsia="宋体"/>
          <w:kern w:val="2"/>
          <w:sz w:val="21"/>
          <w:lang w:eastAsia="zh-CN"/>
        </w:rPr>
      </w:pPr>
      <w:r>
        <w:rPr>
          <w:rFonts w:eastAsia="宋体" w:hint="eastAsia"/>
          <w:kern w:val="2"/>
          <w:sz w:val="21"/>
          <w:lang w:eastAsia="zh-CN"/>
        </w:rPr>
        <w:t>2.完成上述范围的项目设计和施工，采用设计-施工一体化实施该项目，设计图经我院确认后才能进行下一步施工。</w:t>
      </w:r>
    </w:p>
    <w:p>
      <w:pPr>
        <w:widowControl w:val="0"/>
        <w:spacing w:line="360" w:lineRule="auto"/>
        <w:ind w:firstLine="420" w:firstLineChars="200"/>
        <w:jc w:val="both"/>
        <w:rPr>
          <w:rFonts w:eastAsia="宋体"/>
          <w:kern w:val="2"/>
          <w:sz w:val="21"/>
          <w:lang w:eastAsia="zh-CN"/>
        </w:rPr>
      </w:pPr>
      <w:r>
        <w:rPr>
          <w:rFonts w:eastAsia="宋体" w:hint="eastAsia"/>
          <w:kern w:val="2"/>
          <w:sz w:val="21"/>
          <w:lang w:eastAsia="zh-CN"/>
        </w:rPr>
        <w:t>3.单一项目预算在2万元（含）以上5万元以内（不含5万）的零星修缮服务，中标人需事先根据甲方提出的零星修缮项目提交施工工序、工程量预估报价清单，施工平面图等，经甲方医院院长办公会审议批准后方可实施。</w:t>
      </w:r>
    </w:p>
    <w:p>
      <w:pPr>
        <w:widowControl w:val="0"/>
        <w:jc w:val="both"/>
        <w:rPr>
          <w:rFonts w:eastAsia="宋体"/>
          <w:kern w:val="2"/>
          <w:sz w:val="21"/>
          <w:lang w:eastAsia="zh-CN"/>
        </w:rPr>
      </w:pPr>
    </w:p>
    <w:p>
      <w:pPr>
        <w:keepNext/>
        <w:keepLines/>
        <w:widowControl w:val="0"/>
        <w:adjustRightInd w:val="0"/>
        <w:spacing w:before="120" w:beforeLines="50" w:after="120" w:afterLines="50"/>
        <w:jc w:val="center"/>
        <w:textAlignment w:val="baseline"/>
        <w:outlineLvl w:val="1"/>
        <w:rPr>
          <w:rFonts w:ascii="宋体" w:eastAsia="宋体" w:hAnsi="宋体"/>
          <w:b/>
          <w:bCs/>
          <w:lang w:eastAsia="zh-CN"/>
        </w:rPr>
      </w:pPr>
      <w:r>
        <w:rPr>
          <w:rFonts w:ascii="宋体" w:eastAsia="宋体" w:hAnsi="宋体" w:hint="eastAsia"/>
          <w:b/>
          <w:bCs/>
          <w:lang w:eastAsia="zh-CN"/>
        </w:rPr>
        <w:t>三、服务需求明细</w:t>
      </w:r>
    </w:p>
    <w:tbl>
      <w:tblPr>
        <w:tblStyle w:val="TableNormal"/>
        <w:tblpPr w:leftFromText="180" w:rightFromText="180" w:vertAnchor="text" w:horzAnchor="margin" w:tblpY="17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29"/>
        <w:gridCol w:w="1188"/>
        <w:gridCol w:w="3279"/>
        <w:gridCol w:w="465"/>
        <w:gridCol w:w="541"/>
        <w:gridCol w:w="1349"/>
        <w:gridCol w:w="172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1"/>
        </w:trPr>
        <w:tc>
          <w:tcPr>
            <w:tcW w:w="291" w:type="pct"/>
            <w:vAlign w:val="center"/>
          </w:tcPr>
          <w:p>
            <w:pPr>
              <w:widowControl w:val="0"/>
              <w:spacing w:line="276"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序号</w:t>
            </w:r>
          </w:p>
        </w:tc>
        <w:tc>
          <w:tcPr>
            <w:tcW w:w="654" w:type="pct"/>
            <w:vAlign w:val="center"/>
          </w:tcPr>
          <w:p>
            <w:pPr>
              <w:widowControl w:val="0"/>
              <w:spacing w:line="276" w:lineRule="auto"/>
              <w:jc w:val="center"/>
              <w:rPr>
                <w:rFonts w:ascii="宋体" w:eastAsia="宋体" w:hAnsi="宋体" w:cs="宋体"/>
                <w:b/>
                <w:bCs/>
                <w:kern w:val="2"/>
                <w:sz w:val="21"/>
                <w:szCs w:val="21"/>
                <w:lang w:eastAsia="zh-CN"/>
              </w:rPr>
            </w:pPr>
            <w:r>
              <w:rPr>
                <w:rFonts w:ascii="宋体" w:eastAsia="宋体" w:hAnsi="宋体" w:cs="宋体" w:hint="eastAsia"/>
                <w:b/>
                <w:kern w:val="2"/>
                <w:sz w:val="21"/>
                <w:szCs w:val="21"/>
                <w:lang w:eastAsia="zh-CN"/>
              </w:rPr>
              <w:t>采购计划编号</w:t>
            </w:r>
          </w:p>
        </w:tc>
        <w:tc>
          <w:tcPr>
            <w:tcW w:w="1805" w:type="pct"/>
            <w:vAlign w:val="center"/>
          </w:tcPr>
          <w:p>
            <w:pPr>
              <w:widowControl w:val="0"/>
              <w:spacing w:line="276"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服务需求名称（标的名称）</w:t>
            </w:r>
          </w:p>
        </w:tc>
        <w:tc>
          <w:tcPr>
            <w:tcW w:w="256" w:type="pct"/>
            <w:vAlign w:val="center"/>
          </w:tcPr>
          <w:p>
            <w:pPr>
              <w:widowControl w:val="0"/>
              <w:spacing w:line="276"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数量</w:t>
            </w:r>
          </w:p>
        </w:tc>
        <w:tc>
          <w:tcPr>
            <w:tcW w:w="298" w:type="pct"/>
            <w:vAlign w:val="center"/>
          </w:tcPr>
          <w:p>
            <w:pPr>
              <w:widowControl w:val="0"/>
              <w:spacing w:line="276"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单位</w:t>
            </w:r>
          </w:p>
        </w:tc>
        <w:tc>
          <w:tcPr>
            <w:tcW w:w="743" w:type="pct"/>
            <w:vAlign w:val="center"/>
          </w:tcPr>
          <w:p>
            <w:pPr>
              <w:widowControl w:val="0"/>
              <w:jc w:val="center"/>
              <w:rPr>
                <w:rFonts w:ascii="宋体" w:eastAsia="宋体" w:hAnsi="宋体" w:cs="宋体"/>
                <w:b/>
                <w:bCs/>
                <w:color w:val="FF0000"/>
                <w:kern w:val="2"/>
                <w:sz w:val="21"/>
                <w:szCs w:val="21"/>
                <w:lang w:eastAsia="zh-CN"/>
              </w:rPr>
            </w:pPr>
            <w:r>
              <w:rPr>
                <w:rFonts w:eastAsia="宋体" w:hAnsi="Calibri" w:cstheme="minorBidi" w:hint="eastAsia"/>
                <w:b/>
                <w:bCs/>
                <w:color w:val="FF0000"/>
                <w:kern w:val="2"/>
                <w:sz w:val="21"/>
                <w:szCs w:val="21"/>
                <w:lang w:eastAsia="zh-CN"/>
              </w:rPr>
              <w:t>是否专门面向中小企业</w:t>
            </w:r>
          </w:p>
        </w:tc>
        <w:tc>
          <w:tcPr>
            <w:tcW w:w="950" w:type="pct"/>
            <w:vAlign w:val="center"/>
          </w:tcPr>
          <w:p>
            <w:pPr>
              <w:widowControl w:val="0"/>
              <w:jc w:val="center"/>
              <w:rPr>
                <w:rFonts w:ascii="宋体" w:eastAsia="宋体" w:hAnsi="宋体" w:cs="宋体"/>
                <w:b/>
                <w:bCs/>
                <w:color w:val="FF0000"/>
                <w:kern w:val="2"/>
                <w:sz w:val="21"/>
                <w:szCs w:val="21"/>
                <w:lang w:eastAsia="zh-CN"/>
              </w:rPr>
            </w:pPr>
            <w:r>
              <w:rPr>
                <w:rFonts w:eastAsia="宋体" w:hAnsi="Calibri" w:cstheme="minorBidi" w:hint="eastAsia"/>
                <w:b/>
                <w:bCs/>
                <w:color w:val="FF0000"/>
                <w:kern w:val="2"/>
                <w:sz w:val="21"/>
                <w:szCs w:val="21"/>
                <w:lang w:eastAsia="zh-CN"/>
              </w:rPr>
              <w:t>标的所属行业</w:t>
            </w:r>
          </w:p>
        </w:tc>
      </w:tr>
      <w:tr>
        <w:tblPrEx>
          <w:tblW w:w="5000" w:type="pct"/>
          <w:tblInd w:w="0" w:type="dxa"/>
          <w:tblLayout w:type="fixed"/>
          <w:tblCellMar>
            <w:top w:w="0" w:type="dxa"/>
            <w:left w:w="108" w:type="dxa"/>
            <w:bottom w:w="0" w:type="dxa"/>
            <w:right w:w="108" w:type="dxa"/>
          </w:tblCellMar>
        </w:tblPrEx>
        <w:trPr>
          <w:trHeight w:val="361"/>
        </w:trPr>
        <w:tc>
          <w:tcPr>
            <w:tcW w:w="291" w:type="pct"/>
            <w:vAlign w:val="center"/>
          </w:tcPr>
          <w:p>
            <w:pPr>
              <w:widowControl w:val="0"/>
              <w:spacing w:line="276" w:lineRule="auto"/>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1</w:t>
            </w:r>
          </w:p>
        </w:tc>
        <w:tc>
          <w:tcPr>
            <w:tcW w:w="654" w:type="pct"/>
            <w:vAlign w:val="center"/>
          </w:tcPr>
          <w:p>
            <w:pPr>
              <w:widowControl w:val="0"/>
              <w:spacing w:line="276" w:lineRule="auto"/>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JYCG-DECL-2025-06607</w:t>
            </w:r>
          </w:p>
        </w:tc>
        <w:tc>
          <w:tcPr>
            <w:tcW w:w="1805" w:type="pct"/>
            <w:vAlign w:val="center"/>
          </w:tcPr>
          <w:p>
            <w:pPr>
              <w:widowControl w:val="0"/>
              <w:spacing w:line="276" w:lineRule="auto"/>
              <w:jc w:val="center"/>
              <w:rPr>
                <w:rFonts w:ascii="宋体" w:eastAsia="宋体" w:hAnsi="宋体" w:cs="宋体"/>
                <w:bCs/>
                <w:kern w:val="2"/>
                <w:sz w:val="21"/>
                <w:szCs w:val="21"/>
                <w:lang w:eastAsia="zh-CN"/>
              </w:rPr>
            </w:pPr>
            <w:r>
              <w:rPr>
                <w:rFonts w:ascii="宋体" w:eastAsia="宋体" w:hAnsi="宋体" w:cs="宋体" w:hint="eastAsia"/>
                <w:b/>
                <w:bCs/>
                <w:color w:val="FF0000"/>
                <w:kern w:val="2"/>
                <w:sz w:val="21"/>
                <w:szCs w:val="21"/>
                <w:lang w:eastAsia="zh-CN"/>
              </w:rPr>
              <w:t>深圳市南山区妇幼保健院院内零星修缮服务</w:t>
            </w:r>
          </w:p>
        </w:tc>
        <w:tc>
          <w:tcPr>
            <w:tcW w:w="256" w:type="pct"/>
            <w:vAlign w:val="center"/>
          </w:tcPr>
          <w:p>
            <w:pPr>
              <w:widowControl w:val="0"/>
              <w:spacing w:line="276"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1</w:t>
            </w:r>
          </w:p>
        </w:tc>
        <w:tc>
          <w:tcPr>
            <w:tcW w:w="298" w:type="pct"/>
            <w:vAlign w:val="center"/>
          </w:tcPr>
          <w:p>
            <w:pPr>
              <w:widowControl w:val="0"/>
              <w:spacing w:line="276"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项</w:t>
            </w:r>
          </w:p>
        </w:tc>
        <w:tc>
          <w:tcPr>
            <w:tcW w:w="743" w:type="pct"/>
            <w:vAlign w:val="center"/>
          </w:tcPr>
          <w:p>
            <w:pPr>
              <w:widowControl w:val="0"/>
              <w:spacing w:line="276" w:lineRule="auto"/>
              <w:jc w:val="center"/>
              <w:rPr>
                <w:rFonts w:ascii="宋体" w:eastAsia="宋体" w:hAnsi="宋体" w:cs="宋体"/>
                <w:b/>
                <w:bCs/>
                <w:color w:val="FF0000"/>
                <w:kern w:val="2"/>
                <w:sz w:val="21"/>
                <w:szCs w:val="21"/>
                <w:lang w:eastAsia="zh-CN"/>
              </w:rPr>
            </w:pPr>
            <w:r>
              <w:rPr>
                <w:rFonts w:ascii="宋体" w:eastAsia="宋体" w:hAnsi="宋体" w:cs="宋体" w:hint="eastAsia"/>
                <w:b/>
                <w:bCs/>
                <w:color w:val="FF0000"/>
                <w:kern w:val="2"/>
                <w:sz w:val="21"/>
                <w:szCs w:val="21"/>
                <w:lang w:eastAsia="zh-CN"/>
              </w:rPr>
              <w:t>否</w:t>
            </w:r>
          </w:p>
        </w:tc>
        <w:tc>
          <w:tcPr>
            <w:tcW w:w="950" w:type="pct"/>
            <w:vAlign w:val="center"/>
          </w:tcPr>
          <w:p>
            <w:pPr>
              <w:widowControl w:val="0"/>
              <w:spacing w:line="276" w:lineRule="auto"/>
              <w:jc w:val="center"/>
              <w:rPr>
                <w:rFonts w:ascii="宋体" w:eastAsia="宋体" w:hAnsi="宋体" w:cs="宋体"/>
                <w:b/>
                <w:bCs/>
                <w:color w:val="FF0000"/>
                <w:kern w:val="2"/>
                <w:sz w:val="21"/>
                <w:szCs w:val="21"/>
                <w:lang w:eastAsia="zh-CN"/>
              </w:rPr>
            </w:pPr>
            <w:r>
              <w:rPr>
                <w:rFonts w:ascii="宋体" w:eastAsia="宋体" w:hAnsi="宋体" w:cs="宋体" w:hint="eastAsia"/>
                <w:b/>
                <w:bCs/>
                <w:color w:val="FF0000"/>
                <w:kern w:val="2"/>
                <w:sz w:val="21"/>
                <w:szCs w:val="21"/>
                <w:lang w:eastAsia="zh-CN"/>
              </w:rPr>
              <w:t>建筑业</w:t>
            </w:r>
          </w:p>
        </w:tc>
      </w:tr>
    </w:tbl>
    <w:p>
      <w:pPr>
        <w:widowControl w:val="0"/>
        <w:jc w:val="both"/>
        <w:rPr>
          <w:rFonts w:eastAsia="宋体"/>
          <w:kern w:val="2"/>
          <w:sz w:val="21"/>
          <w:lang w:eastAsia="zh-CN"/>
        </w:rPr>
      </w:pPr>
    </w:p>
    <w:p>
      <w:pPr>
        <w:keepNext/>
        <w:keepLines/>
        <w:widowControl w:val="0"/>
        <w:adjustRightInd w:val="0"/>
        <w:spacing w:before="120" w:beforeLines="50" w:after="120" w:afterLines="50"/>
        <w:jc w:val="center"/>
        <w:textAlignment w:val="baseline"/>
        <w:outlineLvl w:val="1"/>
        <w:rPr>
          <w:rFonts w:ascii="宋体" w:eastAsia="宋体" w:hAnsi="宋体"/>
          <w:b/>
          <w:bCs/>
          <w:lang w:eastAsia="zh-CN"/>
        </w:rPr>
      </w:pPr>
      <w:r>
        <w:rPr>
          <w:rFonts w:ascii="宋体" w:eastAsia="宋体" w:hAnsi="宋体" w:hint="eastAsia"/>
          <w:b/>
          <w:bCs/>
          <w:lang w:eastAsia="zh-CN"/>
        </w:rPr>
        <w:t>四、实质性条款</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81"/>
        <w:gridCol w:w="829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0"/>
        </w:trPr>
        <w:tc>
          <w:tcPr>
            <w:tcW w:w="772" w:type="dxa"/>
            <w:vAlign w:val="center"/>
          </w:tcPr>
          <w:p>
            <w:pPr>
              <w:widowControl w:val="0"/>
              <w:adjustRightInd w:val="0"/>
              <w:snapToGrid w:val="0"/>
              <w:spacing w:line="276" w:lineRule="auto"/>
              <w:jc w:val="center"/>
              <w:rPr>
                <w:rFonts w:ascii="宋体" w:eastAsia="宋体" w:hAnsi="宋体"/>
                <w:b/>
                <w:sz w:val="21"/>
                <w:szCs w:val="21"/>
                <w:lang w:eastAsia="zh-CN"/>
              </w:rPr>
            </w:pPr>
            <w:r>
              <w:rPr>
                <w:rFonts w:ascii="宋体" w:eastAsia="宋体" w:hAnsi="宋体" w:hint="eastAsia"/>
                <w:b/>
                <w:sz w:val="21"/>
                <w:szCs w:val="21"/>
                <w:lang w:eastAsia="zh-CN"/>
              </w:rPr>
              <w:t>序号</w:t>
            </w:r>
          </w:p>
        </w:tc>
        <w:tc>
          <w:tcPr>
            <w:tcW w:w="8207" w:type="dxa"/>
            <w:vAlign w:val="center"/>
          </w:tcPr>
          <w:p>
            <w:pPr>
              <w:widowControl w:val="0"/>
              <w:adjustRightInd w:val="0"/>
              <w:snapToGrid w:val="0"/>
              <w:spacing w:line="276" w:lineRule="auto"/>
              <w:jc w:val="center"/>
              <w:rPr>
                <w:rFonts w:ascii="宋体" w:eastAsia="宋体" w:hAnsi="宋体"/>
                <w:b/>
                <w:sz w:val="21"/>
                <w:szCs w:val="21"/>
                <w:lang w:eastAsia="zh-CN"/>
              </w:rPr>
            </w:pPr>
            <w:r>
              <w:rPr>
                <w:rFonts w:eastAsia="宋体" w:hint="eastAsia"/>
                <w:b/>
                <w:color w:val="FF0000"/>
                <w:kern w:val="2"/>
                <w:sz w:val="21"/>
                <w:szCs w:val="21"/>
                <w:lang w:eastAsia="zh-CN"/>
              </w:rPr>
              <w:t>★</w:t>
            </w:r>
            <w:r>
              <w:rPr>
                <w:rFonts w:ascii="宋体" w:eastAsia="宋体" w:hAnsi="宋体" w:hint="eastAsia"/>
                <w:b/>
                <w:sz w:val="21"/>
                <w:szCs w:val="21"/>
                <w:lang w:eastAsia="zh-CN"/>
              </w:rPr>
              <w:t>实质性条款具体内容</w:t>
            </w:r>
          </w:p>
        </w:tc>
      </w:tr>
      <w:tr>
        <w:tblPrEx>
          <w:tblW w:w="5000" w:type="pct"/>
          <w:tblInd w:w="0" w:type="dxa"/>
          <w:tblLayout w:type="fixed"/>
          <w:tblCellMar>
            <w:top w:w="0" w:type="dxa"/>
            <w:left w:w="108" w:type="dxa"/>
            <w:bottom w:w="0" w:type="dxa"/>
            <w:right w:w="108" w:type="dxa"/>
          </w:tblCellMar>
        </w:tblPrEx>
        <w:trPr>
          <w:trHeight w:val="434"/>
        </w:trPr>
        <w:tc>
          <w:tcPr>
            <w:tcW w:w="772" w:type="dxa"/>
            <w:vAlign w:val="center"/>
          </w:tcPr>
          <w:p>
            <w:pPr>
              <w:widowControl w:val="0"/>
              <w:adjustRightInd w:val="0"/>
              <w:snapToGrid w:val="0"/>
              <w:spacing w:line="276" w:lineRule="auto"/>
              <w:jc w:val="left"/>
              <w:rPr>
                <w:rFonts w:ascii="宋体" w:eastAsia="宋体" w:hAnsi="宋体"/>
                <w:sz w:val="21"/>
                <w:szCs w:val="21"/>
                <w:lang w:eastAsia="zh-CN"/>
              </w:rPr>
            </w:pPr>
            <w:r>
              <w:rPr>
                <w:rFonts w:ascii="宋体" w:eastAsia="宋体" w:hAnsi="宋体" w:hint="eastAsia"/>
                <w:sz w:val="21"/>
                <w:szCs w:val="21"/>
                <w:lang w:eastAsia="zh-CN"/>
              </w:rPr>
              <w:t>1</w:t>
            </w:r>
          </w:p>
        </w:tc>
        <w:tc>
          <w:tcPr>
            <w:tcW w:w="8207" w:type="dxa"/>
            <w:vAlign w:val="center"/>
          </w:tcPr>
          <w:p>
            <w:pPr>
              <w:widowControl w:val="0"/>
              <w:adjustRightInd w:val="0"/>
              <w:snapToGrid w:val="0"/>
              <w:spacing w:line="276" w:lineRule="auto"/>
              <w:jc w:val="left"/>
              <w:rPr>
                <w:rFonts w:eastAsia="宋体" w:hAnsi="宋体"/>
                <w:sz w:val="21"/>
                <w:szCs w:val="21"/>
                <w:lang w:eastAsia="zh-CN"/>
              </w:rPr>
            </w:pPr>
            <w:r>
              <w:rPr>
                <w:rFonts w:ascii="宋体" w:eastAsia="宋体" w:hAnsi="宋体" w:hint="eastAsia"/>
                <w:color w:val="FF0000"/>
                <w:kern w:val="2"/>
                <w:sz w:val="21"/>
                <w:szCs w:val="21"/>
                <w:lang w:eastAsia="zh-CN"/>
              </w:rPr>
              <w:t>★</w:t>
            </w:r>
            <w:r>
              <w:rPr>
                <w:rFonts w:ascii="宋体" w:eastAsia="宋体" w:hAnsi="宋体" w:hint="eastAsia"/>
                <w:b/>
                <w:bCs/>
                <w:color w:val="FF0000"/>
                <w:kern w:val="2"/>
                <w:sz w:val="21"/>
                <w:szCs w:val="21"/>
                <w:lang w:eastAsia="zh-CN"/>
              </w:rPr>
              <w:t>服务期限：自从合同签订或约定之日起1年（12个月）。</w:t>
            </w:r>
          </w:p>
        </w:tc>
      </w:tr>
      <w:tr>
        <w:tblPrEx>
          <w:tblW w:w="5000" w:type="pct"/>
          <w:tblInd w:w="0" w:type="dxa"/>
          <w:tblLayout w:type="fixed"/>
          <w:tblCellMar>
            <w:top w:w="0" w:type="dxa"/>
            <w:left w:w="108" w:type="dxa"/>
            <w:bottom w:w="0" w:type="dxa"/>
            <w:right w:w="108" w:type="dxa"/>
          </w:tblCellMar>
        </w:tblPrEx>
        <w:trPr>
          <w:trHeight w:val="434"/>
        </w:trPr>
        <w:tc>
          <w:tcPr>
            <w:tcW w:w="772" w:type="dxa"/>
            <w:vAlign w:val="center"/>
          </w:tcPr>
          <w:p>
            <w:pPr>
              <w:widowControl w:val="0"/>
              <w:adjustRightInd w:val="0"/>
              <w:snapToGrid w:val="0"/>
              <w:spacing w:line="276" w:lineRule="auto"/>
              <w:jc w:val="left"/>
              <w:rPr>
                <w:rFonts w:ascii="宋体" w:eastAsia="宋体" w:hAnsi="宋体"/>
                <w:sz w:val="21"/>
                <w:szCs w:val="21"/>
                <w:lang w:eastAsia="zh-CN"/>
              </w:rPr>
            </w:pPr>
            <w:r>
              <w:rPr>
                <w:rFonts w:ascii="宋体" w:eastAsia="宋体" w:hAnsi="宋体" w:hint="eastAsia"/>
                <w:sz w:val="21"/>
                <w:szCs w:val="21"/>
                <w:lang w:eastAsia="zh-CN"/>
              </w:rPr>
              <w:t>2</w:t>
            </w:r>
          </w:p>
        </w:tc>
        <w:tc>
          <w:tcPr>
            <w:tcW w:w="8207" w:type="dxa"/>
            <w:vAlign w:val="center"/>
          </w:tcPr>
          <w:p>
            <w:pPr>
              <w:widowControl w:val="0"/>
              <w:adjustRightInd w:val="0"/>
              <w:snapToGrid w:val="0"/>
              <w:spacing w:line="276" w:lineRule="auto"/>
              <w:jc w:val="left"/>
              <w:rPr>
                <w:rFonts w:eastAsia="宋体" w:hAnsi="宋体"/>
                <w:b/>
                <w:bCs/>
                <w:color w:val="FF0000"/>
                <w:sz w:val="21"/>
                <w:szCs w:val="21"/>
                <w:lang w:eastAsia="zh-CN"/>
              </w:rPr>
            </w:pPr>
            <w:r>
              <w:rPr>
                <w:rFonts w:ascii="宋体" w:eastAsia="宋体" w:hAnsi="宋体" w:hint="eastAsia"/>
                <w:b/>
                <w:bCs/>
                <w:color w:val="FF0000"/>
                <w:kern w:val="2"/>
                <w:sz w:val="21"/>
                <w:szCs w:val="21"/>
                <w:lang w:eastAsia="zh-CN"/>
              </w:rPr>
              <w:t>★项目免费质保期：整体工程质保期不少于2年。</w:t>
            </w:r>
          </w:p>
        </w:tc>
      </w:tr>
      <w:tr>
        <w:tblPrEx>
          <w:tblW w:w="5000" w:type="pct"/>
          <w:tblInd w:w="0" w:type="dxa"/>
          <w:tblLayout w:type="fixed"/>
          <w:tblCellMar>
            <w:top w:w="0" w:type="dxa"/>
            <w:left w:w="108" w:type="dxa"/>
            <w:bottom w:w="0" w:type="dxa"/>
            <w:right w:w="108" w:type="dxa"/>
          </w:tblCellMar>
        </w:tblPrEx>
        <w:trPr>
          <w:trHeight w:val="434"/>
        </w:trPr>
        <w:tc>
          <w:tcPr>
            <w:tcW w:w="772" w:type="dxa"/>
            <w:vAlign w:val="center"/>
          </w:tcPr>
          <w:p>
            <w:pPr>
              <w:widowControl w:val="0"/>
              <w:adjustRightInd w:val="0"/>
              <w:snapToGrid w:val="0"/>
              <w:spacing w:line="276" w:lineRule="auto"/>
              <w:jc w:val="left"/>
              <w:rPr>
                <w:rFonts w:ascii="宋体" w:eastAsia="宋体" w:hAnsi="宋体"/>
                <w:sz w:val="21"/>
                <w:szCs w:val="21"/>
                <w:lang w:eastAsia="zh-CN"/>
              </w:rPr>
            </w:pPr>
            <w:r>
              <w:rPr>
                <w:rFonts w:ascii="宋体" w:eastAsia="宋体" w:hAnsi="宋体" w:hint="eastAsia"/>
                <w:sz w:val="21"/>
                <w:szCs w:val="21"/>
                <w:lang w:eastAsia="zh-CN"/>
              </w:rPr>
              <w:t>3</w:t>
            </w:r>
          </w:p>
        </w:tc>
        <w:tc>
          <w:tcPr>
            <w:tcW w:w="8207" w:type="dxa"/>
            <w:vAlign w:val="center"/>
          </w:tcPr>
          <w:p>
            <w:pPr>
              <w:widowControl w:val="0"/>
              <w:adjustRightInd w:val="0"/>
              <w:snapToGrid w:val="0"/>
              <w:spacing w:line="276" w:lineRule="auto"/>
              <w:jc w:val="left"/>
              <w:rPr>
                <w:rFonts w:eastAsia="宋体" w:hAnsi="宋体"/>
                <w:b/>
                <w:bCs/>
                <w:color w:val="FF0000"/>
                <w:sz w:val="21"/>
                <w:szCs w:val="21"/>
                <w:lang w:eastAsia="zh-CN"/>
              </w:rPr>
            </w:pPr>
            <w:r>
              <w:rPr>
                <w:rFonts w:ascii="宋体" w:eastAsia="宋体" w:hAnsi="宋体" w:hint="eastAsia"/>
                <w:b/>
                <w:bCs/>
                <w:color w:val="FF0000"/>
                <w:kern w:val="2"/>
                <w:sz w:val="21"/>
                <w:szCs w:val="21"/>
                <w:lang w:eastAsia="zh-CN"/>
              </w:rPr>
              <w:t>★结算资料提交时限要求：项目完工、申请科室签字确认后，服务商收到后勤保障科（基建）结算指令后90天内向后勤保障科（基建）提交竣工结算书及完整的结算资料，否则视为放弃结算的权利，造成的一切损失由承包人自行承担。</w:t>
            </w:r>
          </w:p>
        </w:tc>
      </w:tr>
    </w:tbl>
    <w:p>
      <w:pPr>
        <w:widowControl w:val="0"/>
        <w:spacing w:line="276" w:lineRule="auto"/>
        <w:jc w:val="left"/>
        <w:rPr>
          <w:rFonts w:eastAsia="宋体"/>
          <w:kern w:val="2"/>
          <w:sz w:val="21"/>
          <w:lang w:eastAsia="zh-CN"/>
        </w:rPr>
      </w:pPr>
      <w:r>
        <w:rPr>
          <w:rFonts w:eastAsia="宋体" w:hint="eastAsia"/>
          <w:kern w:val="2"/>
          <w:sz w:val="21"/>
          <w:lang w:eastAsia="zh-CN"/>
        </w:rPr>
        <w:t>注：上表所列内容为不可负偏离条款，负偏离将视为未实质性满足招标文件要求和条件作投标无效处理。</w:t>
      </w:r>
    </w:p>
    <w:p>
      <w:pPr>
        <w:widowControl w:val="0"/>
        <w:spacing w:after="120"/>
        <w:jc w:val="both"/>
        <w:rPr>
          <w:rFonts w:eastAsia="宋体"/>
          <w:kern w:val="2"/>
          <w:sz w:val="21"/>
          <w:lang w:eastAsia="zh-CN"/>
        </w:rPr>
      </w:pPr>
    </w:p>
    <w:p>
      <w:pPr>
        <w:keepNext/>
        <w:keepLines/>
        <w:widowControl w:val="0"/>
        <w:adjustRightInd w:val="0"/>
        <w:spacing w:before="120" w:beforeLines="50" w:after="120" w:afterLines="50"/>
        <w:jc w:val="center"/>
        <w:textAlignment w:val="baseline"/>
        <w:outlineLvl w:val="1"/>
        <w:rPr>
          <w:rFonts w:ascii="宋体" w:eastAsia="黑体" w:hAnsi="宋体"/>
          <w:b/>
          <w:bCs/>
          <w:szCs w:val="20"/>
          <w:lang w:eastAsia="zh-CN"/>
        </w:rPr>
      </w:pPr>
      <w:r>
        <w:rPr>
          <w:rFonts w:ascii="宋体" w:eastAsia="宋体" w:hAnsi="宋体" w:hint="eastAsia"/>
          <w:b/>
          <w:bCs/>
          <w:szCs w:val="20"/>
          <w:lang w:eastAsia="zh-CN"/>
        </w:rPr>
        <w:t>五、</w:t>
      </w:r>
      <w:r>
        <w:rPr>
          <w:rFonts w:ascii="宋体" w:eastAsia="宋体" w:hAnsi="宋体" w:hint="eastAsia"/>
          <w:b/>
          <w:bCs/>
          <w:lang w:eastAsia="zh-CN"/>
        </w:rPr>
        <w:t>技术</w:t>
      </w:r>
      <w:r>
        <w:rPr>
          <w:rFonts w:ascii="宋体" w:eastAsia="宋体" w:hAnsi="宋体" w:hint="eastAsia"/>
          <w:b/>
          <w:bCs/>
          <w:szCs w:val="20"/>
          <w:lang w:eastAsia="zh-CN"/>
        </w:rPr>
        <w:t>要求</w:t>
      </w:r>
    </w:p>
    <w:p>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1.本项目为医院项目，需要严格施工现场管理，施工人员必须严格遵守医院相关规定，施工过程需要做好相关保护措施，不能影响医院业务运行和人员安全，动火作业前需取得医院审批后实施，现场不提供食宿。</w:t>
      </w:r>
    </w:p>
    <w:p>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2.施工质量要求：符合国家现行相关规范和质量标准，质量标准为合格。</w:t>
      </w:r>
    </w:p>
    <w:p>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3.所有使用施工材料采购必须符合国家相关质量、安全和环保标准要求。</w:t>
      </w:r>
    </w:p>
    <w:p>
      <w:pPr>
        <w:widowControl w:val="0"/>
        <w:spacing w:line="360" w:lineRule="auto"/>
        <w:jc w:val="both"/>
        <w:rPr>
          <w:rFonts w:eastAsia="宋体"/>
          <w:kern w:val="2"/>
          <w:lang w:eastAsia="zh-CN"/>
        </w:rPr>
      </w:pPr>
    </w:p>
    <w:bookmarkEnd w:id="32"/>
    <w:p>
      <w:pPr>
        <w:keepNext/>
        <w:keepLines/>
        <w:widowControl w:val="0"/>
        <w:adjustRightInd w:val="0"/>
        <w:spacing w:before="120" w:beforeLines="50" w:after="120" w:afterLines="50" w:line="360" w:lineRule="auto"/>
        <w:jc w:val="center"/>
        <w:textAlignment w:val="baseline"/>
        <w:outlineLvl w:val="1"/>
        <w:rPr>
          <w:rFonts w:ascii="宋体" w:eastAsia="宋体" w:hAnsi="宋体"/>
          <w:b/>
          <w:bCs/>
          <w:lang w:eastAsia="zh-CN"/>
        </w:rPr>
      </w:pPr>
      <w:r>
        <w:rPr>
          <w:rFonts w:ascii="宋体" w:eastAsia="宋体" w:hAnsi="宋体" w:hint="eastAsia"/>
          <w:b/>
          <w:bCs/>
          <w:lang w:eastAsia="zh-CN"/>
        </w:rPr>
        <w:t>六、商务要求</w:t>
      </w:r>
    </w:p>
    <w:p>
      <w:pPr>
        <w:widowControl w:val="0"/>
        <w:spacing w:line="360" w:lineRule="auto"/>
        <w:ind w:firstLine="420" w:firstLineChars="200"/>
        <w:jc w:val="both"/>
        <w:rPr>
          <w:rFonts w:ascii="宋体" w:eastAsia="宋体" w:hAnsi="宋体"/>
          <w:b/>
          <w:bCs/>
          <w:color w:val="FF0000"/>
          <w:kern w:val="2"/>
          <w:sz w:val="21"/>
          <w:szCs w:val="21"/>
          <w:lang w:eastAsia="zh-CN"/>
        </w:rPr>
      </w:pPr>
      <w:r>
        <w:rPr>
          <w:rFonts w:ascii="宋体" w:eastAsia="宋体" w:hAnsi="宋体" w:hint="eastAsia"/>
          <w:b/>
          <w:bCs/>
          <w:color w:val="FF0000"/>
          <w:kern w:val="2"/>
          <w:sz w:val="21"/>
          <w:szCs w:val="21"/>
          <w:lang w:eastAsia="zh-CN"/>
        </w:rPr>
        <w:t>1.</w:t>
      </w:r>
      <w:r>
        <w:rPr>
          <w:rFonts w:ascii="宋体" w:eastAsia="宋体" w:hAnsi="宋体" w:hint="eastAsia"/>
          <w:color w:val="FF0000"/>
          <w:kern w:val="2"/>
          <w:sz w:val="21"/>
          <w:szCs w:val="21"/>
          <w:lang w:eastAsia="zh-CN"/>
        </w:rPr>
        <w:t>★</w:t>
      </w:r>
      <w:r>
        <w:rPr>
          <w:rFonts w:ascii="宋体" w:eastAsia="宋体" w:hAnsi="宋体" w:hint="eastAsia"/>
          <w:b/>
          <w:bCs/>
          <w:color w:val="FF0000"/>
          <w:kern w:val="2"/>
          <w:sz w:val="21"/>
          <w:szCs w:val="21"/>
          <w:lang w:eastAsia="zh-CN"/>
        </w:rPr>
        <w:t>服务期限：自从合同签订或约定之日起1年（12个月）。</w:t>
      </w:r>
    </w:p>
    <w:p>
      <w:pPr>
        <w:widowControl w:val="0"/>
        <w:spacing w:line="360" w:lineRule="auto"/>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2.服务要求</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接到后勤保障科（基建）零星修缮服务需求后，需要在2小时内派人到现场查勘及抢修。如果到现场人员无法或无能力处理的，公司需增派能解决问题的专业人员在4小时内赶到现场支援。否则每次扣罚工程款1000元，累计3次或以上的将解除合同，并索赔损失。</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（2）单个项目预算不超过5万元，合同期内总预算99万元。</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（3）本次招标项目禁止转包。</w:t>
      </w:r>
    </w:p>
    <w:p>
      <w:pPr>
        <w:widowControl w:val="0"/>
        <w:spacing w:line="360" w:lineRule="auto"/>
        <w:ind w:firstLine="420" w:firstLineChars="200"/>
        <w:jc w:val="both"/>
        <w:rPr>
          <w:rFonts w:ascii="宋体" w:eastAsia="宋体" w:hAnsi="宋体"/>
          <w:b/>
          <w:bCs/>
          <w:color w:val="FF0000"/>
          <w:kern w:val="2"/>
          <w:sz w:val="21"/>
          <w:szCs w:val="21"/>
          <w:lang w:eastAsia="zh-CN"/>
        </w:rPr>
      </w:pPr>
      <w:r>
        <w:rPr>
          <w:rFonts w:ascii="宋体" w:eastAsia="宋体" w:hAnsi="宋体" w:hint="eastAsia"/>
          <w:b/>
          <w:bCs/>
          <w:color w:val="FF0000"/>
          <w:kern w:val="2"/>
          <w:sz w:val="21"/>
          <w:szCs w:val="21"/>
          <w:lang w:eastAsia="zh-CN"/>
        </w:rPr>
        <w:t>（4）★项目免费质保期：整体工程质保期不少于2年。</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（5）完成修缮施工时限要求：</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单个造价2000元以下的修缮项目需在接到甲方基建科指令后3个日历天内完成修缮施工；造价2000元以上（含）至20000元以下的修缮项目需在接到甲方基建科指令后14个日历天内完成修缮施工；造价20000元以上（含）至50000元以下的修缮项目需在接到甲方基建科指令后21个日历天内完成修缮施工。</w:t>
      </w:r>
    </w:p>
    <w:p>
      <w:pPr>
        <w:widowControl w:val="0"/>
        <w:spacing w:line="360" w:lineRule="auto"/>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3.签署合同要求：</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投标人必需承诺同意中标后按附件合同文本签署全部项目的合同才能投标，中标后不得要求修改合同文本内容，中标公司必需在中标通知书发布之日起10个工作日内与发包方按附件的合同文本签署合同，否则发包方有权废除中标资格，并上报相关部门列入黑名单。</w:t>
      </w:r>
    </w:p>
    <w:p>
      <w:pPr>
        <w:widowControl w:val="0"/>
        <w:spacing w:line="360" w:lineRule="auto"/>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4.服务违约责任：</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（1）相关施工作业人员按规定必须持证上岗的，需提供上岗证明，否则发现一次罚扣服务款500元。</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本项目为医院项目，需要严格施工现场管理，施工人员必须严格遵守医院相关规定，施工过程需要做好相关保护措施及环保措施，不能影响医院业务运行和人员安全，动火作业前需取得医院审批后实施。否则发现一次罚扣服务款500元，并且发包方有权终止合同。因保护措施不到位导致人员死伤或财物损坏的，由施工方负责赔偿责任。</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中标方需严格按照招标商务和技术需求中规定的时限完成施工，否则，发包单位将视延误工期情况程度进行处罚。处罚方式：延误工期7天之内，工期每延期一天发包方对中标人进行500元的处罚；延误工期超过7天的，从第8天开始，处罚金额为每天1000元。超时限30天或以上的，发包方有权终止承包合同，并将提请主管部门作不良记录备案。</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（4）本项目禁止转包，否则发现一次罚扣服务款500元，并且发包方有权终止合同。</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（5）中标方需保证施工质量达到验收标准，否则中标方必须无条件免费整改直到符合验收标准，并赔偿发包方所有损失。</w:t>
      </w:r>
    </w:p>
    <w:p>
      <w:pPr>
        <w:widowControl w:val="0"/>
        <w:spacing w:line="360" w:lineRule="auto"/>
        <w:ind w:firstLine="420" w:firstLineChars="200"/>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5.项目结算支付方式：</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1）结算审核流程：招标人原则上每季度对中标人已实施完毕且验收合格的项目进行结算审计一次，每次中标方需根据施工当时深圳市造价站颁布的相关取费标准、定额标准、信息价等进行组价，由有造价资质的机构按实际施工项目内容编制造价结算资料，提供给本院审核，经本院审核批准后，提交我院委托的审计部门认可的第三方结算公司审核本项目总造价，最终结算价以第三方结算审核公司出具的审核报告为准。</w:t>
      </w:r>
    </w:p>
    <w:p>
      <w:pPr>
        <w:widowControl w:val="0"/>
        <w:spacing w:line="360" w:lineRule="auto"/>
        <w:ind w:firstLine="420" w:firstLineChars="200"/>
        <w:jc w:val="both"/>
        <w:rPr>
          <w:rFonts w:ascii="宋体" w:eastAsia="宋体" w:hAnsi="宋体"/>
          <w:b/>
          <w:bCs/>
          <w:kern w:val="2"/>
          <w:sz w:val="21"/>
          <w:szCs w:val="21"/>
          <w:lang w:eastAsia="zh-CN"/>
        </w:rPr>
      </w:pPr>
      <w:r>
        <w:rPr>
          <w:rFonts w:ascii="宋体" w:eastAsia="宋体" w:hAnsi="宋体" w:hint="eastAsia"/>
          <w:b/>
          <w:bCs/>
          <w:color w:val="FF0000"/>
          <w:kern w:val="2"/>
          <w:sz w:val="21"/>
          <w:szCs w:val="21"/>
          <w:lang w:eastAsia="zh-CN"/>
        </w:rPr>
        <w:t>（2）★结算资料提交时限要求：项目完工、申请科室签字确认后，服务商收到后勤保障科（基建）结算指令后90天内向后勤保障科（基建）提交竣工结算书及完整的结算资料，否则视为放弃结算的权利，造成的一切损失由承包人自行承担。</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（3）每次结算审核完成后，乙方提供发票和符合财务部门规定的相关付款申请材料后，甲方于十个工作日向财务科申请支付。</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w:t>
      </w:r>
      <w:r>
        <w:rPr>
          <w:rFonts w:ascii="宋体" w:eastAsia="宋体" w:hAnsi="宋体" w:cs="宋体"/>
          <w:b/>
          <w:kern w:val="2"/>
          <w:sz w:val="21"/>
          <w:szCs w:val="21"/>
          <w:lang w:eastAsia="zh-CN"/>
        </w:rPr>
        <w:t>本项目按实际发生量结算，年度总支付金额上限为</w:t>
      </w:r>
      <w:r>
        <w:rPr>
          <w:rFonts w:ascii="宋体" w:eastAsia="宋体" w:hAnsi="宋体" w:cs="宋体" w:hint="eastAsia"/>
          <w:b/>
          <w:kern w:val="2"/>
          <w:sz w:val="21"/>
          <w:szCs w:val="21"/>
          <w:lang w:eastAsia="zh-CN"/>
        </w:rPr>
        <w:t>99</w:t>
      </w:r>
      <w:r>
        <w:rPr>
          <w:rFonts w:ascii="宋体" w:eastAsia="宋体" w:hAnsi="宋体" w:cs="宋体"/>
          <w:b/>
          <w:kern w:val="2"/>
          <w:sz w:val="21"/>
          <w:szCs w:val="21"/>
          <w:lang w:eastAsia="zh-CN"/>
        </w:rPr>
        <w:t>万元/年</w:t>
      </w:r>
      <w:r>
        <w:rPr>
          <w:rFonts w:ascii="宋体" w:eastAsia="宋体" w:hAnsi="宋体" w:cs="宋体" w:hint="eastAsia"/>
          <w:b/>
          <w:kern w:val="2"/>
          <w:sz w:val="21"/>
          <w:szCs w:val="21"/>
          <w:lang w:eastAsia="zh-CN"/>
        </w:rPr>
        <w:t>。结算价格=维修单施工费基准价（综合单价）×综合折扣（该综合折扣为供应商投标时所报综合折扣）。维修单施工费基准价（综合单价）计算标准详见报价要求。</w:t>
      </w:r>
    </w:p>
    <w:p>
      <w:pPr>
        <w:widowControl w:val="0"/>
        <w:spacing w:line="360" w:lineRule="auto"/>
        <w:jc w:val="both"/>
        <w:rPr>
          <w:rFonts w:ascii="宋体" w:eastAsia="宋体" w:hAnsi="宋体"/>
          <w:kern w:val="2"/>
          <w:sz w:val="21"/>
          <w:szCs w:val="21"/>
          <w:lang w:eastAsia="zh-CN"/>
        </w:rPr>
      </w:pPr>
    </w:p>
    <w:p>
      <w:pPr>
        <w:widowControl w:val="0"/>
        <w:spacing w:line="360" w:lineRule="auto"/>
        <w:ind w:firstLine="420" w:firstLineChars="200"/>
        <w:jc w:val="both"/>
        <w:rPr>
          <w:rFonts w:ascii="宋体" w:eastAsia="宋体" w:hAnsi="宋体"/>
          <w:color w:val="000000"/>
          <w:kern w:val="2"/>
          <w:sz w:val="21"/>
          <w:szCs w:val="21"/>
          <w:lang w:eastAsia="zh-CN"/>
        </w:rPr>
      </w:pPr>
      <w:r>
        <w:rPr>
          <w:rFonts w:ascii="宋体" w:eastAsia="宋体" w:hAnsi="宋体" w:hint="eastAsia"/>
          <w:b/>
          <w:bCs/>
          <w:color w:val="000000"/>
          <w:kern w:val="2"/>
          <w:sz w:val="21"/>
          <w:szCs w:val="21"/>
          <w:lang w:eastAsia="zh-CN"/>
        </w:rPr>
        <w:t>6.报价要求：</w:t>
      </w:r>
    </w:p>
    <w:p>
      <w:pPr>
        <w:widowControl w:val="0"/>
        <w:spacing w:line="360" w:lineRule="auto"/>
        <w:ind w:firstLine="420" w:firstLineChars="200"/>
        <w:jc w:val="both"/>
        <w:rPr>
          <w:rFonts w:ascii="宋体" w:eastAsia="宋体" w:hAnsi="宋体"/>
          <w:b/>
          <w:bCs/>
          <w:color w:val="FF0000"/>
          <w:kern w:val="2"/>
          <w:sz w:val="21"/>
          <w:szCs w:val="21"/>
          <w:lang w:eastAsia="zh-CN"/>
        </w:rPr>
      </w:pPr>
      <w:r>
        <w:rPr>
          <w:rFonts w:ascii="宋体" w:eastAsia="宋体" w:hAnsi="宋体" w:hint="eastAsia"/>
          <w:b/>
          <w:bCs/>
          <w:color w:val="FF0000"/>
          <w:kern w:val="2"/>
          <w:sz w:val="21"/>
          <w:szCs w:val="21"/>
          <w:lang w:eastAsia="zh-CN"/>
        </w:rPr>
        <w:t>（1）本项目报价只报总价综合折扣，综合折扣为百分比形式。经统计在一个合同年度内，我院每个年度的零星修缮服务项目约170余项，为避免恶意竞标和保证施工质量，不得恶意低价投标。</w:t>
      </w:r>
    </w:p>
    <w:p>
      <w:pPr>
        <w:widowControl w:val="0"/>
        <w:spacing w:line="360" w:lineRule="auto"/>
        <w:ind w:firstLine="420" w:firstLineChars="200"/>
        <w:jc w:val="both"/>
        <w:rPr>
          <w:rFonts w:ascii="宋体" w:eastAsia="宋体" w:hAnsi="宋体"/>
          <w:b/>
          <w:bCs/>
          <w:color w:val="FF0000"/>
          <w:kern w:val="2"/>
          <w:sz w:val="21"/>
          <w:szCs w:val="21"/>
          <w:lang w:eastAsia="zh-CN"/>
        </w:rPr>
      </w:pPr>
      <w:r>
        <w:rPr>
          <w:rFonts w:ascii="宋体" w:eastAsia="宋体" w:hAnsi="宋体" w:hint="eastAsia"/>
          <w:b/>
          <w:bCs/>
          <w:color w:val="FF0000"/>
          <w:kern w:val="2"/>
          <w:sz w:val="21"/>
          <w:szCs w:val="21"/>
          <w:lang w:eastAsia="zh-CN"/>
        </w:rPr>
        <w:t>（2）本项目不涉及具体投标金额（无须供应商在投标文件中填报具体投标金额），投标人只需在投标文件中就本项目填报唯一的“综合折扣”。投标人应根据自身成本自行填报“综合折扣”，但不得以低于其成本的报价竞标。供应商投标报价实行综合折扣报价，填写报价时，应填写综合折扣（即折扣率，下同）。</w:t>
      </w:r>
    </w:p>
    <w:p>
      <w:pPr>
        <w:widowControl w:val="0"/>
        <w:spacing w:line="360" w:lineRule="auto"/>
        <w:ind w:firstLine="420" w:firstLineChars="200"/>
        <w:jc w:val="both"/>
        <w:rPr>
          <w:rFonts w:ascii="宋体" w:eastAsia="宋体" w:hAnsi="宋体"/>
          <w:b/>
          <w:bCs/>
          <w:color w:val="FF0000"/>
          <w:kern w:val="2"/>
          <w:sz w:val="21"/>
          <w:szCs w:val="21"/>
          <w:lang w:eastAsia="zh-CN"/>
        </w:rPr>
      </w:pPr>
      <w:r>
        <w:rPr>
          <w:rFonts w:ascii="宋体" w:eastAsia="宋体" w:hAnsi="宋体" w:hint="eastAsia"/>
          <w:b/>
          <w:bCs/>
          <w:color w:val="FF0000"/>
          <w:kern w:val="2"/>
          <w:sz w:val="21"/>
          <w:szCs w:val="21"/>
          <w:lang w:eastAsia="zh-CN"/>
        </w:rPr>
        <w:t>（3）“综合折扣”填写要求：</w:t>
      </w:r>
    </w:p>
    <w:p>
      <w:pPr>
        <w:widowControl w:val="0"/>
        <w:spacing w:line="360" w:lineRule="auto"/>
        <w:ind w:firstLine="420" w:firstLineChars="200"/>
        <w:jc w:val="both"/>
        <w:rPr>
          <w:rFonts w:ascii="宋体" w:eastAsia="宋体" w:hAnsi="宋体"/>
          <w:b/>
          <w:bCs/>
          <w:color w:val="FF0000"/>
          <w:kern w:val="2"/>
          <w:sz w:val="21"/>
          <w:szCs w:val="21"/>
          <w:lang w:eastAsia="zh-CN"/>
        </w:rPr>
      </w:pPr>
      <w:r>
        <w:rPr>
          <w:rFonts w:ascii="宋体" w:eastAsia="宋体" w:hAnsi="宋体" w:hint="eastAsia"/>
          <w:b/>
          <w:bCs/>
          <w:color w:val="FF0000"/>
          <w:kern w:val="2"/>
          <w:sz w:val="21"/>
          <w:szCs w:val="21"/>
          <w:lang w:eastAsia="zh-CN"/>
        </w:rPr>
        <w:t>1）填写要求：0＜综合折扣≤1（100%），未按此要求填写将作投标无效处理；</w:t>
      </w:r>
    </w:p>
    <w:p>
      <w:pPr>
        <w:widowControl w:val="0"/>
        <w:spacing w:line="360" w:lineRule="auto"/>
        <w:ind w:firstLine="420" w:firstLineChars="200"/>
        <w:jc w:val="both"/>
        <w:rPr>
          <w:rFonts w:ascii="宋体" w:eastAsia="宋体" w:hAnsi="宋体"/>
          <w:b/>
          <w:bCs/>
          <w:color w:val="FF0000"/>
          <w:kern w:val="2"/>
          <w:sz w:val="21"/>
          <w:szCs w:val="21"/>
          <w:lang w:eastAsia="zh-CN"/>
        </w:rPr>
      </w:pPr>
      <w:r>
        <w:rPr>
          <w:rFonts w:ascii="宋体" w:eastAsia="宋体" w:hAnsi="宋体" w:hint="eastAsia"/>
          <w:b/>
          <w:bCs/>
          <w:color w:val="FF0000"/>
          <w:kern w:val="2"/>
          <w:sz w:val="21"/>
          <w:szCs w:val="21"/>
          <w:lang w:eastAsia="zh-CN"/>
        </w:rPr>
        <w:t>2）填写的“综合折扣”采用折扣百分比形式，且最多保留小数点后</w:t>
      </w:r>
      <w:r>
        <w:rPr>
          <w:rFonts w:ascii="宋体" w:eastAsia="宋体" w:hAnsi="宋体" w:hint="eastAsia"/>
          <w:b/>
          <w:bCs/>
          <w:color w:val="FF0000"/>
          <w:kern w:val="2"/>
          <w:sz w:val="21"/>
          <w:szCs w:val="21"/>
          <w:lang w:eastAsia="zh-CN"/>
        </w:rPr>
        <w:t>2</w:t>
      </w:r>
      <w:r>
        <w:rPr>
          <w:rFonts w:ascii="宋体" w:eastAsia="宋体" w:hAnsi="宋体" w:hint="eastAsia"/>
          <w:b/>
          <w:bCs/>
          <w:color w:val="FF0000"/>
          <w:kern w:val="2"/>
          <w:sz w:val="21"/>
          <w:szCs w:val="21"/>
          <w:lang w:eastAsia="zh-CN"/>
        </w:rPr>
        <w:t>位，如：</w:t>
      </w:r>
      <w:r>
        <w:rPr>
          <w:rFonts w:ascii="宋体" w:eastAsia="宋体" w:hAnsi="宋体" w:hint="eastAsia"/>
          <w:b/>
          <w:bCs/>
          <w:color w:val="FF0000"/>
          <w:kern w:val="2"/>
          <w:sz w:val="21"/>
          <w:szCs w:val="21"/>
          <w:lang w:eastAsia="zh-CN"/>
        </w:rPr>
        <w:t>99</w:t>
      </w:r>
      <w:r>
        <w:rPr>
          <w:rFonts w:ascii="宋体" w:eastAsia="宋体" w:hAnsi="宋体" w:hint="eastAsia"/>
          <w:b/>
          <w:bCs/>
          <w:color w:val="FF0000"/>
          <w:kern w:val="2"/>
          <w:sz w:val="21"/>
          <w:szCs w:val="21"/>
          <w:lang w:eastAsia="zh-CN"/>
        </w:rPr>
        <w:t>.1</w:t>
      </w:r>
      <w:r>
        <w:rPr>
          <w:rFonts w:ascii="宋体" w:eastAsia="宋体" w:hAnsi="宋体" w:hint="eastAsia"/>
          <w:b/>
          <w:bCs/>
          <w:color w:val="FF0000"/>
          <w:kern w:val="2"/>
          <w:sz w:val="21"/>
          <w:szCs w:val="21"/>
          <w:lang w:eastAsia="zh-CN"/>
        </w:rPr>
        <w:t>0</w:t>
      </w:r>
      <w:r>
        <w:rPr>
          <w:rFonts w:ascii="宋体" w:eastAsia="宋体" w:hAnsi="宋体" w:hint="eastAsia"/>
          <w:b/>
          <w:bCs/>
          <w:color w:val="FF0000"/>
          <w:kern w:val="2"/>
          <w:sz w:val="21"/>
          <w:szCs w:val="21"/>
          <w:lang w:eastAsia="zh-CN"/>
        </w:rPr>
        <w:t>%、</w:t>
      </w:r>
      <w:r>
        <w:rPr>
          <w:rFonts w:ascii="宋体" w:eastAsia="宋体" w:hAnsi="宋体" w:hint="eastAsia"/>
          <w:b/>
          <w:bCs/>
          <w:color w:val="FF0000"/>
          <w:kern w:val="2"/>
          <w:sz w:val="21"/>
          <w:szCs w:val="21"/>
          <w:lang w:eastAsia="zh-CN"/>
        </w:rPr>
        <w:t>90.1</w:t>
      </w:r>
      <w:r>
        <w:rPr>
          <w:rFonts w:ascii="宋体" w:eastAsia="宋体" w:hAnsi="宋体" w:hint="eastAsia"/>
          <w:b/>
          <w:bCs/>
          <w:color w:val="FF0000"/>
          <w:kern w:val="2"/>
          <w:sz w:val="21"/>
          <w:szCs w:val="21"/>
          <w:lang w:eastAsia="zh-CN"/>
        </w:rPr>
        <w:t>%、</w:t>
      </w:r>
      <w:r>
        <w:rPr>
          <w:rFonts w:ascii="宋体" w:eastAsia="宋体" w:hAnsi="宋体" w:hint="eastAsia"/>
          <w:b/>
          <w:bCs/>
          <w:color w:val="FF0000"/>
          <w:kern w:val="2"/>
          <w:sz w:val="21"/>
          <w:szCs w:val="21"/>
          <w:lang w:eastAsia="zh-CN"/>
        </w:rPr>
        <w:t>90</w:t>
      </w:r>
      <w:r>
        <w:rPr>
          <w:rFonts w:ascii="宋体" w:eastAsia="宋体" w:hAnsi="宋体" w:hint="eastAsia"/>
          <w:b/>
          <w:bCs/>
          <w:color w:val="FF0000"/>
          <w:kern w:val="2"/>
          <w:sz w:val="21"/>
          <w:szCs w:val="21"/>
          <w:lang w:eastAsia="zh-CN"/>
        </w:rPr>
        <w:t>%，未按此要求填写将作投标无效处理；</w:t>
      </w:r>
    </w:p>
    <w:p>
      <w:pPr>
        <w:widowControl w:val="0"/>
        <w:spacing w:line="360" w:lineRule="auto"/>
        <w:ind w:firstLine="420" w:firstLineChars="200"/>
        <w:jc w:val="both"/>
        <w:rPr>
          <w:rFonts w:ascii="宋体" w:eastAsia="宋体" w:hAnsi="宋体"/>
          <w:b/>
          <w:bCs/>
          <w:color w:val="FF0000"/>
          <w:kern w:val="2"/>
          <w:sz w:val="21"/>
          <w:szCs w:val="21"/>
          <w:lang w:eastAsia="zh-CN"/>
        </w:rPr>
      </w:pPr>
      <w:r>
        <w:rPr>
          <w:rFonts w:ascii="宋体" w:eastAsia="宋体" w:hAnsi="宋体" w:hint="eastAsia"/>
          <w:b/>
          <w:bCs/>
          <w:color w:val="FF0000"/>
          <w:kern w:val="2"/>
          <w:sz w:val="21"/>
          <w:szCs w:val="21"/>
          <w:lang w:eastAsia="zh-CN"/>
        </w:rPr>
        <w:t>3）“综合折扣”缺填、漏填将直接作投标无效处理；</w:t>
      </w:r>
    </w:p>
    <w:p>
      <w:pPr>
        <w:widowControl w:val="0"/>
        <w:spacing w:line="360" w:lineRule="auto"/>
        <w:ind w:firstLine="420" w:firstLineChars="200"/>
        <w:jc w:val="both"/>
        <w:rPr>
          <w:rFonts w:ascii="宋体" w:eastAsia="宋体" w:hAnsi="宋体"/>
          <w:b/>
          <w:bCs/>
          <w:color w:val="FF0000"/>
          <w:kern w:val="2"/>
          <w:sz w:val="21"/>
          <w:szCs w:val="21"/>
          <w:lang w:eastAsia="zh-CN"/>
        </w:rPr>
      </w:pPr>
      <w:r>
        <w:rPr>
          <w:rFonts w:ascii="宋体" w:eastAsia="宋体" w:hAnsi="宋体" w:hint="eastAsia"/>
          <w:b/>
          <w:bCs/>
          <w:color w:val="FF0000"/>
          <w:kern w:val="2"/>
          <w:sz w:val="21"/>
          <w:szCs w:val="21"/>
          <w:lang w:eastAsia="zh-CN"/>
        </w:rPr>
        <w:t>4）投标人参与投标只允许填报唯一1个“综合折扣”，不允许填报2个（或以上）的“综合折扣”；填报了2个或以上“综合折扣”的，将作投标无效处理；</w:t>
      </w:r>
    </w:p>
    <w:p>
      <w:pPr>
        <w:widowControl w:val="0"/>
        <w:spacing w:line="360" w:lineRule="auto"/>
        <w:ind w:firstLine="420" w:firstLineChars="200"/>
        <w:jc w:val="both"/>
        <w:rPr>
          <w:rFonts w:ascii="宋体" w:eastAsia="宋体" w:hAnsi="宋体"/>
          <w:b/>
          <w:bCs/>
          <w:color w:val="FF0000"/>
          <w:kern w:val="2"/>
          <w:sz w:val="21"/>
          <w:szCs w:val="21"/>
          <w:lang w:eastAsia="zh-CN"/>
        </w:rPr>
      </w:pPr>
      <w:r>
        <w:rPr>
          <w:rFonts w:ascii="宋体" w:eastAsia="宋体" w:hAnsi="宋体" w:hint="eastAsia"/>
          <w:b/>
          <w:bCs/>
          <w:color w:val="FF0000"/>
          <w:kern w:val="2"/>
          <w:sz w:val="21"/>
          <w:szCs w:val="21"/>
          <w:lang w:eastAsia="zh-CN"/>
        </w:rPr>
        <w:t>5）本项目结算价格=维修单施工费基准价（综合单价）×综合折扣（该综合折扣为供应商投标时所报综合折扣）。按实际发生量结算，年度总支付金额上限为99万元/年。最终以采购方委托的审计部门认可的第三方造价咨询公司审定后的维修单施工费基准价（综合单价）作为支付依据×综合折扣进行结算。</w:t>
      </w:r>
    </w:p>
    <w:p>
      <w:pPr>
        <w:widowControl w:val="0"/>
        <w:spacing w:line="360" w:lineRule="auto"/>
        <w:ind w:firstLine="420" w:firstLineChars="200"/>
        <w:jc w:val="both"/>
        <w:rPr>
          <w:rFonts w:ascii="宋体" w:eastAsia="宋体" w:hAnsi="宋体"/>
          <w:b/>
          <w:bCs/>
          <w:color w:val="FF0000"/>
          <w:kern w:val="2"/>
          <w:sz w:val="21"/>
          <w:szCs w:val="21"/>
          <w:lang w:eastAsia="zh-CN"/>
        </w:rPr>
      </w:pPr>
      <w:r>
        <w:rPr>
          <w:rFonts w:ascii="宋体" w:eastAsia="宋体" w:hAnsi="宋体" w:hint="eastAsia"/>
          <w:b/>
          <w:bCs/>
          <w:color w:val="FF0000"/>
          <w:kern w:val="2"/>
          <w:sz w:val="21"/>
          <w:szCs w:val="21"/>
          <w:lang w:eastAsia="zh-CN"/>
        </w:rPr>
        <w:t>（4）维修单施工费基准价（综合单价）测算标准：</w:t>
      </w:r>
    </w:p>
    <w:p>
      <w:pPr>
        <w:widowControl w:val="0"/>
        <w:spacing w:line="360" w:lineRule="auto"/>
        <w:ind w:firstLine="420" w:firstLineChars="200"/>
        <w:jc w:val="both"/>
        <w:rPr>
          <w:rFonts w:ascii="宋体" w:eastAsia="宋体" w:hAnsi="宋体"/>
          <w:b/>
          <w:bCs/>
          <w:color w:val="FF0000"/>
          <w:kern w:val="2"/>
          <w:sz w:val="21"/>
          <w:szCs w:val="21"/>
          <w:lang w:eastAsia="zh-CN"/>
        </w:rPr>
      </w:pPr>
      <w:r>
        <w:rPr>
          <w:rFonts w:ascii="宋体" w:eastAsia="宋体" w:hAnsi="宋体" w:hint="eastAsia"/>
          <w:b/>
          <w:bCs/>
          <w:color w:val="FF0000"/>
          <w:kern w:val="2"/>
          <w:sz w:val="21"/>
          <w:szCs w:val="21"/>
          <w:lang w:eastAsia="zh-CN"/>
        </w:rPr>
        <w:t>维修单施工费基准价（综合单价）：工程量按实际发生，测算依据包含但不限于按照建设部《建设工程工程量清单计价规范》GB50500-2013规定的清单计价模式进行计价，定额采用《深圳市建筑工程消耗量标准》2024、《深圳市安装工程消耗量定额》2020、《深圳市装配式建筑工程消耗量标准》2024、《深圳市市政工程消耗量标准》2024、《深圳市房屋修缮工程消耗量标准2024、《深圳市园林建筑绿化工程消耗量定额》2017等深圳市现行最新的相关定额，取费标准采用深圳市建设工程造价管理站关于发布建筑工程(计价费率标准2023)(安全交明施工费按各专业取费)推荐的综合费率计算相关费用，信息价采用施工期间《深圳建设工程价格信息》，缺项部分按市场询价。</w:t>
      </w:r>
    </w:p>
    <w:p>
      <w:pPr>
        <w:widowControl w:val="0"/>
        <w:jc w:val="both"/>
        <w:rPr>
          <w:rFonts w:eastAsia="宋体"/>
          <w:kern w:val="2"/>
          <w:sz w:val="21"/>
          <w:lang w:eastAsia="zh-CN"/>
        </w:rPr>
      </w:pPr>
    </w:p>
    <w:p>
      <w:pPr>
        <w:keepNext/>
        <w:keepLines/>
        <w:widowControl w:val="0"/>
        <w:adjustRightInd w:val="0"/>
        <w:spacing w:before="120" w:beforeLines="50" w:after="120" w:afterLines="50"/>
        <w:jc w:val="center"/>
        <w:textAlignment w:val="baseline"/>
        <w:outlineLvl w:val="1"/>
        <w:rPr>
          <w:rFonts w:ascii="宋体" w:eastAsia="宋体" w:hAnsi="宋体"/>
          <w:b/>
          <w:bCs/>
          <w:lang w:eastAsia="zh-CN"/>
        </w:rPr>
      </w:pPr>
      <w:r>
        <w:rPr>
          <w:rFonts w:ascii="宋体" w:eastAsia="宋体" w:hAnsi="宋体" w:hint="eastAsia"/>
          <w:b/>
          <w:bCs/>
          <w:lang w:eastAsia="zh-CN"/>
        </w:rPr>
        <w:t>七、其他重要条款</w:t>
      </w:r>
    </w:p>
    <w:p>
      <w:pPr>
        <w:widowControl w:val="0"/>
        <w:adjustRightInd w:val="0"/>
        <w:spacing w:line="279" w:lineRule="auto"/>
        <w:ind w:firstLine="420" w:firstLineChars="200"/>
        <w:jc w:val="both"/>
        <w:rPr>
          <w:rFonts w:ascii="宋体" w:eastAsia="宋体" w:hAnsi="宋体" w:cs="宋体"/>
          <w:bCs/>
          <w:kern w:val="2"/>
          <w:sz w:val="21"/>
          <w:szCs w:val="21"/>
          <w:lang w:eastAsia="zh-CN"/>
        </w:rPr>
      </w:pPr>
      <w:bookmarkStart w:id="33" w:name="_Hlk72257111"/>
      <w:r>
        <w:rPr>
          <w:rFonts w:ascii="宋体" w:eastAsia="宋体" w:hAnsi="宋体" w:cs="宋体" w:hint="eastAsia"/>
          <w:bCs/>
          <w:kern w:val="2"/>
          <w:sz w:val="21"/>
          <w:szCs w:val="21"/>
          <w:lang w:eastAsia="zh-CN"/>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widowControl w:val="0"/>
        <w:adjustRightInd w:val="0"/>
        <w:spacing w:before="60" w:beforeLines="25" w:after="60" w:afterLines="25" w:line="279" w:lineRule="auto"/>
        <w:ind w:firstLine="393" w:firstLineChars="187"/>
        <w:jc w:val="both"/>
        <w:rPr>
          <w:rFonts w:ascii="宋体" w:eastAsia="宋体" w:hAnsi="宋体" w:cs="宋体"/>
          <w:kern w:val="2"/>
          <w:sz w:val="21"/>
          <w:szCs w:val="21"/>
          <w:lang w:eastAsia="zh-CN"/>
        </w:rPr>
      </w:pPr>
      <w:r>
        <w:rPr>
          <w:rFonts w:ascii="宋体" w:eastAsia="宋体" w:hAnsi="宋体" w:cs="宋体" w:hint="eastAsia"/>
          <w:bCs/>
          <w:kern w:val="2"/>
          <w:sz w:val="21"/>
          <w:szCs w:val="21"/>
          <w:lang w:eastAsia="zh-CN"/>
        </w:rPr>
        <w:t>2.投标人应充分了解项目的位置、情况、道路及任何其它足以影响投标报价的情况，任何因忽视或误解项目情况而导致的索赔或服务期限延长申请将不获批准。</w:t>
      </w:r>
    </w:p>
    <w:p>
      <w:pPr>
        <w:widowControl w:val="0"/>
        <w:adjustRightInd w:val="0"/>
        <w:spacing w:line="279"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3.投标人不得期望通过索赔等方式获取补偿，否则，除可能遭到拒绝外，还可能将被作为不良行为记录在案，并可能影响其以后参加政府采购的项目投标。各投标人在投标报价时，应充分考虑投标报价的风险。</w:t>
      </w:r>
    </w:p>
    <w:p>
      <w:pPr>
        <w:widowControl w:val="0"/>
        <w:adjustRightInd w:val="0"/>
        <w:spacing w:line="279"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4.除政府采购合同继续履行将损害国家利益和社会公共利益外，双方当事人不得擅自变更、中止或者终止合同。</w:t>
      </w:r>
      <w:bookmarkEnd w:id="33"/>
    </w:p>
    <w:p>
      <w:pPr>
        <w:widowControl w:val="0"/>
        <w:adjustRightInd w:val="0"/>
        <w:spacing w:line="279"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pPr>
        <w:widowControl/>
        <w:jc w:val="left"/>
        <w:rPr>
          <w:rFonts w:ascii="宋体" w:eastAsia="宋体" w:hAnsi="宋体"/>
          <w:b/>
          <w:bCs/>
          <w:kern w:val="2"/>
          <w:szCs w:val="20"/>
          <w:lang w:eastAsia="zh-CN"/>
        </w:rPr>
      </w:pPr>
    </w:p>
    <w:p>
      <w:pPr>
        <w:widowControl w:val="0"/>
        <w:jc w:val="both"/>
        <w:rPr>
          <w:rFonts w:eastAsia="宋体"/>
          <w:kern w:val="2"/>
          <w:sz w:val="21"/>
          <w:lang w:eastAsia="zh-CN"/>
        </w:rPr>
      </w:pPr>
      <w:r>
        <w:rPr>
          <w:rFonts w:eastAsia="宋体" w:hint="eastAsia"/>
          <w:kern w:val="2"/>
          <w:sz w:val="21"/>
          <w:lang w:eastAsia="zh-CN"/>
        </w:rPr>
        <w:br w:type="page"/>
      </w:r>
    </w:p>
    <w:p>
      <w:pPr>
        <w:keepNext/>
        <w:keepLines/>
        <w:widowControl w:val="0"/>
        <w:adjustRightInd w:val="0"/>
        <w:spacing w:before="260" w:after="260"/>
        <w:jc w:val="center"/>
        <w:textAlignment w:val="baseline"/>
        <w:outlineLvl w:val="1"/>
        <w:rPr>
          <w:rFonts w:ascii="宋体" w:eastAsia="宋体" w:hAnsi="宋体"/>
          <w:b/>
          <w:bCs/>
          <w:kern w:val="2"/>
          <w:szCs w:val="20"/>
          <w:lang w:eastAsia="zh-CN"/>
        </w:rPr>
      </w:pPr>
      <w:r>
        <w:rPr>
          <w:rFonts w:ascii="宋体" w:eastAsia="宋体" w:hAnsi="宋体" w:hint="eastAsia"/>
          <w:b/>
          <w:bCs/>
          <w:kern w:val="2"/>
          <w:szCs w:val="20"/>
          <w:lang w:eastAsia="zh-CN"/>
        </w:rPr>
        <w:t>第四章 投标文件组成要求及格式</w:t>
      </w:r>
    </w:p>
    <w:p>
      <w:pPr>
        <w:widowControl w:val="0"/>
        <w:spacing w:line="276" w:lineRule="auto"/>
        <w:ind w:firstLine="480" w:firstLineChars="200"/>
        <w:jc w:val="both"/>
        <w:rPr>
          <w:rFonts w:ascii="仿宋_GB2312" w:eastAsia="仿宋_GB2312"/>
          <w:kern w:val="2"/>
          <w:lang w:eastAsia="zh-CN"/>
        </w:rPr>
      </w:pPr>
    </w:p>
    <w:p>
      <w:pPr>
        <w:widowControl w:val="0"/>
        <w:jc w:val="both"/>
        <w:rPr>
          <w:rFonts w:ascii="宋体" w:eastAsia="宋体" w:hAnsi="宋体"/>
          <w:b/>
          <w:bCs/>
          <w:kern w:val="2"/>
          <w:sz w:val="28"/>
          <w:szCs w:val="28"/>
          <w:lang w:eastAsia="zh-CN"/>
        </w:rPr>
      </w:pPr>
      <w:r>
        <w:rPr>
          <w:rFonts w:ascii="宋体" w:eastAsia="宋体" w:hAnsi="宋体" w:hint="eastAsia"/>
          <w:b/>
          <w:bCs/>
          <w:kern w:val="2"/>
          <w:sz w:val="28"/>
          <w:szCs w:val="28"/>
          <w:lang w:eastAsia="zh-CN"/>
        </w:rPr>
        <w:t>投标文件组成：</w:t>
      </w:r>
    </w:p>
    <w:p>
      <w:pPr>
        <w:widowControl w:val="0"/>
        <w:jc w:val="both"/>
        <w:rPr>
          <w:rFonts w:eastAsia="宋体"/>
          <w:kern w:val="2"/>
          <w:lang w:eastAsia="zh-CN"/>
        </w:rPr>
      </w:pPr>
    </w:p>
    <w:p>
      <w:pPr>
        <w:widowControl w:val="0"/>
        <w:ind w:firstLine="480" w:firstLineChars="200"/>
        <w:jc w:val="both"/>
        <w:rPr>
          <w:rFonts w:ascii="宋体" w:eastAsia="宋体" w:hAnsi="宋体" w:cs="宋体"/>
          <w:b/>
          <w:bCs/>
          <w:kern w:val="2"/>
          <w:szCs w:val="32"/>
          <w:lang w:eastAsia="zh-CN"/>
        </w:rPr>
      </w:pPr>
      <w:r>
        <w:rPr>
          <w:rFonts w:ascii="宋体" w:eastAsia="宋体" w:hAnsi="宋体" w:cs="宋体" w:hint="eastAsia"/>
          <w:b/>
          <w:bCs/>
          <w:kern w:val="2"/>
          <w:szCs w:val="32"/>
          <w:lang w:eastAsia="zh-CN"/>
        </w:rPr>
        <w:t>1.投标文件正文主要包括以下内容：</w:t>
      </w:r>
    </w:p>
    <w:p>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bookmarkStart w:id="34" w:name="_Hlk72070784"/>
      <w:r>
        <w:rPr>
          <w:rFonts w:ascii="宋体" w:eastAsia="宋体" w:hAnsi="宋体" w:cs="宋体" w:hint="eastAsia"/>
          <w:kern w:val="2"/>
          <w:sz w:val="21"/>
          <w:szCs w:val="21"/>
          <w:lang w:eastAsia="zh-CN"/>
        </w:rPr>
        <w:t>投标函</w:t>
      </w:r>
      <w:bookmarkEnd w:id="34"/>
    </w:p>
    <w:p>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bookmarkStart w:id="35" w:name="_Hlk72062521"/>
      <w:r>
        <w:rPr>
          <w:rFonts w:ascii="宋体" w:eastAsia="宋体" w:hAnsi="宋体" w:cs="宋体" w:hint="eastAsia"/>
          <w:kern w:val="2"/>
          <w:sz w:val="21"/>
          <w:szCs w:val="21"/>
          <w:lang w:eastAsia="zh-CN"/>
        </w:rPr>
        <w:t>政府采购投标及履约承诺函</w:t>
      </w:r>
      <w:bookmarkEnd w:id="35"/>
    </w:p>
    <w:p>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（3）投标人情况及资格证明文件</w:t>
      </w:r>
    </w:p>
    <w:p>
      <w:pPr>
        <w:widowControl w:val="0"/>
        <w:spacing w:line="276" w:lineRule="auto"/>
        <w:ind w:firstLine="420" w:firstLineChars="200"/>
        <w:jc w:val="both"/>
        <w:rPr>
          <w:rFonts w:ascii="宋体" w:eastAsia="宋体" w:hAnsi="宋体" w:cs="宋体"/>
          <w:kern w:val="2"/>
          <w:sz w:val="21"/>
          <w:szCs w:val="21"/>
          <w:lang w:eastAsia="zh-CN"/>
        </w:rPr>
      </w:pPr>
      <w:bookmarkStart w:id="36" w:name="_Hlk72257201"/>
      <w:r>
        <w:rPr>
          <w:rFonts w:ascii="宋体" w:eastAsia="宋体" w:hAnsi="宋体" w:cs="宋体" w:hint="eastAsia"/>
          <w:kern w:val="2"/>
          <w:sz w:val="21"/>
          <w:szCs w:val="21"/>
          <w:lang w:eastAsia="zh-CN"/>
        </w:rPr>
        <w:t>（4）同类项目业绩</w:t>
      </w:r>
    </w:p>
    <w:p>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（5）</w:t>
      </w:r>
      <w:r>
        <w:rPr>
          <w:rFonts w:ascii="宋体" w:eastAsia="宋体" w:hAnsi="宋体" w:cs="宋体" w:hint="eastAsia"/>
          <w:kern w:val="2"/>
          <w:sz w:val="22"/>
          <w:szCs w:val="22"/>
          <w:lang w:eastAsia="zh-CN"/>
        </w:rPr>
        <w:t>履约评价</w:t>
      </w:r>
    </w:p>
    <w:p>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（6）认证情况</w:t>
      </w:r>
    </w:p>
    <w:p>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（7）供应商基本情况表</w:t>
      </w:r>
    </w:p>
    <w:bookmarkEnd w:id="36"/>
    <w:p>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（8）法定代表人（负责人）证明书</w:t>
      </w:r>
    </w:p>
    <w:p>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（9）投标文件签署授权委托书</w:t>
      </w:r>
    </w:p>
    <w:p>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（10）实质性条款响应情况表</w:t>
      </w:r>
    </w:p>
    <w:p>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（11）</w:t>
      </w:r>
      <w:r>
        <w:rPr>
          <w:rFonts w:ascii="宋体" w:eastAsia="宋体" w:hAnsi="宋体" w:cs="宋体" w:hint="eastAsia"/>
          <w:kern w:val="2"/>
          <w:sz w:val="22"/>
          <w:szCs w:val="22"/>
          <w:lang w:eastAsia="zh-CN"/>
        </w:rPr>
        <w:t>项目实施方案</w:t>
      </w:r>
    </w:p>
    <w:p>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（12）项目重点难点分析、应对措施及相关的合理化建议</w:t>
      </w:r>
    </w:p>
    <w:p>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（13）</w:t>
      </w:r>
      <w:r>
        <w:rPr>
          <w:rFonts w:ascii="宋体" w:eastAsia="宋体" w:hAnsi="宋体" w:cs="宋体" w:hint="eastAsia"/>
          <w:kern w:val="2"/>
          <w:sz w:val="22"/>
          <w:szCs w:val="22"/>
          <w:lang w:eastAsia="zh-CN"/>
        </w:rPr>
        <w:t>施工质量保证方案</w:t>
      </w:r>
    </w:p>
    <w:p>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（14）</w:t>
      </w:r>
      <w:r>
        <w:rPr>
          <w:rFonts w:ascii="宋体" w:eastAsia="宋体" w:hAnsi="宋体" w:cs="宋体" w:hint="eastAsia"/>
          <w:kern w:val="2"/>
          <w:sz w:val="22"/>
          <w:szCs w:val="22"/>
          <w:lang w:eastAsia="zh-CN"/>
        </w:rPr>
        <w:t>施工进度、安全、环境保护措施及方案</w:t>
      </w:r>
    </w:p>
    <w:p>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（15）</w:t>
      </w:r>
      <w:r>
        <w:rPr>
          <w:rFonts w:ascii="宋体" w:eastAsia="宋体" w:hAnsi="宋体" w:cs="宋体" w:hint="eastAsia"/>
          <w:kern w:val="2"/>
          <w:sz w:val="21"/>
          <w:szCs w:val="21"/>
          <w:lang w:eastAsia="zh-CN"/>
        </w:rPr>
        <w:t>项目完成（服务期满）后的服务承诺</w:t>
      </w:r>
    </w:p>
    <w:p>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（16）</w:t>
      </w:r>
      <w:r>
        <w:rPr>
          <w:rFonts w:ascii="宋体" w:eastAsia="宋体" w:hAnsi="宋体" w:cs="宋体" w:hint="eastAsia"/>
          <w:kern w:val="2"/>
          <w:sz w:val="22"/>
          <w:szCs w:val="22"/>
          <w:lang w:eastAsia="zh-CN"/>
        </w:rPr>
        <w:t>施工响应时间承诺</w:t>
      </w:r>
    </w:p>
    <w:p>
      <w:pPr>
        <w:widowControl w:val="0"/>
        <w:spacing w:line="276" w:lineRule="auto"/>
        <w:ind w:left="480" w:leftChars="200"/>
        <w:jc w:val="both"/>
        <w:rPr>
          <w:rFonts w:ascii="宋体" w:eastAsia="宋体" w:hAnsi="宋体" w:cs="宋体"/>
          <w:kern w:val="2"/>
          <w:sz w:val="21"/>
          <w:szCs w:val="21"/>
          <w:lang w:eastAsia="zh-CN"/>
        </w:rPr>
      </w:pPr>
      <w:r>
        <w:rPr>
          <w:rFonts w:ascii="宋体" w:eastAsia="宋体" w:hAnsi="宋体" w:cs="宋体" w:hint="eastAsia"/>
          <w:kern w:val="2"/>
          <w:sz w:val="22"/>
          <w:szCs w:val="22"/>
          <w:lang w:eastAsia="zh-CN"/>
        </w:rPr>
        <w:t>（17）</w:t>
      </w:r>
      <w:r>
        <w:rPr>
          <w:rFonts w:ascii="宋体" w:eastAsia="宋体" w:hAnsi="宋体" w:cs="宋体" w:hint="eastAsia"/>
          <w:kern w:val="2"/>
          <w:sz w:val="21"/>
          <w:szCs w:val="21"/>
          <w:lang w:eastAsia="zh-CN"/>
        </w:rPr>
        <w:t>拟安排的项目负责人情况（仅限一人）</w:t>
      </w:r>
    </w:p>
    <w:p>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（18）投标人认为需要加以说明的其他内容（格式自定）</w:t>
      </w:r>
    </w:p>
    <w:p>
      <w:pPr>
        <w:widowControl w:val="0"/>
        <w:jc w:val="both"/>
        <w:rPr>
          <w:rFonts w:ascii="仿宋_GB2312" w:eastAsia="仿宋_GB2312"/>
          <w:kern w:val="2"/>
          <w:lang w:eastAsia="zh-CN"/>
        </w:rPr>
      </w:pPr>
    </w:p>
    <w:p>
      <w:pPr>
        <w:widowControl w:val="0"/>
        <w:spacing w:line="276" w:lineRule="auto"/>
        <w:ind w:firstLine="424" w:firstLineChars="202"/>
        <w:jc w:val="both"/>
        <w:rPr>
          <w:rFonts w:ascii="宋体" w:eastAsia="宋体" w:hAnsi="宋体"/>
          <w:b/>
          <w:kern w:val="2"/>
          <w:sz w:val="21"/>
          <w:szCs w:val="21"/>
          <w:lang w:eastAsia="zh-CN"/>
        </w:rPr>
      </w:pPr>
      <w:r>
        <w:rPr>
          <w:rFonts w:ascii="宋体" w:eastAsia="宋体" w:hAnsi="宋体" w:hint="eastAsia"/>
          <w:b/>
          <w:kern w:val="2"/>
          <w:sz w:val="21"/>
          <w:szCs w:val="21"/>
          <w:lang w:eastAsia="zh-CN"/>
        </w:rPr>
        <w:t>备注：</w:t>
      </w:r>
    </w:p>
    <w:p>
      <w:pPr>
        <w:widowControl w:val="0"/>
        <w:spacing w:line="276" w:lineRule="auto"/>
        <w:ind w:firstLine="424" w:firstLineChars="202"/>
        <w:jc w:val="both"/>
        <w:rPr>
          <w:rFonts w:ascii="宋体" w:eastAsia="宋体" w:hAnsi="宋体"/>
          <w:b/>
          <w:kern w:val="2"/>
          <w:sz w:val="21"/>
          <w:szCs w:val="21"/>
          <w:lang w:eastAsia="zh-CN"/>
        </w:rPr>
      </w:pPr>
      <w:r>
        <w:rPr>
          <w:rFonts w:ascii="宋体" w:eastAsia="宋体" w:hAnsi="宋体" w:hint="eastAsia"/>
          <w:b/>
          <w:kern w:val="2"/>
          <w:sz w:val="21"/>
          <w:szCs w:val="21"/>
          <w:lang w:eastAsia="zh-CN"/>
        </w:rPr>
        <w:t>1.本项目为网上电子投标项目，投标文件不需法人或授权委托人另行签字，无需加盖单位公章，招标文件另有规定的除外。</w:t>
      </w:r>
    </w:p>
    <w:p>
      <w:pPr>
        <w:widowControl w:val="0"/>
        <w:spacing w:line="276" w:lineRule="auto"/>
        <w:ind w:firstLine="424" w:firstLineChars="202"/>
        <w:jc w:val="both"/>
        <w:rPr>
          <w:rFonts w:ascii="宋体" w:eastAsia="宋体" w:hAnsi="宋体"/>
          <w:b/>
          <w:kern w:val="2"/>
          <w:sz w:val="21"/>
          <w:szCs w:val="21"/>
          <w:lang w:eastAsia="zh-CN"/>
        </w:rPr>
      </w:pPr>
      <w:r>
        <w:rPr>
          <w:rFonts w:ascii="宋体" w:eastAsia="宋体" w:hAnsi="宋体" w:hint="eastAsia"/>
          <w:b/>
          <w:kern w:val="2"/>
          <w:sz w:val="21"/>
          <w:szCs w:val="21"/>
          <w:lang w:eastAsia="zh-CN"/>
        </w:rPr>
        <w:t>2.关于填写“开标一览表”的说明：“开标一览表”中除“投标报价”外，其他信息不作评审依据。</w:t>
      </w:r>
    </w:p>
    <w:p>
      <w:pPr>
        <w:widowControl w:val="0"/>
        <w:jc w:val="left"/>
        <w:rPr>
          <w:rFonts w:ascii="宋体" w:eastAsia="宋体" w:hAnsi="宋体"/>
          <w:b/>
          <w:color w:val="FF0000"/>
          <w:kern w:val="2"/>
          <w:sz w:val="36"/>
          <w:szCs w:val="36"/>
          <w:lang w:eastAsia="zh-CN"/>
        </w:rPr>
      </w:pPr>
      <w:r>
        <w:rPr>
          <w:rFonts w:ascii="宋体" w:eastAsia="宋体" w:hAnsi="宋体" w:hint="eastAsia"/>
          <w:b/>
          <w:color w:val="FF0000"/>
          <w:kern w:val="2"/>
          <w:sz w:val="36"/>
          <w:szCs w:val="36"/>
          <w:lang w:eastAsia="zh-CN"/>
        </w:rPr>
        <w:br w:type="page"/>
      </w:r>
    </w:p>
    <w:p>
      <w:pPr>
        <w:widowControl w:val="0"/>
        <w:jc w:val="both"/>
        <w:outlineLvl w:val="1"/>
        <w:rPr>
          <w:rFonts w:ascii="宋体" w:eastAsia="宋体" w:hAnsi="宋体"/>
          <w:b/>
          <w:color w:val="FF0000"/>
          <w:kern w:val="2"/>
          <w:sz w:val="28"/>
          <w:szCs w:val="28"/>
          <w:lang w:eastAsia="zh-CN"/>
        </w:rPr>
      </w:pPr>
      <w:r>
        <w:rPr>
          <w:rFonts w:ascii="宋体" w:eastAsia="宋体" w:hAnsi="宋体" w:hint="eastAsia"/>
          <w:b/>
          <w:color w:val="FF0000"/>
          <w:kern w:val="2"/>
          <w:sz w:val="28"/>
          <w:szCs w:val="28"/>
          <w:lang w:eastAsia="zh-CN"/>
        </w:rPr>
        <w:t>投标文件正文</w:t>
      </w:r>
    </w:p>
    <w:p>
      <w:pPr>
        <w:keepNext/>
        <w:keepLines/>
        <w:widowControl w:val="0"/>
        <w:spacing w:before="260" w:after="260" w:line="360" w:lineRule="auto"/>
        <w:jc w:val="center"/>
        <w:outlineLvl w:val="2"/>
        <w:rPr>
          <w:rFonts w:ascii="黑体" w:eastAsia="黑体" w:hAnsi="宋体"/>
          <w:bCs/>
          <w:szCs w:val="32"/>
          <w:lang w:eastAsia="zh-CN"/>
        </w:rPr>
      </w:pPr>
      <w:r>
        <w:rPr>
          <w:rFonts w:ascii="黑体" w:eastAsia="黑体" w:hAnsi="宋体" w:hint="eastAsia"/>
          <w:bCs/>
          <w:szCs w:val="32"/>
          <w:lang w:eastAsia="zh-CN"/>
        </w:rPr>
        <w:t>一、投标函</w:t>
      </w:r>
    </w:p>
    <w:p>
      <w:pPr>
        <w:widowControl w:val="0"/>
        <w:spacing w:line="360" w:lineRule="auto"/>
        <w:jc w:val="both"/>
        <w:rPr>
          <w:rFonts w:ascii="宋体" w:eastAsia="宋体" w:hAnsi="宋体" w:cs="宋体"/>
          <w:color w:val="000000"/>
          <w:kern w:val="2"/>
          <w:sz w:val="21"/>
          <w:szCs w:val="21"/>
          <w:lang w:eastAsia="zh-CN"/>
        </w:rPr>
      </w:pPr>
      <w:r>
        <w:rPr>
          <w:rFonts w:ascii="宋体" w:eastAsia="宋体" w:hAnsi="宋体" w:cs="宋体" w:hint="eastAsia"/>
          <w:kern w:val="2"/>
          <w:sz w:val="21"/>
          <w:szCs w:val="21"/>
          <w:lang w:eastAsia="zh-CN"/>
        </w:rPr>
        <w:t>致：</w:t>
      </w:r>
      <w:r>
        <w:rPr>
          <w:rFonts w:ascii="宋体" w:eastAsia="宋体" w:hAnsi="宋体" w:cs="宋体" w:hint="eastAsia"/>
          <w:color w:val="FF0000"/>
          <w:kern w:val="2"/>
          <w:sz w:val="21"/>
          <w:szCs w:val="21"/>
          <w:u w:val="single"/>
          <w:lang w:eastAsia="zh-CN"/>
        </w:rPr>
        <w:t xml:space="preserve">  深圳公共资源交易中心  </w:t>
      </w:r>
    </w:p>
    <w:p>
      <w:pPr>
        <w:widowControl w:val="0"/>
        <w:spacing w:line="360" w:lineRule="auto"/>
        <w:ind w:firstLine="420" w:firstLineChars="200"/>
        <w:jc w:val="both"/>
        <w:rPr>
          <w:rFonts w:ascii="宋体" w:eastAsia="宋体" w:hAnsi="宋体" w:cs="宋体"/>
          <w:kern w:val="2"/>
          <w:sz w:val="21"/>
          <w:szCs w:val="21"/>
          <w:lang w:eastAsia="zh-CN"/>
        </w:rPr>
      </w:pPr>
      <w:bookmarkStart w:id="37" w:name="_Hlk73818812"/>
      <w:r>
        <w:rPr>
          <w:rFonts w:ascii="宋体" w:eastAsia="宋体" w:hAnsi="宋体" w:cs="宋体" w:hint="eastAsia"/>
          <w:kern w:val="2"/>
          <w:sz w:val="21"/>
          <w:szCs w:val="21"/>
          <w:lang w:eastAsia="zh-CN"/>
        </w:rPr>
        <w:t>1.根据已收到贵单位的项目编号为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的</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w:t>
      </w:r>
      <w:r>
        <w:rPr>
          <w:rFonts w:ascii="Calibri" w:eastAsia="宋体" w:hAnsi="Calibri" w:cstheme="minorBidi" w:hint="eastAsia"/>
          <w:kern w:val="2"/>
          <w:sz w:val="21"/>
          <w:szCs w:val="21"/>
          <w:u w:val="thick"/>
          <w:lang w:eastAsia="zh-CN"/>
        </w:rPr>
        <w:t>项目</w:t>
      </w:r>
      <w:r>
        <w:rPr>
          <w:rFonts w:eastAsia="宋体" w:hAnsi="Calibri" w:cstheme="minorBidi" w:hint="eastAsia"/>
          <w:kern w:val="2"/>
          <w:sz w:val="21"/>
          <w:szCs w:val="21"/>
          <w:u w:val="thick"/>
          <w:lang w:eastAsia="zh-CN"/>
        </w:rPr>
        <w:t>名称</w:t>
      </w:r>
      <w:r>
        <w:rPr>
          <w:rFonts w:ascii="Calibri" w:eastAsia="宋体" w:hAnsi="Calibri" w:cstheme="minorBidi" w:hint="eastAsia"/>
          <w:kern w:val="2"/>
          <w:sz w:val="21"/>
          <w:szCs w:val="21"/>
          <w:u w:val="thick"/>
          <w:lang w:eastAsia="zh-CN"/>
        </w:rPr>
        <w:t>）</w:t>
      </w:r>
      <w:r>
        <w:rPr>
          <w:rFonts w:ascii="Calibri" w:eastAsia="宋体" w:hAnsi="Calibri" w:cstheme="minorBidi" w:hint="eastAsia"/>
          <w:kern w:val="2"/>
          <w:sz w:val="21"/>
          <w:szCs w:val="21"/>
          <w:u w:val="thick"/>
          <w:lang w:eastAsia="zh-CN"/>
        </w:rPr>
        <w:t xml:space="preserve">       </w:t>
      </w:r>
      <w:r>
        <w:rPr>
          <w:rFonts w:ascii="宋体" w:eastAsia="宋体" w:hAnsi="宋体" w:cs="宋体" w:hint="eastAsia"/>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38" w:name="_Hlk72263588"/>
      <w:r>
        <w:rPr>
          <w:rFonts w:ascii="宋体" w:eastAsia="宋体" w:hAnsi="宋体" w:cs="宋体" w:hint="eastAsia"/>
          <w:kern w:val="2"/>
          <w:sz w:val="21"/>
          <w:szCs w:val="21"/>
          <w:lang w:eastAsia="zh-CN"/>
        </w:rPr>
        <w:t>愿意按照招标文件要求承包上述项目并修补其任何缺陷。</w:t>
      </w:r>
      <w:bookmarkEnd w:id="38"/>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2.投标价格见投标文件制作软件中《开标一览表》中填写的投标</w:t>
      </w:r>
      <w:r>
        <w:rPr>
          <w:rFonts w:ascii="Calibri" w:eastAsia="宋体" w:hAnsi="Calibri" w:cstheme="minorBidi" w:hint="eastAsia"/>
          <w:kern w:val="2"/>
          <w:sz w:val="21"/>
          <w:szCs w:val="21"/>
          <w:lang w:eastAsia="zh-CN"/>
        </w:rPr>
        <w:t>总</w:t>
      </w:r>
      <w:r>
        <w:rPr>
          <w:rFonts w:ascii="宋体" w:eastAsia="宋体" w:hAnsi="宋体" w:cs="宋体" w:hint="eastAsia"/>
          <w:kern w:val="2"/>
          <w:sz w:val="21"/>
          <w:szCs w:val="21"/>
          <w:lang w:eastAsia="zh-CN"/>
        </w:rPr>
        <w:t>价。</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3.如果我单位中标，我单位将按照招标文件的要求</w:t>
      </w:r>
      <w:r>
        <w:rPr>
          <w:rFonts w:ascii="宋体" w:eastAsia="宋体" w:hAnsi="宋体" w:cstheme="minorBidi" w:hint="eastAsia"/>
          <w:kern w:val="2"/>
          <w:sz w:val="21"/>
          <w:szCs w:val="21"/>
          <w:lang w:eastAsia="zh-CN"/>
        </w:rPr>
        <w:t>足额</w:t>
      </w:r>
      <w:r>
        <w:rPr>
          <w:rFonts w:ascii="宋体" w:eastAsia="宋体" w:hAnsi="宋体" w:cs="宋体" w:hint="eastAsia"/>
          <w:kern w:val="2"/>
          <w:sz w:val="21"/>
          <w:szCs w:val="21"/>
          <w:lang w:eastAsia="zh-CN"/>
        </w:rPr>
        <w:t>提交履约担保。</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4.我单位同意所递交的投标文件在“对通用条款的补充内容”中明确的投标有效期内有效，在此期间内我单位的投标有可能中标，我方将受此约束。</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5.除非另外达成协议并生效，贵单位的中标通知书和本投标文件将构成合同的重要内容。</w:t>
      </w:r>
    </w:p>
    <w:p>
      <w:pPr>
        <w:widowControl w:val="0"/>
        <w:spacing w:line="360" w:lineRule="auto"/>
        <w:ind w:left="585" w:hanging="105" w:leftChars="200" w:hangingChars="5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6.我单位理解贵单位将不受必须接受所收到的最低报价或其它任何投标文件的约束。</w:t>
      </w:r>
      <w:bookmarkEnd w:id="37"/>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7.如我单位提交样品，且未在规定时间内取回样品的，视同放弃取回，同意深圳公共资源交易中心对我单位提交的样品进行清理。</w:t>
      </w:r>
    </w:p>
    <w:p>
      <w:pPr>
        <w:widowControl w:val="0"/>
        <w:spacing w:line="360" w:lineRule="auto"/>
        <w:ind w:firstLine="420" w:firstLineChars="200"/>
        <w:jc w:val="both"/>
        <w:rPr>
          <w:rFonts w:ascii="宋体" w:eastAsia="宋体" w:hAnsi="宋体" w:cs="宋体"/>
          <w:kern w:val="2"/>
          <w:sz w:val="21"/>
          <w:szCs w:val="21"/>
          <w:lang w:eastAsia="zh-CN"/>
        </w:rPr>
      </w:pPr>
    </w:p>
    <w:p>
      <w:pPr>
        <w:widowControl w:val="0"/>
        <w:spacing w:line="360" w:lineRule="auto"/>
        <w:ind w:firstLine="420" w:firstLineChars="200"/>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投标人：</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单位地址：</w:t>
      </w:r>
      <w:r>
        <w:rPr>
          <w:rFonts w:ascii="宋体" w:eastAsia="宋体" w:hAnsi="宋体" w:cs="宋体" w:hint="eastAsia"/>
          <w:kern w:val="2"/>
          <w:sz w:val="21"/>
          <w:szCs w:val="21"/>
          <w:u w:val="single"/>
          <w:lang w:eastAsia="zh-CN"/>
        </w:rPr>
        <w:t xml:space="preserve">               </w:t>
      </w:r>
    </w:p>
    <w:p>
      <w:pPr>
        <w:widowControl w:val="0"/>
        <w:spacing w:line="360" w:lineRule="auto"/>
        <w:ind w:firstLine="420" w:firstLineChars="200"/>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法定代表人（负责人）或其代理人：</w:t>
      </w:r>
      <w:r>
        <w:rPr>
          <w:rFonts w:ascii="宋体" w:eastAsia="宋体" w:hAnsi="宋体" w:cs="宋体" w:hint="eastAsia"/>
          <w:kern w:val="2"/>
          <w:sz w:val="21"/>
          <w:szCs w:val="21"/>
          <w:u w:val="single"/>
          <w:lang w:eastAsia="zh-CN"/>
        </w:rPr>
        <w:t xml:space="preserve">                   </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邮政编码：</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电话：</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w:t>
      </w:r>
    </w:p>
    <w:p>
      <w:pPr>
        <w:widowControl w:val="0"/>
        <w:spacing w:line="360" w:lineRule="auto"/>
        <w:ind w:firstLine="420" w:firstLineChars="200"/>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传真：</w:t>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日期：</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月</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日                                </w:t>
      </w:r>
    </w:p>
    <w:p>
      <w:pPr>
        <w:widowControl w:val="0"/>
        <w:jc w:val="both"/>
        <w:rPr>
          <w:rFonts w:ascii="黑体" w:eastAsia="黑体" w:hAnsi="宋体"/>
          <w:kern w:val="2"/>
          <w:sz w:val="21"/>
          <w:lang w:eastAsia="zh-CN"/>
        </w:rPr>
      </w:pPr>
    </w:p>
    <w:p>
      <w:pPr>
        <w:widowControl w:val="0"/>
        <w:jc w:val="both"/>
        <w:rPr>
          <w:rFonts w:ascii="黑体" w:eastAsia="黑体" w:hAnsi="宋体"/>
          <w:kern w:val="2"/>
          <w:sz w:val="21"/>
          <w:lang w:eastAsia="zh-CN"/>
        </w:rPr>
      </w:pPr>
    </w:p>
    <w:p>
      <w:pPr>
        <w:widowControl w:val="0"/>
        <w:jc w:val="both"/>
        <w:rPr>
          <w:rFonts w:ascii="黑体" w:eastAsia="黑体"/>
          <w:lang w:eastAsia="zh-CN"/>
        </w:rPr>
      </w:pPr>
      <w:r>
        <w:rPr>
          <w:rFonts w:ascii="黑体" w:eastAsia="黑体" w:hint="eastAsia"/>
          <w:lang w:eastAsia="zh-CN"/>
        </w:rPr>
        <w:br w:type="page"/>
      </w:r>
    </w:p>
    <w:p>
      <w:pPr>
        <w:keepNext/>
        <w:keepLines/>
        <w:widowControl w:val="0"/>
        <w:spacing w:before="260" w:after="260"/>
        <w:jc w:val="center"/>
        <w:outlineLvl w:val="2"/>
        <w:rPr>
          <w:rFonts w:ascii="黑体" w:eastAsia="黑体" w:hAnsi="宋体"/>
          <w:bCs/>
          <w:szCs w:val="32"/>
          <w:lang w:eastAsia="zh-CN"/>
        </w:rPr>
      </w:pPr>
      <w:r>
        <w:rPr>
          <w:rFonts w:ascii="黑体" w:eastAsia="黑体" w:hAnsi="宋体" w:hint="eastAsia"/>
          <w:bCs/>
          <w:szCs w:val="32"/>
          <w:lang w:eastAsia="zh-CN"/>
        </w:rPr>
        <w:t>二、政府采购投标及履约承诺函</w:t>
      </w:r>
    </w:p>
    <w:p>
      <w:pPr>
        <w:widowControl w:val="0"/>
        <w:jc w:val="both"/>
        <w:rPr>
          <w:rFonts w:ascii="宋体" w:eastAsia="宋体" w:hAnsi="宋体"/>
          <w:kern w:val="2"/>
          <w:lang w:eastAsia="zh-CN"/>
        </w:rPr>
      </w:pPr>
    </w:p>
    <w:p>
      <w:pPr>
        <w:widowControl w:val="0"/>
        <w:spacing w:line="276" w:lineRule="auto"/>
        <w:jc w:val="both"/>
        <w:rPr>
          <w:rFonts w:ascii="宋体" w:eastAsia="宋体" w:hAnsi="宋体" w:cs="宋体"/>
          <w:color w:val="000000"/>
          <w:kern w:val="2"/>
          <w:sz w:val="21"/>
          <w:szCs w:val="21"/>
          <w:lang w:eastAsia="zh-CN"/>
        </w:rPr>
      </w:pPr>
      <w:r>
        <w:rPr>
          <w:rFonts w:ascii="宋体" w:eastAsia="宋体" w:hAnsi="宋体" w:cs="宋体" w:hint="eastAsia"/>
          <w:color w:val="000000"/>
          <w:kern w:val="2"/>
          <w:sz w:val="21"/>
          <w:szCs w:val="21"/>
          <w:lang w:eastAsia="zh-CN"/>
        </w:rPr>
        <w:t>致：</w:t>
      </w:r>
      <w:r>
        <w:rPr>
          <w:rFonts w:ascii="宋体" w:eastAsia="宋体" w:hAnsi="宋体" w:cs="宋体" w:hint="eastAsia"/>
          <w:color w:val="FF0000"/>
          <w:kern w:val="2"/>
          <w:sz w:val="21"/>
          <w:szCs w:val="21"/>
          <w:u w:val="single"/>
          <w:lang w:eastAsia="zh-CN"/>
        </w:rPr>
        <w:t>深圳公共资源交易中心</w:t>
      </w:r>
    </w:p>
    <w:p>
      <w:pPr>
        <w:widowControl w:val="0"/>
        <w:spacing w:line="276" w:lineRule="auto"/>
        <w:ind w:right="-815"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我单位承诺：</w:t>
      </w:r>
    </w:p>
    <w:p>
      <w:pPr>
        <w:widowControl w:val="0"/>
        <w:spacing w:line="276" w:lineRule="auto"/>
        <w:ind w:firstLine="420" w:firstLineChars="200"/>
        <w:jc w:val="both"/>
        <w:rPr>
          <w:rFonts w:ascii="宋体" w:eastAsia="宋体" w:hAnsi="宋体" w:cs="宋体"/>
          <w:b/>
          <w:kern w:val="2"/>
          <w:sz w:val="21"/>
          <w:szCs w:val="21"/>
          <w:lang w:eastAsia="zh-CN"/>
        </w:rPr>
      </w:pPr>
      <w:r>
        <w:rPr>
          <w:rFonts w:ascii="宋体" w:eastAsia="宋体" w:hAnsi="宋体" w:cs="宋体" w:hint="eastAsia"/>
          <w:bCs/>
          <w:kern w:val="2"/>
          <w:sz w:val="21"/>
          <w:szCs w:val="21"/>
          <w:lang w:eastAsia="zh-CN"/>
        </w:rPr>
        <w:t>1.我单位参与本项目所投标（响应）的货物、工程或服务，不存在侵犯知识产权的情况。</w:t>
      </w:r>
    </w:p>
    <w:p>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2.我单位参与本项目</w:t>
      </w:r>
      <w:r>
        <w:rPr>
          <w:rFonts w:ascii="宋体" w:eastAsia="宋体" w:hAnsi="宋体" w:cs="宋体" w:hint="eastAsia"/>
          <w:kern w:val="2"/>
          <w:sz w:val="21"/>
          <w:lang w:eastAsia="zh-CN"/>
        </w:rPr>
        <w:t>政府采购活动时不存在被有关部门禁止参与政府采购活动且在有效期内的情况。</w:t>
      </w:r>
    </w:p>
    <w:p>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3.我单位具备《中华人民共和国政府采购法》第二十二条第一款规定的六项条件。</w:t>
      </w:r>
    </w:p>
    <w:p>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4.我单位</w:t>
      </w:r>
      <w:r>
        <w:rPr>
          <w:rFonts w:ascii="宋体" w:eastAsia="宋体" w:hAnsi="宋体" w:cs="宋体" w:hint="eastAsia"/>
          <w:kern w:val="2"/>
          <w:sz w:val="21"/>
          <w:lang w:eastAsia="zh-CN"/>
        </w:rPr>
        <w:t>未被列入失信被执行人、重大税收违法案件当事人名单、政府采购严重违法失信行为记录名单。</w:t>
      </w:r>
    </w:p>
    <w:p>
      <w:pPr>
        <w:widowControl w:val="0"/>
        <w:ind w:firstLine="420" w:firstLineChars="200"/>
        <w:jc w:val="both"/>
        <w:rPr>
          <w:rFonts w:ascii="Calibri" w:eastAsia="宋体" w:hAnsi="Calibri"/>
          <w:kern w:val="2"/>
          <w:sz w:val="21"/>
          <w:szCs w:val="22"/>
          <w:lang w:eastAsia="zh-CN"/>
        </w:rPr>
      </w:pPr>
      <w:r>
        <w:rPr>
          <w:rFonts w:eastAsia="宋体" w:hAnsi="Calibri" w:cstheme="minorBidi" w:hint="eastAsia"/>
          <w:kern w:val="2"/>
          <w:sz w:val="21"/>
          <w:szCs w:val="22"/>
          <w:lang w:eastAsia="zh-CN"/>
        </w:rPr>
        <w:t>5.我单位不存在《深圳市财政局政府采购供应商信用信息管理办法》（深财规〔2023〕3号）列明的严重违法失信行为。</w:t>
      </w:r>
    </w:p>
    <w:p>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6.</w:t>
      </w:r>
      <w:bookmarkStart w:id="39" w:name="_Hlk72587269"/>
      <w:bookmarkStart w:id="40" w:name="_Hlk72587299"/>
      <w:r>
        <w:rPr>
          <w:rFonts w:ascii="宋体" w:eastAsia="宋体" w:hAnsi="宋体" w:cs="宋体" w:hint="eastAsia"/>
          <w:kern w:val="2"/>
          <w:sz w:val="21"/>
          <w:szCs w:val="21"/>
          <w:lang w:eastAsia="zh-CN"/>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39"/>
      <w:r>
        <w:rPr>
          <w:rFonts w:ascii="宋体" w:eastAsia="宋体" w:hAnsi="宋体" w:cs="宋体" w:hint="eastAsia"/>
          <w:kern w:val="2"/>
          <w:sz w:val="21"/>
          <w:szCs w:val="21"/>
          <w:lang w:eastAsia="zh-CN"/>
        </w:rPr>
        <w:t>。</w:t>
      </w:r>
    </w:p>
    <w:bookmarkEnd w:id="40"/>
    <w:p>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widowControl w:val="0"/>
        <w:spacing w:line="276"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9.我单位承诺中标后项目不转包，未经采购人同意不进行分包。</w:t>
      </w:r>
    </w:p>
    <w:p>
      <w:pPr>
        <w:widowControl w:val="0"/>
        <w:spacing w:line="276"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szCs w:val="21"/>
          <w:lang w:eastAsia="zh-CN"/>
        </w:rPr>
        <w:t>10.</w:t>
      </w:r>
      <w:r>
        <w:rPr>
          <w:rFonts w:ascii="宋体" w:eastAsia="宋体" w:hAnsi="宋体" w:cs="宋体" w:hint="eastAsia"/>
          <w:kern w:val="2"/>
          <w:sz w:val="21"/>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widowControl w:val="0"/>
        <w:spacing w:line="276" w:lineRule="auto"/>
        <w:ind w:firstLine="420" w:firstLineChars="200"/>
        <w:jc w:val="both"/>
        <w:rPr>
          <w:rFonts w:ascii="宋体" w:eastAsia="宋体" w:hAnsi="宋体" w:cs="宋体"/>
          <w:kern w:val="2"/>
          <w:sz w:val="21"/>
          <w:lang w:eastAsia="zh-CN"/>
        </w:rPr>
      </w:pPr>
      <w:r>
        <w:rPr>
          <w:rFonts w:ascii="宋体" w:eastAsia="宋体" w:hAnsi="宋体" w:cs="宋体" w:hint="eastAsia"/>
          <w:kern w:val="2"/>
          <w:sz w:val="21"/>
          <w:lang w:eastAsia="zh-CN"/>
        </w:rPr>
        <w:t>11.</w:t>
      </w:r>
      <w:r>
        <w:rPr>
          <w:rFonts w:ascii="宋体" w:eastAsia="宋体" w:hAnsi="宋体" w:cs="宋体" w:hint="eastAsia"/>
          <w:kern w:val="2"/>
          <w:sz w:val="21"/>
          <w:szCs w:val="21"/>
          <w:lang w:eastAsia="zh-CN"/>
        </w:rPr>
        <w:t>我单位保证，若所投货物涉及《财政部生态环境部关于印发节能产品政府采购品目清单的通知》(财库〔2019〕19号)列明的政府采购强制产品，则所投该产品符合节能产品的认证要求。若所投产品包括数据中心相关设备的，应满足</w:t>
      </w:r>
      <w:r>
        <w:rPr>
          <w:rFonts w:ascii="Calibri" w:eastAsia="宋体" w:hAnsi="Calibri" w:cstheme="minorBidi" w:hint="eastAsia"/>
          <w:kern w:val="2"/>
          <w:sz w:val="21"/>
          <w:szCs w:val="22"/>
          <w:lang w:eastAsia="zh-CN"/>
        </w:rPr>
        <w:t>《财政部 生态环境部 工业和信息化部关于印发&lt;绿色数据中心政府采购需求标准（试行）&gt;的通知》</w:t>
      </w: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财库〔2023〕7号）要求</w:t>
      </w:r>
      <w:r>
        <w:rPr>
          <w:rFonts w:ascii="宋体" w:eastAsia="宋体" w:hAnsi="宋体" w:cs="宋体" w:hint="eastAsia"/>
          <w:kern w:val="2"/>
          <w:sz w:val="21"/>
          <w:szCs w:val="21"/>
          <w:lang w:eastAsia="zh-CN"/>
        </w:rPr>
        <w:t>。</w:t>
      </w:r>
      <w:r>
        <w:rPr>
          <w:rFonts w:eastAsia="宋体" w:hAnsi="Calibri" w:cstheme="minorBidi" w:hint="eastAsia"/>
          <w:kern w:val="2"/>
          <w:sz w:val="21"/>
          <w:szCs w:val="22"/>
          <w:lang w:eastAsia="zh-CN"/>
        </w:rPr>
        <w:t>若所投产品涉及国家强制性标准的，所投产品应符合国家强制性标准相关要求。</w:t>
      </w:r>
    </w:p>
    <w:p>
      <w:pPr>
        <w:widowControl w:val="0"/>
        <w:spacing w:line="276" w:lineRule="auto"/>
        <w:ind w:firstLine="420" w:firstLineChars="200"/>
        <w:jc w:val="both"/>
        <w:rPr>
          <w:rFonts w:ascii="宋体" w:eastAsia="宋体" w:hAnsi="宋体" w:cs="宋体"/>
          <w:bCs/>
          <w:kern w:val="2"/>
          <w:sz w:val="21"/>
          <w:lang w:eastAsia="zh-CN"/>
        </w:rPr>
      </w:pPr>
      <w:r>
        <w:rPr>
          <w:rFonts w:ascii="宋体" w:eastAsia="宋体" w:hAnsi="宋体" w:cs="宋体" w:hint="eastAsia"/>
          <w:bCs/>
          <w:sz w:val="21"/>
          <w:szCs w:val="21"/>
          <w:lang w:eastAsia="zh-CN"/>
        </w:rPr>
        <w:t>12.</w:t>
      </w:r>
      <w:r>
        <w:rPr>
          <w:rFonts w:ascii="宋体" w:eastAsia="宋体" w:hAnsi="宋体" w:cs="宋体" w:hint="eastAsia"/>
          <w:bCs/>
          <w:kern w:val="2"/>
          <w:sz w:val="21"/>
          <w:lang w:eastAsia="zh-CN"/>
        </w:rPr>
        <w:t>我单位已知悉并同意中标（成交）结果信息公示（公开）的内容。</w:t>
      </w:r>
    </w:p>
    <w:p>
      <w:pPr>
        <w:widowControl w:val="0"/>
        <w:ind w:firstLine="420" w:firstLineChars="200"/>
        <w:jc w:val="both"/>
        <w:rPr>
          <w:rFonts w:ascii="宋体" w:eastAsia="宋体" w:hAnsi="宋体" w:cs="宋体"/>
          <w:b/>
          <w:sz w:val="21"/>
          <w:szCs w:val="21"/>
          <w:lang w:eastAsia="zh-CN"/>
        </w:rPr>
      </w:pPr>
      <w:r>
        <w:rPr>
          <w:rFonts w:ascii="宋体" w:eastAsia="宋体" w:hAnsi="宋体" w:cs="宋体" w:hint="eastAsia"/>
          <w:bCs/>
          <w:kern w:val="2"/>
          <w:sz w:val="21"/>
          <w:lang w:eastAsia="zh-CN"/>
        </w:rPr>
        <w:t>13.我单位保证，符合《中华人民共和国政府采购法实施条例》第十八条规定，与其他投标供应商不存在单位负责人为同一人或者存在直接控股、管理关系；不存在为</w:t>
      </w:r>
      <w:r>
        <w:rPr>
          <w:rFonts w:ascii="宋体" w:eastAsia="宋体" w:hAnsi="宋体" w:cstheme="minorBidi" w:hint="eastAsia"/>
          <w:bCs/>
          <w:kern w:val="2"/>
          <w:sz w:val="21"/>
          <w:szCs w:val="22"/>
          <w:lang w:eastAsia="zh-CN"/>
        </w:rPr>
        <w:t>本次</w:t>
      </w:r>
      <w:r>
        <w:rPr>
          <w:rFonts w:ascii="宋体" w:eastAsia="宋体" w:hAnsi="宋体" w:cs="宋体" w:hint="eastAsia"/>
          <w:bCs/>
          <w:kern w:val="2"/>
          <w:sz w:val="21"/>
          <w:lang w:eastAsia="zh-CN"/>
        </w:rPr>
        <w:t>采购项目提供整体设计、规范编制或者项目管理、监理、检测等服务的情形。</w:t>
      </w:r>
      <w:r>
        <w:rPr>
          <w:rFonts w:ascii="宋体" w:eastAsia="宋体" w:hAnsi="宋体" w:cstheme="minorBidi" w:hint="eastAsia"/>
          <w:bCs/>
          <w:kern w:val="2"/>
          <w:sz w:val="21"/>
          <w:szCs w:val="22"/>
          <w:lang w:eastAsia="zh-CN"/>
        </w:rPr>
        <w:t>若存在“不同供应商的董事、股东或其他高级管理人员为同一人的”情形的，我单位保证不存在串通投标、恶意串通或者视为串通投标的情形。</w:t>
      </w:r>
    </w:p>
    <w:p>
      <w:pPr>
        <w:widowControl w:val="0"/>
        <w:spacing w:line="276" w:lineRule="auto"/>
        <w:ind w:firstLine="420" w:firstLineChars="200"/>
        <w:jc w:val="both"/>
        <w:rPr>
          <w:rFonts w:ascii="宋体" w:eastAsia="宋体" w:hAnsi="宋体" w:cs="宋体"/>
          <w:kern w:val="2"/>
          <w:sz w:val="21"/>
          <w:lang w:eastAsia="zh-CN"/>
        </w:rPr>
      </w:pPr>
      <w:r>
        <w:rPr>
          <w:rFonts w:ascii="宋体" w:eastAsia="宋体" w:hAnsi="宋体" w:cs="宋体" w:hint="eastAsia"/>
          <w:b/>
          <w:kern w:val="2"/>
          <w:sz w:val="21"/>
          <w:lang w:eastAsia="zh-CN"/>
        </w:rPr>
        <w:t>14.我单位清楚，如存在违反投标承诺行为情节严重的，将根据《深圳市财政局关于印发&lt;深圳市财政局政府采购供应商信用信息管理办法&gt;的通知》，依法被列入失信信息。</w:t>
      </w:r>
    </w:p>
    <w:p>
      <w:pPr>
        <w:widowControl w:val="0"/>
        <w:spacing w:line="276" w:lineRule="auto"/>
        <w:ind w:firstLine="420" w:firstLineChars="200"/>
        <w:jc w:val="both"/>
        <w:rPr>
          <w:rFonts w:ascii="宋体" w:eastAsia="宋体" w:hAnsi="宋体"/>
          <w:kern w:val="2"/>
          <w:sz w:val="21"/>
          <w:szCs w:val="21"/>
          <w:lang w:eastAsia="zh-CN"/>
        </w:rPr>
      </w:pPr>
      <w:r>
        <w:rPr>
          <w:rFonts w:ascii="宋体" w:eastAsia="宋体" w:hAnsi="宋体" w:cs="宋体" w:hint="eastAsia"/>
          <w:kern w:val="2"/>
          <w:sz w:val="21"/>
          <w:szCs w:val="21"/>
          <w:lang w:eastAsia="zh-CN"/>
        </w:rPr>
        <w:t>以上承诺，如有违反，愿依照国家相关法律法规处理，并承担由此给采购人带来的损失。</w:t>
      </w:r>
    </w:p>
    <w:p>
      <w:pPr>
        <w:widowControl w:val="0"/>
        <w:spacing w:before="60" w:beforeLines="25" w:after="60" w:afterLines="25" w:line="276" w:lineRule="auto"/>
        <w:ind w:firstLine="5460" w:firstLineChars="2600"/>
        <w:jc w:val="both"/>
        <w:rPr>
          <w:rFonts w:eastAsia="宋体"/>
          <w:color w:val="000000"/>
          <w:kern w:val="2"/>
          <w:sz w:val="21"/>
          <w:lang w:eastAsia="zh-CN"/>
        </w:rPr>
      </w:pPr>
      <w:r>
        <w:rPr>
          <w:rFonts w:eastAsia="宋体" w:hint="eastAsia"/>
          <w:color w:val="000000"/>
          <w:kern w:val="2"/>
          <w:sz w:val="21"/>
          <w:szCs w:val="21"/>
          <w:lang w:eastAsia="zh-CN"/>
        </w:rPr>
        <w:t>投标人：</w:t>
      </w:r>
      <w:r>
        <w:rPr>
          <w:rFonts w:eastAsia="宋体" w:hint="eastAsia"/>
          <w:color w:val="000000"/>
          <w:kern w:val="2"/>
          <w:sz w:val="21"/>
          <w:szCs w:val="21"/>
          <w:u w:val="single"/>
          <w:lang w:eastAsia="zh-CN"/>
        </w:rPr>
        <w:t xml:space="preserve">              </w:t>
      </w:r>
    </w:p>
    <w:p>
      <w:pPr>
        <w:widowControl w:val="0"/>
        <w:spacing w:line="276" w:lineRule="auto"/>
        <w:ind w:firstLine="645"/>
        <w:jc w:val="both"/>
        <w:rPr>
          <w:rFonts w:eastAsia="宋体"/>
          <w:kern w:val="2"/>
          <w:sz w:val="21"/>
          <w:lang w:eastAsia="zh-CN"/>
        </w:rPr>
      </w:pPr>
      <w:r>
        <w:rPr>
          <w:rFonts w:ascii="宋体" w:eastAsia="宋体" w:hAnsi="宋体" w:hint="eastAsia"/>
          <w:color w:val="000000"/>
          <w:kern w:val="2"/>
          <w:sz w:val="21"/>
          <w:szCs w:val="21"/>
          <w:lang w:eastAsia="zh-CN"/>
        </w:rPr>
        <w:t xml:space="preserve">                                              日期：</w:t>
      </w:r>
      <w:r>
        <w:rPr>
          <w:rFonts w:ascii="宋体" w:eastAsia="宋体" w:hAnsi="宋体" w:hint="eastAsia"/>
          <w:color w:val="000000"/>
          <w:kern w:val="2"/>
          <w:sz w:val="21"/>
          <w:szCs w:val="21"/>
          <w:u w:val="single"/>
          <w:lang w:eastAsia="zh-CN"/>
        </w:rPr>
        <w:t xml:space="preserve">    </w:t>
      </w:r>
      <w:r>
        <w:rPr>
          <w:rFonts w:ascii="宋体" w:eastAsia="宋体" w:hAnsi="宋体" w:hint="eastAsia"/>
          <w:color w:val="000000"/>
          <w:kern w:val="2"/>
          <w:sz w:val="21"/>
          <w:szCs w:val="21"/>
          <w:lang w:eastAsia="zh-CN"/>
        </w:rPr>
        <w:t>年</w:t>
      </w:r>
      <w:r>
        <w:rPr>
          <w:rFonts w:ascii="宋体" w:eastAsia="宋体" w:hAnsi="宋体" w:hint="eastAsia"/>
          <w:color w:val="000000"/>
          <w:kern w:val="2"/>
          <w:sz w:val="21"/>
          <w:szCs w:val="21"/>
          <w:u w:val="single"/>
          <w:lang w:eastAsia="zh-CN"/>
        </w:rPr>
        <w:t xml:space="preserve">   </w:t>
      </w:r>
      <w:r>
        <w:rPr>
          <w:rFonts w:ascii="宋体" w:eastAsia="宋体" w:hAnsi="宋体" w:hint="eastAsia"/>
          <w:color w:val="000000"/>
          <w:kern w:val="2"/>
          <w:sz w:val="21"/>
          <w:szCs w:val="21"/>
          <w:lang w:eastAsia="zh-CN"/>
        </w:rPr>
        <w:t>月</w:t>
      </w:r>
      <w:r>
        <w:rPr>
          <w:rFonts w:ascii="宋体" w:eastAsia="宋体" w:hAnsi="宋体" w:hint="eastAsia"/>
          <w:color w:val="000000"/>
          <w:kern w:val="2"/>
          <w:sz w:val="21"/>
          <w:szCs w:val="21"/>
          <w:u w:val="single"/>
          <w:lang w:eastAsia="zh-CN"/>
        </w:rPr>
        <w:t xml:space="preserve">   </w:t>
      </w:r>
      <w:r>
        <w:rPr>
          <w:rFonts w:ascii="宋体" w:eastAsia="宋体" w:hAnsi="宋体" w:hint="eastAsia"/>
          <w:color w:val="000000"/>
          <w:kern w:val="2"/>
          <w:sz w:val="21"/>
          <w:szCs w:val="21"/>
          <w:lang w:eastAsia="zh-CN"/>
        </w:rPr>
        <w:t>日</w:t>
      </w:r>
    </w:p>
    <w:p>
      <w:pPr>
        <w:keepNext/>
        <w:keepLines/>
        <w:widowControl w:val="0"/>
        <w:spacing w:before="120" w:after="120"/>
        <w:jc w:val="center"/>
        <w:outlineLvl w:val="2"/>
        <w:rPr>
          <w:rFonts w:ascii="黑体" w:eastAsia="黑体" w:hAnsi="宋体"/>
          <w:bCs/>
          <w:szCs w:val="32"/>
          <w:lang w:eastAsia="zh-CN"/>
        </w:rPr>
      </w:pPr>
    </w:p>
    <w:p>
      <w:pPr>
        <w:keepNext/>
        <w:keepLines/>
        <w:widowControl w:val="0"/>
        <w:spacing w:before="120" w:after="120"/>
        <w:jc w:val="center"/>
        <w:outlineLvl w:val="2"/>
        <w:rPr>
          <w:rFonts w:ascii="黑体" w:eastAsia="黑体" w:hAnsi="宋体"/>
          <w:bCs/>
          <w:szCs w:val="32"/>
          <w:lang w:eastAsia="zh-CN"/>
        </w:rPr>
      </w:pPr>
      <w:r>
        <w:rPr>
          <w:rFonts w:ascii="黑体" w:eastAsia="黑体" w:hAnsi="宋体" w:hint="eastAsia"/>
          <w:bCs/>
          <w:szCs w:val="32"/>
          <w:lang w:eastAsia="zh-CN"/>
        </w:rPr>
        <w:t>三、投标人情况及资格证明文件</w:t>
      </w:r>
    </w:p>
    <w:p>
      <w:pPr>
        <w:widowControl w:val="0"/>
        <w:ind w:firstLine="2640" w:firstLineChars="1100"/>
        <w:jc w:val="both"/>
        <w:outlineLvl w:val="3"/>
        <w:rPr>
          <w:rFonts w:ascii="黑体" w:eastAsia="黑体" w:hAnsi="宋体"/>
          <w:bCs/>
          <w:szCs w:val="32"/>
          <w:lang w:eastAsia="zh-CN"/>
        </w:rPr>
      </w:pPr>
      <w:r>
        <w:rPr>
          <w:rFonts w:ascii="黑体" w:eastAsia="黑体" w:hAnsi="宋体" w:hint="eastAsia"/>
          <w:bCs/>
          <w:szCs w:val="32"/>
          <w:lang w:eastAsia="zh-CN"/>
        </w:rPr>
        <w:t>（一）投标人资格证明文件</w:t>
      </w:r>
    </w:p>
    <w:p>
      <w:pPr>
        <w:widowControl w:val="0"/>
        <w:spacing w:before="120" w:beforeLines="50"/>
        <w:ind w:firstLine="420" w:firstLineChars="200"/>
        <w:jc w:val="both"/>
        <w:rPr>
          <w:rFonts w:eastAsia="宋体"/>
          <w:b/>
          <w:kern w:val="2"/>
          <w:lang w:eastAsia="zh-CN"/>
        </w:rPr>
      </w:pPr>
      <w:r>
        <w:rPr>
          <w:rFonts w:eastAsia="宋体" w:hint="eastAsia"/>
          <w:b/>
          <w:bCs/>
          <w:color w:val="FF0000"/>
          <w:kern w:val="2"/>
          <w:sz w:val="21"/>
          <w:lang w:eastAsia="zh-CN"/>
        </w:rPr>
        <w:t>（特别提示：投标人须按本招标文件第一册第一章招标公告 “申请人的资格要求”（即投标人资格要求）提供相关的资格证明资料，未提供或提供不完整、不符合要求的，将作投标无效处理。其中要求提供《政府采购投标及履约承诺函》且已在“二、政府采购投标及履约承诺函”章节中提供了，此处可不重复提供。）</w:t>
      </w:r>
    </w:p>
    <w:p>
      <w:pPr>
        <w:widowControl w:val="0"/>
        <w:jc w:val="both"/>
        <w:rPr>
          <w:rFonts w:eastAsia="宋体"/>
          <w:kern w:val="2"/>
          <w:sz w:val="21"/>
          <w:lang w:eastAsia="zh-CN"/>
        </w:rPr>
      </w:pPr>
    </w:p>
    <w:p>
      <w:pPr>
        <w:widowControl w:val="0"/>
        <w:ind w:firstLine="480" w:firstLineChars="200"/>
        <w:jc w:val="both"/>
        <w:outlineLvl w:val="3"/>
        <w:rPr>
          <w:rFonts w:ascii="黑体" w:eastAsia="黑体" w:hAnsi="宋体"/>
          <w:bCs/>
          <w:szCs w:val="32"/>
          <w:lang w:eastAsia="zh-CN"/>
        </w:rPr>
      </w:pPr>
      <w:r>
        <w:rPr>
          <w:rFonts w:ascii="黑体" w:eastAsia="黑体" w:hAnsi="宋体" w:hint="eastAsia"/>
          <w:bCs/>
          <w:szCs w:val="32"/>
          <w:lang w:eastAsia="zh-CN"/>
        </w:rPr>
        <w:t>（二）中小企业声明函、残疾人福利性单位声明函及监狱企业声明函</w:t>
      </w:r>
    </w:p>
    <w:p>
      <w:pPr>
        <w:widowControl w:val="0"/>
        <w:spacing w:line="276" w:lineRule="auto"/>
        <w:ind w:firstLine="420" w:firstLineChars="200"/>
        <w:jc w:val="both"/>
        <w:rPr>
          <w:rFonts w:ascii="宋体" w:eastAsia="宋体" w:hAnsi="宋体" w:cs="宋体"/>
          <w:b/>
          <w:color w:val="0000FF"/>
          <w:kern w:val="2"/>
          <w:sz w:val="21"/>
          <w:szCs w:val="21"/>
          <w:lang w:eastAsia="zh-CN"/>
        </w:rPr>
      </w:pPr>
      <w:r>
        <w:rPr>
          <w:rFonts w:ascii="宋体" w:eastAsia="宋体" w:hAnsi="宋体" w:cs="宋体" w:hint="eastAsia"/>
          <w:b/>
          <w:color w:val="0000FF"/>
          <w:kern w:val="2"/>
          <w:sz w:val="21"/>
          <w:szCs w:val="21"/>
          <w:lang w:eastAsia="zh-CN"/>
        </w:rPr>
        <w:t>填写指引：</w:t>
      </w:r>
    </w:p>
    <w:p>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2.该部分内容填写需要参考的相关文件：</w:t>
      </w:r>
    </w:p>
    <w:p>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（1）财政部《政府采购促进中小企业发展管理办法》（财库〔2020〕46号）；</w:t>
      </w:r>
    </w:p>
    <w:p>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（2）《工业和信息化部、国家统计局、国家发展和改革委员会、财政部关于印发中小企业划型标准规定的通知》（工信部联企业〔2011〕300 号，以下简称300号文）；</w:t>
      </w:r>
    </w:p>
    <w:p>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（3）《统计上大中小微型企业划分办法(2017)》（国统字〔2017〕213 号）；</w:t>
      </w:r>
    </w:p>
    <w:p>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（4）《关于促进残疾人就业政府采购政策的通知》（财库〔2017〕141号）；</w:t>
      </w:r>
    </w:p>
    <w:p>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（5）《关于政府采购支持监狱企业发展有关问题的通知》（财库〔2014〕68号）。</w:t>
      </w:r>
    </w:p>
    <w:p>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3.请依照提供的格式和内容填写声明函，不要随意变更格式；声明函不需要盖章或签字；满足多项优惠政策的投标人，不重复享受多项价格扣除政策。</w:t>
      </w:r>
    </w:p>
    <w:p>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4.声明函具体填写要求：</w:t>
      </w:r>
    </w:p>
    <w:p>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（1）声明是中小企业须填写《中小企业声明函》的以下内容：</w:t>
      </w:r>
    </w:p>
    <w:p>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第一处，在“单位名称”下划线处如实填写采购人名称（深圳公共资源交易中心不是本项目的采购人，而是组织实施机构）；</w:t>
      </w:r>
    </w:p>
    <w:p>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第二处，在“项目名称”下划线处如实填写采购文件中确定的项目名称。</w:t>
      </w:r>
      <w:r>
        <w:rPr>
          <w:rFonts w:ascii="宋体" w:eastAsia="宋体" w:hAnsi="宋体" w:cs="宋体" w:hint="eastAsia"/>
          <w:bCs/>
          <w:color w:val="0000FF"/>
          <w:sz w:val="21"/>
          <w:szCs w:val="21"/>
          <w:lang w:eastAsia="zh-CN"/>
        </w:rPr>
        <w:t>对于分包方式面向中小企业采购的项目，应标明中小企业的具体分包内容；对于以联合体方式面向中小企业采购的项目，应标明联合体中中小企业所承担的具体内容；</w:t>
      </w:r>
    </w:p>
    <w:p>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第三处，在“标的名称”下划线处填写所采购标的具体名称（以招标文件第一册第三章用户需求书“服务需求明细”的“服务需求名称（标的名称）”一栏为准）；如果涉及多项服务（标的）为同一企业承接的，“标的名称”下划线处可以如实填写多项服务；</w:t>
      </w:r>
      <w:r>
        <w:rPr>
          <w:rFonts w:ascii="宋体" w:eastAsia="宋体" w:hAnsi="宋体" w:cs="宋体" w:hint="eastAsia"/>
          <w:bCs/>
          <w:color w:val="0000FF"/>
          <w:sz w:val="21"/>
          <w:szCs w:val="21"/>
          <w:lang w:eastAsia="zh-CN"/>
        </w:rPr>
        <w:t>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第四处，在“采购文件中明确的所属行业”下划线处填写采购标的对应的中小企业划分标准所属行业（所属行业以招标文件第一册</w:t>
      </w:r>
      <w:r>
        <w:rPr>
          <w:rFonts w:ascii="宋体" w:eastAsia="宋体" w:hAnsi="宋体" w:cs="宋体" w:hint="eastAsia"/>
          <w:bCs/>
          <w:color w:val="0000FF"/>
          <w:sz w:val="21"/>
          <w:szCs w:val="21"/>
          <w:lang w:eastAsia="zh-CN"/>
        </w:rPr>
        <w:t>第三章用户需求书“服务需求明细”的“标的所属行业”一栏为准），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pPr>
        <w:widowControl w:val="0"/>
        <w:spacing w:line="276" w:lineRule="auto"/>
        <w:ind w:firstLine="420" w:firstLineChars="200"/>
        <w:jc w:val="both"/>
        <w:rPr>
          <w:rFonts w:ascii="宋体" w:eastAsia="宋体" w:hAnsi="宋体" w:cs="宋体"/>
          <w:bCs/>
          <w:color w:val="0000FF"/>
          <w:sz w:val="21"/>
          <w:szCs w:val="21"/>
          <w:lang w:eastAsia="zh-CN"/>
        </w:rPr>
      </w:pPr>
      <w:r>
        <w:rPr>
          <w:rFonts w:ascii="宋体" w:eastAsia="宋体" w:hAnsi="宋体" w:cs="宋体" w:hint="eastAsia"/>
          <w:bCs/>
          <w:color w:val="0000FF"/>
          <w:kern w:val="2"/>
          <w:sz w:val="21"/>
          <w:szCs w:val="21"/>
          <w:lang w:eastAsia="zh-CN"/>
        </w:rPr>
        <w:t>第五处，在“企业名称”下划线处如实填写服务承接商名称；</w:t>
      </w:r>
      <w:r>
        <w:rPr>
          <w:rFonts w:ascii="宋体" w:eastAsia="宋体" w:hAnsi="宋体" w:cs="宋体" w:hint="eastAsia"/>
          <w:bCs/>
          <w:color w:val="0000FF"/>
          <w:sz w:val="21"/>
          <w:szCs w:val="21"/>
          <w:lang w:eastAsia="zh-CN"/>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widowControl w:val="0"/>
        <w:spacing w:line="276" w:lineRule="auto"/>
        <w:ind w:firstLine="420" w:firstLineChars="200"/>
        <w:jc w:val="both"/>
        <w:rPr>
          <w:rFonts w:ascii="宋体" w:eastAsia="宋体" w:hAnsi="宋体" w:cs="宋体"/>
          <w:bCs/>
          <w:color w:val="0000FF"/>
          <w:sz w:val="21"/>
          <w:szCs w:val="21"/>
          <w:lang w:eastAsia="zh-CN"/>
        </w:rPr>
      </w:pPr>
      <w:r>
        <w:rPr>
          <w:rFonts w:ascii="宋体" w:eastAsia="宋体" w:hAnsi="宋体" w:cs="宋体" w:hint="eastAsia"/>
          <w:bCs/>
          <w:color w:val="0000FF"/>
          <w:sz w:val="21"/>
          <w:szCs w:val="21"/>
          <w:lang w:eastAsia="zh-CN"/>
        </w:rPr>
        <w:t>第六、七、八处，</w:t>
      </w:r>
      <w:r>
        <w:rPr>
          <w:rFonts w:ascii="宋体" w:eastAsia="宋体" w:hAnsi="宋体" w:cs="宋体" w:hint="eastAsia"/>
          <w:bCs/>
          <w:color w:val="0000FF"/>
          <w:kern w:val="2"/>
          <w:sz w:val="21"/>
          <w:szCs w:val="21"/>
          <w:lang w:eastAsia="zh-CN"/>
        </w:rPr>
        <w:t>在“从业人员”、“营业收入”、“资产总额”下划线处如实填写从业人员、营业收入、资产总额</w:t>
      </w:r>
      <w:r>
        <w:rPr>
          <w:rFonts w:ascii="宋体" w:eastAsia="宋体" w:hAnsi="宋体" w:cs="宋体" w:hint="eastAsia"/>
          <w:bCs/>
          <w:color w:val="0000FF"/>
          <w:sz w:val="21"/>
          <w:szCs w:val="21"/>
          <w:lang w:eastAsia="zh-CN"/>
        </w:rPr>
        <w:t>。从业人员、资产总额指标以上年度末数据为依据，营业收入指标以上年度累计数据为依据。无上年度数据的新成立企业可不填报。</w:t>
      </w:r>
    </w:p>
    <w:p>
      <w:pPr>
        <w:widowControl w:val="0"/>
        <w:spacing w:line="276" w:lineRule="auto"/>
        <w:ind w:firstLine="420" w:firstLineChars="200"/>
        <w:jc w:val="both"/>
        <w:rPr>
          <w:rFonts w:ascii="宋体" w:eastAsia="宋体" w:hAnsi="宋体" w:cs="宋体"/>
          <w:bCs/>
          <w:color w:val="0000FF"/>
          <w:sz w:val="21"/>
          <w:szCs w:val="21"/>
          <w:lang w:eastAsia="zh-CN"/>
        </w:rPr>
      </w:pPr>
      <w:r>
        <w:rPr>
          <w:rFonts w:ascii="宋体" w:eastAsia="宋体" w:hAnsi="宋体" w:cs="宋体" w:hint="eastAsia"/>
          <w:bCs/>
          <w:color w:val="0000FF"/>
          <w:kern w:val="2"/>
          <w:sz w:val="21"/>
          <w:szCs w:val="21"/>
          <w:lang w:eastAsia="zh-CN"/>
        </w:rPr>
        <w:t>第九处，在“中型企业、小型企业、微型企业”下划线处应依据企业上年度从业人员、营业收入、资产总额等指标，按照《中小企业划型标准规定》（工信部联企业〔2011〕300号）</w:t>
      </w:r>
      <w:r>
        <w:rPr>
          <w:rFonts w:ascii="宋体" w:eastAsia="宋体" w:hAnsi="宋体" w:cs="宋体" w:hint="eastAsia"/>
          <w:bCs/>
          <w:color w:val="0000FF"/>
          <w:sz w:val="21"/>
          <w:szCs w:val="21"/>
          <w:lang w:eastAsia="zh-CN"/>
        </w:rPr>
        <w:t>、《金融业企业划型标准规定》（银发〔2015〕309号），</w:t>
      </w:r>
      <w:r>
        <w:rPr>
          <w:rFonts w:ascii="宋体" w:eastAsia="宋体" w:hAnsi="宋体" w:cs="宋体" w:hint="eastAsia"/>
          <w:bCs/>
          <w:color w:val="0000FF"/>
          <w:kern w:val="2"/>
          <w:sz w:val="21"/>
          <w:szCs w:val="21"/>
          <w:lang w:eastAsia="zh-CN"/>
        </w:rPr>
        <w:t>判断</w:t>
      </w:r>
      <w:r>
        <w:rPr>
          <w:rFonts w:ascii="宋体" w:eastAsia="宋体" w:hAnsi="宋体" w:cs="宋体" w:hint="eastAsia"/>
          <w:bCs/>
          <w:color w:val="0000FF"/>
          <w:sz w:val="21"/>
          <w:szCs w:val="21"/>
          <w:lang w:eastAsia="zh-CN"/>
        </w:rPr>
        <w:t>《中小企业声明函》载明的服务承接商是否属于采购文件所属行业的中型企业/小型企业/微型企业。</w:t>
      </w:r>
    </w:p>
    <w:p>
      <w:pPr>
        <w:widowControl w:val="0"/>
        <w:ind w:firstLine="420" w:firstLineChars="200"/>
        <w:jc w:val="both"/>
        <w:rPr>
          <w:rFonts w:ascii="宋体" w:eastAsia="宋体" w:hAnsi="宋体" w:cs="宋体"/>
          <w:bCs/>
          <w:color w:val="0000FF"/>
          <w:sz w:val="21"/>
          <w:szCs w:val="21"/>
          <w:lang w:eastAsia="zh-CN"/>
        </w:rPr>
      </w:pPr>
      <w:r>
        <w:rPr>
          <w:rFonts w:ascii="宋体" w:eastAsia="宋体" w:hAnsi="宋体" w:cs="宋体" w:hint="eastAsia"/>
          <w:bCs/>
          <w:color w:val="0000FF"/>
          <w:sz w:val="21"/>
          <w:szCs w:val="21"/>
          <w:lang w:eastAsia="zh-CN"/>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（3）事业单位、社会组织等非企业主体不享受中小企业扶持政策。</w:t>
      </w:r>
    </w:p>
    <w:p>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（4）声明是残疾人福利性单位须填写《残疾人福利性单位声明函》的相关内容，具体参照以上《中小企业声明函》填写要求执行。</w:t>
      </w:r>
    </w:p>
    <w:p>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kern w:val="2"/>
          <w:sz w:val="21"/>
          <w:szCs w:val="21"/>
          <w:lang w:eastAsia="zh-CN"/>
        </w:rPr>
        <w:t>（5）声明是监狱企业须填写《监狱企业声明函》的三项内容（填写位置的字体已加粗），具体参照以上《中小企业声明函》填写要求执行。</w:t>
      </w:r>
    </w:p>
    <w:p>
      <w:pPr>
        <w:widowControl w:val="0"/>
        <w:spacing w:line="276" w:lineRule="auto"/>
        <w:ind w:firstLine="420" w:firstLineChars="200"/>
        <w:jc w:val="both"/>
        <w:rPr>
          <w:rFonts w:ascii="宋体" w:eastAsia="宋体" w:hAnsi="宋体" w:cs="宋体"/>
          <w:bCs/>
          <w:color w:val="0000FF"/>
          <w:sz w:val="21"/>
          <w:szCs w:val="21"/>
          <w:lang w:eastAsia="zh-CN"/>
        </w:rPr>
      </w:pPr>
      <w:r>
        <w:rPr>
          <w:rFonts w:ascii="宋体" w:eastAsia="宋体" w:hAnsi="宋体" w:cs="宋体" w:hint="eastAsia"/>
          <w:bCs/>
          <w:color w:val="0000FF"/>
          <w:kern w:val="2"/>
          <w:sz w:val="21"/>
          <w:szCs w:val="21"/>
          <w:lang w:eastAsia="zh-CN"/>
        </w:rPr>
        <w:t>5.</w:t>
      </w:r>
      <w:r>
        <w:rPr>
          <w:rFonts w:ascii="宋体" w:eastAsia="宋体" w:hAnsi="宋体" w:cs="宋体" w:hint="eastAsia"/>
          <w:bCs/>
          <w:color w:val="0000FF"/>
          <w:sz w:val="21"/>
          <w:szCs w:val="21"/>
          <w:lang w:eastAsia="zh-CN"/>
        </w:rPr>
        <w:t>本项目属于服务类项目，相关服务承接商应当为中小企业或残疾人福利性单位或监狱企业，如包含硬件设备、产品等货物采购的，不再对其中涉及的货物制造商作出要求。</w:t>
      </w:r>
    </w:p>
    <w:p>
      <w:pPr>
        <w:widowControl w:val="0"/>
        <w:spacing w:line="276" w:lineRule="auto"/>
        <w:ind w:firstLine="420" w:firstLineChars="200"/>
        <w:jc w:val="both"/>
        <w:rPr>
          <w:rFonts w:ascii="宋体" w:eastAsia="宋体" w:hAnsi="宋体" w:cs="宋体"/>
          <w:bCs/>
          <w:color w:val="0000FF"/>
          <w:kern w:val="2"/>
          <w:sz w:val="21"/>
          <w:szCs w:val="21"/>
          <w:lang w:eastAsia="zh-CN"/>
        </w:rPr>
      </w:pPr>
      <w:r>
        <w:rPr>
          <w:rFonts w:ascii="宋体" w:eastAsia="宋体" w:hAnsi="宋体" w:cs="宋体" w:hint="eastAsia"/>
          <w:bCs/>
          <w:color w:val="0000FF"/>
          <w:sz w:val="21"/>
          <w:szCs w:val="21"/>
          <w:lang w:eastAsia="zh-CN"/>
        </w:rPr>
        <w:t>6、</w:t>
      </w:r>
      <w:r>
        <w:rPr>
          <w:rFonts w:ascii="宋体" w:eastAsia="宋体" w:hAnsi="宋体" w:cs="宋体" w:hint="eastAsia"/>
          <w:bCs/>
          <w:color w:val="0000FF"/>
          <w:kern w:val="2"/>
          <w:sz w:val="21"/>
          <w:szCs w:val="21"/>
          <w:lang w:eastAsia="zh-CN"/>
        </w:rPr>
        <w:t>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供应商应严格按照“填写指引”的要求进行填写，否则可能被判定无效。</w:t>
      </w:r>
    </w:p>
    <w:p>
      <w:pPr>
        <w:widowControl w:val="0"/>
        <w:ind w:firstLine="420" w:firstLineChars="200"/>
        <w:jc w:val="both"/>
        <w:outlineLvl w:val="3"/>
        <w:rPr>
          <w:rFonts w:ascii="宋体" w:eastAsia="宋体" w:hAnsi="宋体" w:cs="宋体"/>
          <w:bCs/>
          <w:color w:val="0000FF"/>
          <w:sz w:val="21"/>
          <w:szCs w:val="21"/>
          <w:lang w:eastAsia="zh-CN"/>
        </w:rPr>
      </w:pPr>
      <w:r>
        <w:rPr>
          <w:rFonts w:ascii="宋体" w:eastAsia="宋体" w:hAnsi="宋体" w:cs="宋体" w:hint="eastAsia"/>
          <w:bCs/>
          <w:color w:val="0000FF"/>
          <w:sz w:val="21"/>
          <w:szCs w:val="21"/>
          <w:lang w:eastAsia="zh-CN"/>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pPr>
        <w:widowControl w:val="0"/>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br w:type="page"/>
      </w:r>
    </w:p>
    <w:p>
      <w:pPr>
        <w:widowControl w:val="0"/>
        <w:spacing w:line="300" w:lineRule="exact"/>
        <w:jc w:val="center"/>
        <w:rPr>
          <w:rFonts w:ascii="宋体" w:eastAsia="宋体" w:hAnsi="宋体" w:cs="宋体"/>
          <w:b/>
          <w:bCs/>
          <w:kern w:val="2"/>
          <w:szCs w:val="32"/>
          <w:lang w:eastAsia="zh-CN"/>
        </w:rPr>
      </w:pPr>
      <w:r>
        <w:rPr>
          <w:rFonts w:ascii="宋体" w:eastAsia="宋体" w:hAnsi="宋体" w:cs="宋体" w:hint="eastAsia"/>
          <w:b/>
          <w:bCs/>
          <w:kern w:val="2"/>
          <w:szCs w:val="32"/>
          <w:lang w:eastAsia="zh-CN"/>
        </w:rPr>
        <w:t>1.中小企业声明函（服务）</w:t>
      </w:r>
    </w:p>
    <w:p>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本公司（联合体）郑重声明，根据《政府采购促进中小企业发展管理办法》（财库﹝2020﹞46号）的规定，本公司（联合体）参加</w:t>
      </w:r>
      <w:r>
        <w:rPr>
          <w:rFonts w:ascii="宋体" w:eastAsia="宋体" w:hAnsi="宋体" w:cs="宋体" w:hint="eastAsia"/>
          <w:b/>
          <w:bCs/>
          <w:i/>
          <w:iCs/>
          <w:kern w:val="2"/>
          <w:sz w:val="21"/>
          <w:szCs w:val="21"/>
          <w:u w:val="single"/>
          <w:lang w:eastAsia="zh-CN"/>
        </w:rPr>
        <w:t xml:space="preserve">    （单位名称）    </w:t>
      </w:r>
      <w:r>
        <w:rPr>
          <w:rFonts w:ascii="宋体" w:eastAsia="宋体" w:hAnsi="宋体" w:cs="宋体" w:hint="eastAsia"/>
          <w:kern w:val="2"/>
          <w:sz w:val="21"/>
          <w:szCs w:val="21"/>
          <w:lang w:eastAsia="zh-CN"/>
        </w:rPr>
        <w:t>的</w:t>
      </w:r>
      <w:r>
        <w:rPr>
          <w:rFonts w:ascii="宋体" w:eastAsia="宋体" w:hAnsi="宋体" w:cs="宋体" w:hint="eastAsia"/>
          <w:b/>
          <w:bCs/>
          <w:i/>
          <w:iCs/>
          <w:kern w:val="2"/>
          <w:sz w:val="21"/>
          <w:szCs w:val="21"/>
          <w:u w:val="single"/>
          <w:lang w:eastAsia="zh-CN"/>
        </w:rPr>
        <w:t xml:space="preserve">    （项目名称）    </w:t>
      </w:r>
      <w:r>
        <w:rPr>
          <w:rFonts w:ascii="宋体" w:eastAsia="宋体" w:hAnsi="宋体" w:cs="宋体" w:hint="eastAsia"/>
          <w:kern w:val="2"/>
          <w:sz w:val="21"/>
          <w:szCs w:val="21"/>
          <w:lang w:eastAsia="zh-CN"/>
        </w:rPr>
        <w:t>采购活动，服务全部由符合政策要求的中小企业承接。相关企业（含联合体中的中小企业、签订分包意向协议的中小企业）的具体情况如下：</w:t>
      </w:r>
    </w:p>
    <w:p>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i/>
          <w:iCs/>
          <w:kern w:val="2"/>
          <w:sz w:val="21"/>
          <w:szCs w:val="21"/>
          <w:u w:val="single"/>
          <w:lang w:eastAsia="zh-CN"/>
        </w:rPr>
        <w:t xml:space="preserve">    （标的名称）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（采购文件中明确的所属行业）    </w:t>
      </w:r>
      <w:r>
        <w:rPr>
          <w:rFonts w:ascii="宋体" w:eastAsia="宋体" w:hAnsi="宋体" w:cs="宋体" w:hint="eastAsia"/>
          <w:kern w:val="2"/>
          <w:sz w:val="21"/>
          <w:szCs w:val="21"/>
          <w:lang w:eastAsia="zh-CN"/>
        </w:rPr>
        <w:t>行业；承接企业为</w:t>
      </w:r>
      <w:r>
        <w:rPr>
          <w:rFonts w:ascii="宋体" w:eastAsia="宋体" w:hAnsi="宋体" w:cs="宋体" w:hint="eastAsia"/>
          <w:b/>
          <w:bCs/>
          <w:i/>
          <w:iCs/>
          <w:kern w:val="2"/>
          <w:sz w:val="21"/>
          <w:szCs w:val="21"/>
          <w:u w:val="single"/>
          <w:lang w:eastAsia="zh-CN"/>
        </w:rPr>
        <w:t xml:space="preserve">    （企业名称，要求承接企业本身所属行业应当与招标文件要求的行业相一致）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（中型企业、小型企业、微型企业）    </w:t>
      </w:r>
      <w:r>
        <w:rPr>
          <w:rFonts w:ascii="宋体" w:eastAsia="宋体" w:hAnsi="宋体" w:cs="宋体" w:hint="eastAsia"/>
          <w:kern w:val="2"/>
          <w:sz w:val="21"/>
          <w:szCs w:val="21"/>
          <w:lang w:eastAsia="zh-CN"/>
        </w:rPr>
        <w:t>；</w:t>
      </w:r>
    </w:p>
    <w:p>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i/>
          <w:iCs/>
          <w:kern w:val="2"/>
          <w:sz w:val="21"/>
          <w:szCs w:val="21"/>
          <w:u w:val="single"/>
          <w:lang w:eastAsia="zh-CN"/>
        </w:rPr>
        <w:t xml:space="preserve">    （标的名称）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（采购文件中明确的所属行业）    </w:t>
      </w:r>
      <w:r>
        <w:rPr>
          <w:rFonts w:ascii="宋体" w:eastAsia="宋体" w:hAnsi="宋体" w:cs="宋体" w:hint="eastAsia"/>
          <w:kern w:val="2"/>
          <w:sz w:val="21"/>
          <w:szCs w:val="21"/>
          <w:lang w:eastAsia="zh-CN"/>
        </w:rPr>
        <w:t>行业；承接企业为</w:t>
      </w:r>
      <w:r>
        <w:rPr>
          <w:rFonts w:ascii="宋体" w:eastAsia="宋体" w:hAnsi="宋体" w:cs="宋体" w:hint="eastAsia"/>
          <w:b/>
          <w:bCs/>
          <w:i/>
          <w:iCs/>
          <w:kern w:val="2"/>
          <w:sz w:val="21"/>
          <w:szCs w:val="21"/>
          <w:u w:val="single"/>
          <w:lang w:eastAsia="zh-CN"/>
        </w:rPr>
        <w:t xml:space="preserve">    （企业名称，要求承接企业本身所属行业应当与招标文件要求的行业相一致）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（中型企业、小型企业、微型企业）    </w:t>
      </w:r>
      <w:r>
        <w:rPr>
          <w:rFonts w:ascii="宋体" w:eastAsia="宋体" w:hAnsi="宋体" w:cs="宋体" w:hint="eastAsia"/>
          <w:kern w:val="2"/>
          <w:sz w:val="21"/>
          <w:szCs w:val="21"/>
          <w:lang w:eastAsia="zh-CN"/>
        </w:rPr>
        <w:t>；</w:t>
      </w:r>
    </w:p>
    <w:p>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w:t>
      </w:r>
    </w:p>
    <w:p>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以上企业，不属于大企业的分支机构，不存在控股股东为大企业的情形，也不存在与大企业的负责人为同一人的情形。</w:t>
      </w:r>
    </w:p>
    <w:p>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本企业对上述声明内容的真实性负责。如有虚假，将依法承担相应责任。</w:t>
      </w:r>
    </w:p>
    <w:p>
      <w:pPr>
        <w:widowControl w:val="0"/>
        <w:ind w:firstLine="420" w:firstLineChars="200"/>
        <w:jc w:val="both"/>
        <w:rPr>
          <w:rFonts w:ascii="宋体" w:eastAsia="宋体" w:hAnsi="宋体" w:cs="宋体"/>
          <w:kern w:val="2"/>
          <w:sz w:val="21"/>
          <w:szCs w:val="21"/>
          <w:lang w:eastAsia="zh-CN"/>
        </w:rPr>
      </w:pPr>
      <w:bookmarkStart w:id="41" w:name="_Hlk73562275"/>
      <w:r>
        <w:rPr>
          <w:rFonts w:ascii="宋体" w:eastAsia="宋体" w:hAnsi="宋体" w:cs="宋体" w:hint="eastAsia"/>
          <w:kern w:val="2"/>
          <w:sz w:val="21"/>
          <w:szCs w:val="21"/>
          <w:lang w:eastAsia="zh-CN"/>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1"/>
    </w:p>
    <w:p>
      <w:pPr>
        <w:widowControl w:val="0"/>
        <w:wordWrap w:val="0"/>
        <w:adjustRightInd w:val="0"/>
        <w:spacing w:line="300" w:lineRule="exact"/>
        <w:ind w:firstLine="420" w:firstLineChars="200"/>
        <w:jc w:val="right"/>
        <w:rPr>
          <w:rFonts w:ascii="宋体" w:eastAsia="宋体" w:hAnsi="宋体" w:cs="宋体"/>
          <w:kern w:val="2"/>
          <w:sz w:val="21"/>
          <w:szCs w:val="21"/>
          <w:lang w:eastAsia="zh-CN"/>
        </w:rPr>
      </w:pPr>
    </w:p>
    <w:p>
      <w:pPr>
        <w:widowControl w:val="0"/>
        <w:wordWrap w:val="0"/>
        <w:adjustRightInd w:val="0"/>
        <w:spacing w:line="300" w:lineRule="exact"/>
        <w:ind w:firstLine="420" w:firstLineChars="200"/>
        <w:jc w:val="right"/>
        <w:rPr>
          <w:rFonts w:ascii="宋体" w:eastAsia="宋体" w:hAnsi="宋体" w:cs="宋体"/>
          <w:kern w:val="2"/>
          <w:sz w:val="21"/>
          <w:szCs w:val="21"/>
          <w:lang w:eastAsia="zh-CN"/>
        </w:rPr>
      </w:pPr>
    </w:p>
    <w:p>
      <w:pPr>
        <w:widowControl w:val="0"/>
        <w:adjustRightInd w:val="0"/>
        <w:spacing w:line="300" w:lineRule="exact"/>
        <w:jc w:val="center"/>
        <w:rPr>
          <w:rFonts w:ascii="宋体" w:eastAsia="宋体" w:hAnsi="宋体" w:cs="宋体"/>
          <w:b/>
          <w:kern w:val="2"/>
          <w:lang w:eastAsia="zh-CN"/>
        </w:rPr>
      </w:pPr>
      <w:r>
        <w:rPr>
          <w:rFonts w:ascii="宋体" w:eastAsia="宋体" w:hAnsi="宋体" w:cs="宋体" w:hint="eastAsia"/>
          <w:b/>
          <w:kern w:val="2"/>
          <w:lang w:eastAsia="zh-CN"/>
        </w:rPr>
        <w:t>2.残疾人福利性单位声明函（服务类）</w:t>
      </w:r>
    </w:p>
    <w:p>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b/>
          <w:bCs/>
          <w:i/>
          <w:iCs/>
          <w:kern w:val="2"/>
          <w:sz w:val="21"/>
          <w:szCs w:val="21"/>
          <w:u w:val="single"/>
          <w:lang w:eastAsia="zh-CN"/>
        </w:rPr>
        <w:t xml:space="preserve">    （单位名称）    </w:t>
      </w:r>
      <w:r>
        <w:rPr>
          <w:rFonts w:ascii="宋体" w:eastAsia="宋体" w:hAnsi="宋体" w:cs="宋体" w:hint="eastAsia"/>
          <w:kern w:val="2"/>
          <w:sz w:val="21"/>
          <w:szCs w:val="21"/>
          <w:lang w:eastAsia="zh-CN"/>
        </w:rPr>
        <w:t>单位的</w:t>
      </w:r>
      <w:r>
        <w:rPr>
          <w:rFonts w:ascii="宋体" w:eastAsia="宋体" w:hAnsi="宋体" w:cs="宋体" w:hint="eastAsia"/>
          <w:b/>
          <w:bCs/>
          <w:i/>
          <w:iCs/>
          <w:kern w:val="2"/>
          <w:sz w:val="21"/>
          <w:szCs w:val="21"/>
          <w:u w:val="single"/>
          <w:lang w:eastAsia="zh-CN"/>
        </w:rPr>
        <w:t xml:space="preserve">    （项目名称）    </w:t>
      </w:r>
      <w:r>
        <w:rPr>
          <w:rFonts w:ascii="宋体" w:eastAsia="宋体" w:hAnsi="宋体" w:cs="宋体" w:hint="eastAsia"/>
          <w:kern w:val="2"/>
          <w:sz w:val="21"/>
          <w:szCs w:val="21"/>
          <w:lang w:eastAsia="zh-CN"/>
        </w:rPr>
        <w:t>项目采购活动由本单位提供服务。</w:t>
      </w:r>
    </w:p>
    <w:p>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本单位对上述声明的真实性负责。如有虚假，将依法承担相应责任。</w:t>
      </w:r>
    </w:p>
    <w:p>
      <w:pPr>
        <w:widowControl w:val="0"/>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p>
    <w:p>
      <w:pPr>
        <w:widowControl w:val="0"/>
        <w:wordWrap w:val="0"/>
        <w:adjustRightInd w:val="0"/>
        <w:spacing w:line="300" w:lineRule="exact"/>
        <w:ind w:firstLine="420" w:firstLineChars="200"/>
        <w:jc w:val="right"/>
        <w:rPr>
          <w:rFonts w:ascii="宋体" w:eastAsia="宋体" w:hAnsi="宋体" w:cs="宋体"/>
          <w:kern w:val="2"/>
          <w:sz w:val="21"/>
          <w:szCs w:val="21"/>
          <w:lang w:eastAsia="zh-CN"/>
        </w:rPr>
      </w:pPr>
    </w:p>
    <w:p>
      <w:pPr>
        <w:widowControl w:val="0"/>
        <w:adjustRightInd w:val="0"/>
        <w:spacing w:line="300" w:lineRule="exact"/>
        <w:ind w:firstLine="420" w:firstLineChars="200"/>
        <w:jc w:val="both"/>
        <w:rPr>
          <w:rFonts w:ascii="宋体" w:eastAsia="宋体" w:hAnsi="宋体"/>
          <w:kern w:val="2"/>
          <w:sz w:val="21"/>
          <w:szCs w:val="21"/>
          <w:lang w:eastAsia="zh-CN"/>
        </w:rPr>
      </w:pPr>
    </w:p>
    <w:p>
      <w:pPr>
        <w:widowControl w:val="0"/>
        <w:adjustRightInd w:val="0"/>
        <w:spacing w:line="300" w:lineRule="exact"/>
        <w:jc w:val="left"/>
        <w:rPr>
          <w:rFonts w:ascii="宋体" w:eastAsia="宋体" w:hAnsi="宋体" w:cs="宋体"/>
          <w:b/>
          <w:kern w:val="2"/>
          <w:lang w:eastAsia="zh-CN"/>
        </w:rPr>
      </w:pPr>
      <w:r>
        <w:rPr>
          <w:rFonts w:ascii="宋体" w:eastAsia="宋体" w:hAnsi="宋体" w:cs="宋体" w:hint="eastAsia"/>
          <w:b/>
          <w:kern w:val="2"/>
          <w:lang w:eastAsia="zh-CN"/>
        </w:rPr>
        <w:t>3.监狱企业声明函【服务类，监狱企业如需享受优惠政策，还须另行提供省级以上监狱管理局、戒毒管理局（含新疆生产建设兵团）出具的监狱企业证明文件】</w:t>
      </w:r>
    </w:p>
    <w:p>
      <w:pPr>
        <w:widowControl w:val="0"/>
        <w:ind w:firstLine="420" w:firstLineChars="200"/>
        <w:jc w:val="both"/>
        <w:rPr>
          <w:rFonts w:ascii="宋体" w:eastAsia="宋体" w:hAnsi="宋体"/>
          <w:kern w:val="2"/>
          <w:sz w:val="21"/>
          <w:szCs w:val="21"/>
          <w:lang w:eastAsia="zh-CN"/>
        </w:rPr>
      </w:pPr>
      <w:r>
        <w:rPr>
          <w:rFonts w:ascii="宋体" w:eastAsia="宋体" w:hAnsi="宋体" w:cs="宋体" w:hint="eastAsia"/>
          <w:kern w:val="2"/>
          <w:sz w:val="21"/>
          <w:szCs w:val="21"/>
          <w:lang w:eastAsia="zh-CN"/>
        </w:rPr>
        <w:t>本投标人郑重声明，根据《财政部司法部关于政府采购支持监狱企业发展有关问题的通知》</w:t>
      </w:r>
      <w:r>
        <w:rPr>
          <w:rFonts w:ascii="宋体" w:eastAsia="宋体" w:hAnsi="宋体" w:cstheme="minorBidi" w:hint="eastAsia"/>
          <w:kern w:val="2"/>
          <w:sz w:val="21"/>
          <w:szCs w:val="21"/>
          <w:lang w:eastAsia="zh-CN"/>
        </w:rPr>
        <w:t>本投标人郑重声明，根据《财政部司法部关于政府采购支持监狱企业发展有关问题的通知》（财库〔</w:t>
      </w:r>
      <w:r>
        <w:rPr>
          <w:rFonts w:ascii="宋体" w:eastAsia="宋体" w:hAnsi="宋体" w:cstheme="minorBidi"/>
          <w:kern w:val="2"/>
          <w:sz w:val="21"/>
          <w:szCs w:val="21"/>
          <w:lang w:eastAsia="zh-CN"/>
        </w:rPr>
        <w:t>2014</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68</w:t>
      </w:r>
      <w:r>
        <w:rPr>
          <w:rFonts w:ascii="宋体" w:eastAsia="宋体" w:hAnsi="宋体" w:cstheme="minorBidi" w:hint="eastAsia"/>
          <w:kern w:val="2"/>
          <w:sz w:val="21"/>
          <w:szCs w:val="21"/>
          <w:lang w:eastAsia="zh-CN"/>
        </w:rPr>
        <w:t>号）的规定，本投标人</w:t>
      </w:r>
      <w:r>
        <w:rPr>
          <w:rFonts w:ascii="宋体" w:eastAsia="宋体" w:hAnsi="宋体" w:cstheme="minorBidi"/>
          <w:kern w:val="2"/>
          <w:sz w:val="21"/>
          <w:szCs w:val="21"/>
          <w:lang w:eastAsia="zh-CN"/>
        </w:rPr>
        <w:t>参加</w:t>
      </w:r>
      <w:r>
        <w:rPr>
          <w:rFonts w:ascii="宋体" w:eastAsia="宋体" w:hAnsi="宋体" w:cstheme="minorBidi"/>
          <w:b/>
          <w:bCs/>
          <w:kern w:val="2"/>
          <w:sz w:val="21"/>
          <w:szCs w:val="21"/>
          <w:u w:val="single"/>
          <w:lang w:eastAsia="zh-CN"/>
        </w:rPr>
        <w:t>（</w:t>
      </w:r>
      <w:r>
        <w:rPr>
          <w:rFonts w:ascii="宋体" w:eastAsia="宋体" w:hAnsi="宋体" w:cstheme="minorBidi" w:hint="eastAsia"/>
          <w:b/>
          <w:bCs/>
          <w:kern w:val="2"/>
          <w:sz w:val="21"/>
          <w:szCs w:val="21"/>
          <w:u w:val="single"/>
          <w:lang w:eastAsia="zh-CN"/>
        </w:rPr>
        <w:t>采购人</w:t>
      </w:r>
      <w:r>
        <w:rPr>
          <w:rFonts w:ascii="宋体" w:eastAsia="宋体" w:hAnsi="宋体" w:cstheme="minorBidi"/>
          <w:b/>
          <w:bCs/>
          <w:kern w:val="2"/>
          <w:sz w:val="21"/>
          <w:szCs w:val="21"/>
          <w:u w:val="single"/>
          <w:lang w:eastAsia="zh-CN"/>
        </w:rPr>
        <w:t>名称）</w:t>
      </w:r>
      <w:r>
        <w:rPr>
          <w:rFonts w:ascii="宋体" w:eastAsia="宋体" w:hAnsi="宋体" w:cstheme="minorBidi"/>
          <w:kern w:val="2"/>
          <w:sz w:val="21"/>
          <w:szCs w:val="21"/>
          <w:lang w:eastAsia="zh-CN"/>
        </w:rPr>
        <w:t>的</w:t>
      </w:r>
      <w:r>
        <w:rPr>
          <w:rFonts w:ascii="宋体" w:eastAsia="宋体" w:hAnsi="宋体" w:cstheme="minorBidi"/>
          <w:b/>
          <w:bCs/>
          <w:kern w:val="2"/>
          <w:sz w:val="21"/>
          <w:szCs w:val="21"/>
          <w:u w:val="single"/>
          <w:lang w:eastAsia="zh-CN"/>
        </w:rPr>
        <w:t>（项目名称）</w:t>
      </w:r>
      <w:r>
        <w:rPr>
          <w:rFonts w:ascii="宋体" w:eastAsia="宋体" w:hAnsi="宋体" w:cstheme="minorBidi"/>
          <w:kern w:val="2"/>
          <w:sz w:val="21"/>
          <w:szCs w:val="21"/>
          <w:lang w:eastAsia="zh-CN"/>
        </w:rPr>
        <w:t>采购活动，</w:t>
      </w:r>
      <w:r>
        <w:rPr>
          <w:rFonts w:ascii="宋体" w:eastAsia="宋体" w:hAnsi="宋体" w:cstheme="minorBidi" w:hint="eastAsia"/>
          <w:kern w:val="2"/>
          <w:sz w:val="21"/>
          <w:szCs w:val="21"/>
          <w:lang w:eastAsia="zh-CN"/>
        </w:rPr>
        <w:t>服务</w:t>
      </w:r>
      <w:r>
        <w:rPr>
          <w:rFonts w:ascii="宋体" w:eastAsia="宋体" w:hAnsi="宋体" w:cstheme="minorBidi"/>
          <w:kern w:val="2"/>
          <w:sz w:val="21"/>
          <w:szCs w:val="21"/>
          <w:lang w:eastAsia="zh-CN"/>
        </w:rPr>
        <w:t>全部由符合政策要求的</w:t>
      </w:r>
      <w:r>
        <w:rPr>
          <w:rFonts w:ascii="宋体" w:eastAsia="宋体" w:hAnsi="宋体" w:cstheme="minorBidi" w:hint="eastAsia"/>
          <w:kern w:val="2"/>
          <w:sz w:val="21"/>
          <w:szCs w:val="21"/>
          <w:lang w:eastAsia="zh-CN"/>
        </w:rPr>
        <w:t>监狱企业承接</w:t>
      </w:r>
      <w:r>
        <w:rPr>
          <w:rFonts w:ascii="宋体" w:eastAsia="宋体" w:hAnsi="宋体" w:cstheme="minorBidi"/>
          <w:kern w:val="2"/>
          <w:sz w:val="21"/>
          <w:szCs w:val="21"/>
          <w:lang w:eastAsia="zh-CN"/>
        </w:rPr>
        <w:t>。相关</w:t>
      </w:r>
      <w:r>
        <w:rPr>
          <w:rFonts w:ascii="宋体" w:eastAsia="宋体" w:hAnsi="宋体" w:cstheme="minorBidi" w:hint="eastAsia"/>
          <w:kern w:val="2"/>
          <w:sz w:val="21"/>
          <w:szCs w:val="21"/>
          <w:lang w:eastAsia="zh-CN"/>
        </w:rPr>
        <w:t>监狱企业</w:t>
      </w:r>
      <w:r>
        <w:rPr>
          <w:rFonts w:ascii="宋体" w:eastAsia="宋体" w:hAnsi="宋体" w:cstheme="minorBidi"/>
          <w:kern w:val="2"/>
          <w:sz w:val="21"/>
          <w:szCs w:val="21"/>
          <w:lang w:eastAsia="zh-CN"/>
        </w:rPr>
        <w:t>的具体情况如下：</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b/>
          <w:bCs/>
          <w:kern w:val="2"/>
          <w:sz w:val="21"/>
          <w:szCs w:val="21"/>
          <w:u w:val="single"/>
          <w:lang w:eastAsia="zh-CN"/>
        </w:rPr>
        <w:t xml:space="preserve"> </w:t>
      </w:r>
      <w:r>
        <w:rPr>
          <w:rFonts w:ascii="宋体" w:eastAsia="宋体" w:hAnsi="宋体" w:cstheme="minorBidi"/>
          <w:b/>
          <w:bCs/>
          <w:i/>
          <w:iCs/>
          <w:kern w:val="2"/>
          <w:sz w:val="21"/>
          <w:szCs w:val="21"/>
          <w:u w:val="single"/>
          <w:lang w:eastAsia="zh-CN"/>
        </w:rPr>
        <w:t>（标的名称</w:t>
      </w:r>
      <w:r>
        <w:rPr>
          <w:rFonts w:ascii="宋体" w:eastAsia="宋体" w:hAnsi="宋体" w:cstheme="minorBidi"/>
          <w:b/>
          <w:bCs/>
          <w:kern w:val="2"/>
          <w:sz w:val="21"/>
          <w:szCs w:val="21"/>
          <w:u w:val="single"/>
          <w:lang w:eastAsia="zh-CN"/>
        </w:rPr>
        <w:t>）</w:t>
      </w:r>
      <w:r>
        <w:rPr>
          <w:rFonts w:ascii="宋体" w:eastAsia="宋体" w:hAnsi="宋体" w:cstheme="minorBidi"/>
          <w:kern w:val="2"/>
          <w:sz w:val="21"/>
          <w:szCs w:val="21"/>
          <w:lang w:eastAsia="zh-CN"/>
        </w:rPr>
        <w:t xml:space="preserve"> </w:t>
      </w:r>
      <w:r>
        <w:rPr>
          <w:rFonts w:ascii="宋体" w:eastAsia="宋体" w:hAnsi="宋体" w:cstheme="minorBidi" w:hint="eastAsia"/>
          <w:kern w:val="2"/>
          <w:sz w:val="21"/>
          <w:szCs w:val="21"/>
          <w:lang w:eastAsia="zh-CN"/>
        </w:rPr>
        <w:t>，承接单位</w:t>
      </w:r>
      <w:r>
        <w:rPr>
          <w:rFonts w:ascii="宋体" w:eastAsia="宋体" w:hAnsi="宋体" w:cstheme="minorBidi"/>
          <w:kern w:val="2"/>
          <w:sz w:val="21"/>
          <w:szCs w:val="21"/>
          <w:lang w:eastAsia="zh-CN"/>
        </w:rPr>
        <w:t>为</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企业</w:t>
      </w:r>
      <w:r>
        <w:rPr>
          <w:rFonts w:ascii="宋体" w:eastAsia="宋体" w:hAnsi="宋体" w:cstheme="minorBidi"/>
          <w:b/>
          <w:bCs/>
          <w:i/>
          <w:iCs/>
          <w:kern w:val="2"/>
          <w:sz w:val="21"/>
          <w:szCs w:val="21"/>
          <w:u w:val="single"/>
          <w:lang w:eastAsia="zh-CN"/>
        </w:rPr>
        <w:t>名称）</w:t>
      </w:r>
      <w:r>
        <w:rPr>
          <w:rFonts w:ascii="宋体" w:eastAsia="宋体" w:hAnsi="宋体" w:cstheme="minorBidi"/>
          <w:kern w:val="2"/>
          <w:sz w:val="21"/>
          <w:szCs w:val="21"/>
          <w:lang w:eastAsia="zh-CN"/>
        </w:rPr>
        <w:t>，属于</w:t>
      </w:r>
      <w:r>
        <w:rPr>
          <w:rFonts w:ascii="宋体" w:eastAsia="宋体" w:hAnsi="宋体" w:cstheme="minorBidi" w:hint="eastAsia"/>
          <w:b/>
          <w:bCs/>
          <w:i/>
          <w:iCs/>
          <w:kern w:val="2"/>
          <w:sz w:val="21"/>
          <w:szCs w:val="21"/>
          <w:u w:val="single"/>
          <w:lang w:eastAsia="zh-CN"/>
        </w:rPr>
        <w:t>监狱企业</w:t>
      </w:r>
      <w:r>
        <w:rPr>
          <w:rFonts w:ascii="宋体" w:eastAsia="宋体" w:hAnsi="宋体" w:cstheme="minorBidi"/>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b/>
          <w:bCs/>
          <w:kern w:val="2"/>
          <w:sz w:val="21"/>
          <w:szCs w:val="21"/>
          <w:u w:val="single"/>
          <w:lang w:eastAsia="zh-CN"/>
        </w:rPr>
        <w:t xml:space="preserve"> </w:t>
      </w:r>
      <w:r>
        <w:rPr>
          <w:rFonts w:ascii="宋体" w:eastAsia="宋体" w:hAnsi="宋体" w:cstheme="minorBidi"/>
          <w:b/>
          <w:bCs/>
          <w:i/>
          <w:iCs/>
          <w:kern w:val="2"/>
          <w:sz w:val="21"/>
          <w:szCs w:val="21"/>
          <w:u w:val="single"/>
          <w:lang w:eastAsia="zh-CN"/>
        </w:rPr>
        <w:t>（标的名称）</w:t>
      </w:r>
      <w:r>
        <w:rPr>
          <w:rFonts w:ascii="宋体" w:eastAsia="宋体" w:hAnsi="宋体" w:cstheme="minorBidi"/>
          <w:i/>
          <w:iCs/>
          <w:kern w:val="2"/>
          <w:sz w:val="21"/>
          <w:szCs w:val="21"/>
          <w:lang w:eastAsia="zh-CN"/>
        </w:rPr>
        <w:t xml:space="preserve"> </w:t>
      </w:r>
      <w:r>
        <w:rPr>
          <w:rFonts w:ascii="宋体" w:eastAsia="宋体" w:hAnsi="宋体" w:cstheme="minorBidi" w:hint="eastAsia"/>
          <w:kern w:val="2"/>
          <w:sz w:val="21"/>
          <w:szCs w:val="21"/>
          <w:lang w:eastAsia="zh-CN"/>
        </w:rPr>
        <w:t>，承接单位</w:t>
      </w:r>
      <w:r>
        <w:rPr>
          <w:rFonts w:ascii="宋体" w:eastAsia="宋体" w:hAnsi="宋体" w:cstheme="minorBidi"/>
          <w:kern w:val="2"/>
          <w:sz w:val="21"/>
          <w:szCs w:val="21"/>
          <w:lang w:eastAsia="zh-CN"/>
        </w:rPr>
        <w:t>为</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企业</w:t>
      </w:r>
      <w:r>
        <w:rPr>
          <w:rFonts w:ascii="宋体" w:eastAsia="宋体" w:hAnsi="宋体" w:cstheme="minorBidi"/>
          <w:b/>
          <w:bCs/>
          <w:i/>
          <w:iCs/>
          <w:kern w:val="2"/>
          <w:sz w:val="21"/>
          <w:szCs w:val="21"/>
          <w:u w:val="single"/>
          <w:lang w:eastAsia="zh-CN"/>
        </w:rPr>
        <w:t>名称）</w:t>
      </w:r>
      <w:r>
        <w:rPr>
          <w:rFonts w:ascii="宋体" w:eastAsia="宋体" w:hAnsi="宋体" w:cstheme="minorBidi"/>
          <w:kern w:val="2"/>
          <w:sz w:val="21"/>
          <w:szCs w:val="21"/>
          <w:lang w:eastAsia="zh-CN"/>
        </w:rPr>
        <w:t>，属于</w:t>
      </w:r>
      <w:r>
        <w:rPr>
          <w:rFonts w:ascii="宋体" w:eastAsia="宋体" w:hAnsi="宋体" w:cstheme="minorBidi" w:hint="eastAsia"/>
          <w:b/>
          <w:bCs/>
          <w:i/>
          <w:iCs/>
          <w:kern w:val="2"/>
          <w:sz w:val="21"/>
          <w:szCs w:val="21"/>
          <w:u w:val="single"/>
          <w:lang w:eastAsia="zh-CN"/>
        </w:rPr>
        <w:t>监狱企业</w:t>
      </w:r>
      <w:r>
        <w:rPr>
          <w:rFonts w:ascii="宋体" w:eastAsia="宋体" w:hAnsi="宋体" w:cstheme="minorBidi" w:hint="eastAsia"/>
          <w:kern w:val="2"/>
          <w:sz w:val="21"/>
          <w:szCs w:val="21"/>
          <w:lang w:eastAsia="zh-CN"/>
        </w:rPr>
        <w:t>。</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 xml:space="preserve">…… </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本</w:t>
      </w:r>
      <w:r>
        <w:rPr>
          <w:rFonts w:ascii="宋体" w:eastAsia="宋体" w:hAnsi="宋体" w:cstheme="minorBidi" w:hint="eastAsia"/>
          <w:kern w:val="2"/>
          <w:sz w:val="21"/>
          <w:szCs w:val="21"/>
          <w:lang w:eastAsia="zh-CN"/>
        </w:rPr>
        <w:t>投标人</w:t>
      </w:r>
      <w:r>
        <w:rPr>
          <w:rFonts w:ascii="宋体" w:eastAsia="宋体" w:hAnsi="宋体" w:cstheme="minorBidi"/>
          <w:kern w:val="2"/>
          <w:sz w:val="21"/>
          <w:szCs w:val="21"/>
          <w:lang w:eastAsia="zh-CN"/>
        </w:rPr>
        <w:t>对上述声明内容的真实性负责。如有虚假，将依法承担相应责任。</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附：省级以上监狱管理局、戒毒管理局（含新疆生产建设兵团）出具的监狱企业证明文件。</w:t>
      </w:r>
    </w:p>
    <w:p>
      <w:pPr>
        <w:widowControl w:val="0"/>
        <w:adjustRightInd w:val="0"/>
        <w:spacing w:line="300" w:lineRule="exact"/>
        <w:ind w:firstLine="420" w:firstLineChars="200"/>
        <w:jc w:val="left"/>
        <w:rPr>
          <w:rFonts w:ascii="宋体" w:eastAsia="宋体" w:hAnsi="宋体" w:cs="宋体"/>
          <w:kern w:val="2"/>
          <w:sz w:val="21"/>
          <w:szCs w:val="21"/>
          <w:lang w:eastAsia="zh-CN"/>
        </w:rPr>
      </w:pPr>
    </w:p>
    <w:p>
      <w:pPr>
        <w:widowControl w:val="0"/>
        <w:adjustRightInd w:val="0"/>
        <w:spacing w:line="300" w:lineRule="exact"/>
        <w:jc w:val="left"/>
        <w:rPr>
          <w:rFonts w:ascii="宋体" w:eastAsia="宋体" w:hAnsi="宋体" w:cs="宋体"/>
          <w:kern w:val="2"/>
          <w:sz w:val="21"/>
          <w:szCs w:val="21"/>
          <w:lang w:eastAsia="zh-CN"/>
        </w:rPr>
      </w:pPr>
    </w:p>
    <w:p>
      <w:pPr>
        <w:widowControl w:val="0"/>
        <w:wordWrap w:val="0"/>
        <w:adjustRightInd w:val="0"/>
        <w:spacing w:line="300" w:lineRule="exact"/>
        <w:ind w:firstLine="420" w:firstLineChars="200"/>
        <w:jc w:val="right"/>
        <w:rPr>
          <w:rFonts w:ascii="宋体" w:eastAsia="宋体" w:hAnsi="宋体" w:cs="宋体"/>
          <w:kern w:val="2"/>
          <w:sz w:val="21"/>
          <w:szCs w:val="21"/>
          <w:lang w:eastAsia="zh-CN"/>
        </w:rPr>
      </w:pPr>
    </w:p>
    <w:p>
      <w:pPr>
        <w:widowControl w:val="0"/>
        <w:jc w:val="both"/>
        <w:rPr>
          <w:rFonts w:eastAsia="宋体"/>
          <w:kern w:val="2"/>
          <w:sz w:val="21"/>
          <w:lang w:eastAsia="zh-CN"/>
        </w:rPr>
      </w:pPr>
    </w:p>
    <w:p>
      <w:pPr>
        <w:keepNext/>
        <w:keepLines/>
        <w:widowControl w:val="0"/>
        <w:spacing w:before="260" w:after="260" w:line="276" w:lineRule="auto"/>
        <w:jc w:val="center"/>
        <w:outlineLvl w:val="2"/>
        <w:rPr>
          <w:rFonts w:ascii="黑体" w:eastAsia="黑体" w:hAnsi="宋体"/>
          <w:bCs/>
          <w:lang w:eastAsia="zh-CN"/>
        </w:rPr>
      </w:pPr>
      <w:r>
        <w:rPr>
          <w:rFonts w:ascii="黑体" w:eastAsia="黑体" w:hAnsi="宋体" w:hint="eastAsia"/>
          <w:bCs/>
          <w:lang w:eastAsia="zh-CN"/>
        </w:rPr>
        <w:t>四、同类项目业绩</w:t>
      </w:r>
    </w:p>
    <w:tbl>
      <w:tblPr>
        <w:tblStyle w:val="TableNorm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
      <w:tblGrid>
        <w:gridCol w:w="679"/>
        <w:gridCol w:w="1276"/>
        <w:gridCol w:w="1113"/>
        <w:gridCol w:w="1549"/>
        <w:gridCol w:w="1296"/>
        <w:gridCol w:w="1121"/>
        <w:gridCol w:w="913"/>
        <w:gridCol w:w="1131"/>
      </w:tblGrid>
      <w:tr>
        <w:tblPrEx>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Ex>
        <w:trPr>
          <w:trHeight w:val="756"/>
          <w:jc w:val="center"/>
        </w:trPr>
        <w:tc>
          <w:tcPr>
            <w:tcW w:w="675" w:type="dxa"/>
            <w:vAlign w:val="center"/>
          </w:tcPr>
          <w:p>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序号</w:t>
            </w:r>
          </w:p>
        </w:tc>
        <w:tc>
          <w:tcPr>
            <w:tcW w:w="1267" w:type="dxa"/>
            <w:vAlign w:val="center"/>
          </w:tcPr>
          <w:p>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采购人</w:t>
            </w:r>
          </w:p>
        </w:tc>
        <w:tc>
          <w:tcPr>
            <w:tcW w:w="1105" w:type="dxa"/>
            <w:vAlign w:val="center"/>
          </w:tcPr>
          <w:p>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项目名称</w:t>
            </w:r>
          </w:p>
        </w:tc>
        <w:tc>
          <w:tcPr>
            <w:tcW w:w="1538" w:type="dxa"/>
            <w:vAlign w:val="center"/>
          </w:tcPr>
          <w:p>
            <w:pPr>
              <w:widowControl w:val="0"/>
              <w:spacing w:line="276" w:lineRule="auto"/>
              <w:jc w:val="center"/>
              <w:rPr>
                <w:rFonts w:ascii="宋体" w:eastAsia="宋体"/>
                <w:kern w:val="2"/>
                <w:sz w:val="21"/>
                <w:szCs w:val="21"/>
                <w:lang w:eastAsia="zh-CN"/>
              </w:rPr>
            </w:pPr>
            <w:r>
              <w:rPr>
                <w:rFonts w:ascii="宋体" w:eastAsia="宋体" w:hint="eastAsia"/>
                <w:kern w:val="2"/>
                <w:sz w:val="21"/>
                <w:szCs w:val="21"/>
                <w:lang w:eastAsia="zh-CN"/>
              </w:rPr>
              <w:t>合同签订时间</w:t>
            </w:r>
          </w:p>
        </w:tc>
        <w:tc>
          <w:tcPr>
            <w:tcW w:w="1287" w:type="dxa"/>
            <w:vAlign w:val="center"/>
          </w:tcPr>
          <w:p>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完成时间</w:t>
            </w:r>
          </w:p>
        </w:tc>
        <w:tc>
          <w:tcPr>
            <w:tcW w:w="1113" w:type="dxa"/>
            <w:vAlign w:val="center"/>
          </w:tcPr>
          <w:p>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服务情况</w:t>
            </w:r>
          </w:p>
        </w:tc>
        <w:tc>
          <w:tcPr>
            <w:tcW w:w="907" w:type="dxa"/>
            <w:vAlign w:val="center"/>
          </w:tcPr>
          <w:p>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联系人</w:t>
            </w:r>
          </w:p>
        </w:tc>
        <w:tc>
          <w:tcPr>
            <w:tcW w:w="1123" w:type="dxa"/>
            <w:vAlign w:val="center"/>
          </w:tcPr>
          <w:p>
            <w:pPr>
              <w:widowControl w:val="0"/>
              <w:spacing w:line="276" w:lineRule="auto"/>
              <w:jc w:val="center"/>
              <w:rPr>
                <w:rFonts w:ascii="宋体" w:eastAsia="宋体"/>
                <w:kern w:val="2"/>
                <w:sz w:val="21"/>
                <w:szCs w:val="21"/>
                <w:lang w:eastAsia="zh-CN"/>
              </w:rPr>
            </w:pPr>
            <w:r>
              <w:rPr>
                <w:rFonts w:ascii="宋体" w:eastAsia="宋体" w:hAnsi="宋体" w:hint="eastAsia"/>
                <w:kern w:val="2"/>
                <w:sz w:val="21"/>
                <w:szCs w:val="21"/>
                <w:lang w:eastAsia="zh-CN"/>
              </w:rPr>
              <w:t>联系电话</w:t>
            </w:r>
          </w:p>
        </w:tc>
      </w:tr>
      <w:tr>
        <w:tblPrEx>
          <w:tblW w:w="5000" w:type="pct"/>
          <w:jc w:val="center"/>
          <w:tblLayout w:type="fixed"/>
          <w:tblCellMar>
            <w:top w:w="0" w:type="dxa"/>
            <w:left w:w="108" w:type="dxa"/>
            <w:bottom w:w="0" w:type="dxa"/>
            <w:right w:w="108" w:type="dxa"/>
          </w:tblCellMar>
        </w:tblPrEx>
        <w:trPr>
          <w:cantSplit/>
          <w:trHeight w:val="392"/>
          <w:jc w:val="center"/>
        </w:trPr>
        <w:tc>
          <w:tcPr>
            <w:tcW w:w="675" w:type="dxa"/>
          </w:tcPr>
          <w:p>
            <w:pPr>
              <w:widowControl w:val="0"/>
              <w:spacing w:line="276" w:lineRule="auto"/>
              <w:jc w:val="both"/>
              <w:rPr>
                <w:rFonts w:ascii="宋体" w:eastAsia="宋体"/>
                <w:kern w:val="2"/>
                <w:sz w:val="21"/>
                <w:szCs w:val="21"/>
                <w:lang w:eastAsia="zh-CN"/>
              </w:rPr>
            </w:pPr>
          </w:p>
        </w:tc>
        <w:tc>
          <w:tcPr>
            <w:tcW w:w="1267" w:type="dxa"/>
          </w:tcPr>
          <w:p>
            <w:pPr>
              <w:widowControl w:val="0"/>
              <w:spacing w:line="276" w:lineRule="auto"/>
              <w:jc w:val="both"/>
              <w:rPr>
                <w:rFonts w:ascii="宋体" w:eastAsia="宋体"/>
                <w:kern w:val="2"/>
                <w:sz w:val="21"/>
                <w:szCs w:val="21"/>
                <w:lang w:eastAsia="zh-CN"/>
              </w:rPr>
            </w:pPr>
          </w:p>
        </w:tc>
        <w:tc>
          <w:tcPr>
            <w:tcW w:w="1105" w:type="dxa"/>
          </w:tcPr>
          <w:p>
            <w:pPr>
              <w:widowControl w:val="0"/>
              <w:spacing w:line="276" w:lineRule="auto"/>
              <w:jc w:val="both"/>
              <w:rPr>
                <w:rFonts w:ascii="宋体" w:eastAsia="宋体"/>
                <w:kern w:val="2"/>
                <w:sz w:val="21"/>
                <w:szCs w:val="21"/>
                <w:lang w:eastAsia="zh-CN"/>
              </w:rPr>
            </w:pPr>
          </w:p>
        </w:tc>
        <w:tc>
          <w:tcPr>
            <w:tcW w:w="1538" w:type="dxa"/>
          </w:tcPr>
          <w:p>
            <w:pPr>
              <w:widowControl w:val="0"/>
              <w:spacing w:line="276" w:lineRule="auto"/>
              <w:jc w:val="both"/>
              <w:rPr>
                <w:rFonts w:ascii="宋体" w:eastAsia="宋体"/>
                <w:kern w:val="2"/>
                <w:sz w:val="21"/>
                <w:szCs w:val="21"/>
                <w:lang w:eastAsia="zh-CN"/>
              </w:rPr>
            </w:pPr>
          </w:p>
        </w:tc>
        <w:tc>
          <w:tcPr>
            <w:tcW w:w="1287" w:type="dxa"/>
          </w:tcPr>
          <w:p>
            <w:pPr>
              <w:widowControl w:val="0"/>
              <w:spacing w:line="276" w:lineRule="auto"/>
              <w:jc w:val="both"/>
              <w:rPr>
                <w:rFonts w:ascii="宋体" w:eastAsia="宋体"/>
                <w:kern w:val="2"/>
                <w:sz w:val="21"/>
                <w:szCs w:val="21"/>
                <w:lang w:eastAsia="zh-CN"/>
              </w:rPr>
            </w:pPr>
          </w:p>
        </w:tc>
        <w:tc>
          <w:tcPr>
            <w:tcW w:w="1113" w:type="dxa"/>
          </w:tcPr>
          <w:p>
            <w:pPr>
              <w:widowControl w:val="0"/>
              <w:spacing w:line="276" w:lineRule="auto"/>
              <w:jc w:val="both"/>
              <w:rPr>
                <w:rFonts w:ascii="宋体" w:eastAsia="宋体"/>
                <w:kern w:val="2"/>
                <w:sz w:val="21"/>
                <w:szCs w:val="21"/>
                <w:lang w:eastAsia="zh-CN"/>
              </w:rPr>
            </w:pPr>
          </w:p>
        </w:tc>
        <w:tc>
          <w:tcPr>
            <w:tcW w:w="907" w:type="dxa"/>
          </w:tcPr>
          <w:p>
            <w:pPr>
              <w:widowControl w:val="0"/>
              <w:spacing w:line="276" w:lineRule="auto"/>
              <w:jc w:val="both"/>
              <w:rPr>
                <w:rFonts w:ascii="宋体" w:eastAsia="宋体"/>
                <w:kern w:val="2"/>
                <w:sz w:val="21"/>
                <w:szCs w:val="21"/>
                <w:lang w:eastAsia="zh-CN"/>
              </w:rPr>
            </w:pPr>
          </w:p>
        </w:tc>
        <w:tc>
          <w:tcPr>
            <w:tcW w:w="1123" w:type="dxa"/>
          </w:tcPr>
          <w:p>
            <w:pPr>
              <w:widowControl w:val="0"/>
              <w:spacing w:line="276" w:lineRule="auto"/>
              <w:jc w:val="both"/>
              <w:rPr>
                <w:rFonts w:ascii="宋体"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cantSplit/>
          <w:trHeight w:val="392"/>
          <w:jc w:val="center"/>
        </w:trPr>
        <w:tc>
          <w:tcPr>
            <w:tcW w:w="675" w:type="dxa"/>
          </w:tcPr>
          <w:p>
            <w:pPr>
              <w:widowControl w:val="0"/>
              <w:spacing w:line="276" w:lineRule="auto"/>
              <w:jc w:val="both"/>
              <w:rPr>
                <w:rFonts w:ascii="宋体" w:eastAsia="宋体"/>
                <w:kern w:val="2"/>
                <w:sz w:val="21"/>
                <w:szCs w:val="21"/>
                <w:lang w:eastAsia="zh-CN"/>
              </w:rPr>
            </w:pPr>
          </w:p>
        </w:tc>
        <w:tc>
          <w:tcPr>
            <w:tcW w:w="1267" w:type="dxa"/>
          </w:tcPr>
          <w:p>
            <w:pPr>
              <w:widowControl w:val="0"/>
              <w:spacing w:line="276" w:lineRule="auto"/>
              <w:jc w:val="both"/>
              <w:rPr>
                <w:rFonts w:ascii="宋体" w:eastAsia="宋体"/>
                <w:kern w:val="2"/>
                <w:sz w:val="21"/>
                <w:szCs w:val="21"/>
                <w:lang w:eastAsia="zh-CN"/>
              </w:rPr>
            </w:pPr>
          </w:p>
        </w:tc>
        <w:tc>
          <w:tcPr>
            <w:tcW w:w="1105" w:type="dxa"/>
          </w:tcPr>
          <w:p>
            <w:pPr>
              <w:widowControl w:val="0"/>
              <w:spacing w:line="276" w:lineRule="auto"/>
              <w:jc w:val="both"/>
              <w:rPr>
                <w:rFonts w:ascii="宋体" w:eastAsia="宋体"/>
                <w:kern w:val="2"/>
                <w:sz w:val="21"/>
                <w:szCs w:val="21"/>
                <w:lang w:eastAsia="zh-CN"/>
              </w:rPr>
            </w:pPr>
          </w:p>
        </w:tc>
        <w:tc>
          <w:tcPr>
            <w:tcW w:w="1538" w:type="dxa"/>
          </w:tcPr>
          <w:p>
            <w:pPr>
              <w:widowControl w:val="0"/>
              <w:spacing w:line="276" w:lineRule="auto"/>
              <w:jc w:val="both"/>
              <w:rPr>
                <w:rFonts w:ascii="宋体" w:eastAsia="宋体"/>
                <w:kern w:val="2"/>
                <w:sz w:val="21"/>
                <w:szCs w:val="21"/>
                <w:lang w:eastAsia="zh-CN"/>
              </w:rPr>
            </w:pPr>
          </w:p>
        </w:tc>
        <w:tc>
          <w:tcPr>
            <w:tcW w:w="1287" w:type="dxa"/>
          </w:tcPr>
          <w:p>
            <w:pPr>
              <w:widowControl w:val="0"/>
              <w:spacing w:line="276" w:lineRule="auto"/>
              <w:jc w:val="both"/>
              <w:rPr>
                <w:rFonts w:ascii="宋体" w:eastAsia="宋体"/>
                <w:kern w:val="2"/>
                <w:sz w:val="21"/>
                <w:szCs w:val="21"/>
                <w:lang w:eastAsia="zh-CN"/>
              </w:rPr>
            </w:pPr>
          </w:p>
        </w:tc>
        <w:tc>
          <w:tcPr>
            <w:tcW w:w="1113" w:type="dxa"/>
          </w:tcPr>
          <w:p>
            <w:pPr>
              <w:widowControl w:val="0"/>
              <w:spacing w:line="276" w:lineRule="auto"/>
              <w:jc w:val="both"/>
              <w:rPr>
                <w:rFonts w:ascii="宋体" w:eastAsia="宋体"/>
                <w:kern w:val="2"/>
                <w:sz w:val="21"/>
                <w:szCs w:val="21"/>
                <w:lang w:eastAsia="zh-CN"/>
              </w:rPr>
            </w:pPr>
          </w:p>
        </w:tc>
        <w:tc>
          <w:tcPr>
            <w:tcW w:w="907" w:type="dxa"/>
          </w:tcPr>
          <w:p>
            <w:pPr>
              <w:widowControl w:val="0"/>
              <w:spacing w:line="276" w:lineRule="auto"/>
              <w:jc w:val="both"/>
              <w:rPr>
                <w:rFonts w:ascii="宋体" w:eastAsia="宋体"/>
                <w:kern w:val="2"/>
                <w:sz w:val="21"/>
                <w:szCs w:val="21"/>
                <w:lang w:eastAsia="zh-CN"/>
              </w:rPr>
            </w:pPr>
          </w:p>
        </w:tc>
        <w:tc>
          <w:tcPr>
            <w:tcW w:w="1123" w:type="dxa"/>
          </w:tcPr>
          <w:p>
            <w:pPr>
              <w:widowControl w:val="0"/>
              <w:spacing w:line="276" w:lineRule="auto"/>
              <w:jc w:val="both"/>
              <w:rPr>
                <w:rFonts w:ascii="宋体"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cantSplit/>
          <w:trHeight w:val="392"/>
          <w:jc w:val="center"/>
        </w:trPr>
        <w:tc>
          <w:tcPr>
            <w:tcW w:w="675" w:type="dxa"/>
          </w:tcPr>
          <w:p>
            <w:pPr>
              <w:widowControl w:val="0"/>
              <w:spacing w:line="276" w:lineRule="auto"/>
              <w:jc w:val="both"/>
              <w:rPr>
                <w:rFonts w:ascii="宋体" w:eastAsia="宋体"/>
                <w:kern w:val="2"/>
                <w:sz w:val="21"/>
                <w:szCs w:val="21"/>
                <w:lang w:eastAsia="zh-CN"/>
              </w:rPr>
            </w:pPr>
          </w:p>
        </w:tc>
        <w:tc>
          <w:tcPr>
            <w:tcW w:w="1267" w:type="dxa"/>
          </w:tcPr>
          <w:p>
            <w:pPr>
              <w:widowControl w:val="0"/>
              <w:spacing w:line="276" w:lineRule="auto"/>
              <w:jc w:val="both"/>
              <w:rPr>
                <w:rFonts w:ascii="宋体" w:eastAsia="宋体"/>
                <w:kern w:val="2"/>
                <w:sz w:val="21"/>
                <w:szCs w:val="21"/>
                <w:lang w:eastAsia="zh-CN"/>
              </w:rPr>
            </w:pPr>
          </w:p>
        </w:tc>
        <w:tc>
          <w:tcPr>
            <w:tcW w:w="1105" w:type="dxa"/>
          </w:tcPr>
          <w:p>
            <w:pPr>
              <w:widowControl w:val="0"/>
              <w:spacing w:line="276" w:lineRule="auto"/>
              <w:jc w:val="both"/>
              <w:rPr>
                <w:rFonts w:ascii="宋体" w:eastAsia="宋体"/>
                <w:kern w:val="2"/>
                <w:sz w:val="21"/>
                <w:szCs w:val="21"/>
                <w:lang w:eastAsia="zh-CN"/>
              </w:rPr>
            </w:pPr>
          </w:p>
        </w:tc>
        <w:tc>
          <w:tcPr>
            <w:tcW w:w="1538" w:type="dxa"/>
          </w:tcPr>
          <w:p>
            <w:pPr>
              <w:widowControl w:val="0"/>
              <w:spacing w:line="276" w:lineRule="auto"/>
              <w:jc w:val="both"/>
              <w:rPr>
                <w:rFonts w:ascii="宋体" w:eastAsia="宋体"/>
                <w:kern w:val="2"/>
                <w:sz w:val="21"/>
                <w:szCs w:val="21"/>
                <w:lang w:eastAsia="zh-CN"/>
              </w:rPr>
            </w:pPr>
          </w:p>
        </w:tc>
        <w:tc>
          <w:tcPr>
            <w:tcW w:w="1287" w:type="dxa"/>
          </w:tcPr>
          <w:p>
            <w:pPr>
              <w:widowControl w:val="0"/>
              <w:spacing w:line="276" w:lineRule="auto"/>
              <w:jc w:val="both"/>
              <w:rPr>
                <w:rFonts w:ascii="宋体" w:eastAsia="宋体"/>
                <w:kern w:val="2"/>
                <w:sz w:val="21"/>
                <w:szCs w:val="21"/>
                <w:lang w:eastAsia="zh-CN"/>
              </w:rPr>
            </w:pPr>
          </w:p>
        </w:tc>
        <w:tc>
          <w:tcPr>
            <w:tcW w:w="1113" w:type="dxa"/>
          </w:tcPr>
          <w:p>
            <w:pPr>
              <w:widowControl w:val="0"/>
              <w:spacing w:line="276" w:lineRule="auto"/>
              <w:jc w:val="both"/>
              <w:rPr>
                <w:rFonts w:ascii="宋体" w:eastAsia="宋体"/>
                <w:kern w:val="2"/>
                <w:sz w:val="21"/>
                <w:szCs w:val="21"/>
                <w:lang w:eastAsia="zh-CN"/>
              </w:rPr>
            </w:pPr>
          </w:p>
        </w:tc>
        <w:tc>
          <w:tcPr>
            <w:tcW w:w="907" w:type="dxa"/>
          </w:tcPr>
          <w:p>
            <w:pPr>
              <w:widowControl w:val="0"/>
              <w:spacing w:line="276" w:lineRule="auto"/>
              <w:jc w:val="both"/>
              <w:rPr>
                <w:rFonts w:ascii="宋体" w:eastAsia="宋体"/>
                <w:kern w:val="2"/>
                <w:sz w:val="21"/>
                <w:szCs w:val="21"/>
                <w:lang w:eastAsia="zh-CN"/>
              </w:rPr>
            </w:pPr>
          </w:p>
        </w:tc>
        <w:tc>
          <w:tcPr>
            <w:tcW w:w="1123" w:type="dxa"/>
          </w:tcPr>
          <w:p>
            <w:pPr>
              <w:widowControl w:val="0"/>
              <w:spacing w:line="276" w:lineRule="auto"/>
              <w:jc w:val="both"/>
              <w:rPr>
                <w:rFonts w:ascii="宋体"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cantSplit/>
          <w:trHeight w:val="392"/>
          <w:jc w:val="center"/>
        </w:trPr>
        <w:tc>
          <w:tcPr>
            <w:tcW w:w="675" w:type="dxa"/>
          </w:tcPr>
          <w:p>
            <w:pPr>
              <w:widowControl w:val="0"/>
              <w:spacing w:line="276" w:lineRule="auto"/>
              <w:jc w:val="both"/>
              <w:rPr>
                <w:rFonts w:ascii="宋体" w:eastAsia="宋体"/>
                <w:kern w:val="2"/>
                <w:sz w:val="21"/>
                <w:szCs w:val="21"/>
                <w:lang w:eastAsia="zh-CN"/>
              </w:rPr>
            </w:pPr>
          </w:p>
        </w:tc>
        <w:tc>
          <w:tcPr>
            <w:tcW w:w="1267" w:type="dxa"/>
          </w:tcPr>
          <w:p>
            <w:pPr>
              <w:widowControl w:val="0"/>
              <w:spacing w:line="276" w:lineRule="auto"/>
              <w:jc w:val="both"/>
              <w:rPr>
                <w:rFonts w:ascii="宋体" w:eastAsia="宋体"/>
                <w:kern w:val="2"/>
                <w:sz w:val="21"/>
                <w:szCs w:val="21"/>
                <w:lang w:eastAsia="zh-CN"/>
              </w:rPr>
            </w:pPr>
          </w:p>
        </w:tc>
        <w:tc>
          <w:tcPr>
            <w:tcW w:w="1105" w:type="dxa"/>
          </w:tcPr>
          <w:p>
            <w:pPr>
              <w:widowControl w:val="0"/>
              <w:spacing w:line="276" w:lineRule="auto"/>
              <w:jc w:val="both"/>
              <w:rPr>
                <w:rFonts w:ascii="宋体" w:eastAsia="宋体"/>
                <w:kern w:val="2"/>
                <w:sz w:val="21"/>
                <w:szCs w:val="21"/>
                <w:lang w:eastAsia="zh-CN"/>
              </w:rPr>
            </w:pPr>
          </w:p>
        </w:tc>
        <w:tc>
          <w:tcPr>
            <w:tcW w:w="1538" w:type="dxa"/>
          </w:tcPr>
          <w:p>
            <w:pPr>
              <w:widowControl w:val="0"/>
              <w:spacing w:line="276" w:lineRule="auto"/>
              <w:jc w:val="both"/>
              <w:rPr>
                <w:rFonts w:ascii="宋体" w:eastAsia="宋体"/>
                <w:kern w:val="2"/>
                <w:sz w:val="21"/>
                <w:szCs w:val="21"/>
                <w:lang w:eastAsia="zh-CN"/>
              </w:rPr>
            </w:pPr>
          </w:p>
        </w:tc>
        <w:tc>
          <w:tcPr>
            <w:tcW w:w="1287" w:type="dxa"/>
          </w:tcPr>
          <w:p>
            <w:pPr>
              <w:widowControl w:val="0"/>
              <w:spacing w:line="276" w:lineRule="auto"/>
              <w:jc w:val="both"/>
              <w:rPr>
                <w:rFonts w:ascii="宋体" w:eastAsia="宋体"/>
                <w:kern w:val="2"/>
                <w:sz w:val="21"/>
                <w:szCs w:val="21"/>
                <w:lang w:eastAsia="zh-CN"/>
              </w:rPr>
            </w:pPr>
          </w:p>
        </w:tc>
        <w:tc>
          <w:tcPr>
            <w:tcW w:w="1113" w:type="dxa"/>
          </w:tcPr>
          <w:p>
            <w:pPr>
              <w:widowControl w:val="0"/>
              <w:spacing w:line="276" w:lineRule="auto"/>
              <w:jc w:val="both"/>
              <w:rPr>
                <w:rFonts w:ascii="宋体" w:eastAsia="宋体"/>
                <w:kern w:val="2"/>
                <w:sz w:val="21"/>
                <w:szCs w:val="21"/>
                <w:lang w:eastAsia="zh-CN"/>
              </w:rPr>
            </w:pPr>
          </w:p>
        </w:tc>
        <w:tc>
          <w:tcPr>
            <w:tcW w:w="907" w:type="dxa"/>
          </w:tcPr>
          <w:p>
            <w:pPr>
              <w:widowControl w:val="0"/>
              <w:spacing w:line="276" w:lineRule="auto"/>
              <w:jc w:val="both"/>
              <w:rPr>
                <w:rFonts w:ascii="宋体" w:eastAsia="宋体"/>
                <w:kern w:val="2"/>
                <w:sz w:val="21"/>
                <w:szCs w:val="21"/>
                <w:lang w:eastAsia="zh-CN"/>
              </w:rPr>
            </w:pPr>
          </w:p>
        </w:tc>
        <w:tc>
          <w:tcPr>
            <w:tcW w:w="1123" w:type="dxa"/>
          </w:tcPr>
          <w:p>
            <w:pPr>
              <w:widowControl w:val="0"/>
              <w:spacing w:line="276" w:lineRule="auto"/>
              <w:jc w:val="both"/>
              <w:rPr>
                <w:rFonts w:ascii="宋体"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cantSplit/>
          <w:trHeight w:val="423"/>
          <w:jc w:val="center"/>
        </w:trPr>
        <w:tc>
          <w:tcPr>
            <w:tcW w:w="675" w:type="dxa"/>
          </w:tcPr>
          <w:p>
            <w:pPr>
              <w:widowControl w:val="0"/>
              <w:spacing w:line="276" w:lineRule="auto"/>
              <w:jc w:val="both"/>
              <w:rPr>
                <w:rFonts w:ascii="宋体" w:eastAsia="宋体"/>
                <w:kern w:val="2"/>
                <w:sz w:val="21"/>
                <w:szCs w:val="21"/>
                <w:lang w:eastAsia="zh-CN"/>
              </w:rPr>
            </w:pPr>
          </w:p>
        </w:tc>
        <w:tc>
          <w:tcPr>
            <w:tcW w:w="1267" w:type="dxa"/>
          </w:tcPr>
          <w:p>
            <w:pPr>
              <w:widowControl w:val="0"/>
              <w:spacing w:line="276" w:lineRule="auto"/>
              <w:jc w:val="both"/>
              <w:rPr>
                <w:rFonts w:ascii="宋体" w:eastAsia="宋体"/>
                <w:kern w:val="2"/>
                <w:sz w:val="21"/>
                <w:szCs w:val="21"/>
                <w:lang w:eastAsia="zh-CN"/>
              </w:rPr>
            </w:pPr>
          </w:p>
        </w:tc>
        <w:tc>
          <w:tcPr>
            <w:tcW w:w="1105" w:type="dxa"/>
          </w:tcPr>
          <w:p>
            <w:pPr>
              <w:widowControl w:val="0"/>
              <w:spacing w:line="276" w:lineRule="auto"/>
              <w:jc w:val="both"/>
              <w:rPr>
                <w:rFonts w:ascii="宋体" w:eastAsia="宋体"/>
                <w:kern w:val="2"/>
                <w:sz w:val="21"/>
                <w:szCs w:val="21"/>
                <w:lang w:eastAsia="zh-CN"/>
              </w:rPr>
            </w:pPr>
          </w:p>
        </w:tc>
        <w:tc>
          <w:tcPr>
            <w:tcW w:w="1538" w:type="dxa"/>
          </w:tcPr>
          <w:p>
            <w:pPr>
              <w:widowControl w:val="0"/>
              <w:spacing w:line="276" w:lineRule="auto"/>
              <w:jc w:val="both"/>
              <w:rPr>
                <w:rFonts w:ascii="宋体" w:eastAsia="宋体"/>
                <w:kern w:val="2"/>
                <w:sz w:val="21"/>
                <w:szCs w:val="21"/>
                <w:lang w:eastAsia="zh-CN"/>
              </w:rPr>
            </w:pPr>
          </w:p>
        </w:tc>
        <w:tc>
          <w:tcPr>
            <w:tcW w:w="1287" w:type="dxa"/>
          </w:tcPr>
          <w:p>
            <w:pPr>
              <w:widowControl w:val="0"/>
              <w:spacing w:line="276" w:lineRule="auto"/>
              <w:jc w:val="both"/>
              <w:rPr>
                <w:rFonts w:ascii="宋体" w:eastAsia="宋体"/>
                <w:kern w:val="2"/>
                <w:sz w:val="21"/>
                <w:szCs w:val="21"/>
                <w:lang w:eastAsia="zh-CN"/>
              </w:rPr>
            </w:pPr>
          </w:p>
        </w:tc>
        <w:tc>
          <w:tcPr>
            <w:tcW w:w="1113" w:type="dxa"/>
          </w:tcPr>
          <w:p>
            <w:pPr>
              <w:widowControl w:val="0"/>
              <w:spacing w:line="276" w:lineRule="auto"/>
              <w:jc w:val="both"/>
              <w:rPr>
                <w:rFonts w:ascii="宋体" w:eastAsia="宋体"/>
                <w:kern w:val="2"/>
                <w:sz w:val="21"/>
                <w:szCs w:val="21"/>
                <w:lang w:eastAsia="zh-CN"/>
              </w:rPr>
            </w:pPr>
          </w:p>
        </w:tc>
        <w:tc>
          <w:tcPr>
            <w:tcW w:w="907" w:type="dxa"/>
          </w:tcPr>
          <w:p>
            <w:pPr>
              <w:widowControl w:val="0"/>
              <w:spacing w:line="276" w:lineRule="auto"/>
              <w:jc w:val="both"/>
              <w:rPr>
                <w:rFonts w:ascii="宋体" w:eastAsia="宋体"/>
                <w:kern w:val="2"/>
                <w:sz w:val="21"/>
                <w:szCs w:val="21"/>
                <w:lang w:eastAsia="zh-CN"/>
              </w:rPr>
            </w:pPr>
          </w:p>
        </w:tc>
        <w:tc>
          <w:tcPr>
            <w:tcW w:w="1123" w:type="dxa"/>
          </w:tcPr>
          <w:p>
            <w:pPr>
              <w:widowControl w:val="0"/>
              <w:spacing w:line="276" w:lineRule="auto"/>
              <w:jc w:val="both"/>
              <w:rPr>
                <w:rFonts w:ascii="宋体" w:eastAsia="宋体"/>
                <w:kern w:val="2"/>
                <w:sz w:val="21"/>
                <w:szCs w:val="21"/>
                <w:lang w:eastAsia="zh-CN"/>
              </w:rPr>
            </w:pPr>
          </w:p>
        </w:tc>
      </w:tr>
    </w:tbl>
    <w:p>
      <w:pPr>
        <w:widowControl w:val="0"/>
        <w:spacing w:after="120" w:line="276" w:lineRule="auto"/>
        <w:jc w:val="both"/>
        <w:rPr>
          <w:rFonts w:eastAsia="宋体"/>
          <w:b/>
          <w:bCs/>
          <w:kern w:val="2"/>
          <w:sz w:val="21"/>
          <w:szCs w:val="21"/>
          <w:lang w:eastAsia="zh-CN"/>
        </w:rPr>
      </w:pPr>
      <w:r>
        <w:rPr>
          <w:rFonts w:eastAsia="宋体" w:hint="eastAsia"/>
          <w:kern w:val="2"/>
          <w:sz w:val="21"/>
          <w:szCs w:val="21"/>
          <w:lang w:eastAsia="zh-CN"/>
        </w:rPr>
        <w:t>（特别提示：以上表格仅供参考。投标人须按本招标文件评标信息中“同类项目业绩”这一评分因素要求，提供证明资料）</w:t>
      </w:r>
    </w:p>
    <w:p>
      <w:pPr>
        <w:keepNext/>
        <w:keepLines/>
        <w:widowControl w:val="0"/>
        <w:spacing w:before="260" w:after="260" w:line="276" w:lineRule="auto"/>
        <w:jc w:val="center"/>
        <w:outlineLvl w:val="2"/>
        <w:rPr>
          <w:rFonts w:ascii="黑体" w:eastAsia="黑体" w:hAnsi="宋体"/>
          <w:bCs/>
          <w:lang w:eastAsia="zh-CN"/>
        </w:rPr>
      </w:pPr>
      <w:bookmarkStart w:id="42" w:name="_Toc59916729"/>
      <w:r>
        <w:rPr>
          <w:rFonts w:ascii="黑体" w:eastAsia="黑体" w:hAnsi="宋体" w:hint="eastAsia"/>
          <w:bCs/>
          <w:lang w:eastAsia="zh-CN"/>
        </w:rPr>
        <w:t>五、</w:t>
      </w:r>
      <w:bookmarkEnd w:id="42"/>
      <w:r>
        <w:rPr>
          <w:rFonts w:ascii="黑体" w:eastAsia="黑体" w:hAnsi="宋体" w:hint="eastAsia"/>
          <w:bCs/>
          <w:lang w:eastAsia="zh-CN"/>
        </w:rPr>
        <w:t>履约情况</w:t>
      </w:r>
    </w:p>
    <w:tbl>
      <w:tblPr>
        <w:tblStyle w:val="TableNorm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
      <w:tblGrid>
        <w:gridCol w:w="706"/>
        <w:gridCol w:w="1091"/>
        <w:gridCol w:w="1387"/>
        <w:gridCol w:w="1478"/>
        <w:gridCol w:w="1472"/>
        <w:gridCol w:w="1472"/>
        <w:gridCol w:w="1472"/>
      </w:tblGrid>
      <w:tr>
        <w:tblPrEx>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Ex>
        <w:trPr>
          <w:trHeight w:val="366"/>
          <w:jc w:val="center"/>
        </w:trPr>
        <w:tc>
          <w:tcPr>
            <w:tcW w:w="714" w:type="dxa"/>
            <w:vAlign w:val="center"/>
          </w:tcPr>
          <w:p>
            <w:pPr>
              <w:widowControl w:val="0"/>
              <w:spacing w:line="276" w:lineRule="auto"/>
              <w:jc w:val="center"/>
              <w:rPr>
                <w:rFonts w:ascii="宋体" w:eastAsia="宋体" w:hAnsi="Calibri"/>
                <w:kern w:val="2"/>
                <w:sz w:val="21"/>
                <w:szCs w:val="21"/>
                <w:lang w:eastAsia="zh-CN"/>
              </w:rPr>
            </w:pPr>
            <w:r>
              <w:rPr>
                <w:rFonts w:ascii="宋体" w:eastAsia="宋体" w:hAnsi="宋体" w:cstheme="minorBidi" w:hint="eastAsia"/>
                <w:kern w:val="2"/>
                <w:sz w:val="21"/>
                <w:szCs w:val="21"/>
                <w:lang w:eastAsia="zh-CN"/>
              </w:rPr>
              <w:t>序号</w:t>
            </w:r>
          </w:p>
        </w:tc>
        <w:tc>
          <w:tcPr>
            <w:tcW w:w="1107" w:type="dxa"/>
            <w:vAlign w:val="center"/>
          </w:tcPr>
          <w:p>
            <w:pPr>
              <w:widowControl w:val="0"/>
              <w:spacing w:line="276" w:lineRule="auto"/>
              <w:jc w:val="center"/>
              <w:rPr>
                <w:rFonts w:ascii="宋体" w:eastAsia="宋体" w:hAnsi="Calibri"/>
                <w:kern w:val="2"/>
                <w:sz w:val="21"/>
                <w:szCs w:val="21"/>
                <w:lang w:eastAsia="zh-CN"/>
              </w:rPr>
            </w:pPr>
            <w:r>
              <w:rPr>
                <w:rFonts w:ascii="宋体" w:eastAsia="宋体" w:hAnsi="宋体" w:cstheme="minorBidi" w:hint="eastAsia"/>
                <w:kern w:val="2"/>
                <w:sz w:val="21"/>
                <w:szCs w:val="21"/>
                <w:lang w:eastAsia="zh-CN"/>
              </w:rPr>
              <w:t>服务单位</w:t>
            </w:r>
          </w:p>
        </w:tc>
        <w:tc>
          <w:tcPr>
            <w:tcW w:w="1408" w:type="dxa"/>
            <w:vAlign w:val="center"/>
          </w:tcPr>
          <w:p>
            <w:pPr>
              <w:widowControl w:val="0"/>
              <w:spacing w:line="276" w:lineRule="auto"/>
              <w:jc w:val="center"/>
              <w:rPr>
                <w:rFonts w:ascii="宋体" w:eastAsia="宋体" w:hAnsi="Calibri"/>
                <w:kern w:val="2"/>
                <w:sz w:val="21"/>
                <w:szCs w:val="21"/>
                <w:lang w:eastAsia="zh-CN"/>
              </w:rPr>
            </w:pPr>
            <w:r>
              <w:rPr>
                <w:rFonts w:ascii="宋体" w:eastAsia="宋体" w:hAnsi="宋体" w:cstheme="minorBidi" w:hint="eastAsia"/>
                <w:kern w:val="2"/>
                <w:sz w:val="21"/>
                <w:szCs w:val="21"/>
                <w:lang w:eastAsia="zh-CN"/>
              </w:rPr>
              <w:t>项目名称</w:t>
            </w:r>
          </w:p>
        </w:tc>
        <w:tc>
          <w:tcPr>
            <w:tcW w:w="1501" w:type="dxa"/>
            <w:vAlign w:val="center"/>
          </w:tcPr>
          <w:p>
            <w:pPr>
              <w:widowControl w:val="0"/>
              <w:spacing w:line="276" w:lineRule="auto"/>
              <w:jc w:val="center"/>
              <w:rPr>
                <w:rFonts w:ascii="宋体" w:eastAsia="宋体" w:hAnsi="Calibri"/>
                <w:kern w:val="2"/>
                <w:sz w:val="21"/>
                <w:szCs w:val="21"/>
                <w:lang w:eastAsia="zh-CN"/>
              </w:rPr>
            </w:pPr>
            <w:r>
              <w:rPr>
                <w:rFonts w:ascii="宋体" w:eastAsia="宋体" w:hAnsi="Calibri" w:cstheme="minorBidi" w:hint="eastAsia"/>
                <w:kern w:val="2"/>
                <w:sz w:val="21"/>
                <w:szCs w:val="21"/>
                <w:lang w:eastAsia="zh-CN"/>
              </w:rPr>
              <w:t>合同签订时间</w:t>
            </w:r>
          </w:p>
        </w:tc>
        <w:tc>
          <w:tcPr>
            <w:tcW w:w="1495" w:type="dxa"/>
            <w:vAlign w:val="center"/>
          </w:tcPr>
          <w:p>
            <w:pPr>
              <w:widowControl w:val="0"/>
              <w:spacing w:line="276" w:lineRule="auto"/>
              <w:jc w:val="center"/>
              <w:rPr>
                <w:rFonts w:ascii="Calibri" w:eastAsia="宋体" w:hAnsi="Calibri"/>
                <w:kern w:val="2"/>
                <w:sz w:val="21"/>
                <w:szCs w:val="22"/>
                <w:lang w:eastAsia="zh-CN"/>
              </w:rPr>
            </w:pPr>
            <w:r>
              <w:rPr>
                <w:rFonts w:ascii="宋体" w:eastAsia="宋体" w:hAnsi="宋体" w:cstheme="minorBidi" w:hint="eastAsia"/>
                <w:kern w:val="2"/>
                <w:sz w:val="21"/>
                <w:szCs w:val="21"/>
                <w:lang w:eastAsia="zh-CN"/>
              </w:rPr>
              <w:t>完成时间</w:t>
            </w:r>
          </w:p>
        </w:tc>
        <w:tc>
          <w:tcPr>
            <w:tcW w:w="1495" w:type="dxa"/>
            <w:vAlign w:val="center"/>
          </w:tcPr>
          <w:p>
            <w:pPr>
              <w:widowControl w:val="0"/>
              <w:spacing w:line="276"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履约考核评价</w:t>
            </w:r>
          </w:p>
        </w:tc>
        <w:tc>
          <w:tcPr>
            <w:tcW w:w="1495" w:type="dxa"/>
            <w:vAlign w:val="center"/>
          </w:tcPr>
          <w:p>
            <w:pPr>
              <w:widowControl w:val="0"/>
              <w:spacing w:line="276"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备注说明</w:t>
            </w:r>
          </w:p>
        </w:tc>
      </w:tr>
      <w:tr>
        <w:tblPrEx>
          <w:tblW w:w="5000" w:type="pct"/>
          <w:jc w:val="center"/>
          <w:tblLayout w:type="fixed"/>
          <w:tblCellMar>
            <w:top w:w="0" w:type="dxa"/>
            <w:left w:w="108" w:type="dxa"/>
            <w:bottom w:w="0" w:type="dxa"/>
            <w:right w:w="108" w:type="dxa"/>
          </w:tblCellMar>
        </w:tblPrEx>
        <w:trPr>
          <w:cantSplit/>
          <w:trHeight w:val="286"/>
          <w:jc w:val="center"/>
        </w:trPr>
        <w:tc>
          <w:tcPr>
            <w:tcW w:w="714" w:type="dxa"/>
            <w:vAlign w:val="center"/>
          </w:tcPr>
          <w:p>
            <w:pPr>
              <w:widowControl w:val="0"/>
              <w:spacing w:line="276" w:lineRule="auto"/>
              <w:jc w:val="center"/>
              <w:rPr>
                <w:rFonts w:ascii="宋体" w:eastAsia="宋体" w:hAnsi="Calibri"/>
                <w:kern w:val="2"/>
                <w:sz w:val="21"/>
                <w:szCs w:val="21"/>
                <w:lang w:eastAsia="zh-CN"/>
              </w:rPr>
            </w:pPr>
          </w:p>
        </w:tc>
        <w:tc>
          <w:tcPr>
            <w:tcW w:w="1107" w:type="dxa"/>
            <w:vAlign w:val="center"/>
          </w:tcPr>
          <w:p>
            <w:pPr>
              <w:widowControl w:val="0"/>
              <w:spacing w:line="276" w:lineRule="auto"/>
              <w:jc w:val="center"/>
              <w:rPr>
                <w:rFonts w:ascii="宋体" w:eastAsia="宋体" w:hAnsi="Calibri"/>
                <w:kern w:val="2"/>
                <w:sz w:val="21"/>
                <w:szCs w:val="21"/>
                <w:lang w:eastAsia="zh-CN"/>
              </w:rPr>
            </w:pPr>
          </w:p>
        </w:tc>
        <w:tc>
          <w:tcPr>
            <w:tcW w:w="1408" w:type="dxa"/>
            <w:vAlign w:val="center"/>
          </w:tcPr>
          <w:p>
            <w:pPr>
              <w:widowControl w:val="0"/>
              <w:spacing w:line="276" w:lineRule="auto"/>
              <w:jc w:val="center"/>
              <w:rPr>
                <w:rFonts w:ascii="宋体" w:eastAsia="宋体" w:hAnsi="Calibri"/>
                <w:kern w:val="2"/>
                <w:sz w:val="21"/>
                <w:szCs w:val="21"/>
                <w:lang w:eastAsia="zh-CN"/>
              </w:rPr>
            </w:pPr>
          </w:p>
        </w:tc>
        <w:tc>
          <w:tcPr>
            <w:tcW w:w="1501" w:type="dxa"/>
            <w:vAlign w:val="center"/>
          </w:tcPr>
          <w:p>
            <w:pPr>
              <w:widowControl w:val="0"/>
              <w:spacing w:line="276" w:lineRule="auto"/>
              <w:jc w:val="center"/>
              <w:rPr>
                <w:rFonts w:ascii="宋体" w:eastAsia="宋体" w:hAnsi="Calibri"/>
                <w:kern w:val="2"/>
                <w:sz w:val="21"/>
                <w:szCs w:val="21"/>
                <w:lang w:eastAsia="zh-CN"/>
              </w:rPr>
            </w:pPr>
          </w:p>
        </w:tc>
        <w:tc>
          <w:tcPr>
            <w:tcW w:w="1495" w:type="dxa"/>
            <w:vAlign w:val="center"/>
          </w:tcPr>
          <w:p>
            <w:pPr>
              <w:widowControl w:val="0"/>
              <w:spacing w:line="276" w:lineRule="auto"/>
              <w:jc w:val="center"/>
              <w:rPr>
                <w:rFonts w:ascii="宋体" w:eastAsia="宋体" w:hAnsi="Calibri"/>
                <w:kern w:val="2"/>
                <w:sz w:val="21"/>
                <w:szCs w:val="21"/>
                <w:lang w:eastAsia="zh-CN"/>
              </w:rPr>
            </w:pPr>
          </w:p>
        </w:tc>
        <w:tc>
          <w:tcPr>
            <w:tcW w:w="1495" w:type="dxa"/>
            <w:vAlign w:val="center"/>
          </w:tcPr>
          <w:p>
            <w:pPr>
              <w:widowControl w:val="0"/>
              <w:spacing w:line="276" w:lineRule="auto"/>
              <w:jc w:val="center"/>
              <w:rPr>
                <w:rFonts w:ascii="宋体" w:eastAsia="宋体" w:hAnsi="Calibri"/>
                <w:kern w:val="2"/>
                <w:sz w:val="21"/>
                <w:szCs w:val="21"/>
                <w:lang w:eastAsia="zh-CN"/>
              </w:rPr>
            </w:pPr>
          </w:p>
        </w:tc>
        <w:tc>
          <w:tcPr>
            <w:tcW w:w="1495" w:type="dxa"/>
            <w:vAlign w:val="center"/>
          </w:tcPr>
          <w:p>
            <w:pPr>
              <w:widowControl w:val="0"/>
              <w:spacing w:line="276" w:lineRule="auto"/>
              <w:jc w:val="center"/>
              <w:rPr>
                <w:rFonts w:ascii="宋体" w:eastAsia="宋体" w:hAnsi="Calibri"/>
                <w:kern w:val="2"/>
                <w:sz w:val="21"/>
                <w:szCs w:val="21"/>
                <w:lang w:eastAsia="zh-CN"/>
              </w:rPr>
            </w:pPr>
          </w:p>
        </w:tc>
      </w:tr>
      <w:tr>
        <w:tblPrEx>
          <w:tblW w:w="5000" w:type="pct"/>
          <w:jc w:val="center"/>
          <w:tblLayout w:type="fixed"/>
          <w:tblCellMar>
            <w:top w:w="0" w:type="dxa"/>
            <w:left w:w="108" w:type="dxa"/>
            <w:bottom w:w="0" w:type="dxa"/>
            <w:right w:w="108" w:type="dxa"/>
          </w:tblCellMar>
        </w:tblPrEx>
        <w:trPr>
          <w:cantSplit/>
          <w:trHeight w:val="286"/>
          <w:jc w:val="center"/>
        </w:trPr>
        <w:tc>
          <w:tcPr>
            <w:tcW w:w="714" w:type="dxa"/>
            <w:vAlign w:val="center"/>
          </w:tcPr>
          <w:p>
            <w:pPr>
              <w:widowControl w:val="0"/>
              <w:spacing w:line="276" w:lineRule="auto"/>
              <w:jc w:val="center"/>
              <w:rPr>
                <w:rFonts w:ascii="宋体" w:eastAsia="宋体" w:hAnsi="Calibri"/>
                <w:kern w:val="2"/>
                <w:sz w:val="21"/>
                <w:szCs w:val="21"/>
                <w:lang w:eastAsia="zh-CN"/>
              </w:rPr>
            </w:pPr>
          </w:p>
        </w:tc>
        <w:tc>
          <w:tcPr>
            <w:tcW w:w="1107" w:type="dxa"/>
            <w:vAlign w:val="center"/>
          </w:tcPr>
          <w:p>
            <w:pPr>
              <w:widowControl w:val="0"/>
              <w:spacing w:line="276" w:lineRule="auto"/>
              <w:jc w:val="center"/>
              <w:rPr>
                <w:rFonts w:ascii="宋体" w:eastAsia="宋体" w:hAnsi="Calibri"/>
                <w:kern w:val="2"/>
                <w:sz w:val="21"/>
                <w:szCs w:val="21"/>
                <w:lang w:eastAsia="zh-CN"/>
              </w:rPr>
            </w:pPr>
          </w:p>
        </w:tc>
        <w:tc>
          <w:tcPr>
            <w:tcW w:w="1408" w:type="dxa"/>
            <w:vAlign w:val="center"/>
          </w:tcPr>
          <w:p>
            <w:pPr>
              <w:widowControl w:val="0"/>
              <w:spacing w:line="276" w:lineRule="auto"/>
              <w:jc w:val="center"/>
              <w:rPr>
                <w:rFonts w:ascii="宋体" w:eastAsia="宋体" w:hAnsi="Calibri"/>
                <w:kern w:val="2"/>
                <w:sz w:val="21"/>
                <w:szCs w:val="21"/>
                <w:lang w:eastAsia="zh-CN"/>
              </w:rPr>
            </w:pPr>
          </w:p>
        </w:tc>
        <w:tc>
          <w:tcPr>
            <w:tcW w:w="1501" w:type="dxa"/>
            <w:vAlign w:val="center"/>
          </w:tcPr>
          <w:p>
            <w:pPr>
              <w:widowControl w:val="0"/>
              <w:spacing w:line="276" w:lineRule="auto"/>
              <w:jc w:val="center"/>
              <w:rPr>
                <w:rFonts w:ascii="宋体" w:eastAsia="宋体" w:hAnsi="Calibri"/>
                <w:kern w:val="2"/>
                <w:sz w:val="21"/>
                <w:szCs w:val="21"/>
                <w:lang w:eastAsia="zh-CN"/>
              </w:rPr>
            </w:pPr>
          </w:p>
        </w:tc>
        <w:tc>
          <w:tcPr>
            <w:tcW w:w="1495" w:type="dxa"/>
            <w:vAlign w:val="center"/>
          </w:tcPr>
          <w:p>
            <w:pPr>
              <w:widowControl w:val="0"/>
              <w:spacing w:line="276" w:lineRule="auto"/>
              <w:jc w:val="center"/>
              <w:rPr>
                <w:rFonts w:ascii="宋体" w:eastAsia="宋体" w:hAnsi="Calibri"/>
                <w:kern w:val="2"/>
                <w:sz w:val="21"/>
                <w:szCs w:val="21"/>
                <w:lang w:eastAsia="zh-CN"/>
              </w:rPr>
            </w:pPr>
          </w:p>
        </w:tc>
        <w:tc>
          <w:tcPr>
            <w:tcW w:w="1495" w:type="dxa"/>
            <w:vAlign w:val="center"/>
          </w:tcPr>
          <w:p>
            <w:pPr>
              <w:widowControl w:val="0"/>
              <w:spacing w:line="276" w:lineRule="auto"/>
              <w:jc w:val="center"/>
              <w:rPr>
                <w:rFonts w:ascii="宋体" w:eastAsia="宋体" w:hAnsi="Calibri"/>
                <w:kern w:val="2"/>
                <w:sz w:val="21"/>
                <w:szCs w:val="21"/>
                <w:lang w:eastAsia="zh-CN"/>
              </w:rPr>
            </w:pPr>
          </w:p>
        </w:tc>
        <w:tc>
          <w:tcPr>
            <w:tcW w:w="1495" w:type="dxa"/>
            <w:vAlign w:val="center"/>
          </w:tcPr>
          <w:p>
            <w:pPr>
              <w:widowControl w:val="0"/>
              <w:spacing w:line="276" w:lineRule="auto"/>
              <w:jc w:val="center"/>
              <w:rPr>
                <w:rFonts w:ascii="宋体" w:eastAsia="宋体" w:hAnsi="Calibri"/>
                <w:kern w:val="2"/>
                <w:sz w:val="21"/>
                <w:szCs w:val="21"/>
                <w:lang w:eastAsia="zh-CN"/>
              </w:rPr>
            </w:pPr>
          </w:p>
        </w:tc>
      </w:tr>
      <w:tr>
        <w:tblPrEx>
          <w:tblW w:w="5000" w:type="pct"/>
          <w:jc w:val="center"/>
          <w:tblLayout w:type="fixed"/>
          <w:tblCellMar>
            <w:top w:w="0" w:type="dxa"/>
            <w:left w:w="108" w:type="dxa"/>
            <w:bottom w:w="0" w:type="dxa"/>
            <w:right w:w="108" w:type="dxa"/>
          </w:tblCellMar>
        </w:tblPrEx>
        <w:trPr>
          <w:cantSplit/>
          <w:trHeight w:val="333"/>
          <w:jc w:val="center"/>
        </w:trPr>
        <w:tc>
          <w:tcPr>
            <w:tcW w:w="714" w:type="dxa"/>
            <w:vAlign w:val="center"/>
          </w:tcPr>
          <w:p>
            <w:pPr>
              <w:widowControl w:val="0"/>
              <w:spacing w:line="276" w:lineRule="auto"/>
              <w:jc w:val="center"/>
              <w:rPr>
                <w:rFonts w:ascii="宋体" w:eastAsia="宋体" w:hAnsi="Calibri"/>
                <w:kern w:val="2"/>
                <w:sz w:val="21"/>
                <w:szCs w:val="21"/>
                <w:lang w:eastAsia="zh-CN"/>
              </w:rPr>
            </w:pPr>
          </w:p>
        </w:tc>
        <w:tc>
          <w:tcPr>
            <w:tcW w:w="1107" w:type="dxa"/>
            <w:vAlign w:val="center"/>
          </w:tcPr>
          <w:p>
            <w:pPr>
              <w:widowControl w:val="0"/>
              <w:spacing w:line="276" w:lineRule="auto"/>
              <w:jc w:val="center"/>
              <w:rPr>
                <w:rFonts w:ascii="宋体" w:eastAsia="宋体" w:hAnsi="Calibri"/>
                <w:kern w:val="2"/>
                <w:sz w:val="21"/>
                <w:szCs w:val="21"/>
                <w:lang w:eastAsia="zh-CN"/>
              </w:rPr>
            </w:pPr>
          </w:p>
        </w:tc>
        <w:tc>
          <w:tcPr>
            <w:tcW w:w="1408" w:type="dxa"/>
            <w:vAlign w:val="center"/>
          </w:tcPr>
          <w:p>
            <w:pPr>
              <w:widowControl w:val="0"/>
              <w:spacing w:line="276" w:lineRule="auto"/>
              <w:jc w:val="center"/>
              <w:rPr>
                <w:rFonts w:ascii="宋体" w:eastAsia="宋体" w:hAnsi="Calibri"/>
                <w:kern w:val="2"/>
                <w:sz w:val="21"/>
                <w:szCs w:val="21"/>
                <w:lang w:eastAsia="zh-CN"/>
              </w:rPr>
            </w:pPr>
          </w:p>
        </w:tc>
        <w:tc>
          <w:tcPr>
            <w:tcW w:w="1501" w:type="dxa"/>
            <w:vAlign w:val="center"/>
          </w:tcPr>
          <w:p>
            <w:pPr>
              <w:widowControl w:val="0"/>
              <w:spacing w:line="276" w:lineRule="auto"/>
              <w:jc w:val="center"/>
              <w:rPr>
                <w:rFonts w:ascii="宋体" w:eastAsia="宋体" w:hAnsi="Calibri"/>
                <w:kern w:val="2"/>
                <w:sz w:val="21"/>
                <w:szCs w:val="21"/>
                <w:lang w:eastAsia="zh-CN"/>
              </w:rPr>
            </w:pPr>
          </w:p>
        </w:tc>
        <w:tc>
          <w:tcPr>
            <w:tcW w:w="1495" w:type="dxa"/>
            <w:vAlign w:val="center"/>
          </w:tcPr>
          <w:p>
            <w:pPr>
              <w:widowControl w:val="0"/>
              <w:spacing w:line="276" w:lineRule="auto"/>
              <w:jc w:val="center"/>
              <w:rPr>
                <w:rFonts w:ascii="宋体" w:eastAsia="宋体" w:hAnsi="Calibri"/>
                <w:kern w:val="2"/>
                <w:sz w:val="21"/>
                <w:szCs w:val="21"/>
                <w:lang w:eastAsia="zh-CN"/>
              </w:rPr>
            </w:pPr>
          </w:p>
        </w:tc>
        <w:tc>
          <w:tcPr>
            <w:tcW w:w="1495" w:type="dxa"/>
            <w:vAlign w:val="center"/>
          </w:tcPr>
          <w:p>
            <w:pPr>
              <w:widowControl w:val="0"/>
              <w:spacing w:line="276" w:lineRule="auto"/>
              <w:jc w:val="center"/>
              <w:rPr>
                <w:rFonts w:ascii="宋体" w:eastAsia="宋体" w:hAnsi="Calibri"/>
                <w:kern w:val="2"/>
                <w:sz w:val="21"/>
                <w:szCs w:val="21"/>
                <w:lang w:eastAsia="zh-CN"/>
              </w:rPr>
            </w:pPr>
          </w:p>
        </w:tc>
        <w:tc>
          <w:tcPr>
            <w:tcW w:w="1495" w:type="dxa"/>
            <w:vAlign w:val="center"/>
          </w:tcPr>
          <w:p>
            <w:pPr>
              <w:widowControl w:val="0"/>
              <w:spacing w:line="276" w:lineRule="auto"/>
              <w:jc w:val="center"/>
              <w:rPr>
                <w:rFonts w:ascii="宋体" w:eastAsia="宋体" w:hAnsi="Calibri"/>
                <w:kern w:val="2"/>
                <w:sz w:val="21"/>
                <w:szCs w:val="21"/>
                <w:lang w:eastAsia="zh-CN"/>
              </w:rPr>
            </w:pPr>
          </w:p>
        </w:tc>
      </w:tr>
    </w:tbl>
    <w:p>
      <w:pPr>
        <w:widowControl w:val="0"/>
        <w:spacing w:line="276" w:lineRule="auto"/>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（特别提示：以上表格仅供参考。投标人须按本招标文件评标信息中“履约评价”这一评分因素要求，提供证明资料）</w:t>
      </w:r>
    </w:p>
    <w:p>
      <w:pPr>
        <w:keepNext/>
        <w:keepLines/>
        <w:widowControl w:val="0"/>
        <w:spacing w:before="260" w:after="260" w:line="276" w:lineRule="auto"/>
        <w:jc w:val="center"/>
        <w:outlineLvl w:val="2"/>
        <w:rPr>
          <w:rFonts w:ascii="黑体" w:eastAsia="黑体" w:hAnsi="宋体"/>
          <w:bCs/>
          <w:lang w:eastAsia="zh-CN"/>
        </w:rPr>
      </w:pPr>
      <w:r>
        <w:rPr>
          <w:rFonts w:ascii="黑体" w:eastAsia="黑体" w:hAnsi="宋体" w:hint="eastAsia"/>
          <w:bCs/>
          <w:lang w:eastAsia="zh-CN"/>
        </w:rPr>
        <w:t>六、认证情况</w:t>
      </w:r>
    </w:p>
    <w:tbl>
      <w:tblPr>
        <w:tblStyle w:val="TableNorm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
      <w:tblGrid>
        <w:gridCol w:w="1136"/>
        <w:gridCol w:w="2131"/>
        <w:gridCol w:w="1857"/>
        <w:gridCol w:w="1981"/>
        <w:gridCol w:w="1973"/>
      </w:tblGrid>
      <w:tr>
        <w:tblPrEx>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Ex>
        <w:trPr>
          <w:trHeight w:val="469"/>
          <w:jc w:val="center"/>
        </w:trPr>
        <w:tc>
          <w:tcPr>
            <w:tcW w:w="1067" w:type="dxa"/>
            <w:vAlign w:val="center"/>
          </w:tcPr>
          <w:p>
            <w:pPr>
              <w:widowControl w:val="0"/>
              <w:spacing w:line="276" w:lineRule="auto"/>
              <w:jc w:val="center"/>
              <w:rPr>
                <w:rFonts w:ascii="宋体" w:eastAsia="宋体" w:hAnsi="Calibri"/>
                <w:kern w:val="2"/>
                <w:sz w:val="21"/>
                <w:szCs w:val="21"/>
                <w:lang w:eastAsia="zh-CN"/>
              </w:rPr>
            </w:pPr>
            <w:r>
              <w:rPr>
                <w:rFonts w:ascii="宋体" w:eastAsia="宋体" w:hAnsi="宋体" w:cstheme="minorBidi" w:hint="eastAsia"/>
                <w:kern w:val="2"/>
                <w:sz w:val="21"/>
                <w:szCs w:val="21"/>
                <w:lang w:eastAsia="zh-CN"/>
              </w:rPr>
              <w:t>序号</w:t>
            </w:r>
          </w:p>
        </w:tc>
        <w:tc>
          <w:tcPr>
            <w:tcW w:w="2002" w:type="dxa"/>
            <w:vAlign w:val="center"/>
          </w:tcPr>
          <w:p>
            <w:pPr>
              <w:widowControl w:val="0"/>
              <w:spacing w:line="276" w:lineRule="auto"/>
              <w:jc w:val="center"/>
              <w:rPr>
                <w:rFonts w:ascii="宋体" w:eastAsia="宋体" w:hAnsi="Calibri"/>
                <w:kern w:val="2"/>
                <w:sz w:val="21"/>
                <w:szCs w:val="21"/>
                <w:lang w:eastAsia="zh-CN"/>
              </w:rPr>
            </w:pPr>
            <w:r>
              <w:rPr>
                <w:rFonts w:ascii="宋体" w:eastAsia="宋体" w:hAnsi="宋体" w:cstheme="minorBidi" w:hint="eastAsia"/>
                <w:kern w:val="2"/>
                <w:sz w:val="21"/>
                <w:szCs w:val="21"/>
                <w:lang w:eastAsia="zh-CN"/>
              </w:rPr>
              <w:t>证书名称</w:t>
            </w:r>
          </w:p>
        </w:tc>
        <w:tc>
          <w:tcPr>
            <w:tcW w:w="1745" w:type="dxa"/>
            <w:vAlign w:val="center"/>
          </w:tcPr>
          <w:p>
            <w:pPr>
              <w:widowControl w:val="0"/>
              <w:spacing w:line="276" w:lineRule="auto"/>
              <w:jc w:val="center"/>
              <w:rPr>
                <w:rFonts w:ascii="宋体" w:eastAsia="宋体" w:hAnsi="Calibri"/>
                <w:kern w:val="2"/>
                <w:sz w:val="21"/>
                <w:szCs w:val="21"/>
                <w:lang w:eastAsia="zh-CN"/>
              </w:rPr>
            </w:pPr>
            <w:r>
              <w:rPr>
                <w:rFonts w:ascii="宋体" w:eastAsia="宋体" w:hAnsi="宋体" w:cstheme="minorBidi" w:hint="eastAsia"/>
                <w:kern w:val="2"/>
                <w:sz w:val="21"/>
                <w:szCs w:val="21"/>
                <w:lang w:eastAsia="zh-CN"/>
              </w:rPr>
              <w:t>获得日期</w:t>
            </w:r>
          </w:p>
        </w:tc>
        <w:tc>
          <w:tcPr>
            <w:tcW w:w="1861" w:type="dxa"/>
            <w:vAlign w:val="center"/>
          </w:tcPr>
          <w:p>
            <w:pPr>
              <w:widowControl w:val="0"/>
              <w:spacing w:line="276" w:lineRule="auto"/>
              <w:jc w:val="center"/>
              <w:rPr>
                <w:rFonts w:ascii="宋体" w:eastAsia="宋体" w:hAnsi="Calibri"/>
                <w:kern w:val="2"/>
                <w:sz w:val="21"/>
                <w:szCs w:val="21"/>
                <w:lang w:eastAsia="zh-CN"/>
              </w:rPr>
            </w:pPr>
            <w:r>
              <w:rPr>
                <w:rFonts w:ascii="宋体" w:eastAsia="宋体" w:hAnsi="宋体" w:cstheme="minorBidi" w:hint="eastAsia"/>
                <w:kern w:val="2"/>
                <w:sz w:val="21"/>
                <w:szCs w:val="21"/>
                <w:lang w:eastAsia="zh-CN"/>
              </w:rPr>
              <w:t>颁发机构</w:t>
            </w:r>
          </w:p>
        </w:tc>
        <w:tc>
          <w:tcPr>
            <w:tcW w:w="1854" w:type="dxa"/>
            <w:vAlign w:val="center"/>
          </w:tcPr>
          <w:p>
            <w:pPr>
              <w:widowControl w:val="0"/>
              <w:spacing w:line="276" w:lineRule="auto"/>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备注说明</w:t>
            </w:r>
          </w:p>
        </w:tc>
      </w:tr>
      <w:tr>
        <w:tblPrEx>
          <w:tblW w:w="5000" w:type="pct"/>
          <w:jc w:val="center"/>
          <w:tblLayout w:type="fixed"/>
          <w:tblCellMar>
            <w:top w:w="0" w:type="dxa"/>
            <w:left w:w="108" w:type="dxa"/>
            <w:bottom w:w="0" w:type="dxa"/>
            <w:right w:w="108" w:type="dxa"/>
          </w:tblCellMar>
        </w:tblPrEx>
        <w:trPr>
          <w:cantSplit/>
          <w:trHeight w:val="300"/>
          <w:jc w:val="center"/>
        </w:trPr>
        <w:tc>
          <w:tcPr>
            <w:tcW w:w="1067" w:type="dxa"/>
            <w:vAlign w:val="center"/>
          </w:tcPr>
          <w:p>
            <w:pPr>
              <w:widowControl w:val="0"/>
              <w:spacing w:line="276" w:lineRule="auto"/>
              <w:jc w:val="center"/>
              <w:rPr>
                <w:rFonts w:ascii="宋体" w:eastAsia="宋体" w:hAnsi="Calibri"/>
                <w:kern w:val="2"/>
                <w:sz w:val="21"/>
                <w:szCs w:val="21"/>
                <w:lang w:eastAsia="zh-CN"/>
              </w:rPr>
            </w:pPr>
          </w:p>
        </w:tc>
        <w:tc>
          <w:tcPr>
            <w:tcW w:w="2002" w:type="dxa"/>
            <w:vAlign w:val="center"/>
          </w:tcPr>
          <w:p>
            <w:pPr>
              <w:widowControl w:val="0"/>
              <w:spacing w:line="276" w:lineRule="auto"/>
              <w:jc w:val="center"/>
              <w:rPr>
                <w:rFonts w:ascii="宋体" w:eastAsia="宋体" w:hAnsi="Calibri"/>
                <w:kern w:val="2"/>
                <w:sz w:val="21"/>
                <w:szCs w:val="21"/>
                <w:lang w:eastAsia="zh-CN"/>
              </w:rPr>
            </w:pPr>
          </w:p>
        </w:tc>
        <w:tc>
          <w:tcPr>
            <w:tcW w:w="1745" w:type="dxa"/>
            <w:vAlign w:val="center"/>
          </w:tcPr>
          <w:p>
            <w:pPr>
              <w:widowControl w:val="0"/>
              <w:spacing w:line="276" w:lineRule="auto"/>
              <w:jc w:val="center"/>
              <w:rPr>
                <w:rFonts w:ascii="宋体" w:eastAsia="宋体" w:hAnsi="Calibri"/>
                <w:kern w:val="2"/>
                <w:sz w:val="21"/>
                <w:szCs w:val="21"/>
                <w:lang w:eastAsia="zh-CN"/>
              </w:rPr>
            </w:pPr>
          </w:p>
        </w:tc>
        <w:tc>
          <w:tcPr>
            <w:tcW w:w="1861" w:type="dxa"/>
            <w:vAlign w:val="center"/>
          </w:tcPr>
          <w:p>
            <w:pPr>
              <w:widowControl w:val="0"/>
              <w:spacing w:line="276" w:lineRule="auto"/>
              <w:jc w:val="center"/>
              <w:rPr>
                <w:rFonts w:ascii="宋体" w:eastAsia="宋体" w:hAnsi="Calibri"/>
                <w:kern w:val="2"/>
                <w:sz w:val="21"/>
                <w:szCs w:val="21"/>
                <w:lang w:eastAsia="zh-CN"/>
              </w:rPr>
            </w:pPr>
          </w:p>
        </w:tc>
        <w:tc>
          <w:tcPr>
            <w:tcW w:w="1854" w:type="dxa"/>
            <w:vAlign w:val="center"/>
          </w:tcPr>
          <w:p>
            <w:pPr>
              <w:widowControl w:val="0"/>
              <w:spacing w:line="276" w:lineRule="auto"/>
              <w:jc w:val="center"/>
              <w:rPr>
                <w:rFonts w:ascii="宋体" w:eastAsia="宋体" w:hAnsi="Calibri"/>
                <w:kern w:val="2"/>
                <w:sz w:val="21"/>
                <w:szCs w:val="21"/>
                <w:lang w:eastAsia="zh-CN"/>
              </w:rPr>
            </w:pPr>
          </w:p>
        </w:tc>
      </w:tr>
      <w:tr>
        <w:tblPrEx>
          <w:tblW w:w="5000" w:type="pct"/>
          <w:jc w:val="center"/>
          <w:tblLayout w:type="fixed"/>
          <w:tblCellMar>
            <w:top w:w="0" w:type="dxa"/>
            <w:left w:w="108" w:type="dxa"/>
            <w:bottom w:w="0" w:type="dxa"/>
            <w:right w:w="108" w:type="dxa"/>
          </w:tblCellMar>
        </w:tblPrEx>
        <w:trPr>
          <w:cantSplit/>
          <w:trHeight w:val="300"/>
          <w:jc w:val="center"/>
        </w:trPr>
        <w:tc>
          <w:tcPr>
            <w:tcW w:w="1067" w:type="dxa"/>
            <w:vAlign w:val="center"/>
          </w:tcPr>
          <w:p>
            <w:pPr>
              <w:widowControl w:val="0"/>
              <w:spacing w:line="276" w:lineRule="auto"/>
              <w:jc w:val="center"/>
              <w:rPr>
                <w:rFonts w:ascii="宋体" w:eastAsia="宋体" w:hAnsi="Calibri"/>
                <w:kern w:val="2"/>
                <w:sz w:val="21"/>
                <w:szCs w:val="21"/>
                <w:lang w:eastAsia="zh-CN"/>
              </w:rPr>
            </w:pPr>
          </w:p>
        </w:tc>
        <w:tc>
          <w:tcPr>
            <w:tcW w:w="2002" w:type="dxa"/>
            <w:vAlign w:val="center"/>
          </w:tcPr>
          <w:p>
            <w:pPr>
              <w:widowControl w:val="0"/>
              <w:spacing w:line="276" w:lineRule="auto"/>
              <w:jc w:val="center"/>
              <w:rPr>
                <w:rFonts w:ascii="宋体" w:eastAsia="宋体" w:hAnsi="Calibri"/>
                <w:kern w:val="2"/>
                <w:sz w:val="21"/>
                <w:szCs w:val="21"/>
                <w:lang w:eastAsia="zh-CN"/>
              </w:rPr>
            </w:pPr>
          </w:p>
        </w:tc>
        <w:tc>
          <w:tcPr>
            <w:tcW w:w="1745" w:type="dxa"/>
            <w:vAlign w:val="center"/>
          </w:tcPr>
          <w:p>
            <w:pPr>
              <w:widowControl w:val="0"/>
              <w:spacing w:line="276" w:lineRule="auto"/>
              <w:jc w:val="center"/>
              <w:rPr>
                <w:rFonts w:ascii="宋体" w:eastAsia="宋体" w:hAnsi="Calibri"/>
                <w:kern w:val="2"/>
                <w:sz w:val="21"/>
                <w:szCs w:val="21"/>
                <w:lang w:eastAsia="zh-CN"/>
              </w:rPr>
            </w:pPr>
          </w:p>
        </w:tc>
        <w:tc>
          <w:tcPr>
            <w:tcW w:w="1861" w:type="dxa"/>
            <w:vAlign w:val="center"/>
          </w:tcPr>
          <w:p>
            <w:pPr>
              <w:widowControl w:val="0"/>
              <w:spacing w:line="276" w:lineRule="auto"/>
              <w:jc w:val="center"/>
              <w:rPr>
                <w:rFonts w:ascii="宋体" w:eastAsia="宋体" w:hAnsi="Calibri"/>
                <w:kern w:val="2"/>
                <w:sz w:val="21"/>
                <w:szCs w:val="21"/>
                <w:lang w:eastAsia="zh-CN"/>
              </w:rPr>
            </w:pPr>
          </w:p>
        </w:tc>
        <w:tc>
          <w:tcPr>
            <w:tcW w:w="1854" w:type="dxa"/>
            <w:vAlign w:val="center"/>
          </w:tcPr>
          <w:p>
            <w:pPr>
              <w:widowControl w:val="0"/>
              <w:spacing w:line="276" w:lineRule="auto"/>
              <w:jc w:val="center"/>
              <w:rPr>
                <w:rFonts w:ascii="宋体" w:eastAsia="宋体" w:hAnsi="Calibri"/>
                <w:kern w:val="2"/>
                <w:sz w:val="21"/>
                <w:szCs w:val="21"/>
                <w:lang w:eastAsia="zh-CN"/>
              </w:rPr>
            </w:pPr>
          </w:p>
        </w:tc>
      </w:tr>
      <w:tr>
        <w:tblPrEx>
          <w:tblW w:w="5000" w:type="pct"/>
          <w:jc w:val="center"/>
          <w:tblLayout w:type="fixed"/>
          <w:tblCellMar>
            <w:top w:w="0" w:type="dxa"/>
            <w:left w:w="108" w:type="dxa"/>
            <w:bottom w:w="0" w:type="dxa"/>
            <w:right w:w="108" w:type="dxa"/>
          </w:tblCellMar>
        </w:tblPrEx>
        <w:trPr>
          <w:cantSplit/>
          <w:trHeight w:val="300"/>
          <w:jc w:val="center"/>
        </w:trPr>
        <w:tc>
          <w:tcPr>
            <w:tcW w:w="1067" w:type="dxa"/>
            <w:vAlign w:val="center"/>
          </w:tcPr>
          <w:p>
            <w:pPr>
              <w:widowControl w:val="0"/>
              <w:spacing w:line="276" w:lineRule="auto"/>
              <w:jc w:val="center"/>
              <w:rPr>
                <w:rFonts w:ascii="宋体" w:eastAsia="宋体" w:hAnsi="Calibri"/>
                <w:kern w:val="2"/>
                <w:sz w:val="21"/>
                <w:szCs w:val="21"/>
                <w:lang w:eastAsia="zh-CN"/>
              </w:rPr>
            </w:pPr>
          </w:p>
        </w:tc>
        <w:tc>
          <w:tcPr>
            <w:tcW w:w="2002" w:type="dxa"/>
            <w:vAlign w:val="center"/>
          </w:tcPr>
          <w:p>
            <w:pPr>
              <w:widowControl w:val="0"/>
              <w:spacing w:line="276" w:lineRule="auto"/>
              <w:jc w:val="center"/>
              <w:rPr>
                <w:rFonts w:ascii="宋体" w:eastAsia="宋体" w:hAnsi="Calibri"/>
                <w:kern w:val="2"/>
                <w:sz w:val="21"/>
                <w:szCs w:val="21"/>
                <w:lang w:eastAsia="zh-CN"/>
              </w:rPr>
            </w:pPr>
          </w:p>
        </w:tc>
        <w:tc>
          <w:tcPr>
            <w:tcW w:w="1745" w:type="dxa"/>
            <w:vAlign w:val="center"/>
          </w:tcPr>
          <w:p>
            <w:pPr>
              <w:widowControl w:val="0"/>
              <w:spacing w:line="276" w:lineRule="auto"/>
              <w:jc w:val="center"/>
              <w:rPr>
                <w:rFonts w:ascii="宋体" w:eastAsia="宋体" w:hAnsi="Calibri"/>
                <w:kern w:val="2"/>
                <w:sz w:val="21"/>
                <w:szCs w:val="21"/>
                <w:lang w:eastAsia="zh-CN"/>
              </w:rPr>
            </w:pPr>
          </w:p>
        </w:tc>
        <w:tc>
          <w:tcPr>
            <w:tcW w:w="1861" w:type="dxa"/>
            <w:vAlign w:val="center"/>
          </w:tcPr>
          <w:p>
            <w:pPr>
              <w:widowControl w:val="0"/>
              <w:spacing w:line="276" w:lineRule="auto"/>
              <w:jc w:val="center"/>
              <w:rPr>
                <w:rFonts w:ascii="宋体" w:eastAsia="宋体" w:hAnsi="Calibri"/>
                <w:kern w:val="2"/>
                <w:sz w:val="21"/>
                <w:szCs w:val="21"/>
                <w:lang w:eastAsia="zh-CN"/>
              </w:rPr>
            </w:pPr>
          </w:p>
        </w:tc>
        <w:tc>
          <w:tcPr>
            <w:tcW w:w="1854" w:type="dxa"/>
            <w:vAlign w:val="center"/>
          </w:tcPr>
          <w:p>
            <w:pPr>
              <w:widowControl w:val="0"/>
              <w:spacing w:line="276" w:lineRule="auto"/>
              <w:jc w:val="center"/>
              <w:rPr>
                <w:rFonts w:ascii="宋体" w:eastAsia="宋体" w:hAnsi="Calibri"/>
                <w:kern w:val="2"/>
                <w:sz w:val="21"/>
                <w:szCs w:val="21"/>
                <w:lang w:eastAsia="zh-CN"/>
              </w:rPr>
            </w:pPr>
          </w:p>
        </w:tc>
      </w:tr>
    </w:tbl>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（特别提示：以上表格仅供参考。投标人须按本招标文件评标信息中“认证情况”这一评分因素要求，提供证明资料）</w:t>
      </w:r>
    </w:p>
    <w:p>
      <w:pPr>
        <w:widowControl w:val="0"/>
        <w:jc w:val="both"/>
        <w:rPr>
          <w:rFonts w:ascii="Calibri" w:eastAsia="宋体" w:hAnsi="Calibri"/>
          <w:kern w:val="2"/>
          <w:sz w:val="21"/>
          <w:szCs w:val="21"/>
          <w:lang w:eastAsia="zh-CN"/>
        </w:rPr>
      </w:pPr>
    </w:p>
    <w:p>
      <w:pPr>
        <w:widowControl w:val="0"/>
        <w:jc w:val="both"/>
        <w:rPr>
          <w:rFonts w:ascii="Calibri" w:eastAsia="宋体" w:hAnsi="Calibri"/>
          <w:kern w:val="2"/>
          <w:sz w:val="21"/>
          <w:szCs w:val="21"/>
          <w:lang w:eastAsia="zh-CN"/>
        </w:rPr>
      </w:pPr>
    </w:p>
    <w:p>
      <w:pPr>
        <w:widowControl w:val="0"/>
        <w:jc w:val="both"/>
        <w:rPr>
          <w:rFonts w:ascii="Calibri" w:eastAsia="宋体" w:hAnsi="Calibri"/>
          <w:kern w:val="2"/>
          <w:sz w:val="21"/>
          <w:szCs w:val="21"/>
          <w:lang w:eastAsia="zh-CN"/>
        </w:rPr>
      </w:pPr>
    </w:p>
    <w:p>
      <w:pPr>
        <w:widowControl w:val="0"/>
        <w:jc w:val="both"/>
        <w:rPr>
          <w:rFonts w:ascii="Calibri" w:eastAsia="宋体" w:hAnsi="Calibri"/>
          <w:kern w:val="2"/>
          <w:sz w:val="21"/>
          <w:szCs w:val="21"/>
          <w:lang w:eastAsia="zh-CN"/>
        </w:rPr>
      </w:pPr>
    </w:p>
    <w:p>
      <w:pPr>
        <w:widowControl w:val="0"/>
        <w:jc w:val="both"/>
        <w:rPr>
          <w:rFonts w:ascii="Calibri" w:eastAsia="宋体" w:hAnsi="Calibri"/>
          <w:kern w:val="2"/>
          <w:sz w:val="21"/>
          <w:szCs w:val="21"/>
          <w:lang w:eastAsia="zh-CN"/>
        </w:rPr>
      </w:pPr>
    </w:p>
    <w:p>
      <w:pPr>
        <w:widowControl w:val="0"/>
        <w:jc w:val="both"/>
        <w:rPr>
          <w:rFonts w:ascii="Calibri" w:eastAsia="宋体" w:hAnsi="Calibri"/>
          <w:kern w:val="2"/>
          <w:sz w:val="21"/>
          <w:szCs w:val="21"/>
          <w:lang w:eastAsia="zh-CN"/>
        </w:rPr>
      </w:pPr>
    </w:p>
    <w:p>
      <w:pPr>
        <w:widowControl w:val="0"/>
        <w:jc w:val="both"/>
        <w:rPr>
          <w:rFonts w:ascii="Calibri" w:eastAsia="宋体" w:hAnsi="Calibri"/>
          <w:kern w:val="2"/>
          <w:sz w:val="21"/>
          <w:szCs w:val="21"/>
          <w:lang w:eastAsia="zh-CN"/>
        </w:rPr>
      </w:pPr>
    </w:p>
    <w:p>
      <w:pPr>
        <w:widowControl w:val="0"/>
        <w:jc w:val="both"/>
        <w:rPr>
          <w:rFonts w:ascii="Calibri" w:eastAsia="宋体" w:hAnsi="Calibri"/>
          <w:kern w:val="2"/>
          <w:sz w:val="21"/>
          <w:szCs w:val="21"/>
          <w:lang w:eastAsia="zh-CN"/>
        </w:rPr>
      </w:pPr>
    </w:p>
    <w:p>
      <w:pPr>
        <w:widowControl w:val="0"/>
        <w:jc w:val="both"/>
        <w:rPr>
          <w:rFonts w:ascii="Calibri" w:eastAsia="宋体" w:hAnsi="Calibri"/>
          <w:kern w:val="2"/>
          <w:sz w:val="21"/>
          <w:szCs w:val="21"/>
          <w:lang w:eastAsia="zh-CN"/>
        </w:rPr>
      </w:pPr>
    </w:p>
    <w:p>
      <w:pPr>
        <w:widowControl w:val="0"/>
        <w:jc w:val="both"/>
        <w:rPr>
          <w:rFonts w:ascii="Calibri" w:eastAsia="宋体" w:hAnsi="Calibri"/>
          <w:kern w:val="2"/>
          <w:sz w:val="21"/>
          <w:szCs w:val="21"/>
          <w:lang w:eastAsia="zh-CN"/>
        </w:rPr>
      </w:pPr>
    </w:p>
    <w:p>
      <w:pPr>
        <w:keepNext/>
        <w:keepLines/>
        <w:widowControl w:val="0"/>
        <w:spacing w:before="260" w:after="260" w:line="276" w:lineRule="auto"/>
        <w:jc w:val="center"/>
        <w:outlineLvl w:val="2"/>
        <w:rPr>
          <w:rFonts w:ascii="黑体" w:eastAsia="黑体" w:hAnsi="宋体"/>
          <w:bCs/>
          <w:lang w:eastAsia="zh-CN"/>
        </w:rPr>
      </w:pPr>
      <w:r>
        <w:rPr>
          <w:rFonts w:ascii="黑体" w:eastAsia="黑体" w:hAnsi="宋体" w:hint="eastAsia"/>
          <w:bCs/>
          <w:lang w:eastAsia="zh-CN"/>
        </w:rPr>
        <w:t>七、供应商基本情况表</w:t>
      </w:r>
    </w:p>
    <w:p>
      <w:pPr>
        <w:widowControl w:val="0"/>
        <w:jc w:val="both"/>
        <w:rPr>
          <w:rFonts w:ascii="宋体" w:eastAsia="宋体" w:hAnsi="宋体" w:cs="方正仿宋_GBK"/>
          <w:kern w:val="2"/>
          <w:sz w:val="28"/>
          <w:szCs w:val="28"/>
          <w:lang w:eastAsia="zh-CN"/>
        </w:rPr>
      </w:pPr>
      <w:r>
        <w:rPr>
          <w:rFonts w:ascii="宋体" w:eastAsia="宋体" w:hAnsi="宋体" w:cs="方正仿宋_GBK" w:hint="eastAsia"/>
          <w:kern w:val="2"/>
          <w:sz w:val="28"/>
          <w:szCs w:val="28"/>
          <w:lang w:eastAsia="zh-CN"/>
        </w:rPr>
        <w:t>填表单位：</w:t>
      </w:r>
      <w:r>
        <w:rPr>
          <w:rFonts w:ascii="宋体" w:eastAsia="宋体" w:hAnsi="宋体" w:cs="方正仿宋_GBK" w:hint="eastAsia"/>
          <w:b/>
          <w:color w:val="FF0000"/>
          <w:kern w:val="2"/>
          <w:sz w:val="28"/>
          <w:szCs w:val="28"/>
          <w:lang w:eastAsia="zh-CN"/>
        </w:rPr>
        <w:t>（加盖单位公章）</w:t>
      </w:r>
      <w:r>
        <w:rPr>
          <w:rFonts w:ascii="宋体" w:eastAsia="宋体" w:hAnsi="宋体" w:cs="方正仿宋_GBK" w:hint="eastAsia"/>
          <w:kern w:val="2"/>
          <w:sz w:val="28"/>
          <w:szCs w:val="28"/>
          <w:lang w:eastAsia="zh-CN"/>
        </w:rPr>
        <w:tab/>
      </w:r>
      <w:r>
        <w:rPr>
          <w:rFonts w:ascii="宋体" w:eastAsia="宋体" w:hAnsi="宋体" w:cs="方正仿宋_GBK" w:hint="eastAsia"/>
          <w:kern w:val="2"/>
          <w:sz w:val="28"/>
          <w:szCs w:val="28"/>
          <w:lang w:eastAsia="zh-CN"/>
        </w:rPr>
        <w:tab/>
      </w:r>
      <w:r>
        <w:rPr>
          <w:rFonts w:ascii="宋体" w:eastAsia="宋体" w:hAnsi="宋体" w:cs="方正仿宋_GBK" w:hint="eastAsia"/>
          <w:kern w:val="2"/>
          <w:sz w:val="28"/>
          <w:szCs w:val="28"/>
          <w:lang w:eastAsia="zh-CN"/>
        </w:rPr>
        <w:t xml:space="preserve">   填表日期：    年   月   日</w:t>
      </w:r>
    </w:p>
    <w:p>
      <w:pPr>
        <w:widowControl w:val="0"/>
        <w:spacing w:after="120"/>
        <w:jc w:val="both"/>
        <w:rPr>
          <w:rFonts w:eastAsia="宋体"/>
          <w:kern w:val="2"/>
          <w:sz w:val="21"/>
          <w:lang w:eastAsia="zh-CN"/>
        </w:rPr>
      </w:pP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47"/>
        <w:gridCol w:w="686"/>
        <w:gridCol w:w="1629"/>
        <w:gridCol w:w="962"/>
        <w:gridCol w:w="801"/>
        <w:gridCol w:w="1220"/>
        <w:gridCol w:w="1521"/>
        <w:gridCol w:w="1512"/>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789" w:type="pct"/>
            <w:gridSpan w:val="2"/>
            <w:vAlign w:val="center"/>
          </w:tcPr>
          <w:p>
            <w:pPr>
              <w:rPr>
                <w:rFonts w:ascii="宋体" w:hAnsi="宋体" w:cs="宋体"/>
                <w:kern w:val="2"/>
                <w:sz w:val="21"/>
                <w:szCs w:val="21"/>
                <w:lang w:eastAsia="zh-CN"/>
              </w:rPr>
            </w:pPr>
            <w:r>
              <w:rPr>
                <w:rFonts w:ascii="宋体" w:hAnsi="宋体" w:cs="宋体" w:hint="eastAsia"/>
                <w:kern w:val="2"/>
                <w:sz w:val="21"/>
                <w:szCs w:val="21"/>
                <w:lang w:eastAsia="zh-CN"/>
              </w:rPr>
              <w:t>投标（响应）供应商</w:t>
            </w:r>
          </w:p>
        </w:tc>
        <w:tc>
          <w:tcPr>
            <w:tcW w:w="1427" w:type="pct"/>
            <w:gridSpan w:val="2"/>
            <w:vAlign w:val="center"/>
          </w:tcPr>
          <w:p>
            <w:pPr>
              <w:jc w:val="center"/>
              <w:rPr>
                <w:rFonts w:ascii="宋体" w:hAnsi="宋体" w:cs="宋体"/>
                <w:kern w:val="2"/>
                <w:sz w:val="21"/>
                <w:szCs w:val="21"/>
                <w:lang w:eastAsia="zh-CN"/>
              </w:rPr>
            </w:pPr>
          </w:p>
        </w:tc>
        <w:tc>
          <w:tcPr>
            <w:tcW w:w="1113" w:type="pct"/>
            <w:gridSpan w:val="2"/>
            <w:vAlign w:val="center"/>
          </w:tcPr>
          <w:p>
            <w:pPr>
              <w:jc w:val="center"/>
              <w:rPr>
                <w:rFonts w:ascii="宋体" w:hAnsi="宋体" w:cs="宋体"/>
                <w:kern w:val="2"/>
                <w:sz w:val="21"/>
                <w:szCs w:val="21"/>
                <w:lang w:eastAsia="zh-CN"/>
              </w:rPr>
            </w:pPr>
            <w:r>
              <w:rPr>
                <w:rFonts w:ascii="宋体" w:hAnsi="宋体" w:cs="宋体" w:hint="eastAsia"/>
                <w:kern w:val="2"/>
                <w:sz w:val="21"/>
                <w:szCs w:val="21"/>
                <w:lang w:eastAsia="zh-CN"/>
              </w:rPr>
              <w:t>项目名称及编号</w:t>
            </w:r>
          </w:p>
        </w:tc>
        <w:tc>
          <w:tcPr>
            <w:tcW w:w="1669" w:type="pct"/>
            <w:gridSpan w:val="2"/>
            <w:vAlign w:val="center"/>
          </w:tcPr>
          <w:p>
            <w:pPr>
              <w:jc w:val="center"/>
              <w:rPr>
                <w:rFonts w:ascii="宋体" w:hAnsi="宋体" w:cs="宋体"/>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5000" w:type="pct"/>
            <w:gridSpan w:val="8"/>
            <w:vAlign w:val="center"/>
          </w:tcPr>
          <w:p>
            <w:pPr>
              <w:jc w:val="center"/>
              <w:rPr>
                <w:rFonts w:ascii="宋体" w:hAnsi="宋体" w:cs="宋体"/>
                <w:kern w:val="2"/>
                <w:sz w:val="21"/>
                <w:szCs w:val="21"/>
                <w:lang w:eastAsia="zh-CN"/>
              </w:rPr>
            </w:pPr>
            <w:r>
              <w:rPr>
                <w:rFonts w:ascii="宋体" w:hAnsi="宋体" w:cs="宋体" w:hint="eastAsia"/>
                <w:b/>
                <w:bCs/>
                <w:kern w:val="2"/>
                <w:sz w:val="21"/>
                <w:szCs w:val="21"/>
                <w:lang w:eastAsia="zh-CN"/>
              </w:rPr>
              <w:t>投标（响应）供应商相关人员情况</w:t>
            </w:r>
          </w:p>
        </w:tc>
      </w:tr>
      <w:tr>
        <w:tblPrEx>
          <w:tblW w:w="5000" w:type="pct"/>
          <w:jc w:val="center"/>
          <w:tblLayout w:type="fixed"/>
          <w:tblCellMar>
            <w:top w:w="0" w:type="dxa"/>
            <w:left w:w="108" w:type="dxa"/>
            <w:bottom w:w="0" w:type="dxa"/>
            <w:right w:w="108" w:type="dxa"/>
          </w:tblCellMar>
        </w:tblPrEx>
        <w:trPr>
          <w:jc w:val="center"/>
        </w:trPr>
        <w:tc>
          <w:tcPr>
            <w:tcW w:w="411" w:type="pct"/>
            <w:tcBorders>
              <w:bottom w:val="single" w:sz="4" w:space="0" w:color="auto"/>
            </w:tcBorders>
            <w:vAlign w:val="center"/>
          </w:tcPr>
          <w:p>
            <w:pPr>
              <w:snapToGrid w:val="0"/>
              <w:jc w:val="center"/>
              <w:rPr>
                <w:rFonts w:ascii="宋体" w:hAnsi="宋体" w:cs="宋体"/>
                <w:kern w:val="2"/>
                <w:sz w:val="21"/>
                <w:szCs w:val="21"/>
                <w:lang w:eastAsia="zh-CN"/>
              </w:rPr>
            </w:pPr>
            <w:r>
              <w:rPr>
                <w:rFonts w:ascii="宋体" w:hAnsi="宋体" w:cs="宋体" w:hint="eastAsia"/>
                <w:kern w:val="2"/>
                <w:sz w:val="21"/>
                <w:szCs w:val="21"/>
                <w:lang w:eastAsia="zh-CN"/>
              </w:rPr>
              <w:t>序号</w:t>
            </w:r>
          </w:p>
        </w:tc>
        <w:tc>
          <w:tcPr>
            <w:tcW w:w="1275" w:type="pct"/>
            <w:gridSpan w:val="2"/>
            <w:tcBorders>
              <w:bottom w:val="single" w:sz="4" w:space="0" w:color="auto"/>
            </w:tcBorders>
            <w:vAlign w:val="center"/>
          </w:tcPr>
          <w:p>
            <w:pPr>
              <w:jc w:val="center"/>
              <w:rPr>
                <w:rFonts w:ascii="宋体" w:hAnsi="宋体" w:cs="宋体"/>
                <w:kern w:val="2"/>
                <w:sz w:val="21"/>
                <w:szCs w:val="21"/>
                <w:lang w:eastAsia="zh-CN"/>
              </w:rPr>
            </w:pPr>
            <w:r>
              <w:rPr>
                <w:rFonts w:ascii="宋体" w:hAnsi="宋体" w:cs="宋体" w:hint="eastAsia"/>
                <w:kern w:val="2"/>
                <w:sz w:val="21"/>
                <w:szCs w:val="21"/>
                <w:lang w:eastAsia="zh-CN"/>
              </w:rPr>
              <w:t>职务</w:t>
            </w:r>
          </w:p>
        </w:tc>
        <w:tc>
          <w:tcPr>
            <w:tcW w:w="529" w:type="pct"/>
            <w:tcBorders>
              <w:bottom w:val="single" w:sz="4" w:space="0" w:color="auto"/>
            </w:tcBorders>
            <w:vAlign w:val="center"/>
          </w:tcPr>
          <w:p>
            <w:pPr>
              <w:jc w:val="center"/>
              <w:rPr>
                <w:rFonts w:ascii="宋体" w:hAnsi="宋体" w:cs="宋体"/>
                <w:kern w:val="2"/>
                <w:sz w:val="21"/>
                <w:szCs w:val="21"/>
                <w:lang w:eastAsia="zh-CN"/>
              </w:rPr>
            </w:pPr>
            <w:r>
              <w:rPr>
                <w:rFonts w:ascii="宋体" w:hAnsi="宋体" w:cs="宋体" w:hint="eastAsia"/>
                <w:kern w:val="2"/>
                <w:sz w:val="21"/>
                <w:szCs w:val="21"/>
                <w:lang w:eastAsia="zh-CN"/>
              </w:rPr>
              <w:t>姓名</w:t>
            </w:r>
          </w:p>
        </w:tc>
        <w:tc>
          <w:tcPr>
            <w:tcW w:w="1113" w:type="pct"/>
            <w:gridSpan w:val="2"/>
            <w:tcBorders>
              <w:bottom w:val="single" w:sz="4" w:space="0" w:color="auto"/>
            </w:tcBorders>
            <w:vAlign w:val="center"/>
          </w:tcPr>
          <w:p>
            <w:pPr>
              <w:jc w:val="center"/>
              <w:rPr>
                <w:rFonts w:ascii="宋体" w:hAnsi="宋体" w:cs="宋体"/>
                <w:kern w:val="2"/>
                <w:sz w:val="21"/>
                <w:szCs w:val="21"/>
                <w:lang w:eastAsia="zh-CN"/>
              </w:rPr>
            </w:pPr>
            <w:r>
              <w:rPr>
                <w:rFonts w:ascii="宋体" w:hAnsi="宋体" w:cs="宋体" w:hint="eastAsia"/>
                <w:kern w:val="2"/>
                <w:sz w:val="21"/>
                <w:szCs w:val="21"/>
                <w:lang w:eastAsia="zh-CN"/>
              </w:rPr>
              <w:t>身份证号码</w:t>
            </w:r>
          </w:p>
        </w:tc>
        <w:tc>
          <w:tcPr>
            <w:tcW w:w="838" w:type="pct"/>
            <w:tcBorders>
              <w:bottom w:val="single" w:sz="4" w:space="0" w:color="auto"/>
            </w:tcBorders>
            <w:vAlign w:val="center"/>
          </w:tcPr>
          <w:p>
            <w:pPr>
              <w:snapToGrid w:val="0"/>
              <w:jc w:val="center"/>
              <w:rPr>
                <w:rFonts w:ascii="宋体" w:hAnsi="宋体" w:cs="宋体"/>
                <w:kern w:val="2"/>
                <w:sz w:val="21"/>
                <w:szCs w:val="21"/>
                <w:lang w:eastAsia="zh-CN"/>
              </w:rPr>
            </w:pPr>
            <w:r>
              <w:rPr>
                <w:rFonts w:ascii="宋体" w:hAnsi="宋体" w:cs="宋体" w:hint="eastAsia"/>
                <w:kern w:val="2"/>
                <w:sz w:val="21"/>
                <w:szCs w:val="21"/>
                <w:lang w:eastAsia="zh-CN"/>
              </w:rPr>
              <w:t>劳动合同</w:t>
            </w:r>
          </w:p>
          <w:p>
            <w:pPr>
              <w:snapToGrid w:val="0"/>
              <w:jc w:val="center"/>
              <w:rPr>
                <w:rFonts w:ascii="宋体" w:hAnsi="宋体" w:cs="宋体"/>
                <w:kern w:val="2"/>
                <w:sz w:val="21"/>
                <w:szCs w:val="21"/>
                <w:lang w:eastAsia="zh-CN"/>
              </w:rPr>
            </w:pPr>
            <w:r>
              <w:rPr>
                <w:rFonts w:ascii="宋体" w:hAnsi="宋体" w:cs="宋体" w:hint="eastAsia"/>
                <w:kern w:val="2"/>
                <w:sz w:val="21"/>
                <w:szCs w:val="21"/>
                <w:lang w:eastAsia="zh-CN"/>
              </w:rPr>
              <w:t>关系单位</w:t>
            </w:r>
          </w:p>
        </w:tc>
        <w:tc>
          <w:tcPr>
            <w:tcW w:w="830" w:type="pct"/>
            <w:tcBorders>
              <w:bottom w:val="single" w:sz="4" w:space="0" w:color="auto"/>
            </w:tcBorders>
            <w:vAlign w:val="center"/>
          </w:tcPr>
          <w:p>
            <w:pPr>
              <w:snapToGrid w:val="0"/>
              <w:jc w:val="center"/>
              <w:rPr>
                <w:rFonts w:ascii="宋体" w:hAnsi="宋体" w:cs="宋体"/>
                <w:kern w:val="2"/>
                <w:sz w:val="21"/>
                <w:szCs w:val="21"/>
                <w:lang w:eastAsia="zh-CN"/>
              </w:rPr>
            </w:pPr>
            <w:r>
              <w:rPr>
                <w:rFonts w:ascii="宋体" w:hAnsi="宋体" w:cs="宋体" w:hint="eastAsia"/>
                <w:kern w:val="2"/>
                <w:sz w:val="21"/>
                <w:szCs w:val="21"/>
                <w:lang w:eastAsia="zh-CN"/>
              </w:rPr>
              <w:t>缴纳社会</w:t>
            </w:r>
          </w:p>
          <w:p>
            <w:pPr>
              <w:snapToGrid w:val="0"/>
              <w:jc w:val="center"/>
              <w:rPr>
                <w:rFonts w:ascii="宋体" w:hAnsi="宋体" w:cs="宋体"/>
                <w:kern w:val="2"/>
                <w:sz w:val="21"/>
                <w:szCs w:val="21"/>
                <w:lang w:eastAsia="zh-CN"/>
              </w:rPr>
            </w:pPr>
            <w:r>
              <w:rPr>
                <w:rFonts w:ascii="宋体" w:hAnsi="宋体" w:cs="宋体" w:hint="eastAsia"/>
                <w:kern w:val="2"/>
                <w:sz w:val="21"/>
                <w:szCs w:val="21"/>
                <w:lang w:eastAsia="zh-CN"/>
              </w:rPr>
              <w:t>保险单位</w:t>
            </w:r>
          </w:p>
        </w:tc>
      </w:tr>
      <w:tr>
        <w:tblPrEx>
          <w:tblW w:w="5000" w:type="pct"/>
          <w:jc w:val="center"/>
          <w:tblLayout w:type="fixed"/>
          <w:tblCellMar>
            <w:top w:w="0" w:type="dxa"/>
            <w:left w:w="108" w:type="dxa"/>
            <w:bottom w:w="0" w:type="dxa"/>
            <w:right w:w="108" w:type="dxa"/>
          </w:tblCellMar>
        </w:tblPrEx>
        <w:trPr>
          <w:jc w:val="center"/>
        </w:trPr>
        <w:tc>
          <w:tcPr>
            <w:tcW w:w="411" w:type="pct"/>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kern w:val="2"/>
                <w:sz w:val="21"/>
                <w:szCs w:val="21"/>
                <w:lang w:eastAsia="zh-CN"/>
              </w:rPr>
            </w:pPr>
            <w:r>
              <w:rPr>
                <w:rFonts w:ascii="宋体" w:hAnsi="宋体" w:cs="宋体" w:hint="eastAsia"/>
                <w:kern w:val="2"/>
                <w:sz w:val="21"/>
                <w:szCs w:val="21"/>
                <w:lang w:eastAsia="zh-CN"/>
              </w:rPr>
              <w:t>1</w:t>
            </w:r>
          </w:p>
        </w:tc>
        <w:tc>
          <w:tcPr>
            <w:tcW w:w="1275" w:type="pct"/>
            <w:gridSpan w:val="2"/>
            <w:tcBorders>
              <w:top w:val="single" w:sz="4" w:space="0" w:color="auto"/>
              <w:left w:val="single" w:sz="4" w:space="0" w:color="auto"/>
              <w:bottom w:val="single" w:sz="4" w:space="0" w:color="auto"/>
              <w:right w:val="single" w:sz="4" w:space="0" w:color="auto"/>
            </w:tcBorders>
            <w:vAlign w:val="center"/>
          </w:tcPr>
          <w:p>
            <w:pPr>
              <w:spacing w:line="460" w:lineRule="exact"/>
              <w:jc w:val="center"/>
              <w:rPr>
                <w:rFonts w:ascii="宋体" w:hAnsi="宋体" w:cs="宋体"/>
                <w:kern w:val="2"/>
                <w:sz w:val="21"/>
                <w:szCs w:val="21"/>
                <w:lang w:eastAsia="zh-CN"/>
              </w:rPr>
            </w:pPr>
            <w:r>
              <w:rPr>
                <w:rFonts w:ascii="宋体" w:hAnsi="宋体" w:cs="宋体" w:hint="eastAsia"/>
                <w:kern w:val="2"/>
                <w:sz w:val="21"/>
                <w:szCs w:val="21"/>
                <w:lang w:eastAsia="zh-CN"/>
              </w:rPr>
              <w:t>法定代表人/单位负责人/主要经营负责人</w:t>
            </w:r>
          </w:p>
        </w:tc>
        <w:tc>
          <w:tcPr>
            <w:tcW w:w="529" w:type="pct"/>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kern w:val="2"/>
                <w:sz w:val="21"/>
                <w:szCs w:val="21"/>
                <w:lang w:eastAsia="zh-CN"/>
              </w:rPr>
            </w:pPr>
          </w:p>
        </w:tc>
        <w:tc>
          <w:tcPr>
            <w:tcW w:w="1113"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kern w:val="2"/>
                <w:sz w:val="21"/>
                <w:szCs w:val="21"/>
                <w:lang w:eastAsia="zh-CN"/>
              </w:rPr>
            </w:pPr>
          </w:p>
        </w:tc>
        <w:tc>
          <w:tcPr>
            <w:tcW w:w="838" w:type="pct"/>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kern w:val="2"/>
                <w:sz w:val="21"/>
                <w:szCs w:val="21"/>
                <w:lang w:eastAsia="zh-CN"/>
              </w:rPr>
            </w:pPr>
          </w:p>
        </w:tc>
        <w:tc>
          <w:tcPr>
            <w:tcW w:w="830" w:type="pct"/>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411" w:type="pct"/>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kern w:val="2"/>
                <w:sz w:val="21"/>
                <w:szCs w:val="21"/>
                <w:lang w:eastAsia="zh-CN"/>
              </w:rPr>
            </w:pPr>
            <w:r>
              <w:rPr>
                <w:rFonts w:ascii="宋体" w:hAnsi="宋体" w:cs="宋体" w:hint="eastAsia"/>
                <w:kern w:val="2"/>
                <w:sz w:val="21"/>
                <w:szCs w:val="21"/>
                <w:lang w:eastAsia="zh-CN"/>
              </w:rPr>
              <w:t>2</w:t>
            </w:r>
          </w:p>
        </w:tc>
        <w:tc>
          <w:tcPr>
            <w:tcW w:w="1275"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kern w:val="2"/>
                <w:sz w:val="21"/>
                <w:szCs w:val="21"/>
                <w:lang w:eastAsia="zh-CN"/>
              </w:rPr>
            </w:pPr>
            <w:r>
              <w:rPr>
                <w:rFonts w:ascii="宋体" w:hAnsi="宋体" w:cs="宋体" w:hint="eastAsia"/>
                <w:kern w:val="2"/>
                <w:sz w:val="21"/>
                <w:szCs w:val="21"/>
                <w:lang w:eastAsia="zh-CN"/>
              </w:rPr>
              <w:t>项目投标授权代表人</w:t>
            </w:r>
          </w:p>
        </w:tc>
        <w:tc>
          <w:tcPr>
            <w:tcW w:w="529" w:type="pct"/>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kern w:val="2"/>
                <w:sz w:val="21"/>
                <w:szCs w:val="21"/>
                <w:lang w:eastAsia="zh-CN"/>
              </w:rPr>
            </w:pPr>
          </w:p>
        </w:tc>
        <w:tc>
          <w:tcPr>
            <w:tcW w:w="1113"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kern w:val="2"/>
                <w:sz w:val="21"/>
                <w:szCs w:val="21"/>
                <w:lang w:eastAsia="zh-CN"/>
              </w:rPr>
            </w:pPr>
          </w:p>
        </w:tc>
        <w:tc>
          <w:tcPr>
            <w:tcW w:w="838" w:type="pct"/>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kern w:val="2"/>
                <w:sz w:val="21"/>
                <w:szCs w:val="21"/>
                <w:lang w:eastAsia="zh-CN"/>
              </w:rPr>
            </w:pPr>
          </w:p>
        </w:tc>
        <w:tc>
          <w:tcPr>
            <w:tcW w:w="830" w:type="pct"/>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411" w:type="pct"/>
            <w:tcBorders>
              <w:top w:val="single" w:sz="4" w:space="0" w:color="auto"/>
            </w:tcBorders>
            <w:vAlign w:val="center"/>
          </w:tcPr>
          <w:p>
            <w:pPr>
              <w:jc w:val="center"/>
              <w:rPr>
                <w:rFonts w:ascii="宋体" w:hAnsi="宋体" w:cs="宋体"/>
                <w:kern w:val="2"/>
                <w:sz w:val="21"/>
                <w:szCs w:val="21"/>
                <w:lang w:eastAsia="zh-CN"/>
              </w:rPr>
            </w:pPr>
            <w:r>
              <w:rPr>
                <w:rFonts w:ascii="宋体" w:hAnsi="宋体" w:cs="宋体" w:hint="eastAsia"/>
                <w:kern w:val="2"/>
                <w:sz w:val="21"/>
                <w:szCs w:val="21"/>
                <w:lang w:eastAsia="zh-CN" w:bidi="ar"/>
              </w:rPr>
              <w:t>3</w:t>
            </w:r>
          </w:p>
        </w:tc>
        <w:tc>
          <w:tcPr>
            <w:tcW w:w="1275" w:type="pct"/>
            <w:gridSpan w:val="2"/>
            <w:tcBorders>
              <w:top w:val="single" w:sz="4" w:space="0" w:color="auto"/>
            </w:tcBorders>
            <w:vAlign w:val="center"/>
          </w:tcPr>
          <w:p>
            <w:pPr>
              <w:jc w:val="center"/>
              <w:rPr>
                <w:rFonts w:ascii="宋体" w:hAnsi="宋体" w:cs="宋体"/>
                <w:kern w:val="2"/>
                <w:sz w:val="21"/>
                <w:szCs w:val="21"/>
                <w:lang w:eastAsia="zh-CN"/>
              </w:rPr>
            </w:pPr>
            <w:r>
              <w:rPr>
                <w:rFonts w:ascii="宋体" w:hAnsi="宋体" w:cs="宋体" w:hint="eastAsia"/>
                <w:kern w:val="2"/>
                <w:sz w:val="21"/>
                <w:szCs w:val="21"/>
                <w:lang w:eastAsia="zh-CN"/>
              </w:rPr>
              <w:t>项目负责人</w:t>
            </w:r>
          </w:p>
        </w:tc>
        <w:tc>
          <w:tcPr>
            <w:tcW w:w="529" w:type="pct"/>
            <w:tcBorders>
              <w:top w:val="single" w:sz="4" w:space="0" w:color="auto"/>
            </w:tcBorders>
            <w:vAlign w:val="center"/>
          </w:tcPr>
          <w:p>
            <w:pPr>
              <w:jc w:val="center"/>
              <w:rPr>
                <w:rFonts w:ascii="宋体" w:hAnsi="宋体" w:cs="宋体"/>
                <w:kern w:val="2"/>
                <w:sz w:val="21"/>
                <w:szCs w:val="21"/>
                <w:lang w:eastAsia="zh-CN"/>
              </w:rPr>
            </w:pPr>
          </w:p>
        </w:tc>
        <w:tc>
          <w:tcPr>
            <w:tcW w:w="1113" w:type="pct"/>
            <w:gridSpan w:val="2"/>
            <w:tcBorders>
              <w:top w:val="single" w:sz="4" w:space="0" w:color="auto"/>
            </w:tcBorders>
            <w:vAlign w:val="center"/>
          </w:tcPr>
          <w:p>
            <w:pPr>
              <w:jc w:val="center"/>
              <w:rPr>
                <w:rFonts w:ascii="宋体" w:hAnsi="宋体" w:cs="宋体"/>
                <w:kern w:val="2"/>
                <w:sz w:val="21"/>
                <w:szCs w:val="21"/>
                <w:lang w:eastAsia="zh-CN"/>
              </w:rPr>
            </w:pPr>
          </w:p>
        </w:tc>
        <w:tc>
          <w:tcPr>
            <w:tcW w:w="838" w:type="pct"/>
            <w:tcBorders>
              <w:top w:val="single" w:sz="4" w:space="0" w:color="auto"/>
            </w:tcBorders>
            <w:vAlign w:val="center"/>
          </w:tcPr>
          <w:p>
            <w:pPr>
              <w:jc w:val="center"/>
              <w:rPr>
                <w:rFonts w:ascii="宋体" w:hAnsi="宋体" w:cs="宋体"/>
                <w:kern w:val="2"/>
                <w:sz w:val="21"/>
                <w:szCs w:val="21"/>
                <w:lang w:eastAsia="zh-CN"/>
              </w:rPr>
            </w:pPr>
          </w:p>
        </w:tc>
        <w:tc>
          <w:tcPr>
            <w:tcW w:w="830" w:type="pct"/>
            <w:tcBorders>
              <w:top w:val="single" w:sz="4" w:space="0" w:color="auto"/>
            </w:tcBorders>
            <w:vAlign w:val="center"/>
          </w:tcPr>
          <w:p>
            <w:pPr>
              <w:jc w:val="center"/>
              <w:rPr>
                <w:rFonts w:ascii="宋体" w:hAnsi="宋体" w:cs="宋体"/>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411" w:type="pct"/>
            <w:vAlign w:val="center"/>
          </w:tcPr>
          <w:p>
            <w:pPr>
              <w:jc w:val="center"/>
              <w:rPr>
                <w:rFonts w:ascii="宋体" w:hAnsi="宋体" w:cs="宋体"/>
                <w:kern w:val="2"/>
                <w:sz w:val="21"/>
                <w:szCs w:val="21"/>
                <w:lang w:eastAsia="zh-CN"/>
              </w:rPr>
            </w:pPr>
            <w:r>
              <w:rPr>
                <w:rFonts w:ascii="宋体" w:hAnsi="宋体" w:cs="宋体" w:hint="eastAsia"/>
                <w:kern w:val="2"/>
                <w:sz w:val="21"/>
                <w:szCs w:val="21"/>
                <w:lang w:eastAsia="zh-CN" w:bidi="ar"/>
              </w:rPr>
              <w:t>4</w:t>
            </w:r>
          </w:p>
        </w:tc>
        <w:tc>
          <w:tcPr>
            <w:tcW w:w="1275" w:type="pct"/>
            <w:gridSpan w:val="2"/>
            <w:vAlign w:val="center"/>
          </w:tcPr>
          <w:p>
            <w:pPr>
              <w:jc w:val="center"/>
              <w:rPr>
                <w:rFonts w:ascii="宋体" w:hAnsi="宋体" w:cs="宋体"/>
                <w:kern w:val="2"/>
                <w:sz w:val="21"/>
                <w:szCs w:val="21"/>
                <w:lang w:eastAsia="zh-CN"/>
              </w:rPr>
            </w:pPr>
            <w:r>
              <w:rPr>
                <w:rFonts w:ascii="宋体" w:hAnsi="宋体" w:cs="宋体" w:hint="eastAsia"/>
                <w:kern w:val="2"/>
                <w:sz w:val="21"/>
                <w:szCs w:val="21"/>
                <w:lang w:eastAsia="zh-CN"/>
              </w:rPr>
              <w:t>主要技术人员</w:t>
            </w:r>
          </w:p>
        </w:tc>
        <w:tc>
          <w:tcPr>
            <w:tcW w:w="529" w:type="pct"/>
            <w:vAlign w:val="center"/>
          </w:tcPr>
          <w:p>
            <w:pPr>
              <w:jc w:val="center"/>
              <w:rPr>
                <w:rFonts w:ascii="宋体" w:hAnsi="宋体" w:cs="宋体"/>
                <w:kern w:val="2"/>
                <w:sz w:val="21"/>
                <w:szCs w:val="21"/>
                <w:lang w:eastAsia="zh-CN"/>
              </w:rPr>
            </w:pPr>
          </w:p>
        </w:tc>
        <w:tc>
          <w:tcPr>
            <w:tcW w:w="1113" w:type="pct"/>
            <w:gridSpan w:val="2"/>
            <w:vAlign w:val="center"/>
          </w:tcPr>
          <w:p>
            <w:pPr>
              <w:jc w:val="center"/>
              <w:rPr>
                <w:rFonts w:ascii="宋体" w:hAnsi="宋体" w:cs="宋体"/>
                <w:kern w:val="2"/>
                <w:sz w:val="21"/>
                <w:szCs w:val="21"/>
                <w:lang w:eastAsia="zh-CN"/>
              </w:rPr>
            </w:pPr>
          </w:p>
        </w:tc>
        <w:tc>
          <w:tcPr>
            <w:tcW w:w="838" w:type="pct"/>
            <w:vAlign w:val="center"/>
          </w:tcPr>
          <w:p>
            <w:pPr>
              <w:jc w:val="center"/>
              <w:rPr>
                <w:rFonts w:ascii="宋体" w:hAnsi="宋体" w:cs="宋体"/>
                <w:kern w:val="2"/>
                <w:sz w:val="21"/>
                <w:szCs w:val="21"/>
                <w:lang w:eastAsia="zh-CN"/>
              </w:rPr>
            </w:pPr>
          </w:p>
        </w:tc>
        <w:tc>
          <w:tcPr>
            <w:tcW w:w="830" w:type="pct"/>
            <w:vAlign w:val="center"/>
          </w:tcPr>
          <w:p>
            <w:pPr>
              <w:jc w:val="center"/>
              <w:rPr>
                <w:rFonts w:ascii="宋体" w:hAnsi="宋体" w:cs="宋体"/>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411" w:type="pct"/>
            <w:vAlign w:val="center"/>
          </w:tcPr>
          <w:p>
            <w:pPr>
              <w:jc w:val="center"/>
              <w:rPr>
                <w:rFonts w:ascii="宋体" w:hAnsi="宋体" w:cs="宋体"/>
                <w:kern w:val="2"/>
                <w:sz w:val="21"/>
                <w:szCs w:val="21"/>
                <w:lang w:eastAsia="zh-CN"/>
              </w:rPr>
            </w:pPr>
            <w:r>
              <w:rPr>
                <w:rFonts w:ascii="宋体" w:hAnsi="宋体" w:cs="宋体" w:hint="eastAsia"/>
                <w:kern w:val="2"/>
                <w:sz w:val="21"/>
                <w:szCs w:val="21"/>
                <w:lang w:eastAsia="zh-CN" w:bidi="ar"/>
              </w:rPr>
              <w:t>5</w:t>
            </w:r>
          </w:p>
        </w:tc>
        <w:tc>
          <w:tcPr>
            <w:tcW w:w="1275" w:type="pct"/>
            <w:gridSpan w:val="2"/>
            <w:vAlign w:val="center"/>
          </w:tcPr>
          <w:p>
            <w:pPr>
              <w:snapToGrid w:val="0"/>
              <w:jc w:val="center"/>
              <w:rPr>
                <w:rFonts w:ascii="宋体" w:hAnsi="宋体" w:cs="宋体"/>
                <w:kern w:val="2"/>
                <w:sz w:val="21"/>
                <w:szCs w:val="21"/>
                <w:lang w:eastAsia="zh-CN"/>
              </w:rPr>
            </w:pPr>
            <w:r>
              <w:rPr>
                <w:rFonts w:ascii="宋体" w:hAnsi="宋体" w:cs="宋体" w:hint="eastAsia"/>
                <w:kern w:val="2"/>
                <w:sz w:val="21"/>
                <w:szCs w:val="21"/>
                <w:lang w:eastAsia="zh-CN"/>
              </w:rPr>
              <w:t>投标文件编制人员</w:t>
            </w:r>
          </w:p>
        </w:tc>
        <w:tc>
          <w:tcPr>
            <w:tcW w:w="529" w:type="pct"/>
            <w:vAlign w:val="center"/>
          </w:tcPr>
          <w:p>
            <w:pPr>
              <w:jc w:val="center"/>
              <w:rPr>
                <w:rFonts w:ascii="宋体" w:hAnsi="宋体" w:cs="宋体"/>
                <w:kern w:val="2"/>
                <w:sz w:val="21"/>
                <w:szCs w:val="21"/>
                <w:lang w:eastAsia="zh-CN"/>
              </w:rPr>
            </w:pPr>
          </w:p>
        </w:tc>
        <w:tc>
          <w:tcPr>
            <w:tcW w:w="1113" w:type="pct"/>
            <w:gridSpan w:val="2"/>
            <w:vAlign w:val="center"/>
          </w:tcPr>
          <w:p>
            <w:pPr>
              <w:jc w:val="center"/>
              <w:rPr>
                <w:rFonts w:ascii="宋体" w:hAnsi="宋体" w:cs="宋体"/>
                <w:kern w:val="2"/>
                <w:sz w:val="21"/>
                <w:szCs w:val="21"/>
                <w:lang w:eastAsia="zh-CN"/>
              </w:rPr>
            </w:pPr>
          </w:p>
        </w:tc>
        <w:tc>
          <w:tcPr>
            <w:tcW w:w="838" w:type="pct"/>
            <w:vAlign w:val="center"/>
          </w:tcPr>
          <w:p>
            <w:pPr>
              <w:jc w:val="center"/>
              <w:rPr>
                <w:rFonts w:ascii="宋体" w:hAnsi="宋体" w:cs="宋体"/>
                <w:kern w:val="2"/>
                <w:sz w:val="21"/>
                <w:szCs w:val="21"/>
                <w:lang w:eastAsia="zh-CN"/>
              </w:rPr>
            </w:pPr>
          </w:p>
        </w:tc>
        <w:tc>
          <w:tcPr>
            <w:tcW w:w="830" w:type="pct"/>
            <w:vAlign w:val="center"/>
          </w:tcPr>
          <w:p>
            <w:pPr>
              <w:jc w:val="center"/>
              <w:rPr>
                <w:rFonts w:ascii="宋体" w:hAnsi="宋体" w:cs="宋体"/>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5000" w:type="pct"/>
            <w:gridSpan w:val="8"/>
            <w:vAlign w:val="center"/>
          </w:tcPr>
          <w:p>
            <w:pPr>
              <w:rPr>
                <w:rFonts w:ascii="宋体" w:hAnsi="宋体" w:cs="宋体"/>
                <w:kern w:val="2"/>
                <w:sz w:val="21"/>
                <w:szCs w:val="21"/>
                <w:lang w:eastAsia="zh-CN"/>
              </w:rPr>
            </w:pPr>
            <w:r>
              <w:rPr>
                <w:rFonts w:ascii="宋体" w:hAnsi="宋体" w:cs="宋体" w:hint="eastAsia"/>
                <w:b/>
                <w:bCs/>
                <w:kern w:val="2"/>
                <w:sz w:val="21"/>
                <w:szCs w:val="21"/>
                <w:lang w:eastAsia="zh-CN"/>
              </w:rPr>
              <w:t>说明：同一职务有多人担任（如主要技术人员），应分行填写。</w:t>
            </w:r>
          </w:p>
        </w:tc>
      </w:tr>
      <w:tr>
        <w:tblPrEx>
          <w:tblW w:w="5000" w:type="pct"/>
          <w:jc w:val="center"/>
          <w:tblLayout w:type="fixed"/>
          <w:tblCellMar>
            <w:top w:w="0" w:type="dxa"/>
            <w:left w:w="108" w:type="dxa"/>
            <w:bottom w:w="0" w:type="dxa"/>
            <w:right w:w="108" w:type="dxa"/>
          </w:tblCellMar>
        </w:tblPrEx>
        <w:trPr>
          <w:trHeight w:val="539"/>
          <w:jc w:val="center"/>
        </w:trPr>
        <w:tc>
          <w:tcPr>
            <w:tcW w:w="5000" w:type="pct"/>
            <w:gridSpan w:val="8"/>
            <w:vAlign w:val="center"/>
          </w:tcPr>
          <w:p>
            <w:pPr>
              <w:jc w:val="center"/>
              <w:rPr>
                <w:rFonts w:ascii="宋体" w:hAnsi="宋体" w:cs="宋体"/>
                <w:b/>
                <w:bCs/>
                <w:kern w:val="2"/>
                <w:sz w:val="21"/>
                <w:szCs w:val="21"/>
                <w:lang w:eastAsia="zh-CN"/>
              </w:rPr>
            </w:pPr>
            <w:r>
              <w:rPr>
                <w:rFonts w:ascii="宋体" w:hAnsi="宋体" w:cs="宋体" w:hint="eastAsia"/>
                <w:b/>
                <w:bCs/>
                <w:kern w:val="2"/>
                <w:sz w:val="21"/>
                <w:szCs w:val="21"/>
                <w:lang w:eastAsia="zh-CN"/>
              </w:rPr>
              <w:t>投标（响应）供应商关联关系情况</w:t>
            </w:r>
          </w:p>
        </w:tc>
      </w:tr>
      <w:tr>
        <w:tblPrEx>
          <w:tblW w:w="5000" w:type="pct"/>
          <w:jc w:val="center"/>
          <w:tblLayout w:type="fixed"/>
          <w:tblCellMar>
            <w:top w:w="0" w:type="dxa"/>
            <w:left w:w="108" w:type="dxa"/>
            <w:bottom w:w="0" w:type="dxa"/>
            <w:right w:w="108" w:type="dxa"/>
          </w:tblCellMar>
        </w:tblPrEx>
        <w:trPr>
          <w:jc w:val="center"/>
        </w:trPr>
        <w:tc>
          <w:tcPr>
            <w:tcW w:w="411" w:type="pct"/>
            <w:tcBorders>
              <w:bottom w:val="single" w:sz="4" w:space="0" w:color="auto"/>
            </w:tcBorders>
            <w:vAlign w:val="center"/>
          </w:tcPr>
          <w:p>
            <w:pPr>
              <w:jc w:val="center"/>
              <w:rPr>
                <w:rFonts w:ascii="宋体" w:hAnsi="宋体" w:cs="宋体"/>
                <w:kern w:val="2"/>
                <w:sz w:val="21"/>
                <w:szCs w:val="21"/>
                <w:lang w:eastAsia="zh-CN" w:bidi="ar"/>
              </w:rPr>
            </w:pPr>
            <w:r>
              <w:rPr>
                <w:rFonts w:ascii="宋体" w:hAnsi="宋体" w:cs="宋体" w:hint="eastAsia"/>
                <w:kern w:val="2"/>
                <w:sz w:val="21"/>
                <w:szCs w:val="21"/>
                <w:lang w:eastAsia="zh-CN" w:bidi="ar"/>
              </w:rPr>
              <w:t>序号</w:t>
            </w:r>
          </w:p>
        </w:tc>
        <w:tc>
          <w:tcPr>
            <w:tcW w:w="1275" w:type="pct"/>
            <w:gridSpan w:val="2"/>
            <w:tcBorders>
              <w:bottom w:val="single" w:sz="4" w:space="0" w:color="auto"/>
            </w:tcBorders>
            <w:vAlign w:val="center"/>
          </w:tcPr>
          <w:p>
            <w:pPr>
              <w:jc w:val="center"/>
              <w:rPr>
                <w:rFonts w:ascii="宋体" w:hAnsi="宋体" w:cs="宋体"/>
                <w:kern w:val="2"/>
                <w:sz w:val="21"/>
                <w:szCs w:val="21"/>
                <w:lang w:eastAsia="zh-CN"/>
              </w:rPr>
            </w:pPr>
            <w:r>
              <w:rPr>
                <w:rFonts w:ascii="宋体" w:hAnsi="宋体" w:cs="宋体" w:hint="eastAsia"/>
                <w:kern w:val="2"/>
                <w:sz w:val="21"/>
                <w:szCs w:val="21"/>
                <w:lang w:eastAsia="zh-CN"/>
              </w:rPr>
              <w:t>关联关系类型</w:t>
            </w:r>
          </w:p>
        </w:tc>
        <w:tc>
          <w:tcPr>
            <w:tcW w:w="971" w:type="pct"/>
            <w:gridSpan w:val="2"/>
            <w:tcBorders>
              <w:bottom w:val="single" w:sz="4" w:space="0" w:color="auto"/>
            </w:tcBorders>
            <w:vAlign w:val="center"/>
          </w:tcPr>
          <w:p>
            <w:pPr>
              <w:jc w:val="center"/>
              <w:rPr>
                <w:rFonts w:ascii="宋体" w:hAnsi="宋体" w:cs="宋体"/>
                <w:kern w:val="2"/>
                <w:sz w:val="21"/>
                <w:szCs w:val="21"/>
                <w:lang w:eastAsia="zh-CN"/>
              </w:rPr>
            </w:pPr>
            <w:r>
              <w:rPr>
                <w:rFonts w:ascii="宋体" w:hAnsi="宋体" w:cs="宋体" w:hint="eastAsia"/>
                <w:kern w:val="2"/>
                <w:sz w:val="21"/>
                <w:szCs w:val="21"/>
                <w:lang w:eastAsia="zh-CN"/>
              </w:rPr>
              <w:t>关联主体名称</w:t>
            </w:r>
          </w:p>
        </w:tc>
        <w:tc>
          <w:tcPr>
            <w:tcW w:w="2340" w:type="pct"/>
            <w:gridSpan w:val="3"/>
            <w:tcBorders>
              <w:bottom w:val="single" w:sz="4" w:space="0" w:color="auto"/>
            </w:tcBorders>
            <w:vAlign w:val="center"/>
          </w:tcPr>
          <w:p>
            <w:pPr>
              <w:jc w:val="center"/>
              <w:rPr>
                <w:rFonts w:ascii="宋体" w:hAnsi="宋体" w:cs="宋体"/>
                <w:kern w:val="2"/>
                <w:sz w:val="21"/>
                <w:szCs w:val="21"/>
                <w:lang w:eastAsia="zh-CN"/>
              </w:rPr>
            </w:pPr>
            <w:r>
              <w:rPr>
                <w:rFonts w:ascii="宋体" w:hAnsi="宋体" w:cs="宋体" w:hint="eastAsia"/>
                <w:kern w:val="2"/>
                <w:sz w:val="21"/>
                <w:szCs w:val="21"/>
                <w:lang w:eastAsia="zh-CN"/>
              </w:rPr>
              <w:t>备注</w:t>
            </w:r>
          </w:p>
        </w:tc>
      </w:tr>
      <w:tr>
        <w:tblPrEx>
          <w:tblW w:w="5000" w:type="pct"/>
          <w:jc w:val="center"/>
          <w:tblLayout w:type="fixed"/>
          <w:tblCellMar>
            <w:top w:w="0" w:type="dxa"/>
            <w:left w:w="108" w:type="dxa"/>
            <w:bottom w:w="0" w:type="dxa"/>
            <w:right w:w="108" w:type="dxa"/>
          </w:tblCellMar>
        </w:tblPrEx>
        <w:trPr>
          <w:jc w:val="center"/>
        </w:trPr>
        <w:tc>
          <w:tcPr>
            <w:tcW w:w="411" w:type="pct"/>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kern w:val="2"/>
                <w:sz w:val="21"/>
                <w:szCs w:val="21"/>
                <w:lang w:eastAsia="zh-CN" w:bidi="ar"/>
              </w:rPr>
            </w:pPr>
            <w:r>
              <w:rPr>
                <w:rFonts w:ascii="宋体" w:hAnsi="宋体" w:cs="宋体" w:hint="eastAsia"/>
                <w:kern w:val="2"/>
                <w:sz w:val="21"/>
                <w:szCs w:val="21"/>
                <w:lang w:eastAsia="zh-CN" w:bidi="ar"/>
              </w:rPr>
              <w:t>1</w:t>
            </w:r>
          </w:p>
        </w:tc>
        <w:tc>
          <w:tcPr>
            <w:tcW w:w="1275"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kern w:val="2"/>
                <w:sz w:val="21"/>
                <w:szCs w:val="21"/>
                <w:lang w:eastAsia="zh-CN"/>
              </w:rPr>
            </w:pPr>
            <w:r>
              <w:rPr>
                <w:rFonts w:ascii="宋体" w:hAnsi="宋体" w:cs="宋体" w:hint="eastAsia"/>
                <w:kern w:val="2"/>
                <w:sz w:val="21"/>
                <w:szCs w:val="21"/>
                <w:lang w:eastAsia="zh-CN"/>
              </w:rPr>
              <w:t>控股股东</w:t>
            </w:r>
          </w:p>
        </w:tc>
        <w:tc>
          <w:tcPr>
            <w:tcW w:w="971"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kern w:val="2"/>
                <w:sz w:val="21"/>
                <w:szCs w:val="21"/>
                <w:lang w:eastAsia="zh-CN"/>
              </w:rPr>
            </w:pPr>
          </w:p>
        </w:tc>
        <w:tc>
          <w:tcPr>
            <w:tcW w:w="2340" w:type="pct"/>
            <w:gridSpan w:val="3"/>
            <w:tcBorders>
              <w:top w:val="single" w:sz="4" w:space="0" w:color="auto"/>
              <w:left w:val="single" w:sz="4" w:space="0" w:color="auto"/>
              <w:bottom w:val="single" w:sz="4" w:space="0" w:color="auto"/>
              <w:right w:val="single" w:sz="4" w:space="0" w:color="auto"/>
            </w:tcBorders>
            <w:vAlign w:val="center"/>
          </w:tcPr>
          <w:p>
            <w:pPr>
              <w:snapToGrid w:val="0"/>
              <w:rPr>
                <w:rFonts w:ascii="宋体" w:hAnsi="宋体" w:cs="宋体"/>
                <w:kern w:val="2"/>
                <w:sz w:val="21"/>
                <w:szCs w:val="21"/>
                <w:lang w:eastAsia="zh-CN"/>
              </w:rPr>
            </w:pPr>
            <w:r>
              <w:rPr>
                <w:rFonts w:ascii="宋体" w:hAnsi="宋体" w:cs="宋体" w:hint="eastAsia"/>
                <w:kern w:val="2"/>
                <w:sz w:val="21"/>
                <w:szCs w:val="21"/>
                <w:lang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W w:w="5000" w:type="pct"/>
          <w:jc w:val="center"/>
          <w:tblLayout w:type="fixed"/>
          <w:tblCellMar>
            <w:top w:w="0" w:type="dxa"/>
            <w:left w:w="108" w:type="dxa"/>
            <w:bottom w:w="0" w:type="dxa"/>
            <w:right w:w="108" w:type="dxa"/>
          </w:tblCellMar>
        </w:tblPrEx>
        <w:trPr>
          <w:trHeight w:val="789"/>
          <w:jc w:val="center"/>
        </w:trPr>
        <w:tc>
          <w:tcPr>
            <w:tcW w:w="411" w:type="pct"/>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kern w:val="2"/>
                <w:sz w:val="21"/>
                <w:szCs w:val="21"/>
                <w:lang w:eastAsia="zh-CN" w:bidi="ar"/>
              </w:rPr>
            </w:pPr>
            <w:r>
              <w:rPr>
                <w:rFonts w:ascii="宋体" w:hAnsi="宋体" w:cs="宋体" w:hint="eastAsia"/>
                <w:kern w:val="2"/>
                <w:sz w:val="21"/>
                <w:szCs w:val="21"/>
                <w:lang w:eastAsia="zh-CN" w:bidi="ar"/>
              </w:rPr>
              <w:t>2</w:t>
            </w:r>
          </w:p>
        </w:tc>
        <w:tc>
          <w:tcPr>
            <w:tcW w:w="1275"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kern w:val="2"/>
                <w:sz w:val="21"/>
                <w:szCs w:val="21"/>
                <w:lang w:eastAsia="zh-CN"/>
              </w:rPr>
            </w:pPr>
            <w:r>
              <w:rPr>
                <w:rFonts w:ascii="宋体" w:hAnsi="宋体" w:cs="宋体" w:hint="eastAsia"/>
                <w:kern w:val="2"/>
                <w:sz w:val="21"/>
                <w:szCs w:val="21"/>
                <w:lang w:eastAsia="zh-CN"/>
              </w:rPr>
              <w:t>管理关系</w:t>
            </w:r>
          </w:p>
        </w:tc>
        <w:tc>
          <w:tcPr>
            <w:tcW w:w="971" w:type="pct"/>
            <w:gridSpan w:val="2"/>
            <w:tcBorders>
              <w:top w:val="single" w:sz="4" w:space="0" w:color="auto"/>
              <w:left w:val="single" w:sz="4" w:space="0" w:color="auto"/>
              <w:bottom w:val="single" w:sz="4" w:space="0" w:color="auto"/>
              <w:right w:val="single" w:sz="4" w:space="0" w:color="auto"/>
            </w:tcBorders>
            <w:vAlign w:val="center"/>
          </w:tcPr>
          <w:p>
            <w:pPr>
              <w:jc w:val="center"/>
              <w:rPr>
                <w:rFonts w:ascii="宋体" w:hAnsi="宋体" w:cs="宋体"/>
                <w:kern w:val="2"/>
                <w:sz w:val="21"/>
                <w:szCs w:val="21"/>
                <w:lang w:eastAsia="zh-CN"/>
              </w:rPr>
            </w:pPr>
          </w:p>
        </w:tc>
        <w:tc>
          <w:tcPr>
            <w:tcW w:w="2340" w:type="pct"/>
            <w:gridSpan w:val="3"/>
            <w:tcBorders>
              <w:top w:val="single" w:sz="4" w:space="0" w:color="auto"/>
              <w:left w:val="single" w:sz="4" w:space="0" w:color="auto"/>
              <w:bottom w:val="single" w:sz="4" w:space="0" w:color="auto"/>
              <w:right w:val="single" w:sz="4" w:space="0" w:color="auto"/>
            </w:tcBorders>
            <w:vAlign w:val="center"/>
          </w:tcPr>
          <w:p>
            <w:pPr>
              <w:snapToGrid w:val="0"/>
              <w:rPr>
                <w:rFonts w:ascii="宋体" w:hAnsi="宋体" w:cs="宋体"/>
                <w:kern w:val="2"/>
                <w:sz w:val="21"/>
                <w:szCs w:val="21"/>
                <w:lang w:eastAsia="zh-CN"/>
              </w:rPr>
            </w:pPr>
            <w:r>
              <w:rPr>
                <w:rFonts w:ascii="宋体" w:hAnsi="宋体" w:cs="宋体" w:hint="eastAsia"/>
                <w:kern w:val="2"/>
                <w:sz w:val="21"/>
                <w:szCs w:val="21"/>
                <w:lang w:eastAsia="zh-CN"/>
              </w:rPr>
              <w:t>指对投标（响应）供应商不具有出资持股关系，但对其存在管理关系的主体。</w:t>
            </w:r>
          </w:p>
        </w:tc>
      </w:tr>
      <w:tr>
        <w:tblPrEx>
          <w:tblW w:w="5000" w:type="pct"/>
          <w:jc w:val="center"/>
          <w:tblLayout w:type="fixed"/>
          <w:tblCellMar>
            <w:top w:w="0" w:type="dxa"/>
            <w:left w:w="108" w:type="dxa"/>
            <w:bottom w:w="0" w:type="dxa"/>
            <w:right w:w="108" w:type="dxa"/>
          </w:tblCellMar>
        </w:tblPrEx>
        <w:trPr>
          <w:trHeight w:val="455"/>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pPr>
              <w:snapToGrid w:val="0"/>
              <w:rPr>
                <w:rFonts w:ascii="宋体" w:hAnsi="宋体" w:cs="宋体"/>
                <w:kern w:val="2"/>
                <w:sz w:val="21"/>
                <w:szCs w:val="21"/>
                <w:lang w:eastAsia="zh-CN"/>
              </w:rPr>
            </w:pPr>
            <w:r>
              <w:rPr>
                <w:rFonts w:ascii="宋体" w:hAnsi="宋体" w:cs="宋体" w:hint="eastAsia"/>
                <w:b/>
                <w:bCs/>
                <w:kern w:val="2"/>
                <w:sz w:val="21"/>
                <w:szCs w:val="21"/>
                <w:lang w:eastAsia="zh-CN"/>
              </w:rPr>
              <w:t>说明：同一关联关系类型有多个主体的，应分行填写。</w:t>
            </w:r>
          </w:p>
        </w:tc>
      </w:tr>
    </w:tbl>
    <w:p>
      <w:pPr>
        <w:widowControl w:val="0"/>
        <w:jc w:val="both"/>
        <w:rPr>
          <w:rFonts w:ascii="宋体" w:eastAsia="宋体" w:hAnsi="宋体"/>
          <w:b/>
          <w:color w:val="FF0000"/>
          <w:kern w:val="2"/>
          <w:sz w:val="28"/>
          <w:szCs w:val="28"/>
          <w:lang w:eastAsia="zh-CN"/>
        </w:rPr>
      </w:pPr>
    </w:p>
    <w:p>
      <w:pPr>
        <w:widowControl w:val="0"/>
        <w:jc w:val="both"/>
        <w:outlineLvl w:val="1"/>
        <w:rPr>
          <w:rFonts w:ascii="宋体" w:eastAsia="宋体" w:hAnsi="宋体"/>
          <w:b/>
          <w:color w:val="FF0000"/>
          <w:kern w:val="2"/>
          <w:sz w:val="28"/>
          <w:szCs w:val="28"/>
          <w:lang w:eastAsia="zh-CN"/>
        </w:rPr>
      </w:pPr>
    </w:p>
    <w:p>
      <w:pPr>
        <w:keepNext/>
        <w:keepLines/>
        <w:widowControl w:val="0"/>
        <w:spacing w:before="260" w:after="260"/>
        <w:jc w:val="center"/>
        <w:outlineLvl w:val="2"/>
        <w:rPr>
          <w:rFonts w:ascii="黑体" w:eastAsia="黑体" w:hAnsi="宋体"/>
          <w:bCs/>
          <w:kern w:val="2"/>
          <w:szCs w:val="32"/>
          <w:lang w:eastAsia="zh-CN"/>
        </w:rPr>
      </w:pPr>
      <w:r>
        <w:rPr>
          <w:rFonts w:ascii="黑体" w:eastAsia="黑体" w:hAnsi="宋体" w:hint="eastAsia"/>
          <w:bCs/>
          <w:kern w:val="2"/>
          <w:szCs w:val="32"/>
          <w:lang w:eastAsia="zh-CN"/>
        </w:rPr>
        <w:t>八、</w:t>
      </w:r>
      <w:bookmarkStart w:id="43" w:name="_Hlk72092499"/>
      <w:r>
        <w:rPr>
          <w:rFonts w:ascii="黑体" w:eastAsia="黑体" w:hAnsi="宋体" w:hint="eastAsia"/>
          <w:bCs/>
          <w:kern w:val="2"/>
          <w:szCs w:val="32"/>
          <w:lang w:eastAsia="zh-CN"/>
        </w:rPr>
        <w:t>法定代表人（负责人）证明书</w:t>
      </w:r>
      <w:bookmarkEnd w:id="43"/>
    </w:p>
    <w:p>
      <w:pPr>
        <w:widowControl w:val="0"/>
        <w:jc w:val="both"/>
        <w:rPr>
          <w:rFonts w:eastAsia="宋体"/>
          <w:kern w:val="2"/>
          <w:lang w:eastAsia="zh-CN"/>
        </w:rPr>
      </w:pPr>
    </w:p>
    <w:p>
      <w:pPr>
        <w:widowControl w:val="0"/>
        <w:spacing w:line="360" w:lineRule="auto"/>
        <w:ind w:firstLine="420" w:firstLineChars="200"/>
        <w:jc w:val="both"/>
        <w:rPr>
          <w:rFonts w:eastAsia="宋体"/>
          <w:kern w:val="2"/>
          <w:sz w:val="21"/>
          <w:szCs w:val="21"/>
          <w:lang w:eastAsia="zh-CN"/>
        </w:rPr>
      </w:pPr>
      <w:r>
        <w:rPr>
          <w:rFonts w:eastAsia="宋体"/>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eastAsia="宋体" w:hAnsi="Calibri" w:cstheme="minorBidi" w:hint="eastAsia"/>
          <w:kern w:val="2"/>
          <w:sz w:val="21"/>
          <w:szCs w:val="21"/>
          <w:lang w:eastAsia="zh-CN"/>
        </w:rPr>
        <w:t>姓名</w:t>
      </w:r>
      <w:r>
        <w:rPr>
          <w:rFonts w:ascii="Calibri" w:eastAsia="宋体" w:hAnsi="Calibri" w:cstheme="minorBidi" w:hint="eastAsia"/>
          <w:kern w:val="2"/>
          <w:sz w:val="21"/>
          <w:szCs w:val="21"/>
          <w:lang w:eastAsia="zh-CN"/>
        </w:rPr>
        <w:t>）</w:t>
      </w:r>
      <w:r>
        <w:rPr>
          <w:rFonts w:eastAsia="宋体"/>
          <w:kern w:val="2"/>
          <w:sz w:val="21"/>
          <w:szCs w:val="21"/>
          <w:lang w:eastAsia="zh-CN"/>
        </w:rPr>
        <w:t>，现任我单位</w:t>
      </w:r>
      <w:r>
        <w:rPr>
          <w:rFonts w:eastAsia="宋体"/>
          <w:kern w:val="2"/>
          <w:sz w:val="21"/>
          <w:szCs w:val="21"/>
          <w:u w:val="single"/>
          <w:lang w:eastAsia="zh-CN"/>
        </w:rPr>
        <w:t xml:space="preserve">       </w:t>
      </w:r>
      <w:r>
        <w:rPr>
          <w:rFonts w:eastAsia="宋体"/>
          <w:kern w:val="2"/>
          <w:sz w:val="21"/>
          <w:szCs w:val="21"/>
          <w:lang w:eastAsia="zh-CN"/>
        </w:rPr>
        <w:t>职务，为法定代表人（负责人），</w:t>
      </w:r>
      <w:r>
        <w:rPr>
          <w:rFonts w:eastAsia="宋体" w:hint="eastAsia"/>
          <w:kern w:val="2"/>
          <w:sz w:val="21"/>
          <w:szCs w:val="21"/>
          <w:lang w:eastAsia="zh-CN"/>
        </w:rPr>
        <w:t>身份证号：</w:t>
      </w:r>
      <w:r>
        <w:rPr>
          <w:rFonts w:eastAsia="宋体" w:hint="eastAsia"/>
          <w:kern w:val="2"/>
          <w:sz w:val="21"/>
          <w:szCs w:val="21"/>
          <w:u w:val="single"/>
          <w:lang w:eastAsia="zh-CN"/>
        </w:rPr>
        <w:t xml:space="preserve">        </w:t>
      </w:r>
      <w:r>
        <w:rPr>
          <w:rFonts w:eastAsia="宋体" w:hint="eastAsia"/>
          <w:kern w:val="2"/>
          <w:sz w:val="21"/>
          <w:szCs w:val="21"/>
          <w:lang w:eastAsia="zh-CN"/>
        </w:rPr>
        <w:t>，联系电话：</w:t>
      </w:r>
      <w:r>
        <w:rPr>
          <w:rFonts w:eastAsia="宋体" w:hint="eastAsia"/>
          <w:kern w:val="2"/>
          <w:sz w:val="21"/>
          <w:szCs w:val="21"/>
          <w:u w:val="single"/>
          <w:lang w:eastAsia="zh-CN"/>
        </w:rPr>
        <w:t xml:space="preserve">           </w:t>
      </w:r>
      <w:r>
        <w:rPr>
          <w:rFonts w:eastAsia="宋体" w:hint="eastAsia"/>
          <w:kern w:val="2"/>
          <w:sz w:val="21"/>
          <w:szCs w:val="21"/>
          <w:lang w:eastAsia="zh-CN"/>
        </w:rPr>
        <w:t>，</w:t>
      </w:r>
      <w:r>
        <w:rPr>
          <w:rFonts w:eastAsia="宋体"/>
          <w:kern w:val="2"/>
          <w:sz w:val="21"/>
          <w:szCs w:val="21"/>
          <w:lang w:eastAsia="zh-CN"/>
        </w:rPr>
        <w:t>特此证明。</w:t>
      </w:r>
    </w:p>
    <w:p>
      <w:pPr>
        <w:widowControl w:val="0"/>
        <w:spacing w:line="360" w:lineRule="auto"/>
        <w:jc w:val="both"/>
        <w:rPr>
          <w:rFonts w:ascii="宋体" w:eastAsia="宋体" w:cs="宋体"/>
          <w:kern w:val="2"/>
          <w:sz w:val="21"/>
          <w:szCs w:val="21"/>
          <w:lang w:eastAsia="zh-CN"/>
        </w:rPr>
      </w:pPr>
      <w:r>
        <w:rPr>
          <w:rFonts w:ascii="宋体" w:eastAsia="宋体" w:hAnsi="宋体" w:cs="宋体"/>
          <w:kern w:val="2"/>
          <w:sz w:val="21"/>
          <w:szCs w:val="21"/>
          <w:lang w:eastAsia="zh-CN"/>
        </w:rPr>
        <w:t xml:space="preserve">         </w:t>
      </w:r>
    </w:p>
    <w:p>
      <w:pPr>
        <w:widowControl w:val="0"/>
        <w:spacing w:line="360" w:lineRule="auto"/>
        <w:jc w:val="both"/>
        <w:rPr>
          <w:rFonts w:ascii="宋体" w:eastAsia="宋体" w:cs="宋体"/>
          <w:kern w:val="2"/>
          <w:sz w:val="21"/>
          <w:szCs w:val="21"/>
          <w:lang w:eastAsia="zh-CN"/>
        </w:rPr>
      </w:pPr>
      <w:r>
        <w:rPr>
          <w:rFonts w:ascii="宋体" w:eastAsia="宋体" w:hAnsi="宋体" w:cs="宋体" w:hint="eastAsia"/>
          <w:kern w:val="2"/>
          <w:sz w:val="21"/>
          <w:szCs w:val="21"/>
          <w:lang w:eastAsia="zh-CN"/>
        </w:rPr>
        <w:t>说明：</w:t>
      </w:r>
      <w:r>
        <w:rPr>
          <w:rFonts w:ascii="宋体" w:eastAsia="宋体" w:hAnsi="宋体" w:cs="宋体"/>
          <w:kern w:val="2"/>
          <w:sz w:val="21"/>
          <w:szCs w:val="21"/>
          <w:lang w:eastAsia="zh-CN"/>
        </w:rPr>
        <w:t>1</w:t>
      </w:r>
      <w:r>
        <w:rPr>
          <w:rFonts w:ascii="宋体" w:eastAsia="宋体" w:hAnsi="宋体" w:cs="宋体" w:hint="eastAsia"/>
          <w:kern w:val="2"/>
          <w:sz w:val="21"/>
          <w:szCs w:val="21"/>
          <w:lang w:eastAsia="zh-CN"/>
        </w:rPr>
        <w:t>.法定代表人为投标人（企业事业单位、国家机关、社会团体）的主要行政负责人。</w:t>
      </w:r>
    </w:p>
    <w:p>
      <w:pPr>
        <w:widowControl w:val="0"/>
        <w:spacing w:line="360" w:lineRule="auto"/>
        <w:jc w:val="both"/>
        <w:rPr>
          <w:rFonts w:ascii="宋体" w:eastAsia="宋体" w:hAnsi="宋体" w:cs="宋体"/>
          <w:b/>
          <w:color w:val="FF0000"/>
          <w:kern w:val="2"/>
          <w:sz w:val="21"/>
          <w:szCs w:val="21"/>
          <w:lang w:eastAsia="zh-CN"/>
        </w:rPr>
      </w:pPr>
      <w:r>
        <w:rPr>
          <w:rFonts w:ascii="宋体" w:eastAsia="宋体" w:hAnsi="宋体" w:cs="宋体"/>
          <w:b/>
          <w:color w:val="FF0000"/>
          <w:kern w:val="2"/>
          <w:sz w:val="21"/>
          <w:szCs w:val="21"/>
          <w:lang w:eastAsia="zh-CN"/>
        </w:rPr>
        <w:t xml:space="preserve">      </w:t>
      </w:r>
      <w:r>
        <w:rPr>
          <w:rFonts w:ascii="宋体" w:eastAsia="宋体" w:hAnsi="宋体" w:cs="宋体" w:hint="eastAsia"/>
          <w:b/>
          <w:color w:val="FF0000"/>
          <w:kern w:val="2"/>
          <w:sz w:val="21"/>
          <w:szCs w:val="21"/>
          <w:lang w:eastAsia="zh-CN"/>
        </w:rPr>
        <w:t>2.本证明书要求投标供应商同时提供法定代表人（负责人）的身份证扫描件（正反两面）作为附件方为有效；港澳台居民可提供来往通行证扫描件；非中国国籍管辖范围人员，可提供公安部门认可的身份证明材料扫描件。</w:t>
      </w:r>
    </w:p>
    <w:p>
      <w:pPr>
        <w:widowControl w:val="0"/>
        <w:spacing w:line="360" w:lineRule="auto"/>
        <w:ind w:firstLine="630" w:firstLineChars="300"/>
        <w:jc w:val="both"/>
        <w:rPr>
          <w:rFonts w:ascii="宋体" w:eastAsia="宋体" w:cs="宋体"/>
          <w:kern w:val="2"/>
          <w:sz w:val="21"/>
          <w:szCs w:val="21"/>
          <w:lang w:eastAsia="zh-CN"/>
        </w:rPr>
      </w:pPr>
      <w:r>
        <w:rPr>
          <w:rFonts w:ascii="宋体" w:eastAsia="宋体" w:hAnsi="宋体" w:cs="宋体" w:hint="eastAsia"/>
          <w:kern w:val="2"/>
          <w:sz w:val="21"/>
          <w:szCs w:val="21"/>
          <w:lang w:eastAsia="zh-CN"/>
        </w:rPr>
        <w:t>3.本项目投标授权代表为法定代表人（负责人）的，无需提供《投标文件签署授权委托书》。</w:t>
      </w:r>
    </w:p>
    <w:p>
      <w:pPr>
        <w:widowControl w:val="0"/>
        <w:spacing w:line="360" w:lineRule="auto"/>
        <w:ind w:firstLine="630" w:firstLineChars="300"/>
        <w:jc w:val="both"/>
        <w:rPr>
          <w:rFonts w:ascii="宋体" w:eastAsia="宋体" w:cs="宋体"/>
          <w:kern w:val="2"/>
          <w:sz w:val="21"/>
          <w:szCs w:val="21"/>
          <w:lang w:eastAsia="zh-CN"/>
        </w:rPr>
      </w:pPr>
      <w:r>
        <w:rPr>
          <w:rFonts w:ascii="宋体" w:eastAsia="宋体" w:cs="宋体" w:hint="eastAsia"/>
          <w:kern w:val="2"/>
          <w:sz w:val="21"/>
          <w:szCs w:val="21"/>
          <w:lang w:eastAsia="zh-CN"/>
        </w:rPr>
        <w:t>4.内容必须填写真实、清楚，涂改无效，不得转让、买卖。</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537"/>
        <w:gridCol w:w="454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99" w:type="pct"/>
          </w:tcPr>
          <w:p>
            <w:pPr>
              <w:jc w:val="center"/>
              <w:rPr>
                <w:kern w:val="2"/>
                <w:sz w:val="21"/>
                <w:szCs w:val="22"/>
                <w:lang w:eastAsia="zh-CN"/>
              </w:rPr>
            </w:pPr>
            <w:r>
              <w:rPr>
                <w:rFonts w:hint="eastAsia"/>
                <w:kern w:val="2"/>
                <w:sz w:val="21"/>
                <w:szCs w:val="22"/>
                <w:lang w:eastAsia="zh-CN"/>
              </w:rPr>
              <w:t>证件扫描件正面</w:t>
            </w:r>
          </w:p>
          <w:p>
            <w:pPr>
              <w:spacing w:after="120"/>
              <w:jc w:val="center"/>
              <w:rPr>
                <w:kern w:val="2"/>
                <w:sz w:val="21"/>
                <w:lang w:eastAsia="zh-CN"/>
              </w:rPr>
            </w:pPr>
          </w:p>
          <w:p>
            <w:pPr>
              <w:spacing w:line="360" w:lineRule="auto"/>
              <w:jc w:val="center"/>
              <w:rPr>
                <w:kern w:val="2"/>
                <w:lang w:eastAsia="zh-CN"/>
              </w:rPr>
            </w:pPr>
          </w:p>
        </w:tc>
        <w:tc>
          <w:tcPr>
            <w:tcW w:w="2500" w:type="pct"/>
          </w:tcPr>
          <w:p>
            <w:pPr>
              <w:jc w:val="center"/>
              <w:rPr>
                <w:kern w:val="2"/>
                <w:sz w:val="21"/>
                <w:szCs w:val="22"/>
                <w:lang w:eastAsia="zh-CN"/>
              </w:rPr>
            </w:pPr>
            <w:r>
              <w:rPr>
                <w:rFonts w:hint="eastAsia"/>
                <w:kern w:val="2"/>
                <w:sz w:val="21"/>
                <w:szCs w:val="22"/>
                <w:lang w:eastAsia="zh-CN"/>
              </w:rPr>
              <w:t>证件扫描件反面</w:t>
            </w:r>
          </w:p>
          <w:p>
            <w:pPr>
              <w:spacing w:after="120"/>
              <w:jc w:val="center"/>
              <w:rPr>
                <w:kern w:val="2"/>
                <w:sz w:val="21"/>
                <w:lang w:eastAsia="zh-CN"/>
              </w:rPr>
            </w:pPr>
          </w:p>
          <w:p>
            <w:pPr>
              <w:spacing w:line="360" w:lineRule="auto"/>
              <w:jc w:val="center"/>
              <w:rPr>
                <w:kern w:val="2"/>
                <w:lang w:eastAsia="zh-CN"/>
              </w:rPr>
            </w:pPr>
          </w:p>
        </w:tc>
      </w:tr>
    </w:tbl>
    <w:p>
      <w:pPr>
        <w:widowControl w:val="0"/>
        <w:jc w:val="both"/>
        <w:rPr>
          <w:rFonts w:eastAsia="宋体"/>
          <w:kern w:val="2"/>
          <w:lang w:eastAsia="zh-CN"/>
        </w:rPr>
      </w:pPr>
    </w:p>
    <w:p>
      <w:pPr>
        <w:widowControl w:val="0"/>
        <w:jc w:val="both"/>
        <w:rPr>
          <w:rFonts w:eastAsia="宋体"/>
          <w:b/>
          <w:bCs/>
          <w:kern w:val="2"/>
          <w:lang w:eastAsia="zh-CN"/>
        </w:rPr>
      </w:pPr>
    </w:p>
    <w:p>
      <w:pPr>
        <w:keepNext/>
        <w:keepLines/>
        <w:widowControl w:val="0"/>
        <w:spacing w:before="120" w:after="120"/>
        <w:jc w:val="center"/>
        <w:outlineLvl w:val="2"/>
        <w:rPr>
          <w:rFonts w:ascii="黑体" w:eastAsia="黑体" w:hAnsi="宋体"/>
          <w:bCs/>
          <w:kern w:val="2"/>
          <w:szCs w:val="32"/>
          <w:lang w:eastAsia="zh-CN"/>
        </w:rPr>
      </w:pPr>
      <w:r>
        <w:rPr>
          <w:rFonts w:ascii="黑体" w:eastAsia="黑体" w:hAnsi="宋体" w:hint="eastAsia"/>
          <w:bCs/>
          <w:kern w:val="2"/>
          <w:szCs w:val="32"/>
          <w:lang w:eastAsia="zh-CN"/>
        </w:rPr>
        <w:t>九、投标文件签署授权委托书</w:t>
      </w:r>
    </w:p>
    <w:p>
      <w:pPr>
        <w:widowControl w:val="0"/>
        <w:spacing w:line="360" w:lineRule="auto"/>
        <w:ind w:firstLine="420" w:firstLineChars="200"/>
        <w:jc w:val="both"/>
        <w:rPr>
          <w:rFonts w:eastAsia="宋体"/>
          <w:kern w:val="2"/>
          <w:sz w:val="21"/>
          <w:szCs w:val="21"/>
          <w:lang w:eastAsia="zh-CN"/>
        </w:rPr>
      </w:pPr>
      <w:r>
        <w:rPr>
          <w:rFonts w:eastAsia="宋体" w:hint="eastAsia"/>
          <w:kern w:val="2"/>
          <w:sz w:val="21"/>
          <w:szCs w:val="21"/>
          <w:lang w:eastAsia="zh-CN"/>
        </w:rPr>
        <w:t>本授权委托书声明：我</w:t>
      </w:r>
      <w:r>
        <w:rPr>
          <w:rFonts w:eastAsia="宋体" w:hint="eastAsia"/>
          <w:kern w:val="2"/>
          <w:sz w:val="21"/>
          <w:szCs w:val="21"/>
          <w:u w:val="single"/>
          <w:lang w:eastAsia="zh-CN"/>
        </w:rPr>
        <w:t xml:space="preserve">           </w:t>
      </w:r>
      <w:r>
        <w:rPr>
          <w:rFonts w:eastAsia="宋体" w:hint="eastAsia"/>
          <w:kern w:val="2"/>
          <w:sz w:val="21"/>
          <w:szCs w:val="21"/>
          <w:lang w:eastAsia="zh-CN"/>
        </w:rPr>
        <w:t>（姓名）系</w:t>
      </w:r>
      <w:r>
        <w:rPr>
          <w:rFonts w:eastAsia="宋体" w:hint="eastAsia"/>
          <w:kern w:val="2"/>
          <w:sz w:val="21"/>
          <w:szCs w:val="21"/>
          <w:u w:val="single"/>
          <w:lang w:eastAsia="zh-CN"/>
        </w:rPr>
        <w:t xml:space="preserve">             </w:t>
      </w:r>
      <w:r>
        <w:rPr>
          <w:rFonts w:eastAsia="宋体" w:hint="eastAsia"/>
          <w:kern w:val="2"/>
          <w:sz w:val="21"/>
          <w:szCs w:val="21"/>
          <w:lang w:eastAsia="zh-CN"/>
        </w:rPr>
        <w:t>（投标人名称）的法定代表人（负责人），现授权委托</w:t>
      </w:r>
      <w:r>
        <w:rPr>
          <w:rFonts w:eastAsia="宋体" w:hint="eastAsia"/>
          <w:kern w:val="2"/>
          <w:sz w:val="21"/>
          <w:szCs w:val="21"/>
          <w:u w:val="single"/>
          <w:lang w:eastAsia="zh-CN"/>
        </w:rPr>
        <w:t xml:space="preserve">            </w:t>
      </w:r>
      <w:r>
        <w:rPr>
          <w:rFonts w:eastAsia="宋体"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pPr>
        <w:widowControl w:val="0"/>
        <w:spacing w:line="360" w:lineRule="auto"/>
        <w:ind w:firstLine="420"/>
        <w:jc w:val="both"/>
        <w:rPr>
          <w:rFonts w:eastAsia="宋体"/>
          <w:kern w:val="2"/>
          <w:sz w:val="21"/>
          <w:szCs w:val="21"/>
          <w:lang w:eastAsia="zh-CN"/>
        </w:rPr>
      </w:pPr>
      <w:r>
        <w:rPr>
          <w:rFonts w:eastAsia="宋体" w:hint="eastAsia"/>
          <w:kern w:val="2"/>
          <w:sz w:val="21"/>
          <w:szCs w:val="21"/>
          <w:lang w:eastAsia="zh-CN"/>
        </w:rPr>
        <w:t>代理人无转委托权，特此委托。</w:t>
      </w:r>
    </w:p>
    <w:p>
      <w:pPr>
        <w:widowControl w:val="0"/>
        <w:spacing w:line="360" w:lineRule="auto"/>
        <w:ind w:firstLine="420"/>
        <w:jc w:val="both"/>
        <w:rPr>
          <w:rFonts w:eastAsia="宋体"/>
          <w:kern w:val="2"/>
          <w:sz w:val="21"/>
          <w:szCs w:val="21"/>
          <w:lang w:eastAsia="zh-CN"/>
        </w:rPr>
      </w:pPr>
    </w:p>
    <w:p>
      <w:pPr>
        <w:widowControl w:val="0"/>
        <w:spacing w:line="360" w:lineRule="auto"/>
        <w:ind w:firstLine="420" w:firstLineChars="200"/>
        <w:jc w:val="both"/>
        <w:rPr>
          <w:rFonts w:eastAsia="宋体"/>
          <w:kern w:val="2"/>
          <w:sz w:val="21"/>
          <w:szCs w:val="21"/>
          <w:u w:val="single"/>
          <w:lang w:eastAsia="zh-CN"/>
        </w:rPr>
      </w:pPr>
      <w:r>
        <w:rPr>
          <w:rFonts w:eastAsia="宋体" w:hint="eastAsia"/>
          <w:kern w:val="2"/>
          <w:sz w:val="21"/>
          <w:szCs w:val="21"/>
          <w:lang w:eastAsia="zh-CN"/>
        </w:rPr>
        <w:t>代理人：</w:t>
      </w:r>
      <w:r>
        <w:rPr>
          <w:rFonts w:eastAsia="宋体" w:hint="eastAsia"/>
          <w:kern w:val="2"/>
          <w:sz w:val="21"/>
          <w:szCs w:val="21"/>
          <w:u w:val="single"/>
          <w:lang w:eastAsia="zh-CN"/>
        </w:rPr>
        <w:t xml:space="preserve">             </w:t>
      </w:r>
    </w:p>
    <w:p>
      <w:pPr>
        <w:widowControl w:val="0"/>
        <w:spacing w:line="360" w:lineRule="auto"/>
        <w:ind w:firstLine="420" w:firstLineChars="200"/>
        <w:jc w:val="both"/>
        <w:rPr>
          <w:rFonts w:ascii="Calibri" w:eastAsia="宋体" w:hAnsi="Calibri"/>
          <w:kern w:val="2"/>
          <w:sz w:val="21"/>
          <w:szCs w:val="21"/>
          <w:u w:val="single"/>
          <w:lang w:eastAsia="zh-CN"/>
        </w:rPr>
      </w:pPr>
      <w:r>
        <w:rPr>
          <w:rFonts w:ascii="Calibri" w:eastAsia="宋体" w:hAnsi="Calibri" w:cstheme="minorBidi" w:hint="eastAsia"/>
          <w:kern w:val="2"/>
          <w:sz w:val="21"/>
          <w:szCs w:val="21"/>
          <w:lang w:eastAsia="zh-CN"/>
        </w:rPr>
        <w:t>身份</w:t>
      </w:r>
      <w:r>
        <w:rPr>
          <w:rFonts w:eastAsia="宋体" w:hAnsi="Calibri" w:cstheme="minorBidi" w:hint="eastAsia"/>
          <w:kern w:val="2"/>
          <w:sz w:val="21"/>
          <w:szCs w:val="21"/>
          <w:lang w:eastAsia="zh-CN"/>
        </w:rPr>
        <w:t>证件号</w:t>
      </w:r>
      <w:r>
        <w:rPr>
          <w:rFonts w:eastAsia="宋体" w:hint="eastAsia"/>
          <w:kern w:val="2"/>
          <w:sz w:val="21"/>
          <w:szCs w:val="21"/>
          <w:lang w:eastAsia="zh-CN"/>
        </w:rPr>
        <w:t>：</w:t>
      </w:r>
      <w:r>
        <w:rPr>
          <w:rFonts w:eastAsia="宋体" w:hint="eastAsia"/>
          <w:kern w:val="2"/>
          <w:sz w:val="21"/>
          <w:szCs w:val="21"/>
          <w:u w:val="single"/>
          <w:lang w:eastAsia="zh-CN"/>
        </w:rPr>
        <w:t xml:space="preserve">            </w:t>
      </w:r>
      <w:r>
        <w:rPr>
          <w:rFonts w:eastAsia="宋体" w:hint="eastAsia"/>
          <w:kern w:val="2"/>
          <w:sz w:val="21"/>
          <w:szCs w:val="21"/>
          <w:lang w:eastAsia="zh-CN"/>
        </w:rPr>
        <w:t xml:space="preserve">  </w:t>
      </w:r>
      <w:r>
        <w:rPr>
          <w:rFonts w:ascii="Calibri" w:eastAsia="宋体" w:hAnsi="Calibri" w:cstheme="minorBidi" w:hint="eastAsia"/>
          <w:kern w:val="2"/>
          <w:sz w:val="21"/>
          <w:szCs w:val="21"/>
          <w:lang w:eastAsia="zh-CN"/>
        </w:rPr>
        <w:t>职务：</w:t>
      </w:r>
      <w:r>
        <w:rPr>
          <w:rFonts w:ascii="Calibri" w:eastAsia="宋体" w:hAnsi="Calibri" w:cstheme="minorBidi" w:hint="eastAsia"/>
          <w:kern w:val="2"/>
          <w:sz w:val="21"/>
          <w:szCs w:val="21"/>
          <w:u w:val="single"/>
          <w:lang w:eastAsia="zh-CN"/>
        </w:rPr>
        <w:t xml:space="preserve">   </w:t>
      </w:r>
      <w:r>
        <w:rPr>
          <w:rFonts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p>
    <w:p>
      <w:pPr>
        <w:widowControl w:val="0"/>
        <w:spacing w:line="360" w:lineRule="auto"/>
        <w:ind w:firstLine="420" w:firstLineChars="200"/>
        <w:jc w:val="both"/>
        <w:rPr>
          <w:rFonts w:eastAsia="宋体"/>
          <w:kern w:val="2"/>
          <w:sz w:val="21"/>
          <w:szCs w:val="21"/>
          <w:u w:val="single"/>
          <w:lang w:eastAsia="zh-CN"/>
        </w:rPr>
      </w:pPr>
      <w:r>
        <w:rPr>
          <w:rFonts w:ascii="Calibri" w:eastAsia="宋体" w:hAnsi="Calibri" w:cstheme="minorBidi" w:hint="eastAsia"/>
          <w:kern w:val="2"/>
          <w:sz w:val="21"/>
          <w:szCs w:val="21"/>
          <w:lang w:eastAsia="zh-CN"/>
        </w:rPr>
        <w:t>联系电话：</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r>
        <w:rPr>
          <w:rFonts w:eastAsia="宋体" w:hint="eastAsia"/>
          <w:kern w:val="2"/>
          <w:sz w:val="21"/>
          <w:szCs w:val="21"/>
          <w:lang w:eastAsia="zh-CN"/>
        </w:rPr>
        <w:t>手机：</w:t>
      </w:r>
      <w:r>
        <w:rPr>
          <w:rFonts w:eastAsia="宋体" w:hint="eastAsia"/>
          <w:kern w:val="2"/>
          <w:sz w:val="21"/>
          <w:szCs w:val="21"/>
          <w:u w:val="single"/>
          <w:lang w:eastAsia="zh-CN"/>
        </w:rPr>
        <w:t xml:space="preserve">                   ，</w:t>
      </w:r>
      <w:r>
        <w:rPr>
          <w:rFonts w:eastAsia="宋体" w:hAnsi="Calibri" w:cstheme="minorBidi" w:hint="eastAsia"/>
          <w:kern w:val="2"/>
          <w:sz w:val="21"/>
          <w:szCs w:val="21"/>
          <w:lang w:eastAsia="zh-CN"/>
        </w:rPr>
        <w:t>电子邮箱：</w:t>
      </w:r>
      <w:r>
        <w:rPr>
          <w:rFonts w:ascii="Calibri" w:eastAsia="宋体" w:hAnsi="Calibri" w:cstheme="minorBidi" w:hint="eastAsia"/>
          <w:kern w:val="2"/>
          <w:sz w:val="21"/>
          <w:szCs w:val="21"/>
          <w:u w:val="single"/>
          <w:lang w:eastAsia="zh-CN"/>
        </w:rPr>
        <w:t xml:space="preserve">            </w:t>
      </w:r>
      <w:r>
        <w:rPr>
          <w:rFonts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u w:val="single"/>
          <w:lang w:eastAsia="zh-CN"/>
        </w:rPr>
        <w:t xml:space="preserve">       </w:t>
      </w:r>
    </w:p>
    <w:p>
      <w:pPr>
        <w:widowControl w:val="0"/>
        <w:spacing w:line="360" w:lineRule="auto"/>
        <w:ind w:firstLine="420" w:firstLineChars="200"/>
        <w:jc w:val="both"/>
        <w:rPr>
          <w:rFonts w:eastAsia="宋体"/>
          <w:kern w:val="2"/>
          <w:sz w:val="21"/>
          <w:szCs w:val="21"/>
          <w:u w:val="single"/>
          <w:lang w:eastAsia="zh-CN"/>
        </w:rPr>
      </w:pPr>
      <w:r>
        <w:rPr>
          <w:rFonts w:eastAsia="宋体" w:hint="eastAsia"/>
          <w:kern w:val="2"/>
          <w:sz w:val="21"/>
          <w:szCs w:val="21"/>
          <w:lang w:eastAsia="zh-CN"/>
        </w:rPr>
        <w:t>授权委托日期：</w:t>
      </w:r>
      <w:r>
        <w:rPr>
          <w:rFonts w:eastAsia="宋体" w:hint="eastAsia"/>
          <w:kern w:val="2"/>
          <w:sz w:val="21"/>
          <w:szCs w:val="21"/>
          <w:u w:val="single"/>
          <w:lang w:eastAsia="zh-CN"/>
        </w:rPr>
        <w:t xml:space="preserve">         </w:t>
      </w:r>
      <w:r>
        <w:rPr>
          <w:rFonts w:eastAsia="宋体" w:hint="eastAsia"/>
          <w:kern w:val="2"/>
          <w:sz w:val="21"/>
          <w:szCs w:val="21"/>
          <w:lang w:eastAsia="zh-CN"/>
        </w:rPr>
        <w:t>年</w:t>
      </w:r>
      <w:r>
        <w:rPr>
          <w:rFonts w:eastAsia="宋体" w:hint="eastAsia"/>
          <w:kern w:val="2"/>
          <w:sz w:val="21"/>
          <w:szCs w:val="21"/>
          <w:u w:val="single"/>
          <w:lang w:eastAsia="zh-CN"/>
        </w:rPr>
        <w:t xml:space="preserve">     </w:t>
      </w:r>
      <w:r>
        <w:rPr>
          <w:rFonts w:eastAsia="宋体" w:hint="eastAsia"/>
          <w:kern w:val="2"/>
          <w:sz w:val="21"/>
          <w:szCs w:val="21"/>
          <w:lang w:eastAsia="zh-CN"/>
        </w:rPr>
        <w:t xml:space="preserve">月 </w:t>
      </w:r>
      <w:r>
        <w:rPr>
          <w:rFonts w:eastAsia="宋体" w:hint="eastAsia"/>
          <w:kern w:val="2"/>
          <w:sz w:val="21"/>
          <w:szCs w:val="21"/>
          <w:u w:val="single"/>
          <w:lang w:eastAsia="zh-CN"/>
        </w:rPr>
        <w:t xml:space="preserve">      </w:t>
      </w:r>
      <w:r>
        <w:rPr>
          <w:rFonts w:eastAsia="宋体" w:hint="eastAsia"/>
          <w:kern w:val="2"/>
          <w:sz w:val="21"/>
          <w:szCs w:val="21"/>
          <w:lang w:eastAsia="zh-CN"/>
        </w:rPr>
        <w:t>日</w:t>
      </w:r>
    </w:p>
    <w:p>
      <w:pPr>
        <w:widowControl w:val="0"/>
        <w:jc w:val="both"/>
        <w:rPr>
          <w:rFonts w:eastAsia="宋体"/>
          <w:kern w:val="2"/>
          <w:sz w:val="21"/>
          <w:lang w:eastAsia="zh-CN"/>
        </w:rPr>
      </w:pPr>
    </w:p>
    <w:p>
      <w:pPr>
        <w:widowControl w:val="0"/>
        <w:spacing w:line="360" w:lineRule="auto"/>
        <w:ind w:firstLine="420" w:firstLineChars="200"/>
        <w:jc w:val="both"/>
        <w:rPr>
          <w:rFonts w:eastAsia="宋体"/>
          <w:b/>
          <w:color w:val="FF0000"/>
          <w:kern w:val="2"/>
          <w:sz w:val="21"/>
          <w:szCs w:val="21"/>
          <w:lang w:eastAsia="zh-CN"/>
        </w:rPr>
      </w:pPr>
      <w:r>
        <w:rPr>
          <w:rFonts w:eastAsia="宋体" w:hint="eastAsia"/>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537"/>
        <w:gridCol w:w="454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499" w:type="pct"/>
          </w:tcPr>
          <w:p>
            <w:pPr>
              <w:jc w:val="center"/>
              <w:rPr>
                <w:kern w:val="2"/>
                <w:sz w:val="21"/>
                <w:szCs w:val="22"/>
                <w:lang w:eastAsia="zh-CN"/>
              </w:rPr>
            </w:pPr>
            <w:r>
              <w:rPr>
                <w:rFonts w:hint="eastAsia"/>
                <w:kern w:val="2"/>
                <w:sz w:val="21"/>
                <w:szCs w:val="22"/>
                <w:lang w:eastAsia="zh-CN"/>
              </w:rPr>
              <w:t>证件扫描件正面</w:t>
            </w:r>
          </w:p>
          <w:p>
            <w:pPr>
              <w:spacing w:after="120"/>
              <w:jc w:val="center"/>
              <w:rPr>
                <w:kern w:val="2"/>
                <w:sz w:val="21"/>
                <w:lang w:eastAsia="zh-CN"/>
              </w:rPr>
            </w:pPr>
          </w:p>
          <w:p>
            <w:pPr>
              <w:spacing w:line="360" w:lineRule="auto"/>
              <w:jc w:val="center"/>
              <w:rPr>
                <w:kern w:val="2"/>
                <w:lang w:eastAsia="zh-CN"/>
              </w:rPr>
            </w:pPr>
          </w:p>
        </w:tc>
        <w:tc>
          <w:tcPr>
            <w:tcW w:w="2500" w:type="pct"/>
          </w:tcPr>
          <w:p>
            <w:pPr>
              <w:jc w:val="center"/>
              <w:rPr>
                <w:kern w:val="2"/>
                <w:sz w:val="21"/>
                <w:szCs w:val="22"/>
                <w:lang w:eastAsia="zh-CN"/>
              </w:rPr>
            </w:pPr>
            <w:r>
              <w:rPr>
                <w:rFonts w:hint="eastAsia"/>
                <w:kern w:val="2"/>
                <w:sz w:val="21"/>
                <w:szCs w:val="22"/>
                <w:lang w:eastAsia="zh-CN"/>
              </w:rPr>
              <w:t>证件扫描件反面</w:t>
            </w:r>
          </w:p>
          <w:p>
            <w:pPr>
              <w:spacing w:after="120"/>
              <w:jc w:val="center"/>
              <w:rPr>
                <w:kern w:val="2"/>
                <w:sz w:val="21"/>
                <w:lang w:eastAsia="zh-CN"/>
              </w:rPr>
            </w:pPr>
          </w:p>
          <w:p>
            <w:pPr>
              <w:spacing w:line="360" w:lineRule="auto"/>
              <w:jc w:val="center"/>
              <w:rPr>
                <w:kern w:val="2"/>
                <w:lang w:eastAsia="zh-CN"/>
              </w:rPr>
            </w:pPr>
          </w:p>
        </w:tc>
      </w:tr>
    </w:tbl>
    <w:p>
      <w:pPr>
        <w:widowControl w:val="0"/>
        <w:spacing w:line="360" w:lineRule="auto"/>
        <w:jc w:val="both"/>
        <w:rPr>
          <w:rFonts w:eastAsia="宋体"/>
          <w:b/>
          <w:kern w:val="2"/>
          <w:sz w:val="21"/>
          <w:szCs w:val="21"/>
          <w:lang w:eastAsia="zh-CN"/>
        </w:rPr>
      </w:pPr>
    </w:p>
    <w:p>
      <w:pPr>
        <w:widowControl w:val="0"/>
        <w:jc w:val="both"/>
        <w:rPr>
          <w:rFonts w:ascii="黑体" w:eastAsia="黑体"/>
          <w:lang w:eastAsia="zh-CN"/>
        </w:rPr>
      </w:pPr>
      <w:r>
        <w:rPr>
          <w:rFonts w:ascii="黑体" w:eastAsia="黑体" w:hint="eastAsia"/>
          <w:lang w:eastAsia="zh-CN"/>
        </w:rPr>
        <w:br w:type="page"/>
      </w:r>
    </w:p>
    <w:p>
      <w:pPr>
        <w:keepNext/>
        <w:keepLines/>
        <w:widowControl w:val="0"/>
        <w:spacing w:before="260" w:after="260"/>
        <w:jc w:val="center"/>
        <w:outlineLvl w:val="2"/>
        <w:rPr>
          <w:rFonts w:ascii="黑体" w:eastAsia="黑体" w:hAnsi="宋体"/>
          <w:bCs/>
          <w:lang w:eastAsia="zh-CN"/>
        </w:rPr>
      </w:pPr>
      <w:r>
        <w:rPr>
          <w:rFonts w:ascii="黑体" w:eastAsia="黑体" w:hAnsi="宋体" w:hint="eastAsia"/>
          <w:bCs/>
          <w:kern w:val="2"/>
          <w:szCs w:val="32"/>
          <w:lang w:eastAsia="zh-CN"/>
        </w:rPr>
        <w:t>十</w:t>
      </w:r>
      <w:r>
        <w:rPr>
          <w:rFonts w:ascii="黑体" w:eastAsia="黑体" w:hAnsi="宋体" w:hint="eastAsia"/>
          <w:bCs/>
          <w:lang w:eastAsia="zh-CN"/>
        </w:rPr>
        <w:t>、</w:t>
      </w:r>
      <w:bookmarkStart w:id="44" w:name="_Hlk72092634"/>
      <w:r>
        <w:rPr>
          <w:rFonts w:ascii="黑体" w:eastAsia="黑体" w:hAnsi="宋体" w:hint="eastAsia"/>
          <w:bCs/>
          <w:lang w:eastAsia="zh-CN"/>
        </w:rPr>
        <w:t>实质性条款响应情况表</w:t>
      </w:r>
      <w:bookmarkEnd w:id="44"/>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1"/>
        <w:gridCol w:w="4084"/>
        <w:gridCol w:w="1911"/>
        <w:gridCol w:w="1317"/>
        <w:gridCol w:w="103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31"/>
        </w:trPr>
        <w:tc>
          <w:tcPr>
            <w:tcW w:w="705" w:type="dxa"/>
            <w:vAlign w:val="center"/>
          </w:tcPr>
          <w:p>
            <w:pPr>
              <w:widowControl w:val="0"/>
              <w:adjustRightInd w:val="0"/>
              <w:snapToGrid w:val="0"/>
              <w:jc w:val="center"/>
              <w:rPr>
                <w:rFonts w:ascii="宋体" w:eastAsia="宋体" w:hAnsi="宋体"/>
                <w:b/>
                <w:sz w:val="21"/>
                <w:szCs w:val="21"/>
                <w:lang w:eastAsia="zh-CN"/>
              </w:rPr>
            </w:pPr>
            <w:bookmarkStart w:id="45" w:name="_Hlk72092651"/>
            <w:r>
              <w:rPr>
                <w:rFonts w:ascii="宋体" w:eastAsia="宋体" w:hAnsi="宋体" w:hint="eastAsia"/>
                <w:b/>
                <w:sz w:val="21"/>
                <w:szCs w:val="21"/>
                <w:lang w:eastAsia="zh-CN"/>
              </w:rPr>
              <w:t>序号</w:t>
            </w:r>
          </w:p>
        </w:tc>
        <w:tc>
          <w:tcPr>
            <w:tcW w:w="3939" w:type="dxa"/>
            <w:vAlign w:val="center"/>
          </w:tcPr>
          <w:p>
            <w:pPr>
              <w:widowControl w:val="0"/>
              <w:adjustRightInd w:val="0"/>
              <w:snapToGrid w:val="0"/>
              <w:jc w:val="center"/>
              <w:rPr>
                <w:rFonts w:ascii="宋体" w:eastAsia="宋体" w:hAnsi="宋体"/>
                <w:b/>
                <w:sz w:val="21"/>
                <w:szCs w:val="21"/>
                <w:lang w:eastAsia="zh-CN"/>
              </w:rPr>
            </w:pPr>
            <w:r>
              <w:rPr>
                <w:rFonts w:eastAsia="宋体" w:hint="eastAsia"/>
                <w:b/>
                <w:color w:val="FF0000"/>
                <w:sz w:val="21"/>
                <w:szCs w:val="21"/>
                <w:lang w:eastAsia="zh-CN"/>
              </w:rPr>
              <w:t>★</w:t>
            </w:r>
            <w:r>
              <w:rPr>
                <w:rFonts w:ascii="宋体" w:eastAsia="宋体" w:hAnsi="宋体" w:hint="eastAsia"/>
                <w:b/>
                <w:sz w:val="21"/>
                <w:szCs w:val="21"/>
                <w:lang w:eastAsia="zh-CN"/>
              </w:rPr>
              <w:t>实质性条款具体内容</w:t>
            </w:r>
          </w:p>
        </w:tc>
        <w:tc>
          <w:tcPr>
            <w:tcW w:w="1843" w:type="dxa"/>
            <w:vAlign w:val="center"/>
          </w:tcPr>
          <w:p>
            <w:pPr>
              <w:widowControl w:val="0"/>
              <w:adjustRightInd w:val="0"/>
              <w:snapToGrid w:val="0"/>
              <w:jc w:val="center"/>
              <w:rPr>
                <w:rFonts w:ascii="宋体" w:eastAsia="宋体" w:hAnsi="宋体"/>
                <w:b/>
                <w:sz w:val="21"/>
                <w:szCs w:val="21"/>
                <w:lang w:eastAsia="zh-CN"/>
              </w:rPr>
            </w:pPr>
            <w:r>
              <w:rPr>
                <w:rFonts w:eastAsia="宋体" w:hint="eastAsia"/>
                <w:b/>
                <w:kern w:val="2"/>
                <w:sz w:val="21"/>
                <w:lang w:eastAsia="zh-CN"/>
              </w:rPr>
              <w:t>投标响应</w:t>
            </w:r>
          </w:p>
        </w:tc>
        <w:tc>
          <w:tcPr>
            <w:tcW w:w="1270" w:type="dxa"/>
            <w:vAlign w:val="center"/>
          </w:tcPr>
          <w:p>
            <w:pPr>
              <w:widowControl w:val="0"/>
              <w:adjustRightInd w:val="0"/>
              <w:snapToGrid w:val="0"/>
              <w:jc w:val="center"/>
              <w:rPr>
                <w:rFonts w:ascii="宋体" w:eastAsia="宋体" w:hAnsi="宋体"/>
                <w:b/>
                <w:sz w:val="21"/>
                <w:szCs w:val="21"/>
                <w:lang w:eastAsia="zh-CN"/>
              </w:rPr>
            </w:pPr>
            <w:r>
              <w:rPr>
                <w:rFonts w:eastAsia="宋体" w:hint="eastAsia"/>
                <w:b/>
                <w:kern w:val="2"/>
                <w:sz w:val="21"/>
                <w:lang w:eastAsia="zh-CN"/>
              </w:rPr>
              <w:t>偏离情况</w:t>
            </w:r>
          </w:p>
        </w:tc>
        <w:tc>
          <w:tcPr>
            <w:tcW w:w="998" w:type="dxa"/>
            <w:vAlign w:val="center"/>
          </w:tcPr>
          <w:p>
            <w:pPr>
              <w:widowControl w:val="0"/>
              <w:adjustRightInd w:val="0"/>
              <w:snapToGrid w:val="0"/>
              <w:jc w:val="center"/>
              <w:rPr>
                <w:rFonts w:ascii="宋体" w:eastAsia="宋体" w:hAnsi="宋体"/>
                <w:b/>
                <w:sz w:val="21"/>
                <w:szCs w:val="21"/>
                <w:lang w:eastAsia="zh-CN"/>
              </w:rPr>
            </w:pPr>
            <w:r>
              <w:rPr>
                <w:rFonts w:eastAsia="宋体" w:hint="eastAsia"/>
                <w:b/>
                <w:kern w:val="2"/>
                <w:sz w:val="21"/>
                <w:lang w:eastAsia="zh-CN"/>
              </w:rPr>
              <w:t>说明</w:t>
            </w:r>
          </w:p>
        </w:tc>
      </w:tr>
      <w:bookmarkEnd w:id="45"/>
      <w:tr>
        <w:tblPrEx>
          <w:tblW w:w="5000" w:type="pct"/>
          <w:tblInd w:w="0" w:type="dxa"/>
          <w:tblLayout w:type="fixed"/>
          <w:tblCellMar>
            <w:top w:w="0" w:type="dxa"/>
            <w:left w:w="108" w:type="dxa"/>
            <w:bottom w:w="0" w:type="dxa"/>
            <w:right w:w="108" w:type="dxa"/>
          </w:tblCellMar>
        </w:tblPrEx>
        <w:trPr>
          <w:trHeight w:val="381"/>
        </w:trPr>
        <w:tc>
          <w:tcPr>
            <w:tcW w:w="705" w:type="dxa"/>
            <w:vAlign w:val="center"/>
          </w:tcPr>
          <w:p>
            <w:pPr>
              <w:widowControl w:val="0"/>
              <w:adjustRightInd w:val="0"/>
              <w:snapToGrid w:val="0"/>
              <w:jc w:val="center"/>
              <w:rPr>
                <w:rFonts w:ascii="宋体" w:eastAsia="宋体" w:hAnsi="宋体"/>
                <w:sz w:val="21"/>
                <w:szCs w:val="21"/>
                <w:lang w:eastAsia="zh-CN"/>
              </w:rPr>
            </w:pPr>
            <w:r>
              <w:rPr>
                <w:rFonts w:ascii="宋体" w:eastAsia="宋体" w:hAnsi="宋体" w:hint="eastAsia"/>
                <w:sz w:val="21"/>
                <w:szCs w:val="21"/>
                <w:lang w:eastAsia="zh-CN"/>
              </w:rPr>
              <w:t>1</w:t>
            </w:r>
          </w:p>
        </w:tc>
        <w:tc>
          <w:tcPr>
            <w:tcW w:w="3939" w:type="dxa"/>
            <w:vAlign w:val="center"/>
          </w:tcPr>
          <w:p>
            <w:pPr>
              <w:widowControl w:val="0"/>
              <w:adjustRightInd w:val="0"/>
              <w:snapToGrid w:val="0"/>
              <w:spacing w:line="276" w:lineRule="auto"/>
              <w:jc w:val="left"/>
              <w:rPr>
                <w:rFonts w:eastAsia="宋体" w:hAnsi="宋体"/>
                <w:sz w:val="21"/>
                <w:szCs w:val="21"/>
                <w:lang w:eastAsia="zh-CN"/>
              </w:rPr>
            </w:pPr>
            <w:r>
              <w:rPr>
                <w:rFonts w:ascii="宋体" w:eastAsia="宋体" w:hAnsi="宋体" w:hint="eastAsia"/>
                <w:color w:val="FF0000"/>
                <w:kern w:val="2"/>
                <w:sz w:val="21"/>
                <w:szCs w:val="21"/>
                <w:lang w:eastAsia="zh-CN"/>
              </w:rPr>
              <w:t>★</w:t>
            </w:r>
            <w:r>
              <w:rPr>
                <w:rFonts w:ascii="宋体" w:eastAsia="宋体" w:hAnsi="宋体" w:hint="eastAsia"/>
                <w:b/>
                <w:bCs/>
                <w:color w:val="FF0000"/>
                <w:kern w:val="2"/>
                <w:sz w:val="21"/>
                <w:szCs w:val="21"/>
                <w:lang w:eastAsia="zh-CN"/>
              </w:rPr>
              <w:t>服务期限：自从合同签订或约定之日起1年（12个月）。</w:t>
            </w:r>
          </w:p>
        </w:tc>
        <w:tc>
          <w:tcPr>
            <w:tcW w:w="1843" w:type="dxa"/>
            <w:vAlign w:val="center"/>
          </w:tcPr>
          <w:p>
            <w:pPr>
              <w:widowControl w:val="0"/>
              <w:adjustRightInd w:val="0"/>
              <w:snapToGrid w:val="0"/>
              <w:jc w:val="center"/>
              <w:rPr>
                <w:rFonts w:ascii="宋体" w:eastAsia="宋体" w:hAnsi="宋体"/>
                <w:sz w:val="21"/>
                <w:szCs w:val="21"/>
                <w:lang w:eastAsia="zh-CN"/>
              </w:rPr>
            </w:pPr>
          </w:p>
        </w:tc>
        <w:tc>
          <w:tcPr>
            <w:tcW w:w="1270" w:type="dxa"/>
            <w:vAlign w:val="center"/>
          </w:tcPr>
          <w:p>
            <w:pPr>
              <w:widowControl w:val="0"/>
              <w:adjustRightInd w:val="0"/>
              <w:snapToGrid w:val="0"/>
              <w:jc w:val="center"/>
              <w:rPr>
                <w:rFonts w:ascii="宋体" w:eastAsia="宋体" w:hAnsi="宋体"/>
                <w:sz w:val="21"/>
                <w:szCs w:val="21"/>
                <w:lang w:eastAsia="zh-CN"/>
              </w:rPr>
            </w:pPr>
          </w:p>
        </w:tc>
        <w:tc>
          <w:tcPr>
            <w:tcW w:w="998" w:type="dxa"/>
            <w:vAlign w:val="center"/>
          </w:tcPr>
          <w:p>
            <w:pPr>
              <w:widowControl w:val="0"/>
              <w:adjustRightInd w:val="0"/>
              <w:snapToGrid w:val="0"/>
              <w:jc w:val="center"/>
              <w:rPr>
                <w:rFonts w:ascii="宋体" w:eastAsia="宋体" w:hAnsi="宋体"/>
                <w:sz w:val="21"/>
                <w:szCs w:val="21"/>
                <w:lang w:eastAsia="zh-CN"/>
              </w:rPr>
            </w:pPr>
          </w:p>
        </w:tc>
      </w:tr>
      <w:tr>
        <w:tblPrEx>
          <w:tblW w:w="5000" w:type="pct"/>
          <w:tblInd w:w="0" w:type="dxa"/>
          <w:tblLayout w:type="fixed"/>
          <w:tblCellMar>
            <w:top w:w="0" w:type="dxa"/>
            <w:left w:w="108" w:type="dxa"/>
            <w:bottom w:w="0" w:type="dxa"/>
            <w:right w:w="108" w:type="dxa"/>
          </w:tblCellMar>
        </w:tblPrEx>
        <w:trPr>
          <w:trHeight w:val="381"/>
        </w:trPr>
        <w:tc>
          <w:tcPr>
            <w:tcW w:w="705" w:type="dxa"/>
            <w:vAlign w:val="center"/>
          </w:tcPr>
          <w:p>
            <w:pPr>
              <w:widowControl w:val="0"/>
              <w:adjustRightInd w:val="0"/>
              <w:snapToGrid w:val="0"/>
              <w:jc w:val="center"/>
              <w:rPr>
                <w:rFonts w:ascii="宋体" w:eastAsia="宋体" w:hAnsi="宋体"/>
                <w:sz w:val="21"/>
                <w:szCs w:val="21"/>
                <w:lang w:eastAsia="zh-CN"/>
              </w:rPr>
            </w:pPr>
            <w:r>
              <w:rPr>
                <w:rFonts w:ascii="宋体" w:eastAsia="宋体" w:hAnsi="宋体" w:hint="eastAsia"/>
                <w:sz w:val="21"/>
                <w:szCs w:val="21"/>
                <w:lang w:eastAsia="zh-CN"/>
              </w:rPr>
              <w:t>2</w:t>
            </w:r>
          </w:p>
        </w:tc>
        <w:tc>
          <w:tcPr>
            <w:tcW w:w="3939" w:type="dxa"/>
            <w:vAlign w:val="center"/>
          </w:tcPr>
          <w:p>
            <w:pPr>
              <w:widowControl w:val="0"/>
              <w:adjustRightInd w:val="0"/>
              <w:snapToGrid w:val="0"/>
              <w:spacing w:line="276" w:lineRule="auto"/>
              <w:jc w:val="left"/>
              <w:rPr>
                <w:rFonts w:eastAsia="宋体"/>
                <w:b/>
                <w:color w:val="FF0000"/>
                <w:sz w:val="21"/>
                <w:szCs w:val="21"/>
                <w:lang w:eastAsia="zh-CN"/>
              </w:rPr>
            </w:pPr>
            <w:r>
              <w:rPr>
                <w:rFonts w:ascii="宋体" w:eastAsia="宋体" w:hAnsi="宋体" w:hint="eastAsia"/>
                <w:b/>
                <w:bCs/>
                <w:color w:val="FF0000"/>
                <w:kern w:val="2"/>
                <w:sz w:val="21"/>
                <w:szCs w:val="21"/>
                <w:lang w:eastAsia="zh-CN"/>
              </w:rPr>
              <w:t>★项目免费质保期：整体工程质保期不少于2年。</w:t>
            </w:r>
          </w:p>
        </w:tc>
        <w:tc>
          <w:tcPr>
            <w:tcW w:w="1843" w:type="dxa"/>
            <w:vAlign w:val="center"/>
          </w:tcPr>
          <w:p>
            <w:pPr>
              <w:widowControl w:val="0"/>
              <w:adjustRightInd w:val="0"/>
              <w:snapToGrid w:val="0"/>
              <w:jc w:val="center"/>
              <w:rPr>
                <w:rFonts w:ascii="宋体" w:eastAsia="宋体" w:hAnsi="宋体"/>
                <w:sz w:val="21"/>
                <w:szCs w:val="21"/>
                <w:lang w:eastAsia="zh-CN"/>
              </w:rPr>
            </w:pPr>
          </w:p>
        </w:tc>
        <w:tc>
          <w:tcPr>
            <w:tcW w:w="1270" w:type="dxa"/>
            <w:vAlign w:val="center"/>
          </w:tcPr>
          <w:p>
            <w:pPr>
              <w:widowControl w:val="0"/>
              <w:adjustRightInd w:val="0"/>
              <w:snapToGrid w:val="0"/>
              <w:jc w:val="center"/>
              <w:rPr>
                <w:rFonts w:ascii="宋体" w:eastAsia="宋体" w:hAnsi="宋体"/>
                <w:sz w:val="21"/>
                <w:szCs w:val="21"/>
                <w:lang w:eastAsia="zh-CN"/>
              </w:rPr>
            </w:pPr>
          </w:p>
        </w:tc>
        <w:tc>
          <w:tcPr>
            <w:tcW w:w="998" w:type="dxa"/>
            <w:vAlign w:val="center"/>
          </w:tcPr>
          <w:p>
            <w:pPr>
              <w:widowControl w:val="0"/>
              <w:adjustRightInd w:val="0"/>
              <w:snapToGrid w:val="0"/>
              <w:jc w:val="center"/>
              <w:rPr>
                <w:rFonts w:ascii="宋体" w:eastAsia="宋体" w:hAnsi="宋体"/>
                <w:sz w:val="21"/>
                <w:szCs w:val="21"/>
                <w:lang w:eastAsia="zh-CN"/>
              </w:rPr>
            </w:pPr>
          </w:p>
        </w:tc>
      </w:tr>
      <w:tr>
        <w:tblPrEx>
          <w:tblW w:w="5000" w:type="pct"/>
          <w:tblInd w:w="0" w:type="dxa"/>
          <w:tblLayout w:type="fixed"/>
          <w:tblCellMar>
            <w:top w:w="0" w:type="dxa"/>
            <w:left w:w="108" w:type="dxa"/>
            <w:bottom w:w="0" w:type="dxa"/>
            <w:right w:w="108" w:type="dxa"/>
          </w:tblCellMar>
        </w:tblPrEx>
        <w:trPr>
          <w:trHeight w:val="381"/>
        </w:trPr>
        <w:tc>
          <w:tcPr>
            <w:tcW w:w="705" w:type="dxa"/>
            <w:vAlign w:val="center"/>
          </w:tcPr>
          <w:p>
            <w:pPr>
              <w:widowControl w:val="0"/>
              <w:adjustRightInd w:val="0"/>
              <w:snapToGrid w:val="0"/>
              <w:jc w:val="center"/>
              <w:rPr>
                <w:rFonts w:ascii="宋体" w:eastAsia="宋体" w:hAnsi="宋体"/>
                <w:sz w:val="21"/>
                <w:szCs w:val="21"/>
                <w:lang w:eastAsia="zh-CN"/>
              </w:rPr>
            </w:pPr>
            <w:r>
              <w:rPr>
                <w:rFonts w:ascii="宋体" w:eastAsia="宋体" w:hAnsi="宋体" w:hint="eastAsia"/>
                <w:sz w:val="21"/>
                <w:szCs w:val="21"/>
                <w:lang w:eastAsia="zh-CN"/>
              </w:rPr>
              <w:t>3</w:t>
            </w:r>
          </w:p>
        </w:tc>
        <w:tc>
          <w:tcPr>
            <w:tcW w:w="3939" w:type="dxa"/>
            <w:vAlign w:val="center"/>
          </w:tcPr>
          <w:p>
            <w:pPr>
              <w:widowControl w:val="0"/>
              <w:adjustRightInd w:val="0"/>
              <w:snapToGrid w:val="0"/>
              <w:spacing w:line="276" w:lineRule="auto"/>
              <w:jc w:val="left"/>
              <w:rPr>
                <w:rFonts w:eastAsia="宋体"/>
                <w:b/>
                <w:color w:val="FF0000"/>
                <w:sz w:val="21"/>
                <w:szCs w:val="21"/>
                <w:lang w:eastAsia="zh-CN"/>
              </w:rPr>
            </w:pPr>
            <w:r>
              <w:rPr>
                <w:rFonts w:ascii="宋体" w:eastAsia="宋体" w:hAnsi="宋体" w:hint="eastAsia"/>
                <w:b/>
                <w:bCs/>
                <w:color w:val="FF0000"/>
                <w:kern w:val="2"/>
                <w:sz w:val="21"/>
                <w:szCs w:val="21"/>
                <w:lang w:eastAsia="zh-CN"/>
              </w:rPr>
              <w:t>★结算资料提交时限要求：项目完工、申请科室签字确认后，服务商收到后勤保障科（基建）结算指令后90天内向后勤保障科（基建）提交竣工结算书及完整的结算资料，否则视为放弃结算的权利，造成的一切损失由承包人自行承担。</w:t>
            </w:r>
          </w:p>
        </w:tc>
        <w:tc>
          <w:tcPr>
            <w:tcW w:w="1843" w:type="dxa"/>
            <w:vAlign w:val="center"/>
          </w:tcPr>
          <w:p>
            <w:pPr>
              <w:widowControl w:val="0"/>
              <w:adjustRightInd w:val="0"/>
              <w:snapToGrid w:val="0"/>
              <w:jc w:val="center"/>
              <w:rPr>
                <w:rFonts w:ascii="宋体" w:eastAsia="宋体" w:hAnsi="宋体"/>
                <w:sz w:val="21"/>
                <w:szCs w:val="21"/>
                <w:lang w:eastAsia="zh-CN"/>
              </w:rPr>
            </w:pPr>
          </w:p>
        </w:tc>
        <w:tc>
          <w:tcPr>
            <w:tcW w:w="1270" w:type="dxa"/>
            <w:vAlign w:val="center"/>
          </w:tcPr>
          <w:p>
            <w:pPr>
              <w:widowControl w:val="0"/>
              <w:adjustRightInd w:val="0"/>
              <w:snapToGrid w:val="0"/>
              <w:jc w:val="center"/>
              <w:rPr>
                <w:rFonts w:ascii="宋体" w:eastAsia="宋体" w:hAnsi="宋体"/>
                <w:sz w:val="21"/>
                <w:szCs w:val="21"/>
                <w:lang w:eastAsia="zh-CN"/>
              </w:rPr>
            </w:pPr>
          </w:p>
        </w:tc>
        <w:tc>
          <w:tcPr>
            <w:tcW w:w="998" w:type="dxa"/>
            <w:vAlign w:val="center"/>
          </w:tcPr>
          <w:p>
            <w:pPr>
              <w:widowControl w:val="0"/>
              <w:adjustRightInd w:val="0"/>
              <w:snapToGrid w:val="0"/>
              <w:jc w:val="center"/>
              <w:rPr>
                <w:rFonts w:ascii="宋体" w:eastAsia="宋体" w:hAnsi="宋体"/>
                <w:sz w:val="21"/>
                <w:szCs w:val="21"/>
                <w:lang w:eastAsia="zh-CN"/>
              </w:rPr>
            </w:pPr>
          </w:p>
        </w:tc>
      </w:tr>
    </w:tbl>
    <w:p>
      <w:pPr>
        <w:widowControl w:val="0"/>
        <w:spacing w:line="276" w:lineRule="auto"/>
        <w:jc w:val="both"/>
        <w:rPr>
          <w:rFonts w:ascii="宋体" w:eastAsia="宋体" w:hAnsi="宋体" w:cs="宋体"/>
          <w:bCs/>
          <w:kern w:val="2"/>
          <w:sz w:val="21"/>
          <w:szCs w:val="21"/>
          <w:lang w:eastAsia="zh-CN"/>
        </w:rPr>
      </w:pPr>
    </w:p>
    <w:p>
      <w:pPr>
        <w:widowControl w:val="0"/>
        <w:spacing w:line="276"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注：</w:t>
      </w:r>
    </w:p>
    <w:p>
      <w:pPr>
        <w:widowControl w:val="0"/>
        <w:spacing w:line="276"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1.上表所列各项均为不可负偏离条款。</w:t>
      </w:r>
    </w:p>
    <w:p>
      <w:pPr>
        <w:widowControl w:val="0"/>
        <w:spacing w:line="276"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2.“投标响应”一栏应当详细填写投标人自身响应情况，而不能不合理照搬照抄招标文件实质性条款具体内容。</w:t>
      </w:r>
      <w:r>
        <w:rPr>
          <w:rFonts w:ascii="宋体" w:eastAsia="宋体" w:hAnsi="宋体" w:cs="宋体" w:hint="eastAsia"/>
          <w:b/>
          <w:bCs/>
          <w:kern w:val="2"/>
          <w:sz w:val="21"/>
          <w:szCs w:val="21"/>
          <w:lang w:eastAsia="zh-CN"/>
        </w:rPr>
        <w:t>如完全满足实质性条款具体内容可填写“完全响应”。</w:t>
      </w:r>
    </w:p>
    <w:p>
      <w:pPr>
        <w:widowControl w:val="0"/>
        <w:spacing w:line="276"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3.“偏离情况”一栏应填写</w:t>
      </w:r>
      <w:r>
        <w:rPr>
          <w:rFonts w:ascii="宋体" w:eastAsia="宋体" w:hAnsi="宋体" w:cs="宋体" w:hint="eastAsia"/>
          <w:b/>
          <w:bCs/>
          <w:kern w:val="2"/>
          <w:sz w:val="21"/>
          <w:szCs w:val="21"/>
          <w:lang w:eastAsia="zh-CN"/>
        </w:rPr>
        <w:t>“正偏离”、“负偏离”或“无偏离”</w:t>
      </w:r>
      <w:r>
        <w:rPr>
          <w:rFonts w:ascii="宋体" w:eastAsia="宋体" w:hAnsi="宋体" w:cs="宋体" w:hint="eastAsia"/>
          <w:bCs/>
          <w:kern w:val="2"/>
          <w:sz w:val="21"/>
          <w:szCs w:val="21"/>
          <w:lang w:eastAsia="zh-CN"/>
        </w:rPr>
        <w:t>，“正偏离”表示“投标响应优于实质性条款具体内容要求”，“负偏离”表示“投标响应不满足实质性条款具体内容要求”，“无偏离”表示“投标响应与实质性条款具体内容要求一致”。</w:t>
      </w:r>
    </w:p>
    <w:p>
      <w:pPr>
        <w:widowControl w:val="0"/>
        <w:spacing w:line="276"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4.评审委员会有权对投标响应情况作出判断（作出评审结论）。</w:t>
      </w:r>
    </w:p>
    <w:p>
      <w:pPr>
        <w:widowControl w:val="0"/>
        <w:spacing w:line="276"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5.实质性响应条款“投标响应情况”与投标文件其它内容冲突的，以实质性响应条款“投标响应情况”为准。</w:t>
      </w:r>
    </w:p>
    <w:p>
      <w:pPr>
        <w:widowControl w:val="0"/>
        <w:spacing w:line="276"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6.以上实质性条款中要求提供证明材料，需如实提供证明材料扫描件，在“说明”一栏中列明证明材料的位置，以便评审；未要求提供证明材料的，投标人可以不提供。</w:t>
      </w:r>
    </w:p>
    <w:p>
      <w:pPr>
        <w:keepNext/>
        <w:keepLines/>
        <w:widowControl w:val="0"/>
        <w:adjustRightInd w:val="0"/>
        <w:snapToGrid w:val="0"/>
        <w:spacing w:before="260" w:after="260" w:line="276" w:lineRule="auto"/>
        <w:jc w:val="center"/>
        <w:outlineLvl w:val="2"/>
        <w:rPr>
          <w:rFonts w:ascii="黑体" w:eastAsia="黑体" w:hAnsi="宋体"/>
          <w:bCs/>
          <w:lang w:eastAsia="zh-CN"/>
        </w:rPr>
      </w:pPr>
      <w:r>
        <w:rPr>
          <w:rFonts w:ascii="黑体" w:eastAsia="黑体" w:hAnsi="宋体" w:hint="eastAsia"/>
          <w:bCs/>
          <w:kern w:val="2"/>
          <w:szCs w:val="32"/>
          <w:lang w:eastAsia="zh-CN"/>
        </w:rPr>
        <w:t>十</w:t>
      </w:r>
      <w:r>
        <w:rPr>
          <w:rFonts w:ascii="黑体" w:eastAsia="黑体" w:hAnsi="宋体" w:hint="eastAsia"/>
          <w:bCs/>
          <w:lang w:eastAsia="zh-CN"/>
        </w:rPr>
        <w:t>一、项目实施方案</w:t>
      </w:r>
    </w:p>
    <w:p>
      <w:pPr>
        <w:widowControl w:val="0"/>
        <w:adjustRightInd w:val="0"/>
        <w:snapToGrid w:val="0"/>
        <w:spacing w:after="120" w:line="276" w:lineRule="auto"/>
        <w:jc w:val="both"/>
        <w:rPr>
          <w:rFonts w:eastAsia="宋体"/>
          <w:b/>
          <w:bCs/>
          <w:kern w:val="2"/>
          <w:sz w:val="21"/>
          <w:szCs w:val="21"/>
          <w:lang w:eastAsia="zh-CN"/>
        </w:rPr>
      </w:pPr>
      <w:r>
        <w:rPr>
          <w:rFonts w:eastAsia="宋体" w:hint="eastAsia"/>
          <w:kern w:val="2"/>
          <w:sz w:val="21"/>
          <w:szCs w:val="21"/>
          <w:lang w:eastAsia="zh-CN"/>
        </w:rPr>
        <w:t>（特别提示：投标人须按本招标文件评标信息中“</w:t>
      </w:r>
      <w:r>
        <w:rPr>
          <w:rFonts w:ascii="宋体" w:eastAsia="宋体" w:hAnsi="宋体" w:cs="宋体" w:hint="eastAsia"/>
          <w:kern w:val="2"/>
          <w:sz w:val="22"/>
          <w:szCs w:val="22"/>
          <w:lang w:eastAsia="zh-CN"/>
        </w:rPr>
        <w:t>项目实施方案</w:t>
      </w:r>
      <w:r>
        <w:rPr>
          <w:rFonts w:eastAsia="宋体" w:hint="eastAsia"/>
          <w:kern w:val="2"/>
          <w:sz w:val="21"/>
          <w:szCs w:val="21"/>
          <w:lang w:eastAsia="zh-CN"/>
        </w:rPr>
        <w:t>”这一评分因素要求，提供证明资料）</w:t>
      </w:r>
    </w:p>
    <w:p>
      <w:pPr>
        <w:keepNext/>
        <w:keepLines/>
        <w:widowControl w:val="0"/>
        <w:adjustRightInd w:val="0"/>
        <w:snapToGrid w:val="0"/>
        <w:spacing w:before="260" w:after="260" w:line="276" w:lineRule="auto"/>
        <w:jc w:val="center"/>
        <w:outlineLvl w:val="2"/>
        <w:rPr>
          <w:rFonts w:ascii="黑体" w:eastAsia="黑体" w:hAnsi="宋体"/>
          <w:bCs/>
          <w:lang w:eastAsia="zh-CN"/>
        </w:rPr>
      </w:pPr>
      <w:r>
        <w:rPr>
          <w:rFonts w:ascii="黑体" w:eastAsia="黑体" w:hAnsi="宋体" w:hint="eastAsia"/>
          <w:bCs/>
          <w:kern w:val="2"/>
          <w:szCs w:val="32"/>
          <w:lang w:eastAsia="zh-CN"/>
        </w:rPr>
        <w:t>十</w:t>
      </w:r>
      <w:r>
        <w:rPr>
          <w:rFonts w:ascii="黑体" w:eastAsia="黑体" w:hAnsi="宋体" w:hint="eastAsia"/>
          <w:bCs/>
          <w:lang w:eastAsia="zh-CN"/>
        </w:rPr>
        <w:t>二、项目重点难点分析、应对措施及相关的合理化建议</w:t>
      </w:r>
    </w:p>
    <w:p>
      <w:pPr>
        <w:widowControl w:val="0"/>
        <w:adjustRightInd w:val="0"/>
        <w:snapToGrid w:val="0"/>
        <w:spacing w:after="120" w:line="276" w:lineRule="auto"/>
        <w:jc w:val="both"/>
        <w:rPr>
          <w:rFonts w:eastAsia="宋体"/>
          <w:b/>
          <w:bCs/>
          <w:kern w:val="2"/>
          <w:sz w:val="21"/>
          <w:szCs w:val="21"/>
          <w:lang w:eastAsia="zh-CN"/>
        </w:rPr>
      </w:pPr>
      <w:r>
        <w:rPr>
          <w:rFonts w:eastAsia="宋体" w:hint="eastAsia"/>
          <w:kern w:val="2"/>
          <w:sz w:val="21"/>
          <w:szCs w:val="21"/>
          <w:lang w:eastAsia="zh-CN"/>
        </w:rPr>
        <w:t>（特别提示：投标人须按本招标文件评标信息中“项目重点难点分析、应对措施及相关的合理化建议”这一评分因素要求，提供证明资料）</w:t>
      </w:r>
    </w:p>
    <w:p>
      <w:pPr>
        <w:keepNext/>
        <w:keepLines/>
        <w:widowControl w:val="0"/>
        <w:adjustRightInd w:val="0"/>
        <w:snapToGrid w:val="0"/>
        <w:spacing w:before="260" w:after="260" w:line="276" w:lineRule="auto"/>
        <w:jc w:val="center"/>
        <w:outlineLvl w:val="2"/>
        <w:rPr>
          <w:rFonts w:ascii="黑体" w:eastAsia="黑体" w:hAnsi="宋体"/>
          <w:bCs/>
          <w:lang w:eastAsia="zh-CN"/>
        </w:rPr>
      </w:pPr>
      <w:r>
        <w:rPr>
          <w:rFonts w:ascii="黑体" w:eastAsia="黑体" w:hAnsi="宋体" w:hint="eastAsia"/>
          <w:bCs/>
          <w:kern w:val="2"/>
          <w:szCs w:val="32"/>
          <w:lang w:eastAsia="zh-CN"/>
        </w:rPr>
        <w:t>十</w:t>
      </w:r>
      <w:r>
        <w:rPr>
          <w:rFonts w:ascii="黑体" w:eastAsia="黑体" w:hAnsi="宋体" w:hint="eastAsia"/>
          <w:bCs/>
          <w:lang w:eastAsia="zh-CN"/>
        </w:rPr>
        <w:t>三、施工质量保证方案</w:t>
      </w:r>
    </w:p>
    <w:p>
      <w:pPr>
        <w:widowControl w:val="0"/>
        <w:adjustRightInd w:val="0"/>
        <w:snapToGrid w:val="0"/>
        <w:spacing w:after="120" w:line="276" w:lineRule="auto"/>
        <w:jc w:val="both"/>
        <w:rPr>
          <w:rFonts w:eastAsia="宋体"/>
          <w:b/>
          <w:bCs/>
          <w:kern w:val="2"/>
          <w:sz w:val="21"/>
          <w:szCs w:val="21"/>
          <w:lang w:eastAsia="zh-CN"/>
        </w:rPr>
      </w:pPr>
      <w:r>
        <w:rPr>
          <w:rFonts w:eastAsia="宋体" w:hint="eastAsia"/>
          <w:kern w:val="2"/>
          <w:sz w:val="21"/>
          <w:szCs w:val="21"/>
          <w:lang w:eastAsia="zh-CN"/>
        </w:rPr>
        <w:t>（特别提示：投标人须按本招标文件评标信息中“</w:t>
      </w:r>
      <w:r>
        <w:rPr>
          <w:rFonts w:ascii="宋体" w:eastAsia="宋体" w:hAnsi="宋体" w:cs="宋体" w:hint="eastAsia"/>
          <w:kern w:val="2"/>
          <w:sz w:val="22"/>
          <w:szCs w:val="22"/>
          <w:lang w:eastAsia="zh-CN"/>
        </w:rPr>
        <w:t>施工质量保证方案</w:t>
      </w:r>
      <w:r>
        <w:rPr>
          <w:rFonts w:eastAsia="宋体" w:hint="eastAsia"/>
          <w:kern w:val="2"/>
          <w:sz w:val="21"/>
          <w:szCs w:val="21"/>
          <w:lang w:eastAsia="zh-CN"/>
        </w:rPr>
        <w:t>”这一评分因素要求，提供证明资料）</w:t>
      </w:r>
    </w:p>
    <w:p>
      <w:pPr>
        <w:keepNext/>
        <w:keepLines/>
        <w:widowControl w:val="0"/>
        <w:adjustRightInd w:val="0"/>
        <w:snapToGrid w:val="0"/>
        <w:spacing w:before="260" w:after="260" w:line="276" w:lineRule="auto"/>
        <w:jc w:val="center"/>
        <w:outlineLvl w:val="2"/>
        <w:rPr>
          <w:rFonts w:ascii="黑体" w:eastAsia="黑体" w:hAnsi="宋体"/>
          <w:bCs/>
          <w:lang w:eastAsia="zh-CN"/>
        </w:rPr>
      </w:pPr>
      <w:r>
        <w:rPr>
          <w:rFonts w:ascii="黑体" w:eastAsia="黑体" w:hAnsi="宋体" w:hint="eastAsia"/>
          <w:bCs/>
          <w:kern w:val="2"/>
          <w:szCs w:val="32"/>
          <w:lang w:eastAsia="zh-CN"/>
        </w:rPr>
        <w:t>十四</w:t>
      </w:r>
      <w:r>
        <w:rPr>
          <w:rFonts w:ascii="黑体" w:eastAsia="黑体" w:hAnsi="宋体" w:hint="eastAsia"/>
          <w:bCs/>
          <w:lang w:eastAsia="zh-CN"/>
        </w:rPr>
        <w:t>、施工进度、安全、环境保护措施及方案</w:t>
      </w:r>
    </w:p>
    <w:p>
      <w:pPr>
        <w:widowControl w:val="0"/>
        <w:adjustRightInd w:val="0"/>
        <w:snapToGrid w:val="0"/>
        <w:spacing w:after="120" w:line="276" w:lineRule="auto"/>
        <w:jc w:val="both"/>
        <w:rPr>
          <w:rFonts w:eastAsia="宋体"/>
          <w:kern w:val="2"/>
          <w:sz w:val="21"/>
          <w:szCs w:val="21"/>
          <w:lang w:eastAsia="zh-CN"/>
        </w:rPr>
      </w:pPr>
      <w:r>
        <w:rPr>
          <w:rFonts w:eastAsia="宋体" w:hint="eastAsia"/>
          <w:kern w:val="2"/>
          <w:sz w:val="21"/>
          <w:szCs w:val="21"/>
          <w:lang w:eastAsia="zh-CN"/>
        </w:rPr>
        <w:t>（特别提示：投标人须按本招标文件评标信息中“</w:t>
      </w:r>
      <w:r>
        <w:rPr>
          <w:rFonts w:ascii="宋体" w:eastAsia="宋体" w:hAnsi="宋体" w:cs="宋体" w:hint="eastAsia"/>
          <w:kern w:val="2"/>
          <w:sz w:val="22"/>
          <w:szCs w:val="22"/>
          <w:lang w:eastAsia="zh-CN"/>
        </w:rPr>
        <w:t>施工进度、安全、环境保护措施及方案</w:t>
      </w:r>
      <w:r>
        <w:rPr>
          <w:rFonts w:eastAsia="宋体" w:hint="eastAsia"/>
          <w:kern w:val="2"/>
          <w:sz w:val="21"/>
          <w:szCs w:val="21"/>
          <w:lang w:eastAsia="zh-CN"/>
        </w:rPr>
        <w:t>”这一评分因素要求，提供证明资料）</w:t>
      </w:r>
    </w:p>
    <w:p>
      <w:pPr>
        <w:widowControl w:val="0"/>
        <w:adjustRightInd w:val="0"/>
        <w:snapToGrid w:val="0"/>
        <w:spacing w:after="120" w:line="276" w:lineRule="auto"/>
        <w:jc w:val="both"/>
        <w:rPr>
          <w:rFonts w:eastAsia="宋体"/>
          <w:kern w:val="2"/>
          <w:sz w:val="21"/>
          <w:szCs w:val="21"/>
          <w:lang w:eastAsia="zh-CN"/>
        </w:rPr>
      </w:pPr>
    </w:p>
    <w:p>
      <w:pPr>
        <w:keepNext/>
        <w:keepLines/>
        <w:widowControl w:val="0"/>
        <w:adjustRightInd w:val="0"/>
        <w:snapToGrid w:val="0"/>
        <w:spacing w:before="260" w:after="260" w:line="276" w:lineRule="auto"/>
        <w:jc w:val="center"/>
        <w:outlineLvl w:val="2"/>
        <w:rPr>
          <w:rFonts w:ascii="黑体" w:eastAsia="黑体" w:hAnsi="宋体"/>
          <w:bCs/>
          <w:lang w:eastAsia="zh-CN"/>
        </w:rPr>
      </w:pPr>
      <w:r>
        <w:rPr>
          <w:rFonts w:ascii="黑体" w:eastAsia="黑体" w:hAnsi="宋体" w:hint="eastAsia"/>
          <w:bCs/>
          <w:kern w:val="2"/>
          <w:szCs w:val="32"/>
          <w:lang w:eastAsia="zh-CN"/>
        </w:rPr>
        <w:t>十五</w:t>
      </w:r>
      <w:r>
        <w:rPr>
          <w:rFonts w:ascii="黑体" w:eastAsia="黑体" w:hAnsi="宋体" w:hint="eastAsia"/>
          <w:bCs/>
          <w:lang w:eastAsia="zh-CN"/>
        </w:rPr>
        <w:t>、项目完成（服务期满）后的服务承诺</w:t>
      </w:r>
    </w:p>
    <w:p>
      <w:pPr>
        <w:widowControl w:val="0"/>
        <w:adjustRightInd w:val="0"/>
        <w:snapToGrid w:val="0"/>
        <w:spacing w:after="120" w:line="276" w:lineRule="auto"/>
        <w:jc w:val="both"/>
        <w:rPr>
          <w:rFonts w:eastAsia="宋体"/>
          <w:kern w:val="2"/>
          <w:sz w:val="21"/>
          <w:szCs w:val="21"/>
          <w:lang w:eastAsia="zh-CN"/>
        </w:rPr>
      </w:pPr>
      <w:r>
        <w:rPr>
          <w:rFonts w:eastAsia="宋体" w:hint="eastAsia"/>
          <w:kern w:val="2"/>
          <w:sz w:val="21"/>
          <w:szCs w:val="21"/>
          <w:lang w:eastAsia="zh-CN"/>
        </w:rPr>
        <w:t>（特别提示：投标人须按本招标文件评标信息中“</w:t>
      </w:r>
      <w:r>
        <w:rPr>
          <w:rFonts w:ascii="宋体" w:eastAsia="宋体" w:hAnsi="宋体" w:cs="宋体" w:hint="eastAsia"/>
          <w:kern w:val="2"/>
          <w:sz w:val="21"/>
          <w:szCs w:val="21"/>
          <w:lang w:eastAsia="zh-CN"/>
        </w:rPr>
        <w:t>项目完成（服务期满）后的服务承诺</w:t>
      </w:r>
      <w:r>
        <w:rPr>
          <w:rFonts w:eastAsia="宋体" w:hint="eastAsia"/>
          <w:kern w:val="2"/>
          <w:sz w:val="21"/>
          <w:szCs w:val="21"/>
          <w:lang w:eastAsia="zh-CN"/>
        </w:rPr>
        <w:t>”这一评分因素要求，提供证明资料）</w:t>
      </w:r>
    </w:p>
    <w:p>
      <w:pPr>
        <w:keepNext/>
        <w:keepLines/>
        <w:widowControl w:val="0"/>
        <w:adjustRightInd w:val="0"/>
        <w:snapToGrid w:val="0"/>
        <w:spacing w:before="260" w:after="260" w:line="276" w:lineRule="auto"/>
        <w:jc w:val="center"/>
        <w:outlineLvl w:val="2"/>
        <w:rPr>
          <w:rFonts w:ascii="黑体" w:eastAsia="黑体" w:hAnsi="宋体"/>
          <w:bCs/>
          <w:lang w:eastAsia="zh-CN"/>
        </w:rPr>
      </w:pPr>
      <w:r>
        <w:rPr>
          <w:rFonts w:ascii="黑体" w:eastAsia="黑体" w:hAnsi="宋体" w:hint="eastAsia"/>
          <w:bCs/>
          <w:kern w:val="2"/>
          <w:szCs w:val="32"/>
          <w:lang w:eastAsia="zh-CN"/>
        </w:rPr>
        <w:t>十六</w:t>
      </w:r>
      <w:r>
        <w:rPr>
          <w:rFonts w:ascii="黑体" w:eastAsia="黑体" w:hAnsi="宋体" w:hint="eastAsia"/>
          <w:bCs/>
          <w:lang w:eastAsia="zh-CN"/>
        </w:rPr>
        <w:t>、施工响应时间承诺</w:t>
      </w:r>
    </w:p>
    <w:p>
      <w:pPr>
        <w:widowControl w:val="0"/>
        <w:adjustRightInd w:val="0"/>
        <w:snapToGrid w:val="0"/>
        <w:spacing w:after="120" w:line="276" w:lineRule="auto"/>
        <w:jc w:val="both"/>
        <w:rPr>
          <w:rFonts w:eastAsia="宋体"/>
          <w:kern w:val="2"/>
          <w:sz w:val="21"/>
          <w:szCs w:val="21"/>
          <w:lang w:eastAsia="zh-CN"/>
        </w:rPr>
      </w:pPr>
      <w:r>
        <w:rPr>
          <w:rFonts w:eastAsia="宋体" w:hint="eastAsia"/>
          <w:kern w:val="2"/>
          <w:sz w:val="21"/>
          <w:szCs w:val="21"/>
          <w:lang w:eastAsia="zh-CN"/>
        </w:rPr>
        <w:t>（特别提示：投标人须按本招标文件评标信息中“</w:t>
      </w:r>
      <w:r>
        <w:rPr>
          <w:rFonts w:ascii="宋体" w:eastAsia="宋体" w:hAnsi="宋体" w:cs="宋体" w:hint="eastAsia"/>
          <w:kern w:val="2"/>
          <w:sz w:val="22"/>
          <w:szCs w:val="22"/>
          <w:lang w:eastAsia="zh-CN"/>
        </w:rPr>
        <w:t>施工响应时间承诺</w:t>
      </w:r>
      <w:r>
        <w:rPr>
          <w:rFonts w:eastAsia="宋体" w:hint="eastAsia"/>
          <w:kern w:val="2"/>
          <w:sz w:val="21"/>
          <w:szCs w:val="21"/>
          <w:lang w:eastAsia="zh-CN"/>
        </w:rPr>
        <w:t>”这一评分因素要求，提供证明资料）</w:t>
      </w:r>
    </w:p>
    <w:p>
      <w:pPr>
        <w:keepNext/>
        <w:keepLines/>
        <w:widowControl w:val="0"/>
        <w:adjustRightInd w:val="0"/>
        <w:snapToGrid w:val="0"/>
        <w:spacing w:before="260" w:after="260" w:line="276" w:lineRule="auto"/>
        <w:jc w:val="center"/>
        <w:outlineLvl w:val="2"/>
        <w:rPr>
          <w:rFonts w:ascii="黑体" w:eastAsia="黑体" w:hAnsi="宋体"/>
          <w:bCs/>
          <w:lang w:eastAsia="zh-CN"/>
        </w:rPr>
      </w:pPr>
      <w:r>
        <w:rPr>
          <w:rFonts w:ascii="黑体" w:eastAsia="黑体" w:hAnsi="宋体" w:hint="eastAsia"/>
          <w:bCs/>
          <w:kern w:val="2"/>
          <w:szCs w:val="32"/>
          <w:lang w:eastAsia="zh-CN"/>
        </w:rPr>
        <w:t>十</w:t>
      </w:r>
      <w:r>
        <w:rPr>
          <w:rFonts w:ascii="黑体" w:eastAsia="黑体" w:hAnsi="宋体" w:hint="eastAsia"/>
          <w:bCs/>
          <w:lang w:eastAsia="zh-CN"/>
        </w:rPr>
        <w:t>七、拟安排的项目负责人情况（仅限一人）</w:t>
      </w:r>
    </w:p>
    <w:tbl>
      <w:tblPr>
        <w:tblStyle w:val="TableNorm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77"/>
        <w:gridCol w:w="1375"/>
        <w:gridCol w:w="950"/>
        <w:gridCol w:w="950"/>
        <w:gridCol w:w="1248"/>
        <w:gridCol w:w="1012"/>
        <w:gridCol w:w="1194"/>
        <w:gridCol w:w="1172"/>
      </w:tblGrid>
      <w:tr>
        <w:tblPrEx>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327"/>
          <w:jc w:val="center"/>
        </w:trPr>
        <w:tc>
          <w:tcPr>
            <w:tcW w:w="1154" w:type="dxa"/>
            <w:vMerge w:val="restart"/>
            <w:vAlign w:val="center"/>
          </w:tcPr>
          <w:p>
            <w:pPr>
              <w:widowControl w:val="0"/>
              <w:spacing w:line="276" w:lineRule="auto"/>
              <w:jc w:val="center"/>
              <w:rPr>
                <w:rFonts w:ascii="宋体" w:eastAsia="宋体" w:hAnsi="宋体"/>
                <w:kern w:val="2"/>
                <w:sz w:val="21"/>
                <w:szCs w:val="21"/>
                <w:lang w:eastAsia="zh-CN"/>
              </w:rPr>
            </w:pPr>
            <w:r>
              <w:rPr>
                <w:rFonts w:ascii="宋体" w:eastAsia="宋体" w:hAnsi="宋体" w:hint="eastAsia"/>
                <w:kern w:val="2"/>
                <w:sz w:val="21"/>
                <w:szCs w:val="21"/>
                <w:lang w:eastAsia="zh-CN"/>
              </w:rPr>
              <w:t>类别</w:t>
            </w:r>
          </w:p>
        </w:tc>
        <w:tc>
          <w:tcPr>
            <w:tcW w:w="1348" w:type="dxa"/>
            <w:vMerge w:val="restart"/>
            <w:vAlign w:val="center"/>
          </w:tcPr>
          <w:p>
            <w:pPr>
              <w:widowControl w:val="0"/>
              <w:spacing w:line="276" w:lineRule="auto"/>
              <w:jc w:val="center"/>
              <w:rPr>
                <w:rFonts w:ascii="宋体" w:eastAsia="宋体" w:hAnsi="宋体"/>
                <w:kern w:val="2"/>
                <w:sz w:val="21"/>
                <w:szCs w:val="21"/>
                <w:lang w:eastAsia="zh-CN"/>
              </w:rPr>
            </w:pPr>
            <w:r>
              <w:rPr>
                <w:rFonts w:ascii="宋体" w:eastAsia="宋体" w:hAnsi="宋体" w:hint="eastAsia"/>
                <w:kern w:val="2"/>
                <w:sz w:val="21"/>
                <w:szCs w:val="21"/>
                <w:lang w:eastAsia="zh-CN"/>
              </w:rPr>
              <w:t>姓名</w:t>
            </w:r>
          </w:p>
        </w:tc>
        <w:tc>
          <w:tcPr>
            <w:tcW w:w="932" w:type="dxa"/>
            <w:vMerge w:val="restart"/>
            <w:vAlign w:val="center"/>
          </w:tcPr>
          <w:p>
            <w:pPr>
              <w:widowControl w:val="0"/>
              <w:spacing w:line="276" w:lineRule="auto"/>
              <w:jc w:val="center"/>
              <w:rPr>
                <w:rFonts w:ascii="宋体" w:eastAsia="宋体" w:hAnsi="宋体"/>
                <w:kern w:val="2"/>
                <w:sz w:val="21"/>
                <w:szCs w:val="21"/>
                <w:lang w:eastAsia="zh-CN"/>
              </w:rPr>
            </w:pPr>
            <w:r>
              <w:rPr>
                <w:rFonts w:ascii="宋体" w:eastAsia="宋体" w:hAnsi="宋体" w:hint="eastAsia"/>
                <w:kern w:val="2"/>
                <w:sz w:val="21"/>
                <w:szCs w:val="21"/>
                <w:lang w:eastAsia="zh-CN"/>
              </w:rPr>
              <w:t>职称</w:t>
            </w:r>
          </w:p>
        </w:tc>
        <w:tc>
          <w:tcPr>
            <w:tcW w:w="932" w:type="dxa"/>
            <w:vMerge w:val="restart"/>
            <w:vAlign w:val="center"/>
          </w:tcPr>
          <w:p>
            <w:pPr>
              <w:widowControl w:val="0"/>
              <w:spacing w:line="276" w:lineRule="auto"/>
              <w:jc w:val="center"/>
              <w:rPr>
                <w:rFonts w:ascii="宋体" w:eastAsia="宋体" w:hAnsi="宋体"/>
                <w:kern w:val="2"/>
                <w:sz w:val="21"/>
                <w:szCs w:val="21"/>
                <w:lang w:eastAsia="zh-CN"/>
              </w:rPr>
            </w:pPr>
            <w:r>
              <w:rPr>
                <w:rFonts w:ascii="宋体" w:eastAsia="宋体" w:hAnsi="宋体" w:hint="eastAsia"/>
                <w:kern w:val="2"/>
                <w:sz w:val="21"/>
                <w:szCs w:val="21"/>
                <w:lang w:eastAsia="zh-CN"/>
              </w:rPr>
              <w:t>学历</w:t>
            </w:r>
          </w:p>
        </w:tc>
        <w:tc>
          <w:tcPr>
            <w:tcW w:w="4536" w:type="dxa"/>
            <w:gridSpan w:val="4"/>
            <w:vAlign w:val="center"/>
          </w:tcPr>
          <w:p>
            <w:pPr>
              <w:widowControl w:val="0"/>
              <w:spacing w:line="276" w:lineRule="auto"/>
              <w:jc w:val="center"/>
              <w:rPr>
                <w:rFonts w:ascii="宋体" w:eastAsia="宋体" w:hAnsi="宋体"/>
                <w:kern w:val="2"/>
                <w:sz w:val="21"/>
                <w:szCs w:val="21"/>
                <w:lang w:eastAsia="zh-CN"/>
              </w:rPr>
            </w:pPr>
            <w:r>
              <w:rPr>
                <w:rFonts w:ascii="宋体" w:eastAsia="宋体" w:hAnsi="宋体" w:hint="eastAsia"/>
                <w:kern w:val="2"/>
                <w:sz w:val="21"/>
                <w:szCs w:val="21"/>
                <w:lang w:eastAsia="zh-CN"/>
              </w:rPr>
              <w:t>上岗资格证明</w:t>
            </w:r>
          </w:p>
        </w:tc>
      </w:tr>
      <w:tr>
        <w:tblPrEx>
          <w:tblW w:w="5000" w:type="pct"/>
          <w:jc w:val="center"/>
          <w:tblLayout w:type="fixed"/>
          <w:tblCellMar>
            <w:top w:w="0" w:type="dxa"/>
            <w:left w:w="108" w:type="dxa"/>
            <w:bottom w:w="0" w:type="dxa"/>
            <w:right w:w="108" w:type="dxa"/>
          </w:tblCellMar>
        </w:tblPrEx>
        <w:trPr>
          <w:cantSplit/>
          <w:trHeight w:val="320"/>
          <w:jc w:val="center"/>
        </w:trPr>
        <w:tc>
          <w:tcPr>
            <w:tcW w:w="1154" w:type="dxa"/>
            <w:vMerge/>
            <w:vAlign w:val="center"/>
          </w:tcPr>
          <w:p>
            <w:pPr>
              <w:widowControl w:val="0"/>
              <w:spacing w:line="276" w:lineRule="auto"/>
              <w:jc w:val="center"/>
              <w:rPr>
                <w:rFonts w:ascii="宋体" w:eastAsia="宋体" w:hAnsi="宋体"/>
                <w:kern w:val="2"/>
                <w:sz w:val="21"/>
                <w:szCs w:val="21"/>
                <w:lang w:eastAsia="zh-CN"/>
              </w:rPr>
            </w:pPr>
          </w:p>
        </w:tc>
        <w:tc>
          <w:tcPr>
            <w:tcW w:w="1348" w:type="dxa"/>
            <w:vMerge/>
            <w:vAlign w:val="center"/>
          </w:tcPr>
          <w:p>
            <w:pPr>
              <w:widowControl w:val="0"/>
              <w:spacing w:line="276" w:lineRule="auto"/>
              <w:jc w:val="center"/>
              <w:rPr>
                <w:rFonts w:ascii="宋体" w:eastAsia="宋体" w:hAnsi="宋体"/>
                <w:kern w:val="2"/>
                <w:sz w:val="21"/>
                <w:szCs w:val="21"/>
                <w:lang w:eastAsia="zh-CN"/>
              </w:rPr>
            </w:pPr>
          </w:p>
        </w:tc>
        <w:tc>
          <w:tcPr>
            <w:tcW w:w="932" w:type="dxa"/>
            <w:vMerge/>
          </w:tcPr>
          <w:p>
            <w:pPr>
              <w:widowControl w:val="0"/>
              <w:spacing w:line="276" w:lineRule="auto"/>
              <w:jc w:val="center"/>
              <w:rPr>
                <w:rFonts w:ascii="宋体" w:eastAsia="宋体" w:hAnsi="宋体"/>
                <w:kern w:val="2"/>
                <w:sz w:val="21"/>
                <w:szCs w:val="21"/>
                <w:lang w:eastAsia="zh-CN"/>
              </w:rPr>
            </w:pPr>
          </w:p>
        </w:tc>
        <w:tc>
          <w:tcPr>
            <w:tcW w:w="932" w:type="dxa"/>
            <w:vMerge/>
            <w:vAlign w:val="center"/>
          </w:tcPr>
          <w:p>
            <w:pPr>
              <w:widowControl w:val="0"/>
              <w:spacing w:line="276" w:lineRule="auto"/>
              <w:jc w:val="center"/>
              <w:rPr>
                <w:rFonts w:ascii="宋体" w:eastAsia="宋体" w:hAnsi="宋体"/>
                <w:kern w:val="2"/>
                <w:sz w:val="21"/>
                <w:szCs w:val="21"/>
                <w:lang w:eastAsia="zh-CN"/>
              </w:rPr>
            </w:pPr>
          </w:p>
        </w:tc>
        <w:tc>
          <w:tcPr>
            <w:tcW w:w="1224" w:type="dxa"/>
            <w:vAlign w:val="center"/>
          </w:tcPr>
          <w:p>
            <w:pPr>
              <w:widowControl w:val="0"/>
              <w:spacing w:line="276" w:lineRule="auto"/>
              <w:jc w:val="center"/>
              <w:rPr>
                <w:rFonts w:ascii="宋体" w:eastAsia="宋体" w:hAnsi="宋体"/>
                <w:kern w:val="2"/>
                <w:sz w:val="21"/>
                <w:szCs w:val="21"/>
                <w:lang w:eastAsia="zh-CN"/>
              </w:rPr>
            </w:pPr>
            <w:r>
              <w:rPr>
                <w:rFonts w:ascii="宋体" w:eastAsia="宋体" w:hAnsi="宋体" w:hint="eastAsia"/>
                <w:kern w:val="2"/>
                <w:sz w:val="21"/>
                <w:szCs w:val="21"/>
                <w:lang w:eastAsia="zh-CN"/>
              </w:rPr>
              <w:t>证书名称</w:t>
            </w:r>
          </w:p>
        </w:tc>
        <w:tc>
          <w:tcPr>
            <w:tcW w:w="992" w:type="dxa"/>
            <w:vAlign w:val="center"/>
          </w:tcPr>
          <w:p>
            <w:pPr>
              <w:widowControl w:val="0"/>
              <w:spacing w:line="276" w:lineRule="auto"/>
              <w:jc w:val="center"/>
              <w:rPr>
                <w:rFonts w:ascii="宋体" w:eastAsia="宋体" w:hAnsi="宋体"/>
                <w:kern w:val="2"/>
                <w:sz w:val="21"/>
                <w:szCs w:val="21"/>
                <w:lang w:eastAsia="zh-CN"/>
              </w:rPr>
            </w:pPr>
            <w:r>
              <w:rPr>
                <w:rFonts w:ascii="宋体" w:eastAsia="宋体" w:hAnsi="宋体" w:hint="eastAsia"/>
                <w:kern w:val="2"/>
                <w:sz w:val="21"/>
                <w:szCs w:val="21"/>
                <w:lang w:eastAsia="zh-CN"/>
              </w:rPr>
              <w:t>级别</w:t>
            </w:r>
          </w:p>
        </w:tc>
        <w:tc>
          <w:tcPr>
            <w:tcW w:w="1171" w:type="dxa"/>
            <w:vAlign w:val="center"/>
          </w:tcPr>
          <w:p>
            <w:pPr>
              <w:widowControl w:val="0"/>
              <w:spacing w:line="276" w:lineRule="auto"/>
              <w:jc w:val="center"/>
              <w:rPr>
                <w:rFonts w:ascii="宋体" w:eastAsia="宋体" w:hAnsi="宋体"/>
                <w:kern w:val="2"/>
                <w:sz w:val="21"/>
                <w:szCs w:val="21"/>
                <w:lang w:eastAsia="zh-CN"/>
              </w:rPr>
            </w:pPr>
            <w:r>
              <w:rPr>
                <w:rFonts w:ascii="宋体" w:eastAsia="宋体" w:hAnsi="宋体" w:hint="eastAsia"/>
                <w:kern w:val="2"/>
                <w:sz w:val="21"/>
                <w:szCs w:val="21"/>
                <w:lang w:eastAsia="zh-CN"/>
              </w:rPr>
              <w:t>证号</w:t>
            </w:r>
          </w:p>
        </w:tc>
        <w:tc>
          <w:tcPr>
            <w:tcW w:w="1149" w:type="dxa"/>
            <w:vAlign w:val="center"/>
          </w:tcPr>
          <w:p>
            <w:pPr>
              <w:widowControl w:val="0"/>
              <w:spacing w:line="276" w:lineRule="auto"/>
              <w:jc w:val="center"/>
              <w:rPr>
                <w:rFonts w:ascii="宋体" w:eastAsia="宋体" w:hAnsi="宋体"/>
                <w:kern w:val="2"/>
                <w:sz w:val="21"/>
                <w:szCs w:val="21"/>
                <w:lang w:eastAsia="zh-CN"/>
              </w:rPr>
            </w:pPr>
            <w:r>
              <w:rPr>
                <w:rFonts w:ascii="宋体" w:eastAsia="宋体" w:hAnsi="宋体" w:hint="eastAsia"/>
                <w:kern w:val="2"/>
                <w:sz w:val="21"/>
                <w:szCs w:val="21"/>
                <w:lang w:eastAsia="zh-CN"/>
              </w:rPr>
              <w:t>专业</w:t>
            </w:r>
          </w:p>
        </w:tc>
      </w:tr>
      <w:tr>
        <w:tblPrEx>
          <w:tblW w:w="5000" w:type="pct"/>
          <w:jc w:val="center"/>
          <w:tblLayout w:type="fixed"/>
          <w:tblCellMar>
            <w:top w:w="0" w:type="dxa"/>
            <w:left w:w="108" w:type="dxa"/>
            <w:bottom w:w="0" w:type="dxa"/>
            <w:right w:w="108" w:type="dxa"/>
          </w:tblCellMar>
        </w:tblPrEx>
        <w:trPr>
          <w:cantSplit/>
          <w:trHeight w:val="601"/>
          <w:jc w:val="center"/>
        </w:trPr>
        <w:tc>
          <w:tcPr>
            <w:tcW w:w="1154" w:type="dxa"/>
            <w:vAlign w:val="center"/>
          </w:tcPr>
          <w:p>
            <w:pPr>
              <w:widowControl w:val="0"/>
              <w:jc w:val="center"/>
              <w:rPr>
                <w:rFonts w:ascii="宋体" w:eastAsia="宋体" w:hAnsi="宋体"/>
                <w:kern w:val="2"/>
                <w:sz w:val="21"/>
                <w:szCs w:val="21"/>
                <w:lang w:eastAsia="zh-CN"/>
              </w:rPr>
            </w:pPr>
            <w:r>
              <w:rPr>
                <w:rFonts w:ascii="宋体" w:eastAsia="宋体" w:hAnsi="宋体" w:hint="eastAsia"/>
                <w:kern w:val="2"/>
                <w:sz w:val="21"/>
                <w:szCs w:val="21"/>
                <w:lang w:eastAsia="zh-CN"/>
              </w:rPr>
              <w:t>拟派项目负责人</w:t>
            </w:r>
          </w:p>
        </w:tc>
        <w:tc>
          <w:tcPr>
            <w:tcW w:w="1348" w:type="dxa"/>
            <w:vAlign w:val="center"/>
          </w:tcPr>
          <w:p>
            <w:pPr>
              <w:widowControl w:val="0"/>
              <w:jc w:val="center"/>
              <w:rPr>
                <w:rFonts w:ascii="宋体" w:eastAsia="宋体" w:hAnsi="宋体"/>
                <w:kern w:val="2"/>
                <w:sz w:val="21"/>
                <w:szCs w:val="21"/>
                <w:lang w:eastAsia="zh-CN"/>
              </w:rPr>
            </w:pPr>
          </w:p>
        </w:tc>
        <w:tc>
          <w:tcPr>
            <w:tcW w:w="932" w:type="dxa"/>
            <w:vAlign w:val="center"/>
          </w:tcPr>
          <w:p>
            <w:pPr>
              <w:widowControl w:val="0"/>
              <w:jc w:val="center"/>
              <w:rPr>
                <w:rFonts w:ascii="宋体" w:eastAsia="宋体" w:hAnsi="宋体"/>
                <w:kern w:val="2"/>
                <w:sz w:val="21"/>
                <w:szCs w:val="21"/>
                <w:lang w:eastAsia="zh-CN"/>
              </w:rPr>
            </w:pPr>
          </w:p>
        </w:tc>
        <w:tc>
          <w:tcPr>
            <w:tcW w:w="932" w:type="dxa"/>
            <w:vAlign w:val="center"/>
          </w:tcPr>
          <w:p>
            <w:pPr>
              <w:widowControl w:val="0"/>
              <w:jc w:val="center"/>
              <w:rPr>
                <w:rFonts w:ascii="宋体" w:eastAsia="宋体" w:hAnsi="宋体"/>
                <w:kern w:val="2"/>
                <w:sz w:val="21"/>
                <w:szCs w:val="21"/>
                <w:lang w:eastAsia="zh-CN"/>
              </w:rPr>
            </w:pPr>
          </w:p>
        </w:tc>
        <w:tc>
          <w:tcPr>
            <w:tcW w:w="1224" w:type="dxa"/>
            <w:vAlign w:val="center"/>
          </w:tcPr>
          <w:p>
            <w:pPr>
              <w:widowControl w:val="0"/>
              <w:jc w:val="center"/>
              <w:rPr>
                <w:rFonts w:ascii="宋体" w:eastAsia="宋体" w:hAnsi="宋体"/>
                <w:kern w:val="2"/>
                <w:sz w:val="21"/>
                <w:szCs w:val="21"/>
                <w:lang w:eastAsia="zh-CN"/>
              </w:rPr>
            </w:pPr>
          </w:p>
        </w:tc>
        <w:tc>
          <w:tcPr>
            <w:tcW w:w="992" w:type="dxa"/>
            <w:vAlign w:val="center"/>
          </w:tcPr>
          <w:p>
            <w:pPr>
              <w:widowControl w:val="0"/>
              <w:jc w:val="center"/>
              <w:rPr>
                <w:rFonts w:ascii="宋体" w:eastAsia="宋体" w:hAnsi="宋体"/>
                <w:kern w:val="2"/>
                <w:sz w:val="21"/>
                <w:szCs w:val="21"/>
                <w:lang w:eastAsia="zh-CN"/>
              </w:rPr>
            </w:pPr>
          </w:p>
        </w:tc>
        <w:tc>
          <w:tcPr>
            <w:tcW w:w="1171" w:type="dxa"/>
            <w:vAlign w:val="center"/>
          </w:tcPr>
          <w:p>
            <w:pPr>
              <w:widowControl w:val="0"/>
              <w:jc w:val="center"/>
              <w:rPr>
                <w:rFonts w:ascii="宋体" w:eastAsia="宋体" w:hAnsi="宋体"/>
                <w:kern w:val="2"/>
                <w:sz w:val="21"/>
                <w:szCs w:val="21"/>
                <w:lang w:eastAsia="zh-CN"/>
              </w:rPr>
            </w:pPr>
          </w:p>
        </w:tc>
        <w:tc>
          <w:tcPr>
            <w:tcW w:w="1149" w:type="dxa"/>
            <w:vAlign w:val="center"/>
          </w:tcPr>
          <w:p>
            <w:pPr>
              <w:widowControl w:val="0"/>
              <w:jc w:val="center"/>
              <w:rPr>
                <w:rFonts w:ascii="宋体" w:eastAsia="宋体" w:hAnsi="宋体"/>
                <w:kern w:val="2"/>
                <w:sz w:val="21"/>
                <w:szCs w:val="21"/>
                <w:lang w:eastAsia="zh-CN"/>
              </w:rPr>
            </w:pPr>
          </w:p>
        </w:tc>
      </w:tr>
    </w:tbl>
    <w:p>
      <w:pPr>
        <w:widowControl w:val="0"/>
        <w:spacing w:after="120" w:line="276" w:lineRule="auto"/>
        <w:jc w:val="both"/>
        <w:rPr>
          <w:rFonts w:eastAsia="宋体"/>
          <w:b/>
          <w:bCs/>
          <w:kern w:val="2"/>
          <w:sz w:val="21"/>
          <w:szCs w:val="21"/>
          <w:lang w:eastAsia="zh-CN"/>
        </w:rPr>
      </w:pPr>
      <w:r>
        <w:rPr>
          <w:rFonts w:eastAsia="宋体" w:hint="eastAsia"/>
          <w:kern w:val="2"/>
          <w:sz w:val="21"/>
          <w:szCs w:val="21"/>
          <w:lang w:eastAsia="zh-CN"/>
        </w:rPr>
        <w:t>（特别提示：以上表格仅供参考。投标人须按本招标文件评标信息中“拟安排的项目负责人情况（仅限一人）”这一评分因素要求，提供证明资料）</w:t>
      </w:r>
    </w:p>
    <w:p>
      <w:pPr>
        <w:widowControl w:val="0"/>
        <w:jc w:val="both"/>
        <w:rPr>
          <w:rFonts w:eastAsia="宋体"/>
          <w:kern w:val="2"/>
          <w:sz w:val="21"/>
          <w:lang w:eastAsia="zh-CN"/>
        </w:rPr>
      </w:pPr>
    </w:p>
    <w:p>
      <w:pPr>
        <w:keepNext/>
        <w:keepLines/>
        <w:widowControl w:val="0"/>
        <w:spacing w:before="260" w:after="260"/>
        <w:jc w:val="center"/>
        <w:outlineLvl w:val="2"/>
        <w:rPr>
          <w:rFonts w:ascii="黑体" w:eastAsia="黑体" w:hAnsi="宋体"/>
          <w:b/>
          <w:bCs/>
          <w:kern w:val="2"/>
          <w:szCs w:val="20"/>
          <w:lang w:eastAsia="zh-CN"/>
        </w:rPr>
      </w:pPr>
      <w:r>
        <w:rPr>
          <w:rFonts w:ascii="黑体" w:eastAsia="黑体" w:hAnsi="宋体" w:hint="eastAsia"/>
          <w:kern w:val="2"/>
          <w:szCs w:val="32"/>
          <w:lang w:eastAsia="zh-CN"/>
        </w:rPr>
        <w:t>十八、投标人认为需要加以说明的其他内容（格式自定）</w:t>
      </w:r>
    </w:p>
    <w:p>
      <w:pPr>
        <w:widowControl w:val="0"/>
        <w:adjustRightInd w:val="0"/>
        <w:snapToGrid w:val="0"/>
        <w:spacing w:line="320" w:lineRule="exact"/>
        <w:jc w:val="center"/>
        <w:rPr>
          <w:rFonts w:ascii="黑体" w:eastAsia="黑体" w:hAnsi="宋体"/>
          <w:kern w:val="2"/>
          <w:szCs w:val="20"/>
          <w:lang w:eastAsia="zh-CN"/>
        </w:rPr>
      </w:pPr>
      <w:r>
        <w:rPr>
          <w:rFonts w:ascii="黑体" w:eastAsia="黑体" w:hAnsi="宋体" w:hint="eastAsia"/>
          <w:kern w:val="2"/>
          <w:szCs w:val="20"/>
          <w:lang w:eastAsia="zh-CN"/>
        </w:rPr>
        <w:t>（一）政府采购违法行为风险知悉确认书</w:t>
      </w:r>
    </w:p>
    <w:p>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本公司在投标前已充分知悉以下情形为参与政府采购活动时的重大风险事项，并承诺已对下述风险提示事项重点排查，做到严谨、诚信、依法依规参与政府采购活动。</w:t>
      </w:r>
    </w:p>
    <w:p>
      <w:pPr>
        <w:widowControl w:val="0"/>
        <w:adjustRightInd w:val="0"/>
        <w:snapToGrid w:val="0"/>
        <w:spacing w:line="320" w:lineRule="exact"/>
        <w:ind w:firstLine="420" w:firstLineChars="200"/>
        <w:jc w:val="both"/>
        <w:rPr>
          <w:rFonts w:eastAsia="宋体"/>
          <w:b/>
          <w:bCs/>
          <w:kern w:val="2"/>
          <w:sz w:val="21"/>
          <w:szCs w:val="21"/>
          <w:lang w:eastAsia="zh-CN"/>
        </w:rPr>
      </w:pPr>
      <w:r>
        <w:rPr>
          <w:rFonts w:ascii="宋体" w:eastAsia="宋体" w:hAnsi="宋体" w:hint="eastAsia"/>
          <w:b/>
          <w:bCs/>
          <w:kern w:val="2"/>
          <w:sz w:val="21"/>
          <w:szCs w:val="21"/>
          <w:lang w:eastAsia="zh-CN"/>
        </w:rPr>
        <w:t>一、本公司已充分知悉</w:t>
      </w:r>
      <w:r>
        <w:rPr>
          <w:rFonts w:eastAsia="宋体" w:hint="eastAsia"/>
          <w:b/>
          <w:bCs/>
          <w:kern w:val="2"/>
          <w:sz w:val="21"/>
          <w:szCs w:val="21"/>
          <w:lang w:eastAsia="zh-CN"/>
        </w:rPr>
        <w:t>“</w:t>
      </w:r>
      <w:r>
        <w:rPr>
          <w:rFonts w:ascii="宋体" w:eastAsia="宋体" w:hAnsi="宋体" w:hint="eastAsia"/>
          <w:b/>
          <w:bCs/>
          <w:kern w:val="2"/>
          <w:sz w:val="21"/>
          <w:szCs w:val="21"/>
          <w:lang w:eastAsia="zh-CN"/>
        </w:rPr>
        <w:t>隐瞒真实情况，提供虚假资料</w:t>
      </w:r>
      <w:r>
        <w:rPr>
          <w:rFonts w:eastAsia="宋体" w:hint="eastAsia"/>
          <w:b/>
          <w:bCs/>
          <w:kern w:val="2"/>
          <w:sz w:val="21"/>
          <w:szCs w:val="21"/>
          <w:lang w:eastAsia="zh-CN"/>
        </w:rPr>
        <w:t>”</w:t>
      </w:r>
      <w:r>
        <w:rPr>
          <w:rFonts w:ascii="宋体" w:eastAsia="宋体" w:hAnsi="宋体" w:hint="eastAsia"/>
          <w:b/>
          <w:bCs/>
          <w:kern w:val="2"/>
          <w:sz w:val="21"/>
          <w:szCs w:val="21"/>
          <w:lang w:eastAsia="zh-CN"/>
        </w:rPr>
        <w:t>的法定情形，相关情形包括但不限于：</w:t>
      </w:r>
    </w:p>
    <w:p>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（一）通过转让或者租借等方式从其他单位获取资格或者资质证书投标的。</w:t>
      </w:r>
    </w:p>
    <w:p>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（二）由其他单位或者其他单位负责人在投标供应商编制的投标文件上加盖印章或者签字的。</w:t>
      </w:r>
    </w:p>
    <w:p>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（三）项目负责人或者主要技术人员不是本单位人员的。</w:t>
      </w:r>
    </w:p>
    <w:p>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（四）投标保证金不是从投标供应商基本账户转出的。</w:t>
      </w:r>
    </w:p>
    <w:p>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（五）其他隐瞒真实情况、提供虚假资料的行为。</w:t>
      </w:r>
    </w:p>
    <w:p>
      <w:pPr>
        <w:widowControl w:val="0"/>
        <w:adjustRightInd w:val="0"/>
        <w:snapToGrid w:val="0"/>
        <w:spacing w:line="320" w:lineRule="exact"/>
        <w:ind w:firstLine="420" w:firstLineChars="200"/>
        <w:jc w:val="both"/>
        <w:rPr>
          <w:rFonts w:eastAsia="宋体"/>
          <w:b/>
          <w:bCs/>
          <w:kern w:val="2"/>
          <w:sz w:val="21"/>
          <w:szCs w:val="21"/>
          <w:lang w:eastAsia="zh-CN"/>
        </w:rPr>
      </w:pPr>
      <w:r>
        <w:rPr>
          <w:rFonts w:ascii="宋体" w:eastAsia="宋体" w:hAnsi="宋体" w:hint="eastAsia"/>
          <w:b/>
          <w:bCs/>
          <w:kern w:val="2"/>
          <w:sz w:val="21"/>
          <w:szCs w:val="21"/>
          <w:lang w:eastAsia="zh-CN"/>
        </w:rPr>
        <w:t>二、本公司已充分知悉</w:t>
      </w:r>
      <w:r>
        <w:rPr>
          <w:rFonts w:eastAsia="宋体" w:hint="eastAsia"/>
          <w:b/>
          <w:bCs/>
          <w:kern w:val="2"/>
          <w:sz w:val="21"/>
          <w:szCs w:val="21"/>
          <w:lang w:eastAsia="zh-CN"/>
        </w:rPr>
        <w:t>“</w:t>
      </w:r>
      <w:r>
        <w:rPr>
          <w:rFonts w:ascii="宋体" w:eastAsia="宋体" w:hAnsi="宋体" w:hint="eastAsia"/>
          <w:b/>
          <w:bCs/>
          <w:kern w:val="2"/>
          <w:sz w:val="21"/>
          <w:szCs w:val="21"/>
          <w:lang w:eastAsia="zh-CN"/>
        </w:rPr>
        <w:t>与其他采购参加人串通投标</w:t>
      </w:r>
      <w:r>
        <w:rPr>
          <w:rFonts w:eastAsia="宋体" w:hint="eastAsia"/>
          <w:b/>
          <w:bCs/>
          <w:kern w:val="2"/>
          <w:sz w:val="21"/>
          <w:szCs w:val="21"/>
          <w:lang w:eastAsia="zh-CN"/>
        </w:rPr>
        <w:t>”</w:t>
      </w:r>
      <w:r>
        <w:rPr>
          <w:rFonts w:ascii="宋体" w:eastAsia="宋体" w:hAnsi="宋体" w:hint="eastAsia"/>
          <w:b/>
          <w:bCs/>
          <w:kern w:val="2"/>
          <w:sz w:val="21"/>
          <w:szCs w:val="21"/>
          <w:lang w:eastAsia="zh-CN"/>
        </w:rPr>
        <w:t>的法定情形，相关情形包括但不限于：</w:t>
      </w:r>
    </w:p>
    <w:p>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（一）投标供应商之间相互约定给予未中标的供应商利益补偿。</w:t>
      </w:r>
    </w:p>
    <w:p>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（二）不同投标供应商的法定代表人、主要经营负责人、项目投标授权代表人、项目负责人、主要技术人员为同一人、属同一单位或者在同一单位缴纳社会保险。</w:t>
      </w:r>
    </w:p>
    <w:p>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（三）不同投标供应商的投标文件由同一单位或者同一人编制，或者由同一人分阶段参与编制的。</w:t>
      </w:r>
    </w:p>
    <w:p>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（四）不同投标供应商的投标文件或部分投标文件相互混装。</w:t>
      </w:r>
    </w:p>
    <w:p>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（五）不同投标供应商的投标文件内容存在非正常一致。</w:t>
      </w:r>
    </w:p>
    <w:p>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（六）由同一单位工作人员为两家以上（含两家）供应商进行同一项投标活动的。</w:t>
      </w:r>
    </w:p>
    <w:p>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（七）不同投标人的投标报价呈规律性差异。</w:t>
      </w:r>
    </w:p>
    <w:p>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（八）不同投标人的投标保证金从同一单位或者个人的账户转出。</w:t>
      </w:r>
    </w:p>
    <w:p>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（九）主管部门依照法律、法规认定的其他情形。</w:t>
      </w:r>
    </w:p>
    <w:p>
      <w:pPr>
        <w:widowControl w:val="0"/>
        <w:adjustRightInd w:val="0"/>
        <w:snapToGrid w:val="0"/>
        <w:spacing w:line="320" w:lineRule="exact"/>
        <w:ind w:firstLine="420" w:firstLineChars="200"/>
        <w:jc w:val="both"/>
        <w:rPr>
          <w:rFonts w:eastAsia="宋体"/>
          <w:b/>
          <w:bCs/>
          <w:kern w:val="2"/>
          <w:sz w:val="21"/>
          <w:szCs w:val="21"/>
          <w:lang w:eastAsia="zh-CN"/>
        </w:rPr>
      </w:pPr>
      <w:r>
        <w:rPr>
          <w:rFonts w:ascii="宋体" w:eastAsia="宋体" w:hAnsi="宋体" w:hint="eastAsia"/>
          <w:b/>
          <w:bCs/>
          <w:kern w:val="2"/>
          <w:sz w:val="21"/>
          <w:szCs w:val="21"/>
          <w:lang w:eastAsia="zh-CN"/>
        </w:rPr>
        <w:t>三、本公司已充分知悉下列情形所对应的法律风险，并在投标前已对相关风险事项进行排查。</w:t>
      </w:r>
    </w:p>
    <w:p>
      <w:pPr>
        <w:widowControl w:val="0"/>
        <w:autoSpaceDE w:val="0"/>
        <w:autoSpaceDN w:val="0"/>
        <w:adjustRightInd w:val="0"/>
        <w:snapToGrid w:val="0"/>
        <w:spacing w:line="320" w:lineRule="exact"/>
        <w:ind w:firstLine="420" w:firstLineChars="200"/>
        <w:jc w:val="both"/>
        <w:rPr>
          <w:rFonts w:ascii="宋体" w:eastAsia="宋体" w:hAnsi="宋体"/>
          <w:b/>
          <w:bCs/>
          <w:spacing w:val="-4"/>
          <w:sz w:val="21"/>
          <w:szCs w:val="21"/>
          <w:lang w:eastAsia="zh-CN"/>
        </w:rPr>
      </w:pPr>
      <w:r>
        <w:rPr>
          <w:rFonts w:ascii="宋体" w:eastAsia="宋体" w:hAnsi="宋体" w:hint="eastAsia"/>
          <w:spacing w:val="-4"/>
          <w:sz w:val="21"/>
          <w:szCs w:val="21"/>
          <w:lang w:eastAsia="zh-CN"/>
        </w:rPr>
        <w:t>（一）对于从其他主体获取的投标资料，供应商应审慎核查，确保投标资料的真实性。</w:t>
      </w:r>
      <w:r>
        <w:rPr>
          <w:rFonts w:ascii="宋体" w:eastAsia="宋体" w:hAnsi="宋体" w:hint="eastAsia"/>
          <w:b/>
          <w:bCs/>
          <w:spacing w:val="-4"/>
          <w:sz w:val="21"/>
          <w:szCs w:val="21"/>
          <w:lang w:eastAsia="zh-CN"/>
        </w:rPr>
        <w:t>如主管部门查实投标文件中存在虚假资料的，无论相关资料是否由第三方或本公司员工提供，均不影响主管部门对供应商存在“隐瞒真实情况，提供虚假资料”违法行为的认定。</w:t>
      </w:r>
    </w:p>
    <w:p>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（三）对于涉及安全生产、特种作业、抢险救灾、防疫等政府采购项目，供应商实施提供虚假资料、串通投标等违法行为的，主管部门将依法从严处理。</w:t>
      </w:r>
    </w:p>
    <w:p>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（六）单位负责人为同一人或者存在直接控股、管理关系的不同供应商，不得参加同一合同项下的政府采购活动。相关情形如查实，依法作投标无效处理；涉嫌串通投标等违法行为的，主管部门将依法调查处理。</w:t>
      </w:r>
    </w:p>
    <w:p>
      <w:pPr>
        <w:widowControl w:val="0"/>
        <w:autoSpaceDE w:val="0"/>
        <w:autoSpaceDN w:val="0"/>
        <w:adjustRightInd w:val="0"/>
        <w:snapToGrid w:val="0"/>
        <w:spacing w:line="320" w:lineRule="exact"/>
        <w:ind w:firstLine="420" w:firstLineChars="200"/>
        <w:jc w:val="both"/>
        <w:rPr>
          <w:rFonts w:eastAsia="宋体"/>
          <w:b/>
          <w:bCs/>
          <w:kern w:val="2"/>
          <w:sz w:val="21"/>
          <w:szCs w:val="21"/>
          <w:lang w:eastAsia="zh-CN"/>
        </w:rPr>
      </w:pPr>
      <w:r>
        <w:rPr>
          <w:rFonts w:ascii="宋体" w:eastAsia="宋体" w:hAnsi="宋体" w:hint="eastAsia"/>
          <w:b/>
          <w:bCs/>
          <w:kern w:val="2"/>
          <w:sz w:val="21"/>
          <w:szCs w:val="21"/>
          <w:lang w:eastAsia="zh-CN"/>
        </w:rPr>
        <w:t>四、本公司已充分知悉政府采购违法、违规行为的法律后果。</w:t>
      </w:r>
    </w:p>
    <w:p>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widowControl w:val="0"/>
        <w:autoSpaceDE w:val="0"/>
        <w:autoSpaceDN w:val="0"/>
        <w:adjustRightInd w:val="0"/>
        <w:snapToGrid w:val="0"/>
        <w:spacing w:line="320" w:lineRule="exact"/>
        <w:ind w:firstLine="420" w:firstLineChars="200"/>
        <w:jc w:val="both"/>
        <w:rPr>
          <w:rFonts w:ascii="宋体" w:eastAsia="宋体" w:hAnsi="宋体"/>
          <w:b/>
          <w:bCs/>
          <w:spacing w:val="-4"/>
          <w:sz w:val="21"/>
          <w:szCs w:val="21"/>
          <w:lang w:eastAsia="zh-CN"/>
        </w:rPr>
      </w:pPr>
      <w:r>
        <w:rPr>
          <w:rFonts w:ascii="宋体" w:eastAsia="宋体" w:hAnsi="宋体" w:hint="eastAsia"/>
          <w:b/>
          <w:bCs/>
          <w:spacing w:val="-4"/>
          <w:sz w:val="21"/>
          <w:szCs w:val="21"/>
          <w:lang w:eastAsia="zh-CN"/>
        </w:rPr>
        <w:t>以下文字请投标供应商抄写并确认：“本公司已仔细阅读《政府采购违法行为风险知悉确认书》，充分知悉违法行为的法律后果，并承诺将严谨、诚信、依法依规参与政府采购活动”。</w:t>
      </w:r>
    </w:p>
    <w:tbl>
      <w:tblPr>
        <w:tblStyle w:val="TableGrid"/>
        <w:tblW w:w="5000" w:type="pct"/>
        <w:tblInd w:w="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9078"/>
      </w:tblGrid>
      <w:tr>
        <w:tblPrEx>
          <w:tblW w:w="5000" w:type="pct"/>
          <w:tblInd w:w="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4"/>
        </w:trPr>
        <w:tc>
          <w:tcPr>
            <w:tcW w:w="8529" w:type="dxa"/>
            <w:tcBorders>
              <w:top w:val="nil"/>
              <w:left w:val="nil"/>
              <w:bottom w:val="single" w:sz="8" w:space="0" w:color="000000"/>
              <w:right w:val="nil"/>
            </w:tcBorders>
          </w:tcPr>
          <w:p>
            <w:pPr>
              <w:autoSpaceDE w:val="0"/>
              <w:autoSpaceDN w:val="0"/>
              <w:adjustRightInd w:val="0"/>
              <w:snapToGrid w:val="0"/>
              <w:spacing w:line="320" w:lineRule="exact"/>
              <w:rPr>
                <w:rFonts w:ascii="宋体" w:hAnsi="宋体"/>
                <w:spacing w:val="-4"/>
                <w:sz w:val="20"/>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tcPr>
          <w:p>
            <w:pPr>
              <w:autoSpaceDE w:val="0"/>
              <w:autoSpaceDN w:val="0"/>
              <w:adjustRightInd w:val="0"/>
              <w:snapToGrid w:val="0"/>
              <w:spacing w:line="320" w:lineRule="exact"/>
              <w:rPr>
                <w:rFonts w:ascii="宋体" w:hAnsi="宋体"/>
                <w:spacing w:val="-4"/>
                <w:sz w:val="20"/>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tcPr>
          <w:p>
            <w:pPr>
              <w:autoSpaceDE w:val="0"/>
              <w:autoSpaceDN w:val="0"/>
              <w:adjustRightInd w:val="0"/>
              <w:snapToGrid w:val="0"/>
              <w:spacing w:line="320" w:lineRule="exact"/>
              <w:rPr>
                <w:rFonts w:ascii="宋体" w:hAnsi="宋体"/>
                <w:spacing w:val="-4"/>
                <w:sz w:val="20"/>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auto"/>
              <w:right w:val="nil"/>
            </w:tcBorders>
          </w:tcPr>
          <w:p>
            <w:pPr>
              <w:autoSpaceDE w:val="0"/>
              <w:autoSpaceDN w:val="0"/>
              <w:adjustRightInd w:val="0"/>
              <w:snapToGrid w:val="0"/>
              <w:spacing w:line="320" w:lineRule="exact"/>
              <w:rPr>
                <w:rFonts w:ascii="宋体" w:hAnsi="宋体"/>
                <w:spacing w:val="-4"/>
                <w:sz w:val="20"/>
                <w:szCs w:val="21"/>
                <w:lang w:eastAsia="zh-CN"/>
              </w:rPr>
            </w:pPr>
          </w:p>
        </w:tc>
      </w:tr>
    </w:tbl>
    <w:p>
      <w:pPr>
        <w:widowControl w:val="0"/>
        <w:wordWrap w:val="0"/>
        <w:autoSpaceDE w:val="0"/>
        <w:autoSpaceDN w:val="0"/>
        <w:adjustRightInd w:val="0"/>
        <w:snapToGrid w:val="0"/>
        <w:spacing w:line="320" w:lineRule="exact"/>
        <w:ind w:firstLine="420" w:firstLineChars="200"/>
        <w:jc w:val="right"/>
        <w:rPr>
          <w:rFonts w:ascii="宋体" w:eastAsia="宋体" w:hAnsi="宋体"/>
          <w:spacing w:val="-4"/>
          <w:sz w:val="21"/>
          <w:szCs w:val="21"/>
          <w:lang w:eastAsia="zh-CN"/>
        </w:rPr>
      </w:pPr>
      <w:r>
        <w:rPr>
          <w:rFonts w:ascii="宋体" w:eastAsia="宋体" w:hAnsi="宋体" w:hint="eastAsia"/>
          <w:spacing w:val="-4"/>
          <w:sz w:val="21"/>
          <w:szCs w:val="21"/>
          <w:lang w:eastAsia="zh-CN"/>
        </w:rPr>
        <w:t xml:space="preserve">负责人/投标授权代表签名：     </w:t>
      </w:r>
    </w:p>
    <w:p>
      <w:pPr>
        <w:widowControl w:val="0"/>
        <w:wordWrap w:val="0"/>
        <w:autoSpaceDE w:val="0"/>
        <w:autoSpaceDN w:val="0"/>
        <w:adjustRightInd w:val="0"/>
        <w:snapToGrid w:val="0"/>
        <w:spacing w:line="320" w:lineRule="exact"/>
        <w:ind w:firstLine="420" w:firstLineChars="200"/>
        <w:jc w:val="right"/>
        <w:rPr>
          <w:rFonts w:ascii="宋体" w:eastAsia="宋体" w:hAnsi="宋体"/>
          <w:spacing w:val="-4"/>
          <w:sz w:val="21"/>
          <w:szCs w:val="21"/>
          <w:lang w:eastAsia="zh-CN"/>
        </w:rPr>
      </w:pPr>
      <w:r>
        <w:rPr>
          <w:rFonts w:ascii="宋体" w:eastAsia="宋体" w:hAnsi="宋体" w:hint="eastAsia"/>
          <w:spacing w:val="-4"/>
          <w:sz w:val="21"/>
          <w:szCs w:val="21"/>
          <w:lang w:eastAsia="zh-CN"/>
        </w:rPr>
        <w:t xml:space="preserve">知悉人（公章）：     </w:t>
      </w:r>
    </w:p>
    <w:p>
      <w:pPr>
        <w:widowControl w:val="0"/>
        <w:wordWrap w:val="0"/>
        <w:autoSpaceDE w:val="0"/>
        <w:autoSpaceDN w:val="0"/>
        <w:adjustRightInd w:val="0"/>
        <w:snapToGrid w:val="0"/>
        <w:spacing w:line="320" w:lineRule="exact"/>
        <w:ind w:firstLine="420" w:firstLineChars="200"/>
        <w:jc w:val="right"/>
        <w:rPr>
          <w:rFonts w:eastAsia="宋体"/>
          <w:kern w:val="2"/>
          <w:lang w:eastAsia="zh-CN"/>
        </w:rPr>
      </w:pPr>
      <w:r>
        <w:rPr>
          <w:rFonts w:ascii="宋体" w:eastAsia="宋体" w:hAnsi="宋体" w:hint="eastAsia"/>
          <w:spacing w:val="-4"/>
          <w:sz w:val="21"/>
          <w:szCs w:val="21"/>
          <w:lang w:eastAsia="zh-CN"/>
        </w:rPr>
        <w:t xml:space="preserve">日期：     </w:t>
      </w:r>
    </w:p>
    <w:p>
      <w:pPr>
        <w:widowControl w:val="0"/>
        <w:autoSpaceDE w:val="0"/>
        <w:autoSpaceDN w:val="0"/>
        <w:adjustRightInd w:val="0"/>
        <w:snapToGrid w:val="0"/>
        <w:spacing w:line="320" w:lineRule="exact"/>
        <w:ind w:firstLine="420" w:firstLineChars="200"/>
        <w:jc w:val="left"/>
        <w:rPr>
          <w:rFonts w:ascii="宋体" w:eastAsia="宋体" w:hAnsi="宋体"/>
          <w:spacing w:val="-4"/>
          <w:sz w:val="21"/>
          <w:szCs w:val="21"/>
          <w:lang w:eastAsia="zh-CN"/>
        </w:rPr>
      </w:pPr>
      <w:r>
        <w:rPr>
          <w:rFonts w:ascii="宋体" w:eastAsia="宋体" w:hAnsi="宋体" w:hint="eastAsia"/>
          <w:spacing w:val="-4"/>
          <w:sz w:val="21"/>
          <w:szCs w:val="21"/>
          <w:lang w:eastAsia="zh-CN"/>
        </w:rPr>
        <w:t>注：1.根据《深圳市财政局关于采购文件增加风险告知有关事项的通知》（深财购〔2022〕22 号），该风险知悉确认书用于对供应商违法行为的警示，不作为供应商资格性审查及符合性审查条件。</w:t>
      </w:r>
    </w:p>
    <w:p>
      <w:pPr>
        <w:widowControl w:val="0"/>
        <w:autoSpaceDE w:val="0"/>
        <w:autoSpaceDN w:val="0"/>
        <w:adjustRightInd w:val="0"/>
        <w:snapToGrid w:val="0"/>
        <w:spacing w:line="320" w:lineRule="exact"/>
        <w:ind w:firstLine="420" w:firstLineChars="200"/>
        <w:jc w:val="both"/>
        <w:rPr>
          <w:rFonts w:ascii="宋体" w:eastAsia="宋体" w:hAnsi="宋体"/>
          <w:spacing w:val="-4"/>
          <w:sz w:val="21"/>
          <w:szCs w:val="21"/>
          <w:lang w:eastAsia="zh-CN"/>
        </w:rPr>
      </w:pPr>
      <w:r>
        <w:rPr>
          <w:rFonts w:ascii="宋体" w:eastAsia="宋体" w:hAnsi="宋体" w:hint="eastAsia"/>
          <w:spacing w:val="-4"/>
          <w:sz w:val="21"/>
          <w:szCs w:val="21"/>
          <w:lang w:eastAsia="zh-CN"/>
        </w:rPr>
        <w:t>2.投标供应商负责人或投标授权代表签字并加盖单位公章后，扫描上传至投标文件一并提交。</w:t>
      </w:r>
    </w:p>
    <w:p>
      <w:pPr>
        <w:widowControl w:val="0"/>
        <w:adjustRightInd w:val="0"/>
        <w:snapToGrid w:val="0"/>
        <w:spacing w:after="120" w:line="276" w:lineRule="auto"/>
        <w:jc w:val="both"/>
        <w:rPr>
          <w:rFonts w:eastAsia="宋体"/>
          <w:kern w:val="2"/>
          <w:sz w:val="21"/>
          <w:lang w:eastAsia="zh-CN"/>
        </w:rPr>
      </w:pPr>
    </w:p>
    <w:p>
      <w:pPr>
        <w:widowControl w:val="0"/>
        <w:jc w:val="center"/>
        <w:rPr>
          <w:rFonts w:ascii="黑体" w:eastAsia="黑体" w:hAnsi="Calibri"/>
          <w:kern w:val="2"/>
          <w:szCs w:val="20"/>
          <w:lang w:eastAsia="zh-CN"/>
        </w:rPr>
      </w:pPr>
      <w:r>
        <w:rPr>
          <w:rFonts w:ascii="黑体" w:eastAsia="黑体" w:hAnsi="Calibri" w:cstheme="minorBidi" w:hint="eastAsia"/>
          <w:kern w:val="2"/>
          <w:szCs w:val="20"/>
          <w:lang w:eastAsia="zh-CN"/>
        </w:rPr>
        <w:t>（二）订单融资情况</w:t>
      </w:r>
    </w:p>
    <w:p>
      <w:pPr>
        <w:widowControl w:val="0"/>
        <w:ind w:firstLine="420" w:firstLineChars="200"/>
        <w:jc w:val="both"/>
        <w:rPr>
          <w:rFonts w:ascii="宋体" w:eastAsia="宋体" w:hAnsi="宋体" w:cs="宋体"/>
          <w:b/>
          <w:bCs/>
          <w:kern w:val="2"/>
          <w:sz w:val="21"/>
          <w:szCs w:val="22"/>
          <w:lang w:eastAsia="zh-CN"/>
        </w:rPr>
      </w:pPr>
      <w:r>
        <w:rPr>
          <w:rFonts w:ascii="宋体" w:eastAsia="宋体" w:hAnsi="宋体" w:cs="宋体" w:hint="eastAsia"/>
          <w:b/>
          <w:bCs/>
          <w:kern w:val="2"/>
          <w:sz w:val="21"/>
          <w:szCs w:val="22"/>
          <w:lang w:eastAsia="zh-CN"/>
        </w:rPr>
        <w:t>1、关于政府采购订单融资政策</w:t>
      </w:r>
    </w:p>
    <w:p>
      <w:pPr>
        <w:widowControl w:val="0"/>
        <w:spacing w:after="120"/>
        <w:ind w:firstLine="420" w:firstLineChars="200"/>
        <w:jc w:val="both"/>
        <w:rPr>
          <w:rFonts w:eastAsia="宋体"/>
          <w:bCs/>
          <w:kern w:val="2"/>
          <w:sz w:val="21"/>
          <w:szCs w:val="21"/>
          <w:lang w:eastAsia="zh-CN"/>
        </w:rPr>
      </w:pPr>
      <w:r>
        <w:rPr>
          <w:rFonts w:eastAsia="宋体" w:hint="eastAsia"/>
          <w:bCs/>
          <w:kern w:val="2"/>
          <w:sz w:val="21"/>
          <w:szCs w:val="21"/>
          <w:lang w:eastAsia="zh-CN"/>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widowControl w:val="0"/>
        <w:ind w:firstLine="420" w:firstLineChars="200"/>
        <w:jc w:val="both"/>
        <w:rPr>
          <w:rFonts w:ascii="宋体" w:eastAsia="宋体" w:hAnsi="宋体" w:cs="宋体"/>
          <w:b/>
          <w:bCs/>
          <w:kern w:val="2"/>
          <w:sz w:val="21"/>
          <w:szCs w:val="22"/>
          <w:lang w:eastAsia="zh-CN"/>
        </w:rPr>
      </w:pPr>
      <w:r>
        <w:rPr>
          <w:rFonts w:ascii="宋体" w:eastAsia="宋体" w:hAnsi="宋体" w:cs="宋体" w:hint="eastAsia"/>
          <w:b/>
          <w:bCs/>
          <w:kern w:val="2"/>
          <w:sz w:val="21"/>
          <w:szCs w:val="22"/>
          <w:lang w:eastAsia="zh-CN"/>
        </w:rPr>
        <w:t>2、供应商账户信息</w:t>
      </w:r>
    </w:p>
    <w:p>
      <w:pPr>
        <w:widowControl w:val="0"/>
        <w:ind w:left="480" w:firstLine="210" w:leftChars="200" w:firstLineChars="1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投标人（单位全称）：</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lang w:eastAsia="zh-CN"/>
        </w:rPr>
        <w:t xml:space="preserve">  </w:t>
      </w:r>
    </w:p>
    <w:p>
      <w:pPr>
        <w:widowControl w:val="0"/>
        <w:ind w:left="480" w:firstLine="210" w:leftChars="200" w:firstLineChars="1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投标人单位地址：</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法定代表人（负责人）或其</w:t>
      </w:r>
      <w:r>
        <w:rPr>
          <w:rFonts w:eastAsia="宋体" w:hAnsi="Calibri" w:cstheme="minorBidi" w:hint="eastAsia"/>
          <w:kern w:val="2"/>
          <w:sz w:val="21"/>
          <w:szCs w:val="21"/>
          <w:lang w:eastAsia="zh-CN"/>
        </w:rPr>
        <w:t>授权</w:t>
      </w:r>
      <w:r>
        <w:rPr>
          <w:rFonts w:ascii="Calibri" w:eastAsia="宋体" w:hAnsi="Calibri" w:cstheme="minorBidi" w:hint="eastAsia"/>
          <w:kern w:val="2"/>
          <w:sz w:val="21"/>
          <w:szCs w:val="21"/>
          <w:lang w:eastAsia="zh-CN"/>
        </w:rPr>
        <w:t>委托代理人：</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kern w:val="2"/>
          <w:sz w:val="21"/>
          <w:szCs w:val="21"/>
          <w:u w:val="thick"/>
          <w:lang w:eastAsia="zh-CN"/>
        </w:rPr>
      </w:pPr>
      <w:r>
        <w:rPr>
          <w:rFonts w:ascii="Calibri" w:eastAsia="宋体" w:hAnsi="Calibri" w:cstheme="minorBidi" w:hint="eastAsia"/>
          <w:kern w:val="2"/>
          <w:sz w:val="21"/>
          <w:szCs w:val="21"/>
          <w:lang w:eastAsia="zh-CN"/>
        </w:rPr>
        <w:t>联系电话：</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r>
        <w:rPr>
          <w:rFonts w:ascii="Calibri" w:eastAsia="宋体" w:hAnsi="Calibri" w:cstheme="minorBidi" w:hint="eastAsia"/>
          <w:kern w:val="2"/>
          <w:sz w:val="21"/>
          <w:szCs w:val="21"/>
          <w:u w:val="thick"/>
          <w:lang w:eastAsia="zh-CN"/>
        </w:rPr>
        <w:t xml:space="preserve">               </w:t>
      </w:r>
    </w:p>
    <w:p>
      <w:pPr>
        <w:widowControl w:val="0"/>
        <w:ind w:left="480" w:firstLine="210" w:leftChars="200" w:firstLineChars="100"/>
        <w:jc w:val="both"/>
        <w:rPr>
          <w:rFonts w:ascii="Calibri" w:eastAsia="宋体" w:hAnsi="Calibri"/>
          <w:kern w:val="2"/>
          <w:sz w:val="21"/>
          <w:szCs w:val="21"/>
          <w:lang w:eastAsia="zh-CN"/>
        </w:rPr>
      </w:pPr>
      <w:r>
        <w:rPr>
          <w:rFonts w:eastAsia="宋体" w:hAnsi="Calibri" w:cstheme="minorBidi" w:hint="eastAsia"/>
          <w:kern w:val="2"/>
          <w:sz w:val="21"/>
          <w:szCs w:val="21"/>
          <w:lang w:eastAsia="zh-CN"/>
        </w:rPr>
        <w:t>开户银行名称：</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kern w:val="2"/>
          <w:sz w:val="21"/>
          <w:szCs w:val="21"/>
          <w:u w:val="thick"/>
          <w:lang w:eastAsia="zh-CN"/>
        </w:rPr>
      </w:pPr>
      <w:r>
        <w:rPr>
          <w:rFonts w:ascii="Calibri" w:eastAsia="宋体" w:hAnsi="Calibri" w:cstheme="minorBidi" w:hint="eastAsia"/>
          <w:kern w:val="2"/>
          <w:sz w:val="21"/>
          <w:szCs w:val="21"/>
          <w:lang w:eastAsia="zh-CN"/>
        </w:rPr>
        <w:t>开户银行账号：</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开户银行地址：</w:t>
      </w:r>
      <w:r>
        <w:rPr>
          <w:rFonts w:ascii="Calibri" w:eastAsia="宋体" w:hAnsi="Calibri" w:cstheme="minorBidi" w:hint="eastAsia"/>
          <w:kern w:val="2"/>
          <w:sz w:val="21"/>
          <w:szCs w:val="21"/>
          <w:u w:val="thick"/>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 xml:space="preserve"> </w:t>
      </w:r>
      <w:r>
        <w:rPr>
          <w:rFonts w:ascii="宋体" w:eastAsia="宋体" w:hAnsi="宋体" w:cstheme="minorBidi" w:hint="eastAsia"/>
          <w:b/>
          <w:bCs/>
          <w:color w:val="FF0000"/>
          <w:spacing w:val="-4"/>
          <w:sz w:val="21"/>
          <w:szCs w:val="21"/>
          <w:lang w:eastAsia="zh-CN"/>
        </w:rPr>
        <w:t>注：本项填写内容作为订单融资开展的参考信息，不作为供应商资格性审查及符合性审查条件。</w:t>
      </w:r>
    </w:p>
    <w:p>
      <w:pPr>
        <w:widowControl w:val="0"/>
        <w:spacing w:after="120"/>
        <w:jc w:val="both"/>
        <w:rPr>
          <w:rFonts w:eastAsia="宋体"/>
          <w:kern w:val="2"/>
          <w:sz w:val="21"/>
          <w:lang w:eastAsia="zh-CN"/>
        </w:rPr>
      </w:pPr>
    </w:p>
    <w:p>
      <w:pPr>
        <w:widowControl w:val="0"/>
        <w:spacing w:line="360" w:lineRule="auto"/>
        <w:jc w:val="both"/>
        <w:rPr>
          <w:rFonts w:eastAsia="宋体"/>
          <w:kern w:val="2"/>
          <w:lang w:eastAsia="zh-CN"/>
        </w:rPr>
      </w:pPr>
    </w:p>
    <w:p>
      <w:pPr>
        <w:widowControl w:val="0"/>
        <w:adjustRightInd w:val="0"/>
        <w:snapToGrid w:val="0"/>
        <w:spacing w:line="276" w:lineRule="auto"/>
        <w:jc w:val="center"/>
        <w:rPr>
          <w:rFonts w:ascii="黑体" w:eastAsia="黑体" w:hAnsi="宋体"/>
          <w:kern w:val="2"/>
          <w:szCs w:val="20"/>
          <w:lang w:eastAsia="zh-CN"/>
        </w:rPr>
      </w:pPr>
      <w:r>
        <w:rPr>
          <w:rFonts w:ascii="黑体" w:eastAsia="黑体" w:hAnsi="宋体" w:hint="eastAsia"/>
          <w:kern w:val="2"/>
          <w:szCs w:val="20"/>
          <w:lang w:eastAsia="zh-CN"/>
        </w:rPr>
        <w:t>（三）投标人认为需要加以说明的其他内容</w:t>
      </w:r>
    </w:p>
    <w:p>
      <w:pPr>
        <w:widowControl w:val="0"/>
        <w:spacing w:before="60" w:beforeLines="25" w:after="60" w:afterLines="25"/>
        <w:jc w:val="both"/>
        <w:rPr>
          <w:rFonts w:ascii="宋体" w:eastAsia="宋体"/>
          <w:sz w:val="21"/>
          <w:szCs w:val="21"/>
          <w:lang w:eastAsia="zh-CN"/>
        </w:rPr>
      </w:pPr>
    </w:p>
    <w:p>
      <w:pPr>
        <w:widowControl/>
        <w:jc w:val="left"/>
        <w:rPr>
          <w:rFonts w:ascii="宋体" w:eastAsia="宋体" w:hAnsi="宋体"/>
          <w:b/>
          <w:bCs/>
          <w:szCs w:val="20"/>
          <w:lang w:eastAsia="zh-CN"/>
        </w:rPr>
      </w:pPr>
      <w:r>
        <w:rPr>
          <w:rFonts w:eastAsia="宋体"/>
          <w:kern w:val="2"/>
          <w:sz w:val="21"/>
          <w:lang w:eastAsia="zh-CN"/>
        </w:rPr>
        <w:br w:type="page"/>
      </w:r>
    </w:p>
    <w:p>
      <w:pPr>
        <w:keepNext/>
        <w:keepLines/>
        <w:widowControl w:val="0"/>
        <w:adjustRightInd w:val="0"/>
        <w:spacing w:before="260" w:after="260" w:line="276" w:lineRule="auto"/>
        <w:jc w:val="center"/>
        <w:textAlignment w:val="baseline"/>
        <w:outlineLvl w:val="1"/>
        <w:rPr>
          <w:rFonts w:ascii="宋体" w:eastAsia="宋体" w:hAnsi="宋体"/>
          <w:b/>
          <w:bCs/>
          <w:szCs w:val="20"/>
          <w:lang w:eastAsia="zh-CN"/>
        </w:rPr>
      </w:pPr>
      <w:r>
        <w:rPr>
          <w:rFonts w:ascii="宋体" w:eastAsia="宋体" w:hAnsi="宋体" w:hint="eastAsia"/>
          <w:b/>
          <w:bCs/>
          <w:szCs w:val="20"/>
          <w:lang w:eastAsia="zh-CN"/>
        </w:rPr>
        <w:t>第五章  合同条款及格式</w:t>
      </w:r>
    </w:p>
    <w:p>
      <w:pPr>
        <w:widowControl w:val="0"/>
        <w:spacing w:line="276" w:lineRule="auto"/>
        <w:ind w:firstLine="412" w:firstLineChars="196"/>
        <w:jc w:val="both"/>
        <w:rPr>
          <w:rFonts w:eastAsia="宋体"/>
          <w:kern w:val="2"/>
          <w:sz w:val="21"/>
          <w:lang w:eastAsia="zh-CN"/>
        </w:rPr>
      </w:pPr>
    </w:p>
    <w:p>
      <w:pPr>
        <w:widowControl w:val="0"/>
        <w:jc w:val="center"/>
        <w:outlineLvl w:val="0"/>
        <w:rPr>
          <w:rFonts w:ascii="Calibri" w:eastAsia="宋体" w:hAnsi="Calibri"/>
          <w:b/>
          <w:kern w:val="2"/>
          <w:szCs w:val="22"/>
          <w:lang w:eastAsia="zh-CN"/>
        </w:rPr>
      </w:pPr>
      <w:r>
        <w:rPr>
          <w:rFonts w:ascii="Calibri" w:eastAsia="宋体" w:hAnsi="Calibri" w:cstheme="minorBidi" w:hint="eastAsia"/>
          <w:b/>
          <w:kern w:val="2"/>
          <w:szCs w:val="22"/>
          <w:lang w:eastAsia="zh-CN"/>
        </w:rPr>
        <w:t>（仅供参考，具体以项目需求及采购结果为准）</w:t>
      </w:r>
    </w:p>
    <w:p>
      <w:pPr>
        <w:widowControl w:val="0"/>
        <w:jc w:val="center"/>
        <w:outlineLvl w:val="0"/>
        <w:rPr>
          <w:rFonts w:ascii="Calibri" w:eastAsia="宋体" w:hAnsi="Calibri"/>
          <w:b/>
          <w:kern w:val="2"/>
          <w:szCs w:val="22"/>
          <w:lang w:eastAsia="zh-CN"/>
        </w:rPr>
      </w:pPr>
    </w:p>
    <w:p>
      <w:pPr>
        <w:widowControl w:val="0"/>
        <w:jc w:val="center"/>
        <w:outlineLvl w:val="0"/>
        <w:rPr>
          <w:rFonts w:ascii="Calibri" w:eastAsia="宋体" w:hAnsi="Calibri"/>
          <w:b/>
          <w:kern w:val="2"/>
          <w:szCs w:val="22"/>
          <w:lang w:eastAsia="zh-CN"/>
        </w:rPr>
      </w:pPr>
    </w:p>
    <w:p>
      <w:pPr>
        <w:widowControl w:val="0"/>
        <w:jc w:val="center"/>
        <w:rPr>
          <w:rFonts w:ascii="黑体" w:eastAsia="黑体" w:hAnsi="Calibri"/>
          <w:b/>
          <w:kern w:val="2"/>
          <w:sz w:val="52"/>
          <w:szCs w:val="52"/>
          <w:lang w:eastAsia="zh-CN"/>
        </w:rPr>
      </w:pPr>
      <w:r>
        <w:rPr>
          <w:rFonts w:ascii="黑体" w:eastAsia="黑体" w:hAnsi="Calibri" w:cstheme="minorBidi" w:hint="eastAsia"/>
          <w:b/>
          <w:kern w:val="2"/>
          <w:sz w:val="52"/>
          <w:szCs w:val="52"/>
          <w:lang w:eastAsia="zh-CN"/>
        </w:rPr>
        <w:t>深圳市南山区妇幼保健院院内零星修缮服务合同</w:t>
      </w:r>
    </w:p>
    <w:p>
      <w:pPr>
        <w:widowControl w:val="0"/>
        <w:jc w:val="center"/>
        <w:rPr>
          <w:rFonts w:ascii="黑体" w:eastAsia="黑体" w:hAnsi="Calibri"/>
          <w:b/>
          <w:kern w:val="2"/>
          <w:sz w:val="52"/>
          <w:szCs w:val="52"/>
          <w:lang w:eastAsia="zh-CN"/>
        </w:rPr>
      </w:pPr>
    </w:p>
    <w:p>
      <w:pPr>
        <w:widowControl w:val="0"/>
        <w:spacing w:line="480" w:lineRule="auto"/>
        <w:jc w:val="both"/>
        <w:rPr>
          <w:rFonts w:ascii="仿宋_GB2312" w:eastAsia="仿宋_GB2312" w:hAnsi="Calibri"/>
          <w:b/>
          <w:kern w:val="2"/>
          <w:sz w:val="32"/>
          <w:szCs w:val="32"/>
          <w:u w:val="single"/>
          <w:lang w:eastAsia="zh-CN"/>
        </w:rPr>
      </w:pPr>
      <w:r>
        <w:rPr>
          <w:rFonts w:ascii="仿宋_GB2312" w:eastAsia="仿宋_GB2312" w:hAnsi="Calibri" w:cstheme="minorBidi" w:hint="eastAsia"/>
          <w:b/>
          <w:kern w:val="2"/>
          <w:sz w:val="32"/>
          <w:szCs w:val="32"/>
          <w:lang w:eastAsia="zh-CN"/>
        </w:rPr>
        <w:t>项目名称：</w:t>
      </w:r>
      <w:r>
        <w:rPr>
          <w:rFonts w:ascii="仿宋_GB2312" w:eastAsia="仿宋_GB2312" w:hAnsi="Calibri" w:cstheme="minorBidi" w:hint="eastAsia"/>
          <w:b/>
          <w:kern w:val="2"/>
          <w:sz w:val="32"/>
          <w:szCs w:val="32"/>
          <w:u w:val="single"/>
          <w:lang w:eastAsia="zh-CN"/>
        </w:rPr>
        <w:t xml:space="preserve">深圳市南山区妇幼保健院院内零星修缮服务   </w:t>
      </w:r>
    </w:p>
    <w:p>
      <w:pPr>
        <w:widowControl w:val="0"/>
        <w:spacing w:line="480" w:lineRule="auto"/>
        <w:jc w:val="both"/>
        <w:rPr>
          <w:rFonts w:ascii="仿宋_GB2312" w:eastAsia="仿宋_GB2312" w:hAnsi="Calibri"/>
          <w:b/>
          <w:kern w:val="2"/>
          <w:sz w:val="32"/>
          <w:szCs w:val="32"/>
          <w:lang w:eastAsia="zh-CN"/>
        </w:rPr>
      </w:pPr>
      <w:r>
        <w:rPr>
          <w:rFonts w:ascii="仿宋_GB2312" w:eastAsia="仿宋_GB2312" w:hAnsi="Calibri" w:cstheme="minorBidi" w:hint="eastAsia"/>
          <w:b/>
          <w:kern w:val="2"/>
          <w:sz w:val="32"/>
          <w:szCs w:val="32"/>
          <w:lang w:eastAsia="zh-CN"/>
        </w:rPr>
        <w:t>项目地点：</w:t>
      </w:r>
      <w:r>
        <w:rPr>
          <w:rFonts w:ascii="仿宋_GB2312" w:eastAsia="仿宋_GB2312" w:hAnsi="Calibri" w:cstheme="minorBidi" w:hint="eastAsia"/>
          <w:b/>
          <w:kern w:val="2"/>
          <w:sz w:val="32"/>
          <w:szCs w:val="32"/>
          <w:u w:val="single"/>
          <w:lang w:eastAsia="zh-CN"/>
        </w:rPr>
        <w:t xml:space="preserve">     深圳市南山区蛇口湾厦路1号院内                        </w:t>
      </w:r>
    </w:p>
    <w:p>
      <w:pPr>
        <w:widowControl w:val="0"/>
        <w:spacing w:line="480" w:lineRule="auto"/>
        <w:jc w:val="both"/>
        <w:rPr>
          <w:rFonts w:ascii="仿宋_GB2312" w:eastAsia="仿宋_GB2312" w:hAnsi="Calibri"/>
          <w:b/>
          <w:kern w:val="2"/>
          <w:sz w:val="32"/>
          <w:szCs w:val="32"/>
          <w:lang w:eastAsia="zh-CN"/>
        </w:rPr>
      </w:pPr>
      <w:r>
        <w:rPr>
          <w:rFonts w:ascii="仿宋_GB2312" w:eastAsia="仿宋_GB2312" w:hAnsi="Calibri" w:cstheme="minorBidi" w:hint="eastAsia"/>
          <w:b/>
          <w:kern w:val="2"/>
          <w:sz w:val="32"/>
          <w:szCs w:val="32"/>
          <w:lang w:eastAsia="zh-CN"/>
        </w:rPr>
        <w:t>发包人 ：</w:t>
      </w:r>
      <w:r>
        <w:rPr>
          <w:rFonts w:ascii="仿宋_GB2312" w:eastAsia="仿宋_GB2312" w:hAnsi="Calibri" w:cstheme="minorBidi" w:hint="eastAsia"/>
          <w:b/>
          <w:kern w:val="2"/>
          <w:sz w:val="32"/>
          <w:szCs w:val="32"/>
          <w:u w:val="single"/>
          <w:lang w:eastAsia="zh-CN"/>
        </w:rPr>
        <w:t xml:space="preserve">         深圳市南山区妇幼保健院               </w:t>
      </w:r>
    </w:p>
    <w:p>
      <w:pPr>
        <w:widowControl w:val="0"/>
        <w:spacing w:line="480" w:lineRule="auto"/>
        <w:jc w:val="both"/>
        <w:rPr>
          <w:rFonts w:ascii="仿宋_GB2312" w:eastAsia="仿宋_GB2312" w:hAnsi="Calibri"/>
          <w:b/>
          <w:kern w:val="2"/>
          <w:sz w:val="32"/>
          <w:szCs w:val="32"/>
          <w:lang w:eastAsia="zh-CN"/>
        </w:rPr>
      </w:pPr>
      <w:r>
        <w:rPr>
          <w:rFonts w:ascii="仿宋_GB2312" w:eastAsia="仿宋_GB2312" w:hAnsi="Calibri" w:cstheme="minorBidi" w:hint="eastAsia"/>
          <w:b/>
          <w:kern w:val="2"/>
          <w:sz w:val="32"/>
          <w:szCs w:val="32"/>
          <w:lang w:eastAsia="zh-CN"/>
        </w:rPr>
        <w:t>承包人 ：</w:t>
      </w:r>
      <w:r>
        <w:rPr>
          <w:rFonts w:ascii="仿宋_GB2312" w:eastAsia="仿宋_GB2312" w:hAnsi="Calibri" w:cstheme="minorBidi" w:hint="eastAsia"/>
          <w:b/>
          <w:kern w:val="2"/>
          <w:sz w:val="32"/>
          <w:szCs w:val="32"/>
          <w:u w:val="single"/>
          <w:lang w:eastAsia="zh-CN"/>
        </w:rPr>
        <w:t xml:space="preserve">                                           </w:t>
      </w:r>
    </w:p>
    <w:p>
      <w:pPr>
        <w:widowControl w:val="0"/>
        <w:jc w:val="both"/>
        <w:rPr>
          <w:rFonts w:ascii="仿宋_GB2312" w:eastAsia="仿宋_GB2312" w:hAnsi="Calibri"/>
          <w:b/>
          <w:kern w:val="2"/>
          <w:sz w:val="32"/>
          <w:szCs w:val="32"/>
          <w:lang w:eastAsia="zh-CN"/>
        </w:rPr>
      </w:pP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both"/>
        <w:rPr>
          <w:rFonts w:ascii="仿宋_GB2312" w:eastAsia="仿宋_GB2312" w:hAnsi="Calibri"/>
          <w:kern w:val="2"/>
          <w:sz w:val="28"/>
          <w:szCs w:val="28"/>
          <w:lang w:eastAsia="zh-CN"/>
        </w:rPr>
      </w:pPr>
    </w:p>
    <w:p>
      <w:pPr>
        <w:widowControl w:val="0"/>
        <w:jc w:val="center"/>
        <w:rPr>
          <w:rFonts w:ascii="仿宋_GB2312" w:eastAsia="仿宋_GB2312" w:hAnsi="Calibri"/>
          <w:b/>
          <w:kern w:val="2"/>
          <w:sz w:val="44"/>
          <w:szCs w:val="44"/>
          <w:lang w:eastAsia="zh-CN"/>
        </w:rPr>
      </w:pPr>
    </w:p>
    <w:p>
      <w:pPr>
        <w:widowControl w:val="0"/>
        <w:jc w:val="center"/>
        <w:rPr>
          <w:rFonts w:ascii="仿宋_GB2312" w:eastAsia="仿宋_GB2312" w:hAnsi="Calibri"/>
          <w:b/>
          <w:kern w:val="2"/>
          <w:sz w:val="44"/>
          <w:szCs w:val="44"/>
          <w:lang w:eastAsia="zh-CN"/>
        </w:rPr>
      </w:pPr>
    </w:p>
    <w:p>
      <w:pPr>
        <w:widowControl w:val="0"/>
        <w:jc w:val="center"/>
        <w:rPr>
          <w:rFonts w:ascii="仿宋_GB2312" w:eastAsia="仿宋_GB2312" w:hAnsi="Calibri"/>
          <w:b/>
          <w:kern w:val="2"/>
          <w:sz w:val="44"/>
          <w:szCs w:val="44"/>
          <w:lang w:eastAsia="zh-CN"/>
        </w:rPr>
      </w:pPr>
      <w:r>
        <w:rPr>
          <w:rFonts w:ascii="仿宋_GB2312" w:eastAsia="仿宋_GB2312" w:hAnsi="Calibri" w:cstheme="minorBidi" w:hint="eastAsia"/>
          <w:b/>
          <w:kern w:val="2"/>
          <w:sz w:val="44"/>
          <w:szCs w:val="44"/>
          <w:lang w:eastAsia="zh-CN"/>
        </w:rPr>
        <w:t>编 制 说 明</w:t>
      </w:r>
    </w:p>
    <w:p>
      <w:pPr>
        <w:widowControl w:val="0"/>
        <w:ind w:firstLine="638" w:firstLineChars="228"/>
        <w:jc w:val="both"/>
        <w:rPr>
          <w:rFonts w:ascii="仿宋_GB2312" w:eastAsia="仿宋_GB2312" w:hAnsi="Calibri"/>
          <w:kern w:val="2"/>
          <w:sz w:val="28"/>
          <w:szCs w:val="28"/>
          <w:lang w:eastAsia="zh-CN"/>
        </w:rPr>
      </w:pP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本合同文本是根据有关法律法规、标准规范，结合深圳市建筑装饰装修工程实际进行修编的。</w:t>
      </w:r>
    </w:p>
    <w:p>
      <w:pPr>
        <w:widowControl w:val="0"/>
        <w:ind w:firstLine="638" w:firstLineChars="228"/>
        <w:jc w:val="both"/>
        <w:rPr>
          <w:rFonts w:ascii="仿宋_GB2312" w:eastAsia="仿宋_GB2312" w:hAnsi="Calibri"/>
          <w:kern w:val="2"/>
          <w:sz w:val="28"/>
          <w:szCs w:val="28"/>
          <w:lang w:eastAsia="zh-CN"/>
        </w:rPr>
      </w:pP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本合同文本推荐用于各类小型室内外装饰装修工程。</w:t>
      </w:r>
    </w:p>
    <w:p>
      <w:pPr>
        <w:widowControl w:val="0"/>
        <w:ind w:firstLine="638" w:firstLineChars="228"/>
        <w:jc w:val="both"/>
        <w:rPr>
          <w:rFonts w:ascii="仿宋_GB2312" w:eastAsia="仿宋_GB2312" w:hAnsi="Calibri"/>
          <w:kern w:val="2"/>
          <w:sz w:val="28"/>
          <w:szCs w:val="28"/>
          <w:lang w:eastAsia="zh-CN"/>
        </w:rPr>
      </w:pP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本合同示范文本，合同当事人选择采用时，可根据实际情况修改、增补。</w:t>
      </w:r>
    </w:p>
    <w:p>
      <w:pPr>
        <w:widowControl w:val="0"/>
        <w:ind w:firstLine="638" w:firstLineChars="228"/>
        <w:jc w:val="both"/>
        <w:rPr>
          <w:rFonts w:ascii="仿宋_GB2312" w:eastAsia="仿宋_GB2312" w:hAnsi="Calibri"/>
          <w:kern w:val="2"/>
          <w:sz w:val="28"/>
          <w:szCs w:val="28"/>
          <w:lang w:eastAsia="zh-CN"/>
        </w:rPr>
      </w:pP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未经编制单位同意，任何单位和个人不得以营利为目的复制、抄袭本合同示范文本的任何条款内容。</w:t>
      </w: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both"/>
        <w:rPr>
          <w:rFonts w:ascii="Calibri" w:eastAsia="仿宋_GB2312" w:hAnsi="Calibri"/>
          <w:kern w:val="2"/>
          <w:sz w:val="28"/>
          <w:szCs w:val="28"/>
          <w:lang w:eastAsia="zh-CN"/>
        </w:rPr>
      </w:pPr>
    </w:p>
    <w:p>
      <w:pPr>
        <w:widowControl w:val="0"/>
        <w:jc w:val="center"/>
        <w:rPr>
          <w:rFonts w:ascii="仿宋_GB2312" w:eastAsia="仿宋_GB2312" w:hAnsi="Calibri"/>
          <w:b/>
          <w:kern w:val="2"/>
          <w:sz w:val="32"/>
          <w:szCs w:val="32"/>
          <w:lang w:eastAsia="zh-CN"/>
        </w:rPr>
      </w:pPr>
      <w:r>
        <w:rPr>
          <w:rFonts w:ascii="仿宋_GB2312" w:eastAsia="仿宋_GB2312" w:hAnsi="Calibri" w:cstheme="minorBidi" w:hint="eastAsia"/>
          <w:b/>
          <w:kern w:val="2"/>
          <w:sz w:val="32"/>
          <w:szCs w:val="32"/>
          <w:u w:val="single"/>
          <w:lang w:eastAsia="zh-CN"/>
        </w:rPr>
        <w:t>深圳市南山区妇幼保健院院内零星修缮服务</w:t>
      </w:r>
      <w:r>
        <w:rPr>
          <w:rFonts w:ascii="仿宋_GB2312" w:eastAsia="仿宋_GB2312" w:hAnsi="Calibri" w:cstheme="minorBidi" w:hint="eastAsia"/>
          <w:b/>
          <w:kern w:val="2"/>
          <w:sz w:val="32"/>
          <w:szCs w:val="32"/>
          <w:lang w:eastAsia="zh-CN"/>
        </w:rPr>
        <w:t>合同</w:t>
      </w:r>
    </w:p>
    <w:p>
      <w:pPr>
        <w:widowControl w:val="0"/>
        <w:jc w:val="center"/>
        <w:rPr>
          <w:rFonts w:ascii="仿宋_GB2312" w:eastAsia="仿宋_GB2312" w:hAnsi="Calibri"/>
          <w:b/>
          <w:kern w:val="2"/>
          <w:sz w:val="32"/>
          <w:szCs w:val="32"/>
          <w:lang w:eastAsia="zh-CN"/>
        </w:rPr>
      </w:pPr>
    </w:p>
    <w:p>
      <w:pPr>
        <w:widowControl w:val="0"/>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发包方（甲方）：</w:t>
      </w:r>
      <w:r>
        <w:rPr>
          <w:rFonts w:ascii="仿宋_GB2312" w:eastAsia="仿宋_GB2312" w:hAnsi="Calibri" w:cstheme="minorBidi" w:hint="eastAsia"/>
          <w:kern w:val="2"/>
          <w:sz w:val="28"/>
          <w:szCs w:val="28"/>
          <w:u w:val="single"/>
          <w:lang w:eastAsia="zh-CN"/>
        </w:rPr>
        <w:t xml:space="preserve">深圳市南山区妇幼保健院              </w:t>
      </w:r>
      <w:r>
        <w:rPr>
          <w:rFonts w:ascii="仿宋_GB2312" w:eastAsia="仿宋_GB2312" w:hAnsi="Calibri" w:cstheme="minorBidi" w:hint="eastAsia"/>
          <w:kern w:val="2"/>
          <w:sz w:val="28"/>
          <w:szCs w:val="28"/>
          <w:lang w:eastAsia="zh-CN"/>
        </w:rPr>
        <w:tab/>
      </w:r>
    </w:p>
    <w:p>
      <w:pPr>
        <w:widowControl w:val="0"/>
        <w:jc w:val="both"/>
        <w:rPr>
          <w:rFonts w:ascii="仿宋_GB2312" w:eastAsia="仿宋_GB2312" w:hAnsi="Calibri"/>
          <w:kern w:val="2"/>
          <w:sz w:val="28"/>
          <w:szCs w:val="28"/>
          <w:u w:val="single"/>
          <w:lang w:eastAsia="zh-CN"/>
        </w:rPr>
      </w:pPr>
      <w:r>
        <w:rPr>
          <w:rFonts w:ascii="仿宋_GB2312" w:eastAsia="仿宋_GB2312" w:hAnsi="Calibri" w:cstheme="minorBidi" w:hint="eastAsia"/>
          <w:kern w:val="2"/>
          <w:sz w:val="28"/>
          <w:szCs w:val="28"/>
          <w:lang w:eastAsia="zh-CN"/>
        </w:rPr>
        <w:t>承包方（乙方）：</w:t>
      </w:r>
      <w:r>
        <w:rPr>
          <w:rFonts w:ascii="仿宋_GB2312" w:eastAsia="仿宋_GB2312" w:hAnsi="Calibri" w:cstheme="minorBidi" w:hint="eastAsia"/>
          <w:kern w:val="2"/>
          <w:sz w:val="28"/>
          <w:szCs w:val="28"/>
          <w:u w:val="single"/>
          <w:lang w:eastAsia="zh-CN"/>
        </w:rPr>
        <w:t xml:space="preserve">                                     </w:t>
      </w:r>
    </w:p>
    <w:p>
      <w:pPr>
        <w:widowControl w:val="0"/>
        <w:ind w:firstLine="560" w:firstLineChars="200"/>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根据有关法律、法规和标准规范，结合本工程实际情况，甲、乙双方遵守平等、自愿、公平、和诚实信用原则，经双方协商达成如下协议：</w:t>
      </w:r>
    </w:p>
    <w:p>
      <w:pPr>
        <w:widowControl w:val="0"/>
        <w:ind w:firstLine="730" w:firstLineChars="228"/>
        <w:jc w:val="both"/>
        <w:rPr>
          <w:rFonts w:ascii="仿宋_GB2312" w:eastAsia="仿宋_GB2312" w:hAnsi="Calibri"/>
          <w:b/>
          <w:kern w:val="2"/>
          <w:sz w:val="32"/>
          <w:szCs w:val="32"/>
          <w:lang w:eastAsia="zh-CN"/>
        </w:rPr>
      </w:pPr>
      <w:r>
        <w:rPr>
          <w:rFonts w:ascii="仿宋_GB2312" w:eastAsia="仿宋_GB2312" w:hAnsi="Calibri" w:cstheme="minorBidi" w:hint="eastAsia"/>
          <w:b/>
          <w:kern w:val="2"/>
          <w:sz w:val="32"/>
          <w:szCs w:val="32"/>
          <w:lang w:eastAsia="zh-CN"/>
        </w:rPr>
        <w:t>第1条 项目概况</w:t>
      </w:r>
    </w:p>
    <w:p>
      <w:pPr>
        <w:widowControl w:val="0"/>
        <w:ind w:firstLine="638" w:firstLineChars="228"/>
        <w:jc w:val="both"/>
        <w:rPr>
          <w:rFonts w:ascii="仿宋_GB2312" w:eastAsia="仿宋_GB2312" w:hAnsi="Calibri"/>
          <w:kern w:val="2"/>
          <w:sz w:val="28"/>
          <w:szCs w:val="28"/>
          <w:u w:val="single"/>
          <w:lang w:eastAsia="zh-CN"/>
        </w:rPr>
      </w:pPr>
      <w:r>
        <w:rPr>
          <w:rFonts w:ascii="仿宋_GB2312" w:eastAsia="仿宋_GB2312" w:hAnsi="Calibri" w:cstheme="minorBidi" w:hint="eastAsia"/>
          <w:bCs/>
          <w:kern w:val="2"/>
          <w:sz w:val="28"/>
          <w:szCs w:val="28"/>
          <w:lang w:eastAsia="zh-CN"/>
        </w:rPr>
        <w:t>1.1项目</w:t>
      </w:r>
      <w:r>
        <w:rPr>
          <w:rFonts w:ascii="仿宋_GB2312" w:eastAsia="仿宋_GB2312" w:hAnsi="Calibri" w:cstheme="minorBidi" w:hint="eastAsia"/>
          <w:kern w:val="2"/>
          <w:sz w:val="28"/>
          <w:szCs w:val="28"/>
          <w:lang w:eastAsia="zh-CN"/>
        </w:rPr>
        <w:t>名称：</w:t>
      </w:r>
      <w:r>
        <w:rPr>
          <w:rFonts w:ascii="仿宋_GB2312" w:eastAsia="仿宋_GB2312" w:hAnsi="Calibri" w:cstheme="minorBidi" w:hint="eastAsia"/>
          <w:kern w:val="2"/>
          <w:sz w:val="28"/>
          <w:szCs w:val="28"/>
          <w:u w:val="single"/>
          <w:lang w:eastAsia="zh-CN"/>
        </w:rPr>
        <w:t>深圳市南山区妇幼保健院院内零星修缮服务</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1.2项目地点：</w:t>
      </w:r>
      <w:r>
        <w:rPr>
          <w:rFonts w:ascii="仿宋_GB2312" w:eastAsia="仿宋_GB2312" w:hAnsi="Calibri" w:cstheme="minorBidi" w:hint="eastAsia"/>
          <w:kern w:val="2"/>
          <w:sz w:val="28"/>
          <w:szCs w:val="28"/>
          <w:u w:val="single"/>
          <w:lang w:eastAsia="zh-CN"/>
        </w:rPr>
        <w:t>深圳市</w:t>
      </w:r>
      <w:r>
        <w:rPr>
          <w:rFonts w:ascii="Calibri" w:eastAsia="仿宋_GB2312" w:hAnsi="Calibri" w:cstheme="minorBidi" w:hint="eastAsia"/>
          <w:kern w:val="2"/>
          <w:sz w:val="28"/>
          <w:szCs w:val="28"/>
          <w:u w:val="single"/>
          <w:lang w:eastAsia="zh-CN"/>
        </w:rPr>
        <w:t>南山区蛇口湾厦路1号院内</w:t>
      </w:r>
    </w:p>
    <w:p>
      <w:pPr>
        <w:widowControl w:val="0"/>
        <w:adjustRightInd w:val="0"/>
        <w:spacing w:line="440" w:lineRule="exact"/>
        <w:ind w:firstLine="700" w:firstLineChars="250"/>
        <w:jc w:val="both"/>
        <w:rPr>
          <w:rFonts w:ascii="仿宋" w:eastAsia="仿宋" w:hAnsi="仿宋"/>
          <w:kern w:val="2"/>
          <w:sz w:val="28"/>
          <w:szCs w:val="28"/>
          <w:lang w:eastAsia="zh-CN"/>
        </w:rPr>
      </w:pPr>
      <w:r>
        <w:rPr>
          <w:rFonts w:ascii="仿宋" w:eastAsia="仿宋" w:hAnsi="仿宋" w:cstheme="minorBidi" w:hint="eastAsia"/>
          <w:kern w:val="2"/>
          <w:sz w:val="28"/>
          <w:szCs w:val="28"/>
          <w:lang w:eastAsia="zh-CN"/>
        </w:rPr>
        <w:t>1.3承包内容：包括但不限于：</w:t>
      </w:r>
      <w:r>
        <w:rPr>
          <w:rFonts w:ascii="仿宋" w:eastAsia="仿宋" w:hAnsi="仿宋" w:cstheme="minorBidi"/>
          <w:kern w:val="2"/>
          <w:sz w:val="28"/>
          <w:szCs w:val="28"/>
          <w:lang w:eastAsia="zh-CN"/>
        </w:rPr>
        <w:t>承担院内单个项目费用5万元以内（不含5万）的零星修缮服务，主要包括：</w:t>
      </w:r>
    </w:p>
    <w:p>
      <w:pPr>
        <w:widowControl w:val="0"/>
        <w:adjustRightInd w:val="0"/>
        <w:spacing w:line="440" w:lineRule="exact"/>
        <w:ind w:firstLine="560" w:firstLineChars="200"/>
        <w:jc w:val="both"/>
        <w:rPr>
          <w:rFonts w:ascii="仿宋" w:eastAsia="仿宋" w:hAnsi="仿宋"/>
          <w:kern w:val="2"/>
          <w:sz w:val="28"/>
          <w:szCs w:val="28"/>
          <w:lang w:eastAsia="zh-CN"/>
        </w:rPr>
      </w:pPr>
      <w:r>
        <w:rPr>
          <w:rFonts w:ascii="仿宋" w:eastAsia="仿宋" w:hAnsi="仿宋" w:cstheme="minorBidi" w:hint="eastAsia"/>
          <w:kern w:val="2"/>
          <w:sz w:val="28"/>
          <w:szCs w:val="28"/>
          <w:lang w:eastAsia="zh-CN"/>
        </w:rPr>
        <w:t>1）建筑室内外局部零星修缮改造；</w:t>
      </w:r>
    </w:p>
    <w:p>
      <w:pPr>
        <w:widowControl w:val="0"/>
        <w:adjustRightInd w:val="0"/>
        <w:spacing w:line="440" w:lineRule="exact"/>
        <w:ind w:firstLine="560" w:firstLineChars="200"/>
        <w:jc w:val="both"/>
        <w:rPr>
          <w:rFonts w:ascii="仿宋" w:eastAsia="仿宋" w:hAnsi="仿宋"/>
          <w:kern w:val="2"/>
          <w:sz w:val="28"/>
          <w:szCs w:val="28"/>
          <w:lang w:eastAsia="zh-CN"/>
        </w:rPr>
      </w:pPr>
      <w:r>
        <w:rPr>
          <w:rFonts w:ascii="仿宋" w:eastAsia="仿宋" w:hAnsi="仿宋" w:cstheme="minorBidi" w:hint="eastAsia"/>
          <w:kern w:val="2"/>
          <w:sz w:val="28"/>
          <w:szCs w:val="28"/>
          <w:lang w:eastAsia="zh-CN"/>
        </w:rPr>
        <w:t>2）局部零星水电修缮改造；</w:t>
      </w:r>
    </w:p>
    <w:p>
      <w:pPr>
        <w:widowControl w:val="0"/>
        <w:adjustRightInd w:val="0"/>
        <w:spacing w:line="440" w:lineRule="exact"/>
        <w:ind w:firstLine="560" w:firstLineChars="200"/>
        <w:jc w:val="both"/>
        <w:rPr>
          <w:rFonts w:ascii="仿宋" w:eastAsia="仿宋" w:hAnsi="仿宋"/>
          <w:kern w:val="2"/>
          <w:sz w:val="28"/>
          <w:szCs w:val="28"/>
          <w:lang w:eastAsia="zh-CN"/>
        </w:rPr>
      </w:pPr>
      <w:r>
        <w:rPr>
          <w:rFonts w:ascii="仿宋" w:eastAsia="仿宋" w:hAnsi="仿宋" w:cstheme="minorBidi" w:hint="eastAsia"/>
          <w:kern w:val="2"/>
          <w:sz w:val="28"/>
          <w:szCs w:val="28"/>
          <w:lang w:eastAsia="zh-CN"/>
        </w:rPr>
        <w:t>3）局部零星防水补漏；</w:t>
      </w:r>
    </w:p>
    <w:p>
      <w:pPr>
        <w:widowControl w:val="0"/>
        <w:adjustRightInd w:val="0"/>
        <w:spacing w:line="440" w:lineRule="exact"/>
        <w:ind w:firstLine="560" w:firstLineChars="200"/>
        <w:jc w:val="both"/>
        <w:rPr>
          <w:rFonts w:ascii="仿宋" w:eastAsia="仿宋" w:hAnsi="仿宋"/>
          <w:kern w:val="2"/>
          <w:sz w:val="28"/>
          <w:szCs w:val="28"/>
          <w:lang w:eastAsia="zh-CN"/>
        </w:rPr>
      </w:pPr>
      <w:r>
        <w:rPr>
          <w:rFonts w:ascii="仿宋" w:eastAsia="仿宋" w:hAnsi="仿宋" w:cstheme="minorBidi" w:hint="eastAsia"/>
          <w:kern w:val="2"/>
          <w:sz w:val="28"/>
          <w:szCs w:val="28"/>
          <w:lang w:eastAsia="zh-CN"/>
        </w:rPr>
        <w:t>4）基建设施突发故障修缮；</w:t>
      </w:r>
    </w:p>
    <w:p>
      <w:pPr>
        <w:widowControl w:val="0"/>
        <w:adjustRightInd w:val="0"/>
        <w:spacing w:line="440" w:lineRule="exact"/>
        <w:ind w:firstLine="560" w:firstLineChars="200"/>
        <w:jc w:val="both"/>
        <w:rPr>
          <w:rFonts w:ascii="仿宋" w:eastAsia="仿宋" w:hAnsi="仿宋"/>
          <w:kern w:val="2"/>
          <w:sz w:val="28"/>
          <w:szCs w:val="28"/>
          <w:lang w:eastAsia="zh-CN"/>
        </w:rPr>
      </w:pPr>
      <w:r>
        <w:rPr>
          <w:rFonts w:ascii="仿宋" w:eastAsia="仿宋" w:hAnsi="仿宋" w:cstheme="minorBidi" w:hint="eastAsia"/>
          <w:kern w:val="2"/>
          <w:sz w:val="28"/>
          <w:szCs w:val="28"/>
          <w:lang w:eastAsia="zh-CN"/>
        </w:rPr>
        <w:t>5）上级机关对我院检查工作中发现需要限时立即整改的项目；</w:t>
      </w:r>
    </w:p>
    <w:p>
      <w:pPr>
        <w:widowControl w:val="0"/>
        <w:adjustRightInd w:val="0"/>
        <w:spacing w:line="440" w:lineRule="exact"/>
        <w:ind w:firstLine="560" w:firstLineChars="200"/>
        <w:jc w:val="both"/>
        <w:rPr>
          <w:rFonts w:ascii="仿宋" w:eastAsia="仿宋" w:hAnsi="仿宋"/>
          <w:kern w:val="2"/>
          <w:sz w:val="28"/>
          <w:szCs w:val="28"/>
          <w:lang w:eastAsia="zh-CN"/>
        </w:rPr>
      </w:pPr>
      <w:r>
        <w:rPr>
          <w:rFonts w:ascii="仿宋" w:eastAsia="仿宋" w:hAnsi="仿宋" w:cstheme="minorBidi" w:hint="eastAsia"/>
          <w:kern w:val="2"/>
          <w:sz w:val="28"/>
          <w:szCs w:val="28"/>
          <w:lang w:eastAsia="zh-CN"/>
        </w:rPr>
        <w:t>6）其它小型零星修缮等；</w:t>
      </w:r>
    </w:p>
    <w:p>
      <w:pPr>
        <w:widowControl w:val="0"/>
        <w:spacing w:line="440" w:lineRule="exact"/>
        <w:ind w:firstLine="560" w:firstLineChars="200"/>
        <w:jc w:val="both"/>
        <w:rPr>
          <w:rFonts w:ascii="仿宋" w:eastAsia="仿宋" w:hAnsi="仿宋"/>
          <w:kern w:val="2"/>
          <w:sz w:val="28"/>
          <w:szCs w:val="28"/>
          <w:lang w:eastAsia="zh-CN"/>
        </w:rPr>
      </w:pPr>
      <w:r>
        <w:rPr>
          <w:rFonts w:ascii="仿宋" w:eastAsia="仿宋" w:hAnsi="仿宋" w:cstheme="minorBidi" w:hint="eastAsia"/>
          <w:kern w:val="2"/>
          <w:sz w:val="28"/>
          <w:szCs w:val="28"/>
          <w:lang w:eastAsia="zh-CN"/>
        </w:rPr>
        <w:t>7）完成上述范围内的项目设计和施工，采用设计-施工一体化实施该项目，设计图经我院确认后才能进行下一步施工。</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1.4承包方式：</w:t>
      </w:r>
    </w:p>
    <w:p>
      <w:pPr>
        <w:widowControl w:val="0"/>
        <w:ind w:firstLine="638" w:firstLineChars="228"/>
        <w:jc w:val="both"/>
        <w:rPr>
          <w:rFonts w:ascii="Calibri" w:eastAsia="仿宋_GB2312" w:hAnsi="Calibri"/>
          <w:kern w:val="2"/>
          <w:sz w:val="28"/>
          <w:szCs w:val="28"/>
          <w:u w:val="single"/>
          <w:lang w:eastAsia="zh-CN"/>
        </w:rPr>
      </w:pPr>
      <w:r>
        <w:rPr>
          <w:rFonts w:ascii="Calibri" w:eastAsia="仿宋_GB2312" w:hAnsi="Calibri" w:cstheme="minorBidi" w:hint="eastAsia"/>
          <w:kern w:val="2"/>
          <w:sz w:val="28"/>
          <w:szCs w:val="28"/>
          <w:u w:val="single"/>
          <w:lang w:eastAsia="zh-CN"/>
        </w:rPr>
        <w:t>本修缮服务包设计、包施工、包材料。所有使用施工材料采购必须符合国家相关质量、安全和环保标准要求。</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1.5合同期：壹年</w:t>
      </w:r>
      <w:r>
        <w:rPr>
          <w:rFonts w:ascii="仿宋_GB2312" w:eastAsia="仿宋_GB2312" w:hAnsi="Calibri" w:cstheme="minorBidi"/>
          <w:kern w:val="2"/>
          <w:sz w:val="28"/>
          <w:szCs w:val="28"/>
          <w:lang w:eastAsia="zh-CN"/>
        </w:rPr>
        <w:t>，自双方签订合同之日起壹年</w:t>
      </w:r>
      <w:r>
        <w:rPr>
          <w:rFonts w:ascii="Calibri" w:eastAsia="仿宋_GB2312" w:hAnsi="Calibri" w:cstheme="minorBidi" w:hint="eastAsia"/>
          <w:kern w:val="2"/>
          <w:sz w:val="28"/>
          <w:szCs w:val="28"/>
          <w:lang w:eastAsia="zh-CN"/>
        </w:rPr>
        <w:t>。项目采购期1年，如合同到期后对服务商进行履约评价，履约评价合格按我院流程申请对院内零星修缮服务合同进行续签，总合同期限不超过3年。</w:t>
      </w:r>
    </w:p>
    <w:p>
      <w:pPr>
        <w:widowControl w:val="0"/>
        <w:ind w:firstLine="638" w:firstLineChars="228"/>
        <w:jc w:val="both"/>
        <w:rPr>
          <w:rFonts w:ascii="仿宋_GB2312" w:eastAsia="仿宋_GB2312" w:hAnsi="Calibri"/>
          <w:kern w:val="2"/>
          <w:sz w:val="28"/>
          <w:szCs w:val="28"/>
          <w:u w:val="single"/>
          <w:lang w:eastAsia="zh-CN"/>
        </w:rPr>
      </w:pPr>
      <w:r>
        <w:rPr>
          <w:rFonts w:ascii="仿宋_GB2312" w:eastAsia="仿宋_GB2312" w:hAnsi="Calibri" w:cstheme="minorBidi" w:hint="eastAsia"/>
          <w:kern w:val="2"/>
          <w:sz w:val="28"/>
          <w:szCs w:val="28"/>
          <w:lang w:eastAsia="zh-CN"/>
        </w:rPr>
        <w:t>1.6工程质量：</w:t>
      </w:r>
      <w:r>
        <w:rPr>
          <w:rFonts w:ascii="仿宋_GB2312" w:eastAsia="仿宋_GB2312" w:hAnsi="Calibri" w:cstheme="minorBidi" w:hint="eastAsia"/>
          <w:kern w:val="2"/>
          <w:sz w:val="28"/>
          <w:szCs w:val="28"/>
          <w:u w:val="single"/>
          <w:lang w:eastAsia="zh-CN"/>
        </w:rPr>
        <w:t>符合国家现行相关规范和质量标准，结果为合格。 </w:t>
      </w:r>
    </w:p>
    <w:p>
      <w:pPr>
        <w:widowControl w:val="0"/>
        <w:ind w:firstLine="638" w:firstLineChars="228"/>
        <w:jc w:val="both"/>
        <w:rPr>
          <w:rFonts w:ascii="仿宋" w:eastAsia="仿宋" w:hAnsi="仿宋"/>
          <w:kern w:val="2"/>
          <w:sz w:val="28"/>
          <w:szCs w:val="28"/>
          <w:lang w:eastAsia="zh-CN"/>
        </w:rPr>
      </w:pPr>
      <w:r>
        <w:rPr>
          <w:rFonts w:ascii="仿宋_GB2312" w:eastAsia="仿宋_GB2312" w:hAnsi="Calibri" w:cstheme="minorBidi" w:hint="eastAsia"/>
          <w:kern w:val="2"/>
          <w:sz w:val="28"/>
          <w:szCs w:val="28"/>
          <w:lang w:eastAsia="zh-CN"/>
        </w:rPr>
        <w:t>1.7合同价款（人民币大写）：</w:t>
      </w:r>
      <w:r>
        <w:rPr>
          <w:rFonts w:ascii="仿宋" w:eastAsia="仿宋" w:hAnsi="仿宋" w:cstheme="minorBidi" w:hint="eastAsia"/>
          <w:kern w:val="2"/>
          <w:sz w:val="28"/>
          <w:szCs w:val="28"/>
          <w:lang w:eastAsia="zh-CN"/>
        </w:rPr>
        <w:t>合同暂定价为人民币990000元，大写：玖拾玖万圆整。本项目为总价下浮，折扣率为</w:t>
      </w:r>
      <w:r>
        <w:rPr>
          <w:rFonts w:ascii="仿宋" w:eastAsia="仿宋" w:hAnsi="仿宋" w:cstheme="minorBidi" w:hint="eastAsia"/>
          <w:kern w:val="2"/>
          <w:sz w:val="28"/>
          <w:szCs w:val="28"/>
          <w:u w:val="single"/>
          <w:lang w:eastAsia="zh-CN"/>
        </w:rPr>
        <w:t xml:space="preserve">         </w:t>
      </w:r>
      <w:r>
        <w:rPr>
          <w:rFonts w:ascii="仿宋" w:eastAsia="仿宋" w:hAnsi="仿宋" w:cstheme="minorBidi" w:hint="eastAsia"/>
          <w:kern w:val="2"/>
          <w:sz w:val="28"/>
          <w:szCs w:val="28"/>
          <w:lang w:eastAsia="zh-CN"/>
        </w:rPr>
        <w:t>。</w:t>
      </w:r>
    </w:p>
    <w:p>
      <w:pPr>
        <w:widowControl w:val="0"/>
        <w:ind w:firstLine="638" w:firstLineChars="228"/>
        <w:jc w:val="both"/>
        <w:rPr>
          <w:rFonts w:ascii="仿宋_GB2312" w:eastAsia="仿宋_GB2312" w:hAnsi="Calibri"/>
          <w:kern w:val="2"/>
          <w:sz w:val="28"/>
          <w:szCs w:val="28"/>
          <w:lang w:eastAsia="zh-CN"/>
        </w:rPr>
      </w:pPr>
    </w:p>
    <w:p>
      <w:pPr>
        <w:widowControl w:val="0"/>
        <w:ind w:firstLine="730" w:firstLineChars="228"/>
        <w:jc w:val="both"/>
        <w:rPr>
          <w:rFonts w:ascii="仿宋_GB2312" w:eastAsia="仿宋_GB2312" w:hAnsi="Calibri"/>
          <w:b/>
          <w:kern w:val="2"/>
          <w:sz w:val="32"/>
          <w:szCs w:val="32"/>
          <w:lang w:eastAsia="zh-CN"/>
        </w:rPr>
      </w:pPr>
      <w:r>
        <w:rPr>
          <w:rFonts w:ascii="仿宋_GB2312" w:eastAsia="仿宋_GB2312" w:hAnsi="Calibri" w:cstheme="minorBidi" w:hint="eastAsia"/>
          <w:b/>
          <w:kern w:val="2"/>
          <w:sz w:val="32"/>
          <w:szCs w:val="32"/>
          <w:lang w:eastAsia="zh-CN"/>
        </w:rPr>
        <w:t>第2条 双方工作</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2.1甲方工作</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2.1.1</w:t>
      </w:r>
      <w:r>
        <w:rPr>
          <w:rFonts w:ascii="Calibri" w:eastAsia="仿宋_GB2312" w:hAnsi="Calibri" w:cstheme="minorBidi" w:hint="eastAsia"/>
          <w:color w:val="FF0000"/>
          <w:kern w:val="2"/>
          <w:sz w:val="28"/>
          <w:szCs w:val="28"/>
          <w:lang w:eastAsia="zh-CN"/>
        </w:rPr>
        <w:t>由甲方负责设计的工程，</w:t>
      </w:r>
      <w:r>
        <w:rPr>
          <w:rFonts w:ascii="仿宋_GB2312" w:eastAsia="仿宋_GB2312" w:hAnsi="Calibri" w:cstheme="minorBidi" w:hint="eastAsia"/>
          <w:color w:val="FF0000"/>
          <w:kern w:val="2"/>
          <w:sz w:val="28"/>
          <w:szCs w:val="28"/>
          <w:lang w:eastAsia="zh-CN"/>
        </w:rPr>
        <w:t>甲方于开工前</w:t>
      </w:r>
      <w:r>
        <w:rPr>
          <w:rFonts w:ascii="仿宋_GB2312" w:eastAsia="仿宋_GB2312" w:hAnsi="Calibri" w:cstheme="minorBidi" w:hint="eastAsia"/>
          <w:color w:val="FF0000"/>
          <w:kern w:val="2"/>
          <w:sz w:val="28"/>
          <w:szCs w:val="28"/>
          <w:u w:val="single"/>
          <w:lang w:eastAsia="zh-CN"/>
        </w:rPr>
        <w:t xml:space="preserve">  2   </w:t>
      </w:r>
      <w:r>
        <w:rPr>
          <w:rFonts w:ascii="仿宋_GB2312" w:eastAsia="仿宋_GB2312" w:hAnsi="Calibri" w:cstheme="minorBidi" w:hint="eastAsia"/>
          <w:color w:val="FF0000"/>
          <w:kern w:val="2"/>
          <w:sz w:val="28"/>
          <w:szCs w:val="28"/>
          <w:lang w:eastAsia="zh-CN"/>
        </w:rPr>
        <w:t>天，应向乙方提供已经确认的施工图纸</w:t>
      </w:r>
      <w:r>
        <w:rPr>
          <w:rFonts w:ascii="仿宋_GB2312" w:eastAsia="仿宋_GB2312" w:hAnsi="Calibri" w:cstheme="minorBidi" w:hint="eastAsia"/>
          <w:color w:val="FF0000"/>
          <w:kern w:val="2"/>
          <w:sz w:val="28"/>
          <w:szCs w:val="28"/>
          <w:u w:val="single"/>
          <w:lang w:eastAsia="zh-CN"/>
        </w:rPr>
        <w:t>1</w:t>
      </w:r>
      <w:r>
        <w:rPr>
          <w:rFonts w:ascii="仿宋_GB2312" w:eastAsia="仿宋_GB2312" w:hAnsi="Calibri" w:cstheme="minorBidi" w:hint="eastAsia"/>
          <w:color w:val="FF0000"/>
          <w:kern w:val="2"/>
          <w:sz w:val="28"/>
          <w:szCs w:val="28"/>
          <w:lang w:eastAsia="zh-CN"/>
        </w:rPr>
        <w:t>套（或作法说明</w:t>
      </w:r>
      <w:r>
        <w:rPr>
          <w:rFonts w:ascii="仿宋_GB2312" w:eastAsia="仿宋_GB2312" w:hAnsi="Calibri" w:cstheme="minorBidi" w:hint="eastAsia"/>
          <w:color w:val="FF0000"/>
          <w:kern w:val="2"/>
          <w:sz w:val="28"/>
          <w:szCs w:val="28"/>
          <w:u w:val="single"/>
          <w:lang w:eastAsia="zh-CN"/>
        </w:rPr>
        <w:t>1</w:t>
      </w:r>
      <w:r>
        <w:rPr>
          <w:rFonts w:ascii="仿宋_GB2312" w:eastAsia="仿宋_GB2312" w:hAnsi="Calibri" w:cstheme="minorBidi" w:hint="eastAsia"/>
          <w:color w:val="FF0000"/>
          <w:kern w:val="2"/>
          <w:sz w:val="28"/>
          <w:szCs w:val="28"/>
          <w:lang w:eastAsia="zh-CN"/>
        </w:rPr>
        <w:t>份），并向乙方进行现场交底。</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2.1.2向乙方接通施工所需的水、电，协调有关部门做好通道、电梯、消防设备的使用和保护。</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2.1.3清除影响施工的障碍物，陈设等采取保护措施。</w:t>
      </w:r>
      <w:r>
        <w:rPr>
          <w:rFonts w:ascii="Calibri" w:eastAsia="仿宋_GB2312" w:hAnsi="Calibri" w:cstheme="minorBidi" w:hint="eastAsia"/>
          <w:kern w:val="2"/>
          <w:sz w:val="28"/>
          <w:szCs w:val="28"/>
          <w:lang w:eastAsia="zh-CN"/>
        </w:rPr>
        <w:t> </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2.1.4提供原始水电线路图纸。</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2.1.5指派为甲方代表，负责对工程质量、进度进行监督检查，办理验收、变更、登记手续和其他事宜。</w:t>
      </w:r>
    </w:p>
    <w:p>
      <w:pPr>
        <w:widowControl w:val="0"/>
        <w:ind w:firstLine="638" w:firstLineChars="228"/>
        <w:jc w:val="both"/>
        <w:rPr>
          <w:rFonts w:ascii="Calibri" w:eastAsia="仿宋_GB2312" w:hAnsi="Calibri"/>
          <w:kern w:val="2"/>
          <w:sz w:val="28"/>
          <w:szCs w:val="28"/>
          <w:lang w:eastAsia="zh-CN"/>
        </w:rPr>
      </w:pPr>
      <w:r>
        <w:rPr>
          <w:rFonts w:ascii="仿宋_GB2312" w:eastAsia="仿宋_GB2312" w:hAnsi="Calibri" w:cstheme="minorBidi" w:hint="eastAsia"/>
          <w:kern w:val="2"/>
          <w:sz w:val="28"/>
          <w:szCs w:val="28"/>
          <w:lang w:eastAsia="zh-CN"/>
        </w:rPr>
        <w:t>2.1.6</w:t>
      </w:r>
      <w:r>
        <w:rPr>
          <w:rFonts w:ascii="Calibri" w:eastAsia="仿宋_GB2312" w:hAnsi="Calibri" w:cstheme="minorBidi" w:hint="eastAsia"/>
          <w:kern w:val="2"/>
          <w:sz w:val="28"/>
          <w:szCs w:val="28"/>
          <w:lang w:eastAsia="zh-CN"/>
        </w:rPr>
        <w:t>甲方认为有必要，可委托为工程监理。甲方应在开工前将监理工程师的职责、监理范围以书面形式通知乙方。</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2.1.7如确实需要拆改原建筑物结构或设备管线，甲方应负责到有关部门办理相应审批手续，亦可委托乙方负责到有关部门办理相应审批手续。未办理相关手续，乙方不得拆改原有建筑物结构或设备管线。甲方坚持不办理相关手续，造成乙方停工和因此引起的一切损失，由甲方承担由。甲方委托乙方负责办理，因乙方原因未及时办理相关手续，造成停工和因此引起的一切损失，由乙方承担由。</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2.1.8协助乙方保护好周围建筑物、设备管线、古树古木、绿地等不受损坏。</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2.1.9协调有关部门做好现场保卫、消防、垃圾处理等工作。</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2.1.10知会邻里在施工期间产生的灰尘和噪音可能对其生活和工作环境造成的影响，协调关系获得理解并承担相应责任。</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2.1.11配合有关部门进行煤气改造、有线宽频网络安装施工工作。</w:t>
      </w:r>
    </w:p>
    <w:p>
      <w:pPr>
        <w:widowControl w:val="0"/>
        <w:ind w:firstLine="638" w:firstLineChars="228"/>
        <w:jc w:val="both"/>
        <w:rPr>
          <w:rFonts w:ascii="仿宋_GB2312" w:eastAsia="仿宋_GB2312" w:hAnsi="Calibri"/>
          <w:b/>
          <w:bCs/>
          <w:kern w:val="2"/>
          <w:sz w:val="28"/>
          <w:szCs w:val="28"/>
          <w:lang w:eastAsia="zh-CN"/>
        </w:rPr>
      </w:pPr>
      <w:r>
        <w:rPr>
          <w:rFonts w:ascii="仿宋_GB2312" w:eastAsia="仿宋_GB2312" w:hAnsi="Calibri" w:cstheme="minorBidi" w:hint="eastAsia"/>
          <w:b/>
          <w:bCs/>
          <w:kern w:val="2"/>
          <w:sz w:val="28"/>
          <w:szCs w:val="28"/>
          <w:lang w:eastAsia="zh-CN"/>
        </w:rPr>
        <w:t>2.2乙方工作</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2.2.1如甲方需要提供设计效果图，乙方应按要求提供，所涉及的费用双方可在确定合同价款时约定。乙方应按时参加甲方组织的施工图纸或作法说明的现场交底。</w:t>
      </w:r>
    </w:p>
    <w:p>
      <w:pPr>
        <w:widowControl w:val="0"/>
        <w:numPr>
          <w:ilvl w:val="2"/>
          <w:numId w:val="2"/>
        </w:numPr>
        <w:tabs>
          <w:tab w:val="left" w:pos="840"/>
        </w:tabs>
        <w:ind w:left="0" w:firstLine="638" w:firstLineChars="228"/>
        <w:jc w:val="both"/>
        <w:rPr>
          <w:rFonts w:ascii="Calibri" w:eastAsia="仿宋_GB2312" w:hAnsi="Calibri"/>
          <w:kern w:val="2"/>
          <w:sz w:val="28"/>
          <w:szCs w:val="28"/>
          <w:lang w:eastAsia="zh-CN"/>
        </w:rPr>
      </w:pPr>
      <w:r>
        <w:rPr>
          <w:rFonts w:ascii="Calibri" w:eastAsia="仿宋_GB2312" w:hAnsi="Calibri" w:cstheme="minorBidi" w:hint="eastAsia"/>
          <w:kern w:val="2"/>
          <w:sz w:val="28"/>
          <w:szCs w:val="28"/>
          <w:lang w:eastAsia="zh-CN"/>
        </w:rPr>
        <w:t>拟定施工方案和进度计划，交甲方审定。</w:t>
      </w:r>
    </w:p>
    <w:p>
      <w:pPr>
        <w:widowControl w:val="0"/>
        <w:numPr>
          <w:ilvl w:val="2"/>
          <w:numId w:val="2"/>
        </w:numPr>
        <w:tabs>
          <w:tab w:val="left" w:pos="0"/>
          <w:tab w:val="clear" w:pos="840"/>
        </w:tabs>
        <w:ind w:left="0"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严格执行施工规范、室内环境污染控制规范、安全操作规程、防火安全规定、环境保护规定。严格按照图纸或作法说明进行施工，做好各项质量检查记录。</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2.2.4指派为</w:t>
      </w:r>
      <w:r>
        <w:rPr>
          <w:rFonts w:ascii="仿宋_GB2312" w:eastAsia="仿宋_GB2312" w:hAnsi="Calibri" w:cstheme="minorBidi" w:hint="eastAsia"/>
          <w:kern w:val="2"/>
          <w:sz w:val="28"/>
          <w:szCs w:val="28"/>
          <w:u w:val="single"/>
          <w:lang w:eastAsia="zh-CN"/>
        </w:rPr>
        <w:t xml:space="preserve">     </w:t>
      </w:r>
      <w:r>
        <w:rPr>
          <w:rFonts w:ascii="仿宋_GB2312" w:eastAsia="仿宋_GB2312" w:hAnsi="Calibri" w:cstheme="minorBidi" w:hint="eastAsia"/>
          <w:kern w:val="2"/>
          <w:sz w:val="28"/>
          <w:szCs w:val="28"/>
          <w:lang w:eastAsia="zh-CN"/>
        </w:rPr>
        <w:t>乙方驻工地代表，负责履行合同，组织施工，按期保质保量完成施工任务，解决由乙方负责的各项事宜。</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2.2.5乙方有义务配合甲方直接发包给第三方的工程施工，以保证工程质量及工程的顺利完成。</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2.2.6乙方有义务事先告知甲方未知的在本工程设计或甲方指令以及甲方提供的材料中存在的问题和缺陷。如甲方不予采纳，造成的损失乙方不承担责任。</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2.2.7</w:t>
      </w:r>
      <w:r>
        <w:rPr>
          <w:rFonts w:ascii="Calibri" w:eastAsia="仿宋_GB2312" w:hAnsi="Calibri" w:cstheme="minorBidi" w:hint="eastAsia"/>
          <w:kern w:val="2"/>
          <w:sz w:val="28"/>
          <w:szCs w:val="28"/>
          <w:lang w:eastAsia="zh-CN"/>
        </w:rPr>
        <w:t>施工中涉及需要拆改原建筑物结构或设备管线的，乙方应当向甲方提出意见。甲方未办相关审批手继或未经甲方同意，乙方不得拆改原建筑物结构或设备管线，否则，由此造成的事故或发生的损失（包括罚款），由乙方负责承担。</w:t>
      </w:r>
      <w:r>
        <w:rPr>
          <w:rFonts w:ascii="仿宋_GB2312" w:eastAsia="仿宋_GB2312" w:hAnsi="Calibri" w:cstheme="minorBidi" w:hint="eastAsia"/>
          <w:kern w:val="2"/>
          <w:sz w:val="28"/>
          <w:szCs w:val="28"/>
          <w:lang w:eastAsia="zh-CN"/>
        </w:rPr>
        <w:t>甲方委托乙方负责办理，因乙方原因未及时办理相关手续，造成停工和因此引起的一切损失，由乙方承担由。</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2.2.8乙方应当妥善保护好施工现场周围建筑物、设备管线等不受破坏，做好施工现场保卫和垃圾清运等工作，处理好由于施工带来的扰民问题及与周围单位（住户）的关系。</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2.2.9乙方在施工中应妥善保管甲方堆放在现场的家私、陈设以及工程成品。工程竣工未移交甲方之前，负责对现场的一切设施和工程成品进行保护。</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2.2.10修缮施工项目如果需要审批的，乙方需全程协助协调完成相关服务。</w:t>
      </w:r>
    </w:p>
    <w:p>
      <w:pPr>
        <w:widowControl w:val="0"/>
        <w:ind w:firstLine="638" w:firstLineChars="228"/>
        <w:jc w:val="both"/>
        <w:rPr>
          <w:rFonts w:ascii="仿宋_GB2312" w:eastAsia="仿宋_GB2312" w:hAnsi="Calibri"/>
          <w:kern w:val="2"/>
          <w:sz w:val="28"/>
          <w:szCs w:val="28"/>
          <w:lang w:eastAsia="zh-CN"/>
        </w:rPr>
      </w:pPr>
    </w:p>
    <w:p>
      <w:pPr>
        <w:widowControl w:val="0"/>
        <w:ind w:firstLine="730" w:firstLineChars="228"/>
        <w:jc w:val="both"/>
        <w:rPr>
          <w:rFonts w:ascii="仿宋_GB2312" w:eastAsia="仿宋_GB2312" w:hAnsi="Calibri"/>
          <w:b/>
          <w:kern w:val="2"/>
          <w:sz w:val="32"/>
          <w:szCs w:val="32"/>
          <w:lang w:eastAsia="zh-CN"/>
        </w:rPr>
      </w:pPr>
      <w:r>
        <w:rPr>
          <w:rFonts w:ascii="仿宋_GB2312" w:eastAsia="仿宋_GB2312" w:hAnsi="Calibri" w:cstheme="minorBidi" w:hint="eastAsia"/>
          <w:b/>
          <w:kern w:val="2"/>
          <w:sz w:val="32"/>
          <w:szCs w:val="32"/>
          <w:lang w:eastAsia="zh-CN"/>
        </w:rPr>
        <w:t>第3条 反应时限及工期</w:t>
      </w:r>
    </w:p>
    <w:p>
      <w:pPr>
        <w:widowControl w:val="0"/>
        <w:ind w:firstLine="638" w:firstLineChars="228"/>
        <w:jc w:val="both"/>
        <w:rPr>
          <w:rFonts w:ascii="仿宋_GB2312" w:eastAsia="仿宋_GB2312" w:hAnsi="Calibri"/>
          <w:b/>
          <w:bCs/>
          <w:kern w:val="2"/>
          <w:sz w:val="28"/>
          <w:szCs w:val="28"/>
          <w:lang w:eastAsia="zh-CN"/>
        </w:rPr>
      </w:pPr>
      <w:r>
        <w:rPr>
          <w:rFonts w:ascii="仿宋_GB2312" w:eastAsia="仿宋_GB2312" w:hAnsi="Calibri" w:cstheme="minorBidi" w:hint="eastAsia"/>
          <w:b/>
          <w:bCs/>
          <w:kern w:val="2"/>
          <w:sz w:val="28"/>
          <w:szCs w:val="28"/>
          <w:lang w:eastAsia="zh-CN"/>
        </w:rPr>
        <w:t>3.1反应时限要求：</w:t>
      </w:r>
    </w:p>
    <w:p>
      <w:pPr>
        <w:widowControl w:val="0"/>
        <w:spacing w:line="440" w:lineRule="exact"/>
        <w:ind w:firstLine="560" w:firstLineChars="200"/>
        <w:jc w:val="both"/>
        <w:rPr>
          <w:rFonts w:ascii="仿宋" w:eastAsia="仿宋" w:hAnsi="仿宋"/>
          <w:kern w:val="2"/>
          <w:sz w:val="28"/>
          <w:szCs w:val="28"/>
          <w:lang w:eastAsia="zh-CN"/>
        </w:rPr>
      </w:pPr>
      <w:r>
        <w:rPr>
          <w:rFonts w:ascii="仿宋_GB2312" w:eastAsia="仿宋_GB2312" w:hAnsi="Calibri" w:cstheme="minorBidi" w:hint="eastAsia"/>
          <w:kern w:val="2"/>
          <w:sz w:val="28"/>
          <w:szCs w:val="28"/>
          <w:lang w:eastAsia="zh-CN"/>
        </w:rPr>
        <w:t>3.1.1</w:t>
      </w:r>
      <w:r>
        <w:rPr>
          <w:rFonts w:ascii="仿宋" w:eastAsia="仿宋" w:hAnsi="仿宋" w:cstheme="minorBidi" w:hint="eastAsia"/>
          <w:kern w:val="2"/>
          <w:sz w:val="28"/>
          <w:szCs w:val="28"/>
          <w:lang w:eastAsia="zh-CN"/>
        </w:rPr>
        <w:t>接到后勤保障科（基建）零星修缮服务需求后，必须在2小时内派人到现场查勘及抢修。如果到现场人员无法或无能力处理的，公司需增派能解决问题的专业人员在4小时内赶到现场支援。否则每次扣罚服务款1000元，累计3次以上的将解除合同，并索赔损失。</w:t>
      </w:r>
    </w:p>
    <w:p>
      <w:pPr>
        <w:widowControl w:val="0"/>
        <w:ind w:firstLine="638" w:firstLineChars="228"/>
        <w:jc w:val="both"/>
        <w:rPr>
          <w:rFonts w:ascii="仿宋_GB2312" w:eastAsia="仿宋_GB2312" w:hAnsi="Calibri"/>
          <w:b/>
          <w:bCs/>
          <w:kern w:val="2"/>
          <w:sz w:val="28"/>
          <w:szCs w:val="28"/>
          <w:lang w:eastAsia="zh-CN"/>
        </w:rPr>
      </w:pPr>
      <w:r>
        <w:rPr>
          <w:rFonts w:ascii="仿宋_GB2312" w:eastAsia="仿宋_GB2312" w:hAnsi="Calibri" w:cstheme="minorBidi" w:hint="eastAsia"/>
          <w:b/>
          <w:bCs/>
          <w:kern w:val="2"/>
          <w:sz w:val="28"/>
          <w:szCs w:val="28"/>
          <w:lang w:eastAsia="zh-CN"/>
        </w:rPr>
        <w:t>3.2 乙方完成设计方案时限要求：</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3.2.1 接到基建设施突发故障或紧急修缮施工需求后，需在现场提出修缮方案。</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3.2.2 造价2000元以下的修缮施工项目需在当天内完成修缮设计方案。</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3.2.3 造价20000元以下的修缮施工项目需在3个日历天内完成修缮设计方案。</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3.2.4 造价2万元以上-5万元以下的修缮施工项目需在5个日历天内完成修缮设计方案。</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3.2.5 涉及外观的修缮设计方案需要提供效果图和材料样品外观选样。</w:t>
      </w:r>
    </w:p>
    <w:p>
      <w:pPr>
        <w:widowControl w:val="0"/>
        <w:ind w:firstLine="638" w:firstLineChars="228"/>
        <w:jc w:val="both"/>
        <w:rPr>
          <w:rFonts w:ascii="仿宋_GB2312" w:eastAsia="仿宋_GB2312" w:hAnsi="Calibri"/>
          <w:b/>
          <w:bCs/>
          <w:kern w:val="2"/>
          <w:sz w:val="28"/>
          <w:szCs w:val="28"/>
          <w:lang w:eastAsia="zh-CN"/>
        </w:rPr>
      </w:pPr>
      <w:r>
        <w:rPr>
          <w:rFonts w:ascii="仿宋_GB2312" w:eastAsia="仿宋_GB2312" w:hAnsi="Calibri" w:cstheme="minorBidi" w:hint="eastAsia"/>
          <w:b/>
          <w:bCs/>
          <w:kern w:val="2"/>
          <w:sz w:val="28"/>
          <w:szCs w:val="28"/>
          <w:lang w:eastAsia="zh-CN"/>
        </w:rPr>
        <w:t>3.3 完成修缮施工时限要求：</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3.3.1 造价2000元以下的修缮施工项目需在3个日历天内完成修缮施工。</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3.3.2 造价20000元以下的修缮施工项目需在14个日历天内完成修缮施工。</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3.3.3 造价2万元以上-5万元以下的修缮施工项目需在21个日历天内完成修缮施工。</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3.4 修缮施工项目如果需要审批的，乙方需全程协助协调完成相关服务。</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3.5 所有修缮施工项目的禁止转包。所有修缮施工项目必须由乙方直接负责修缮施工，并由乙方提供质量保证和免费保修服务。免费保修期2年。</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3.6因甲方原因不具备开工条件而影响工期的，工期相应顺延。</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3.7由于甲方变更设计或增加工程量，以及提出增加设计范围以外的工程项目，造成工期的延误，工期相应顺延。</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3.8因乙方责任，不能按期开工或中途无故停工，影响工期，工期不顺延。</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3.9由于工程质量原因返工，工期不顺延。</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3.10</w:t>
      </w:r>
      <w:r>
        <w:rPr>
          <w:rFonts w:ascii="Calibri" w:eastAsia="仿宋_GB2312" w:hAnsi="Calibri" w:cstheme="minorBidi" w:hint="eastAsia"/>
          <w:kern w:val="2"/>
          <w:sz w:val="28"/>
          <w:szCs w:val="28"/>
          <w:lang w:eastAsia="zh-CN"/>
        </w:rPr>
        <w:t>因乙方预算少算、漏报所产生的增加项目，导致工期延误，工期不顺延。</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3.11非乙方原因造成的停电、停水、停气及不可抗力因素影响，导致停工8小时以上（一周内累计计算），工期相应顺延。</w:t>
      </w:r>
    </w:p>
    <w:p>
      <w:pPr>
        <w:widowControl w:val="0"/>
        <w:ind w:firstLine="730" w:firstLineChars="228"/>
        <w:jc w:val="both"/>
        <w:rPr>
          <w:rFonts w:ascii="仿宋_GB2312" w:eastAsia="仿宋_GB2312" w:hAnsi="Calibri"/>
          <w:b/>
          <w:kern w:val="2"/>
          <w:sz w:val="32"/>
          <w:szCs w:val="32"/>
          <w:lang w:eastAsia="zh-CN"/>
        </w:rPr>
      </w:pPr>
      <w:r>
        <w:rPr>
          <w:rFonts w:ascii="仿宋_GB2312" w:eastAsia="仿宋_GB2312" w:hAnsi="Calibri" w:cstheme="minorBidi" w:hint="eastAsia"/>
          <w:b/>
          <w:kern w:val="2"/>
          <w:sz w:val="32"/>
          <w:szCs w:val="32"/>
          <w:lang w:eastAsia="zh-CN"/>
        </w:rPr>
        <w:t>第4条 工程变更</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4.1甲方变更设计，应书面通知。</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4.2所有的设计变更和工程量增减，甲方应当办理签字确认手续，以作为费用调整依据。</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4.3因甲方设计变更，造成乙方返工费用和相应损失由甲方承担。</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4.4乙方按变更通知进行变更，并于7天内或双方认可的时间内向甲方提供变更价款的完整资料。甲方收到变更价款报告后7天内或双方认可的时间内予以签认或提出异议。</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4.5乙方接到变更通知后，可按下列方法提出变更价款，送甲方同意后调整合同价款：</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a  合同附件的工程预算书中已有适用于变更项目单价的，按已有项目单价调整合同价款；</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b  合同附件的工程预算书中只有类似于变更项目单价的，可以参照类似项目单价确定变更项目单价，调整合同价款；</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c  合同附件的工程预算书中没有适应和类似变更项目单价的，甲乙双方经协商后确定变更项目单价，调整合同价款；</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4.6乙方根据现场实际情况提出合理建议，涉及到变更设计和对原定材料的更换，以及增加工程量，必须经甲方同意，并签字确认。未经甲方签字，乙方擅自变更设计或对原定材料更换，甲方不予认可，由些造成的损失由乙方承担。</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4.7对于甲方提出的不可行的设计变更，乙方有义务事先告知甲方将由此产生的质量问题及后果，否则造成的损失由乙方承担。若甲方仍坚持进行变更，造成工程质量问题及后果，由甲方承担。</w:t>
      </w:r>
    </w:p>
    <w:p>
      <w:pPr>
        <w:widowControl w:val="0"/>
        <w:ind w:firstLine="730" w:firstLineChars="228"/>
        <w:jc w:val="both"/>
        <w:rPr>
          <w:rFonts w:ascii="仿宋_GB2312" w:eastAsia="仿宋_GB2312" w:hAnsi="Calibri"/>
          <w:b/>
          <w:kern w:val="2"/>
          <w:sz w:val="32"/>
          <w:szCs w:val="32"/>
          <w:lang w:eastAsia="zh-CN"/>
        </w:rPr>
      </w:pPr>
      <w:r>
        <w:rPr>
          <w:rFonts w:ascii="仿宋_GB2312" w:eastAsia="仿宋_GB2312" w:hAnsi="Calibri" w:cstheme="minorBidi" w:hint="eastAsia"/>
          <w:b/>
          <w:kern w:val="2"/>
          <w:sz w:val="32"/>
          <w:szCs w:val="32"/>
          <w:lang w:eastAsia="zh-CN"/>
        </w:rPr>
        <w:t>第5条 工程质量检查及验收</w:t>
      </w:r>
    </w:p>
    <w:p>
      <w:pPr>
        <w:widowControl w:val="0"/>
        <w:ind w:firstLine="638" w:firstLineChars="228"/>
        <w:jc w:val="both"/>
        <w:rPr>
          <w:rFonts w:ascii="仿宋_GB2312" w:eastAsia="仿宋_GB2312" w:hAnsi="Calibri"/>
          <w:kern w:val="2"/>
          <w:sz w:val="28"/>
          <w:szCs w:val="28"/>
          <w:lang w:eastAsia="zh-CN"/>
        </w:rPr>
      </w:pPr>
      <w:r>
        <w:rPr>
          <w:rFonts w:ascii="Calibri" w:eastAsia="仿宋_GB2312" w:hAnsi="Calibri" w:cstheme="minorBidi" w:hint="eastAsia"/>
          <w:kern w:val="2"/>
          <w:sz w:val="28"/>
          <w:szCs w:val="28"/>
          <w:lang w:eastAsia="zh-CN"/>
        </w:rPr>
        <w:t>5.1</w:t>
      </w:r>
      <w:r>
        <w:rPr>
          <w:rFonts w:ascii="仿宋_GB2312" w:eastAsia="仿宋_GB2312" w:hAnsi="Calibri" w:cstheme="minorBidi" w:hint="eastAsia"/>
          <w:kern w:val="2"/>
          <w:sz w:val="28"/>
          <w:szCs w:val="28"/>
          <w:lang w:eastAsia="zh-CN"/>
        </w:rPr>
        <w:t>本工程质量评定验收标准的依据：</w:t>
      </w:r>
    </w:p>
    <w:p>
      <w:pPr>
        <w:widowControl w:val="0"/>
        <w:ind w:firstLine="638" w:firstLineChars="228"/>
        <w:jc w:val="both"/>
        <w:rPr>
          <w:rFonts w:ascii="仿宋_GB2312" w:eastAsia="仿宋_GB2312" w:hAnsi="Calibri"/>
          <w:kern w:val="2"/>
          <w:sz w:val="28"/>
          <w:szCs w:val="28"/>
          <w:lang w:eastAsia="zh-CN"/>
        </w:rPr>
      </w:pPr>
      <w:r>
        <w:rPr>
          <w:rFonts w:ascii="Calibri" w:eastAsia="仿宋_GB2312" w:hAnsi="Calibri" w:cstheme="minorBidi" w:hint="eastAsia"/>
          <w:kern w:val="2"/>
          <w:sz w:val="28"/>
          <w:szCs w:val="28"/>
          <w:lang w:eastAsia="zh-CN"/>
        </w:rPr>
        <w:t>a</w:t>
      </w:r>
      <w:r>
        <w:rPr>
          <w:rFonts w:ascii="仿宋_GB2312" w:eastAsia="仿宋_GB2312" w:hAnsi="Calibri" w:cstheme="minorBidi" w:hint="eastAsia"/>
          <w:kern w:val="2"/>
          <w:sz w:val="28"/>
          <w:szCs w:val="28"/>
          <w:lang w:eastAsia="zh-CN"/>
        </w:rPr>
        <w:t>施工图纸、作法说明、设计变更；</w:t>
      </w:r>
    </w:p>
    <w:p>
      <w:pPr>
        <w:widowControl w:val="0"/>
        <w:ind w:firstLine="638" w:firstLineChars="228"/>
        <w:jc w:val="both"/>
        <w:rPr>
          <w:rFonts w:ascii="仿宋_GB2312" w:eastAsia="仿宋_GB2312" w:hAnsi="Calibri"/>
          <w:kern w:val="2"/>
          <w:sz w:val="28"/>
          <w:szCs w:val="28"/>
          <w:lang w:eastAsia="zh-CN"/>
        </w:rPr>
      </w:pPr>
      <w:r>
        <w:rPr>
          <w:rFonts w:ascii="Calibri" w:eastAsia="仿宋_GB2312" w:hAnsi="Calibri" w:cstheme="minorBidi" w:hint="eastAsia"/>
          <w:kern w:val="2"/>
          <w:sz w:val="28"/>
          <w:szCs w:val="28"/>
          <w:lang w:eastAsia="zh-CN"/>
        </w:rPr>
        <w:t>b</w:t>
      </w:r>
      <w:r>
        <w:rPr>
          <w:rFonts w:ascii="仿宋_GB2312" w:eastAsia="仿宋_GB2312" w:hAnsi="Calibri" w:cstheme="minorBidi" w:hint="eastAsia"/>
          <w:kern w:val="2"/>
          <w:sz w:val="28"/>
          <w:szCs w:val="28"/>
          <w:lang w:eastAsia="zh-CN"/>
        </w:rPr>
        <w:t>《建筑装饰装修工程质量验收规范》（GB50210-2001）；</w:t>
      </w:r>
    </w:p>
    <w:p>
      <w:pPr>
        <w:widowControl w:val="0"/>
        <w:ind w:firstLine="638" w:firstLineChars="228"/>
        <w:jc w:val="both"/>
        <w:rPr>
          <w:rFonts w:ascii="仿宋_GB2312" w:eastAsia="仿宋_GB2312" w:hAnsi="Calibri"/>
          <w:kern w:val="2"/>
          <w:sz w:val="28"/>
          <w:szCs w:val="28"/>
          <w:lang w:eastAsia="zh-CN"/>
        </w:rPr>
      </w:pPr>
      <w:r>
        <w:rPr>
          <w:rFonts w:ascii="Calibri" w:eastAsia="仿宋_GB2312" w:hAnsi="Calibri" w:cstheme="minorBidi" w:hint="eastAsia"/>
          <w:kern w:val="2"/>
          <w:sz w:val="28"/>
          <w:szCs w:val="28"/>
          <w:lang w:eastAsia="zh-CN"/>
        </w:rPr>
        <w:t>c</w:t>
      </w:r>
      <w:r>
        <w:rPr>
          <w:rFonts w:ascii="仿宋_GB2312" w:eastAsia="仿宋_GB2312" w:hAnsi="Calibri" w:cstheme="minorBidi" w:hint="eastAsia"/>
          <w:kern w:val="2"/>
          <w:sz w:val="28"/>
          <w:szCs w:val="28"/>
          <w:lang w:eastAsia="zh-CN"/>
        </w:rPr>
        <w:t>《住宅装饰装修工程施工规范》（GB50327-2001）；</w:t>
      </w:r>
    </w:p>
    <w:p>
      <w:pPr>
        <w:widowControl w:val="0"/>
        <w:ind w:firstLine="638" w:firstLineChars="228"/>
        <w:jc w:val="both"/>
        <w:rPr>
          <w:rFonts w:ascii="仿宋_GB2312" w:eastAsia="仿宋_GB2312" w:hAnsi="Calibri"/>
          <w:kern w:val="2"/>
          <w:sz w:val="28"/>
          <w:szCs w:val="28"/>
          <w:lang w:eastAsia="zh-CN"/>
        </w:rPr>
      </w:pPr>
      <w:r>
        <w:rPr>
          <w:rFonts w:ascii="Calibri" w:eastAsia="仿宋_GB2312" w:hAnsi="Calibri" w:cstheme="minorBidi" w:hint="eastAsia"/>
          <w:kern w:val="2"/>
          <w:sz w:val="28"/>
          <w:szCs w:val="28"/>
          <w:lang w:eastAsia="zh-CN"/>
        </w:rPr>
        <w:t>d</w:t>
      </w:r>
      <w:r>
        <w:rPr>
          <w:rFonts w:ascii="仿宋_GB2312" w:eastAsia="仿宋_GB2312" w:hAnsi="Calibri" w:cstheme="minorBidi" w:hint="eastAsia"/>
          <w:kern w:val="2"/>
          <w:sz w:val="28"/>
          <w:szCs w:val="28"/>
          <w:lang w:eastAsia="zh-CN"/>
        </w:rPr>
        <w:t>《深圳市家庭装饰装修工程质量验收标准》；</w:t>
      </w:r>
      <w:r>
        <w:rPr>
          <w:rFonts w:ascii="Calibri" w:eastAsia="仿宋_GB2312" w:hAnsi="Calibri" w:cstheme="minorBidi" w:hint="eastAsia"/>
          <w:kern w:val="2"/>
          <w:sz w:val="28"/>
          <w:szCs w:val="28"/>
          <w:lang w:eastAsia="zh-CN"/>
        </w:rPr>
        <w:t> </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5.2因甲方提供的材料、设备质量不合格而影响工程质量，由此造成的全部损失由甲方承担；因乙方施工质量问题造成材料、设备的损坏，其全部损失由乙方承担。</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5.3施工中甲方直接发包给第三方的工程完工时，必须由甲、乙和第三方共同对该工程质量进行验收，确认质量责任。若非因甲乙双方原因工程质量不合格，责任由第三方承担。</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5.4甲方直接发包给第三方的工程遇交叉作业时，乙方和第三方应对各自的工程质量负责，若非因甲方原因工程质量不合格，责任由乙方和第三方各自承担。</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5.5工程竣工后，由本院基建科、相关使用部门、职能科室和院领导组成验收小组按照实际需求、设计方案、现行相关国家规范和标准要求进行验收。必要时委托第三方进行质量检测或验收。如果验收小组认定不达到验收标准的，施工方必须无条件免费整改直到符合验收标准。</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5.6工程质量验收不合格，经整改后，另行验收，整改费用由乙方承担。整改后仍不合格，甲方可要求乙方继续整改，整改费用由乙方承担，也可以要求乙方离场并赔偿不合格项目的损失。</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每个单项工程质量验收合格后，乙方按照甲方要求办理验收手续。</w:t>
      </w:r>
    </w:p>
    <w:p>
      <w:pPr>
        <w:widowControl w:val="0"/>
        <w:ind w:firstLine="730" w:firstLineChars="228"/>
        <w:jc w:val="both"/>
        <w:rPr>
          <w:rFonts w:ascii="仿宋_GB2312" w:eastAsia="仿宋_GB2312" w:hAnsi="Calibri"/>
          <w:b/>
          <w:kern w:val="2"/>
          <w:sz w:val="32"/>
          <w:szCs w:val="32"/>
          <w:lang w:eastAsia="zh-CN"/>
        </w:rPr>
      </w:pPr>
      <w:r>
        <w:rPr>
          <w:rFonts w:ascii="仿宋_GB2312" w:eastAsia="仿宋_GB2312" w:hAnsi="Calibri" w:cstheme="minorBidi" w:hint="eastAsia"/>
          <w:b/>
          <w:kern w:val="2"/>
          <w:sz w:val="32"/>
          <w:szCs w:val="32"/>
          <w:lang w:eastAsia="zh-CN"/>
        </w:rPr>
        <w:t>第6条 室内环境质量施工要求及验收</w:t>
      </w:r>
    </w:p>
    <w:p>
      <w:pPr>
        <w:widowControl w:val="0"/>
        <w:ind w:firstLine="730" w:firstLineChars="228"/>
        <w:jc w:val="both"/>
        <w:rPr>
          <w:rFonts w:ascii="仿宋_GB2312" w:eastAsia="仿宋_GB2312" w:hAnsi="Calibri"/>
          <w:kern w:val="2"/>
          <w:sz w:val="32"/>
          <w:szCs w:val="32"/>
          <w:lang w:eastAsia="zh-CN"/>
        </w:rPr>
      </w:pPr>
      <w:r>
        <w:rPr>
          <w:rFonts w:ascii="仿宋_GB2312" w:eastAsia="仿宋_GB2312" w:hAnsi="Calibri" w:cstheme="minorBidi" w:hint="eastAsia"/>
          <w:kern w:val="2"/>
          <w:sz w:val="32"/>
          <w:szCs w:val="32"/>
          <w:lang w:eastAsia="zh-CN"/>
        </w:rPr>
        <w:t>6.1本工程室内环境质量验收标准的依据：</w:t>
      </w:r>
    </w:p>
    <w:p>
      <w:pPr>
        <w:widowControl w:val="0"/>
        <w:ind w:firstLine="638" w:firstLineChars="228"/>
        <w:jc w:val="both"/>
        <w:rPr>
          <w:rFonts w:ascii="仿宋_GB2312" w:eastAsia="仿宋_GB2312" w:hAnsi="Calibri"/>
          <w:kern w:val="2"/>
          <w:sz w:val="28"/>
          <w:szCs w:val="28"/>
          <w:u w:val="single"/>
          <w:lang w:eastAsia="zh-CN"/>
        </w:rPr>
      </w:pPr>
      <w:r>
        <w:rPr>
          <w:rFonts w:ascii="仿宋_GB2312" w:eastAsia="仿宋_GB2312" w:hAnsi="Calibri" w:cstheme="minorBidi" w:hint="eastAsia"/>
          <w:kern w:val="2"/>
          <w:sz w:val="28"/>
          <w:szCs w:val="28"/>
          <w:lang w:eastAsia="zh-CN"/>
        </w:rPr>
        <w:t>《民用建筑工程室内环境污染控制规范》（GB50325-2001）。</w:t>
      </w:r>
      <w:r>
        <w:rPr>
          <w:rFonts w:ascii="仿宋_GB2312" w:eastAsia="仿宋_GB2312" w:hAnsi="Calibri" w:cstheme="minorBidi" w:hint="eastAsia"/>
          <w:kern w:val="2"/>
          <w:sz w:val="28"/>
          <w:szCs w:val="28"/>
          <w:u w:val="single"/>
          <w:lang w:eastAsia="zh-CN"/>
        </w:rPr>
        <w:t>如果国家或地方政府发布了更新版本的相关规范，以新规范为准。</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6.2未经甲方同意，本工程不得使用经检验不合格的材料进行施工；不得在室内有机溶剂清洗施工用具；不得使用苯、工业苯、石油苯、重质苯及混苯作为稀释剂和溶剂；不得采用沥青类防腐、防潮处理剂；不得采用非A类无机非金属建筑材料、装修材料和非E1类人造木板及饰面人造木板。</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6.3对甲方要求购买预防装修污染的产品，乙方需积极配合。</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6.4室内环境质量验收可以选择有资质的检测机构进行检测，检测结果合格的，费用由</w:t>
      </w:r>
      <w:r>
        <w:rPr>
          <w:rFonts w:ascii="仿宋_GB2312" w:eastAsia="仿宋_GB2312" w:hAnsi="Calibri" w:cstheme="minorBidi" w:hint="eastAsia"/>
          <w:kern w:val="2"/>
          <w:sz w:val="28"/>
          <w:szCs w:val="28"/>
          <w:u w:val="single"/>
          <w:lang w:eastAsia="zh-CN"/>
        </w:rPr>
        <w:t xml:space="preserve">  甲  </w:t>
      </w:r>
      <w:r>
        <w:rPr>
          <w:rFonts w:ascii="仿宋_GB2312" w:eastAsia="仿宋_GB2312" w:hAnsi="Calibri" w:cstheme="minorBidi" w:hint="eastAsia"/>
          <w:kern w:val="2"/>
          <w:sz w:val="28"/>
          <w:szCs w:val="28"/>
          <w:lang w:eastAsia="zh-CN"/>
        </w:rPr>
        <w:t>方承担，检测结果不合格由乙方承担。</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6.5室内环境质量验收检测不合格，甲乙双方应采取措施，经整改后，另行验收，整改费用由责任方承担。</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工程竣工后，室内环境质量未经验收双方已办理移交手续，不影响甲方对因乙方原因造成的室内环境质量不合格的索赔。</w:t>
      </w:r>
    </w:p>
    <w:p>
      <w:pPr>
        <w:widowControl w:val="0"/>
        <w:ind w:firstLine="730" w:firstLineChars="228"/>
        <w:jc w:val="both"/>
        <w:rPr>
          <w:rFonts w:ascii="仿宋_GB2312" w:eastAsia="仿宋_GB2312" w:hAnsi="Calibri"/>
          <w:b/>
          <w:kern w:val="2"/>
          <w:sz w:val="32"/>
          <w:szCs w:val="32"/>
          <w:lang w:eastAsia="zh-CN"/>
        </w:rPr>
      </w:pPr>
      <w:r>
        <w:rPr>
          <w:rFonts w:ascii="仿宋_GB2312" w:eastAsia="仿宋_GB2312" w:hAnsi="Calibri" w:cstheme="minorBidi" w:hint="eastAsia"/>
          <w:b/>
          <w:kern w:val="2"/>
          <w:sz w:val="32"/>
          <w:szCs w:val="32"/>
          <w:lang w:eastAsia="zh-CN"/>
        </w:rPr>
        <w:t>第7条计价办法</w:t>
      </w:r>
    </w:p>
    <w:p>
      <w:pPr>
        <w:widowControl w:val="0"/>
        <w:spacing w:line="560" w:lineRule="exact"/>
        <w:ind w:firstLine="560" w:firstLineChars="200"/>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7.1清单采用《建设工程工程量清单计价规范（GB50500-2013）》、采用《深圳市建筑工程消耗量定额（2016）》、深圳市房屋修缮工程消耗量定额（2011）（2014机械）、《深圳市市政工程消耗量定额（2017）》、《深圳市园林建筑绿化工程消耗量定额（2017）》、《深圳市装饰工程消耗量定额（2020）SJG75-2020》、《深圳市安装工程消耗量定额（2020）SJG74-2020》等现行定额及深圳市造价管理站发布的有关文件。</w:t>
      </w:r>
    </w:p>
    <w:p>
      <w:pPr>
        <w:widowControl w:val="0"/>
        <w:spacing w:line="560" w:lineRule="exact"/>
        <w:ind w:firstLine="560" w:firstLineChars="200"/>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7.2各费率按深建市场[2021]10号对各项相关费用、管理费、利润、施工现场安全文明施工措施费等的规定，以推荐费率计取。</w:t>
      </w:r>
    </w:p>
    <w:p>
      <w:pPr>
        <w:widowControl w:val="0"/>
        <w:spacing w:line="560" w:lineRule="exact"/>
        <w:ind w:firstLine="560" w:firstLineChars="200"/>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7.3人工、材料及机械单价按施工期信息价（工程量确认单时间）。</w:t>
      </w:r>
    </w:p>
    <w:p>
      <w:pPr>
        <w:widowControl w:val="0"/>
        <w:spacing w:line="560" w:lineRule="exact"/>
        <w:ind w:firstLine="560" w:firstLineChars="200"/>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7.4清单、定额、取费文件等若施工期有调整，按调整后的零星工程取费标准清单、取费文件执行。</w:t>
      </w:r>
    </w:p>
    <w:p>
      <w:pPr>
        <w:widowControl w:val="0"/>
        <w:ind w:firstLine="730" w:firstLineChars="228"/>
        <w:jc w:val="both"/>
        <w:rPr>
          <w:rFonts w:ascii="Calibri" w:eastAsia="宋体" w:hAnsi="Calibri"/>
          <w:szCs w:val="22"/>
          <w:lang w:eastAsia="zh-CN"/>
        </w:rPr>
      </w:pPr>
      <w:r>
        <w:rPr>
          <w:rFonts w:ascii="仿宋_GB2312" w:eastAsia="仿宋_GB2312" w:hAnsi="Calibri" w:cstheme="minorBidi" w:hint="eastAsia"/>
          <w:b/>
          <w:kern w:val="2"/>
          <w:sz w:val="32"/>
          <w:szCs w:val="32"/>
          <w:lang w:eastAsia="zh-CN"/>
        </w:rPr>
        <w:t>第8条 结算方式及付款约定</w:t>
      </w:r>
    </w:p>
    <w:p>
      <w:pPr>
        <w:widowControl w:val="0"/>
        <w:spacing w:line="560" w:lineRule="exact"/>
        <w:ind w:firstLine="560" w:firstLineChars="200"/>
        <w:jc w:val="both"/>
        <w:rPr>
          <w:rFonts w:ascii="仿宋" w:eastAsia="仿宋" w:hAnsi="仿宋"/>
          <w:kern w:val="2"/>
          <w:sz w:val="28"/>
          <w:szCs w:val="28"/>
          <w:lang w:eastAsia="zh-CN"/>
        </w:rPr>
      </w:pPr>
      <w:r>
        <w:rPr>
          <w:rFonts w:ascii="仿宋_GB2312" w:eastAsia="仿宋_GB2312" w:hAnsi="Calibri" w:cstheme="minorBidi" w:hint="eastAsia"/>
          <w:kern w:val="2"/>
          <w:sz w:val="28"/>
          <w:szCs w:val="28"/>
          <w:lang w:eastAsia="zh-CN"/>
        </w:rPr>
        <w:t>8.1</w:t>
      </w:r>
      <w:r>
        <w:rPr>
          <w:rFonts w:ascii="仿宋_GB2312" w:eastAsia="仿宋_GB2312" w:hAnsi="仿宋" w:cstheme="minorBidi" w:hint="eastAsia"/>
          <w:kern w:val="2"/>
          <w:sz w:val="28"/>
          <w:szCs w:val="28"/>
          <w:lang w:eastAsia="zh-CN"/>
        </w:rPr>
        <w:t>结算审核流程：甲方</w:t>
      </w:r>
      <w:r>
        <w:rPr>
          <w:rFonts w:ascii="仿宋" w:eastAsia="仿宋" w:hAnsi="仿宋" w:cstheme="minorBidi" w:hint="eastAsia"/>
          <w:kern w:val="2"/>
          <w:sz w:val="28"/>
          <w:szCs w:val="28"/>
          <w:lang w:eastAsia="zh-CN"/>
        </w:rPr>
        <w:t>原则上每季度对乙方已实施完毕且验收合格的项目进行结算审计一次，每次中标方需根据施工当时深圳市造价站颁布的相关取费标准、定额标准、信息价等进行组价，由有造价资质的机构按实际施工项目内容编制造价结算资料，提供给本院审核，经本院审核批准后，提交我院委托的审计部门认可的第三方结算公司审核本项目总造价，最终结算价以第三方结算审核公司出具的审核报告为准。</w:t>
      </w:r>
    </w:p>
    <w:p>
      <w:pPr>
        <w:widowControl w:val="0"/>
        <w:spacing w:line="440" w:lineRule="exact"/>
        <w:ind w:firstLine="560" w:firstLineChars="200"/>
        <w:jc w:val="both"/>
        <w:rPr>
          <w:rFonts w:ascii="仿宋" w:eastAsia="仿宋" w:hAnsi="仿宋"/>
          <w:kern w:val="2"/>
          <w:sz w:val="28"/>
          <w:szCs w:val="28"/>
          <w:lang w:eastAsia="zh-CN"/>
        </w:rPr>
      </w:pPr>
      <w:r>
        <w:rPr>
          <w:rFonts w:ascii="仿宋" w:eastAsia="仿宋" w:hAnsi="仿宋" w:cstheme="minorBidi" w:hint="eastAsia"/>
          <w:kern w:val="2"/>
          <w:sz w:val="28"/>
          <w:szCs w:val="28"/>
          <w:lang w:eastAsia="zh-CN"/>
        </w:rPr>
        <w:t>每次结算审核完成后，乙方提供发票和符合财务部门规定的相关付款申请材料后，可申请支付该次最终结算审定价的97%，甲方于十个工作日向财务科申请支付。</w:t>
      </w:r>
    </w:p>
    <w:p>
      <w:pPr>
        <w:widowControl w:val="0"/>
        <w:spacing w:line="560" w:lineRule="exact"/>
        <w:ind w:firstLine="560" w:firstLineChars="200"/>
        <w:jc w:val="both"/>
        <w:rPr>
          <w:rFonts w:ascii="仿宋" w:eastAsia="仿宋" w:hAnsi="仿宋"/>
          <w:kern w:val="2"/>
          <w:sz w:val="28"/>
          <w:szCs w:val="28"/>
          <w:lang w:eastAsia="zh-CN"/>
        </w:rPr>
      </w:pPr>
      <w:r>
        <w:rPr>
          <w:rFonts w:ascii="仿宋" w:eastAsia="仿宋" w:hAnsi="仿宋" w:cstheme="minorBidi" w:hint="eastAsia"/>
          <w:kern w:val="2"/>
          <w:sz w:val="28"/>
          <w:szCs w:val="28"/>
          <w:lang w:eastAsia="zh-CN"/>
        </w:rPr>
        <w:t>剩余应付金额3％做为质保金，在保修期满后，如果工程无质量问题，在收到结算发票和符合财务部门规定的相关付款申请材料后，15个工作日内无息支付到乙方银行账户。</w:t>
      </w:r>
    </w:p>
    <w:p>
      <w:pPr>
        <w:widowControl w:val="0"/>
        <w:spacing w:line="560" w:lineRule="exact"/>
        <w:ind w:firstLine="560" w:firstLineChars="200"/>
        <w:jc w:val="both"/>
        <w:rPr>
          <w:rFonts w:ascii="仿宋" w:eastAsia="仿宋" w:hAnsi="仿宋"/>
          <w:kern w:val="2"/>
          <w:sz w:val="28"/>
          <w:szCs w:val="28"/>
          <w:lang w:eastAsia="zh-CN"/>
        </w:rPr>
      </w:pPr>
      <w:r>
        <w:rPr>
          <w:rFonts w:ascii="仿宋_GB2312" w:eastAsia="仿宋_GB2312" w:hAnsi="仿宋" w:cstheme="minorBidi" w:hint="eastAsia"/>
          <w:kern w:val="2"/>
          <w:sz w:val="28"/>
          <w:szCs w:val="28"/>
          <w:lang w:eastAsia="zh-CN"/>
        </w:rPr>
        <w:t>8.2结算资料提交时限要求：每个</w:t>
      </w:r>
      <w:r>
        <w:rPr>
          <w:rFonts w:ascii="仿宋" w:eastAsia="仿宋" w:hAnsi="仿宋" w:cstheme="minorBidi" w:hint="eastAsia"/>
          <w:kern w:val="2"/>
          <w:sz w:val="28"/>
          <w:szCs w:val="28"/>
          <w:lang w:eastAsia="zh-CN"/>
        </w:rPr>
        <w:t>单项工程验收合格后，服务商收到后勤保障科（基建）结算指令后90天内向后勤保障科（基建）提交竣工结算书及完整的结算资料，否则视为放弃结算的权利，造成的一切损失由承包人自行承担。</w:t>
      </w:r>
    </w:p>
    <w:p>
      <w:pPr>
        <w:widowControl w:val="0"/>
        <w:spacing w:line="560" w:lineRule="exact"/>
        <w:ind w:firstLine="560" w:firstLineChars="200"/>
        <w:jc w:val="both"/>
        <w:rPr>
          <w:rFonts w:ascii="仿宋" w:eastAsia="仿宋" w:hAnsi="仿宋"/>
          <w:kern w:val="2"/>
          <w:sz w:val="28"/>
          <w:szCs w:val="28"/>
          <w:lang w:eastAsia="zh-CN"/>
        </w:rPr>
      </w:pPr>
      <w:r>
        <w:rPr>
          <w:rFonts w:ascii="仿宋_GB2312" w:eastAsia="仿宋_GB2312" w:hAnsi="仿宋" w:cstheme="minorBidi" w:hint="eastAsia"/>
          <w:kern w:val="2"/>
          <w:sz w:val="28"/>
          <w:szCs w:val="28"/>
          <w:lang w:eastAsia="zh-CN"/>
        </w:rPr>
        <w:t>8.3最高限价：</w:t>
      </w:r>
      <w:r>
        <w:rPr>
          <w:rFonts w:ascii="仿宋" w:eastAsia="仿宋" w:hAnsi="仿宋" w:cstheme="minorBidi" w:hint="eastAsia"/>
          <w:kern w:val="2"/>
          <w:sz w:val="28"/>
          <w:szCs w:val="28"/>
          <w:lang w:eastAsia="zh-CN"/>
        </w:rPr>
        <w:t>本项目预算限价99万元，以我院委托的审计部门认可的第三方造价咨询公司审定后的结算价作为支付依据。</w:t>
      </w:r>
    </w:p>
    <w:p>
      <w:pPr>
        <w:widowControl w:val="0"/>
        <w:ind w:firstLine="730" w:firstLineChars="228"/>
        <w:jc w:val="both"/>
        <w:rPr>
          <w:rFonts w:ascii="仿宋_GB2312" w:eastAsia="仿宋_GB2312" w:hAnsi="Calibri"/>
          <w:b/>
          <w:kern w:val="2"/>
          <w:sz w:val="32"/>
          <w:szCs w:val="32"/>
          <w:lang w:eastAsia="zh-CN"/>
        </w:rPr>
      </w:pPr>
      <w:r>
        <w:rPr>
          <w:rFonts w:ascii="仿宋_GB2312" w:eastAsia="仿宋_GB2312" w:hAnsi="Calibri" w:cstheme="minorBidi" w:hint="eastAsia"/>
          <w:b/>
          <w:kern w:val="2"/>
          <w:sz w:val="32"/>
          <w:szCs w:val="32"/>
          <w:lang w:eastAsia="zh-CN"/>
        </w:rPr>
        <w:t>第9条 索赔</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9.1甲方未按合同约定提供施工所需条件、支付工程款、顺延工期或其他非乙方原因造成乙方经济损失，乙方可依照合同有关条款进行索赔。</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9.2乙方未按合同约定交付装饰产品或未全面履行合同约定的全部义务而造成甲方损失，甲方可依照合同有关条款进行索赔。</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9.3索赔程序：</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(1)索赔事件发生</w:t>
      </w:r>
      <w:r>
        <w:rPr>
          <w:rFonts w:ascii="仿宋_GB2312" w:eastAsia="仿宋_GB2312" w:hAnsi="Calibri" w:cstheme="minorBidi" w:hint="eastAsia"/>
          <w:kern w:val="2"/>
          <w:sz w:val="28"/>
          <w:szCs w:val="28"/>
          <w:u w:val="single"/>
          <w:lang w:eastAsia="zh-CN"/>
        </w:rPr>
        <w:t xml:space="preserve">  10  </w:t>
      </w:r>
      <w:r>
        <w:rPr>
          <w:rFonts w:ascii="仿宋_GB2312" w:eastAsia="仿宋_GB2312" w:hAnsi="Calibri" w:cstheme="minorBidi" w:hint="eastAsia"/>
          <w:kern w:val="2"/>
          <w:sz w:val="28"/>
          <w:szCs w:val="28"/>
          <w:lang w:eastAsia="zh-CN"/>
        </w:rPr>
        <w:t>天内，索赔方向被索赔方发出要求索赔的通知书；</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(2) 索赔方在发出索赔意向通知书后</w:t>
      </w:r>
      <w:r>
        <w:rPr>
          <w:rFonts w:ascii="仿宋_GB2312" w:eastAsia="仿宋_GB2312" w:hAnsi="Calibri" w:cstheme="minorBidi" w:hint="eastAsia"/>
          <w:kern w:val="2"/>
          <w:sz w:val="28"/>
          <w:szCs w:val="28"/>
          <w:u w:val="single"/>
          <w:lang w:eastAsia="zh-CN"/>
        </w:rPr>
        <w:t xml:space="preserve">  10  </w:t>
      </w:r>
      <w:r>
        <w:rPr>
          <w:rFonts w:ascii="仿宋_GB2312" w:eastAsia="仿宋_GB2312" w:hAnsi="Calibri" w:cstheme="minorBidi" w:hint="eastAsia"/>
          <w:kern w:val="2"/>
          <w:sz w:val="28"/>
          <w:szCs w:val="28"/>
          <w:lang w:eastAsia="zh-CN"/>
        </w:rPr>
        <w:t>天内，向被索赔方提交全部和详细的索赔资料。</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(3) 被索赔方在接到索赔资料后</w:t>
      </w:r>
      <w:r>
        <w:rPr>
          <w:rFonts w:ascii="仿宋_GB2312" w:eastAsia="仿宋_GB2312" w:hAnsi="Calibri" w:cstheme="minorBidi" w:hint="eastAsia"/>
          <w:kern w:val="2"/>
          <w:sz w:val="28"/>
          <w:szCs w:val="28"/>
          <w:u w:val="single"/>
          <w:lang w:eastAsia="zh-CN"/>
        </w:rPr>
        <w:t xml:space="preserve">  10  </w:t>
      </w:r>
      <w:r>
        <w:rPr>
          <w:rFonts w:ascii="仿宋_GB2312" w:eastAsia="仿宋_GB2312" w:hAnsi="Calibri" w:cstheme="minorBidi" w:hint="eastAsia"/>
          <w:kern w:val="2"/>
          <w:sz w:val="28"/>
          <w:szCs w:val="28"/>
          <w:lang w:eastAsia="zh-CN"/>
        </w:rPr>
        <w:t>天内给予书面答复或要求索赔方进一步补充索赔理由和证据。被索赔方在</w:t>
      </w:r>
      <w:r>
        <w:rPr>
          <w:rFonts w:ascii="仿宋_GB2312" w:eastAsia="仿宋_GB2312" w:hAnsi="Calibri" w:cstheme="minorBidi" w:hint="eastAsia"/>
          <w:kern w:val="2"/>
          <w:sz w:val="28"/>
          <w:szCs w:val="28"/>
          <w:u w:val="single"/>
          <w:lang w:eastAsia="zh-CN"/>
        </w:rPr>
        <w:t xml:space="preserve">  10  </w:t>
      </w:r>
      <w:r>
        <w:rPr>
          <w:rFonts w:ascii="仿宋_GB2312" w:eastAsia="仿宋_GB2312" w:hAnsi="Calibri" w:cstheme="minorBidi" w:hint="eastAsia"/>
          <w:kern w:val="2"/>
          <w:sz w:val="28"/>
          <w:szCs w:val="28"/>
          <w:lang w:eastAsia="zh-CN"/>
        </w:rPr>
        <w:t>天内未作答复，则视为该项索赔已被认可。</w:t>
      </w:r>
    </w:p>
    <w:p>
      <w:pPr>
        <w:widowControl w:val="0"/>
        <w:ind w:firstLine="730" w:firstLineChars="228"/>
        <w:jc w:val="both"/>
        <w:rPr>
          <w:rFonts w:ascii="仿宋_GB2312" w:eastAsia="仿宋_GB2312" w:hAnsi="Calibri"/>
          <w:b/>
          <w:kern w:val="2"/>
          <w:sz w:val="32"/>
          <w:szCs w:val="32"/>
          <w:lang w:eastAsia="zh-CN"/>
        </w:rPr>
      </w:pPr>
      <w:r>
        <w:rPr>
          <w:rFonts w:ascii="仿宋_GB2312" w:eastAsia="仿宋_GB2312" w:hAnsi="Calibri" w:cstheme="minorBidi" w:hint="eastAsia"/>
          <w:b/>
          <w:kern w:val="2"/>
          <w:sz w:val="32"/>
          <w:szCs w:val="32"/>
          <w:lang w:eastAsia="zh-CN"/>
        </w:rPr>
        <w:t>第10条 施工安全和防火</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10.1乙方负责设计施工的项目，应符合《中华人民共和国消防条例》和有关防火设计规范。</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10.2乙方在施工期间应严格遵守《建筑安装工程安全技术规程》《建筑安装工程安全操作规程》《中华人民共和国消防条例》和其他相关的法规、规范，动火作业前需取得甲方审批同意后施工。</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10.3由乙方在施工生产过程中，违反有关安全操作规程、消防条例和防火设计规范，导致发生安全或火灾事故，乙方应承担由此产生的一切经济损失。</w:t>
      </w:r>
    </w:p>
    <w:p>
      <w:pPr>
        <w:widowControl w:val="0"/>
        <w:ind w:firstLine="730" w:firstLineChars="228"/>
        <w:jc w:val="both"/>
        <w:rPr>
          <w:rFonts w:ascii="仿宋_GB2312" w:eastAsia="仿宋_GB2312" w:hAnsi="Calibri"/>
          <w:b/>
          <w:kern w:val="2"/>
          <w:sz w:val="32"/>
          <w:szCs w:val="32"/>
          <w:lang w:eastAsia="zh-CN"/>
        </w:rPr>
      </w:pPr>
      <w:r>
        <w:rPr>
          <w:rFonts w:ascii="仿宋_GB2312" w:eastAsia="仿宋_GB2312" w:hAnsi="Calibri" w:cstheme="minorBidi" w:hint="eastAsia"/>
          <w:b/>
          <w:kern w:val="2"/>
          <w:sz w:val="32"/>
          <w:szCs w:val="32"/>
          <w:lang w:eastAsia="zh-CN"/>
        </w:rPr>
        <w:t>第11条 违约责任</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11.1甲方或乙方未按本协议条款约定内容履行自己的各项义务致使合同无法履行，应承担相应的违约责任，包括支付违约金，赔偿因其违约给对方造成的损失。</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11.2由于乙方原因，逾期竣工，每逾期一天，乙方支付甲方500元违约金。</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11.3乙方应妥善保护甲方提供的设备及现场堆放的家具、陈设和工程成品，如造成损失，应照价赔偿。</w:t>
      </w:r>
    </w:p>
    <w:p>
      <w:pPr>
        <w:widowControl w:val="0"/>
        <w:ind w:firstLine="730" w:firstLineChars="228"/>
        <w:jc w:val="both"/>
        <w:rPr>
          <w:rFonts w:ascii="仿宋_GB2312" w:eastAsia="仿宋_GB2312" w:hAnsi="Calibri"/>
          <w:b/>
          <w:kern w:val="2"/>
          <w:sz w:val="32"/>
          <w:szCs w:val="32"/>
          <w:lang w:eastAsia="zh-CN"/>
        </w:rPr>
      </w:pPr>
      <w:r>
        <w:rPr>
          <w:rFonts w:ascii="仿宋_GB2312" w:eastAsia="仿宋_GB2312" w:hAnsi="Calibri" w:cstheme="minorBidi" w:hint="eastAsia"/>
          <w:b/>
          <w:kern w:val="2"/>
          <w:sz w:val="32"/>
          <w:szCs w:val="32"/>
          <w:lang w:eastAsia="zh-CN"/>
        </w:rPr>
        <w:t>第12条 保修条款</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12.1本工程保修责任期：   年。</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12.2保修范围为乙方施工的工程项目。</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12.3施工质量问题和乙方提供材料原因造成的损坏，由乙方保修。</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12.4由于甲方提供的材料质量问题、人为造成的损坏和不可避免的因素造成的损坏不在保修范围内。</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13.5在保修期内，乙方工程质量原因造成的其他财产损失，由乙方按当时市场价格全额赔偿。</w:t>
      </w:r>
    </w:p>
    <w:p>
      <w:pPr>
        <w:widowControl w:val="0"/>
        <w:spacing w:line="360" w:lineRule="auto"/>
        <w:ind w:firstLine="480" w:firstLineChars="150"/>
        <w:jc w:val="both"/>
        <w:rPr>
          <w:rFonts w:ascii="仿宋_GB2312" w:eastAsia="仿宋_GB2312" w:hAnsi="Calibri"/>
          <w:b/>
          <w:kern w:val="2"/>
          <w:sz w:val="32"/>
          <w:szCs w:val="32"/>
          <w:lang w:eastAsia="zh-CN"/>
        </w:rPr>
      </w:pPr>
      <w:r>
        <w:rPr>
          <w:rFonts w:ascii="仿宋_GB2312" w:eastAsia="仿宋_GB2312" w:hAnsi="Calibri" w:cstheme="minorBidi" w:hint="eastAsia"/>
          <w:b/>
          <w:kern w:val="2"/>
          <w:sz w:val="32"/>
          <w:szCs w:val="32"/>
          <w:lang w:eastAsia="zh-CN"/>
        </w:rPr>
        <w:t>第13条 联系方式</w:t>
      </w:r>
    </w:p>
    <w:p>
      <w:pPr>
        <w:widowControl w:val="0"/>
        <w:spacing w:line="360" w:lineRule="auto"/>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13.1</w:t>
      </w:r>
      <w:r>
        <w:rPr>
          <w:rFonts w:ascii="仿宋_GB2312" w:eastAsia="仿宋_GB2312" w:hAnsi="Calibri" w:cstheme="minorBidi"/>
          <w:kern w:val="2"/>
          <w:sz w:val="28"/>
          <w:szCs w:val="28"/>
          <w:lang w:eastAsia="zh-CN"/>
        </w:rPr>
        <w:t>甲方：</w:t>
      </w:r>
    </w:p>
    <w:p>
      <w:pPr>
        <w:widowControl w:val="0"/>
        <w:spacing w:line="360" w:lineRule="auto"/>
        <w:ind w:firstLine="420" w:firstLineChars="150"/>
        <w:jc w:val="both"/>
        <w:rPr>
          <w:rFonts w:ascii="仿宋_GB2312" w:eastAsia="仿宋_GB2312" w:hAnsi="Calibri"/>
          <w:kern w:val="2"/>
          <w:sz w:val="28"/>
          <w:szCs w:val="28"/>
          <w:lang w:eastAsia="zh-CN"/>
        </w:rPr>
      </w:pPr>
      <w:r>
        <w:rPr>
          <w:rFonts w:ascii="仿宋_GB2312" w:eastAsia="仿宋_GB2312" w:hAnsi="Calibri" w:cstheme="minorBidi"/>
          <w:kern w:val="2"/>
          <w:sz w:val="28"/>
          <w:szCs w:val="28"/>
          <w:lang w:eastAsia="zh-CN"/>
        </w:rPr>
        <w:t>联系人</w:t>
      </w:r>
      <w:r>
        <w:rPr>
          <w:rFonts w:ascii="仿宋_GB2312" w:eastAsia="仿宋_GB2312" w:hAnsi="Calibri" w:cstheme="minorBidi" w:hint="eastAsia"/>
          <w:kern w:val="2"/>
          <w:sz w:val="28"/>
          <w:szCs w:val="28"/>
          <w:lang w:eastAsia="zh-CN"/>
        </w:rPr>
        <w:t xml:space="preserve">：      联系电话： </w:t>
      </w:r>
    </w:p>
    <w:p>
      <w:pPr>
        <w:widowControl w:val="0"/>
        <w:spacing w:line="360" w:lineRule="auto"/>
        <w:ind w:firstLine="420" w:firstLineChars="150"/>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联系地址：</w:t>
      </w:r>
    </w:p>
    <w:p>
      <w:pPr>
        <w:widowControl w:val="0"/>
        <w:spacing w:line="360" w:lineRule="auto"/>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13.2乙方：</w:t>
      </w:r>
    </w:p>
    <w:p>
      <w:pPr>
        <w:widowControl w:val="0"/>
        <w:spacing w:line="360" w:lineRule="auto"/>
        <w:ind w:firstLine="420" w:firstLineChars="150"/>
        <w:jc w:val="both"/>
        <w:rPr>
          <w:rFonts w:ascii="仿宋_GB2312" w:eastAsia="仿宋_GB2312" w:hAnsi="Calibri"/>
          <w:kern w:val="2"/>
          <w:sz w:val="28"/>
          <w:szCs w:val="28"/>
          <w:lang w:eastAsia="zh-CN"/>
        </w:rPr>
      </w:pPr>
      <w:r>
        <w:rPr>
          <w:rFonts w:ascii="仿宋_GB2312" w:eastAsia="仿宋_GB2312" w:hAnsi="Calibri" w:cstheme="minorBidi"/>
          <w:kern w:val="2"/>
          <w:sz w:val="28"/>
          <w:szCs w:val="28"/>
          <w:lang w:eastAsia="zh-CN"/>
        </w:rPr>
        <w:t>联系人</w:t>
      </w:r>
      <w:r>
        <w:rPr>
          <w:rFonts w:ascii="仿宋_GB2312" w:eastAsia="仿宋_GB2312" w:hAnsi="Calibri" w:cstheme="minorBidi" w:hint="eastAsia"/>
          <w:kern w:val="2"/>
          <w:sz w:val="28"/>
          <w:szCs w:val="28"/>
          <w:lang w:eastAsia="zh-CN"/>
        </w:rPr>
        <w:t>：            联系电话：</w:t>
      </w:r>
    </w:p>
    <w:p>
      <w:pPr>
        <w:widowControl w:val="0"/>
        <w:spacing w:line="360" w:lineRule="auto"/>
        <w:ind w:firstLine="420" w:firstLineChars="150"/>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联系地址：</w:t>
      </w:r>
      <w:r>
        <w:rPr>
          <w:rFonts w:ascii="仿宋_GB2312" w:eastAsia="仿宋_GB2312" w:hAnsi="Calibri" w:cstheme="minorBidi"/>
          <w:kern w:val="2"/>
          <w:sz w:val="28"/>
          <w:szCs w:val="28"/>
          <w:lang w:eastAsia="zh-CN"/>
        </w:rPr>
        <w:t xml:space="preserve"> </w:t>
      </w:r>
    </w:p>
    <w:p>
      <w:pPr>
        <w:widowControl w:val="0"/>
        <w:spacing w:line="360" w:lineRule="auto"/>
        <w:ind w:firstLine="420" w:firstLineChars="150"/>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邮箱：</w:t>
      </w:r>
    </w:p>
    <w:p>
      <w:pPr>
        <w:widowControl w:val="0"/>
        <w:ind w:firstLine="560" w:firstLineChars="200"/>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13.3双方确认上述记载的本方地址为本方的送达地址，法院、仲裁机构或者当事人一方向其他方发出的书面文件（包括但不限于法律文书、通知、函件、律师函等）均可通过专人送达、邮政特快专递等合法方式向本合同下预留地址进行送达。若无人接收或拒收导致文书被退回的，文书退回之日即视为送达之日。合同任何一方不得擅自变更本合同预留地址。一方联系方式和地址如有变更， 应立即通知对方，否则应承担不利后果。</w:t>
      </w:r>
    </w:p>
    <w:p>
      <w:pPr>
        <w:widowControl w:val="0"/>
        <w:spacing w:line="360" w:lineRule="auto"/>
        <w:ind w:firstLine="640" w:firstLineChars="200"/>
        <w:jc w:val="both"/>
        <w:rPr>
          <w:rFonts w:ascii="仿宋_GB2312" w:eastAsia="仿宋_GB2312" w:hAnsi="Calibri"/>
          <w:b/>
          <w:kern w:val="2"/>
          <w:sz w:val="32"/>
          <w:szCs w:val="32"/>
          <w:lang w:eastAsia="zh-CN"/>
        </w:rPr>
      </w:pPr>
      <w:r>
        <w:rPr>
          <w:rFonts w:ascii="仿宋_GB2312" w:eastAsia="仿宋_GB2312" w:hAnsi="Calibri" w:cstheme="minorBidi" w:hint="eastAsia"/>
          <w:b/>
          <w:kern w:val="2"/>
          <w:sz w:val="32"/>
          <w:szCs w:val="32"/>
          <w:lang w:eastAsia="zh-CN"/>
        </w:rPr>
        <w:t>第14条 下列文件均为本合同的组成部分：</w:t>
      </w:r>
    </w:p>
    <w:p>
      <w:pPr>
        <w:widowControl w:val="0"/>
        <w:spacing w:line="360" w:lineRule="auto"/>
        <w:ind w:firstLine="560" w:firstLineChars="200"/>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14.1发包人的招标需求文件；</w:t>
      </w:r>
    </w:p>
    <w:p>
      <w:pPr>
        <w:widowControl w:val="0"/>
        <w:spacing w:line="360" w:lineRule="auto"/>
        <w:ind w:firstLine="560" w:firstLineChars="200"/>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14.2中标方的投标文件；</w:t>
      </w:r>
    </w:p>
    <w:p>
      <w:pPr>
        <w:widowControl w:val="0"/>
        <w:spacing w:line="360" w:lineRule="auto"/>
        <w:ind w:firstLine="560" w:firstLineChars="200"/>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14.3合同通用条款；</w:t>
      </w:r>
    </w:p>
    <w:p>
      <w:pPr>
        <w:widowControl w:val="0"/>
        <w:spacing w:line="360" w:lineRule="auto"/>
        <w:ind w:firstLine="560" w:firstLineChars="200"/>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14.4合同专用条件；</w:t>
      </w:r>
    </w:p>
    <w:p>
      <w:pPr>
        <w:widowControl w:val="0"/>
        <w:spacing w:line="360" w:lineRule="auto"/>
        <w:ind w:firstLine="560" w:firstLineChars="200"/>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14.5合同执行中共同签署的补充与修改文件。</w:t>
      </w:r>
    </w:p>
    <w:p>
      <w:pPr>
        <w:widowControl w:val="0"/>
        <w:spacing w:line="360" w:lineRule="auto"/>
        <w:ind w:firstLine="560" w:firstLineChars="200"/>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14.6招标文件、投标文件、中标通知书是本合同的组成部分，本合同未尽事宜以招标文件、投标文件、中标通知书（或谈判通知书）的最高标准为准，前述文件中不一致的条款以有利于甲方的条款为准。</w:t>
      </w:r>
    </w:p>
    <w:p>
      <w:pPr>
        <w:widowControl w:val="0"/>
        <w:ind w:firstLine="730" w:firstLineChars="228"/>
        <w:jc w:val="both"/>
        <w:rPr>
          <w:rFonts w:ascii="仿宋_GB2312" w:eastAsia="仿宋_GB2312" w:hAnsi="Calibri"/>
          <w:b/>
          <w:kern w:val="2"/>
          <w:sz w:val="32"/>
          <w:szCs w:val="32"/>
          <w:lang w:eastAsia="zh-CN"/>
        </w:rPr>
      </w:pPr>
      <w:r>
        <w:rPr>
          <w:rFonts w:ascii="仿宋_GB2312" w:eastAsia="仿宋_GB2312" w:hAnsi="Calibri" w:cstheme="minorBidi" w:hint="eastAsia"/>
          <w:b/>
          <w:kern w:val="2"/>
          <w:sz w:val="32"/>
          <w:szCs w:val="32"/>
          <w:lang w:eastAsia="zh-CN"/>
        </w:rPr>
        <w:t>第15条 争议</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15.1本合同在履行期间，双方发生争议时，在不影响工程进度的前提下，双方可采取协商解决。</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15.2协商不成可通过下述机构调解（注：只能选择其中一种方式，并在选定方式前“□”内打“√”）：</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□提交中国国际经济贸易仲裁委员会华南分会调解中心；</w:t>
      </w:r>
    </w:p>
    <w:p>
      <w:pPr>
        <w:widowControl w:val="0"/>
        <w:ind w:firstLine="638" w:firstLineChars="228"/>
        <w:jc w:val="both"/>
        <w:rPr>
          <w:rFonts w:ascii="仿宋_GB2312" w:eastAsia="仿宋_GB2312" w:hAnsi="Calibri"/>
          <w:kern w:val="2"/>
          <w:sz w:val="28"/>
          <w:szCs w:val="28"/>
          <w:u w:val="single"/>
          <w:lang w:eastAsia="zh-CN"/>
        </w:rPr>
      </w:pPr>
      <w:r>
        <w:rPr>
          <w:rFonts w:ascii="仿宋_GB2312" w:eastAsia="仿宋_GB2312" w:hAnsi="Calibri" w:cstheme="minorBidi" w:hint="eastAsia"/>
          <w:kern w:val="2"/>
          <w:sz w:val="28"/>
          <w:szCs w:val="28"/>
          <w:lang w:eastAsia="zh-CN"/>
        </w:rPr>
        <w:t>□其也调解机构：</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15.3对本工程施工质量或使用的原材料质量发生争议的，可以选择有资质的检测机进行检测。</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15.4当事人不愿意通过协商、调解解决或者协商调解不成时，双方可选择下列第</w:t>
      </w:r>
      <w:r>
        <w:rPr>
          <w:rFonts w:ascii="仿宋_GB2312" w:eastAsia="仿宋_GB2312" w:hAnsi="Calibri" w:cstheme="minorBidi" w:hint="eastAsia"/>
          <w:kern w:val="2"/>
          <w:sz w:val="28"/>
          <w:szCs w:val="28"/>
          <w:u w:val="single"/>
          <w:lang w:eastAsia="zh-CN"/>
        </w:rPr>
        <w:t xml:space="preserve"> (2) </w:t>
      </w:r>
      <w:r>
        <w:rPr>
          <w:rFonts w:ascii="仿宋_GB2312" w:eastAsia="仿宋_GB2312" w:hAnsi="Calibri" w:cstheme="minorBidi" w:hint="eastAsia"/>
          <w:kern w:val="2"/>
          <w:sz w:val="28"/>
          <w:szCs w:val="28"/>
          <w:lang w:eastAsia="zh-CN"/>
        </w:rPr>
        <w:t>种方式解决：</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(1)仲裁（注：只能选择其中一种方式，并在选定方式前的“□”内打“√”）：</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□提交中国国际经济贸易仲裁委员会华南分会在深圳进行仲裁；</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□提交深圳仲裁委员会仲裁；</w:t>
      </w:r>
    </w:p>
    <w:p>
      <w:pPr>
        <w:widowControl w:val="0"/>
        <w:ind w:firstLine="638" w:firstLineChars="228"/>
        <w:jc w:val="both"/>
        <w:rPr>
          <w:rFonts w:ascii="仿宋_GB2312" w:eastAsia="仿宋_GB2312" w:hAnsi="Calibri"/>
          <w:kern w:val="2"/>
          <w:sz w:val="28"/>
          <w:szCs w:val="28"/>
          <w:u w:val="single"/>
          <w:lang w:eastAsia="zh-CN"/>
        </w:rPr>
      </w:pPr>
      <w:r>
        <w:rPr>
          <w:rFonts w:ascii="仿宋_GB2312" w:eastAsia="仿宋_GB2312" w:hAnsi="Calibri" w:cstheme="minorBidi" w:hint="eastAsia"/>
          <w:kern w:val="2"/>
          <w:sz w:val="28"/>
          <w:szCs w:val="28"/>
          <w:lang w:eastAsia="zh-CN"/>
        </w:rPr>
        <w:t>□其也仲裁机构：</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(2)诉讼：向有管辖权的人民法院提起诉讼。</w:t>
      </w:r>
    </w:p>
    <w:p>
      <w:pPr>
        <w:widowControl w:val="0"/>
        <w:ind w:firstLine="730" w:firstLineChars="228"/>
        <w:jc w:val="both"/>
        <w:rPr>
          <w:rFonts w:ascii="仿宋_GB2312" w:eastAsia="仿宋_GB2312" w:hAnsi="Calibri"/>
          <w:b/>
          <w:kern w:val="2"/>
          <w:sz w:val="32"/>
          <w:szCs w:val="32"/>
          <w:lang w:eastAsia="zh-CN"/>
        </w:rPr>
      </w:pPr>
      <w:r>
        <w:rPr>
          <w:rFonts w:ascii="仿宋_GB2312" w:eastAsia="仿宋_GB2312" w:hAnsi="Calibri" w:cstheme="minorBidi" w:hint="eastAsia"/>
          <w:b/>
          <w:kern w:val="2"/>
          <w:sz w:val="32"/>
          <w:szCs w:val="32"/>
          <w:lang w:eastAsia="zh-CN"/>
        </w:rPr>
        <w:t>第16条 合同解除和终止</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16.1有下列情形之一的，可以解除合同：</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(1)甲乙双方协商一致；</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(2)因不可抗力致使合同无法履行；</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(3)因一方违约致使合同无法履行；</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16.2甲乙双方履行完本合同全部义务，工程已办理交付手续，工程竣工结算价款支付完毕，本合同即告终止（但本合同保修及争议解决条款除外）。</w:t>
      </w:r>
    </w:p>
    <w:p>
      <w:pPr>
        <w:widowControl w:val="0"/>
        <w:ind w:firstLine="730" w:firstLineChars="228"/>
        <w:jc w:val="both"/>
        <w:rPr>
          <w:rFonts w:ascii="仿宋_GB2312" w:eastAsia="仿宋_GB2312" w:hAnsi="Calibri"/>
          <w:b/>
          <w:kern w:val="2"/>
          <w:sz w:val="32"/>
          <w:szCs w:val="32"/>
          <w:lang w:eastAsia="zh-CN"/>
        </w:rPr>
      </w:pPr>
      <w:r>
        <w:rPr>
          <w:rFonts w:ascii="仿宋_GB2312" w:eastAsia="仿宋_GB2312" w:hAnsi="Calibri" w:cstheme="minorBidi" w:hint="eastAsia"/>
          <w:b/>
          <w:kern w:val="2"/>
          <w:sz w:val="32"/>
          <w:szCs w:val="32"/>
          <w:lang w:eastAsia="zh-CN"/>
        </w:rPr>
        <w:t>第17条 附则</w:t>
      </w:r>
    </w:p>
    <w:p>
      <w:pPr>
        <w:widowControl w:val="0"/>
        <w:ind w:firstLine="638" w:firstLineChars="228"/>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17.1本合同正本</w:t>
      </w:r>
      <w:r>
        <w:rPr>
          <w:rFonts w:ascii="仿宋_GB2312" w:eastAsia="仿宋_GB2312" w:hAnsi="Calibri" w:cstheme="minorBidi" w:hint="eastAsia"/>
          <w:kern w:val="2"/>
          <w:sz w:val="28"/>
          <w:szCs w:val="28"/>
          <w:u w:val="single"/>
          <w:lang w:eastAsia="zh-CN"/>
        </w:rPr>
        <w:t xml:space="preserve">  2  </w:t>
      </w:r>
      <w:r>
        <w:rPr>
          <w:rFonts w:ascii="仿宋_GB2312" w:eastAsia="仿宋_GB2312" w:hAnsi="Calibri" w:cstheme="minorBidi" w:hint="eastAsia"/>
          <w:kern w:val="2"/>
          <w:sz w:val="28"/>
          <w:szCs w:val="28"/>
          <w:lang w:eastAsia="zh-CN"/>
        </w:rPr>
        <w:t>份，双方各执</w:t>
      </w:r>
      <w:r>
        <w:rPr>
          <w:rFonts w:ascii="仿宋_GB2312" w:eastAsia="仿宋_GB2312" w:hAnsi="Calibri" w:cstheme="minorBidi" w:hint="eastAsia"/>
          <w:kern w:val="2"/>
          <w:sz w:val="28"/>
          <w:szCs w:val="28"/>
          <w:u w:val="single"/>
          <w:lang w:eastAsia="zh-CN"/>
        </w:rPr>
        <w:t xml:space="preserve">  1  </w:t>
      </w:r>
      <w:r>
        <w:rPr>
          <w:rFonts w:ascii="仿宋_GB2312" w:eastAsia="仿宋_GB2312" w:hAnsi="Calibri" w:cstheme="minorBidi" w:hint="eastAsia"/>
          <w:kern w:val="2"/>
          <w:sz w:val="28"/>
          <w:szCs w:val="28"/>
          <w:lang w:eastAsia="zh-CN"/>
        </w:rPr>
        <w:t>份。副本</w:t>
      </w:r>
      <w:r>
        <w:rPr>
          <w:rFonts w:ascii="仿宋_GB2312" w:eastAsia="仿宋_GB2312" w:hAnsi="Calibri" w:cstheme="minorBidi" w:hint="eastAsia"/>
          <w:kern w:val="2"/>
          <w:sz w:val="28"/>
          <w:szCs w:val="28"/>
          <w:u w:val="single"/>
          <w:lang w:eastAsia="zh-CN"/>
        </w:rPr>
        <w:t xml:space="preserve">  4  </w:t>
      </w:r>
      <w:r>
        <w:rPr>
          <w:rFonts w:ascii="仿宋_GB2312" w:eastAsia="仿宋_GB2312" w:hAnsi="Calibri" w:cstheme="minorBidi" w:hint="eastAsia"/>
          <w:kern w:val="2"/>
          <w:sz w:val="28"/>
          <w:szCs w:val="28"/>
          <w:lang w:eastAsia="zh-CN"/>
        </w:rPr>
        <w:t>份，甲方执</w:t>
      </w:r>
      <w:r>
        <w:rPr>
          <w:rFonts w:ascii="仿宋_GB2312" w:eastAsia="仿宋_GB2312" w:hAnsi="Calibri" w:cstheme="minorBidi" w:hint="eastAsia"/>
          <w:kern w:val="2"/>
          <w:sz w:val="28"/>
          <w:szCs w:val="28"/>
          <w:u w:val="single"/>
          <w:lang w:eastAsia="zh-CN"/>
        </w:rPr>
        <w:t xml:space="preserve">  3  </w:t>
      </w:r>
      <w:r>
        <w:rPr>
          <w:rFonts w:ascii="仿宋_GB2312" w:eastAsia="仿宋_GB2312" w:hAnsi="Calibri" w:cstheme="minorBidi" w:hint="eastAsia"/>
          <w:kern w:val="2"/>
          <w:sz w:val="28"/>
          <w:szCs w:val="28"/>
          <w:lang w:eastAsia="zh-CN"/>
        </w:rPr>
        <w:t>份，乙方执</w:t>
      </w:r>
      <w:r>
        <w:rPr>
          <w:rFonts w:ascii="仿宋_GB2312" w:eastAsia="仿宋_GB2312" w:hAnsi="Calibri" w:cstheme="minorBidi" w:hint="eastAsia"/>
          <w:kern w:val="2"/>
          <w:sz w:val="28"/>
          <w:szCs w:val="28"/>
          <w:u w:val="single"/>
          <w:lang w:eastAsia="zh-CN"/>
        </w:rPr>
        <w:t xml:space="preserve">  1  </w:t>
      </w:r>
      <w:r>
        <w:rPr>
          <w:rFonts w:ascii="仿宋_GB2312" w:eastAsia="仿宋_GB2312" w:hAnsi="Calibri" w:cstheme="minorBidi" w:hint="eastAsia"/>
          <w:kern w:val="2"/>
          <w:sz w:val="28"/>
          <w:szCs w:val="28"/>
          <w:lang w:eastAsia="zh-CN"/>
        </w:rPr>
        <w:t>份。均具同等法律效力。</w:t>
      </w:r>
    </w:p>
    <w:p>
      <w:pPr>
        <w:widowControl w:val="0"/>
        <w:jc w:val="both"/>
        <w:rPr>
          <w:rFonts w:ascii="仿宋_GB2312" w:eastAsia="仿宋_GB2312" w:hAnsi="Calibri"/>
          <w:kern w:val="2"/>
          <w:sz w:val="28"/>
          <w:szCs w:val="28"/>
          <w:lang w:eastAsia="zh-CN"/>
        </w:rPr>
      </w:pPr>
    </w:p>
    <w:p>
      <w:pPr>
        <w:widowControl w:val="0"/>
        <w:ind w:left="5460" w:hanging="5460" w:hangingChars="1950"/>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发包方：深圳市南山区妇幼保健院   承包方：</w:t>
      </w:r>
      <w:r>
        <w:rPr>
          <w:rFonts w:ascii="仿宋_GB2312" w:eastAsia="仿宋_GB2312" w:hAnsi="Calibri" w:cstheme="minorBidi"/>
          <w:kern w:val="2"/>
          <w:sz w:val="28"/>
          <w:szCs w:val="28"/>
          <w:lang w:eastAsia="zh-CN"/>
        </w:rPr>
        <w:t xml:space="preserve"> </w:t>
      </w:r>
    </w:p>
    <w:p>
      <w:pPr>
        <w:widowControl w:val="0"/>
        <w:jc w:val="both"/>
        <w:rPr>
          <w:rFonts w:ascii="仿宋_GB2312" w:eastAsia="仿宋_GB2312" w:hAnsi="Calibri"/>
          <w:kern w:val="2"/>
          <w:sz w:val="28"/>
          <w:szCs w:val="28"/>
          <w:lang w:eastAsia="zh-CN"/>
        </w:rPr>
      </w:pPr>
    </w:p>
    <w:p>
      <w:pPr>
        <w:widowControl w:val="0"/>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发包方代表：</w:t>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承包方代表：</w:t>
      </w:r>
    </w:p>
    <w:p>
      <w:pPr>
        <w:widowControl w:val="0"/>
        <w:jc w:val="both"/>
        <w:rPr>
          <w:rFonts w:ascii="仿宋_GB2312" w:eastAsia="仿宋_GB2312" w:hAnsi="Calibri"/>
          <w:kern w:val="2"/>
          <w:sz w:val="28"/>
          <w:szCs w:val="28"/>
          <w:lang w:eastAsia="zh-CN"/>
        </w:rPr>
      </w:pPr>
    </w:p>
    <w:p>
      <w:pPr>
        <w:widowControl w:val="0"/>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地址：深圳市南山区蛇口湾厦路1   地址：</w:t>
      </w:r>
    </w:p>
    <w:p>
      <w:pPr>
        <w:widowControl w:val="0"/>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 xml:space="preserve">      号院内</w:t>
      </w:r>
      <w:r>
        <w:rPr>
          <w:rFonts w:ascii="仿宋_GB2312" w:eastAsia="仿宋_GB2312" w:hAnsi="Calibri" w:cstheme="minorBidi" w:hint="eastAsia"/>
          <w:kern w:val="2"/>
          <w:sz w:val="28"/>
          <w:szCs w:val="28"/>
          <w:lang w:eastAsia="zh-CN"/>
        </w:rPr>
        <w:tab/>
      </w:r>
    </w:p>
    <w:p>
      <w:pPr>
        <w:widowControl w:val="0"/>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电话：</w:t>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电话：</w:t>
      </w:r>
    </w:p>
    <w:p>
      <w:pPr>
        <w:widowControl w:val="0"/>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传真：</w:t>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传真：</w:t>
      </w:r>
    </w:p>
    <w:p>
      <w:pPr>
        <w:widowControl w:val="0"/>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邮编：</w:t>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邮编：</w:t>
      </w:r>
    </w:p>
    <w:p>
      <w:pPr>
        <w:widowControl w:val="0"/>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开户银行：</w:t>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开户银行：</w:t>
      </w:r>
    </w:p>
    <w:p>
      <w:pPr>
        <w:widowControl w:val="0"/>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户名：</w:t>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户名：</w:t>
      </w:r>
    </w:p>
    <w:p>
      <w:pPr>
        <w:widowControl w:val="0"/>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帐号：</w:t>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帐号：</w:t>
      </w:r>
    </w:p>
    <w:p>
      <w:pPr>
        <w:widowControl w:val="0"/>
        <w:jc w:val="both"/>
        <w:rPr>
          <w:rFonts w:ascii="仿宋_GB2312" w:eastAsia="仿宋_GB2312" w:hAnsi="Calibri"/>
          <w:kern w:val="2"/>
          <w:sz w:val="28"/>
          <w:szCs w:val="28"/>
          <w:lang w:eastAsia="zh-CN"/>
        </w:rPr>
      </w:pPr>
      <w:r>
        <w:rPr>
          <w:rFonts w:ascii="仿宋_GB2312" w:eastAsia="仿宋_GB2312" w:hAnsi="Calibri" w:cstheme="minorBidi" w:hint="eastAsia"/>
          <w:kern w:val="2"/>
          <w:sz w:val="28"/>
          <w:szCs w:val="28"/>
          <w:lang w:eastAsia="zh-CN"/>
        </w:rPr>
        <w:t>日期：</w:t>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bookmarkStart w:id="46" w:name="OLE_LINK3"/>
      <w:r>
        <w:rPr>
          <w:rFonts w:ascii="仿宋_GB2312" w:eastAsia="仿宋_GB2312" w:hAnsi="Calibri" w:cstheme="minorBidi" w:hint="eastAsia"/>
          <w:kern w:val="2"/>
          <w:sz w:val="28"/>
          <w:szCs w:val="28"/>
          <w:lang w:eastAsia="zh-CN"/>
        </w:rPr>
        <w:t>年    月    日</w:t>
      </w:r>
      <w:bookmarkEnd w:id="46"/>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ab/>
      </w:r>
      <w:r>
        <w:rPr>
          <w:rFonts w:ascii="仿宋_GB2312" w:eastAsia="仿宋_GB2312" w:hAnsi="Calibri" w:cstheme="minorBidi" w:hint="eastAsia"/>
          <w:kern w:val="2"/>
          <w:sz w:val="28"/>
          <w:szCs w:val="28"/>
          <w:lang w:eastAsia="zh-CN"/>
        </w:rPr>
        <w:t>日期：      年    月    日</w:t>
      </w: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adjustRightInd w:val="0"/>
        <w:snapToGrid w:val="0"/>
        <w:spacing w:line="360" w:lineRule="auto"/>
        <w:jc w:val="both"/>
        <w:rPr>
          <w:rFonts w:ascii="黑体" w:eastAsia="黑体" w:hAnsi="黑体"/>
          <w:kern w:val="2"/>
          <w:sz w:val="32"/>
          <w:szCs w:val="32"/>
          <w:lang w:eastAsia="zh-CN"/>
        </w:rPr>
      </w:pPr>
      <w:r>
        <w:rPr>
          <w:rFonts w:ascii="黑体" w:eastAsia="黑体" w:hAnsi="黑体" w:cstheme="minorBidi" w:hint="eastAsia"/>
          <w:kern w:val="2"/>
          <w:sz w:val="32"/>
          <w:szCs w:val="32"/>
          <w:lang w:eastAsia="zh-CN"/>
        </w:rPr>
        <w:t>附件</w:t>
      </w:r>
    </w:p>
    <w:p>
      <w:pPr>
        <w:widowControl/>
        <w:jc w:val="center"/>
        <w:rPr>
          <w:rFonts w:ascii="Calibri" w:eastAsia="宋体" w:hAnsi="Calibri"/>
          <w:kern w:val="2"/>
          <w:sz w:val="44"/>
          <w:szCs w:val="44"/>
          <w:lang w:eastAsia="zh-CN"/>
        </w:rPr>
      </w:pPr>
      <w:r>
        <w:rPr>
          <w:rFonts w:ascii="Calibri" w:eastAsia="宋体" w:hAnsi="Calibri" w:cstheme="minorBidi" w:hint="eastAsia"/>
          <w:kern w:val="2"/>
          <w:sz w:val="44"/>
          <w:szCs w:val="44"/>
          <w:lang w:eastAsia="zh-CN"/>
        </w:rPr>
        <w:t>购销合同廉洁协议</w:t>
      </w:r>
    </w:p>
    <w:p>
      <w:pPr>
        <w:widowControl/>
        <w:jc w:val="left"/>
        <w:rPr>
          <w:rFonts w:ascii="宋体" w:eastAsia="宋体" w:hAnsi="宋体" w:cs="宋体"/>
          <w:sz w:val="28"/>
          <w:szCs w:val="28"/>
          <w:lang w:eastAsia="zh-CN"/>
        </w:rPr>
      </w:pPr>
    </w:p>
    <w:p>
      <w:pPr>
        <w:widowControl/>
        <w:jc w:val="left"/>
        <w:rPr>
          <w:rFonts w:ascii="宋体" w:eastAsia="宋体" w:hAnsi="宋体"/>
          <w:kern w:val="2"/>
          <w:szCs w:val="22"/>
          <w:lang w:eastAsia="zh-CN"/>
        </w:rPr>
      </w:pPr>
      <w:r>
        <w:rPr>
          <w:rFonts w:ascii="宋体" w:eastAsia="宋体" w:hAnsi="宋体" w:cstheme="minorBidi" w:hint="eastAsia"/>
          <w:kern w:val="2"/>
          <w:szCs w:val="22"/>
          <w:lang w:eastAsia="zh-CN"/>
        </w:rPr>
        <w:t>甲方：</w:t>
      </w:r>
      <w:r>
        <w:rPr>
          <w:rFonts w:ascii="宋体" w:eastAsia="宋体" w:hAnsi="宋体" w:cstheme="minorBidi" w:hint="eastAsia"/>
          <w:kern w:val="2"/>
          <w:szCs w:val="22"/>
          <w:u w:val="single"/>
          <w:lang w:eastAsia="zh-CN"/>
        </w:rPr>
        <w:t>深圳市南山区妇幼保健院</w:t>
      </w:r>
    </w:p>
    <w:p>
      <w:pPr>
        <w:widowControl/>
        <w:jc w:val="left"/>
        <w:rPr>
          <w:rFonts w:ascii="宋体" w:eastAsia="宋体" w:hAnsi="宋体"/>
          <w:kern w:val="2"/>
          <w:szCs w:val="22"/>
          <w:lang w:eastAsia="zh-CN"/>
        </w:rPr>
      </w:pPr>
      <w:r>
        <w:rPr>
          <w:rFonts w:ascii="宋体" w:eastAsia="宋体" w:hAnsi="宋体" w:cstheme="minorBidi" w:hint="eastAsia"/>
          <w:kern w:val="2"/>
          <w:szCs w:val="22"/>
          <w:lang w:eastAsia="zh-CN"/>
        </w:rPr>
        <w:t>乙方：</w:t>
      </w:r>
      <w:r>
        <w:rPr>
          <w:rFonts w:ascii="宋体" w:eastAsia="宋体" w:hAnsi="宋体" w:cstheme="minorBidi" w:hint="eastAsia"/>
          <w:kern w:val="2"/>
          <w:szCs w:val="22"/>
          <w:u w:val="single"/>
          <w:lang w:eastAsia="zh-CN"/>
        </w:rPr>
        <w:t xml:space="preserve">                      </w:t>
      </w:r>
      <w:r>
        <w:rPr>
          <w:rFonts w:ascii="宋体" w:eastAsia="宋体" w:hAnsi="宋体" w:cstheme="minorBidi"/>
          <w:kern w:val="2"/>
          <w:szCs w:val="22"/>
          <w:lang w:eastAsia="zh-CN"/>
        </w:rPr>
        <w:t xml:space="preserve"> </w:t>
      </w:r>
    </w:p>
    <w:p>
      <w:pPr>
        <w:widowControl/>
        <w:jc w:val="left"/>
        <w:rPr>
          <w:rFonts w:ascii="宋体" w:eastAsia="宋体" w:hAnsi="宋体"/>
          <w:kern w:val="2"/>
          <w:szCs w:val="22"/>
          <w:lang w:eastAsia="zh-CN"/>
        </w:rPr>
      </w:pPr>
      <w:r>
        <w:rPr>
          <w:rFonts w:ascii="宋体" w:eastAsia="宋体" w:hAnsi="宋体" w:cs="宋体" w:hint="eastAsia"/>
          <w:sz w:val="28"/>
          <w:szCs w:val="28"/>
          <w:lang w:eastAsia="zh-CN"/>
        </w:rPr>
        <w:t xml:space="preserve">    </w:t>
      </w:r>
      <w:r>
        <w:rPr>
          <w:rFonts w:ascii="宋体" w:eastAsia="宋体" w:hAnsi="宋体" w:cstheme="minorBidi" w:hint="eastAsia"/>
          <w:kern w:val="2"/>
          <w:szCs w:val="22"/>
          <w:lang w:eastAsia="zh-CN"/>
        </w:rPr>
        <w:t>为加强行业作风建设，防止采购过程中不正之风和腐败现象发生，根据上级廉洁自律的有关规定，特订立本协议如下：</w:t>
      </w:r>
    </w:p>
    <w:p>
      <w:pPr>
        <w:widowControl/>
        <w:ind w:firstLine="480" w:firstLineChars="200"/>
        <w:jc w:val="left"/>
        <w:rPr>
          <w:rFonts w:ascii="宋体" w:eastAsia="宋体" w:hAnsi="宋体"/>
          <w:kern w:val="2"/>
          <w:szCs w:val="22"/>
          <w:lang w:eastAsia="zh-CN"/>
        </w:rPr>
      </w:pPr>
      <w:r>
        <w:rPr>
          <w:rFonts w:ascii="宋体" w:eastAsia="宋体" w:hAnsi="宋体" w:cstheme="minorBidi" w:hint="eastAsia"/>
          <w:kern w:val="2"/>
          <w:szCs w:val="22"/>
          <w:lang w:eastAsia="zh-CN"/>
        </w:rPr>
        <w:t>一、甲乙双方应当自觉遵守国家、省、市关于购销工作规范及有关廉政建设的各项规定。</w:t>
      </w:r>
    </w:p>
    <w:p>
      <w:pPr>
        <w:widowControl/>
        <w:ind w:firstLine="480" w:firstLineChars="200"/>
        <w:jc w:val="left"/>
        <w:rPr>
          <w:rFonts w:ascii="宋体" w:eastAsia="宋体" w:hAnsi="宋体"/>
          <w:kern w:val="2"/>
          <w:szCs w:val="22"/>
          <w:lang w:eastAsia="zh-CN"/>
        </w:rPr>
      </w:pPr>
      <w:r>
        <w:rPr>
          <w:rFonts w:ascii="宋体" w:eastAsia="宋体" w:hAnsi="宋体" w:cstheme="minorBidi" w:hint="eastAsia"/>
          <w:kern w:val="2"/>
          <w:szCs w:val="22"/>
          <w:lang w:eastAsia="zh-CN"/>
        </w:rPr>
        <w:t>二、甲方及其工作人员不得以任何形式向乙方索要和收受回扣等好处费。</w:t>
      </w:r>
    </w:p>
    <w:p>
      <w:pPr>
        <w:widowControl/>
        <w:ind w:firstLine="480" w:firstLineChars="200"/>
        <w:jc w:val="left"/>
        <w:rPr>
          <w:rFonts w:ascii="宋体" w:eastAsia="宋体" w:hAnsi="宋体"/>
          <w:kern w:val="2"/>
          <w:szCs w:val="22"/>
          <w:lang w:eastAsia="zh-CN"/>
        </w:rPr>
      </w:pPr>
      <w:r>
        <w:rPr>
          <w:rFonts w:ascii="宋体" w:eastAsia="宋体" w:hAnsi="宋体" w:cstheme="minorBidi" w:hint="eastAsia"/>
          <w:kern w:val="2"/>
          <w:szCs w:val="22"/>
          <w:lang w:eastAsia="zh-CN"/>
        </w:rPr>
        <w:t>三、甲方工作人员应当保持与乙方的正常业务交流，不得接受乙方的礼金、有价证券和重要物品，不得在乙方报销任何应由单位或个人支付的费用。</w:t>
      </w:r>
    </w:p>
    <w:p>
      <w:pPr>
        <w:widowControl/>
        <w:ind w:firstLine="480" w:firstLineChars="200"/>
        <w:jc w:val="left"/>
        <w:rPr>
          <w:rFonts w:ascii="宋体" w:eastAsia="宋体" w:hAnsi="宋体"/>
          <w:kern w:val="2"/>
          <w:szCs w:val="22"/>
          <w:lang w:eastAsia="zh-CN"/>
        </w:rPr>
      </w:pPr>
      <w:r>
        <w:rPr>
          <w:rFonts w:ascii="宋体" w:eastAsia="宋体" w:hAnsi="宋体" w:cstheme="minorBidi" w:hint="eastAsia"/>
          <w:kern w:val="2"/>
          <w:szCs w:val="22"/>
          <w:lang w:eastAsia="zh-CN"/>
        </w:rPr>
        <w:t>四、甲方工作人员不得参加可能对公正执行公务有影响的宴请和娱乐活动。</w:t>
      </w:r>
    </w:p>
    <w:p>
      <w:pPr>
        <w:widowControl/>
        <w:ind w:firstLine="480" w:firstLineChars="200"/>
        <w:jc w:val="left"/>
        <w:rPr>
          <w:rFonts w:ascii="宋体" w:eastAsia="宋体" w:hAnsi="宋体"/>
          <w:kern w:val="2"/>
          <w:szCs w:val="22"/>
          <w:lang w:eastAsia="zh-CN"/>
        </w:rPr>
      </w:pPr>
      <w:r>
        <w:rPr>
          <w:rFonts w:ascii="宋体" w:eastAsia="宋体" w:hAnsi="宋体" w:cstheme="minorBidi" w:hint="eastAsia"/>
          <w:kern w:val="2"/>
          <w:szCs w:val="22"/>
          <w:lang w:eastAsia="zh-CN"/>
        </w:rPr>
        <w:t>五、乙方及其工作人员不向甲方、甲方工作人员或其亲属提供礼品、礼金（礼券）、有价证券等任何形式的馈赠或无偿服务；不报销应由甲方、甲方工作人员或其亲属个人支付的费用；不为甲方、甲方工作人员或其亲属安排旅游或消费娱乐活动；不宴请甲方、甲方工作人员或其亲属；不为甲方工作人员或其亲属在住房、交通、婚丧嫁娶活动、工作安排或经商办企业等方面提供任何形式的方便；不为甲方工作人员或其亲属谋取利益。</w:t>
      </w:r>
    </w:p>
    <w:p>
      <w:pPr>
        <w:widowControl/>
        <w:ind w:firstLine="480" w:firstLineChars="200"/>
        <w:jc w:val="left"/>
        <w:rPr>
          <w:rFonts w:ascii="宋体" w:eastAsia="宋体" w:hAnsi="宋体"/>
          <w:kern w:val="2"/>
          <w:szCs w:val="22"/>
          <w:lang w:eastAsia="zh-CN"/>
        </w:rPr>
      </w:pPr>
      <w:r>
        <w:rPr>
          <w:rFonts w:ascii="宋体" w:eastAsia="宋体" w:hAnsi="宋体" w:cstheme="minorBidi" w:hint="eastAsia"/>
          <w:kern w:val="2"/>
          <w:szCs w:val="22"/>
          <w:lang w:eastAsia="zh-CN"/>
        </w:rPr>
        <w:t>六、乙方在合同签订及履行期间不私下约见甲方工作人员；不到甲方工作人员家中或其他非办公场所商谈业务。</w:t>
      </w:r>
    </w:p>
    <w:p>
      <w:pPr>
        <w:widowControl/>
        <w:ind w:firstLine="480" w:firstLineChars="200"/>
        <w:jc w:val="left"/>
        <w:rPr>
          <w:rFonts w:ascii="宋体" w:eastAsia="宋体" w:hAnsi="宋体"/>
          <w:kern w:val="2"/>
          <w:szCs w:val="22"/>
          <w:lang w:eastAsia="zh-CN"/>
        </w:rPr>
      </w:pPr>
      <w:r>
        <w:rPr>
          <w:rFonts w:ascii="宋体" w:eastAsia="宋体" w:hAnsi="宋体" w:cstheme="minorBidi" w:hint="eastAsia"/>
          <w:kern w:val="2"/>
          <w:szCs w:val="22"/>
          <w:lang w:eastAsia="zh-CN"/>
        </w:rPr>
        <w:t>七、乙方如发现甲方工作人员有违反上述协议者，应向甲方或甲方上级单位的纪检监察部门举报，甲方不得找任何借口对乙方进行报复。</w:t>
      </w:r>
    </w:p>
    <w:p>
      <w:pPr>
        <w:widowControl/>
        <w:ind w:firstLine="480" w:firstLineChars="200"/>
        <w:jc w:val="left"/>
        <w:rPr>
          <w:rFonts w:ascii="宋体" w:eastAsia="宋体" w:hAnsi="宋体"/>
          <w:kern w:val="2"/>
          <w:szCs w:val="22"/>
          <w:lang w:eastAsia="zh-CN"/>
        </w:rPr>
      </w:pPr>
      <w:r>
        <w:rPr>
          <w:rFonts w:ascii="宋体" w:eastAsia="宋体" w:hAnsi="宋体" w:cstheme="minorBidi" w:hint="eastAsia"/>
          <w:kern w:val="2"/>
          <w:szCs w:val="22"/>
          <w:lang w:eastAsia="zh-CN"/>
        </w:rPr>
        <w:t>八、甲方发现乙方有违反本协议或者采取不正当的手段行贿甲方工作人员，甲方根据具体情节和造成的后果追究乙方的违约责任。乙方及其工作人员违反本协议被甲方纪检监察部门查处属实的，甲方有权终止业务合同，乙方不得再参加甲方的招标项目；涉嫌犯罪的，依法移送司法机关追究刑事责任。给甲方造成经济损失的，乙方应予以赔偿。</w:t>
      </w:r>
    </w:p>
    <w:p>
      <w:pPr>
        <w:widowControl/>
        <w:ind w:firstLine="480" w:firstLineChars="200"/>
        <w:jc w:val="left"/>
        <w:rPr>
          <w:rFonts w:ascii="宋体" w:eastAsia="宋体" w:hAnsi="宋体"/>
          <w:kern w:val="2"/>
          <w:szCs w:val="22"/>
          <w:lang w:eastAsia="zh-CN"/>
        </w:rPr>
      </w:pPr>
      <w:r>
        <w:rPr>
          <w:rFonts w:ascii="宋体" w:eastAsia="宋体" w:hAnsi="宋体" w:cstheme="minorBidi" w:hint="eastAsia"/>
          <w:kern w:val="2"/>
          <w:szCs w:val="22"/>
          <w:lang w:eastAsia="zh-CN"/>
        </w:rPr>
        <w:t>九、甲方纪检监察部门有权对合同签订及履行全过程进行监督，有权制止、纠正违反本协议的行为。</w:t>
      </w:r>
    </w:p>
    <w:p>
      <w:pPr>
        <w:widowControl/>
        <w:ind w:firstLine="480" w:firstLineChars="200"/>
        <w:jc w:val="left"/>
        <w:rPr>
          <w:rFonts w:ascii="宋体" w:eastAsia="宋体" w:hAnsi="宋体"/>
          <w:kern w:val="2"/>
          <w:szCs w:val="22"/>
          <w:lang w:eastAsia="zh-CN"/>
        </w:rPr>
      </w:pPr>
      <w:r>
        <w:rPr>
          <w:rFonts w:ascii="宋体" w:eastAsia="宋体" w:hAnsi="宋体" w:cstheme="minorBidi" w:hint="eastAsia"/>
          <w:kern w:val="2"/>
          <w:szCs w:val="22"/>
          <w:lang w:eastAsia="zh-CN"/>
        </w:rPr>
        <w:t>十、本协议自双方签字之日起生效，在购销业务合同期满后自动终止。</w:t>
      </w:r>
    </w:p>
    <w:p>
      <w:pPr>
        <w:widowControl/>
        <w:ind w:firstLine="480" w:firstLineChars="200"/>
        <w:jc w:val="left"/>
        <w:rPr>
          <w:rFonts w:ascii="宋体" w:eastAsia="宋体" w:hAnsi="宋体"/>
          <w:kern w:val="2"/>
          <w:szCs w:val="22"/>
          <w:lang w:eastAsia="zh-CN"/>
        </w:rPr>
      </w:pPr>
      <w:r>
        <w:rPr>
          <w:rFonts w:ascii="宋体" w:eastAsia="宋体" w:hAnsi="宋体" w:cstheme="minorBidi" w:hint="eastAsia"/>
          <w:kern w:val="2"/>
          <w:szCs w:val="22"/>
          <w:lang w:eastAsia="zh-CN"/>
        </w:rPr>
        <w:t>十一、本协议一式两份, 甲方壹份，乙方壹份，具有同等法律效力。</w:t>
      </w:r>
    </w:p>
    <w:p>
      <w:pPr>
        <w:widowControl/>
        <w:jc w:val="left"/>
        <w:rPr>
          <w:rFonts w:ascii="宋体" w:eastAsia="宋体" w:hAnsi="宋体" w:cs="宋体"/>
          <w:sz w:val="28"/>
          <w:szCs w:val="28"/>
          <w:lang w:eastAsia="zh-CN"/>
        </w:rPr>
      </w:pPr>
    </w:p>
    <w:p>
      <w:pPr>
        <w:widowControl/>
        <w:jc w:val="left"/>
        <w:rPr>
          <w:rFonts w:ascii="宋体" w:eastAsia="宋体" w:hAnsi="宋体"/>
          <w:kern w:val="2"/>
          <w:szCs w:val="22"/>
          <w:lang w:eastAsia="zh-CN"/>
        </w:rPr>
      </w:pPr>
      <w:r>
        <w:rPr>
          <w:rFonts w:ascii="宋体" w:eastAsia="宋体" w:hAnsi="宋体" w:cstheme="minorBidi" w:hint="eastAsia"/>
          <w:kern w:val="2"/>
          <w:szCs w:val="22"/>
          <w:lang w:eastAsia="zh-CN"/>
        </w:rPr>
        <w:t>甲方：深圳市南山区妇幼保健院</w:t>
      </w:r>
      <w:r>
        <w:rPr>
          <w:rFonts w:ascii="宋体" w:eastAsia="宋体" w:hAnsi="宋体" w:cstheme="minorBidi"/>
          <w:kern w:val="2"/>
          <w:szCs w:val="22"/>
          <w:lang w:eastAsia="zh-CN"/>
        </w:rPr>
        <w:t>  </w:t>
      </w:r>
      <w:r>
        <w:rPr>
          <w:rFonts w:ascii="宋体" w:eastAsia="宋体" w:hAnsi="宋体" w:cstheme="minorBidi" w:hint="eastAsia"/>
          <w:kern w:val="2"/>
          <w:szCs w:val="22"/>
          <w:lang w:eastAsia="zh-CN"/>
        </w:rPr>
        <w:t xml:space="preserve">   乙方：</w:t>
      </w:r>
      <w:r>
        <w:rPr>
          <w:rFonts w:ascii="宋体" w:eastAsia="宋体" w:hAnsi="宋体" w:cstheme="minorBidi"/>
          <w:kern w:val="2"/>
          <w:szCs w:val="22"/>
          <w:lang w:eastAsia="zh-CN"/>
        </w:rPr>
        <w:t xml:space="preserve"> </w:t>
      </w:r>
    </w:p>
    <w:p>
      <w:pPr>
        <w:widowControl/>
        <w:jc w:val="left"/>
        <w:rPr>
          <w:rFonts w:ascii="宋体" w:eastAsia="宋体" w:hAnsi="宋体"/>
          <w:kern w:val="2"/>
          <w:szCs w:val="22"/>
          <w:lang w:eastAsia="zh-CN"/>
        </w:rPr>
      </w:pPr>
    </w:p>
    <w:p>
      <w:pPr>
        <w:widowControl/>
        <w:jc w:val="left"/>
        <w:rPr>
          <w:rFonts w:ascii="宋体" w:eastAsia="宋体" w:hAnsi="宋体"/>
          <w:kern w:val="2"/>
          <w:szCs w:val="22"/>
          <w:lang w:eastAsia="zh-CN"/>
        </w:rPr>
      </w:pPr>
      <w:r>
        <w:rPr>
          <w:rFonts w:ascii="宋体" w:eastAsia="宋体" w:hAnsi="宋体" w:cstheme="minorBidi" w:hint="eastAsia"/>
          <w:kern w:val="2"/>
          <w:szCs w:val="22"/>
          <w:lang w:eastAsia="zh-CN"/>
        </w:rPr>
        <w:t>签约代表：</w:t>
      </w:r>
      <w:r>
        <w:rPr>
          <w:rFonts w:ascii="宋体" w:eastAsia="宋体" w:hAnsi="宋体" w:cstheme="minorBidi"/>
          <w:kern w:val="2"/>
          <w:szCs w:val="22"/>
          <w:lang w:eastAsia="zh-CN"/>
        </w:rPr>
        <w:t> </w:t>
      </w:r>
      <w:r>
        <w:rPr>
          <w:rFonts w:ascii="宋体" w:eastAsia="宋体" w:hAnsi="宋体" w:cstheme="minorBidi" w:hint="eastAsia"/>
          <w:kern w:val="2"/>
          <w:szCs w:val="22"/>
          <w:lang w:eastAsia="zh-CN"/>
        </w:rPr>
        <w:t xml:space="preserve">                       签约代表：</w:t>
      </w:r>
    </w:p>
    <w:p>
      <w:pPr>
        <w:widowControl/>
        <w:jc w:val="left"/>
        <w:rPr>
          <w:rFonts w:ascii="宋体" w:eastAsia="宋体" w:hAnsi="宋体"/>
          <w:kern w:val="2"/>
          <w:szCs w:val="22"/>
          <w:lang w:eastAsia="zh-CN"/>
        </w:rPr>
      </w:pPr>
    </w:p>
    <w:p>
      <w:pPr>
        <w:widowControl/>
        <w:jc w:val="left"/>
        <w:rPr>
          <w:rFonts w:ascii="宋体" w:eastAsia="宋体" w:hAnsi="宋体"/>
          <w:kern w:val="2"/>
          <w:szCs w:val="22"/>
          <w:lang w:eastAsia="zh-CN"/>
        </w:rPr>
      </w:pPr>
      <w:r>
        <w:rPr>
          <w:rFonts w:ascii="宋体" w:eastAsia="宋体" w:hAnsi="宋体" w:cstheme="minorBidi" w:hint="eastAsia"/>
          <w:kern w:val="2"/>
          <w:szCs w:val="22"/>
          <w:lang w:eastAsia="zh-CN"/>
        </w:rPr>
        <w:t>签约日期：</w:t>
      </w:r>
      <w:r>
        <w:rPr>
          <w:rFonts w:ascii="宋体" w:eastAsia="宋体" w:hAnsi="宋体" w:cstheme="minorBidi"/>
          <w:kern w:val="2"/>
          <w:szCs w:val="22"/>
          <w:lang w:eastAsia="zh-CN"/>
        </w:rPr>
        <w:t>   </w:t>
      </w:r>
      <w:r>
        <w:rPr>
          <w:rFonts w:ascii="宋体" w:eastAsia="宋体" w:hAnsi="宋体" w:cstheme="minorBidi" w:hint="eastAsia"/>
          <w:kern w:val="2"/>
          <w:szCs w:val="22"/>
          <w:lang w:eastAsia="zh-CN"/>
        </w:rPr>
        <w:t>年</w:t>
      </w:r>
      <w:r>
        <w:rPr>
          <w:rFonts w:ascii="宋体" w:eastAsia="宋体" w:hAnsi="宋体" w:cstheme="minorBidi"/>
          <w:kern w:val="2"/>
          <w:szCs w:val="22"/>
          <w:lang w:eastAsia="zh-CN"/>
        </w:rPr>
        <w:t> </w:t>
      </w:r>
      <w:r>
        <w:rPr>
          <w:rFonts w:ascii="宋体" w:eastAsia="宋体" w:hAnsi="宋体" w:cstheme="minorBidi" w:hint="eastAsia"/>
          <w:kern w:val="2"/>
          <w:szCs w:val="22"/>
          <w:lang w:eastAsia="zh-CN"/>
        </w:rPr>
        <w:t xml:space="preserve">  月</w:t>
      </w:r>
      <w:r>
        <w:rPr>
          <w:rFonts w:ascii="宋体" w:eastAsia="宋体" w:hAnsi="宋体" w:cstheme="minorBidi"/>
          <w:kern w:val="2"/>
          <w:szCs w:val="22"/>
          <w:lang w:eastAsia="zh-CN"/>
        </w:rPr>
        <w:t>  </w:t>
      </w:r>
      <w:r>
        <w:rPr>
          <w:rFonts w:ascii="宋体" w:eastAsia="宋体" w:hAnsi="宋体" w:cstheme="minorBidi" w:hint="eastAsia"/>
          <w:kern w:val="2"/>
          <w:szCs w:val="22"/>
          <w:lang w:eastAsia="zh-CN"/>
        </w:rPr>
        <w:t xml:space="preserve"> 日</w:t>
      </w:r>
      <w:r>
        <w:rPr>
          <w:rFonts w:ascii="宋体" w:eastAsia="宋体" w:hAnsi="宋体" w:cstheme="minorBidi"/>
          <w:kern w:val="2"/>
          <w:szCs w:val="22"/>
          <w:lang w:eastAsia="zh-CN"/>
        </w:rPr>
        <w:t>  </w:t>
      </w:r>
      <w:r>
        <w:rPr>
          <w:rFonts w:ascii="宋体" w:eastAsia="宋体" w:hAnsi="宋体" w:cstheme="minorBidi" w:hint="eastAsia"/>
          <w:kern w:val="2"/>
          <w:szCs w:val="22"/>
          <w:lang w:eastAsia="zh-CN"/>
        </w:rPr>
        <w:t>签约日期：</w:t>
      </w:r>
      <w:r>
        <w:rPr>
          <w:rFonts w:ascii="宋体" w:eastAsia="宋体" w:hAnsi="宋体" w:cstheme="minorBidi"/>
          <w:kern w:val="2"/>
          <w:szCs w:val="22"/>
          <w:lang w:eastAsia="zh-CN"/>
        </w:rPr>
        <w:t>    </w:t>
      </w:r>
      <w:r>
        <w:rPr>
          <w:rFonts w:ascii="宋体" w:eastAsia="宋体" w:hAnsi="宋体" w:cstheme="minorBidi" w:hint="eastAsia"/>
          <w:kern w:val="2"/>
          <w:szCs w:val="22"/>
          <w:lang w:eastAsia="zh-CN"/>
        </w:rPr>
        <w:t xml:space="preserve">年  </w:t>
      </w:r>
      <w:r>
        <w:rPr>
          <w:rFonts w:ascii="宋体" w:eastAsia="宋体" w:hAnsi="宋体" w:cstheme="minorBidi"/>
          <w:kern w:val="2"/>
          <w:szCs w:val="22"/>
          <w:lang w:eastAsia="zh-CN"/>
        </w:rPr>
        <w:t> </w:t>
      </w:r>
      <w:r>
        <w:rPr>
          <w:rFonts w:ascii="宋体" w:eastAsia="宋体" w:hAnsi="宋体" w:cstheme="minorBidi" w:hint="eastAsia"/>
          <w:kern w:val="2"/>
          <w:szCs w:val="22"/>
          <w:lang w:eastAsia="zh-CN"/>
        </w:rPr>
        <w:t xml:space="preserve">月  </w:t>
      </w:r>
      <w:r>
        <w:rPr>
          <w:rFonts w:ascii="宋体" w:eastAsia="宋体" w:hAnsi="宋体" w:cstheme="minorBidi"/>
          <w:kern w:val="2"/>
          <w:szCs w:val="22"/>
          <w:lang w:eastAsia="zh-CN"/>
        </w:rPr>
        <w:t> </w:t>
      </w:r>
      <w:r>
        <w:rPr>
          <w:rFonts w:ascii="宋体" w:eastAsia="宋体" w:hAnsi="宋体" w:cstheme="minorBidi" w:hint="eastAsia"/>
          <w:kern w:val="2"/>
          <w:szCs w:val="22"/>
          <w:lang w:eastAsia="zh-CN"/>
        </w:rPr>
        <w:t>日</w:t>
      </w:r>
    </w:p>
    <w:p>
      <w:pPr>
        <w:widowControl w:val="0"/>
        <w:jc w:val="both"/>
        <w:rPr>
          <w:rFonts w:ascii="宋体" w:eastAsia="宋体" w:hAnsi="宋体"/>
          <w:kern w:val="2"/>
          <w:sz w:val="28"/>
          <w:szCs w:val="28"/>
          <w:lang w:eastAsia="zh-CN"/>
        </w:rPr>
      </w:pPr>
    </w:p>
    <w:p>
      <w:pPr>
        <w:widowControl w:val="0"/>
        <w:spacing w:line="360" w:lineRule="auto"/>
        <w:ind w:firstLine="880" w:firstLineChars="200"/>
        <w:jc w:val="center"/>
        <w:rPr>
          <w:rFonts w:ascii="宋体" w:eastAsia="宋体" w:hAnsi="宋体" w:cs="宋体"/>
          <w:kern w:val="2"/>
          <w:sz w:val="44"/>
          <w:szCs w:val="44"/>
          <w:lang w:eastAsia="zh-CN"/>
        </w:rPr>
      </w:pPr>
    </w:p>
    <w:p>
      <w:pPr>
        <w:widowControl w:val="0"/>
        <w:spacing w:line="360" w:lineRule="auto"/>
        <w:ind w:firstLine="880" w:firstLineChars="200"/>
        <w:jc w:val="center"/>
        <w:rPr>
          <w:rFonts w:ascii="宋体" w:eastAsia="宋体" w:hAnsi="宋体" w:cs="宋体"/>
          <w:kern w:val="2"/>
          <w:sz w:val="44"/>
          <w:szCs w:val="44"/>
          <w:lang w:eastAsia="zh-CN"/>
        </w:rPr>
      </w:pPr>
      <w:r>
        <w:rPr>
          <w:rFonts w:ascii="宋体" w:eastAsia="宋体" w:hAnsi="宋体" w:cs="宋体" w:hint="eastAsia"/>
          <w:kern w:val="2"/>
          <w:sz w:val="44"/>
          <w:szCs w:val="44"/>
          <w:lang w:eastAsia="zh-CN"/>
        </w:rPr>
        <w:t>工程施工安全责任书</w:t>
      </w:r>
    </w:p>
    <w:p>
      <w:pPr>
        <w:widowControl/>
        <w:spacing w:line="400" w:lineRule="exact"/>
        <w:ind w:firstLine="480" w:firstLineChars="200"/>
        <w:jc w:val="left"/>
        <w:rPr>
          <w:rFonts w:ascii="宋体" w:eastAsia="宋体" w:hAnsi="宋体"/>
          <w:kern w:val="2"/>
          <w:szCs w:val="22"/>
          <w:lang w:eastAsia="zh-CN"/>
        </w:rPr>
      </w:pPr>
      <w:r>
        <w:rPr>
          <w:rFonts w:ascii="宋体" w:eastAsia="宋体" w:hAnsi="宋体" w:cstheme="minorBidi" w:hint="eastAsia"/>
          <w:kern w:val="2"/>
          <w:szCs w:val="22"/>
          <w:lang w:eastAsia="zh-CN"/>
        </w:rPr>
        <w:t xml:space="preserve"> 为保证工程施工安全，明确施工安全责任，特要求所有在本院范围内施工公司签订本工程施工安全责任书，施工公司必须严格按照施工安全相关规定做好施工安全措施，严格安全管理，确保施工安全，监理单位必须做好施工安全监督。</w:t>
      </w:r>
    </w:p>
    <w:p>
      <w:pPr>
        <w:widowControl/>
        <w:spacing w:line="400" w:lineRule="exact"/>
        <w:ind w:firstLine="480" w:firstLineChars="200"/>
        <w:jc w:val="left"/>
        <w:rPr>
          <w:rFonts w:ascii="宋体" w:eastAsia="宋体" w:hAnsi="宋体"/>
          <w:kern w:val="2"/>
          <w:szCs w:val="22"/>
          <w:lang w:eastAsia="zh-CN"/>
        </w:rPr>
      </w:pPr>
      <w:r>
        <w:rPr>
          <w:rFonts w:ascii="宋体" w:eastAsia="宋体" w:hAnsi="宋体" w:cstheme="minorBidi" w:hint="eastAsia"/>
          <w:kern w:val="2"/>
          <w:szCs w:val="22"/>
          <w:lang w:eastAsia="zh-CN"/>
        </w:rPr>
        <w:t>1) 施工人员在施工时必须严格遵守有关安全施工的规定，严禁违章操作。</w:t>
      </w:r>
    </w:p>
    <w:p>
      <w:pPr>
        <w:widowControl/>
        <w:spacing w:line="400" w:lineRule="exact"/>
        <w:ind w:firstLine="480" w:firstLineChars="200"/>
        <w:jc w:val="left"/>
        <w:rPr>
          <w:rFonts w:ascii="宋体" w:eastAsia="宋体" w:hAnsi="宋体"/>
          <w:kern w:val="2"/>
          <w:szCs w:val="22"/>
          <w:lang w:eastAsia="zh-CN"/>
        </w:rPr>
      </w:pPr>
      <w:r>
        <w:rPr>
          <w:rFonts w:ascii="宋体" w:eastAsia="宋体" w:hAnsi="宋体" w:cstheme="minorBidi" w:hint="eastAsia"/>
          <w:kern w:val="2"/>
          <w:szCs w:val="22"/>
          <w:lang w:eastAsia="zh-CN"/>
        </w:rPr>
        <w:t>2) 特种作业必须执行国家《特种作业人员安全技术培训考核管理规定》，严格做到持证上岗。</w:t>
      </w:r>
    </w:p>
    <w:p>
      <w:pPr>
        <w:widowControl/>
        <w:spacing w:line="400" w:lineRule="exact"/>
        <w:ind w:firstLine="480" w:firstLineChars="200"/>
        <w:jc w:val="left"/>
        <w:rPr>
          <w:rFonts w:ascii="宋体" w:eastAsia="宋体" w:hAnsi="宋体"/>
          <w:kern w:val="2"/>
          <w:szCs w:val="22"/>
          <w:lang w:eastAsia="zh-CN"/>
        </w:rPr>
      </w:pPr>
      <w:r>
        <w:rPr>
          <w:rFonts w:ascii="宋体" w:eastAsia="宋体" w:hAnsi="宋体" w:cstheme="minorBidi" w:hint="eastAsia"/>
          <w:kern w:val="2"/>
          <w:szCs w:val="22"/>
          <w:lang w:eastAsia="zh-CN"/>
        </w:rPr>
        <w:t>3) 高空作业时下方地面必须做好围挡，有安全员值守。操作人员正确使用个人劳动防护用品；高空作业时，不准往上或向下乱抛材料和工具等物件；雨天及五级以上大风禁止室外高空作业，如搭、拆脚手架，上树作业等。</w:t>
      </w:r>
    </w:p>
    <w:p>
      <w:pPr>
        <w:widowControl/>
        <w:spacing w:line="400" w:lineRule="exact"/>
        <w:ind w:firstLine="480" w:firstLineChars="200"/>
        <w:jc w:val="left"/>
        <w:rPr>
          <w:rFonts w:ascii="宋体" w:eastAsia="宋体" w:hAnsi="宋体"/>
          <w:kern w:val="2"/>
          <w:szCs w:val="22"/>
          <w:lang w:eastAsia="zh-CN"/>
        </w:rPr>
      </w:pPr>
      <w:r>
        <w:rPr>
          <w:rFonts w:ascii="宋体" w:eastAsia="宋体" w:hAnsi="宋体" w:cstheme="minorBidi" w:hint="eastAsia"/>
          <w:kern w:val="2"/>
          <w:szCs w:val="22"/>
          <w:lang w:eastAsia="zh-CN"/>
        </w:rPr>
        <w:t xml:space="preserve">4)起重、吊装作业。起重吊装作业人员必须严格遵守“十不吊”规定，严禁违章、无证操作。 </w:t>
      </w:r>
    </w:p>
    <w:p>
      <w:pPr>
        <w:widowControl/>
        <w:spacing w:line="400" w:lineRule="exact"/>
        <w:ind w:firstLine="480" w:firstLineChars="200"/>
        <w:jc w:val="left"/>
        <w:rPr>
          <w:rFonts w:ascii="宋体" w:eastAsia="宋体" w:hAnsi="宋体"/>
          <w:kern w:val="2"/>
          <w:szCs w:val="22"/>
          <w:lang w:eastAsia="zh-CN"/>
        </w:rPr>
      </w:pPr>
      <w:r>
        <w:rPr>
          <w:rFonts w:ascii="宋体" w:eastAsia="宋体" w:hAnsi="宋体" w:cstheme="minorBidi" w:hint="eastAsia"/>
          <w:kern w:val="2"/>
          <w:szCs w:val="22"/>
          <w:lang w:eastAsia="zh-CN"/>
        </w:rPr>
        <w:t xml:space="preserve">5)用电、用火安全。施工现场严禁使用裸线送电；施工时要与输电线路、电气设备保持安全距离；严禁不懂电气的人，擅自操作使用和修理电线、电器；气割、电焊必须严格遵守“十不烧”规定；电焊工、气焊工从事电气设备安装和电、气焊切割作业，要有操作证和用火证；氧气瓶、乙炔瓶工作间距不小于5m，两瓶与明火作业距离不小于10m；建筑工程内禁止氧气瓶、乙炔瓶存放，禁止使用液化石油气“钢瓶”；严禁擅自在工棚、临建内使用电炉、酒精炉等明火源以及汽油、柴油等发电设备，严防火灾事故发生；施工现场严禁吸烟和乱堆乱放易燃物品；所有现场用电配电箱各路系统均使用漏电保护器，并各路需进行用电验算使用合格产品。 </w:t>
      </w:r>
    </w:p>
    <w:p>
      <w:pPr>
        <w:widowControl/>
        <w:spacing w:line="400" w:lineRule="exact"/>
        <w:ind w:firstLine="480" w:firstLineChars="200"/>
        <w:jc w:val="left"/>
        <w:rPr>
          <w:rFonts w:ascii="宋体" w:eastAsia="宋体" w:hAnsi="宋体"/>
          <w:kern w:val="2"/>
          <w:szCs w:val="22"/>
          <w:lang w:eastAsia="zh-CN"/>
        </w:rPr>
      </w:pPr>
      <w:r>
        <w:rPr>
          <w:rFonts w:ascii="宋体" w:eastAsia="宋体" w:hAnsi="宋体" w:cstheme="minorBidi" w:hint="eastAsia"/>
          <w:kern w:val="2"/>
          <w:szCs w:val="22"/>
          <w:lang w:eastAsia="zh-CN"/>
        </w:rPr>
        <w:t>6</w:t>
      </w:r>
      <w:r>
        <w:rPr>
          <w:rFonts w:ascii="宋体" w:eastAsia="宋体" w:hAnsi="宋体" w:cstheme="minorBidi"/>
          <w:kern w:val="2"/>
          <w:szCs w:val="22"/>
          <w:lang w:eastAsia="zh-CN"/>
        </w:rPr>
        <w:t>)</w:t>
      </w:r>
      <w:r>
        <w:rPr>
          <w:rFonts w:ascii="宋体" w:eastAsia="宋体" w:hAnsi="宋体" w:cstheme="minorBidi" w:hint="eastAsia"/>
          <w:kern w:val="2"/>
          <w:szCs w:val="22"/>
          <w:lang w:eastAsia="zh-CN"/>
        </w:rPr>
        <w:t xml:space="preserve"> 本院范围内严禁吸烟。严格做好控制扬尘、噪音措施。</w:t>
      </w:r>
    </w:p>
    <w:p>
      <w:pPr>
        <w:widowControl/>
        <w:spacing w:line="400" w:lineRule="exact"/>
        <w:ind w:firstLine="480" w:firstLineChars="200"/>
        <w:jc w:val="left"/>
        <w:rPr>
          <w:rFonts w:ascii="宋体" w:eastAsia="宋体" w:hAnsi="宋体"/>
          <w:kern w:val="2"/>
          <w:szCs w:val="22"/>
          <w:lang w:eastAsia="zh-CN"/>
        </w:rPr>
      </w:pPr>
      <w:r>
        <w:rPr>
          <w:rFonts w:ascii="宋体" w:eastAsia="宋体" w:hAnsi="宋体" w:cstheme="minorBidi" w:hint="eastAsia"/>
          <w:kern w:val="2"/>
          <w:szCs w:val="22"/>
          <w:lang w:eastAsia="zh-CN"/>
        </w:rPr>
        <w:t>7) 机械、设备操作安全。操作人员必须按规定做到“定机定人”和有证操作；严禁不懂机械设备的人，擅自操作使用和修理机械设备；严禁违规操作。</w:t>
      </w:r>
    </w:p>
    <w:p>
      <w:pPr>
        <w:widowControl/>
        <w:spacing w:line="400" w:lineRule="exact"/>
        <w:ind w:firstLine="480" w:firstLineChars="200"/>
        <w:jc w:val="left"/>
        <w:rPr>
          <w:rFonts w:ascii="宋体" w:eastAsia="宋体" w:hAnsi="宋体"/>
          <w:kern w:val="2"/>
          <w:szCs w:val="22"/>
          <w:lang w:eastAsia="zh-CN"/>
        </w:rPr>
      </w:pPr>
      <w:r>
        <w:rPr>
          <w:rFonts w:ascii="宋体" w:eastAsia="宋体" w:hAnsi="宋体" w:cstheme="minorBidi" w:hint="eastAsia"/>
          <w:kern w:val="2"/>
          <w:szCs w:val="22"/>
          <w:lang w:eastAsia="zh-CN"/>
        </w:rPr>
        <w:t xml:space="preserve">8)施工人员进入工地必须戴安全帽及出入证或袖章，并遵守门岗的有关规定。 院内要遵守交通法规，注意避让院内人员，确保安全。 </w:t>
      </w:r>
    </w:p>
    <w:p>
      <w:pPr>
        <w:widowControl/>
        <w:spacing w:line="400" w:lineRule="exact"/>
        <w:ind w:firstLine="480" w:firstLineChars="200"/>
        <w:jc w:val="left"/>
        <w:rPr>
          <w:rFonts w:ascii="宋体" w:eastAsia="宋体" w:hAnsi="宋体"/>
          <w:kern w:val="2"/>
          <w:szCs w:val="22"/>
          <w:lang w:eastAsia="zh-CN"/>
        </w:rPr>
      </w:pPr>
      <w:r>
        <w:rPr>
          <w:rFonts w:ascii="宋体" w:eastAsia="宋体" w:hAnsi="宋体" w:cstheme="minorBidi" w:hint="eastAsia"/>
          <w:kern w:val="2"/>
          <w:szCs w:val="22"/>
          <w:lang w:eastAsia="zh-CN"/>
        </w:rPr>
        <w:t>9) 施工人员应遵守施工场所相关规定，做到文明施工，不得和就医群众医护人员发生冲突。</w:t>
      </w:r>
    </w:p>
    <w:p>
      <w:pPr>
        <w:widowControl/>
        <w:spacing w:line="400" w:lineRule="exact"/>
        <w:jc w:val="left"/>
        <w:rPr>
          <w:rFonts w:ascii="宋体" w:eastAsia="宋体" w:hAnsi="宋体"/>
          <w:kern w:val="2"/>
          <w:szCs w:val="22"/>
          <w:lang w:eastAsia="zh-CN"/>
        </w:rPr>
      </w:pPr>
      <w:r>
        <w:rPr>
          <w:rFonts w:ascii="宋体" w:eastAsia="宋体" w:hAnsi="宋体" w:cstheme="minorBidi" w:hint="eastAsia"/>
          <w:kern w:val="2"/>
          <w:szCs w:val="22"/>
          <w:lang w:eastAsia="zh-CN"/>
        </w:rPr>
        <w:t>承诺单位：</w:t>
      </w:r>
      <w:r>
        <w:rPr>
          <w:rFonts w:ascii="宋体" w:eastAsia="宋体" w:hAnsi="宋体" w:cstheme="minorBidi"/>
          <w:kern w:val="2"/>
          <w:szCs w:val="22"/>
          <w:lang w:eastAsia="zh-CN"/>
        </w:rPr>
        <w:t xml:space="preserve"> </w:t>
      </w:r>
    </w:p>
    <w:p>
      <w:pPr>
        <w:widowControl/>
        <w:spacing w:line="400" w:lineRule="exact"/>
        <w:jc w:val="left"/>
        <w:rPr>
          <w:rFonts w:ascii="宋体" w:eastAsia="宋体" w:hAnsi="宋体"/>
          <w:kern w:val="2"/>
          <w:szCs w:val="22"/>
          <w:lang w:eastAsia="zh-CN"/>
        </w:rPr>
      </w:pPr>
    </w:p>
    <w:p>
      <w:pPr>
        <w:widowControl/>
        <w:spacing w:line="400" w:lineRule="exact"/>
        <w:jc w:val="left"/>
        <w:rPr>
          <w:rFonts w:ascii="宋体" w:eastAsia="宋体" w:hAnsi="宋体"/>
          <w:kern w:val="2"/>
          <w:szCs w:val="22"/>
          <w:lang w:eastAsia="zh-CN"/>
        </w:rPr>
      </w:pPr>
      <w:r>
        <w:rPr>
          <w:rFonts w:ascii="宋体" w:eastAsia="宋体" w:hAnsi="宋体" w:cstheme="minorBidi" w:hint="eastAsia"/>
          <w:kern w:val="2"/>
          <w:szCs w:val="22"/>
          <w:lang w:eastAsia="zh-CN"/>
        </w:rPr>
        <w:t>法定代理人：</w:t>
      </w:r>
    </w:p>
    <w:p>
      <w:pPr>
        <w:widowControl/>
        <w:spacing w:line="400" w:lineRule="exact"/>
        <w:jc w:val="left"/>
        <w:rPr>
          <w:rFonts w:ascii="宋体" w:eastAsia="宋体" w:hAnsi="宋体"/>
          <w:kern w:val="2"/>
          <w:szCs w:val="22"/>
          <w:lang w:eastAsia="zh-CN"/>
        </w:rPr>
      </w:pPr>
    </w:p>
    <w:p>
      <w:pPr>
        <w:widowControl/>
        <w:spacing w:line="400" w:lineRule="exact"/>
        <w:jc w:val="left"/>
        <w:rPr>
          <w:rFonts w:ascii="仿宋_GB2312" w:eastAsia="仿宋_GB2312" w:hAnsi="仿宋"/>
          <w:kern w:val="2"/>
          <w:sz w:val="28"/>
          <w:szCs w:val="28"/>
          <w:lang w:eastAsia="zh-CN"/>
        </w:rPr>
      </w:pPr>
      <w:r>
        <w:rPr>
          <w:rFonts w:ascii="宋体" w:eastAsia="宋体" w:hAnsi="宋体" w:cstheme="minorBidi" w:hint="eastAsia"/>
          <w:kern w:val="2"/>
          <w:szCs w:val="22"/>
          <w:lang w:eastAsia="zh-CN"/>
        </w:rPr>
        <w:t>日期：</w:t>
      </w:r>
      <w:r>
        <w:rPr>
          <w:rFonts w:ascii="宋体" w:eastAsia="宋体" w:hAnsi="宋体" w:cstheme="minorBidi"/>
          <w:kern w:val="2"/>
          <w:szCs w:val="22"/>
          <w:lang w:eastAsia="zh-CN"/>
        </w:rPr>
        <w:t>   </w:t>
      </w:r>
      <w:r>
        <w:rPr>
          <w:rFonts w:ascii="宋体" w:eastAsia="宋体" w:hAnsi="宋体" w:cstheme="minorBidi" w:hint="eastAsia"/>
          <w:kern w:val="2"/>
          <w:szCs w:val="22"/>
          <w:lang w:eastAsia="zh-CN"/>
        </w:rPr>
        <w:t>年</w:t>
      </w:r>
      <w:r>
        <w:rPr>
          <w:rFonts w:ascii="宋体" w:eastAsia="宋体" w:hAnsi="宋体" w:cstheme="minorBidi"/>
          <w:kern w:val="2"/>
          <w:szCs w:val="22"/>
          <w:lang w:eastAsia="zh-CN"/>
        </w:rPr>
        <w:t> </w:t>
      </w:r>
      <w:r>
        <w:rPr>
          <w:rFonts w:ascii="宋体" w:eastAsia="宋体" w:hAnsi="宋体" w:cstheme="minorBidi" w:hint="eastAsia"/>
          <w:kern w:val="2"/>
          <w:szCs w:val="22"/>
          <w:lang w:eastAsia="zh-CN"/>
        </w:rPr>
        <w:t xml:space="preserve">  月</w:t>
      </w:r>
      <w:r>
        <w:rPr>
          <w:rFonts w:ascii="宋体" w:eastAsia="宋体" w:hAnsi="宋体" w:cstheme="minorBidi"/>
          <w:kern w:val="2"/>
          <w:szCs w:val="22"/>
          <w:lang w:eastAsia="zh-CN"/>
        </w:rPr>
        <w:t>  </w:t>
      </w:r>
      <w:r>
        <w:rPr>
          <w:rFonts w:ascii="宋体" w:eastAsia="宋体" w:hAnsi="宋体" w:cstheme="minorBidi" w:hint="eastAsia"/>
          <w:kern w:val="2"/>
          <w:szCs w:val="22"/>
          <w:lang w:eastAsia="zh-CN"/>
        </w:rPr>
        <w:t xml:space="preserve"> 日</w:t>
      </w:r>
      <w:r>
        <w:rPr>
          <w:rFonts w:ascii="宋体" w:eastAsia="宋体" w:hAnsi="宋体" w:cstheme="minorBidi"/>
          <w:kern w:val="2"/>
          <w:szCs w:val="22"/>
          <w:lang w:eastAsia="zh-CN"/>
        </w:rPr>
        <w:t>  </w:t>
      </w:r>
    </w:p>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jc w:val="left"/>
        <w:rPr>
          <w:rFonts w:ascii="宋体" w:eastAsia="宋体" w:hAnsi="宋体"/>
          <w:kern w:val="2"/>
          <w:sz w:val="21"/>
          <w:szCs w:val="21"/>
          <w:lang w:eastAsia="zh-CN"/>
        </w:rPr>
      </w:pPr>
      <w:r>
        <w:rPr>
          <w:rFonts w:ascii="宋体" w:eastAsia="宋体" w:hAnsi="宋体" w:cstheme="minorBidi"/>
          <w:kern w:val="2"/>
          <w:sz w:val="21"/>
          <w:szCs w:val="21"/>
          <w:lang w:eastAsia="zh-CN"/>
        </w:rPr>
        <w:br w:type="page"/>
      </w:r>
    </w:p>
    <w:p>
      <w:pPr>
        <w:keepNext/>
        <w:keepLines/>
        <w:widowControl w:val="0"/>
        <w:adjustRightInd w:val="0"/>
        <w:spacing w:before="120" w:beforeLines="50" w:after="120" w:afterLines="50"/>
        <w:ind w:left="562"/>
        <w:jc w:val="center"/>
        <w:textAlignment w:val="baseline"/>
        <w:outlineLvl w:val="1"/>
        <w:rPr>
          <w:rFonts w:eastAsia="宋体"/>
          <w:b/>
          <w:bCs/>
          <w:sz w:val="28"/>
          <w:szCs w:val="28"/>
          <w:lang w:eastAsia="zh-CN"/>
        </w:rPr>
      </w:pPr>
      <w:r>
        <w:rPr>
          <w:rFonts w:eastAsia="宋体"/>
          <w:b/>
          <w:bCs/>
          <w:sz w:val="28"/>
          <w:szCs w:val="28"/>
          <w:lang w:eastAsia="zh-CN"/>
        </w:rPr>
        <w:t>第二册  通用条款（公开招标）</w:t>
      </w:r>
    </w:p>
    <w:p>
      <w:pPr>
        <w:keepNext/>
        <w:keepLines/>
        <w:widowControl w:val="0"/>
        <w:numPr>
          <w:ilvl w:val="0"/>
          <w:numId w:val="3"/>
        </w:numPr>
        <w:tabs>
          <w:tab w:val="left" w:pos="720"/>
        </w:tabs>
        <w:adjustRightInd w:val="0"/>
        <w:spacing w:before="120" w:beforeLines="50" w:after="120" w:afterLines="50"/>
        <w:ind w:left="562" w:hanging="562"/>
        <w:jc w:val="center"/>
        <w:textAlignment w:val="baseline"/>
        <w:outlineLvl w:val="1"/>
        <w:rPr>
          <w:rFonts w:eastAsia="宋体"/>
          <w:b/>
          <w:bCs/>
          <w:sz w:val="28"/>
          <w:szCs w:val="28"/>
          <w:lang w:eastAsia="zh-CN"/>
        </w:rPr>
      </w:pPr>
      <w:bookmarkStart w:id="47" w:name="_Hlk72399513"/>
      <w:r>
        <w:rPr>
          <w:rFonts w:eastAsia="宋体"/>
          <w:b/>
          <w:bCs/>
          <w:sz w:val="28"/>
          <w:szCs w:val="28"/>
          <w:lang w:eastAsia="zh-CN"/>
        </w:rPr>
        <w:t>总则</w:t>
      </w:r>
    </w:p>
    <w:bookmarkEnd w:id="47"/>
    <w:p>
      <w:pPr>
        <w:widowControl w:val="0"/>
        <w:spacing w:line="276" w:lineRule="auto"/>
        <w:jc w:val="both"/>
        <w:rPr>
          <w:rFonts w:eastAsia="黑体"/>
          <w:kern w:val="2"/>
          <w:lang w:eastAsia="zh-CN"/>
        </w:rPr>
      </w:pPr>
      <w:r>
        <w:rPr>
          <w:rFonts w:eastAsia="黑体"/>
          <w:kern w:val="2"/>
          <w:lang w:eastAsia="zh-CN"/>
        </w:rPr>
        <w:t>1. 通用条款说明</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1.1政府集中采购机构发出招标文件通用条款版本，列出深圳市政府采购项目进行招标采购所适用的通用条款内容。</w:t>
      </w:r>
      <w:bookmarkStart w:id="48" w:name="_Hlk72399729"/>
      <w:r>
        <w:rPr>
          <w:rFonts w:eastAsia="宋体"/>
          <w:kern w:val="2"/>
          <w:sz w:val="21"/>
          <w:szCs w:val="21"/>
          <w:lang w:eastAsia="zh-CN"/>
        </w:rPr>
        <w:t>如有需要，政府集中采购机构可以对通用条款的内容进行补充。</w:t>
      </w:r>
      <w:bookmarkEnd w:id="48"/>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1.2招标文件分为第一册“专用条款”和第二册“通用条款”。</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1.3“专用条款”是对本次采购项目的具体要求，包含招标公告、对通用条款的补充内容及其他关键信息、用户需求书、投标文件格式及附件、合同条款及格式等内容。</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1.4“通用条款”是适用于政府采购公开招标项目的基础性条款，具有普遍性和通用性。</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1.5 “专用条款”和“通用条款”表述不一致或有冲突时，以“专用条款”为准。</w:t>
      </w:r>
    </w:p>
    <w:p>
      <w:pPr>
        <w:widowControl w:val="0"/>
        <w:spacing w:line="276" w:lineRule="auto"/>
        <w:jc w:val="both"/>
        <w:rPr>
          <w:rFonts w:eastAsia="黑体"/>
          <w:kern w:val="2"/>
          <w:lang w:eastAsia="zh-CN"/>
        </w:rPr>
      </w:pPr>
      <w:r>
        <w:rPr>
          <w:rFonts w:eastAsia="黑体"/>
          <w:kern w:val="2"/>
          <w:lang w:eastAsia="zh-CN"/>
        </w:rPr>
        <w:t>2．招标说明</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本项目</w:t>
      </w:r>
      <w:r>
        <w:rPr>
          <w:rFonts w:eastAsia="宋体" w:hint="eastAsia"/>
          <w:kern w:val="2"/>
          <w:sz w:val="21"/>
          <w:szCs w:val="21"/>
          <w:lang w:eastAsia="zh-CN"/>
        </w:rPr>
        <w:t>为自行采购项目，参照</w:t>
      </w:r>
      <w:r>
        <w:rPr>
          <w:rFonts w:eastAsia="宋体"/>
          <w:kern w:val="2"/>
          <w:sz w:val="21"/>
          <w:szCs w:val="21"/>
          <w:lang w:eastAsia="zh-CN"/>
        </w:rPr>
        <w:t>《深圳经济特区政府采购条例》、《深圳经济特区政府采购条例实施细则》及政府采购其他法律法规，通过公开招标方式确定中标供应商。</w:t>
      </w:r>
    </w:p>
    <w:p>
      <w:pPr>
        <w:widowControl w:val="0"/>
        <w:spacing w:line="276" w:lineRule="auto"/>
        <w:jc w:val="both"/>
        <w:rPr>
          <w:rFonts w:eastAsia="黑体"/>
          <w:kern w:val="2"/>
          <w:lang w:eastAsia="zh-CN"/>
        </w:rPr>
      </w:pPr>
      <w:r>
        <w:rPr>
          <w:rFonts w:eastAsia="黑体"/>
          <w:kern w:val="2"/>
          <w:lang w:eastAsia="zh-CN"/>
        </w:rPr>
        <w:t>3．定义</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招标文件中下列术语应解释为：</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3.1“采购人”：指利用财政性资金依法进行政府采购的国家机关、事业单位、团体组织；</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3.2 “政府集中采购机构”</w:t>
      </w:r>
      <w:r>
        <w:rPr>
          <w:rFonts w:eastAsia="宋体"/>
          <w:kern w:val="2"/>
          <w:sz w:val="21"/>
          <w:szCs w:val="21"/>
          <w:shd w:val="clear" w:color="auto" w:fill="FFFFFF"/>
          <w:lang w:eastAsia="zh-CN"/>
        </w:rPr>
        <w:t>是指市政府设立的，组织实施政府采购项目，并对政府采购活动提供服务的专门机构；</w:t>
      </w:r>
      <w:r>
        <w:rPr>
          <w:rFonts w:eastAsia="宋体"/>
          <w:kern w:val="2"/>
          <w:sz w:val="21"/>
          <w:szCs w:val="21"/>
          <w:lang w:eastAsia="zh-CN"/>
        </w:rPr>
        <w:t>本文件所述的“政府集中采购机构”指</w:t>
      </w:r>
      <w:r>
        <w:rPr>
          <w:rFonts w:eastAsia="宋体"/>
          <w:b/>
          <w:bCs/>
          <w:kern w:val="2"/>
          <w:sz w:val="21"/>
          <w:szCs w:val="21"/>
          <w:lang w:eastAsia="zh-CN"/>
        </w:rPr>
        <w:t>深圳公共资源交易中心</w:t>
      </w:r>
      <w:r>
        <w:rPr>
          <w:rFonts w:eastAsia="宋体"/>
          <w:kern w:val="2"/>
          <w:sz w:val="21"/>
          <w:szCs w:val="21"/>
          <w:lang w:eastAsia="zh-CN"/>
        </w:rPr>
        <w:t>；</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3.3“投标人”，即供应商，指参加投标竞争并愿意按照招标文件要求向采购人提供货物、工程或者服务的依法成立的法人、其他组织或者自然人；</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3.4“中标候选人”即“候选中标供应商”</w:t>
      </w:r>
      <w:r>
        <w:rPr>
          <w:rFonts w:ascii="宋体" w:eastAsia="宋体" w:hint="eastAsia"/>
          <w:sz w:val="21"/>
          <w:szCs w:val="21"/>
          <w:lang w:eastAsia="zh-CN"/>
        </w:rPr>
        <w:t>；</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3.5“评审委员会”是依据《深圳经济特区政府采购条例》、《深圳经济特区政府采购条例实施细则》等有关规定组建的专门负责本次招标其评审工作的临时性机构；</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3.6“日期”指公历日；</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3.7“合同”指由本次招标所产生的合同或合约文件；</w:t>
      </w:r>
    </w:p>
    <w:p>
      <w:pPr>
        <w:widowControl w:val="0"/>
        <w:suppressAutoHyphens/>
        <w:wordWrap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3.8“电子投标文件”指利用</w:t>
      </w:r>
      <w:r>
        <w:rPr>
          <w:rFonts w:eastAsia="宋体"/>
          <w:b/>
          <w:bCs/>
          <w:color w:val="FF0000"/>
          <w:kern w:val="2"/>
          <w:sz w:val="21"/>
          <w:szCs w:val="21"/>
          <w:lang w:eastAsia="zh-CN"/>
        </w:rPr>
        <w:t>深圳公共资源交易中心（深圳交易集团有限公司</w:t>
      </w:r>
      <w:r>
        <w:rPr>
          <w:rFonts w:eastAsia="宋体" w:hint="eastAsia"/>
          <w:b/>
          <w:bCs/>
          <w:color w:val="FF0000"/>
          <w:kern w:val="2"/>
          <w:sz w:val="21"/>
          <w:szCs w:val="21"/>
          <w:lang w:eastAsia="zh-CN"/>
        </w:rPr>
        <w:t>南山</w:t>
      </w:r>
      <w:r>
        <w:rPr>
          <w:rFonts w:eastAsia="宋体"/>
          <w:b/>
          <w:bCs/>
          <w:color w:val="FF0000"/>
          <w:kern w:val="2"/>
          <w:sz w:val="21"/>
          <w:szCs w:val="21"/>
          <w:lang w:eastAsia="zh-CN"/>
        </w:rPr>
        <w:t>分公司）</w:t>
      </w:r>
      <w:r>
        <w:rPr>
          <w:rFonts w:eastAsia="宋体"/>
          <w:kern w:val="2"/>
          <w:sz w:val="21"/>
          <w:szCs w:val="21"/>
          <w:lang w:eastAsia="zh-CN"/>
        </w:rPr>
        <w:t>网站提供的</w:t>
      </w:r>
      <w:r>
        <w:rPr>
          <w:rFonts w:ascii="宋体" w:eastAsia="宋体" w:hAnsi="宋体" w:cstheme="minorBidi" w:hint="eastAsia"/>
          <w:kern w:val="2"/>
          <w:sz w:val="21"/>
          <w:szCs w:val="21"/>
          <w:lang w:eastAsia="zh-CN"/>
        </w:rPr>
        <w:t>深圳政府采购自行采购系统投标文件制作专用软件</w:t>
      </w:r>
      <w:r>
        <w:rPr>
          <w:rFonts w:eastAsia="宋体" w:hint="eastAsia"/>
          <w:kern w:val="2"/>
          <w:sz w:val="21"/>
          <w:lang w:eastAsia="zh-CN"/>
        </w:rPr>
        <w:t>（以下简称：投标文件制作软件）制作并加密的投标文件，适用于网上投标；（投标文件制作软件可从“下载地址：</w:t>
      </w:r>
      <w:r>
        <w:rPr>
          <w:rFonts w:ascii="宋体" w:eastAsia="宋体" w:hAnsi="宋体" w:cstheme="minorBidi" w:hint="eastAsia"/>
          <w:kern w:val="2"/>
          <w:sz w:val="21"/>
          <w:szCs w:val="21"/>
          <w:lang w:eastAsia="zh-CN"/>
        </w:rPr>
        <w:t>https://www.szggzy.com/jyfw/details.html?contentId=2053275</w:t>
      </w:r>
      <w:r>
        <w:rPr>
          <w:rFonts w:eastAsia="宋体" w:hint="eastAsia"/>
          <w:kern w:val="2"/>
          <w:sz w:val="21"/>
          <w:lang w:eastAsia="zh-CN"/>
        </w:rPr>
        <w:t>下载）</w:t>
      </w:r>
      <w:r>
        <w:rPr>
          <w:rFonts w:eastAsia="宋体"/>
          <w:kern w:val="2"/>
          <w:sz w:val="21"/>
          <w:szCs w:val="21"/>
          <w:lang w:eastAsia="zh-CN"/>
        </w:rPr>
        <w:t>；</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3.9“网上投标”指通过</w:t>
      </w:r>
      <w:r>
        <w:rPr>
          <w:rFonts w:ascii="宋体" w:eastAsia="宋体" w:hAnsi="宋体" w:cstheme="minorBidi" w:hint="eastAsia"/>
          <w:b/>
          <w:bCs/>
          <w:color w:val="FF0000"/>
          <w:kern w:val="2"/>
          <w:sz w:val="21"/>
          <w:szCs w:val="21"/>
          <w:lang w:eastAsia="zh-CN"/>
        </w:rPr>
        <w:t>深圳政府采购自行采购系统</w:t>
      </w:r>
      <w:r>
        <w:rPr>
          <w:rFonts w:eastAsia="宋体"/>
          <w:kern w:val="2"/>
          <w:sz w:val="21"/>
          <w:szCs w:val="21"/>
          <w:lang w:eastAsia="zh-CN"/>
        </w:rPr>
        <w:t>网站上传电子投标文件；</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3.10招标文件中的标题或题名仅起引导作用，而不应视为对招标文件内容的理解和解释。</w:t>
      </w:r>
    </w:p>
    <w:p>
      <w:pPr>
        <w:widowControl w:val="0"/>
        <w:spacing w:line="276" w:lineRule="auto"/>
        <w:jc w:val="both"/>
        <w:rPr>
          <w:rFonts w:eastAsia="黑体"/>
          <w:kern w:val="2"/>
          <w:lang w:eastAsia="zh-CN"/>
        </w:rPr>
      </w:pPr>
      <w:r>
        <w:rPr>
          <w:rFonts w:eastAsia="黑体"/>
          <w:kern w:val="2"/>
          <w:lang w:eastAsia="zh-CN"/>
        </w:rPr>
        <w:t xml:space="preserve">4. </w:t>
      </w:r>
      <w:bookmarkStart w:id="49" w:name="_Hlk72398643"/>
      <w:r>
        <w:rPr>
          <w:rFonts w:eastAsia="黑体"/>
          <w:kern w:val="2"/>
          <w:lang w:eastAsia="zh-CN"/>
        </w:rPr>
        <w:t>政府采购供应商责任</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4.1欢迎诚信、有实力和有社会责任心的供应商参与政府采购事业。</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4.2投标人应当遵循公平竞争的原则，不得恶意串通，不得妨碍其他投标人的竞争行为，不得损害采购人或者其他投标人的合法权益。如违反上述要求，经核实后，供应商的投标无效。</w:t>
      </w:r>
    </w:p>
    <w:p>
      <w:pPr>
        <w:widowControl w:val="0"/>
        <w:spacing w:line="276" w:lineRule="auto"/>
        <w:jc w:val="both"/>
        <w:rPr>
          <w:rFonts w:eastAsia="黑体"/>
          <w:kern w:val="2"/>
          <w:lang w:eastAsia="zh-CN"/>
        </w:rPr>
      </w:pPr>
      <w:r>
        <w:rPr>
          <w:rFonts w:eastAsia="黑体"/>
          <w:kern w:val="2"/>
          <w:lang w:eastAsia="zh-CN"/>
        </w:rPr>
        <w:t>5．投标人参加政府采购的条件</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5.1投标人应在投标前到</w:t>
      </w:r>
      <w:r>
        <w:rPr>
          <w:rFonts w:eastAsia="宋体"/>
          <w:b/>
          <w:bCs/>
          <w:kern w:val="2"/>
          <w:sz w:val="21"/>
          <w:szCs w:val="21"/>
          <w:lang w:eastAsia="zh-CN"/>
        </w:rPr>
        <w:t>深圳公共资源交易中心（具体在深圳交易集团有限公司政府采购业务分公司进行办理）</w:t>
      </w:r>
      <w:r>
        <w:rPr>
          <w:rFonts w:eastAsia="宋体"/>
          <w:kern w:val="2"/>
          <w:sz w:val="21"/>
          <w:szCs w:val="21"/>
          <w:lang w:eastAsia="zh-CN"/>
        </w:rPr>
        <w:t>进行注册并办理电子密钥。</w:t>
      </w:r>
      <w:r>
        <w:rPr>
          <w:rFonts w:eastAsia="宋体" w:hint="eastAsia"/>
          <w:kern w:val="2"/>
          <w:sz w:val="21"/>
          <w:szCs w:val="21"/>
          <w:lang w:eastAsia="zh-CN"/>
        </w:rPr>
        <w:t>《供应商注册及信息变更指引》详见www.szggzy.com网站“交易服务指南-政府采购”。</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5.2投标人资格要求</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参加本项目的投标人应具备的资格条件详见本项目招标公告中 “投标人资格要求”（即申请人的资格要求）的内容。</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5.3联合体投标</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5.3.1</w:t>
      </w:r>
      <w:r>
        <w:rPr>
          <w:rFonts w:eastAsia="宋体" w:hint="eastAsia"/>
          <w:kern w:val="2"/>
          <w:sz w:val="21"/>
          <w:szCs w:val="21"/>
          <w:lang w:eastAsia="zh-CN"/>
        </w:rPr>
        <w:t xml:space="preserve">  </w:t>
      </w:r>
      <w:r>
        <w:rPr>
          <w:rFonts w:eastAsia="宋体"/>
          <w:kern w:val="2"/>
          <w:sz w:val="21"/>
          <w:szCs w:val="21"/>
          <w:lang w:eastAsia="zh-CN"/>
        </w:rPr>
        <w:t>以下有关联合体投标的条款仅适用于允许投标人组成联合体投标的项目。</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5.3.2  由两个或两个以上的自然人、法人或者其他组织可以组成一个联合体，以一个供应商的身份共同投标时，应符合以下原则：</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（1）投标联合体各方参加政府采购活动应当具备下列条件：</w:t>
      </w:r>
    </w:p>
    <w:p>
      <w:pPr>
        <w:widowControl w:val="0"/>
        <w:spacing w:line="276" w:lineRule="auto"/>
        <w:ind w:left="480" w:firstLine="412" w:leftChars="200" w:firstLineChars="196"/>
        <w:jc w:val="both"/>
        <w:rPr>
          <w:rFonts w:eastAsia="宋体"/>
          <w:kern w:val="2"/>
          <w:sz w:val="21"/>
          <w:lang w:eastAsia="zh-CN"/>
        </w:rPr>
      </w:pPr>
      <w:r>
        <w:rPr>
          <w:rFonts w:eastAsia="宋体"/>
          <w:kern w:val="2"/>
          <w:sz w:val="21"/>
          <w:lang w:eastAsia="zh-CN"/>
        </w:rPr>
        <w:t>1、具有独立承担民事责任的能力；</w:t>
      </w:r>
    </w:p>
    <w:p>
      <w:pPr>
        <w:widowControl w:val="0"/>
        <w:spacing w:line="276" w:lineRule="auto"/>
        <w:ind w:left="420" w:firstLine="412" w:firstLineChars="196"/>
        <w:jc w:val="both"/>
        <w:rPr>
          <w:rFonts w:eastAsia="宋体"/>
          <w:kern w:val="2"/>
          <w:sz w:val="21"/>
          <w:lang w:eastAsia="zh-CN"/>
        </w:rPr>
      </w:pPr>
      <w:r>
        <w:rPr>
          <w:rFonts w:eastAsia="宋体"/>
          <w:kern w:val="2"/>
          <w:sz w:val="21"/>
          <w:lang w:eastAsia="zh-CN"/>
        </w:rPr>
        <w:t>2、有良好的商业信誉和健全的财务会计制度；</w:t>
      </w:r>
    </w:p>
    <w:p>
      <w:pPr>
        <w:widowControl w:val="0"/>
        <w:spacing w:line="276" w:lineRule="auto"/>
        <w:ind w:left="480" w:firstLine="412" w:leftChars="200" w:firstLineChars="196"/>
        <w:jc w:val="both"/>
        <w:rPr>
          <w:rFonts w:eastAsia="宋体"/>
          <w:kern w:val="2"/>
          <w:sz w:val="21"/>
          <w:lang w:eastAsia="zh-CN"/>
        </w:rPr>
      </w:pPr>
      <w:r>
        <w:rPr>
          <w:rFonts w:eastAsia="宋体"/>
          <w:kern w:val="2"/>
          <w:sz w:val="21"/>
          <w:lang w:eastAsia="zh-CN"/>
        </w:rPr>
        <w:t>3、具有履行合同所必需的设备和专业技术能力；</w:t>
      </w:r>
    </w:p>
    <w:p>
      <w:pPr>
        <w:widowControl w:val="0"/>
        <w:spacing w:line="276" w:lineRule="auto"/>
        <w:ind w:left="480" w:firstLine="412" w:leftChars="200" w:firstLineChars="196"/>
        <w:jc w:val="both"/>
        <w:rPr>
          <w:rFonts w:eastAsia="宋体"/>
          <w:kern w:val="2"/>
          <w:sz w:val="21"/>
          <w:lang w:eastAsia="zh-CN"/>
        </w:rPr>
      </w:pPr>
      <w:r>
        <w:rPr>
          <w:rFonts w:eastAsia="宋体"/>
          <w:kern w:val="2"/>
          <w:sz w:val="21"/>
          <w:lang w:eastAsia="zh-CN"/>
        </w:rPr>
        <w:t>4、有依法缴纳税收和社会保障资金的良好记录；</w:t>
      </w:r>
    </w:p>
    <w:p>
      <w:pPr>
        <w:widowControl w:val="0"/>
        <w:spacing w:line="276" w:lineRule="auto"/>
        <w:ind w:left="480" w:firstLine="412" w:leftChars="200" w:firstLineChars="196"/>
        <w:jc w:val="both"/>
        <w:rPr>
          <w:rFonts w:eastAsia="宋体"/>
          <w:kern w:val="2"/>
          <w:sz w:val="21"/>
          <w:lang w:eastAsia="zh-CN"/>
        </w:rPr>
      </w:pPr>
      <w:r>
        <w:rPr>
          <w:rFonts w:eastAsia="宋体"/>
          <w:kern w:val="2"/>
          <w:sz w:val="21"/>
          <w:lang w:eastAsia="zh-CN"/>
        </w:rPr>
        <w:t>5、参加政府采购活动前三年内，在经营活动中没有重大违法记录；</w:t>
      </w:r>
    </w:p>
    <w:p>
      <w:pPr>
        <w:widowControl w:val="0"/>
        <w:spacing w:line="276" w:lineRule="auto"/>
        <w:ind w:left="480" w:firstLine="412" w:leftChars="200" w:firstLineChars="196"/>
        <w:jc w:val="both"/>
        <w:rPr>
          <w:rFonts w:eastAsia="宋体"/>
          <w:kern w:val="2"/>
          <w:sz w:val="21"/>
          <w:lang w:eastAsia="zh-CN"/>
        </w:rPr>
      </w:pPr>
      <w:r>
        <w:rPr>
          <w:rFonts w:eastAsia="宋体"/>
          <w:kern w:val="2"/>
          <w:sz w:val="21"/>
          <w:lang w:eastAsia="zh-CN"/>
        </w:rPr>
        <w:t>6、法律、行政法规规定的其他条件。</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（2）在投标截止前，投标联合体各方均应注册成</w:t>
      </w:r>
      <w:r>
        <w:rPr>
          <w:rFonts w:ascii="宋体" w:eastAsia="宋体" w:hAnsi="宋体" w:cstheme="minorBidi" w:hint="eastAsia"/>
          <w:kern w:val="2"/>
          <w:sz w:val="21"/>
          <w:szCs w:val="21"/>
          <w:lang w:eastAsia="zh-CN"/>
        </w:rPr>
        <w:t>深圳政府采购自行采购系统</w:t>
      </w:r>
      <w:r>
        <w:rPr>
          <w:rFonts w:eastAsia="宋体"/>
          <w:kern w:val="2"/>
          <w:sz w:val="21"/>
          <w:lang w:eastAsia="zh-CN"/>
        </w:rPr>
        <w:t>供应商；</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（3）联合体中有同类资质的供应商按照联合体分工承担相同工作的，应当按照资质等级较低的供应商确定资质等级；</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（4）是否允许联合体参加投标，应当由采购人和采购代理机构根据项目的实际情况和潜在供应商的数量自主决定，如果决定接受联合体投标则应当在招标公告中明示；</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（5）投标人的投标文件及中标后签署的合同协议对联合体各方均具法律约束力；</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（6）联合体各方应当签订联合体投标协议，明确约定各方拟承担的工作和责任，并将该协议随投标文件一并递交给政府集中采购机构；</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（7）联合体中标后，联合体各方应当共同与采购人签订合同，就中标项目向采购人承担连带责任；</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widowControl w:val="0"/>
        <w:spacing w:line="276" w:lineRule="auto"/>
        <w:ind w:firstLine="412" w:firstLineChars="196"/>
        <w:jc w:val="both"/>
        <w:rPr>
          <w:rFonts w:eastAsia="宋体"/>
          <w:kern w:val="2"/>
          <w:sz w:val="21"/>
          <w:szCs w:val="21"/>
          <w:lang w:eastAsia="zh-CN"/>
        </w:rPr>
      </w:pPr>
      <w:r>
        <w:rPr>
          <w:rFonts w:eastAsia="宋体"/>
          <w:kern w:val="2"/>
          <w:sz w:val="21"/>
          <w:lang w:eastAsia="zh-CN"/>
        </w:rPr>
        <w:t>（9）本通用条款中“投标人”一词亦指联合体各方，专用条款另有规定或说明的除外。</w:t>
      </w:r>
    </w:p>
    <w:p>
      <w:pPr>
        <w:widowControl w:val="0"/>
        <w:spacing w:line="276" w:lineRule="auto"/>
        <w:jc w:val="both"/>
        <w:rPr>
          <w:rFonts w:eastAsia="黑体"/>
          <w:kern w:val="2"/>
          <w:lang w:eastAsia="zh-CN"/>
        </w:rPr>
      </w:pPr>
      <w:r>
        <w:rPr>
          <w:rFonts w:eastAsia="黑体"/>
          <w:kern w:val="2"/>
          <w:lang w:eastAsia="zh-CN"/>
        </w:rPr>
        <w:t>6．政策导向</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6.1政府采购扶持贫困地区、中小企业、监狱企业和残疾人福利性单位发展，支持节能减排、环境保护。</w:t>
      </w:r>
    </w:p>
    <w:p>
      <w:pPr>
        <w:widowControl w:val="0"/>
        <w:spacing w:line="276" w:lineRule="auto"/>
        <w:ind w:firstLine="405"/>
        <w:jc w:val="both"/>
        <w:rPr>
          <w:rFonts w:eastAsia="宋体"/>
          <w:kern w:val="2"/>
          <w:sz w:val="21"/>
          <w:lang w:eastAsia="zh-CN"/>
        </w:rPr>
      </w:pPr>
      <w:r>
        <w:rPr>
          <w:rFonts w:eastAsia="宋体"/>
          <w:kern w:val="2"/>
          <w:sz w:val="21"/>
          <w:lang w:eastAsia="zh-CN"/>
        </w:rPr>
        <w:t>6.2本项目落实深圳市政府采购供应商诚信管理政策要求。</w:t>
      </w:r>
    </w:p>
    <w:p>
      <w:pPr>
        <w:widowControl w:val="0"/>
        <w:ind w:firstLine="405"/>
        <w:jc w:val="both"/>
        <w:rPr>
          <w:rFonts w:ascii="Calibri" w:eastAsia="宋体" w:hAnsi="Calibri"/>
          <w:kern w:val="2"/>
          <w:sz w:val="21"/>
          <w:szCs w:val="22"/>
          <w:lang w:eastAsia="zh-CN"/>
        </w:rPr>
      </w:pPr>
      <w:r>
        <w:rPr>
          <w:rFonts w:ascii="宋体" w:eastAsia="宋体" w:hAnsi="宋体" w:cstheme="minorBidi" w:hint="eastAsia"/>
          <w:kern w:val="2"/>
          <w:sz w:val="21"/>
          <w:szCs w:val="22"/>
          <w:lang w:eastAsia="zh-CN"/>
        </w:rPr>
        <w:t>6.3本项目支持投标人性别平等的相关政策。</w:t>
      </w:r>
    </w:p>
    <w:p>
      <w:pPr>
        <w:widowControl w:val="0"/>
        <w:spacing w:line="276" w:lineRule="auto"/>
        <w:jc w:val="both"/>
        <w:rPr>
          <w:rFonts w:eastAsia="黑体"/>
          <w:kern w:val="2"/>
          <w:lang w:eastAsia="zh-CN"/>
        </w:rPr>
      </w:pPr>
      <w:r>
        <w:rPr>
          <w:rFonts w:eastAsia="黑体"/>
          <w:kern w:val="2"/>
          <w:lang w:eastAsia="zh-CN"/>
        </w:rPr>
        <w:t>7</w:t>
      </w:r>
      <w:r>
        <w:rPr>
          <w:rFonts w:eastAsia="黑体" w:hint="eastAsia"/>
          <w:kern w:val="2"/>
          <w:lang w:eastAsia="zh-CN"/>
        </w:rPr>
        <w:t>．</w:t>
      </w:r>
      <w:r>
        <w:rPr>
          <w:rFonts w:eastAsia="黑体"/>
          <w:kern w:val="2"/>
          <w:lang w:eastAsia="zh-CN"/>
        </w:rPr>
        <w:t>本项目若涉及采购货物，则合格的货物及相应服务应满足以下要求：</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7.1必须是全新、未使用过的原装合格正品（包括零部件），如安装或配置了软件的，须为正版软件。</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7.2国产的货物及其有关服务必须符合中华人民共和国的设计、制造生产标准及行业标准。招标公告有其他要求的，亦应符合其要求。</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7.3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7.4投标人</w:t>
      </w:r>
      <w:bookmarkStart w:id="50" w:name="_Hlk72152753"/>
      <w:r>
        <w:rPr>
          <w:rFonts w:eastAsia="宋体"/>
          <w:kern w:val="2"/>
          <w:sz w:val="21"/>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0"/>
    </w:p>
    <w:p>
      <w:pPr>
        <w:widowControl w:val="0"/>
        <w:spacing w:line="276" w:lineRule="auto"/>
        <w:ind w:firstLine="412" w:firstLineChars="196"/>
        <w:jc w:val="both"/>
        <w:rPr>
          <w:rFonts w:eastAsia="宋体"/>
          <w:kern w:val="2"/>
          <w:sz w:val="21"/>
          <w:lang w:eastAsia="zh-CN"/>
        </w:rPr>
      </w:pPr>
      <w:r>
        <w:rPr>
          <w:rFonts w:eastAsia="宋体"/>
          <w:kern w:val="2"/>
          <w:sz w:val="21"/>
          <w:lang w:eastAsia="zh-CN"/>
        </w:rPr>
        <w:t>7.5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7.6工期要求：投标人在投标时对其所投项目应提交交货进度、交货计划等，在合同规定的时间内完成项目实施工作。</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7.7投标人必须承担的设备运输、安装调试、验收检测和提供设备操作说明书、图纸等其他相关及类似的义务。</w:t>
      </w:r>
    </w:p>
    <w:p>
      <w:pPr>
        <w:widowControl w:val="0"/>
        <w:spacing w:line="276" w:lineRule="auto"/>
        <w:jc w:val="both"/>
        <w:rPr>
          <w:rFonts w:eastAsia="黑体"/>
          <w:kern w:val="2"/>
          <w:lang w:eastAsia="zh-CN"/>
        </w:rPr>
      </w:pPr>
      <w:r>
        <w:rPr>
          <w:rFonts w:eastAsia="黑体"/>
          <w:kern w:val="2"/>
          <w:lang w:eastAsia="zh-CN"/>
        </w:rPr>
        <w:t>8．投标费用</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不论投标结果如何，投标人应承担其编制投标文件与递交投标文件所涉及的一切费用。</w:t>
      </w:r>
    </w:p>
    <w:p>
      <w:pPr>
        <w:widowControl w:val="0"/>
        <w:spacing w:line="276" w:lineRule="auto"/>
        <w:jc w:val="both"/>
        <w:rPr>
          <w:rFonts w:eastAsia="黑体"/>
          <w:kern w:val="2"/>
          <w:lang w:eastAsia="zh-CN"/>
        </w:rPr>
      </w:pPr>
      <w:r>
        <w:rPr>
          <w:rFonts w:eastAsia="黑体"/>
          <w:kern w:val="2"/>
          <w:lang w:eastAsia="zh-CN"/>
        </w:rPr>
        <w:t>9．踏勘现场</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9.2投标人及其人员经过采购人的允许，可以进入采购人的项目现场踏勘。若招标文件要求投标人于统一时间地点踏勘现场的，投标人应当按时前往。</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9.3采购人应当通过政府集中采购机构向投标人提供有关现场的书面资料和数据。</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9.4任何人或任何组织在踏勘现场时向投标人提供的任何书面资料或口头承诺，未经政府集中采购机构在网上发布或书面通知，均作无效处理。</w:t>
      </w:r>
    </w:p>
    <w:p>
      <w:pPr>
        <w:widowControl w:val="0"/>
        <w:spacing w:line="276" w:lineRule="auto"/>
        <w:ind w:firstLine="412" w:firstLineChars="196"/>
        <w:jc w:val="both"/>
        <w:rPr>
          <w:rFonts w:eastAsia="宋体"/>
          <w:kern w:val="2"/>
          <w:sz w:val="21"/>
          <w:lang w:eastAsia="zh-CN"/>
        </w:rPr>
      </w:pPr>
      <w:r>
        <w:rPr>
          <w:rFonts w:eastAsia="宋体"/>
          <w:kern w:val="2"/>
          <w:sz w:val="21"/>
          <w:szCs w:val="21"/>
          <w:lang w:eastAsia="zh-CN"/>
        </w:rPr>
        <w:t>9.5未参与踏勘现场不作为否定投标人资格的理由。</w:t>
      </w:r>
    </w:p>
    <w:p>
      <w:pPr>
        <w:widowControl w:val="0"/>
        <w:spacing w:line="276" w:lineRule="auto"/>
        <w:jc w:val="both"/>
        <w:rPr>
          <w:rFonts w:eastAsia="黑体"/>
          <w:kern w:val="2"/>
          <w:lang w:eastAsia="zh-CN"/>
        </w:rPr>
      </w:pPr>
      <w:r>
        <w:rPr>
          <w:rFonts w:eastAsia="黑体"/>
          <w:kern w:val="2"/>
          <w:lang w:eastAsia="zh-CN"/>
        </w:rPr>
        <w:t>10．标前会议</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10.1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widowControl w:val="0"/>
        <w:spacing w:line="276" w:lineRule="auto"/>
        <w:ind w:firstLine="412" w:firstLineChars="196"/>
        <w:jc w:val="both"/>
        <w:rPr>
          <w:rFonts w:eastAsia="宋体"/>
          <w:kern w:val="2"/>
          <w:sz w:val="21"/>
          <w:szCs w:val="21"/>
          <w:lang w:eastAsia="zh-CN"/>
        </w:rPr>
      </w:pPr>
      <w:r>
        <w:rPr>
          <w:rFonts w:eastAsia="宋体"/>
          <w:kern w:val="2"/>
          <w:sz w:val="21"/>
          <w:lang w:eastAsia="zh-CN"/>
        </w:rPr>
        <w:t>10.2任何人或任何组织在标前会议时向投标人提供的任何书面资料或口头承诺，未经政府集中采购机构在网上发布或书面通知，均作无效处理。</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10.3未参与标前会议不作为否定投标人资格的理由。</w:t>
      </w:r>
    </w:p>
    <w:bookmarkEnd w:id="49"/>
    <w:p>
      <w:pPr>
        <w:keepNext/>
        <w:keepLines/>
        <w:widowControl w:val="0"/>
        <w:numPr>
          <w:ilvl w:val="0"/>
          <w:numId w:val="3"/>
        </w:numPr>
        <w:tabs>
          <w:tab w:val="left" w:pos="720"/>
        </w:tabs>
        <w:adjustRightInd w:val="0"/>
        <w:spacing w:before="120" w:beforeLines="50" w:after="120" w:afterLines="50" w:line="276" w:lineRule="auto"/>
        <w:ind w:left="562" w:hanging="562"/>
        <w:jc w:val="center"/>
        <w:textAlignment w:val="baseline"/>
        <w:outlineLvl w:val="1"/>
        <w:rPr>
          <w:rFonts w:eastAsia="宋体"/>
          <w:b/>
          <w:bCs/>
          <w:sz w:val="28"/>
          <w:szCs w:val="28"/>
          <w:lang w:eastAsia="zh-CN"/>
        </w:rPr>
      </w:pPr>
      <w:r>
        <w:rPr>
          <w:rFonts w:eastAsia="宋体"/>
          <w:b/>
          <w:bCs/>
          <w:sz w:val="28"/>
          <w:szCs w:val="28"/>
          <w:lang w:eastAsia="zh-CN"/>
        </w:rPr>
        <w:t>招标文件</w:t>
      </w:r>
    </w:p>
    <w:p>
      <w:pPr>
        <w:widowControl w:val="0"/>
        <w:spacing w:line="276" w:lineRule="auto"/>
        <w:jc w:val="both"/>
        <w:rPr>
          <w:rFonts w:eastAsia="黑体"/>
          <w:kern w:val="2"/>
          <w:lang w:eastAsia="zh-CN"/>
        </w:rPr>
      </w:pPr>
      <w:r>
        <w:rPr>
          <w:rFonts w:eastAsia="黑体"/>
          <w:kern w:val="2"/>
          <w:lang w:eastAsia="zh-CN"/>
        </w:rPr>
        <w:t>11．</w:t>
      </w:r>
      <w:bookmarkStart w:id="51" w:name="_Hlk72399819"/>
      <w:r>
        <w:rPr>
          <w:rFonts w:eastAsia="黑体"/>
          <w:kern w:val="2"/>
          <w:lang w:eastAsia="zh-CN"/>
        </w:rPr>
        <w:t>招标文件的编制与组成</w:t>
      </w:r>
    </w:p>
    <w:p>
      <w:pPr>
        <w:widowControl w:val="0"/>
        <w:snapToGrid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11.1招标文件除以下内容外，政府集中采购机构在招标期间发出的澄清或修改等相关公告或通知内容，均是招标文件的组成部分，对投标人起约束作用；</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招标文件包括下列内容：</w:t>
      </w:r>
    </w:p>
    <w:p>
      <w:pPr>
        <w:widowControl w:val="0"/>
        <w:spacing w:line="276" w:lineRule="auto"/>
        <w:ind w:left="480" w:firstLine="412" w:leftChars="200" w:firstLineChars="196"/>
        <w:jc w:val="both"/>
        <w:rPr>
          <w:rFonts w:eastAsia="宋体"/>
          <w:b/>
          <w:kern w:val="2"/>
          <w:sz w:val="21"/>
          <w:szCs w:val="21"/>
          <w:lang w:eastAsia="zh-CN"/>
        </w:rPr>
      </w:pPr>
      <w:r>
        <w:rPr>
          <w:rFonts w:eastAsia="宋体"/>
          <w:b/>
          <w:kern w:val="2"/>
          <w:sz w:val="21"/>
          <w:szCs w:val="21"/>
          <w:lang w:eastAsia="zh-CN"/>
        </w:rPr>
        <w:t>第一册  专用条款</w:t>
      </w:r>
    </w:p>
    <w:p>
      <w:pPr>
        <w:widowControl w:val="0"/>
        <w:spacing w:line="276" w:lineRule="auto"/>
        <w:ind w:left="1234" w:leftChars="514"/>
        <w:jc w:val="both"/>
        <w:rPr>
          <w:rFonts w:eastAsia="宋体"/>
          <w:b/>
          <w:kern w:val="2"/>
          <w:sz w:val="21"/>
          <w:szCs w:val="21"/>
          <w:lang w:eastAsia="zh-CN"/>
        </w:rPr>
      </w:pPr>
      <w:r>
        <w:rPr>
          <w:rFonts w:eastAsia="宋体"/>
          <w:b/>
          <w:kern w:val="2"/>
          <w:sz w:val="21"/>
          <w:szCs w:val="21"/>
          <w:lang w:eastAsia="zh-CN"/>
        </w:rPr>
        <w:t>关键信息</w:t>
      </w:r>
    </w:p>
    <w:p>
      <w:pPr>
        <w:widowControl w:val="0"/>
        <w:spacing w:line="276" w:lineRule="auto"/>
        <w:ind w:firstLine="1050" w:firstLineChars="500"/>
        <w:jc w:val="both"/>
        <w:rPr>
          <w:rFonts w:eastAsia="宋体"/>
          <w:kern w:val="2"/>
          <w:sz w:val="21"/>
          <w:lang w:eastAsia="zh-CN"/>
        </w:rPr>
      </w:pPr>
      <w:r>
        <w:rPr>
          <w:rFonts w:eastAsia="宋体"/>
          <w:kern w:val="2"/>
          <w:sz w:val="21"/>
          <w:lang w:eastAsia="zh-CN"/>
        </w:rPr>
        <w:t>第一章  招标公告</w:t>
      </w:r>
    </w:p>
    <w:p>
      <w:pPr>
        <w:widowControl w:val="0"/>
        <w:spacing w:line="276" w:lineRule="auto"/>
        <w:ind w:firstLine="1050" w:firstLineChars="500"/>
        <w:jc w:val="both"/>
        <w:rPr>
          <w:rFonts w:eastAsia="宋体"/>
          <w:kern w:val="2"/>
          <w:sz w:val="21"/>
          <w:lang w:eastAsia="zh-CN"/>
        </w:rPr>
      </w:pPr>
      <w:r>
        <w:rPr>
          <w:rFonts w:eastAsia="宋体"/>
          <w:kern w:val="2"/>
          <w:sz w:val="21"/>
          <w:lang w:eastAsia="zh-CN"/>
        </w:rPr>
        <w:t>第二章  对通用条款的补充内容及其他关键信息</w:t>
      </w:r>
    </w:p>
    <w:p>
      <w:pPr>
        <w:widowControl w:val="0"/>
        <w:spacing w:line="276" w:lineRule="auto"/>
        <w:ind w:firstLine="1050" w:firstLineChars="500"/>
        <w:jc w:val="both"/>
        <w:rPr>
          <w:rFonts w:eastAsia="宋体"/>
          <w:kern w:val="2"/>
          <w:sz w:val="21"/>
          <w:lang w:eastAsia="zh-CN"/>
        </w:rPr>
      </w:pPr>
      <w:r>
        <w:rPr>
          <w:rFonts w:eastAsia="宋体"/>
          <w:kern w:val="2"/>
          <w:sz w:val="21"/>
          <w:lang w:eastAsia="zh-CN"/>
        </w:rPr>
        <w:t>第三章  用户需求书</w:t>
      </w:r>
    </w:p>
    <w:p>
      <w:pPr>
        <w:widowControl w:val="0"/>
        <w:spacing w:line="276" w:lineRule="auto"/>
        <w:ind w:firstLine="1050" w:firstLineChars="500"/>
        <w:jc w:val="both"/>
        <w:rPr>
          <w:rFonts w:eastAsia="宋体"/>
          <w:kern w:val="2"/>
          <w:sz w:val="21"/>
          <w:lang w:eastAsia="zh-CN"/>
        </w:rPr>
      </w:pPr>
      <w:r>
        <w:rPr>
          <w:rFonts w:eastAsia="宋体"/>
          <w:kern w:val="2"/>
          <w:sz w:val="21"/>
          <w:lang w:eastAsia="zh-CN"/>
        </w:rPr>
        <w:t xml:space="preserve">第四章 </w:t>
      </w:r>
      <w:r>
        <w:rPr>
          <w:rFonts w:eastAsia="宋体" w:hint="eastAsia"/>
          <w:kern w:val="2"/>
          <w:sz w:val="21"/>
          <w:lang w:eastAsia="zh-CN"/>
        </w:rPr>
        <w:t xml:space="preserve"> </w:t>
      </w:r>
      <w:r>
        <w:rPr>
          <w:rFonts w:eastAsia="宋体"/>
          <w:kern w:val="2"/>
          <w:sz w:val="21"/>
          <w:lang w:eastAsia="zh-CN"/>
        </w:rPr>
        <w:t>投标文件组成要求及格式</w:t>
      </w:r>
    </w:p>
    <w:p>
      <w:pPr>
        <w:widowControl w:val="0"/>
        <w:spacing w:line="276" w:lineRule="auto"/>
        <w:ind w:firstLine="1050" w:firstLineChars="500"/>
        <w:jc w:val="both"/>
        <w:rPr>
          <w:rFonts w:eastAsia="宋体"/>
          <w:kern w:val="2"/>
          <w:sz w:val="21"/>
          <w:lang w:eastAsia="zh-CN"/>
        </w:rPr>
      </w:pPr>
      <w:r>
        <w:rPr>
          <w:rFonts w:eastAsia="宋体"/>
          <w:kern w:val="2"/>
          <w:sz w:val="21"/>
          <w:lang w:eastAsia="zh-CN"/>
        </w:rPr>
        <w:t>第五章  合同条款及格式</w:t>
      </w:r>
    </w:p>
    <w:p>
      <w:pPr>
        <w:widowControl w:val="0"/>
        <w:spacing w:line="276" w:lineRule="auto"/>
        <w:ind w:left="480" w:firstLine="412" w:leftChars="200" w:firstLineChars="196"/>
        <w:jc w:val="both"/>
        <w:rPr>
          <w:rFonts w:eastAsia="宋体"/>
          <w:b/>
          <w:kern w:val="2"/>
          <w:sz w:val="21"/>
          <w:szCs w:val="21"/>
          <w:lang w:eastAsia="zh-CN"/>
        </w:rPr>
      </w:pPr>
      <w:r>
        <w:rPr>
          <w:rFonts w:eastAsia="宋体"/>
          <w:b/>
          <w:kern w:val="2"/>
          <w:sz w:val="21"/>
          <w:szCs w:val="21"/>
          <w:lang w:eastAsia="zh-CN"/>
        </w:rPr>
        <w:t>第二册  通用条款</w:t>
      </w:r>
    </w:p>
    <w:p>
      <w:pPr>
        <w:widowControl w:val="0"/>
        <w:spacing w:line="276" w:lineRule="auto"/>
        <w:ind w:firstLine="1050" w:firstLineChars="500"/>
        <w:jc w:val="both"/>
        <w:rPr>
          <w:rFonts w:eastAsia="宋体"/>
          <w:kern w:val="2"/>
          <w:sz w:val="21"/>
          <w:lang w:eastAsia="zh-CN"/>
        </w:rPr>
      </w:pPr>
      <w:r>
        <w:rPr>
          <w:rFonts w:eastAsia="宋体"/>
          <w:kern w:val="2"/>
          <w:sz w:val="21"/>
          <w:lang w:eastAsia="zh-CN"/>
        </w:rPr>
        <w:t>第一章  总则</w:t>
      </w:r>
    </w:p>
    <w:p>
      <w:pPr>
        <w:widowControl w:val="0"/>
        <w:spacing w:line="276" w:lineRule="auto"/>
        <w:ind w:firstLine="1050" w:firstLineChars="500"/>
        <w:jc w:val="both"/>
        <w:rPr>
          <w:rFonts w:eastAsia="宋体"/>
          <w:kern w:val="2"/>
          <w:sz w:val="21"/>
          <w:lang w:eastAsia="zh-CN"/>
        </w:rPr>
      </w:pPr>
      <w:r>
        <w:rPr>
          <w:rFonts w:eastAsia="宋体"/>
          <w:kern w:val="2"/>
          <w:sz w:val="21"/>
          <w:lang w:eastAsia="zh-CN"/>
        </w:rPr>
        <w:t>第二章  招标文件</w:t>
      </w:r>
    </w:p>
    <w:p>
      <w:pPr>
        <w:widowControl w:val="0"/>
        <w:spacing w:line="276" w:lineRule="auto"/>
        <w:ind w:firstLine="1050" w:firstLineChars="500"/>
        <w:jc w:val="both"/>
        <w:rPr>
          <w:rFonts w:eastAsia="宋体"/>
          <w:kern w:val="2"/>
          <w:sz w:val="21"/>
          <w:lang w:eastAsia="zh-CN"/>
        </w:rPr>
      </w:pPr>
      <w:r>
        <w:rPr>
          <w:rFonts w:eastAsia="宋体"/>
          <w:kern w:val="2"/>
          <w:sz w:val="21"/>
          <w:lang w:eastAsia="zh-CN"/>
        </w:rPr>
        <w:t>第三章  投标文件的编制</w:t>
      </w:r>
    </w:p>
    <w:p>
      <w:pPr>
        <w:widowControl w:val="0"/>
        <w:spacing w:line="276" w:lineRule="auto"/>
        <w:ind w:firstLine="1050" w:firstLineChars="500"/>
        <w:jc w:val="both"/>
        <w:rPr>
          <w:rFonts w:eastAsia="宋体"/>
          <w:kern w:val="2"/>
          <w:sz w:val="21"/>
          <w:lang w:eastAsia="zh-CN"/>
        </w:rPr>
      </w:pPr>
      <w:r>
        <w:rPr>
          <w:rFonts w:eastAsia="宋体"/>
          <w:kern w:val="2"/>
          <w:sz w:val="21"/>
          <w:lang w:eastAsia="zh-CN"/>
        </w:rPr>
        <w:t>第四章  投标文件的递交</w:t>
      </w:r>
    </w:p>
    <w:p>
      <w:pPr>
        <w:widowControl w:val="0"/>
        <w:spacing w:line="276" w:lineRule="auto"/>
        <w:ind w:firstLine="1050" w:firstLineChars="500"/>
        <w:jc w:val="both"/>
        <w:rPr>
          <w:rFonts w:eastAsia="宋体"/>
          <w:kern w:val="2"/>
          <w:sz w:val="21"/>
          <w:lang w:eastAsia="zh-CN"/>
        </w:rPr>
      </w:pPr>
      <w:r>
        <w:rPr>
          <w:rFonts w:eastAsia="宋体"/>
          <w:kern w:val="2"/>
          <w:sz w:val="21"/>
          <w:lang w:eastAsia="zh-CN"/>
        </w:rPr>
        <w:t>第五章  开标</w:t>
      </w:r>
    </w:p>
    <w:p>
      <w:pPr>
        <w:widowControl w:val="0"/>
        <w:spacing w:line="276" w:lineRule="auto"/>
        <w:ind w:firstLine="1050" w:firstLineChars="500"/>
        <w:jc w:val="both"/>
        <w:rPr>
          <w:rFonts w:eastAsia="宋体"/>
          <w:kern w:val="2"/>
          <w:sz w:val="21"/>
          <w:lang w:eastAsia="zh-CN"/>
        </w:rPr>
      </w:pPr>
      <w:r>
        <w:rPr>
          <w:rFonts w:eastAsia="宋体"/>
          <w:kern w:val="2"/>
          <w:sz w:val="21"/>
          <w:lang w:eastAsia="zh-CN"/>
        </w:rPr>
        <w:t>第六章  评审要求</w:t>
      </w:r>
    </w:p>
    <w:p>
      <w:pPr>
        <w:widowControl w:val="0"/>
        <w:spacing w:line="276" w:lineRule="auto"/>
        <w:ind w:firstLine="1050" w:firstLineChars="500"/>
        <w:jc w:val="both"/>
        <w:rPr>
          <w:rFonts w:eastAsia="宋体"/>
          <w:kern w:val="2"/>
          <w:sz w:val="21"/>
          <w:lang w:eastAsia="zh-CN"/>
        </w:rPr>
      </w:pPr>
      <w:r>
        <w:rPr>
          <w:rFonts w:eastAsia="宋体"/>
          <w:kern w:val="2"/>
          <w:sz w:val="21"/>
          <w:lang w:eastAsia="zh-CN"/>
        </w:rPr>
        <w:t>第七章  评审程序及评审方法</w:t>
      </w:r>
    </w:p>
    <w:p>
      <w:pPr>
        <w:widowControl w:val="0"/>
        <w:spacing w:line="276" w:lineRule="auto"/>
        <w:ind w:firstLine="1050" w:firstLineChars="500"/>
        <w:jc w:val="both"/>
        <w:rPr>
          <w:rFonts w:eastAsia="宋体"/>
          <w:kern w:val="2"/>
          <w:sz w:val="21"/>
          <w:lang w:eastAsia="zh-CN"/>
        </w:rPr>
      </w:pPr>
      <w:r>
        <w:rPr>
          <w:rFonts w:eastAsia="宋体"/>
          <w:kern w:val="2"/>
          <w:sz w:val="21"/>
          <w:lang w:eastAsia="zh-CN"/>
        </w:rPr>
        <w:t>第八章  定标及公示</w:t>
      </w:r>
    </w:p>
    <w:p>
      <w:pPr>
        <w:widowControl w:val="0"/>
        <w:spacing w:line="276" w:lineRule="auto"/>
        <w:ind w:firstLine="1050" w:firstLineChars="500"/>
        <w:jc w:val="both"/>
        <w:rPr>
          <w:rFonts w:eastAsia="宋体"/>
          <w:kern w:val="2"/>
          <w:sz w:val="21"/>
          <w:lang w:eastAsia="zh-CN"/>
        </w:rPr>
      </w:pPr>
      <w:r>
        <w:rPr>
          <w:rFonts w:eastAsia="宋体"/>
          <w:kern w:val="2"/>
          <w:sz w:val="21"/>
          <w:lang w:eastAsia="zh-CN"/>
        </w:rPr>
        <w:t>第九章  公开招标失败的后续处理</w:t>
      </w:r>
    </w:p>
    <w:p>
      <w:pPr>
        <w:widowControl w:val="0"/>
        <w:spacing w:line="276" w:lineRule="auto"/>
        <w:ind w:firstLine="1050" w:firstLineChars="500"/>
        <w:jc w:val="both"/>
        <w:rPr>
          <w:rFonts w:eastAsia="宋体"/>
          <w:kern w:val="2"/>
          <w:sz w:val="21"/>
          <w:lang w:eastAsia="zh-CN"/>
        </w:rPr>
      </w:pPr>
      <w:r>
        <w:rPr>
          <w:rFonts w:eastAsia="宋体"/>
          <w:kern w:val="2"/>
          <w:sz w:val="21"/>
          <w:lang w:eastAsia="zh-CN"/>
        </w:rPr>
        <w:t>第十章  合同的授予与备案</w:t>
      </w:r>
    </w:p>
    <w:p>
      <w:pPr>
        <w:widowControl w:val="0"/>
        <w:spacing w:line="276" w:lineRule="auto"/>
        <w:ind w:firstLine="1050" w:firstLineChars="500"/>
        <w:jc w:val="both"/>
        <w:rPr>
          <w:rFonts w:eastAsia="宋体"/>
          <w:kern w:val="2"/>
          <w:sz w:val="21"/>
          <w:lang w:eastAsia="zh-CN"/>
        </w:rPr>
      </w:pPr>
      <w:r>
        <w:rPr>
          <w:rFonts w:eastAsia="宋体"/>
          <w:kern w:val="2"/>
          <w:sz w:val="21"/>
          <w:lang w:eastAsia="zh-CN"/>
        </w:rPr>
        <w:t>第十一章  质疑处理</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11.2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11.3</w:t>
      </w:r>
      <w:r>
        <w:rPr>
          <w:rFonts w:eastAsia="宋体"/>
          <w:kern w:val="2"/>
          <w:sz w:val="21"/>
          <w:lang w:eastAsia="zh-CN"/>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widowControl w:val="0"/>
        <w:spacing w:line="276" w:lineRule="auto"/>
        <w:jc w:val="both"/>
        <w:rPr>
          <w:rFonts w:eastAsia="黑体"/>
          <w:kern w:val="2"/>
          <w:lang w:eastAsia="zh-CN"/>
        </w:rPr>
      </w:pPr>
      <w:r>
        <w:rPr>
          <w:rFonts w:eastAsia="黑体"/>
          <w:kern w:val="2"/>
          <w:lang w:eastAsia="zh-CN"/>
        </w:rPr>
        <w:t>12．招标文件的澄清</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12.1招标文件澄清的目的是澄清、解答投标人在查阅招标文件后或现场踏勘中可能提出的与投标有关的疑问或询问。</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12.2投标人如对招标文件内容有疑问，应当在招标公告规定的澄清（提问）截止时间前以网上提问的形式通过网上政府采购系统提交政府集中采购机构。</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12.3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13.3、13.4款规定执行。</w:t>
      </w:r>
    </w:p>
    <w:p>
      <w:pPr>
        <w:widowControl w:val="0"/>
        <w:spacing w:line="276" w:lineRule="auto"/>
        <w:jc w:val="both"/>
        <w:rPr>
          <w:rFonts w:eastAsia="黑体"/>
          <w:kern w:val="2"/>
          <w:lang w:eastAsia="zh-CN"/>
        </w:rPr>
      </w:pPr>
      <w:r>
        <w:rPr>
          <w:rFonts w:eastAsia="黑体"/>
          <w:kern w:val="2"/>
          <w:lang w:eastAsia="zh-CN"/>
        </w:rPr>
        <w:t>13．招标文件的修改</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13.1招标文件发出后，在投标截止日期前任何时候，确需要变更招标文件内容的，政府集中采购机构可主动或在解答投标人提出的澄清问题时对招标文件进行修改。</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13.2招标文件的修改以书面形式（包括政府集中采购机构网站发布方式，如更正公告等）发送给所有投标人，招标文件的修改内容作为招标文件的组成部分，并具有约束力。</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1"/>
    </w:p>
    <w:p>
      <w:pPr>
        <w:keepNext/>
        <w:keepLines/>
        <w:widowControl w:val="0"/>
        <w:numPr>
          <w:ilvl w:val="0"/>
          <w:numId w:val="3"/>
        </w:numPr>
        <w:tabs>
          <w:tab w:val="left" w:pos="720"/>
        </w:tabs>
        <w:adjustRightInd w:val="0"/>
        <w:spacing w:before="120" w:beforeLines="50" w:after="120" w:afterLines="50" w:line="276" w:lineRule="auto"/>
        <w:ind w:left="562" w:hanging="562"/>
        <w:jc w:val="center"/>
        <w:textAlignment w:val="baseline"/>
        <w:outlineLvl w:val="1"/>
        <w:rPr>
          <w:rFonts w:eastAsia="宋体"/>
          <w:b/>
          <w:bCs/>
          <w:sz w:val="28"/>
          <w:szCs w:val="28"/>
          <w:lang w:eastAsia="zh-CN"/>
        </w:rPr>
      </w:pPr>
      <w:r>
        <w:rPr>
          <w:rFonts w:eastAsia="宋体"/>
          <w:b/>
          <w:bCs/>
          <w:sz w:val="28"/>
          <w:szCs w:val="28"/>
          <w:lang w:eastAsia="zh-CN"/>
        </w:rPr>
        <w:t>投标文件的编制</w:t>
      </w:r>
    </w:p>
    <w:p>
      <w:pPr>
        <w:widowControl w:val="0"/>
        <w:spacing w:line="276" w:lineRule="auto"/>
        <w:jc w:val="both"/>
        <w:rPr>
          <w:rFonts w:eastAsia="黑体"/>
          <w:kern w:val="2"/>
          <w:lang w:eastAsia="zh-CN"/>
        </w:rPr>
      </w:pPr>
      <w:r>
        <w:rPr>
          <w:rFonts w:eastAsia="黑体"/>
          <w:kern w:val="2"/>
          <w:lang w:eastAsia="zh-CN"/>
        </w:rPr>
        <w:t>14．</w:t>
      </w:r>
      <w:bookmarkStart w:id="52" w:name="_Hlk72400236"/>
      <w:r>
        <w:rPr>
          <w:rFonts w:eastAsia="黑体"/>
          <w:kern w:val="2"/>
          <w:lang w:eastAsia="zh-CN"/>
        </w:rPr>
        <w:t>投标文件的语言及度量单位</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14.1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14.2除技术规范另有规定外，投标文件使用的度量单位，均采用中华人民共和国法定计量单位。</w:t>
      </w:r>
    </w:p>
    <w:bookmarkEnd w:id="52"/>
    <w:p>
      <w:pPr>
        <w:widowControl w:val="0"/>
        <w:spacing w:line="276" w:lineRule="auto"/>
        <w:jc w:val="both"/>
        <w:rPr>
          <w:rFonts w:eastAsia="黑体"/>
          <w:kern w:val="2"/>
          <w:lang w:eastAsia="zh-CN"/>
        </w:rPr>
      </w:pPr>
      <w:r>
        <w:rPr>
          <w:rFonts w:eastAsia="黑体"/>
          <w:kern w:val="2"/>
          <w:lang w:eastAsia="zh-CN"/>
        </w:rPr>
        <w:t>15．</w:t>
      </w:r>
      <w:bookmarkStart w:id="53" w:name="_Hlk72401567"/>
      <w:r>
        <w:rPr>
          <w:rFonts w:eastAsia="黑体"/>
          <w:kern w:val="2"/>
          <w:lang w:eastAsia="zh-CN"/>
        </w:rPr>
        <w:t>投标文件的组成</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具体内容在招标文件专用条款中进行规定。</w:t>
      </w:r>
    </w:p>
    <w:p>
      <w:pPr>
        <w:widowControl w:val="0"/>
        <w:spacing w:line="276" w:lineRule="auto"/>
        <w:jc w:val="both"/>
        <w:rPr>
          <w:rFonts w:eastAsia="黑体"/>
          <w:kern w:val="2"/>
          <w:lang w:eastAsia="zh-CN"/>
        </w:rPr>
      </w:pPr>
      <w:r>
        <w:rPr>
          <w:rFonts w:eastAsia="黑体"/>
          <w:kern w:val="2"/>
          <w:lang w:eastAsia="zh-CN"/>
        </w:rPr>
        <w:t>16．投标文件格式</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投标文件包括本通用条款第15条中规定的内容。如招标文件提供了投标文件格式，则</w:t>
      </w:r>
      <w:r>
        <w:rPr>
          <w:rFonts w:eastAsia="宋体"/>
          <w:b/>
          <w:bCs/>
          <w:kern w:val="2"/>
          <w:sz w:val="21"/>
          <w:szCs w:val="21"/>
          <w:lang w:eastAsia="zh-CN"/>
        </w:rPr>
        <w:t>投标人提交的投标文件应毫无例外地使用招标文件所提供的相应格式</w:t>
      </w:r>
      <w:r>
        <w:rPr>
          <w:rFonts w:eastAsia="宋体"/>
          <w:kern w:val="2"/>
          <w:sz w:val="21"/>
          <w:szCs w:val="21"/>
          <w:lang w:eastAsia="zh-CN"/>
        </w:rPr>
        <w:t>（表格均可按同样格式扩展）。</w:t>
      </w:r>
    </w:p>
    <w:p>
      <w:pPr>
        <w:widowControl w:val="0"/>
        <w:spacing w:line="276" w:lineRule="auto"/>
        <w:jc w:val="both"/>
        <w:rPr>
          <w:rFonts w:eastAsia="黑体"/>
          <w:kern w:val="2"/>
          <w:lang w:eastAsia="zh-CN"/>
        </w:rPr>
      </w:pPr>
      <w:r>
        <w:rPr>
          <w:rFonts w:eastAsia="黑体"/>
          <w:kern w:val="2"/>
          <w:lang w:eastAsia="zh-CN"/>
        </w:rPr>
        <w:t>17．投标货币</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本项目的投标报价应以人民币计。</w:t>
      </w:r>
    </w:p>
    <w:bookmarkEnd w:id="53"/>
    <w:p>
      <w:pPr>
        <w:widowControl w:val="0"/>
        <w:spacing w:line="276" w:lineRule="auto"/>
        <w:jc w:val="both"/>
        <w:rPr>
          <w:rFonts w:eastAsia="黑体"/>
          <w:kern w:val="2"/>
          <w:lang w:eastAsia="zh-CN"/>
        </w:rPr>
      </w:pPr>
      <w:r>
        <w:rPr>
          <w:rFonts w:eastAsia="黑体"/>
          <w:kern w:val="2"/>
          <w:lang w:eastAsia="zh-CN"/>
        </w:rPr>
        <w:t>18．</w:t>
      </w:r>
      <w:bookmarkStart w:id="54" w:name="_Hlk72401735"/>
      <w:r>
        <w:rPr>
          <w:rFonts w:eastAsia="黑体"/>
          <w:kern w:val="2"/>
          <w:lang w:eastAsia="zh-CN"/>
        </w:rPr>
        <w:t>证明投标文件投标技术方案的合格性和符合招标文件规定的文件要求</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18.1投标人应提交证明文件，证明其投标技术方案项下的货物和服务的合格性符合招标文件规定。该投标技术方案及其证明文件均作为投标文件组成部分。</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18.2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18.2.1主要技术指标和性能的详细说明。</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18.2.2投标产品从采购人开始使用至招标文件中规定的周期内正常、连续地使用所必须的备件和专用工具清单，包括备件和专用工具的货源及现行价格。</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18.2.3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eastAsia="宋体"/>
          <w:kern w:val="2"/>
          <w:sz w:val="21"/>
          <w:lang w:eastAsia="zh-CN"/>
        </w:rPr>
        <w:t>清晰度要求能够使用电脑阅读、识别和判断</w:t>
      </w:r>
      <w:r>
        <w:rPr>
          <w:rFonts w:eastAsia="宋体"/>
          <w:kern w:val="2"/>
          <w:sz w:val="21"/>
          <w:szCs w:val="21"/>
          <w:lang w:eastAsia="zh-CN"/>
        </w:rPr>
        <w:t>；</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18.3相关资料不符合18.2款要求的，评审委员会有权认定为投标技术方案不合格响应，其相关分数予以扣减或作投标无效处理。</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eastAsia="宋体"/>
          <w:kern w:val="2"/>
          <w:sz w:val="21"/>
          <w:lang w:eastAsia="zh-CN"/>
        </w:rPr>
        <w:t>满足要求</w:t>
      </w:r>
      <w:r>
        <w:rPr>
          <w:rFonts w:eastAsia="宋体"/>
          <w:kern w:val="2"/>
          <w:sz w:val="21"/>
          <w:szCs w:val="21"/>
          <w:lang w:eastAsia="zh-CN"/>
        </w:rPr>
        <w:t>，由评审委员会来评判。</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18.5除非另有规定或说明，投标人对同一项目投标时，不得同时提供两套或两套以上的投标方案。</w:t>
      </w:r>
    </w:p>
    <w:bookmarkEnd w:id="54"/>
    <w:p>
      <w:pPr>
        <w:widowControl w:val="0"/>
        <w:spacing w:line="276" w:lineRule="auto"/>
        <w:jc w:val="both"/>
        <w:rPr>
          <w:rFonts w:eastAsia="黑体"/>
          <w:kern w:val="2"/>
          <w:lang w:eastAsia="zh-CN"/>
        </w:rPr>
      </w:pPr>
      <w:r>
        <w:rPr>
          <w:rFonts w:eastAsia="黑体"/>
          <w:kern w:val="2"/>
          <w:lang w:eastAsia="zh-CN"/>
        </w:rPr>
        <w:t>19．</w:t>
      </w:r>
      <w:bookmarkStart w:id="55" w:name="_Hlk72402034"/>
      <w:r>
        <w:rPr>
          <w:rFonts w:eastAsia="黑体"/>
          <w:kern w:val="2"/>
          <w:lang w:eastAsia="zh-CN"/>
        </w:rPr>
        <w:t>投标文件其他证明文件的要求</w:t>
      </w:r>
    </w:p>
    <w:p>
      <w:pPr>
        <w:widowControl w:val="0"/>
        <w:spacing w:line="276" w:lineRule="auto"/>
        <w:ind w:firstLine="420" w:firstLineChars="200"/>
        <w:jc w:val="both"/>
        <w:rPr>
          <w:rFonts w:eastAsia="宋体"/>
          <w:color w:val="FF0000"/>
          <w:kern w:val="2"/>
          <w:sz w:val="21"/>
          <w:szCs w:val="21"/>
          <w:lang w:eastAsia="zh-CN"/>
        </w:rPr>
      </w:pPr>
      <w:r>
        <w:rPr>
          <w:rFonts w:eastAsia="宋体"/>
          <w:kern w:val="2"/>
          <w:sz w:val="21"/>
          <w:szCs w:val="21"/>
          <w:lang w:eastAsia="zh-CN"/>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r>
        <w:rPr>
          <w:rFonts w:eastAsia="宋体" w:hint="eastAsia"/>
          <w:kern w:val="2"/>
          <w:sz w:val="21"/>
          <w:szCs w:val="21"/>
          <w:lang w:eastAsia="zh-CN"/>
        </w:rPr>
        <w:t>若投标人未按要求提供证明材料或提供的是部分证明材料或提供不清晰的扫描件（或照片）的，采购人、代理机构以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r>
        <w:rPr>
          <w:rFonts w:eastAsia="宋体"/>
          <w:kern w:val="2"/>
          <w:sz w:val="21"/>
          <w:szCs w:val="21"/>
          <w:lang w:eastAsia="zh-CN"/>
        </w:rPr>
        <w:t>。</w:t>
      </w:r>
      <w:bookmarkStart w:id="56" w:name="_Hlk71407299"/>
    </w:p>
    <w:bookmarkEnd w:id="56"/>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widowControl w:val="0"/>
        <w:spacing w:line="276" w:lineRule="auto"/>
        <w:jc w:val="both"/>
        <w:rPr>
          <w:rFonts w:eastAsia="黑体"/>
          <w:kern w:val="2"/>
          <w:lang w:eastAsia="zh-CN"/>
        </w:rPr>
      </w:pPr>
      <w:r>
        <w:rPr>
          <w:rFonts w:eastAsia="黑体"/>
          <w:kern w:val="2"/>
          <w:lang w:eastAsia="zh-CN"/>
        </w:rPr>
        <w:t>20．投标有效期</w:t>
      </w:r>
    </w:p>
    <w:bookmarkEnd w:id="55"/>
    <w:p>
      <w:pPr>
        <w:widowControl w:val="0"/>
        <w:spacing w:line="276" w:lineRule="auto"/>
        <w:ind w:firstLine="412" w:firstLineChars="196"/>
        <w:jc w:val="both"/>
        <w:rPr>
          <w:rFonts w:eastAsia="宋体"/>
          <w:kern w:val="2"/>
          <w:sz w:val="21"/>
          <w:szCs w:val="21"/>
          <w:lang w:eastAsia="zh-CN"/>
        </w:rPr>
      </w:pPr>
      <w:bookmarkStart w:id="57" w:name="_Hlk72402214"/>
      <w:r>
        <w:rPr>
          <w:rFonts w:eastAsia="宋体"/>
          <w:kern w:val="2"/>
          <w:sz w:val="21"/>
          <w:szCs w:val="21"/>
          <w:lang w:eastAsia="zh-CN"/>
        </w:rPr>
        <w:t>20.1投标有效期为从投标截止之日算起的日历天数。在此期限内，所有投标文件均保持有效。</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20.2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20.3中标供应商的投标文件有效期，截止于完成本招标文件规定的全部项目内容，并通过竣工验收及保修期结束。</w:t>
      </w:r>
    </w:p>
    <w:bookmarkEnd w:id="57"/>
    <w:p>
      <w:pPr>
        <w:widowControl w:val="0"/>
        <w:spacing w:line="276" w:lineRule="auto"/>
        <w:jc w:val="both"/>
        <w:rPr>
          <w:rFonts w:eastAsia="黑体"/>
          <w:kern w:val="2"/>
          <w:lang w:eastAsia="zh-CN"/>
        </w:rPr>
      </w:pPr>
      <w:r>
        <w:rPr>
          <w:rFonts w:eastAsia="黑体"/>
          <w:kern w:val="2"/>
          <w:lang w:eastAsia="zh-CN"/>
        </w:rPr>
        <w:t>21．</w:t>
      </w:r>
      <w:bookmarkStart w:id="58" w:name="_Hlk72402325"/>
      <w:r>
        <w:rPr>
          <w:rFonts w:eastAsia="黑体"/>
          <w:kern w:val="2"/>
          <w:lang w:eastAsia="zh-CN"/>
        </w:rPr>
        <w:t xml:space="preserve">关于投标保证金 </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21.1</w:t>
      </w:r>
      <w:r>
        <w:rPr>
          <w:rFonts w:eastAsia="宋体" w:hint="eastAsia"/>
          <w:kern w:val="2"/>
          <w:sz w:val="21"/>
          <w:lang w:eastAsia="zh-CN"/>
        </w:rPr>
        <w:t>根据《深圳市财政局关于调整政府采购投标（响应）保证金管理政策的通知》（深财购〔2021〕51号）文的规定，本项目不收取投标保证金。</w:t>
      </w:r>
    </w:p>
    <w:p>
      <w:pPr>
        <w:widowControl w:val="0"/>
        <w:spacing w:line="276" w:lineRule="auto"/>
        <w:jc w:val="both"/>
        <w:rPr>
          <w:rFonts w:eastAsia="黑体"/>
          <w:kern w:val="2"/>
          <w:lang w:eastAsia="zh-CN"/>
        </w:rPr>
      </w:pPr>
      <w:r>
        <w:rPr>
          <w:rFonts w:eastAsia="黑体"/>
          <w:kern w:val="2"/>
          <w:lang w:eastAsia="zh-CN"/>
        </w:rPr>
        <w:t>22．投标人的替代方案</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22.2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8"/>
    <w:p>
      <w:pPr>
        <w:widowControl w:val="0"/>
        <w:spacing w:line="276" w:lineRule="auto"/>
        <w:jc w:val="both"/>
        <w:rPr>
          <w:rFonts w:eastAsia="黑体"/>
          <w:kern w:val="2"/>
          <w:lang w:eastAsia="zh-CN"/>
        </w:rPr>
      </w:pPr>
      <w:r>
        <w:rPr>
          <w:rFonts w:eastAsia="黑体"/>
          <w:kern w:val="2"/>
          <w:lang w:eastAsia="zh-CN"/>
        </w:rPr>
        <w:t>23．</w:t>
      </w:r>
      <w:bookmarkStart w:id="59" w:name="_Hlk72402860"/>
      <w:r>
        <w:rPr>
          <w:rFonts w:eastAsia="黑体"/>
          <w:kern w:val="2"/>
          <w:lang w:eastAsia="zh-CN"/>
        </w:rPr>
        <w:t>投标文件的制作要求</w:t>
      </w:r>
    </w:p>
    <w:p>
      <w:pPr>
        <w:widowControl w:val="0"/>
        <w:wordWrap w:val="0"/>
        <w:spacing w:line="276" w:lineRule="auto"/>
        <w:ind w:firstLine="412" w:firstLineChars="196"/>
        <w:jc w:val="both"/>
        <w:rPr>
          <w:rFonts w:eastAsia="宋体"/>
          <w:kern w:val="2"/>
          <w:sz w:val="21"/>
          <w:lang w:eastAsia="zh-CN"/>
        </w:rPr>
      </w:pPr>
      <w:r>
        <w:rPr>
          <w:rFonts w:eastAsia="宋体"/>
          <w:kern w:val="2"/>
          <w:sz w:val="21"/>
          <w:lang w:eastAsia="zh-CN"/>
        </w:rPr>
        <w:t>23.1</w:t>
      </w:r>
      <w:r>
        <w:rPr>
          <w:rFonts w:eastAsia="宋体" w:hint="eastAsia"/>
          <w:kern w:val="2"/>
          <w:sz w:val="21"/>
          <w:lang w:eastAsia="zh-CN"/>
        </w:rPr>
        <w:t>投标人应准备所投项目的电子投标文件一份。</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23.2投标人在使用《</w:t>
      </w:r>
      <w:r>
        <w:rPr>
          <w:rFonts w:ascii="宋体" w:eastAsia="宋体" w:hAnsi="宋体" w:cstheme="minorBidi" w:hint="eastAsia"/>
          <w:kern w:val="2"/>
          <w:sz w:val="21"/>
          <w:szCs w:val="21"/>
          <w:lang w:eastAsia="zh-CN"/>
        </w:rPr>
        <w:t>投标书编制软件</w:t>
      </w:r>
      <w:r>
        <w:rPr>
          <w:rFonts w:eastAsia="宋体"/>
          <w:kern w:val="2"/>
          <w:sz w:val="21"/>
          <w:lang w:eastAsia="zh-CN"/>
        </w:rPr>
        <w:t>》编制投标书时须注意：</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23.2.1导入《</w:t>
      </w:r>
      <w:r>
        <w:rPr>
          <w:rFonts w:ascii="宋体" w:eastAsia="宋体" w:hAnsi="宋体" w:cstheme="minorBidi" w:hint="eastAsia"/>
          <w:kern w:val="2"/>
          <w:sz w:val="21"/>
          <w:szCs w:val="21"/>
          <w:lang w:eastAsia="zh-CN"/>
        </w:rPr>
        <w:t>投标书编制软件</w:t>
      </w:r>
      <w:r>
        <w:rPr>
          <w:rFonts w:eastAsia="宋体"/>
          <w:kern w:val="2"/>
          <w:sz w:val="21"/>
          <w:lang w:eastAsia="zh-CN"/>
        </w:rPr>
        <w:t>》的招标文件项目编号、包号应与以此制作的投标文件项目编号、包号一致。例如，不能将甲项目A包的招标书导入《</w:t>
      </w:r>
      <w:r>
        <w:rPr>
          <w:rFonts w:ascii="宋体" w:eastAsia="宋体" w:hAnsi="宋体" w:cstheme="minorBidi" w:hint="eastAsia"/>
          <w:kern w:val="2"/>
          <w:sz w:val="21"/>
          <w:szCs w:val="21"/>
          <w:lang w:eastAsia="zh-CN"/>
        </w:rPr>
        <w:t>投标书编制软件</w:t>
      </w:r>
      <w:r>
        <w:rPr>
          <w:rFonts w:eastAsia="宋体"/>
          <w:kern w:val="2"/>
          <w:sz w:val="21"/>
          <w:lang w:eastAsia="zh-CN"/>
        </w:rPr>
        <w:t>》，制作乙项目B包的投标书。</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23.2.2不能用非本公司的电子密钥加密本公司的投标文件，或者用其它公司的登录用户上传本公司的投标文件。</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23.2.3要求用《</w:t>
      </w:r>
      <w:r>
        <w:rPr>
          <w:rFonts w:ascii="宋体" w:eastAsia="宋体" w:hAnsi="宋体" w:cstheme="minorBidi" w:hint="eastAsia"/>
          <w:kern w:val="2"/>
          <w:sz w:val="21"/>
          <w:szCs w:val="21"/>
          <w:lang w:eastAsia="zh-CN"/>
        </w:rPr>
        <w:t>投标书编制软件</w:t>
      </w:r>
      <w:r>
        <w:rPr>
          <w:rFonts w:eastAsia="宋体"/>
          <w:kern w:val="2"/>
          <w:sz w:val="21"/>
          <w:lang w:eastAsia="zh-CN"/>
        </w:rPr>
        <w:t>》编制投标书的包，不能用其它方式编制投标书。编制投标文件时，电脑须连通互联网。</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23.2.4投标文件不能带病毒。政府集中采购机构将用专业杀毒软件对投标文件进行病毒检测，如果软件报告发现病毒，则政府集中采购机构认为该投标文件带病毒。</w:t>
      </w:r>
    </w:p>
    <w:p>
      <w:pPr>
        <w:widowControl w:val="0"/>
        <w:spacing w:line="276" w:lineRule="auto"/>
        <w:ind w:firstLine="420" w:firstLineChars="200"/>
        <w:jc w:val="both"/>
        <w:rPr>
          <w:rFonts w:eastAsia="宋体"/>
          <w:b/>
          <w:kern w:val="2"/>
          <w:sz w:val="21"/>
          <w:lang w:eastAsia="zh-CN"/>
        </w:rPr>
      </w:pPr>
      <w:r>
        <w:rPr>
          <w:rFonts w:eastAsia="宋体"/>
          <w:kern w:val="2"/>
          <w:sz w:val="21"/>
          <w:lang w:eastAsia="zh-CN"/>
        </w:rPr>
        <w:t>23.2.5</w:t>
      </w:r>
      <w:r>
        <w:rPr>
          <w:rFonts w:eastAsia="宋体"/>
          <w:b/>
          <w:kern w:val="2"/>
          <w:sz w:val="21"/>
          <w:lang w:eastAsia="zh-CN"/>
        </w:rPr>
        <w:t>“开标一览表”中的“投标报价”将作为价格分计算依据；其它信息仅是对投标文件相关内容的概括性表述，不作为评审依据。</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23.2.6投标人在编辑投标文件时，</w:t>
      </w:r>
      <w:r>
        <w:rPr>
          <w:rFonts w:eastAsia="宋体"/>
          <w:b/>
          <w:kern w:val="2"/>
          <w:sz w:val="21"/>
          <w:lang w:eastAsia="zh-CN"/>
        </w:rPr>
        <w:t>在投标文件目录中属于本节点内容的必须在本节点中填写，填写到其他节点或附件，</w:t>
      </w:r>
      <w:r>
        <w:rPr>
          <w:rFonts w:eastAsia="宋体"/>
          <w:kern w:val="2"/>
          <w:sz w:val="21"/>
          <w:lang w:eastAsia="zh-CN"/>
        </w:rPr>
        <w:t>一切后果由供应商自行承担。</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23.2.</w:t>
      </w:r>
      <w:r>
        <w:rPr>
          <w:rFonts w:eastAsia="宋体" w:hint="eastAsia"/>
          <w:kern w:val="2"/>
          <w:sz w:val="21"/>
          <w:lang w:eastAsia="zh-CN"/>
        </w:rPr>
        <w:t>7</w:t>
      </w:r>
      <w:r>
        <w:rPr>
          <w:rFonts w:eastAsia="宋体"/>
          <w:kern w:val="2"/>
          <w:sz w:val="21"/>
          <w:lang w:eastAsia="zh-CN"/>
        </w:rPr>
        <w:t>政府集中采购机构不接受投标截止时间后递交的纸质、电子、传真等所有形式的投标文件。由于对网上</w:t>
      </w:r>
      <w:r>
        <w:rPr>
          <w:rFonts w:eastAsia="宋体" w:hint="eastAsia"/>
          <w:kern w:val="2"/>
          <w:sz w:val="21"/>
          <w:lang w:eastAsia="zh-CN"/>
        </w:rPr>
        <w:t>自行</w:t>
      </w:r>
      <w:r>
        <w:rPr>
          <w:rFonts w:eastAsia="宋体"/>
          <w:kern w:val="2"/>
          <w:sz w:val="21"/>
          <w:lang w:eastAsia="zh-CN"/>
        </w:rPr>
        <w:t>采购系统操作不熟悉或自身电脑、网络等原因导致不能在投标截止时间之前上传投标文件，政府集中采购机构概不负责。建议于开标前一个工作日完成投标文件的制作与上传，如上传确有困难，请及时咨询。</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23.2.</w:t>
      </w:r>
      <w:r>
        <w:rPr>
          <w:rFonts w:eastAsia="宋体" w:hint="eastAsia"/>
          <w:kern w:val="2"/>
          <w:sz w:val="21"/>
          <w:lang w:eastAsia="zh-CN"/>
        </w:rPr>
        <w:t>8</w:t>
      </w:r>
      <w:r>
        <w:rPr>
          <w:rFonts w:eastAsia="宋体"/>
          <w:kern w:val="2"/>
          <w:sz w:val="21"/>
          <w:lang w:eastAsia="zh-CN"/>
        </w:rPr>
        <w:t>如果开标时出现网络故障、技术故障，影响了政府采购活动，政府集中采购机构有权采取措施如延期、接受无法从网上上传的投标书等，以保障政府采购活动的公开、公平和公正。</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23.3电报、电话、传真形式的投标概不接受。</w:t>
      </w:r>
    </w:p>
    <w:p>
      <w:pPr>
        <w:widowControl w:val="0"/>
        <w:spacing w:line="276" w:lineRule="auto"/>
        <w:ind w:firstLine="412" w:firstLineChars="196"/>
        <w:jc w:val="both"/>
        <w:rPr>
          <w:rFonts w:eastAsia="宋体"/>
          <w:b/>
          <w:kern w:val="2"/>
          <w:sz w:val="21"/>
          <w:lang w:eastAsia="zh-CN"/>
        </w:rPr>
      </w:pPr>
      <w:r>
        <w:rPr>
          <w:rFonts w:eastAsia="宋体"/>
          <w:b/>
          <w:kern w:val="2"/>
          <w:sz w:val="21"/>
          <w:lang w:eastAsia="zh-CN"/>
        </w:rPr>
        <w:t>23.4</w:t>
      </w:r>
      <w:r>
        <w:rPr>
          <w:rFonts w:ascii="宋体" w:eastAsia="宋体" w:hAnsi="宋体" w:cstheme="minorBidi" w:hint="eastAsia"/>
          <w:b/>
          <w:kern w:val="2"/>
          <w:sz w:val="21"/>
          <w:szCs w:val="21"/>
          <w:lang w:eastAsia="zh-CN"/>
        </w:rPr>
        <w:t>全流程线上投标的投标文件无须盖章或签字</w:t>
      </w:r>
      <w:r>
        <w:rPr>
          <w:rFonts w:eastAsia="宋体"/>
          <w:b/>
          <w:kern w:val="2"/>
          <w:sz w:val="21"/>
          <w:lang w:eastAsia="zh-CN"/>
        </w:rPr>
        <w:t>，</w:t>
      </w:r>
      <w:r>
        <w:rPr>
          <w:rFonts w:eastAsia="宋体"/>
          <w:kern w:val="2"/>
          <w:sz w:val="21"/>
          <w:lang w:eastAsia="zh-CN"/>
        </w:rPr>
        <w:t>专用条款另有要求的除外。</w:t>
      </w:r>
    </w:p>
    <w:p>
      <w:pPr>
        <w:widowControl w:val="0"/>
        <w:spacing w:line="276" w:lineRule="auto"/>
        <w:ind w:firstLine="412" w:firstLineChars="196"/>
        <w:jc w:val="both"/>
        <w:rPr>
          <w:rFonts w:eastAsia="宋体"/>
          <w:kern w:val="2"/>
          <w:sz w:val="21"/>
          <w:lang w:eastAsia="zh-CN"/>
        </w:rPr>
      </w:pPr>
      <w:r>
        <w:rPr>
          <w:rFonts w:eastAsia="宋体"/>
          <w:b/>
          <w:kern w:val="2"/>
          <w:sz w:val="21"/>
          <w:lang w:eastAsia="zh-CN"/>
        </w:rPr>
        <w:t>23.5</w:t>
      </w:r>
      <w:r>
        <w:rPr>
          <w:rFonts w:eastAsia="宋体"/>
          <w:kern w:val="2"/>
          <w:sz w:val="21"/>
          <w:lang w:eastAsia="zh-CN"/>
        </w:rPr>
        <w:t xml:space="preserve"> 各类资格（资质）文件提供扫描件，专用条款另有要求的除外。</w:t>
      </w:r>
      <w:bookmarkEnd w:id="59"/>
    </w:p>
    <w:p>
      <w:pPr>
        <w:keepNext/>
        <w:keepLines/>
        <w:widowControl w:val="0"/>
        <w:numPr>
          <w:ilvl w:val="0"/>
          <w:numId w:val="3"/>
        </w:numPr>
        <w:tabs>
          <w:tab w:val="left" w:pos="720"/>
        </w:tabs>
        <w:adjustRightInd w:val="0"/>
        <w:spacing w:before="120" w:beforeLines="50" w:after="120" w:afterLines="50" w:line="276" w:lineRule="auto"/>
        <w:ind w:left="562" w:hanging="562"/>
        <w:jc w:val="center"/>
        <w:textAlignment w:val="baseline"/>
        <w:outlineLvl w:val="1"/>
        <w:rPr>
          <w:rFonts w:eastAsia="宋体"/>
          <w:b/>
          <w:bCs/>
          <w:sz w:val="28"/>
          <w:szCs w:val="28"/>
          <w:lang w:eastAsia="zh-CN"/>
        </w:rPr>
      </w:pPr>
      <w:r>
        <w:rPr>
          <w:rFonts w:eastAsia="宋体"/>
          <w:b/>
          <w:bCs/>
          <w:sz w:val="28"/>
          <w:szCs w:val="28"/>
          <w:lang w:eastAsia="zh-CN"/>
        </w:rPr>
        <w:t>投标文件的递交</w:t>
      </w:r>
      <w:bookmarkStart w:id="60" w:name="_Hlk72405459"/>
    </w:p>
    <w:p>
      <w:pPr>
        <w:widowControl w:val="0"/>
        <w:spacing w:line="276" w:lineRule="auto"/>
        <w:jc w:val="both"/>
        <w:rPr>
          <w:rFonts w:eastAsia="黑体"/>
          <w:kern w:val="2"/>
          <w:lang w:eastAsia="zh-CN"/>
        </w:rPr>
      </w:pPr>
      <w:r>
        <w:rPr>
          <w:rFonts w:eastAsia="黑体"/>
          <w:kern w:val="2"/>
          <w:lang w:eastAsia="zh-CN"/>
        </w:rPr>
        <w:t>24．投标</w:t>
      </w:r>
      <w:r>
        <w:rPr>
          <w:rFonts w:eastAsia="黑体" w:hint="eastAsia"/>
          <w:kern w:val="2"/>
          <w:lang w:eastAsia="zh-CN"/>
        </w:rPr>
        <w:t>文件</w:t>
      </w:r>
      <w:r>
        <w:rPr>
          <w:rFonts w:eastAsia="黑体"/>
          <w:kern w:val="2"/>
          <w:lang w:eastAsia="zh-CN"/>
        </w:rPr>
        <w:t>的保密</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24.1</w:t>
      </w:r>
      <w:r>
        <w:rPr>
          <w:rFonts w:ascii="宋体" w:eastAsia="宋体" w:hAnsi="宋体" w:cstheme="minorBidi" w:hint="eastAsia"/>
          <w:kern w:val="2"/>
          <w:sz w:val="21"/>
          <w:szCs w:val="21"/>
          <w:lang w:eastAsia="zh-CN"/>
        </w:rPr>
        <w:t>在投标文件制作完成后，生成后会选择是否加密投标文件，如不加密则直接点击生成文件即可，如需加密请插入CA锁，点击加密后生成文件，需输入CA锁密码即可加密成功。加密后会提示文件生成成功！</w:t>
      </w:r>
    </w:p>
    <w:p>
      <w:pPr>
        <w:widowControl w:val="0"/>
        <w:spacing w:line="276" w:lineRule="auto"/>
        <w:ind w:firstLine="420" w:firstLineChars="200"/>
        <w:jc w:val="both"/>
        <w:rPr>
          <w:rFonts w:eastAsia="宋体"/>
          <w:b/>
          <w:kern w:val="2"/>
          <w:sz w:val="21"/>
          <w:lang w:eastAsia="zh-CN"/>
        </w:rPr>
      </w:pPr>
      <w:r>
        <w:rPr>
          <w:rFonts w:eastAsia="宋体"/>
          <w:b/>
          <w:kern w:val="2"/>
          <w:sz w:val="21"/>
          <w:lang w:eastAsia="zh-CN"/>
        </w:rPr>
        <w:t>24.2若采购项目出现延期情况：</w:t>
      </w:r>
    </w:p>
    <w:p>
      <w:pPr>
        <w:widowControl w:val="0"/>
        <w:spacing w:line="276" w:lineRule="auto"/>
        <w:ind w:firstLine="420" w:firstLineChars="200"/>
        <w:jc w:val="both"/>
        <w:rPr>
          <w:rFonts w:eastAsia="黑体"/>
          <w:b/>
          <w:kern w:val="2"/>
          <w:lang w:eastAsia="zh-CN"/>
        </w:rPr>
      </w:pPr>
      <w:r>
        <w:rPr>
          <w:rFonts w:eastAsia="宋体"/>
          <w:b/>
          <w:kern w:val="2"/>
          <w:sz w:val="21"/>
          <w:lang w:eastAsia="zh-CN"/>
        </w:rPr>
        <w:t>如果供下载的招标文件有更新，投标人必须重新下载招标文件、重新制作投标文件、重新加密投标文件、重新上传投标文件</w:t>
      </w:r>
      <w:r>
        <w:rPr>
          <w:rFonts w:eastAsia="宋体" w:hint="eastAsia"/>
          <w:b/>
          <w:kern w:val="2"/>
          <w:sz w:val="21"/>
          <w:lang w:eastAsia="zh-CN"/>
        </w:rPr>
        <w:t>。</w:t>
      </w:r>
    </w:p>
    <w:p>
      <w:pPr>
        <w:widowControl w:val="0"/>
        <w:spacing w:line="276" w:lineRule="auto"/>
        <w:jc w:val="both"/>
        <w:rPr>
          <w:rFonts w:eastAsia="黑体"/>
          <w:kern w:val="2"/>
          <w:lang w:eastAsia="zh-CN"/>
        </w:rPr>
      </w:pPr>
      <w:r>
        <w:rPr>
          <w:rFonts w:eastAsia="黑体"/>
          <w:kern w:val="2"/>
          <w:lang w:eastAsia="zh-CN"/>
        </w:rPr>
        <w:t>25．上传投标文件及投标截止日期</w:t>
      </w:r>
    </w:p>
    <w:p>
      <w:pPr>
        <w:widowControl w:val="0"/>
        <w:ind w:firstLine="420" w:firstLineChars="200"/>
        <w:jc w:val="both"/>
        <w:rPr>
          <w:rFonts w:eastAsia="宋体"/>
          <w:kern w:val="2"/>
          <w:sz w:val="21"/>
          <w:lang w:eastAsia="zh-CN"/>
        </w:rPr>
      </w:pPr>
      <w:r>
        <w:rPr>
          <w:rFonts w:eastAsia="宋体"/>
          <w:kern w:val="2"/>
          <w:sz w:val="21"/>
          <w:lang w:eastAsia="zh-CN"/>
        </w:rPr>
        <w:t>25.1实行网上投标，投标人必须在招标文件规定的投标截止时间前用电子密钥登录</w:t>
      </w:r>
      <w:r>
        <w:rPr>
          <w:rFonts w:eastAsia="宋体" w:hint="eastAsia"/>
          <w:kern w:val="2"/>
          <w:sz w:val="21"/>
          <w:lang w:eastAsia="zh-CN"/>
        </w:rPr>
        <w:t>“</w:t>
      </w:r>
      <w:r>
        <w:rPr>
          <w:rFonts w:ascii="宋体" w:eastAsia="宋体" w:hAnsi="宋体" w:cstheme="minorBidi" w:hint="eastAsia"/>
          <w:kern w:val="2"/>
          <w:sz w:val="21"/>
          <w:szCs w:val="21"/>
          <w:lang w:eastAsia="zh-CN"/>
        </w:rPr>
        <w:t>深圳政府采购自行采购系统（https://trade.szggzy.com/ggzy/center/#/login）</w:t>
      </w:r>
      <w:r>
        <w:rPr>
          <w:rFonts w:eastAsia="宋体" w:hint="eastAsia"/>
          <w:kern w:val="2"/>
          <w:sz w:val="21"/>
          <w:lang w:eastAsia="zh-CN"/>
        </w:rPr>
        <w:t>”</w:t>
      </w:r>
      <w:r>
        <w:rPr>
          <w:rFonts w:eastAsia="宋体"/>
          <w:kern w:val="2"/>
          <w:sz w:val="21"/>
          <w:lang w:eastAsia="zh-CN"/>
        </w:rPr>
        <w:t>。如上传过程中遇到问题，可拨打</w:t>
      </w:r>
      <w:r>
        <w:rPr>
          <w:rFonts w:eastAsia="宋体" w:hint="eastAsia"/>
          <w:kern w:val="2"/>
          <w:sz w:val="21"/>
          <w:lang w:eastAsia="zh-CN"/>
        </w:rPr>
        <w:t>采购公告中</w:t>
      </w:r>
      <w:r>
        <w:rPr>
          <w:rFonts w:eastAsia="宋体"/>
          <w:kern w:val="2"/>
          <w:sz w:val="21"/>
          <w:lang w:eastAsia="zh-CN"/>
        </w:rPr>
        <w:t>技术支持电话。</w:t>
      </w:r>
      <w:r>
        <w:rPr>
          <w:rFonts w:ascii="宋体" w:eastAsia="宋体" w:hAnsi="宋体" w:cstheme="minorBidi" w:hint="eastAsia"/>
          <w:kern w:val="2"/>
          <w:sz w:val="21"/>
          <w:szCs w:val="21"/>
          <w:lang w:eastAsia="zh-CN"/>
        </w:rPr>
        <w:t>如多次上传均告失败，请在投标截止时间之前携带加密后的电子投标文件送达至深圳公共资源交易中心（深圳交易集团有限公司南山分公司）3楼服务大厅（地址：深圳市南山区沙河西路3185号南山智谷A座深圳交易集团总部大楼）</w:t>
      </w:r>
      <w:r>
        <w:rPr>
          <w:rFonts w:ascii="宋体" w:eastAsia="宋体" w:hAnsi="宋体" w:cstheme="minorBidi"/>
          <w:kern w:val="2"/>
          <w:sz w:val="21"/>
          <w:szCs w:val="21"/>
          <w:lang w:eastAsia="zh-CN"/>
        </w:rPr>
        <w:t>协助上传</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但上传过程</w:t>
      </w:r>
      <w:r>
        <w:rPr>
          <w:rFonts w:ascii="宋体" w:eastAsia="宋体" w:hAnsi="宋体" w:cstheme="minorBidi" w:hint="eastAsia"/>
          <w:kern w:val="2"/>
          <w:sz w:val="21"/>
          <w:szCs w:val="21"/>
          <w:lang w:eastAsia="zh-CN"/>
        </w:rPr>
        <w:t>中</w:t>
      </w:r>
      <w:r>
        <w:rPr>
          <w:rFonts w:ascii="宋体" w:eastAsia="宋体" w:hAnsi="宋体" w:cstheme="minorBidi"/>
          <w:kern w:val="2"/>
          <w:sz w:val="21"/>
          <w:szCs w:val="21"/>
          <w:lang w:eastAsia="zh-CN"/>
        </w:rPr>
        <w:t>投标截止时间到达仍无法上传成功的，由投标人自行负责</w:t>
      </w:r>
      <w:r>
        <w:rPr>
          <w:rFonts w:ascii="宋体" w:eastAsia="宋体" w:hAnsi="宋体" w:cstheme="minorBidi" w:hint="eastAsia"/>
          <w:kern w:val="2"/>
          <w:sz w:val="21"/>
          <w:szCs w:val="21"/>
          <w:lang w:eastAsia="zh-CN"/>
        </w:rPr>
        <w:t>。</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25.3投标截止时间以后不得上传投标文件。</w:t>
      </w:r>
    </w:p>
    <w:bookmarkEnd w:id="60"/>
    <w:p>
      <w:pPr>
        <w:widowControl w:val="0"/>
        <w:spacing w:line="276" w:lineRule="auto"/>
        <w:jc w:val="both"/>
        <w:rPr>
          <w:rFonts w:eastAsia="黑体"/>
          <w:kern w:val="2"/>
          <w:lang w:eastAsia="zh-CN"/>
        </w:rPr>
      </w:pPr>
      <w:r>
        <w:rPr>
          <w:rFonts w:eastAsia="黑体"/>
          <w:kern w:val="2"/>
          <w:lang w:eastAsia="zh-CN"/>
        </w:rPr>
        <w:t>26．样品、演示、方案讲解</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26.1 样品、演示、方案讲解等事项在招标文件专用条款中进行规定。</w:t>
      </w:r>
    </w:p>
    <w:p>
      <w:pPr>
        <w:widowControl w:val="0"/>
        <w:spacing w:line="276" w:lineRule="auto"/>
        <w:jc w:val="both"/>
        <w:rPr>
          <w:rFonts w:eastAsia="黑体"/>
          <w:kern w:val="2"/>
          <w:lang w:eastAsia="zh-CN"/>
        </w:rPr>
      </w:pPr>
      <w:bookmarkStart w:id="61" w:name="_Hlk72428346"/>
      <w:r>
        <w:rPr>
          <w:rFonts w:eastAsia="黑体"/>
          <w:kern w:val="2"/>
          <w:lang w:eastAsia="zh-CN"/>
        </w:rPr>
        <w:t>27．投标文件的修改和撤销</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27.1投标方在提交投标文件后可对其投标文件进行修改并重新上传投标文件或在网上进行撤销投标的操作。</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27.2投标截止时间以后不得修改投标文件。</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27.3从投标截止期至投标人在投标文件中确定的投标有效期之间的这段时间内，投标人不得撤回其投标。</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27.4政府集中采购机构不退还投标文件，专用条款另有规定的除外。</w:t>
      </w:r>
    </w:p>
    <w:bookmarkEnd w:id="61"/>
    <w:p>
      <w:pPr>
        <w:keepNext/>
        <w:keepLines/>
        <w:widowControl w:val="0"/>
        <w:numPr>
          <w:ilvl w:val="0"/>
          <w:numId w:val="3"/>
        </w:numPr>
        <w:tabs>
          <w:tab w:val="left" w:pos="720"/>
        </w:tabs>
        <w:adjustRightInd w:val="0"/>
        <w:spacing w:before="120" w:beforeLines="50" w:after="120" w:afterLines="50" w:line="276" w:lineRule="auto"/>
        <w:ind w:left="562" w:hanging="562"/>
        <w:jc w:val="center"/>
        <w:textAlignment w:val="baseline"/>
        <w:outlineLvl w:val="1"/>
        <w:rPr>
          <w:rFonts w:eastAsia="宋体"/>
          <w:b/>
          <w:bCs/>
          <w:sz w:val="28"/>
          <w:szCs w:val="28"/>
          <w:lang w:eastAsia="zh-CN"/>
        </w:rPr>
      </w:pPr>
      <w:r>
        <w:rPr>
          <w:rFonts w:eastAsia="宋体"/>
          <w:b/>
          <w:bCs/>
          <w:sz w:val="28"/>
          <w:szCs w:val="28"/>
          <w:lang w:eastAsia="zh-CN"/>
        </w:rPr>
        <w:t>开标</w:t>
      </w:r>
    </w:p>
    <w:p>
      <w:pPr>
        <w:widowControl w:val="0"/>
        <w:spacing w:line="276" w:lineRule="auto"/>
        <w:jc w:val="both"/>
        <w:rPr>
          <w:rFonts w:eastAsia="黑体"/>
          <w:kern w:val="2"/>
          <w:lang w:eastAsia="zh-CN"/>
        </w:rPr>
      </w:pPr>
      <w:r>
        <w:rPr>
          <w:rFonts w:eastAsia="黑体"/>
          <w:kern w:val="2"/>
          <w:lang w:eastAsia="zh-CN"/>
        </w:rPr>
        <w:t>28．开标</w:t>
      </w:r>
    </w:p>
    <w:p>
      <w:pPr>
        <w:widowControl w:val="0"/>
        <w:spacing w:line="276" w:lineRule="auto"/>
        <w:ind w:firstLine="420" w:firstLineChars="200"/>
        <w:jc w:val="both"/>
        <w:rPr>
          <w:rFonts w:eastAsia="宋体"/>
          <w:kern w:val="2"/>
          <w:sz w:val="21"/>
          <w:lang w:eastAsia="zh-CN"/>
        </w:rPr>
      </w:pPr>
      <w:r>
        <w:rPr>
          <w:rFonts w:eastAsia="宋体"/>
          <w:kern w:val="2"/>
          <w:sz w:val="21"/>
          <w:szCs w:val="21"/>
          <w:lang w:eastAsia="zh-CN"/>
        </w:rPr>
        <w:t>28.1</w:t>
      </w:r>
      <w:r>
        <w:rPr>
          <w:rFonts w:eastAsia="宋体"/>
          <w:kern w:val="2"/>
          <w:sz w:val="21"/>
          <w:lang w:eastAsia="zh-CN"/>
        </w:rPr>
        <w:t>投标人须在开标当日的开标时间至解密截止时间内进行解密，逾期未解密的作无效处理。解密方法：登录“</w:t>
      </w:r>
      <w:r>
        <w:rPr>
          <w:rFonts w:ascii="宋体" w:eastAsia="宋体" w:hAnsi="宋体" w:cstheme="minorBidi" w:hint="eastAsia"/>
          <w:kern w:val="2"/>
          <w:sz w:val="21"/>
          <w:szCs w:val="21"/>
          <w:lang w:eastAsia="zh-CN"/>
        </w:rPr>
        <w:t>深圳政府采购自行采购系统（https://trade.szggzy.com/ggzy/center/#/login）</w:t>
      </w:r>
      <w:r>
        <w:rPr>
          <w:rFonts w:eastAsia="宋体"/>
          <w:kern w:val="2"/>
          <w:sz w:val="21"/>
          <w:lang w:eastAsia="zh-CN"/>
        </w:rPr>
        <w:t>”，使用本单位制作电子投标文件同一个电子密钥进行在线解密、查询开标情况。</w:t>
      </w:r>
    </w:p>
    <w:p>
      <w:pPr>
        <w:widowControl w:val="0"/>
        <w:spacing w:line="276" w:lineRule="auto"/>
        <w:ind w:firstLine="359" w:firstLineChars="171"/>
        <w:jc w:val="both"/>
        <w:rPr>
          <w:rFonts w:eastAsia="宋体"/>
          <w:kern w:val="2"/>
          <w:sz w:val="21"/>
          <w:szCs w:val="21"/>
          <w:lang w:eastAsia="zh-CN"/>
        </w:rPr>
      </w:pPr>
      <w:r>
        <w:rPr>
          <w:rFonts w:eastAsia="宋体"/>
          <w:kern w:val="2"/>
          <w:sz w:val="21"/>
          <w:szCs w:val="21"/>
          <w:lang w:eastAsia="zh-CN"/>
        </w:rPr>
        <w:t>28.2</w:t>
      </w:r>
      <w:r>
        <w:rPr>
          <w:rFonts w:eastAsia="宋体" w:hint="eastAsia"/>
          <w:kern w:val="2"/>
          <w:sz w:val="21"/>
          <w:szCs w:val="21"/>
          <w:lang w:eastAsia="zh-CN"/>
        </w:rPr>
        <w:t>政府集中采购机构将在满足开标条件（①解密时间结束，解密后的投标供应商数量满足开标要求或②解密时间结束前所有投标供应商均完成投标文件解密）后，对投标文件进行开标，并在网上公布开标结果。</w:t>
      </w:r>
    </w:p>
    <w:p>
      <w:pPr>
        <w:keepNext/>
        <w:keepLines/>
        <w:widowControl w:val="0"/>
        <w:numPr>
          <w:ilvl w:val="0"/>
          <w:numId w:val="3"/>
        </w:numPr>
        <w:tabs>
          <w:tab w:val="left" w:pos="720"/>
        </w:tabs>
        <w:adjustRightInd w:val="0"/>
        <w:spacing w:before="120" w:beforeLines="50" w:after="120" w:afterLines="50" w:line="276" w:lineRule="auto"/>
        <w:ind w:left="562" w:hanging="562"/>
        <w:jc w:val="center"/>
        <w:textAlignment w:val="baseline"/>
        <w:outlineLvl w:val="1"/>
        <w:rPr>
          <w:rFonts w:eastAsia="宋体"/>
          <w:b/>
          <w:bCs/>
          <w:sz w:val="28"/>
          <w:szCs w:val="28"/>
          <w:lang w:eastAsia="zh-CN"/>
        </w:rPr>
      </w:pPr>
      <w:r>
        <w:rPr>
          <w:rFonts w:eastAsia="宋体"/>
          <w:b/>
          <w:bCs/>
          <w:sz w:val="28"/>
          <w:szCs w:val="28"/>
          <w:lang w:eastAsia="zh-CN"/>
        </w:rPr>
        <w:t>评审要求</w:t>
      </w:r>
    </w:p>
    <w:p>
      <w:pPr>
        <w:widowControl w:val="0"/>
        <w:spacing w:line="276" w:lineRule="auto"/>
        <w:jc w:val="both"/>
        <w:rPr>
          <w:rFonts w:eastAsia="黑体"/>
          <w:kern w:val="2"/>
          <w:lang w:eastAsia="zh-CN"/>
        </w:rPr>
      </w:pPr>
      <w:r>
        <w:rPr>
          <w:rFonts w:eastAsia="黑体"/>
          <w:kern w:val="2"/>
          <w:lang w:eastAsia="zh-CN"/>
        </w:rPr>
        <w:t>29．评审委员会组成</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29.1网上开标结束后召开评审会议，</w:t>
      </w:r>
      <w:r>
        <w:rPr>
          <w:rFonts w:eastAsia="宋体"/>
          <w:kern w:val="2"/>
          <w:sz w:val="21"/>
          <w:szCs w:val="21"/>
          <w:lang w:eastAsia="zh-CN"/>
        </w:rPr>
        <w:t>评审委员会</w:t>
      </w:r>
      <w:r>
        <w:rPr>
          <w:rFonts w:eastAsia="宋体"/>
          <w:kern w:val="2"/>
          <w:sz w:val="21"/>
          <w:lang w:eastAsia="zh-CN"/>
        </w:rPr>
        <w:t>由政府集中采购机构依法组建，负责评审活动。</w:t>
      </w:r>
    </w:p>
    <w:p>
      <w:pPr>
        <w:widowControl w:val="0"/>
        <w:spacing w:line="276" w:lineRule="auto"/>
        <w:ind w:firstLine="412" w:firstLineChars="196"/>
        <w:jc w:val="both"/>
        <w:rPr>
          <w:rFonts w:eastAsia="宋体"/>
          <w:kern w:val="2"/>
          <w:sz w:val="21"/>
          <w:lang w:eastAsia="zh-CN"/>
        </w:rPr>
      </w:pPr>
      <w:bookmarkStart w:id="62" w:name="_Hlk72436580"/>
      <w:r>
        <w:rPr>
          <w:rFonts w:eastAsia="宋体"/>
          <w:kern w:val="2"/>
          <w:sz w:val="21"/>
          <w:lang w:eastAsia="zh-CN"/>
        </w:rPr>
        <w:t>评审委员会由采购人代表和评审专家组成，成员人数应当为5人以上单数（部分条件下为7人以上单数），其中评审专家不得少于成员总数的三分之二。</w:t>
      </w:r>
      <w:bookmarkEnd w:id="62"/>
      <w:r>
        <w:rPr>
          <w:rFonts w:eastAsia="宋体"/>
          <w:kern w:val="2"/>
          <w:sz w:val="21"/>
          <w:lang w:eastAsia="zh-CN"/>
        </w:rPr>
        <w:t>评定分离项目评审专家均由评审专家组成。</w:t>
      </w:r>
      <w:r>
        <w:rPr>
          <w:rFonts w:eastAsia="宋体"/>
          <w:kern w:val="2"/>
          <w:sz w:val="21"/>
          <w:szCs w:val="21"/>
          <w:lang w:eastAsia="zh-CN"/>
        </w:rPr>
        <w:t>评审专家一般是</w:t>
      </w:r>
      <w:r>
        <w:rPr>
          <w:rFonts w:eastAsia="宋体"/>
          <w:kern w:val="2"/>
          <w:sz w:val="21"/>
          <w:lang w:eastAsia="zh-CN"/>
        </w:rPr>
        <w:t>从深圳市政府采购评审专家库中随机抽取。采购人代表须持</w:t>
      </w:r>
      <w:r>
        <w:rPr>
          <w:rFonts w:eastAsia="宋体" w:hint="eastAsia"/>
          <w:kern w:val="2"/>
          <w:sz w:val="21"/>
          <w:lang w:eastAsia="zh-CN"/>
        </w:rPr>
        <w:t>本单位签发</w:t>
      </w:r>
      <w:r>
        <w:rPr>
          <w:rFonts w:eastAsia="宋体"/>
          <w:kern w:val="2"/>
          <w:sz w:val="21"/>
          <w:lang w:eastAsia="zh-CN"/>
        </w:rPr>
        <w:t>的《评审授权书》参加评审。</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29.2评审定标应当遵循公平、公正、科学、择优的原则。</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29.3评审活动依法进行，任何单位和个人不得非法干预评标过程和结果。</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29.4评审过程中不允许违背评标程序或采用招标文件未载明的评标方法或评标因素进行评标。</w:t>
      </w:r>
    </w:p>
    <w:p>
      <w:pPr>
        <w:widowControl w:val="0"/>
        <w:spacing w:line="276" w:lineRule="auto"/>
        <w:ind w:firstLine="412" w:firstLineChars="196"/>
        <w:jc w:val="both"/>
        <w:rPr>
          <w:rFonts w:eastAsia="宋体"/>
          <w:bCs/>
          <w:kern w:val="2"/>
          <w:sz w:val="21"/>
          <w:lang w:eastAsia="zh-CN"/>
        </w:rPr>
      </w:pPr>
      <w:r>
        <w:rPr>
          <w:rFonts w:eastAsia="宋体"/>
          <w:bCs/>
          <w:kern w:val="2"/>
          <w:sz w:val="21"/>
          <w:lang w:eastAsia="zh-CN"/>
        </w:rPr>
        <w:t>29.5 开标后，直到签订合同为止，凡属于对投标文件的审查、澄清、评价和比较的有关资料以及中标候选人的推荐情况、与评审有关的其他任何情况均严格保密（</w:t>
      </w:r>
      <w:r>
        <w:rPr>
          <w:rFonts w:eastAsia="宋体"/>
          <w:kern w:val="2"/>
          <w:sz w:val="21"/>
          <w:lang w:eastAsia="zh-CN"/>
        </w:rPr>
        <w:t>信息公开的内容除外</w:t>
      </w:r>
      <w:r>
        <w:rPr>
          <w:rFonts w:eastAsia="宋体"/>
          <w:bCs/>
          <w:kern w:val="2"/>
          <w:sz w:val="21"/>
          <w:lang w:eastAsia="zh-CN"/>
        </w:rPr>
        <w:t>）。</w:t>
      </w:r>
    </w:p>
    <w:p>
      <w:pPr>
        <w:widowControl w:val="0"/>
        <w:spacing w:line="276" w:lineRule="auto"/>
        <w:jc w:val="both"/>
        <w:rPr>
          <w:rFonts w:eastAsia="黑体"/>
          <w:kern w:val="2"/>
          <w:lang w:eastAsia="zh-CN"/>
        </w:rPr>
      </w:pPr>
      <w:r>
        <w:rPr>
          <w:rFonts w:eastAsia="黑体"/>
          <w:kern w:val="2"/>
          <w:lang w:eastAsia="zh-CN"/>
        </w:rPr>
        <w:t>30．向评审委员会提供的资料</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30.1公开发布的招标文件，包括图纸、服务清单、答疑文件等；</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30.2其他评标必须的资料。</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30.3</w:t>
      </w:r>
      <w:r>
        <w:rPr>
          <w:rFonts w:eastAsia="宋体"/>
          <w:kern w:val="2"/>
          <w:sz w:val="21"/>
          <w:szCs w:val="21"/>
          <w:lang w:eastAsia="zh-CN"/>
        </w:rPr>
        <w:t>评审委员会</w:t>
      </w:r>
      <w:r>
        <w:rPr>
          <w:rFonts w:eastAsia="宋体"/>
          <w:kern w:val="2"/>
          <w:sz w:val="21"/>
          <w:lang w:eastAsia="zh-CN"/>
        </w:rPr>
        <w:t>应当认真研究招标文件，至少应了解熟悉以下内容：</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（1）招标的目的；</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（2）招标项目需求的范围和性质；</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（3）招标文件规定的投标人的资格、预算金额、商务条款；</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（4）招标文件规定的评标程序、评标方法和评标因素；</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（5）招标文件所列示的资格性审查表及符合性审查表。</w:t>
      </w:r>
    </w:p>
    <w:p>
      <w:pPr>
        <w:widowControl w:val="0"/>
        <w:spacing w:line="276" w:lineRule="auto"/>
        <w:jc w:val="both"/>
        <w:rPr>
          <w:rFonts w:eastAsia="黑体"/>
          <w:kern w:val="2"/>
          <w:lang w:eastAsia="zh-CN"/>
        </w:rPr>
      </w:pPr>
      <w:r>
        <w:rPr>
          <w:rFonts w:eastAsia="黑体"/>
          <w:kern w:val="2"/>
          <w:lang w:eastAsia="zh-CN"/>
        </w:rPr>
        <w:t>31．独立评审</w:t>
      </w:r>
    </w:p>
    <w:p>
      <w:pPr>
        <w:widowControl w:val="0"/>
        <w:spacing w:line="276" w:lineRule="auto"/>
        <w:ind w:firstLine="412" w:firstLineChars="196"/>
        <w:jc w:val="both"/>
        <w:rPr>
          <w:rFonts w:eastAsia="宋体"/>
          <w:bCs/>
          <w:kern w:val="2"/>
          <w:sz w:val="21"/>
          <w:lang w:eastAsia="zh-CN"/>
        </w:rPr>
      </w:pPr>
      <w:r>
        <w:rPr>
          <w:rFonts w:eastAsia="宋体"/>
          <w:bCs/>
          <w:kern w:val="2"/>
          <w:sz w:val="21"/>
          <w:lang w:eastAsia="zh-CN"/>
        </w:rPr>
        <w:t>31.1</w:t>
      </w:r>
      <w:r>
        <w:rPr>
          <w:rFonts w:eastAsia="宋体"/>
          <w:kern w:val="2"/>
          <w:sz w:val="21"/>
          <w:szCs w:val="21"/>
          <w:lang w:eastAsia="zh-CN"/>
        </w:rPr>
        <w:t>评审委员会</w:t>
      </w:r>
      <w:r>
        <w:rPr>
          <w:rFonts w:eastAsia="宋体"/>
          <w:bCs/>
          <w:kern w:val="2"/>
          <w:sz w:val="21"/>
          <w:lang w:eastAsia="zh-CN"/>
        </w:rPr>
        <w:t>成员的评标活动应当独立进行，并应遵循投标文件初审、澄清有关问题、比较与评价、确定中标供应商、编写评审报告的工作程序。</w:t>
      </w:r>
    </w:p>
    <w:p>
      <w:pPr>
        <w:keepNext/>
        <w:keepLines/>
        <w:widowControl w:val="0"/>
        <w:numPr>
          <w:ilvl w:val="0"/>
          <w:numId w:val="3"/>
        </w:numPr>
        <w:tabs>
          <w:tab w:val="left" w:pos="720"/>
        </w:tabs>
        <w:adjustRightInd w:val="0"/>
        <w:spacing w:before="120" w:beforeLines="50" w:after="120" w:afterLines="50" w:line="276" w:lineRule="auto"/>
        <w:ind w:left="562" w:hanging="562"/>
        <w:jc w:val="center"/>
        <w:textAlignment w:val="baseline"/>
        <w:outlineLvl w:val="1"/>
        <w:rPr>
          <w:rFonts w:eastAsia="宋体"/>
          <w:b/>
          <w:bCs/>
          <w:sz w:val="28"/>
          <w:szCs w:val="28"/>
          <w:lang w:eastAsia="zh-CN"/>
        </w:rPr>
      </w:pPr>
      <w:r>
        <w:rPr>
          <w:rFonts w:eastAsia="宋体"/>
          <w:b/>
          <w:bCs/>
          <w:sz w:val="28"/>
          <w:szCs w:val="28"/>
          <w:lang w:eastAsia="zh-CN"/>
        </w:rPr>
        <w:t>评审程序及评审方法</w:t>
      </w:r>
    </w:p>
    <w:p>
      <w:pPr>
        <w:widowControl w:val="0"/>
        <w:spacing w:line="276" w:lineRule="auto"/>
        <w:jc w:val="both"/>
        <w:rPr>
          <w:rFonts w:eastAsia="黑体"/>
          <w:kern w:val="2"/>
          <w:lang w:eastAsia="zh-CN"/>
        </w:rPr>
      </w:pPr>
      <w:r>
        <w:rPr>
          <w:rFonts w:eastAsia="黑体"/>
          <w:kern w:val="2"/>
          <w:lang w:eastAsia="zh-CN"/>
        </w:rPr>
        <w:t>32．投标文件初审</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32.1投标文件初审包括资格性审查和符合性审查。</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资格性审查：依据法律法规和招标文件的规定，对投标文件中的资格证明等进行审查，以确定投标供应商是否具备投标资格。</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符合性审查：依据招标文件的规定，对投标文件的有效性、完整性和对招标文件的响应程度进行审查，以确定是否满足符合性审查的要求。</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32.2 投标文件初审内容请详见《资格性审查表》和《符合性审查表》部分。投标人若有一条审查不通过则按投标无效处理。</w:t>
      </w:r>
    </w:p>
    <w:p>
      <w:pPr>
        <w:widowControl w:val="0"/>
        <w:spacing w:line="276" w:lineRule="auto"/>
        <w:ind w:firstLine="412" w:firstLineChars="196"/>
        <w:jc w:val="both"/>
        <w:rPr>
          <w:rFonts w:eastAsia="宋体"/>
          <w:bCs/>
          <w:kern w:val="2"/>
          <w:sz w:val="21"/>
          <w:lang w:eastAsia="zh-CN"/>
        </w:rPr>
      </w:pPr>
      <w:r>
        <w:rPr>
          <w:rFonts w:eastAsia="宋体"/>
          <w:bCs/>
          <w:kern w:val="2"/>
          <w:sz w:val="21"/>
          <w:lang w:eastAsia="zh-CN"/>
        </w:rPr>
        <w:t>32.3 投标文件初审中关于供应商家数的计算:</w:t>
      </w:r>
    </w:p>
    <w:p>
      <w:pPr>
        <w:widowControl w:val="0"/>
        <w:spacing w:line="276" w:lineRule="auto"/>
        <w:ind w:firstLine="412" w:firstLineChars="196"/>
        <w:jc w:val="both"/>
        <w:rPr>
          <w:rFonts w:eastAsia="宋体"/>
          <w:bCs/>
          <w:kern w:val="2"/>
          <w:sz w:val="21"/>
          <w:lang w:eastAsia="zh-CN"/>
        </w:rPr>
      </w:pPr>
      <w:r>
        <w:rPr>
          <w:rFonts w:eastAsia="宋体"/>
          <w:bCs/>
          <w:kern w:val="2"/>
          <w:sz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widowControl w:val="0"/>
        <w:spacing w:line="276" w:lineRule="auto"/>
        <w:ind w:firstLine="412" w:firstLineChars="196"/>
        <w:jc w:val="both"/>
        <w:rPr>
          <w:rFonts w:eastAsia="宋体"/>
          <w:bCs/>
          <w:kern w:val="2"/>
          <w:sz w:val="21"/>
          <w:lang w:eastAsia="zh-CN"/>
        </w:rPr>
      </w:pPr>
      <w:r>
        <w:rPr>
          <w:rFonts w:eastAsia="宋体"/>
          <w:bCs/>
          <w:kern w:val="2"/>
          <w:sz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eastAsia="宋体"/>
          <w:bCs/>
          <w:kern w:val="2"/>
          <w:sz w:val="21"/>
          <w:szCs w:val="21"/>
          <w:lang w:eastAsia="zh-CN"/>
        </w:rPr>
        <w:t>评审委员会</w:t>
      </w:r>
      <w:r>
        <w:rPr>
          <w:rFonts w:eastAsia="宋体"/>
          <w:bCs/>
          <w:kern w:val="2"/>
          <w:sz w:val="21"/>
          <w:lang w:eastAsia="zh-CN"/>
        </w:rPr>
        <w:t>按照招标文件规定的方式确定一个投标人获得中标人推荐资格，招标文件未规定的采取随机抽取方式确定，其他同品牌投标人不作为中标候选人。</w:t>
      </w:r>
    </w:p>
    <w:p>
      <w:pPr>
        <w:widowControl w:val="0"/>
        <w:spacing w:line="276" w:lineRule="auto"/>
        <w:ind w:firstLine="412" w:firstLineChars="196"/>
        <w:jc w:val="both"/>
        <w:rPr>
          <w:rFonts w:eastAsia="宋体"/>
          <w:bCs/>
          <w:kern w:val="2"/>
          <w:sz w:val="21"/>
          <w:lang w:eastAsia="zh-CN"/>
        </w:rPr>
      </w:pPr>
      <w:r>
        <w:rPr>
          <w:rFonts w:eastAsia="宋体"/>
          <w:bCs/>
          <w:kern w:val="2"/>
          <w:sz w:val="21"/>
          <w:lang w:eastAsia="zh-CN"/>
        </w:rPr>
        <w:t>32.3.3非单一产品采购项目，采购人应当根据采购项目技术构成、产品价格比重等合理确定核心产品，并在招标文件中载明。多家投标人提供的核心产品品牌相同的，按前两款规定处理。</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32.4投标人投标文件作无效处理的情形，具体包括但不限于以下：</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32.4.1不同投标人的投标文件由同一单位或者同一个人编制，或者由同一个人分阶段参与编制；</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32.4.2不同投标人委托同一单位或者个人办理投标事宜；</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32.4.3不同投标人的投标文件载明的项目管理成员或者联系人员为同一人；</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32.4.4不同投标人的投标文件异常一致或者投标报价呈规律性差异；</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32.4.5不同投标供应商的投标文件或部分投标文件相互混装；</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32.4.6投标供应商之间相互约定给予未中标的供应商利益补偿；</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32.4.7不同投标供应商的法定代表人、主要经营负责人、项目投标授权代表人、项目负责人、主要技术人员为同一人、属同一单位或者同一单位缴纳社会保险；</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32.4.8不同投标供应商的投标文件内容存在非正常一致；</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32.4.9在同一单位工作人员为两家以上（含两家）供应商进行同一项投标活动；</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32.4.10主管部门依照法律、法规认定的其他情形。</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32.5对不属于《资格性审查表》和《符合性审查表》所列的其他情形，除专用条款另有规定和32.4条款所列情形外，不得作为投标无效的理由。</w:t>
      </w:r>
    </w:p>
    <w:p>
      <w:pPr>
        <w:widowControl w:val="0"/>
        <w:spacing w:line="276" w:lineRule="auto"/>
        <w:jc w:val="both"/>
        <w:rPr>
          <w:rFonts w:eastAsia="黑体"/>
          <w:kern w:val="2"/>
          <w:lang w:eastAsia="zh-CN"/>
        </w:rPr>
      </w:pPr>
      <w:r>
        <w:rPr>
          <w:rFonts w:eastAsia="黑体"/>
          <w:kern w:val="2"/>
          <w:lang w:eastAsia="zh-CN"/>
        </w:rPr>
        <w:t>33．澄清有关问题</w:t>
      </w:r>
    </w:p>
    <w:p>
      <w:pPr>
        <w:widowControl w:val="0"/>
        <w:spacing w:line="276" w:lineRule="auto"/>
        <w:ind w:firstLine="412" w:firstLineChars="196"/>
        <w:jc w:val="both"/>
        <w:rPr>
          <w:rFonts w:eastAsia="宋体"/>
          <w:kern w:val="2"/>
          <w:sz w:val="21"/>
          <w:lang w:eastAsia="zh-CN"/>
        </w:rPr>
      </w:pPr>
      <w:bookmarkStart w:id="63" w:name="_Hlk71407321"/>
      <w:r>
        <w:rPr>
          <w:rFonts w:eastAsia="宋体"/>
          <w:kern w:val="2"/>
          <w:sz w:val="21"/>
          <w:lang w:eastAsia="zh-CN"/>
        </w:rPr>
        <w:t>33.1对招标文件中描述有歧义或前后不一致的地方（不含</w:t>
      </w:r>
      <w:r>
        <w:rPr>
          <w:rFonts w:eastAsia="宋体"/>
          <w:kern w:val="2"/>
          <w:sz w:val="21"/>
          <w:szCs w:val="21"/>
          <w:lang w:eastAsia="zh-CN"/>
        </w:rPr>
        <w:t>招标文件存在歧义、重大缺陷导致评审工作无法进行的情况）</w:t>
      </w:r>
      <w:r>
        <w:rPr>
          <w:rFonts w:eastAsia="宋体"/>
          <w:kern w:val="2"/>
          <w:sz w:val="21"/>
          <w:lang w:eastAsia="zh-CN"/>
        </w:rPr>
        <w:t>，评审委员会有权进行评判，但对同一条款的评判应适用于每个投标人。</w:t>
      </w:r>
      <w:bookmarkEnd w:id="63"/>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33.2</w:t>
      </w:r>
      <w:r>
        <w:rPr>
          <w:rFonts w:eastAsia="宋体"/>
          <w:kern w:val="2"/>
          <w:sz w:val="21"/>
          <w:szCs w:val="21"/>
          <w:lang w:eastAsia="zh-CN"/>
        </w:rPr>
        <w:t>评审委员会发现招标文件存在歧义、重大缺陷导致评审工作无法进行，或者招标文件内容违反国家有关强制性规定的，应当停止评审工作，与政府集中采购机构沟通并作书面记录。经确认后，项目应当修改招标文件，重新组织采购活动。</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33.3对于投标文件中含义不明确、同类问题表述不一致或者有明显文字和计算错误的内容，评审委员会应当以书面形式要求投标人作出必要的澄清、说明或者补正。</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根据本通用条款第34条，凡属于评审委员会在评审中发现的算术错误进行核实的修改不在此列。</w:t>
      </w:r>
    </w:p>
    <w:p>
      <w:pPr>
        <w:widowControl w:val="0"/>
        <w:spacing w:line="276" w:lineRule="auto"/>
        <w:jc w:val="both"/>
        <w:rPr>
          <w:rFonts w:eastAsia="黑体"/>
          <w:kern w:val="2"/>
          <w:lang w:eastAsia="zh-CN"/>
        </w:rPr>
      </w:pPr>
      <w:bookmarkStart w:id="64" w:name="_Toc73521669"/>
      <w:bookmarkStart w:id="65" w:name="_Toc73518151"/>
      <w:bookmarkStart w:id="66" w:name="_Toc100052400"/>
      <w:bookmarkStart w:id="67" w:name="_Toc73521581"/>
      <w:bookmarkStart w:id="68" w:name="_Toc73517673"/>
      <w:r>
        <w:rPr>
          <w:rFonts w:eastAsia="黑体"/>
          <w:kern w:val="2"/>
          <w:lang w:eastAsia="zh-CN"/>
        </w:rPr>
        <w:t>34．错误的修正</w:t>
      </w:r>
      <w:bookmarkEnd w:id="64"/>
      <w:bookmarkEnd w:id="65"/>
      <w:bookmarkEnd w:id="66"/>
      <w:bookmarkEnd w:id="67"/>
      <w:bookmarkEnd w:id="68"/>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投标文件报价出现前后不一致的，除专用条款另有规定外，按照下列规定修正：</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34.1投标文件中开标一览表投标报价内容与投标文件中投标报价相应内容不一致的，以开标一览表为准；</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34.2大写金额和小写金额不一致的，以大写金额为准；</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34.3单价金额小数点或者百分比有明显错位，以开标一览表的总价为准，并修改单价；</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34.4总价金额与按单价汇总金额不一致的，以单价金额计算结果为准。</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34.5同时出现两种以上不一致的，按照前款规定的顺序修正。修正后的报价按照本通用条款33条的规定，经投标人确认后产生约束力，投标人不确认的，其投标无效。</w:t>
      </w:r>
    </w:p>
    <w:p>
      <w:pPr>
        <w:widowControl w:val="0"/>
        <w:spacing w:line="276" w:lineRule="auto"/>
        <w:jc w:val="both"/>
        <w:rPr>
          <w:rFonts w:eastAsia="黑体"/>
          <w:kern w:val="2"/>
          <w:lang w:eastAsia="zh-CN"/>
        </w:rPr>
      </w:pPr>
      <w:r>
        <w:rPr>
          <w:rFonts w:eastAsia="黑体"/>
          <w:kern w:val="2"/>
          <w:lang w:eastAsia="zh-CN"/>
        </w:rPr>
        <w:t>35．投标文件的比较与评价</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评审委员会成员对需要共同认定的事项存在争议的，应当按照少数服从多数的原则作出结论。持不同意见的评审委员会成员应当书面作出说明，否则视为无异议。</w:t>
      </w:r>
    </w:p>
    <w:p>
      <w:pPr>
        <w:widowControl w:val="0"/>
        <w:spacing w:line="276" w:lineRule="auto"/>
        <w:jc w:val="both"/>
        <w:rPr>
          <w:rFonts w:eastAsia="黑体"/>
          <w:kern w:val="2"/>
          <w:lang w:eastAsia="zh-CN"/>
        </w:rPr>
      </w:pPr>
      <w:r>
        <w:rPr>
          <w:rFonts w:eastAsia="黑体"/>
          <w:kern w:val="2"/>
          <w:lang w:eastAsia="zh-CN"/>
        </w:rPr>
        <w:t>36. 实地考察</w:t>
      </w:r>
    </w:p>
    <w:p>
      <w:pPr>
        <w:widowControl w:val="0"/>
        <w:ind w:firstLine="412"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36.1在评审期间，评审委员会根据招标文件规定（详见“一、对通用条款的补充内容”），有权对本项目的投标人开展实地考察，投标人需时刻做好接收实地考察的准备。</w:t>
      </w:r>
    </w:p>
    <w:p>
      <w:pPr>
        <w:widowControl w:val="0"/>
        <w:spacing w:line="276" w:lineRule="auto"/>
        <w:jc w:val="both"/>
        <w:rPr>
          <w:rFonts w:eastAsia="黑体"/>
          <w:kern w:val="2"/>
          <w:lang w:eastAsia="zh-CN"/>
        </w:rPr>
      </w:pPr>
      <w:r>
        <w:rPr>
          <w:rFonts w:eastAsia="黑体"/>
          <w:kern w:val="2"/>
          <w:lang w:eastAsia="zh-CN"/>
        </w:rPr>
        <w:t>37．评审方法</w:t>
      </w:r>
    </w:p>
    <w:p>
      <w:pPr>
        <w:widowControl w:val="0"/>
        <w:spacing w:line="276" w:lineRule="auto"/>
        <w:ind w:firstLine="412" w:firstLineChars="196"/>
        <w:jc w:val="both"/>
        <w:rPr>
          <w:rFonts w:eastAsia="宋体"/>
          <w:b/>
          <w:bCs/>
          <w:kern w:val="2"/>
          <w:sz w:val="21"/>
          <w:szCs w:val="21"/>
          <w:lang w:eastAsia="zh-CN"/>
        </w:rPr>
      </w:pPr>
      <w:r>
        <w:rPr>
          <w:rFonts w:eastAsia="宋体"/>
          <w:b/>
          <w:bCs/>
          <w:kern w:val="2"/>
          <w:sz w:val="21"/>
          <w:szCs w:val="21"/>
          <w:lang w:eastAsia="zh-CN"/>
        </w:rPr>
        <w:t>37.1.1最低价法</w:t>
      </w:r>
    </w:p>
    <w:p>
      <w:pPr>
        <w:widowControl w:val="0"/>
        <w:spacing w:line="276" w:lineRule="auto"/>
        <w:ind w:firstLine="412" w:firstLineChars="196"/>
        <w:jc w:val="both"/>
        <w:rPr>
          <w:rFonts w:eastAsia="宋体"/>
          <w:kern w:val="2"/>
          <w:sz w:val="21"/>
          <w:lang w:eastAsia="zh-CN"/>
        </w:rPr>
      </w:pPr>
      <w:bookmarkStart w:id="69" w:name="_Hlk72438142"/>
      <w:r>
        <w:rPr>
          <w:rFonts w:eastAsia="宋体"/>
          <w:kern w:val="2"/>
          <w:sz w:val="21"/>
          <w:lang w:eastAsia="zh-CN"/>
        </w:rPr>
        <w:t>最低价法，是指完全满足招标文件实质性要求，按照报价由低到高的顺序，依据招标文件中规定的数量或者比例推荐候选中标供应商。</w:t>
      </w:r>
    </w:p>
    <w:p>
      <w:pPr>
        <w:widowControl w:val="0"/>
        <w:spacing w:line="276" w:lineRule="auto"/>
        <w:ind w:firstLine="412" w:firstLineChars="196"/>
        <w:jc w:val="both"/>
        <w:rPr>
          <w:rFonts w:eastAsia="宋体"/>
          <w:b/>
          <w:bCs/>
          <w:kern w:val="2"/>
          <w:sz w:val="21"/>
          <w:szCs w:val="21"/>
          <w:lang w:eastAsia="zh-CN"/>
        </w:rPr>
      </w:pPr>
      <w:r>
        <w:rPr>
          <w:rFonts w:eastAsia="宋体"/>
          <w:b/>
          <w:bCs/>
          <w:kern w:val="2"/>
          <w:sz w:val="21"/>
          <w:szCs w:val="21"/>
          <w:lang w:eastAsia="zh-CN"/>
        </w:rPr>
        <w:t>37.1.2综合评分法</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综合评分法，是指在满足招标文件全部实质性要求的前提下，按照招标文件中规定的各项因素进行综合评审，评审总得分排名前列的投标人，作为推荐的候选中标供应商。</w:t>
      </w:r>
      <w:bookmarkEnd w:id="69"/>
    </w:p>
    <w:p>
      <w:pPr>
        <w:widowControl w:val="0"/>
        <w:spacing w:line="276" w:lineRule="auto"/>
        <w:ind w:firstLine="412" w:firstLineChars="196"/>
        <w:jc w:val="both"/>
        <w:rPr>
          <w:rFonts w:eastAsia="宋体"/>
          <w:b/>
          <w:bCs/>
          <w:kern w:val="2"/>
          <w:sz w:val="21"/>
          <w:szCs w:val="21"/>
          <w:lang w:eastAsia="zh-CN"/>
        </w:rPr>
      </w:pPr>
      <w:r>
        <w:rPr>
          <w:rFonts w:eastAsia="宋体"/>
          <w:b/>
          <w:bCs/>
          <w:kern w:val="2"/>
          <w:sz w:val="21"/>
          <w:szCs w:val="21"/>
          <w:lang w:eastAsia="zh-CN"/>
        </w:rPr>
        <w:t>37.2 本项目采用的评审方法见本项目招标文件第一册“专用条款”的相关内容。</w:t>
      </w:r>
    </w:p>
    <w:p>
      <w:pPr>
        <w:widowControl w:val="0"/>
        <w:spacing w:line="276" w:lineRule="auto"/>
        <w:ind w:firstLine="412" w:firstLineChars="196"/>
        <w:jc w:val="both"/>
        <w:rPr>
          <w:rFonts w:eastAsia="宋体"/>
          <w:b/>
          <w:bCs/>
          <w:kern w:val="2"/>
          <w:sz w:val="21"/>
          <w:szCs w:val="21"/>
          <w:lang w:eastAsia="zh-CN"/>
        </w:rPr>
      </w:pPr>
      <w:r>
        <w:rPr>
          <w:rFonts w:eastAsia="宋体"/>
          <w:b/>
          <w:bCs/>
          <w:kern w:val="2"/>
          <w:sz w:val="21"/>
          <w:szCs w:val="21"/>
          <w:lang w:eastAsia="zh-CN"/>
        </w:rPr>
        <w:t>37.3重新评审的情形</w:t>
      </w:r>
    </w:p>
    <w:p>
      <w:pPr>
        <w:widowControl w:val="0"/>
        <w:spacing w:line="276" w:lineRule="auto"/>
        <w:ind w:firstLine="412" w:firstLineChars="196"/>
        <w:jc w:val="both"/>
        <w:rPr>
          <w:rFonts w:eastAsia="宋体"/>
          <w:b/>
          <w:bCs/>
          <w:kern w:val="2"/>
          <w:sz w:val="21"/>
          <w:szCs w:val="21"/>
          <w:lang w:eastAsia="zh-CN"/>
        </w:rPr>
      </w:pPr>
      <w:r>
        <w:rPr>
          <w:rFonts w:eastAsia="宋体"/>
          <w:sz w:val="21"/>
          <w:szCs w:val="21"/>
          <w:lang w:eastAsia="zh-CN"/>
        </w:rPr>
        <w:t>评审结果汇总完成后，除下列情形外，任何人不得修改评审结果：</w:t>
      </w:r>
    </w:p>
    <w:p>
      <w:pPr>
        <w:widowControl w:val="0"/>
        <w:spacing w:line="276" w:lineRule="auto"/>
        <w:ind w:firstLine="412" w:firstLineChars="196"/>
        <w:jc w:val="both"/>
        <w:rPr>
          <w:rFonts w:eastAsia="宋体"/>
          <w:sz w:val="21"/>
          <w:szCs w:val="21"/>
          <w:lang w:eastAsia="zh-CN"/>
        </w:rPr>
      </w:pPr>
      <w:r>
        <w:rPr>
          <w:rFonts w:eastAsia="宋体"/>
          <w:sz w:val="21"/>
          <w:szCs w:val="21"/>
          <w:lang w:eastAsia="zh-CN"/>
        </w:rPr>
        <w:t>37.3.1分值汇总计算错误的；</w:t>
      </w:r>
    </w:p>
    <w:p>
      <w:pPr>
        <w:widowControl w:val="0"/>
        <w:spacing w:line="276" w:lineRule="auto"/>
        <w:ind w:firstLine="412" w:firstLineChars="196"/>
        <w:jc w:val="both"/>
        <w:rPr>
          <w:rFonts w:eastAsia="宋体"/>
          <w:sz w:val="21"/>
          <w:szCs w:val="21"/>
          <w:lang w:eastAsia="zh-CN"/>
        </w:rPr>
      </w:pPr>
      <w:r>
        <w:rPr>
          <w:rFonts w:eastAsia="宋体"/>
          <w:sz w:val="21"/>
          <w:szCs w:val="21"/>
          <w:lang w:eastAsia="zh-CN"/>
        </w:rPr>
        <w:t>37.3.2分项评分超出评分标准范围的；</w:t>
      </w:r>
    </w:p>
    <w:p>
      <w:pPr>
        <w:widowControl w:val="0"/>
        <w:spacing w:line="276" w:lineRule="auto"/>
        <w:ind w:firstLine="412" w:firstLineChars="196"/>
        <w:jc w:val="both"/>
        <w:rPr>
          <w:rFonts w:eastAsia="宋体"/>
          <w:sz w:val="21"/>
          <w:szCs w:val="21"/>
          <w:lang w:eastAsia="zh-CN"/>
        </w:rPr>
      </w:pPr>
      <w:r>
        <w:rPr>
          <w:rFonts w:eastAsia="宋体"/>
          <w:sz w:val="21"/>
          <w:szCs w:val="21"/>
          <w:lang w:eastAsia="zh-CN"/>
        </w:rPr>
        <w:t>37.3.3评审委员会成员对客观评审因素评分不一致的；</w:t>
      </w:r>
    </w:p>
    <w:p>
      <w:pPr>
        <w:widowControl w:val="0"/>
        <w:spacing w:line="276" w:lineRule="auto"/>
        <w:ind w:firstLine="412" w:firstLineChars="196"/>
        <w:jc w:val="both"/>
        <w:rPr>
          <w:rFonts w:eastAsia="宋体"/>
          <w:sz w:val="21"/>
          <w:szCs w:val="21"/>
          <w:lang w:eastAsia="zh-CN"/>
        </w:rPr>
      </w:pPr>
      <w:r>
        <w:rPr>
          <w:rFonts w:eastAsia="宋体"/>
          <w:sz w:val="21"/>
          <w:szCs w:val="21"/>
          <w:lang w:eastAsia="zh-CN"/>
        </w:rPr>
        <w:t>37.3.4经评审委员会认定评分畸高、畸低的。</w:t>
      </w:r>
    </w:p>
    <w:p>
      <w:pPr>
        <w:widowControl w:val="0"/>
        <w:spacing w:line="276" w:lineRule="auto"/>
        <w:ind w:firstLine="412" w:firstLineChars="196"/>
        <w:jc w:val="both"/>
        <w:rPr>
          <w:rFonts w:eastAsia="宋体"/>
          <w:sz w:val="21"/>
          <w:szCs w:val="21"/>
          <w:lang w:eastAsia="zh-CN"/>
        </w:rPr>
      </w:pPr>
      <w:r>
        <w:rPr>
          <w:rFonts w:eastAsia="宋体"/>
          <w:sz w:val="21"/>
          <w:szCs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widowControl w:val="0"/>
        <w:spacing w:line="276" w:lineRule="auto"/>
        <w:ind w:firstLine="412" w:firstLineChars="196"/>
        <w:jc w:val="both"/>
        <w:rPr>
          <w:rFonts w:eastAsia="宋体"/>
          <w:sz w:val="21"/>
          <w:szCs w:val="21"/>
          <w:lang w:eastAsia="zh-CN"/>
        </w:rPr>
      </w:pPr>
      <w:r>
        <w:rPr>
          <w:rFonts w:eastAsia="宋体"/>
          <w:sz w:val="21"/>
          <w:szCs w:val="21"/>
          <w:lang w:eastAsia="zh-CN"/>
        </w:rPr>
        <w:t>投标人对本条第一款情形提出质疑的，采购人或者采购代理机构可以组织原评审委员会进行重新评审，重新评审改变评审结果的，应当书面报告本级财政部门。</w:t>
      </w:r>
    </w:p>
    <w:p>
      <w:pPr>
        <w:widowControl w:val="0"/>
        <w:spacing w:line="276" w:lineRule="auto"/>
        <w:ind w:firstLine="412" w:firstLineChars="196"/>
        <w:jc w:val="both"/>
        <w:rPr>
          <w:rFonts w:eastAsia="宋体"/>
          <w:b/>
          <w:bCs/>
          <w:kern w:val="2"/>
          <w:sz w:val="21"/>
          <w:szCs w:val="21"/>
          <w:lang w:eastAsia="zh-CN"/>
        </w:rPr>
      </w:pPr>
      <w:r>
        <w:rPr>
          <w:rFonts w:eastAsia="宋体"/>
          <w:b/>
          <w:bCs/>
          <w:kern w:val="2"/>
          <w:sz w:val="21"/>
          <w:szCs w:val="21"/>
          <w:lang w:eastAsia="zh-CN"/>
        </w:rPr>
        <w:t>37.4重新组建评审委员会的情形</w:t>
      </w:r>
    </w:p>
    <w:p>
      <w:pPr>
        <w:widowControl w:val="0"/>
        <w:spacing w:line="276" w:lineRule="auto"/>
        <w:ind w:firstLine="412" w:firstLineChars="196"/>
        <w:jc w:val="both"/>
        <w:rPr>
          <w:rFonts w:eastAsia="宋体"/>
          <w:sz w:val="21"/>
          <w:szCs w:val="21"/>
          <w:lang w:eastAsia="zh-CN"/>
        </w:rPr>
      </w:pPr>
      <w:r>
        <w:rPr>
          <w:rFonts w:eastAsia="宋体"/>
          <w:sz w:val="21"/>
          <w:szCs w:val="21"/>
          <w:lang w:eastAsia="zh-CN"/>
        </w:rPr>
        <w:t>评审委员会或者其成员存在下列情形导致评审结果无效的，重新组建评审委员会进行评标，并书面报告本级财政部门：</w:t>
      </w:r>
    </w:p>
    <w:p>
      <w:pPr>
        <w:widowControl w:val="0"/>
        <w:spacing w:line="276" w:lineRule="auto"/>
        <w:ind w:firstLine="412" w:firstLineChars="196"/>
        <w:jc w:val="both"/>
        <w:rPr>
          <w:rFonts w:eastAsia="宋体"/>
          <w:sz w:val="21"/>
          <w:szCs w:val="21"/>
          <w:lang w:eastAsia="zh-CN"/>
        </w:rPr>
      </w:pPr>
      <w:r>
        <w:rPr>
          <w:rFonts w:eastAsia="宋体"/>
          <w:sz w:val="21"/>
          <w:szCs w:val="21"/>
          <w:lang w:eastAsia="zh-CN"/>
        </w:rPr>
        <w:t>37.4.1评审委员会组成不符合《政府采购货物和服务招标投标管理办法》规定的；</w:t>
      </w:r>
    </w:p>
    <w:p>
      <w:pPr>
        <w:widowControl w:val="0"/>
        <w:spacing w:line="276" w:lineRule="auto"/>
        <w:ind w:firstLine="412" w:firstLineChars="196"/>
        <w:jc w:val="both"/>
        <w:rPr>
          <w:rFonts w:eastAsia="宋体"/>
          <w:sz w:val="21"/>
          <w:szCs w:val="21"/>
          <w:lang w:eastAsia="zh-CN"/>
        </w:rPr>
      </w:pPr>
      <w:r>
        <w:rPr>
          <w:rFonts w:eastAsia="宋体"/>
          <w:sz w:val="21"/>
          <w:szCs w:val="21"/>
          <w:lang w:eastAsia="zh-CN"/>
        </w:rPr>
        <w:t>37.4.2有《政府采购货物和服务招标投标管理办法》第六十二条第一至五项情形的；</w:t>
      </w:r>
    </w:p>
    <w:p>
      <w:pPr>
        <w:widowControl w:val="0"/>
        <w:spacing w:line="276" w:lineRule="auto"/>
        <w:ind w:firstLine="412" w:firstLineChars="196"/>
        <w:jc w:val="both"/>
        <w:rPr>
          <w:rFonts w:eastAsia="宋体"/>
          <w:sz w:val="21"/>
          <w:szCs w:val="21"/>
          <w:lang w:eastAsia="zh-CN"/>
        </w:rPr>
      </w:pPr>
      <w:r>
        <w:rPr>
          <w:rFonts w:eastAsia="宋体"/>
          <w:sz w:val="21"/>
          <w:szCs w:val="21"/>
          <w:lang w:eastAsia="zh-CN"/>
        </w:rPr>
        <w:t>37.4.3评审委员会及其成员独立评标受到非法干预的；</w:t>
      </w:r>
    </w:p>
    <w:p>
      <w:pPr>
        <w:widowControl w:val="0"/>
        <w:spacing w:line="276" w:lineRule="auto"/>
        <w:ind w:firstLine="412" w:firstLineChars="196"/>
        <w:jc w:val="both"/>
        <w:rPr>
          <w:rFonts w:eastAsia="宋体"/>
          <w:sz w:val="21"/>
          <w:szCs w:val="21"/>
          <w:lang w:eastAsia="zh-CN"/>
        </w:rPr>
      </w:pPr>
      <w:r>
        <w:rPr>
          <w:rFonts w:eastAsia="宋体"/>
          <w:sz w:val="21"/>
          <w:szCs w:val="21"/>
          <w:lang w:eastAsia="zh-CN"/>
        </w:rPr>
        <w:t>37.4.4有政府采购法实施条例第七十五条规定的违法行为的。</w:t>
      </w:r>
    </w:p>
    <w:p>
      <w:pPr>
        <w:widowControl w:val="0"/>
        <w:spacing w:line="276" w:lineRule="auto"/>
        <w:ind w:firstLine="412" w:firstLineChars="196"/>
        <w:jc w:val="both"/>
        <w:rPr>
          <w:rFonts w:eastAsia="宋体"/>
          <w:sz w:val="21"/>
          <w:szCs w:val="21"/>
          <w:lang w:eastAsia="zh-CN"/>
        </w:rPr>
      </w:pPr>
      <w:r>
        <w:rPr>
          <w:rFonts w:eastAsia="宋体"/>
          <w:sz w:val="21"/>
          <w:szCs w:val="21"/>
          <w:lang w:eastAsia="zh-CN"/>
        </w:rPr>
        <w:t>有违法违规行为的原评审委员会成员不得参加重新组建的评审委员会。</w:t>
      </w:r>
    </w:p>
    <w:p>
      <w:pPr>
        <w:keepNext/>
        <w:keepLines/>
        <w:widowControl w:val="0"/>
        <w:numPr>
          <w:ilvl w:val="0"/>
          <w:numId w:val="3"/>
        </w:numPr>
        <w:tabs>
          <w:tab w:val="left" w:pos="720"/>
        </w:tabs>
        <w:adjustRightInd w:val="0"/>
        <w:spacing w:before="120" w:beforeLines="50" w:after="120" w:afterLines="50" w:line="276" w:lineRule="auto"/>
        <w:ind w:left="562" w:hanging="562"/>
        <w:jc w:val="center"/>
        <w:textAlignment w:val="baseline"/>
        <w:outlineLvl w:val="1"/>
        <w:rPr>
          <w:rFonts w:eastAsia="宋体"/>
          <w:b/>
          <w:bCs/>
          <w:sz w:val="28"/>
          <w:szCs w:val="28"/>
          <w:lang w:eastAsia="zh-CN"/>
        </w:rPr>
      </w:pPr>
      <w:r>
        <w:rPr>
          <w:rFonts w:eastAsia="宋体"/>
          <w:b/>
          <w:bCs/>
          <w:sz w:val="28"/>
          <w:szCs w:val="28"/>
          <w:lang w:eastAsia="zh-CN"/>
        </w:rPr>
        <w:t>定标及公示</w:t>
      </w:r>
    </w:p>
    <w:p>
      <w:pPr>
        <w:widowControl w:val="0"/>
        <w:spacing w:line="276" w:lineRule="auto"/>
        <w:jc w:val="both"/>
        <w:rPr>
          <w:rFonts w:eastAsia="黑体"/>
          <w:kern w:val="2"/>
          <w:lang w:eastAsia="zh-CN"/>
        </w:rPr>
      </w:pPr>
      <w:r>
        <w:rPr>
          <w:rFonts w:eastAsia="黑体"/>
          <w:kern w:val="2"/>
          <w:lang w:eastAsia="zh-CN"/>
        </w:rPr>
        <w:t>38．定标方法</w:t>
      </w:r>
    </w:p>
    <w:p>
      <w:pPr>
        <w:widowControl w:val="0"/>
        <w:spacing w:line="276" w:lineRule="auto"/>
        <w:ind w:firstLine="412" w:firstLineChars="196"/>
        <w:jc w:val="both"/>
        <w:rPr>
          <w:rFonts w:eastAsia="宋体"/>
          <w:kern w:val="2"/>
          <w:sz w:val="21"/>
          <w:szCs w:val="21"/>
          <w:lang w:eastAsia="zh-CN"/>
        </w:rPr>
      </w:pPr>
      <w:bookmarkStart w:id="70" w:name="_Hlk73782795"/>
      <w:r>
        <w:rPr>
          <w:rFonts w:eastAsia="宋体"/>
          <w:kern w:val="2"/>
          <w:sz w:val="21"/>
          <w:szCs w:val="21"/>
          <w:lang w:eastAsia="zh-CN"/>
        </w:rPr>
        <w:t>38.1非评定分离项目定标方法</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38.1.1评审委员会依据本项目招标文件所约定的评审方法进行评审和比较，向政府集中采购机构提交书面评审报告，并根据评审方法比较评价结果从优到劣进行排序，确定候选中标供应商。</w:t>
      </w:r>
    </w:p>
    <w:p>
      <w:pPr>
        <w:widowControl w:val="0"/>
        <w:spacing w:line="276" w:lineRule="auto"/>
        <w:ind w:firstLine="412" w:firstLineChars="196"/>
        <w:jc w:val="both"/>
        <w:rPr>
          <w:rFonts w:eastAsia="宋体"/>
          <w:kern w:val="2"/>
          <w:sz w:val="21"/>
          <w:lang w:eastAsia="zh-CN"/>
        </w:rPr>
      </w:pPr>
      <w:r>
        <w:rPr>
          <w:rFonts w:eastAsia="宋体"/>
          <w:kern w:val="2"/>
          <w:sz w:val="21"/>
          <w:szCs w:val="21"/>
          <w:lang w:eastAsia="zh-CN"/>
        </w:rPr>
        <w:t>38.1.2</w:t>
      </w:r>
      <w:r>
        <w:rPr>
          <w:rFonts w:eastAsia="宋体"/>
          <w:kern w:val="2"/>
          <w:sz w:val="21"/>
          <w:lang w:eastAsia="zh-CN"/>
        </w:rPr>
        <w:t>采用最低价法的，评审结果按投标报价由低到高顺序排列。投标报价相同的并列。投标文件满足招标文件全部实质性要求且投标报价最低的投标人为</w:t>
      </w:r>
      <w:bookmarkStart w:id="71" w:name="_Hlk73821177"/>
      <w:r>
        <w:rPr>
          <w:rFonts w:eastAsia="宋体"/>
          <w:kern w:val="2"/>
          <w:sz w:val="21"/>
          <w:lang w:eastAsia="zh-CN"/>
        </w:rPr>
        <w:t>中标供应商</w:t>
      </w:r>
      <w:bookmarkEnd w:id="71"/>
      <w:r>
        <w:rPr>
          <w:rFonts w:eastAsia="宋体"/>
          <w:kern w:val="2"/>
          <w:sz w:val="21"/>
          <w:lang w:eastAsia="zh-CN"/>
        </w:rPr>
        <w:t>。</w:t>
      </w:r>
    </w:p>
    <w:p>
      <w:pPr>
        <w:widowControl w:val="0"/>
        <w:spacing w:line="276" w:lineRule="auto"/>
        <w:ind w:firstLine="412" w:firstLineChars="196"/>
        <w:jc w:val="both"/>
        <w:rPr>
          <w:rFonts w:eastAsia="宋体"/>
          <w:kern w:val="2"/>
          <w:sz w:val="21"/>
          <w:lang w:eastAsia="zh-CN"/>
        </w:rPr>
      </w:pPr>
      <w:r>
        <w:rPr>
          <w:rFonts w:eastAsia="宋体"/>
          <w:kern w:val="2"/>
          <w:sz w:val="21"/>
          <w:szCs w:val="21"/>
          <w:lang w:eastAsia="zh-CN"/>
        </w:rPr>
        <w:t>38.1.3采</w:t>
      </w:r>
      <w:r>
        <w:rPr>
          <w:rFonts w:eastAsia="宋体"/>
          <w:kern w:val="2"/>
          <w:sz w:val="21"/>
          <w:lang w:eastAsia="zh-CN"/>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出现得分且投标报价相同的并列情况时，采取随机抽取的方式确定，具体操作办法及流程由评审委员会确定。</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38.2评定分离项目定标方法</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widowControl w:val="0"/>
        <w:spacing w:line="276" w:lineRule="auto"/>
        <w:ind w:firstLine="412" w:firstLineChars="196"/>
        <w:jc w:val="both"/>
        <w:rPr>
          <w:rFonts w:eastAsia="宋体"/>
          <w:kern w:val="2"/>
          <w:sz w:val="21"/>
          <w:lang w:eastAsia="zh-CN"/>
        </w:rPr>
      </w:pPr>
      <w:r>
        <w:rPr>
          <w:rFonts w:eastAsia="宋体"/>
          <w:kern w:val="2"/>
          <w:sz w:val="21"/>
          <w:szCs w:val="21"/>
          <w:lang w:eastAsia="zh-CN"/>
        </w:rPr>
        <w:t xml:space="preserve">38.2.2 </w:t>
      </w:r>
      <w:bookmarkStart w:id="72" w:name="_Hlk71469733"/>
      <w:r>
        <w:rPr>
          <w:rFonts w:eastAsia="宋体"/>
          <w:kern w:val="2"/>
          <w:sz w:val="21"/>
          <w:lang w:eastAsia="zh-CN"/>
        </w:rPr>
        <w:t>适用评定分离的政府采购项目，采用综合评分法评审。</w:t>
      </w:r>
      <w:r>
        <w:rPr>
          <w:rFonts w:eastAsia="宋体"/>
          <w:kern w:val="2"/>
          <w:sz w:val="21"/>
          <w:szCs w:val="21"/>
          <w:lang w:eastAsia="zh-CN"/>
        </w:rPr>
        <w:t>评审委员会按照评审结果，推荐</w:t>
      </w:r>
      <w:r>
        <w:rPr>
          <w:rFonts w:eastAsia="宋体"/>
          <w:kern w:val="2"/>
          <w:sz w:val="21"/>
          <w:lang w:eastAsia="zh-CN"/>
        </w:rPr>
        <w:t>三个合格的候选中标供应商。</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38.2.3</w:t>
      </w:r>
      <w:bookmarkStart w:id="73" w:name="_Hlk71469688"/>
      <w:r>
        <w:rPr>
          <w:rFonts w:eastAsia="宋体"/>
          <w:kern w:val="2"/>
          <w:sz w:val="21"/>
          <w:lang w:eastAsia="zh-CN"/>
        </w:rPr>
        <w:t>适用评定分离的政府采购项目，</w:t>
      </w:r>
      <w:r>
        <w:rPr>
          <w:rFonts w:eastAsia="宋体"/>
          <w:kern w:val="2"/>
          <w:sz w:val="21"/>
          <w:szCs w:val="21"/>
          <w:lang w:eastAsia="zh-CN"/>
        </w:rPr>
        <w:t>按照自定法确定中标供应商：自定法是指采购人组织定标委员会，由定标委员会在三家候选中标供应商中确定中标供应商。</w:t>
      </w:r>
      <w:bookmarkEnd w:id="72"/>
      <w:bookmarkEnd w:id="73"/>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38.2.4政府集中采购机构</w:t>
      </w:r>
      <w:r>
        <w:rPr>
          <w:rFonts w:eastAsia="宋体"/>
          <w:kern w:val="2"/>
          <w:sz w:val="21"/>
          <w:lang w:eastAsia="zh-CN"/>
        </w:rPr>
        <w:t>应当自评审结束之日起两个工作日内将候选中标供应商名单及其投标文件、评审报告送交采购人</w:t>
      </w:r>
      <w:r>
        <w:rPr>
          <w:rFonts w:eastAsia="宋体"/>
          <w:kern w:val="2"/>
          <w:sz w:val="21"/>
          <w:szCs w:val="21"/>
          <w:lang w:eastAsia="zh-CN"/>
        </w:rPr>
        <w:t>。</w:t>
      </w:r>
      <w:r>
        <w:rPr>
          <w:rFonts w:eastAsia="宋体"/>
          <w:kern w:val="2"/>
          <w:sz w:val="21"/>
          <w:lang w:eastAsia="zh-CN"/>
        </w:rPr>
        <w:t>采购人应当安排专人对定标过程进行书面记录，形成定标报告，作为采购文件的组成部分存档，并及时将定标结果反馈政府集中采购机构。具体定标程序及相关要求以按照《深圳市财政局关于印发〈深圳市政府采购评标定标分离管理办法〉的通知》（深财规【2020】1号）执行。</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说明：采购人及投标供应商应按照上述方法提前做好相关准备。</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38.3专用条款另有规定的，按专用条款相关要求定标。</w:t>
      </w:r>
      <w:bookmarkEnd w:id="70"/>
    </w:p>
    <w:p>
      <w:pPr>
        <w:widowControl w:val="0"/>
        <w:spacing w:line="276" w:lineRule="auto"/>
        <w:jc w:val="both"/>
        <w:rPr>
          <w:rFonts w:eastAsia="黑体"/>
          <w:kern w:val="2"/>
          <w:lang w:eastAsia="zh-CN"/>
        </w:rPr>
      </w:pPr>
      <w:r>
        <w:rPr>
          <w:rFonts w:eastAsia="黑体"/>
          <w:kern w:val="2"/>
          <w:lang w:eastAsia="zh-CN"/>
        </w:rPr>
        <w:t>39．编写评审报告</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widowControl w:val="0"/>
        <w:spacing w:line="276" w:lineRule="auto"/>
        <w:jc w:val="both"/>
        <w:rPr>
          <w:rFonts w:eastAsia="黑体"/>
          <w:kern w:val="2"/>
          <w:lang w:eastAsia="zh-CN"/>
        </w:rPr>
      </w:pPr>
      <w:r>
        <w:rPr>
          <w:rFonts w:eastAsia="黑体"/>
          <w:kern w:val="2"/>
          <w:lang w:eastAsia="zh-CN"/>
        </w:rPr>
        <w:t>40．中标</w:t>
      </w:r>
      <w:r>
        <w:rPr>
          <w:rFonts w:eastAsia="黑体" w:hint="eastAsia"/>
          <w:kern w:val="2"/>
          <w:lang w:eastAsia="zh-CN"/>
        </w:rPr>
        <w:t>（成交）</w:t>
      </w:r>
      <w:r>
        <w:rPr>
          <w:rFonts w:eastAsia="黑体"/>
          <w:kern w:val="2"/>
          <w:lang w:eastAsia="zh-CN"/>
        </w:rPr>
        <w:t>公告</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40.1</w:t>
      </w:r>
      <w:bookmarkStart w:id="74" w:name="_Hlk72438709"/>
      <w:r>
        <w:rPr>
          <w:rFonts w:eastAsia="宋体"/>
          <w:kern w:val="2"/>
          <w:sz w:val="21"/>
          <w:szCs w:val="21"/>
          <w:lang w:eastAsia="zh-CN"/>
        </w:rPr>
        <w:t>为体现“公开、公平、公正”的原则，评审结束后经采购人确认（确定）评审结果，政府集中采购机构将在“</w:t>
      </w:r>
      <w:r>
        <w:rPr>
          <w:rFonts w:ascii="宋体" w:eastAsia="宋体" w:hAnsi="宋体" w:cstheme="minorBidi" w:hint="eastAsia"/>
          <w:kern w:val="2"/>
          <w:sz w:val="21"/>
          <w:szCs w:val="21"/>
          <w:lang w:eastAsia="zh-CN"/>
        </w:rPr>
        <w:t>深圳交易集团（深圳公共资源交易中心）官网</w:t>
      </w:r>
      <w:r>
        <w:rPr>
          <w:rFonts w:ascii="宋体" w:eastAsia="宋体" w:hAnsi="宋体" w:cstheme="minorBidi" w:hint="eastAsia"/>
          <w:b/>
          <w:bCs/>
          <w:kern w:val="2"/>
          <w:sz w:val="21"/>
          <w:szCs w:val="21"/>
          <w:lang w:eastAsia="zh-CN"/>
        </w:rPr>
        <w:t>https://www.szexgrp.com/jyfw/zfcg-view.html?id=zfcg</w:t>
      </w:r>
      <w:r>
        <w:rPr>
          <w:rFonts w:eastAsia="宋体"/>
          <w:kern w:val="2"/>
          <w:sz w:val="21"/>
          <w:szCs w:val="21"/>
          <w:lang w:eastAsia="zh-CN"/>
        </w:rPr>
        <w:t>”上发布中标结果公告。</w:t>
      </w:r>
      <w:bookmarkEnd w:id="74"/>
      <w:bookmarkStart w:id="75" w:name="_Hlk72438751"/>
      <w:r>
        <w:rPr>
          <w:rFonts w:eastAsia="宋体"/>
          <w:kern w:val="2"/>
          <w:sz w:val="21"/>
          <w:szCs w:val="21"/>
          <w:lang w:eastAsia="zh-CN"/>
        </w:rPr>
        <w:t>供应商如对评审结果有异议，可在发布公示日期起七个工作日内向政府集中采购机构提出。监督电话：0755-</w:t>
      </w:r>
      <w:r>
        <w:rPr>
          <w:rFonts w:eastAsia="宋体" w:hint="eastAsia"/>
          <w:kern w:val="2"/>
          <w:sz w:val="21"/>
          <w:szCs w:val="21"/>
          <w:lang w:eastAsia="zh-CN"/>
        </w:rPr>
        <w:t>26662884</w:t>
      </w:r>
      <w:r>
        <w:rPr>
          <w:rFonts w:eastAsia="宋体"/>
          <w:kern w:val="2"/>
          <w:sz w:val="21"/>
          <w:szCs w:val="21"/>
          <w:lang w:eastAsia="zh-CN"/>
        </w:rPr>
        <w:t>。若在公示期内未提出质疑，则视为认同该评审结果。</w:t>
      </w:r>
    </w:p>
    <w:bookmarkEnd w:id="75"/>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40.2质疑、投诉供应商应保证质疑、投诉内容的真实性和可靠性，并承担相应的法律责任。</w:t>
      </w:r>
    </w:p>
    <w:p>
      <w:pPr>
        <w:widowControl w:val="0"/>
        <w:spacing w:line="276" w:lineRule="auto"/>
        <w:jc w:val="both"/>
        <w:rPr>
          <w:rFonts w:eastAsia="黑体"/>
          <w:kern w:val="2"/>
          <w:lang w:eastAsia="zh-CN"/>
        </w:rPr>
      </w:pPr>
      <w:r>
        <w:rPr>
          <w:rFonts w:eastAsia="黑体"/>
          <w:kern w:val="2"/>
          <w:lang w:eastAsia="zh-CN"/>
        </w:rPr>
        <w:t>41．中标通知书</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41.1</w:t>
      </w:r>
      <w:bookmarkStart w:id="76" w:name="_Hlk72438863"/>
      <w:r>
        <w:rPr>
          <w:rFonts w:eastAsia="宋体"/>
          <w:kern w:val="2"/>
          <w:sz w:val="21"/>
          <w:szCs w:val="21"/>
          <w:lang w:eastAsia="zh-CN"/>
        </w:rPr>
        <w:t>中标公告公布以后无异常的情况下,中标供应商和采购人可自行在“</w:t>
      </w:r>
      <w:r>
        <w:rPr>
          <w:rFonts w:ascii="宋体" w:eastAsia="宋体" w:hAnsi="宋体" w:cstheme="minorBidi" w:hint="eastAsia"/>
          <w:kern w:val="2"/>
          <w:sz w:val="21"/>
          <w:szCs w:val="21"/>
          <w:lang w:eastAsia="zh-CN"/>
        </w:rPr>
        <w:t>深圳政府采购自行采购系统（https://trade.szggzy.com/ggzy/center/#/login）</w:t>
      </w:r>
      <w:r>
        <w:rPr>
          <w:rFonts w:eastAsia="宋体"/>
          <w:kern w:val="2"/>
          <w:sz w:val="21"/>
          <w:szCs w:val="21"/>
          <w:lang w:eastAsia="zh-CN"/>
        </w:rPr>
        <w:t>”上打印</w:t>
      </w:r>
      <w:r>
        <w:rPr>
          <w:rFonts w:eastAsia="宋体"/>
          <w:b/>
          <w:kern w:val="2"/>
          <w:sz w:val="21"/>
          <w:szCs w:val="21"/>
          <w:lang w:eastAsia="zh-CN"/>
        </w:rPr>
        <w:t>《数字中标通知书》（</w:t>
      </w:r>
      <w:r>
        <w:rPr>
          <w:rFonts w:eastAsia="宋体"/>
          <w:kern w:val="2"/>
          <w:sz w:val="21"/>
          <w:szCs w:val="21"/>
          <w:lang w:eastAsia="zh-CN"/>
        </w:rPr>
        <w:t>咨询电话：</w:t>
      </w:r>
      <w:r>
        <w:rPr>
          <w:rFonts w:eastAsia="宋体" w:hint="eastAsia"/>
          <w:b/>
          <w:bCs/>
          <w:kern w:val="2"/>
          <w:sz w:val="21"/>
          <w:szCs w:val="21"/>
          <w:lang w:eastAsia="zh-CN"/>
        </w:rPr>
        <w:t>0755-36568999</w:t>
      </w:r>
      <w:r>
        <w:rPr>
          <w:rFonts w:eastAsia="宋体"/>
          <w:kern w:val="2"/>
          <w:sz w:val="21"/>
          <w:szCs w:val="21"/>
          <w:lang w:eastAsia="zh-CN"/>
        </w:rPr>
        <w:t>）。</w:t>
      </w:r>
      <w:bookmarkEnd w:id="76"/>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41.2中标通知书是合同的重要组成部分。</w:t>
      </w:r>
    </w:p>
    <w:p>
      <w:pPr>
        <w:widowControl w:val="0"/>
        <w:spacing w:line="276" w:lineRule="auto"/>
        <w:ind w:firstLine="412" w:firstLineChars="196"/>
        <w:jc w:val="both"/>
        <w:rPr>
          <w:rFonts w:eastAsia="宋体"/>
          <w:kern w:val="2"/>
          <w:sz w:val="21"/>
          <w:szCs w:val="21"/>
          <w:lang w:eastAsia="zh-CN"/>
        </w:rPr>
      </w:pPr>
      <w:bookmarkStart w:id="77" w:name="_Hlk71407340"/>
      <w:r>
        <w:rPr>
          <w:rFonts w:eastAsia="宋体"/>
          <w:kern w:val="2"/>
          <w:sz w:val="21"/>
          <w:szCs w:val="21"/>
          <w:lang w:eastAsia="zh-CN"/>
        </w:rPr>
        <w:t>41.3因质疑投诉或其它原因导致项目结果变更或采购终止的，政府集中采购机构有权吊销中标通知书。</w:t>
      </w:r>
    </w:p>
    <w:bookmarkEnd w:id="77"/>
    <w:p>
      <w:pPr>
        <w:keepNext/>
        <w:keepLines/>
        <w:widowControl w:val="0"/>
        <w:numPr>
          <w:ilvl w:val="0"/>
          <w:numId w:val="3"/>
        </w:numPr>
        <w:tabs>
          <w:tab w:val="left" w:pos="720"/>
        </w:tabs>
        <w:adjustRightInd w:val="0"/>
        <w:spacing w:before="120" w:beforeLines="50" w:after="120" w:afterLines="50" w:line="276" w:lineRule="auto"/>
        <w:ind w:left="562" w:hanging="562"/>
        <w:jc w:val="center"/>
        <w:textAlignment w:val="baseline"/>
        <w:outlineLvl w:val="1"/>
        <w:rPr>
          <w:rFonts w:eastAsia="宋体"/>
          <w:b/>
          <w:bCs/>
          <w:sz w:val="28"/>
          <w:szCs w:val="28"/>
          <w:lang w:eastAsia="zh-CN"/>
        </w:rPr>
      </w:pPr>
      <w:r>
        <w:rPr>
          <w:rFonts w:eastAsia="宋体"/>
          <w:b/>
          <w:bCs/>
          <w:sz w:val="28"/>
          <w:szCs w:val="28"/>
          <w:lang w:eastAsia="zh-CN"/>
        </w:rPr>
        <w:t>公开招标失败的后续处理</w:t>
      </w:r>
    </w:p>
    <w:p>
      <w:pPr>
        <w:widowControl w:val="0"/>
        <w:spacing w:line="276" w:lineRule="auto"/>
        <w:jc w:val="both"/>
        <w:rPr>
          <w:rFonts w:eastAsia="黑体"/>
          <w:kern w:val="2"/>
          <w:lang w:eastAsia="zh-CN"/>
        </w:rPr>
      </w:pPr>
      <w:r>
        <w:rPr>
          <w:rFonts w:eastAsia="黑体"/>
          <w:kern w:val="2"/>
          <w:lang w:eastAsia="zh-CN"/>
        </w:rPr>
        <w:t>42．公开招标失败的处理</w:t>
      </w:r>
    </w:p>
    <w:p>
      <w:pPr>
        <w:widowControl w:val="0"/>
        <w:spacing w:line="276" w:lineRule="auto"/>
        <w:ind w:firstLine="412" w:firstLineChars="196"/>
        <w:jc w:val="both"/>
        <w:rPr>
          <w:rFonts w:eastAsia="宋体"/>
          <w:kern w:val="2"/>
          <w:sz w:val="21"/>
          <w:lang w:eastAsia="zh-CN"/>
        </w:rPr>
      </w:pPr>
      <w:r>
        <w:rPr>
          <w:rFonts w:eastAsia="宋体"/>
          <w:kern w:val="2"/>
          <w:sz w:val="21"/>
          <w:szCs w:val="21"/>
          <w:lang w:eastAsia="zh-CN"/>
        </w:rPr>
        <w:t>42.1本项目公开招标过程中若由于投标截止后</w:t>
      </w:r>
      <w:r>
        <w:rPr>
          <w:rFonts w:eastAsia="宋体"/>
          <w:kern w:val="2"/>
          <w:sz w:val="21"/>
          <w:lang w:eastAsia="zh-CN"/>
        </w:rPr>
        <w:t>实际递交投标文件的供应商数量不足、经</w:t>
      </w:r>
      <w:r>
        <w:rPr>
          <w:rFonts w:eastAsia="宋体"/>
          <w:kern w:val="2"/>
          <w:sz w:val="21"/>
          <w:szCs w:val="21"/>
          <w:lang w:eastAsia="zh-CN"/>
        </w:rPr>
        <w:t>评审委员会</w:t>
      </w:r>
      <w:r>
        <w:rPr>
          <w:rFonts w:eastAsia="宋体"/>
          <w:kern w:val="2"/>
          <w:sz w:val="21"/>
          <w:lang w:eastAsia="zh-CN"/>
        </w:rPr>
        <w:t>评审对招标文件作实质响应的供应商不足等原因造成公开招标失败，可由政府集中采购机构重新组织采购。</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42.2对公开招标失败的项目，评审委员会在出具该项目招标失败结论的同时，可以提出重新采购组织形式的建议，以及进一步完善招标文件的资格、技术、商务要求的修改建议。</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42.3重新组织采购有以下两种组织形式：</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（1）由政府集中采购机构重新组织公开招标；</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（2）根据实际情况需要向</w:t>
      </w:r>
      <w:r>
        <w:rPr>
          <w:rFonts w:eastAsia="宋体" w:hint="eastAsia"/>
          <w:kern w:val="2"/>
          <w:sz w:val="21"/>
          <w:lang w:eastAsia="zh-CN"/>
        </w:rPr>
        <w:t>采购人主管部门</w:t>
      </w:r>
      <w:r>
        <w:rPr>
          <w:rFonts w:eastAsia="宋体"/>
          <w:kern w:val="2"/>
          <w:sz w:val="21"/>
          <w:lang w:eastAsia="zh-CN"/>
        </w:rPr>
        <w:t>提出非公开招标方式申请，经</w:t>
      </w:r>
      <w:r>
        <w:rPr>
          <w:rFonts w:eastAsia="宋体" w:hint="eastAsia"/>
          <w:kern w:val="2"/>
          <w:sz w:val="21"/>
          <w:lang w:eastAsia="zh-CN"/>
        </w:rPr>
        <w:t>采购人主管部门</w:t>
      </w:r>
      <w:r>
        <w:rPr>
          <w:rFonts w:eastAsia="宋体"/>
          <w:kern w:val="2"/>
          <w:sz w:val="21"/>
          <w:lang w:eastAsia="zh-CN"/>
        </w:rPr>
        <w:t>批准，公开招标失败采购项目可转为竞争性谈判或单一来源谈判方式采购。</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42.4公开招标失败的采购项目重新组织公开招标，由政府集中采购机构重新按公开招标流程组织采购活动。</w:t>
      </w:r>
    </w:p>
    <w:p>
      <w:pPr>
        <w:widowControl w:val="0"/>
        <w:spacing w:line="276" w:lineRule="auto"/>
        <w:ind w:firstLine="412" w:firstLineChars="196"/>
        <w:jc w:val="both"/>
        <w:rPr>
          <w:rFonts w:eastAsia="宋体"/>
          <w:kern w:val="2"/>
          <w:sz w:val="21"/>
          <w:lang w:eastAsia="zh-CN"/>
        </w:rPr>
      </w:pPr>
      <w:r>
        <w:rPr>
          <w:rFonts w:eastAsia="宋体"/>
          <w:kern w:val="2"/>
          <w:sz w:val="21"/>
          <w:lang w:eastAsia="zh-CN"/>
        </w:rPr>
        <w:t>42.5公开招标失败的采购项目经</w:t>
      </w:r>
      <w:r>
        <w:rPr>
          <w:rFonts w:eastAsia="宋体" w:hint="eastAsia"/>
          <w:kern w:val="2"/>
          <w:sz w:val="21"/>
          <w:lang w:eastAsia="zh-CN"/>
        </w:rPr>
        <w:t>采购人主管</w:t>
      </w:r>
      <w:r>
        <w:rPr>
          <w:rFonts w:eastAsia="宋体"/>
          <w:kern w:val="2"/>
          <w:sz w:val="21"/>
          <w:lang w:eastAsia="zh-CN"/>
        </w:rPr>
        <w:t>部门批准转为竞争性谈判或单一来源谈判方式采购的，按规定要求组织</w:t>
      </w:r>
      <w:r>
        <w:rPr>
          <w:rFonts w:eastAsia="宋体" w:hint="eastAsia"/>
          <w:kern w:val="2"/>
          <w:sz w:val="21"/>
          <w:lang w:eastAsia="zh-CN"/>
        </w:rPr>
        <w:t>自行</w:t>
      </w:r>
      <w:r>
        <w:rPr>
          <w:rFonts w:eastAsia="宋体"/>
          <w:kern w:val="2"/>
          <w:sz w:val="21"/>
          <w:lang w:eastAsia="zh-CN"/>
        </w:rPr>
        <w:t>采购工作。</w:t>
      </w:r>
    </w:p>
    <w:p>
      <w:pPr>
        <w:keepNext/>
        <w:keepLines/>
        <w:widowControl w:val="0"/>
        <w:numPr>
          <w:ilvl w:val="0"/>
          <w:numId w:val="3"/>
        </w:numPr>
        <w:tabs>
          <w:tab w:val="left" w:pos="720"/>
        </w:tabs>
        <w:adjustRightInd w:val="0"/>
        <w:spacing w:before="120" w:beforeLines="50" w:after="120" w:afterLines="50" w:line="276" w:lineRule="auto"/>
        <w:ind w:left="562" w:hanging="562"/>
        <w:jc w:val="center"/>
        <w:textAlignment w:val="baseline"/>
        <w:outlineLvl w:val="1"/>
        <w:rPr>
          <w:rFonts w:eastAsia="宋体"/>
          <w:b/>
          <w:bCs/>
          <w:sz w:val="28"/>
          <w:szCs w:val="28"/>
          <w:lang w:eastAsia="zh-CN"/>
        </w:rPr>
      </w:pPr>
      <w:bookmarkStart w:id="78" w:name="_Hlk72439043"/>
      <w:r>
        <w:rPr>
          <w:rFonts w:eastAsia="宋体"/>
          <w:b/>
          <w:bCs/>
          <w:sz w:val="28"/>
          <w:szCs w:val="28"/>
          <w:lang w:eastAsia="zh-CN"/>
        </w:rPr>
        <w:t>合同的授予与备案</w:t>
      </w:r>
      <w:bookmarkEnd w:id="78"/>
    </w:p>
    <w:p>
      <w:pPr>
        <w:widowControl w:val="0"/>
        <w:spacing w:line="276" w:lineRule="auto"/>
        <w:jc w:val="both"/>
        <w:rPr>
          <w:rFonts w:eastAsia="黑体"/>
          <w:kern w:val="2"/>
          <w:lang w:eastAsia="zh-CN"/>
        </w:rPr>
      </w:pPr>
      <w:bookmarkStart w:id="79" w:name="_Toc73517679"/>
      <w:bookmarkStart w:id="80" w:name="_Toc73521674"/>
      <w:bookmarkStart w:id="81" w:name="_Toc73521586"/>
      <w:bookmarkStart w:id="82" w:name="_Toc73518157"/>
      <w:bookmarkStart w:id="83" w:name="_Toc100052408"/>
      <w:bookmarkStart w:id="84" w:name="_Hlk72439088"/>
      <w:r>
        <w:rPr>
          <w:rFonts w:eastAsia="黑体"/>
          <w:kern w:val="2"/>
          <w:lang w:eastAsia="zh-CN"/>
        </w:rPr>
        <w:t>43．合同授予标准</w:t>
      </w:r>
      <w:bookmarkEnd w:id="79"/>
      <w:bookmarkEnd w:id="80"/>
      <w:bookmarkEnd w:id="81"/>
      <w:bookmarkEnd w:id="82"/>
      <w:bookmarkEnd w:id="83"/>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本项目的合同将授予经本招标文件规定评审确定的中标供应商。</w:t>
      </w:r>
    </w:p>
    <w:p>
      <w:pPr>
        <w:widowControl w:val="0"/>
        <w:spacing w:line="276" w:lineRule="auto"/>
        <w:jc w:val="both"/>
        <w:rPr>
          <w:rFonts w:eastAsia="黑体"/>
          <w:kern w:val="2"/>
          <w:lang w:eastAsia="zh-CN"/>
        </w:rPr>
      </w:pPr>
      <w:bookmarkStart w:id="85" w:name="_Toc73521587"/>
      <w:bookmarkStart w:id="86" w:name="_Toc73517680"/>
      <w:bookmarkStart w:id="87" w:name="_Toc73518158"/>
      <w:bookmarkStart w:id="88" w:name="_Toc100052409"/>
      <w:bookmarkStart w:id="89" w:name="_Toc73521675"/>
      <w:r>
        <w:rPr>
          <w:rFonts w:eastAsia="黑体"/>
          <w:kern w:val="2"/>
          <w:lang w:eastAsia="zh-CN"/>
        </w:rPr>
        <w:t>44．</w:t>
      </w:r>
      <w:bookmarkEnd w:id="85"/>
      <w:bookmarkEnd w:id="86"/>
      <w:bookmarkEnd w:id="87"/>
      <w:bookmarkEnd w:id="88"/>
      <w:bookmarkEnd w:id="89"/>
      <w:r>
        <w:rPr>
          <w:rFonts w:eastAsia="黑体"/>
          <w:kern w:val="2"/>
          <w:lang w:eastAsia="zh-CN"/>
        </w:rPr>
        <w:t>接受和拒绝任何或所有投标的权力</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widowControl w:val="0"/>
        <w:spacing w:line="276" w:lineRule="auto"/>
        <w:jc w:val="both"/>
        <w:rPr>
          <w:rFonts w:eastAsia="黑体"/>
          <w:kern w:val="2"/>
          <w:lang w:eastAsia="zh-CN"/>
        </w:rPr>
      </w:pPr>
      <w:bookmarkStart w:id="90" w:name="_Toc100052410"/>
      <w:bookmarkStart w:id="91" w:name="_Toc73521677"/>
      <w:bookmarkStart w:id="92" w:name="_Toc73518160"/>
      <w:bookmarkStart w:id="93" w:name="_Toc73517682"/>
      <w:bookmarkStart w:id="94" w:name="_Toc73521589"/>
      <w:r>
        <w:rPr>
          <w:rFonts w:eastAsia="黑体"/>
          <w:kern w:val="2"/>
          <w:lang w:eastAsia="zh-CN"/>
        </w:rPr>
        <w:t>45．合同的签订</w:t>
      </w:r>
      <w:bookmarkEnd w:id="90"/>
      <w:bookmarkEnd w:id="91"/>
      <w:bookmarkEnd w:id="92"/>
      <w:bookmarkEnd w:id="93"/>
      <w:bookmarkEnd w:id="94"/>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45.1中标人将于中标通知书发出之日起十个工作日内，按照采购文件（招标文件和投标文件等）内容与采购人签订政府采购合同；合同的实质性内容应当符合招标文件的规定；</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45.2中标人应当按照合同约定履行义务，完成中标项目，不得将中标项目转让（转包）给他人。</w:t>
      </w:r>
    </w:p>
    <w:p>
      <w:pPr>
        <w:widowControl w:val="0"/>
        <w:spacing w:line="276" w:lineRule="auto"/>
        <w:jc w:val="both"/>
        <w:rPr>
          <w:rFonts w:eastAsia="黑体"/>
          <w:kern w:val="2"/>
          <w:lang w:eastAsia="zh-CN"/>
        </w:rPr>
      </w:pPr>
      <w:bookmarkStart w:id="95" w:name="_Toc73521678"/>
      <w:bookmarkStart w:id="96" w:name="_Toc100052411"/>
      <w:bookmarkStart w:id="97" w:name="_Toc73518161"/>
      <w:bookmarkStart w:id="98" w:name="_Toc73521590"/>
      <w:bookmarkStart w:id="99" w:name="_Toc73517683"/>
      <w:r>
        <w:rPr>
          <w:rFonts w:eastAsia="黑体"/>
          <w:kern w:val="2"/>
          <w:lang w:eastAsia="zh-CN"/>
        </w:rPr>
        <w:t>46．履约担保</w:t>
      </w:r>
      <w:bookmarkEnd w:id="95"/>
      <w:bookmarkEnd w:id="96"/>
      <w:bookmarkEnd w:id="97"/>
      <w:bookmarkEnd w:id="98"/>
      <w:bookmarkEnd w:id="99"/>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46.1在签订项目合同的同时，中标人应按“对通用条款的补充内容”中规定的金额向采购人提交履约担保；</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46.2，允许供应商自主选择以支票、汇票、本票、保函等非现金方式提交履约担保；</w:t>
      </w:r>
      <w:r>
        <w:rPr>
          <w:rFonts w:eastAsia="宋体"/>
          <w:kern w:val="2"/>
          <w:sz w:val="21"/>
          <w:lang w:eastAsia="zh-CN"/>
        </w:rPr>
        <w:t>中标人提交履约担保不是合同签订的前提条件，不要求中标人提供除法律、法规明确规定外的其他担保。</w:t>
      </w:r>
    </w:p>
    <w:p>
      <w:pPr>
        <w:widowControl w:val="0"/>
        <w:spacing w:line="276" w:lineRule="auto"/>
        <w:jc w:val="both"/>
        <w:rPr>
          <w:rFonts w:eastAsia="黑体"/>
          <w:kern w:val="2"/>
          <w:lang w:eastAsia="zh-CN"/>
        </w:rPr>
      </w:pPr>
      <w:r>
        <w:rPr>
          <w:rFonts w:eastAsia="黑体"/>
          <w:kern w:val="2"/>
          <w:lang w:eastAsia="zh-CN"/>
        </w:rPr>
        <w:t>47. 合同备案</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采购人</w:t>
      </w:r>
      <w:r>
        <w:rPr>
          <w:rFonts w:eastAsia="宋体" w:hint="eastAsia"/>
          <w:kern w:val="2"/>
          <w:sz w:val="21"/>
          <w:szCs w:val="21"/>
          <w:lang w:eastAsia="zh-CN"/>
        </w:rPr>
        <w:t>与中标供应商自中标通知书发出之日起10个工作日内签订政府采购合同，并按财政部门规定提交备案。</w:t>
      </w:r>
    </w:p>
    <w:p>
      <w:pPr>
        <w:widowControl w:val="0"/>
        <w:spacing w:line="276" w:lineRule="auto"/>
        <w:jc w:val="both"/>
        <w:rPr>
          <w:rFonts w:eastAsia="黑体"/>
          <w:kern w:val="2"/>
          <w:lang w:eastAsia="zh-CN"/>
        </w:rPr>
      </w:pPr>
      <w:r>
        <w:rPr>
          <w:rFonts w:eastAsia="黑体"/>
          <w:kern w:val="2"/>
          <w:lang w:eastAsia="zh-CN"/>
        </w:rPr>
        <w:t>48. 合同变更</w:t>
      </w:r>
    </w:p>
    <w:p>
      <w:pPr>
        <w:widowControl w:val="0"/>
        <w:spacing w:line="276" w:lineRule="auto"/>
        <w:ind w:firstLine="412" w:firstLineChars="196"/>
        <w:jc w:val="both"/>
        <w:rPr>
          <w:rFonts w:eastAsia="宋体"/>
          <w:kern w:val="2"/>
          <w:sz w:val="21"/>
          <w:szCs w:val="21"/>
          <w:lang w:eastAsia="zh-CN"/>
        </w:rPr>
      </w:pPr>
      <w:r>
        <w:rPr>
          <w:rFonts w:eastAsia="宋体" w:hint="eastAsia"/>
          <w:kern w:val="2"/>
          <w:sz w:val="21"/>
          <w:szCs w:val="21"/>
          <w:lang w:eastAsia="zh-CN"/>
        </w:rPr>
        <w:t>合同变更事宜参照《深圳市财政局关于优化政府采购合同备案的通知》（深财发保〔2022〕2号）相关规定，</w:t>
      </w:r>
      <w:r>
        <w:rPr>
          <w:rFonts w:ascii="宋体" w:eastAsia="宋体" w:hAnsi="宋体" w:cstheme="minorBidi" w:hint="eastAsia"/>
          <w:kern w:val="2"/>
          <w:sz w:val="21"/>
          <w:szCs w:val="21"/>
          <w:lang w:eastAsia="zh-CN"/>
        </w:rPr>
        <w:t>按采购人内控制度</w:t>
      </w:r>
      <w:r>
        <w:rPr>
          <w:rFonts w:eastAsia="宋体" w:hint="eastAsia"/>
          <w:kern w:val="2"/>
          <w:sz w:val="21"/>
          <w:szCs w:val="21"/>
          <w:lang w:eastAsia="zh-CN"/>
        </w:rPr>
        <w:t>执行</w:t>
      </w:r>
      <w:r>
        <w:rPr>
          <w:rFonts w:eastAsia="宋体"/>
          <w:kern w:val="2"/>
          <w:sz w:val="21"/>
          <w:szCs w:val="21"/>
          <w:lang w:eastAsia="zh-CN"/>
        </w:rPr>
        <w:t>。</w:t>
      </w:r>
    </w:p>
    <w:p>
      <w:pPr>
        <w:widowControl w:val="0"/>
        <w:spacing w:line="276" w:lineRule="auto"/>
        <w:jc w:val="both"/>
        <w:rPr>
          <w:rFonts w:eastAsia="黑体"/>
          <w:kern w:val="2"/>
          <w:lang w:eastAsia="zh-CN"/>
        </w:rPr>
      </w:pPr>
      <w:r>
        <w:rPr>
          <w:rFonts w:eastAsia="黑体"/>
          <w:kern w:val="2"/>
          <w:lang w:eastAsia="zh-CN"/>
        </w:rPr>
        <w:t>49. 项目验收</w:t>
      </w:r>
    </w:p>
    <w:p>
      <w:pPr>
        <w:widowControl/>
        <w:spacing w:line="276" w:lineRule="auto"/>
        <w:ind w:right="176" w:firstLine="420"/>
        <w:jc w:val="left"/>
        <w:rPr>
          <w:rFonts w:eastAsia="宋体"/>
          <w:kern w:val="2"/>
          <w:sz w:val="21"/>
          <w:lang w:eastAsia="zh-CN"/>
        </w:rPr>
      </w:pPr>
      <w:r>
        <w:rPr>
          <w:rFonts w:eastAsia="宋体"/>
          <w:kern w:val="2"/>
          <w:sz w:val="21"/>
          <w:lang w:eastAsia="zh-CN"/>
        </w:rPr>
        <w:t>49.1采购人应当按照招标文件和合同规定的标准和方法，及时组织验收。</w:t>
      </w:r>
    </w:p>
    <w:p>
      <w:pPr>
        <w:widowControl w:val="0"/>
        <w:spacing w:line="276" w:lineRule="auto"/>
        <w:jc w:val="both"/>
        <w:rPr>
          <w:rFonts w:eastAsia="黑体"/>
          <w:kern w:val="2"/>
          <w:lang w:eastAsia="zh-CN"/>
        </w:rPr>
      </w:pPr>
      <w:r>
        <w:rPr>
          <w:rFonts w:eastAsia="黑体"/>
          <w:kern w:val="2"/>
          <w:lang w:eastAsia="zh-CN"/>
        </w:rPr>
        <w:t>50. 宣传</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凡与政府采购活动有关的宣传或广告，若当中提及</w:t>
      </w:r>
      <w:r>
        <w:rPr>
          <w:rFonts w:eastAsia="宋体" w:hint="eastAsia"/>
          <w:kern w:val="2"/>
          <w:sz w:val="21"/>
          <w:szCs w:val="21"/>
          <w:lang w:eastAsia="zh-CN"/>
        </w:rPr>
        <w:t>本次</w:t>
      </w:r>
      <w:r>
        <w:rPr>
          <w:rFonts w:eastAsia="宋体"/>
          <w:kern w:val="2"/>
          <w:sz w:val="21"/>
          <w:szCs w:val="21"/>
          <w:lang w:eastAsia="zh-CN"/>
        </w:rPr>
        <w:t>采购</w:t>
      </w:r>
      <w:r>
        <w:rPr>
          <w:rFonts w:eastAsia="宋体" w:hint="eastAsia"/>
          <w:kern w:val="2"/>
          <w:sz w:val="21"/>
          <w:szCs w:val="21"/>
          <w:lang w:eastAsia="zh-CN"/>
        </w:rPr>
        <w:t>项目</w:t>
      </w:r>
      <w:r>
        <w:rPr>
          <w:rFonts w:eastAsia="宋体"/>
          <w:kern w:val="2"/>
          <w:sz w:val="21"/>
          <w:szCs w:val="21"/>
          <w:lang w:eastAsia="zh-CN"/>
        </w:rPr>
        <w:t>，必须事先将具体对外宣传方案报</w:t>
      </w:r>
      <w:r>
        <w:rPr>
          <w:rFonts w:ascii="宋体" w:eastAsia="宋体" w:hAnsi="宋体" w:cstheme="minorBidi" w:hint="eastAsia"/>
          <w:kern w:val="2"/>
          <w:sz w:val="21"/>
          <w:szCs w:val="21"/>
          <w:lang w:eastAsia="zh-CN"/>
        </w:rPr>
        <w:t>采购人</w:t>
      </w:r>
      <w:r>
        <w:rPr>
          <w:rFonts w:eastAsia="宋体"/>
          <w:kern w:val="2"/>
          <w:sz w:val="21"/>
          <w:szCs w:val="21"/>
          <w:lang w:eastAsia="zh-CN"/>
        </w:rPr>
        <w:t>，并征得其同意。对外市场宣传包括但不限于以下形式：</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a.名片、宣传册、广告标语等；</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b.案例介绍、推广等；</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c.工作人员向其他消费群体宣传。</w:t>
      </w:r>
    </w:p>
    <w:p>
      <w:pPr>
        <w:widowControl w:val="0"/>
        <w:spacing w:line="276" w:lineRule="auto"/>
        <w:jc w:val="both"/>
        <w:rPr>
          <w:rFonts w:eastAsia="黑体"/>
          <w:kern w:val="2"/>
          <w:lang w:eastAsia="zh-CN"/>
        </w:rPr>
      </w:pPr>
      <w:r>
        <w:rPr>
          <w:rFonts w:eastAsia="黑体"/>
          <w:kern w:val="2"/>
          <w:lang w:eastAsia="zh-CN"/>
        </w:rPr>
        <w:t>51. 供应商违法责任</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51.1《深圳经济特区政府采购条例》第五十七条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（1）在采购活动中应当回避而未回避的；</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（2）未按本条例规定签订、履行采购合同，造成严重后果的；</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（3）隐瞒真实情况，提供虚假资料的；</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（4）以非法手段排斥其他供应商参与竞争的；</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（5）与其他采购参加人串通投标的；</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（6）恶意投诉的；</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（7）向采购项目相关人行贿或者提供其他不当利益的；</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（8）阻碍、抗拒主管部门监督检查的；</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（9）其他违反本条例规定的行为。</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51.2</w:t>
      </w:r>
      <w:r>
        <w:rPr>
          <w:rFonts w:eastAsia="宋体" w:hint="eastAsia"/>
          <w:kern w:val="2"/>
          <w:sz w:val="21"/>
          <w:szCs w:val="21"/>
          <w:lang w:eastAsia="zh-CN"/>
        </w:rPr>
        <w:t>根据《深圳市财政局关于调整政府采购投标（响应）保证金管理政策的通知 》（深财购〔2021〕51号）的要求，供应商在政府采购活动中出现《深圳经济特区政府采购条例实施细则》第八十条所列情形的，政府集中采购机构或采购人不予退还其交纳的谈判保证金，情节严重的，并由主管部门记入供应商诚信档案，予以通报</w:t>
      </w:r>
      <w:r>
        <w:rPr>
          <w:rFonts w:eastAsia="宋体"/>
          <w:kern w:val="2"/>
          <w:sz w:val="21"/>
          <w:szCs w:val="21"/>
          <w:lang w:eastAsia="zh-CN"/>
        </w:rPr>
        <w:t>：</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（1）投标截止后，撤销投标的；</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（2）中标后无正当理由未在规定期限内签订合同的；</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（3）将中标项目转让给他人、或者在投标文件中未说明且未经采购人、采购招标机构同意，将中标项目分包给他人的；</w:t>
      </w:r>
    </w:p>
    <w:p>
      <w:pPr>
        <w:widowControl w:val="0"/>
        <w:spacing w:line="276" w:lineRule="auto"/>
        <w:ind w:firstLine="412" w:firstLineChars="196"/>
        <w:jc w:val="both"/>
        <w:rPr>
          <w:rFonts w:eastAsia="宋体"/>
          <w:kern w:val="2"/>
          <w:sz w:val="21"/>
          <w:szCs w:val="21"/>
          <w:lang w:eastAsia="zh-CN"/>
        </w:rPr>
      </w:pPr>
      <w:r>
        <w:rPr>
          <w:rFonts w:eastAsia="宋体"/>
          <w:kern w:val="2"/>
          <w:sz w:val="21"/>
          <w:szCs w:val="21"/>
          <w:lang w:eastAsia="zh-CN"/>
        </w:rPr>
        <w:t>（4）拒绝履行合同义务的。</w:t>
      </w:r>
    </w:p>
    <w:bookmarkEnd w:id="84"/>
    <w:p>
      <w:pPr>
        <w:keepNext/>
        <w:keepLines/>
        <w:widowControl w:val="0"/>
        <w:numPr>
          <w:ilvl w:val="0"/>
          <w:numId w:val="3"/>
        </w:numPr>
        <w:tabs>
          <w:tab w:val="left" w:pos="720"/>
        </w:tabs>
        <w:adjustRightInd w:val="0"/>
        <w:spacing w:before="120" w:beforeLines="50" w:after="120" w:afterLines="50" w:line="276" w:lineRule="auto"/>
        <w:ind w:left="562" w:hanging="562"/>
        <w:jc w:val="center"/>
        <w:textAlignment w:val="baseline"/>
        <w:outlineLvl w:val="1"/>
        <w:rPr>
          <w:rFonts w:eastAsia="宋体"/>
          <w:b/>
          <w:bCs/>
          <w:sz w:val="28"/>
          <w:szCs w:val="28"/>
          <w:lang w:eastAsia="zh-CN"/>
        </w:rPr>
      </w:pPr>
      <w:r>
        <w:rPr>
          <w:rFonts w:eastAsia="宋体"/>
          <w:b/>
          <w:bCs/>
          <w:sz w:val="28"/>
          <w:szCs w:val="28"/>
          <w:lang w:eastAsia="zh-CN"/>
        </w:rPr>
        <w:t>质疑处理</w:t>
      </w:r>
    </w:p>
    <w:p>
      <w:pPr>
        <w:widowControl w:val="0"/>
        <w:spacing w:line="276" w:lineRule="auto"/>
        <w:jc w:val="both"/>
        <w:rPr>
          <w:rFonts w:eastAsia="黑体"/>
          <w:kern w:val="2"/>
          <w:lang w:eastAsia="zh-CN"/>
        </w:rPr>
      </w:pPr>
      <w:bookmarkStart w:id="100" w:name="_Hlk72439706"/>
      <w:r>
        <w:rPr>
          <w:rFonts w:eastAsia="黑体"/>
          <w:kern w:val="2"/>
          <w:lang w:eastAsia="zh-CN"/>
        </w:rPr>
        <w:t>52.质疑提出与答复</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52.1提出质疑</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参与政府采购活动的供应商认为自己的权益在采购活动中受到损害的，应当自知道或者应当知道其权益受到损害之日起七个工作日内向采购人、政府集中采购机构以书面形式提出质疑。</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52.2法律依据</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中华人民共和国政府采购法》、《中华人民共和国政府采购法实施条例》、《深圳经济特区政府采购条例》、《深圳经济特区政府采购条例实施细则》、《政府采购质疑和投诉办法》（财政部令第94号）和其他有关法律法规规定。</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52.3质疑条件</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52.3.1提出质疑的供应商应当是参与所质疑项目采购活动的供应商；</w:t>
      </w:r>
      <w:bookmarkStart w:id="101" w:name="_Hlk75374941"/>
      <w:r>
        <w:rPr>
          <w:rFonts w:eastAsia="宋体"/>
          <w:kern w:val="2"/>
          <w:sz w:val="21"/>
          <w:szCs w:val="21"/>
          <w:lang w:eastAsia="zh-CN"/>
        </w:rPr>
        <w:t>以联合体形式参与的，质疑应当由组成联合体的所有成员共同提出</w:t>
      </w:r>
      <w:bookmarkEnd w:id="101"/>
      <w:r>
        <w:rPr>
          <w:rFonts w:eastAsia="宋体"/>
          <w:kern w:val="2"/>
          <w:sz w:val="21"/>
          <w:szCs w:val="21"/>
          <w:lang w:eastAsia="zh-CN"/>
        </w:rPr>
        <w:t>；</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widowControl w:val="0"/>
        <w:spacing w:line="276" w:lineRule="auto"/>
        <w:ind w:firstLine="420"/>
        <w:jc w:val="both"/>
        <w:rPr>
          <w:rFonts w:eastAsia="宋体"/>
          <w:kern w:val="2"/>
          <w:sz w:val="21"/>
          <w:szCs w:val="21"/>
          <w:lang w:eastAsia="zh-CN"/>
        </w:rPr>
      </w:pPr>
      <w:r>
        <w:rPr>
          <w:rFonts w:eastAsia="宋体"/>
          <w:kern w:val="2"/>
          <w:sz w:val="21"/>
          <w:szCs w:val="21"/>
          <w:lang w:eastAsia="zh-CN"/>
        </w:rPr>
        <w:t>52.3.3应提交书面质疑函，质疑函应当包括以下内容：</w:t>
      </w:r>
    </w:p>
    <w:p>
      <w:pPr>
        <w:widowControl w:val="0"/>
        <w:spacing w:line="276" w:lineRule="auto"/>
        <w:ind w:firstLine="420"/>
        <w:jc w:val="both"/>
        <w:rPr>
          <w:rFonts w:eastAsia="宋体"/>
          <w:kern w:val="2"/>
          <w:sz w:val="21"/>
          <w:szCs w:val="21"/>
          <w:lang w:eastAsia="zh-CN"/>
        </w:rPr>
      </w:pPr>
      <w:r>
        <w:rPr>
          <w:rFonts w:eastAsia="宋体"/>
          <w:kern w:val="2"/>
          <w:sz w:val="21"/>
          <w:szCs w:val="21"/>
          <w:lang w:eastAsia="zh-CN"/>
        </w:rPr>
        <w:t>（1）供应商的名称（或者姓名）、地址、邮编、邮箱、联系人及联系电话；</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（2）质疑项目的名称、编号；</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（3）具体、明确的质疑对象、质疑事项和质疑请求；</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（4）因质疑事项而受损害的权益；</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（5）事实依据；</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（6）必要的法律依据；</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（7）提出质疑的日期。</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供应商为自然人的，应当由本人签字；供应商为法人或者其他组织的，应当由法定代表人（负责人），或者其授权代理人签字或者盖章，并加盖公章。</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52.4提交材料</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52.5</w:t>
      </w:r>
      <w:r>
        <w:rPr>
          <w:rFonts w:eastAsia="宋体" w:hint="eastAsia"/>
          <w:kern w:val="2"/>
          <w:sz w:val="21"/>
          <w:szCs w:val="21"/>
          <w:lang w:eastAsia="zh-CN"/>
        </w:rPr>
        <w:t>收文地点</w:t>
      </w:r>
    </w:p>
    <w:p>
      <w:pPr>
        <w:widowControl w:val="0"/>
        <w:spacing w:line="276" w:lineRule="auto"/>
        <w:ind w:firstLine="420" w:firstLineChars="200"/>
        <w:jc w:val="both"/>
        <w:rPr>
          <w:rFonts w:eastAsia="宋体"/>
          <w:b/>
          <w:bCs/>
          <w:kern w:val="2"/>
          <w:sz w:val="21"/>
          <w:szCs w:val="21"/>
          <w:lang w:eastAsia="zh-CN"/>
        </w:rPr>
      </w:pPr>
      <w:r>
        <w:rPr>
          <w:rFonts w:eastAsia="宋体"/>
          <w:b/>
          <w:bCs/>
          <w:kern w:val="2"/>
          <w:sz w:val="21"/>
          <w:szCs w:val="21"/>
          <w:lang w:eastAsia="zh-CN"/>
        </w:rPr>
        <w:t>地址：深圳市南山区沙河西路3185号南山智谷A座（深圳交易集团总部大楼）27楼，质疑咨询电话：</w:t>
      </w:r>
      <w:r>
        <w:rPr>
          <w:rFonts w:eastAsia="宋体" w:hint="eastAsia"/>
          <w:b/>
          <w:bCs/>
          <w:kern w:val="2"/>
          <w:sz w:val="21"/>
          <w:szCs w:val="21"/>
          <w:lang w:eastAsia="zh-CN"/>
        </w:rPr>
        <w:t>0755-86500054、0755-86500050</w:t>
      </w:r>
      <w:r>
        <w:rPr>
          <w:rFonts w:eastAsia="宋体"/>
          <w:b/>
          <w:bCs/>
          <w:kern w:val="2"/>
          <w:sz w:val="21"/>
          <w:szCs w:val="21"/>
          <w:lang w:eastAsia="zh-CN"/>
        </w:rPr>
        <w:t>。</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52.6收文办理程序</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widowControl w:val="0"/>
        <w:spacing w:line="276" w:lineRule="auto"/>
        <w:ind w:firstLine="420" w:firstLineChars="200"/>
        <w:jc w:val="both"/>
        <w:rPr>
          <w:rFonts w:eastAsia="仿宋"/>
          <w:kern w:val="2"/>
          <w:sz w:val="28"/>
          <w:szCs w:val="28"/>
          <w:lang w:eastAsia="zh-CN"/>
        </w:rPr>
      </w:pPr>
      <w:r>
        <w:rPr>
          <w:rFonts w:eastAsia="宋体"/>
          <w:kern w:val="2"/>
          <w:sz w:val="21"/>
          <w:szCs w:val="21"/>
          <w:lang w:eastAsia="zh-CN"/>
        </w:rPr>
        <w:t>52.6.2供应商提交的质疑材料不符合质疑条件的，视情况处理：</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供应商提交的质疑材料不全或者未按要求签字或者盖章的，政府集中采购机构应当一次性告知供应商需补正的内容和补正期限。</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供应商提交的质疑存在下列情形之一的，不予受理：</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（1）质疑主体不满足要求的；</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（2）供应商自身权益未受到损害的；</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（3）供应商未在法定质疑期限内提出质疑的；</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（4）质疑材料不全或者未按要求签字或者盖章的情况下，要求补正后，逾期未补正或者补正后仍不符合规定的；</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（5）其他不符合受理条件情形的。</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质疑事项不予受理的，政府集中采购机构应当向供应商出具不符合质疑条件告知书。</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52.7质疑答复时限</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自收文之日起七个工作日内。</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52.8投诉</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对质疑答复不满意或者未在规定时间内答复的，提出质疑的供应商可以在答复期满后</w:t>
      </w:r>
      <w:r>
        <w:rPr>
          <w:rFonts w:eastAsia="宋体" w:hint="eastAsia"/>
          <w:kern w:val="2"/>
          <w:sz w:val="21"/>
          <w:szCs w:val="21"/>
          <w:lang w:eastAsia="zh-CN"/>
        </w:rPr>
        <w:t>7</w:t>
      </w:r>
      <w:r>
        <w:rPr>
          <w:rFonts w:eastAsia="宋体"/>
          <w:kern w:val="2"/>
          <w:sz w:val="21"/>
          <w:szCs w:val="21"/>
          <w:lang w:eastAsia="zh-CN"/>
        </w:rPr>
        <w:t>个工作日内向</w:t>
      </w:r>
      <w:r>
        <w:rPr>
          <w:rFonts w:eastAsia="宋体" w:hint="eastAsia"/>
          <w:kern w:val="2"/>
          <w:sz w:val="21"/>
          <w:szCs w:val="21"/>
          <w:lang w:eastAsia="zh-CN"/>
        </w:rPr>
        <w:t>本项目采购人</w:t>
      </w:r>
      <w:r>
        <w:rPr>
          <w:rFonts w:eastAsia="宋体"/>
          <w:kern w:val="2"/>
          <w:sz w:val="21"/>
          <w:szCs w:val="21"/>
          <w:lang w:eastAsia="zh-CN"/>
        </w:rPr>
        <w:t>投诉。</w:t>
      </w:r>
    </w:p>
    <w:p>
      <w:pPr>
        <w:widowControl w:val="0"/>
        <w:spacing w:line="276" w:lineRule="auto"/>
        <w:jc w:val="both"/>
        <w:rPr>
          <w:rFonts w:eastAsia="黑体"/>
          <w:kern w:val="2"/>
          <w:lang w:eastAsia="zh-CN"/>
        </w:rPr>
      </w:pPr>
      <w:r>
        <w:rPr>
          <w:rFonts w:eastAsia="黑体"/>
          <w:kern w:val="2"/>
          <w:lang w:eastAsia="zh-CN"/>
        </w:rPr>
        <w:t>53. 质疑后续处理</w:t>
      </w:r>
    </w:p>
    <w:p>
      <w:pPr>
        <w:widowControl w:val="0"/>
        <w:spacing w:line="276" w:lineRule="auto"/>
        <w:ind w:firstLine="420" w:firstLineChars="200"/>
        <w:jc w:val="both"/>
        <w:rPr>
          <w:rFonts w:eastAsia="宋体"/>
          <w:kern w:val="2"/>
          <w:sz w:val="21"/>
          <w:szCs w:val="21"/>
          <w:lang w:eastAsia="zh-CN"/>
        </w:rPr>
      </w:pPr>
      <w:r>
        <w:rPr>
          <w:rFonts w:eastAsia="宋体"/>
          <w:kern w:val="2"/>
          <w:sz w:val="21"/>
          <w:szCs w:val="21"/>
          <w:lang w:eastAsia="zh-CN"/>
        </w:rPr>
        <w:t>53.1供应商质疑不成立，或者成立但未对中标、成交结果构成影响的，继续开展采购活动。</w:t>
      </w:r>
    </w:p>
    <w:p>
      <w:pPr>
        <w:widowControl w:val="0"/>
        <w:spacing w:line="276" w:lineRule="auto"/>
        <w:ind w:firstLine="420" w:firstLineChars="200"/>
        <w:jc w:val="both"/>
        <w:rPr>
          <w:rFonts w:eastAsia="宋体"/>
          <w:kern w:val="2"/>
          <w:sz w:val="21"/>
          <w:lang w:eastAsia="zh-CN"/>
        </w:rPr>
      </w:pPr>
      <w:r>
        <w:rPr>
          <w:rFonts w:eastAsia="宋体"/>
          <w:kern w:val="2"/>
          <w:sz w:val="21"/>
          <w:szCs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w:t>
      </w:r>
      <w:r>
        <w:rPr>
          <w:rFonts w:eastAsia="宋体" w:hint="eastAsia"/>
          <w:kern w:val="2"/>
          <w:sz w:val="21"/>
          <w:szCs w:val="21"/>
          <w:lang w:eastAsia="zh-CN"/>
        </w:rPr>
        <w:t>合格供应商符合法定数量时，可以从合格的中标或者成交候选人中另行确定中标、成交供应商的，应当依法另行确定中标、成交供应商；否则应当重新开展采购活动。（3）被质疑供应商应配合提供质疑答辩意见，并提供相关证据材料，逾期不作书面答辩的，视同放弃答辩权利，依法承担由此可能产生的不利法律后果。</w:t>
      </w:r>
    </w:p>
    <w:p>
      <w:pPr>
        <w:widowControl w:val="0"/>
        <w:jc w:val="center"/>
        <w:rPr>
          <w:rFonts w:eastAsia="宋体"/>
          <w:kern w:val="2"/>
          <w:sz w:val="21"/>
          <w:lang w:eastAsia="zh-CN"/>
        </w:rPr>
      </w:pPr>
    </w:p>
    <w:p>
      <w:pPr>
        <w:widowControl w:val="0"/>
        <w:jc w:val="center"/>
        <w:rPr>
          <w:rFonts w:eastAsia="宋体"/>
          <w:kern w:val="2"/>
          <w:sz w:val="21"/>
          <w:lang w:eastAsia="zh-CN"/>
        </w:rPr>
      </w:pPr>
      <w:r>
        <w:rPr>
          <w:rFonts w:eastAsia="宋体"/>
          <w:kern w:val="2"/>
          <w:sz w:val="21"/>
          <w:lang w:eastAsia="zh-CN"/>
        </w:rPr>
        <w:t>---- END ----</w:t>
      </w:r>
      <w:bookmarkEnd w:id="100"/>
    </w:p>
    <w:p>
      <w:pPr>
        <w:widowControl w:val="0"/>
        <w:jc w:val="center"/>
        <w:rPr>
          <w:rFonts w:ascii="宋体" w:eastAsia="宋体" w:hAnsi="宋体"/>
          <w:kern w:val="2"/>
          <w:sz w:val="21"/>
          <w:szCs w:val="21"/>
          <w:lang w:eastAsia="zh-CN"/>
        </w:rPr>
      </w:pPr>
    </w:p>
    <w:p>
      <w:pPr>
        <w:widowControl w:val="0"/>
        <w:jc w:val="both"/>
        <w:rPr>
          <w:rFonts w:ascii="Calibri" w:eastAsia="宋体" w:hAnsi="Calibri"/>
          <w:kern w:val="2"/>
          <w:sz w:val="21"/>
          <w:szCs w:val="22"/>
          <w:lang w:eastAsia="zh-CN"/>
        </w:rPr>
        <w:sectPr>
          <w:footerReference w:type="even" r:id="rId4"/>
          <w:footerReference w:type="default" r:id="rId5"/>
          <w:pgSz w:w="11907" w:h="16840"/>
          <w:pgMar w:top="1440" w:right="1531" w:bottom="1440" w:left="1514" w:header="851" w:footer="992" w:gutter="0"/>
          <w:cols w:num="1" w:space="425"/>
          <w:titlePg/>
          <w:docGrid w:linePitch="462" w:charSpace="0"/>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深圳市南山区妇幼保健院院内零星修缮服务-A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政府采购投标及履约承诺函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同类项目业绩</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履约评价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认证情况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供应商基本情况表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项目实施方案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项目重点难点分析、应对措施及相关的合理化建议</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施工质量保证方案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施工进度、安全、环境保护措施及方案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项目完成（服务期满）后的服务承诺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施工响应时间承诺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拟安排的项目负责人情况（仅限一人）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投标人认为需要加以说明的其他内容（格式自定）</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NSZXCG-2025-00020-001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深圳市南山区妇幼保健院院内零星修缮服务-A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1.具有独立承担民事责任的能力（提供营业执照或事业单位法人证书等证明资料扫描件；分支机构参与投标的，须同时提供总公司授权文件且授权书载明其民事责任由总公司承担，提供总公司及分支机构的营业执照扫描件，总公司或者分支机构只允许一家投标，不允许同时参与本项目投标）；：</w:t>
            </w:r>
            <w:r>
              <w:rPr>
                <w:rFonts w:ascii="FangSong" w:eastAsia="FangSong" w:hAnsi="FangSong" w:cs="FangSong"/>
                <w:color w:val="666666"/>
                <w:lang w:val="en" w:eastAsia="en"/>
              </w:rPr>
              <w:br/>
            </w:r>
            <w:r>
              <w:rPr>
                <w:rFonts w:ascii="FangSong" w:eastAsia="FangSong" w:hAnsi="FangSong" w:cs="FangSong"/>
                <w:color w:val="666666"/>
                <w:lang w:val="en" w:eastAsia="en"/>
              </w:rPr>
              <w:t>1.具有独立承担民事责任的能力（提供营业执照或事业单位法人证书等证明资料扫描件；分支机构参与投标的，须同时提供总公司授权文件且授权书载明其民事责任由总公司承担，提供总公司及分支机构的营业执照扫描件，总公司或者分支机构只允许一家投标，不允许同时参与本项目投标）；</w:t>
            </w:r>
            <w:r>
              <w:rPr>
                <w:rFonts w:ascii="FangSong" w:eastAsia="FangSong" w:hAnsi="FangSong" w:cs="FangSong"/>
                <w:color w:val="666666"/>
                <w:lang w:val="en" w:eastAsia="en"/>
              </w:rPr>
              <w:br/>
            </w:r>
            <w:r>
              <w:rPr>
                <w:rFonts w:ascii="FangSong" w:eastAsia="FangSong" w:hAnsi="FangSong" w:cs="FangSong"/>
                <w:color w:val="666666"/>
                <w:lang w:val="en" w:eastAsia="en"/>
              </w:rPr>
              <w:t>2.本项目不接受联合体投标，不接受投标人选用进口产品参与投标；：</w:t>
            </w:r>
            <w:r>
              <w:rPr>
                <w:rFonts w:ascii="FangSong" w:eastAsia="FangSong" w:hAnsi="FangSong" w:cs="FangSong"/>
                <w:color w:val="666666"/>
                <w:lang w:val="en" w:eastAsia="en"/>
              </w:rPr>
              <w:br/>
            </w:r>
            <w:r>
              <w:rPr>
                <w:rFonts w:ascii="FangSong" w:eastAsia="FangSong" w:hAnsi="FangSong" w:cs="FangSong"/>
                <w:color w:val="666666"/>
                <w:lang w:val="en" w:eastAsia="en"/>
              </w:rPr>
              <w:t>2.本项目不接受联合体投标，不接受投标人选用进口产品参与投标；</w:t>
            </w:r>
            <w:r>
              <w:rPr>
                <w:rFonts w:ascii="FangSong" w:eastAsia="FangSong" w:hAnsi="FangSong" w:cs="FangSong"/>
                <w:color w:val="666666"/>
                <w:lang w:val="en" w:eastAsia="en"/>
              </w:rPr>
              <w:br/>
            </w:r>
            <w:r>
              <w:rPr>
                <w:rFonts w:ascii="FangSong" w:eastAsia="FangSong" w:hAnsi="FangSong" w:cs="FangSong"/>
                <w:color w:val="666666"/>
                <w:lang w:val="en" w:eastAsia="en"/>
              </w:rPr>
              <w:t>3.参与本项目政府采购活动时不存在被有关部门禁止参与政府采购活动且在有效期内的情况（由供应商在《政府采购投标及履约承诺函》中作出声明）；：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3.参与本项目政府采购活动时不存在被有关部门禁止参与政府采购活动且在有效期内的情况（由供应商在《政府采购投标及履约承诺函》中作出声明）；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4.具备《中华人民共和国政府采购法》第二十二条第一款的条件（由供应商在《政府采购投标及履约承诺函》中作出声明）；：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4.具备《中华人民共和国政府采购法》第二十二条第一款的条件（由供应商在《政府采购投标及履约承诺函》中作出声明）；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5.未被列入失信被执行人、重大税收违法案件当事人名单、政府采购严重违法失信行为记录名单（由供应商在《政府采购投标及履约承诺函》中作出声明）；：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5.未被列入失信被执行人、重大税收违法案件当事人名单、政府采购严重违法失信行为记录名单（由供应商在《政府采购投标及履约承诺函》中作出声明）；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6.不存在《深圳市财政局政府采购供应商信用信息管理办法》（深财规〔2023〕3号）列明的严重违法失信行为（由供应商在《政府采购投标及履约承诺函》中作出声明）；：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6.不存在《深圳市财政局政府采购供应商信用信息管理办法》（深财规〔2023〕3号）列明的严重违法失信行为（由供应商在《政府采购投标及履约承诺函》中作出声明）；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7.为采购项目提供整体设计、规范编制或者项目管理、监理、检测等服务的供应商，不得再参加该采购项目的其他采购活动（由供应商在《政府采购投标及履约承诺函》中作出声明）；：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7.为采购项目提供整体设计、规范编制或者项目管理、监理、检测等服务的供应商，不得再参加该采购项目的其他采购活动（由供应商在《政府采购投标及履约承诺函》中作出声明）；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8.本项目是（否）专门面向中小企业采购：否。：</w:t>
            </w:r>
            <w:r>
              <w:rPr>
                <w:rFonts w:ascii="FangSong" w:eastAsia="FangSong" w:hAnsi="FangSong" w:cs="FangSong"/>
                <w:color w:val="666666"/>
                <w:lang w:val="en" w:eastAsia="en"/>
              </w:rPr>
              <w:br/>
            </w:r>
            <w:r>
              <w:rPr>
                <w:rFonts w:ascii="FangSong" w:eastAsia="FangSong" w:hAnsi="FangSong" w:cs="FangSong"/>
                <w:color w:val="666666"/>
                <w:lang w:val="en" w:eastAsia="en"/>
              </w:rPr>
              <w:t>8.本项目是（否）专门面向中小企业采购：否。</w:t>
            </w:r>
            <w:r>
              <w:rPr>
                <w:rFonts w:ascii="FangSong" w:eastAsia="FangSong" w:hAnsi="FangSong" w:cs="FangSong"/>
                <w:color w:val="666666"/>
                <w:lang w:val="en" w:eastAsia="en"/>
              </w:rPr>
              <w:br/>
            </w:r>
            <w:r>
              <w:rPr>
                <w:rFonts w:ascii="FangSong" w:eastAsia="FangSong" w:hAnsi="FangSong" w:cs="FangSong"/>
                <w:color w:val="666666"/>
                <w:lang w:val="en" w:eastAsia="en"/>
              </w:rPr>
              <w:t>9.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并加盖供应商公章，格式见第四章投标文件组成要求及格式-《供应商基本情况表》，如供应商存在未提供《供应商基本情况表》或所提供《供应商基本情况表》不符合采购文件要求的情形，按资格审查不通过处理）。：</w:t>
            </w:r>
            <w:r>
              <w:rPr>
                <w:rFonts w:ascii="FangSong" w:eastAsia="FangSong" w:hAnsi="FangSong" w:cs="FangSong"/>
                <w:color w:val="666666"/>
                <w:lang w:val="en" w:eastAsia="en"/>
              </w:rPr>
              <w:br/>
            </w:r>
            <w:r>
              <w:rPr>
                <w:rFonts w:ascii="FangSong" w:eastAsia="FangSong" w:hAnsi="FangSong" w:cs="FangSong"/>
                <w:color w:val="666666"/>
                <w:lang w:val="en" w:eastAsia="en"/>
              </w:rPr>
              <w:t>9.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并加盖供应商公章，格式见第四章投标文件组成要求及格式-《供应商基本情况表》，如供应商存在未提供《供应商基本情况表》或所提供《供应商基本情况表》不符合采购文件要求的情形，按资格审查不通过处理）。</w:t>
            </w:r>
            <w:r>
              <w:rPr>
                <w:rFonts w:ascii="FangSong" w:eastAsia="FangSong" w:hAnsi="FangSong" w:cs="FangSong"/>
                <w:color w:val="666666"/>
                <w:lang w:val="en" w:eastAsia="en"/>
              </w:rPr>
              <w:br/>
            </w:r>
            <w:r>
              <w:rPr>
                <w:rFonts w:ascii="FangSong" w:eastAsia="FangSong" w:hAnsi="FangSong" w:cs="FangSong"/>
                <w:color w:val="666666"/>
                <w:lang w:val="en" w:eastAsia="en"/>
              </w:rPr>
              <w:t>10.投标人必须具有以下2类证书：（1）建筑工程施工总承包三级及以上（含本级）资质或建筑装修装饰工程专业承包三级及以上（含本级）资质（提供有效期内资质证书扫描件）；（2）安全生产许可证（提供有效期内证书扫描件）。：</w:t>
            </w:r>
            <w:r>
              <w:rPr>
                <w:rFonts w:ascii="FangSong" w:eastAsia="FangSong" w:hAnsi="FangSong" w:cs="FangSong"/>
                <w:color w:val="666666"/>
                <w:lang w:val="en" w:eastAsia="en"/>
              </w:rPr>
              <w:br/>
            </w:r>
            <w:r>
              <w:rPr>
                <w:rFonts w:ascii="FangSong" w:eastAsia="FangSong" w:hAnsi="FangSong" w:cs="FangSong"/>
                <w:color w:val="666666"/>
                <w:lang w:val="en" w:eastAsia="en"/>
              </w:rPr>
              <w:t>10.投标人必须具有以下2类证书：（1）建筑工程施工总承包三级及以上（含本级）资质或建筑装修装饰工程专业承包三级及以上（含本级）资质（提供有效期内资质证书扫描件）；（2）安全生产许可证（提供有效期内证书扫描件）。</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填报的综合折扣不满足“0＜综合折扣≤1（100%）”公式要求的；填报的综合折扣不满足“最多保留小数点后2位”要求的；综合折扣缺填、漏填或填报了两个或以上综合折扣；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填报的综合折扣不满足“0＜综合折扣≤1（100%）”公式要求的；填报的综合折扣不满足“最多保留小数点后2位”要求的；综合折扣缺填、漏填或填报了两个或以上综合折扣；</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作出评判；若招标文件未设置实质性条款，不得据此做投标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作出评判；若招标文件未设置实质性条款，不得据此做投标无效处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未按招标文件所提供的样式填写《投标函》；未按招标文件所提供的《政府采购投标及履约承诺函》进行承诺或不符合承诺的；未按招标文件对投标文件组成的要求提供投标文件；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未按招标文件所提供的样式填写《投标函》；未按招标文件所提供的《政府采购投标及履约承诺函》进行承诺或不符合承诺的；未按招标文件对投标文件组成的要求提供投标文件；</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采购标的所投产品服务清单报价等任意一类有缺漏项或响应不全，或者对招标文件规定的项目需求内容或者需求数量进行修改，评审委员会判定投标响应不满足采购需求；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采购标的所投产品服务清单报价等任意一类有缺漏项或响应不全，或者对招标文件规定的项目需求内容或者需求数量进行修改，评审委员会判定投标响应不满足采购需求；</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投标文件用不属于本公司的电子密钥进行加密或投标文件未按时解密的；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投标文件用不属于本公司的电子密钥进行加密或投标文件未按时解密的；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项目实施方案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根据投标人提供的项目实施方案进行评价，项目实施方案要求至少包含以下内容： （1）对项目背景的理解； （2）对项目工作目的及意义的认识； （3）对项目关键技术、工艺、工作方法和技术路线； （二）评分依据 1.投标人提供的项目技术方案,每包含以上任意一项要求得15分，全部满足得45分。 2.在第1项得分的基础上，专家根据各投标人提供的具体内容按照量化的评审因素指标进一步评审： （1）评审为优：方案整体实操性高，结合采购方实际情况得55分。 （2）评审为良：方案整体实操性较高，贴近采购方实际情况得30分。 （3）评审为中：方案有一定实操性，基本符合采购方实际情况得15分。 （4）评审为差：方案实操性低，偏离采购方实际情况得0分。 以上2项得分累计，最高得100分。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项目重点难点分析、应对措施及相关的合理化建议</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根据投标人提供的项目重点难点分析、应对措施及相关的合理化建议进行评价，方案要求至少包含以下内容： （1）对重点问题的把握与分析； （2）对难点问题的把握与分析； （3）解决思路和方法。 （二）评分依据 1.投标人提供的项目技术方案,每包含以上任意一项要求得15分，全部满足得45分。 2.在第1项得分的基础上，专家根据各投标人提供的具体内容按照量化的评审因素指标进一步评审： （1）评审为优：方案整体实操性高，结合采购方实际情况，得55分。 （2）评审为良：方案整体实操性较高，贴近采购方实际情况得30分。 （3）评审为中：方案有一定实操性，基本符合采购方实际情况得15分。 （4）评审为差：方案实操性低，偏离采购方实际情况得0分。 以上2项得分累计，最高得100分。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施工质量保证方案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要求针对本项目实际情况列出具体的施工质量保证方案，包括但不限于以下内容： 1.质量保证体系； 2.工程质量的技术保证措施。 （二）评分依据 1.投标人提供的项目技术方案,每包含以上任意一项要求得20分，全部满足得40分。 2.在第1项得分的基础上，专家根据各投标人提供的具体内容按照量化的评审因素指标进一步评审： （1）评审为优：方案非常可行、合理，符合采购方实际，得60分； （2）评审为良：方案可行、较合理，比较符合采购方实际，得35分； （3）评审为中：方案可行、合理、评价一般，基本符合采购方实际，得20分； （4）评审为差：方案可行性差、偏离采购方实际情况则不得分。 以上2项得分累计，最高得100分。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施工进度、安全、环境保护措施及方案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根据投标人提供的施工进度、安全、环境保护措施及方案进行评价，方案要求至少包含以下内容： （1）施工进度保障措施及方案； （2）安全文明施工保障措施及方案。 （3）环境保护措施及方案 （二）评分依据 1.投标人提供的项目技术方案,每包含以上任意一项要求得15分，全部满足得45分。 2.在第1项得分的基础上，专家根据各投标人提供的具体内容按照量化的评审因素指标进一步评审： （1）评审为优：安全、环保、进度等保障措施及方案科学有效，全面、合理，符合采购方实际得55分。 （2）评审为良：安全、环保、进度等保障措施及方案比较科学有效，较为全面、合理，贴近采购方实际情况得30分。 （3）评审为中：安全、环保、进度等保障措施及方案科学有效性一般，不够全面、合理性一般，基本符合采购方实际情况得15分。 （4）评审为差：安全、环保、进度等保障措施及方案不合理，不全面，偏离采购方实际情况得0分。 以上2项得分累计，最高得100分。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项目完成（服务期满）后的服务承诺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根据投标人提供的项目完成（服务期满）后的服务承诺进行评价，方案要求至少包含以下内容： （1）提供售后服务承诺书； （2）售后服务内容； （3）安排专人负责标准技术咨询，并提供其联系手机、电话、Email。 （二）评分标准 1.投标人提供的项目技术方案,每包含以上任意一项要求得10分，全部满足得30分。 2.在第1项得分的基础上，专家根据各投标人提供的具体内容按照量化的评审因素指标进一步评审： （1）评审为优：服务承诺完整、完善，承诺内容全面可信，有明确的服务时限得70分。 （2）评审为良：服务承诺完整，承诺内容可信，服务时限模糊得30分。 （3）评审为中：服务承诺有缺漏，承诺可信度低，服务时限模糊甚至无标明得10分。 （4）评审为差：服务承诺严重缺漏，无可信度，无服务时限得0分。 以上2项得分累计，最高得100分。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施工响应时间承诺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根据投标人提供的施工响应时间承诺情况进行评审： （1）投标人承诺在接受到指令后到达现场的时间，工程响应时间不超过1小时（含）的，得100分； （2）投标人承诺在接受到指令后到达现场的时间，工程响应时间不超过2小时（含）的，得50分； （3）投标人承诺在接受到指令后到达现场的时间，工程响应时间不超过4小时（含）的，得25分。 （二）评分依据 要求投标人提供承诺函（格式自拟）作为得分依据，未提供承诺或承诺内容不满足要求不得分。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免费质保期</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根据实质性条款中免费质保期的响应情况进行评价，评审委员会以投标文件《实质性条款响应情况表》中免费质保期响应情况进行打分。 （二）评分依据 在满足招标文件免费质保期要求的前提下，整体每延长1年免费保修期的得50分，最高100分。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拟安排的项目负责人情况（仅限一人）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拟安排的项目负责人（仅限一人）须为投标人自有员工（以社保为准），否则投入的该人员作不得分处理。在此基础上按照以下规则评分： ①具有人社部门颁发的建筑装饰专业的工程师（中级）或以上职称的，得50分； ②具有住建部门颁发的建筑施工企业项目负责人安全生产考核合格证书，得50分. 以上2项得分累计，满分100分。 （二）评分依据 1.【自有员工证明】提供为项目负责人缴交的近三个月（具体指投标截止日所在月的上一个月起倒算）中任意一个月社保缴交证明材料（证明资料可为社保收缴部门盖章证明资料、社保窗口打印资料或社保官网截图）扫描件。如社保材料因社保部门原因暂时无法取得，则可以往前顺延一个月。如投标人注册成立时间不足1个月的，可提供承诺函证明拟投入的项目负责人为其自有员工（格式自拟）。 2.【证书证明材料】提供项目负责人相关证书扫描件作为得分依据； 3.以上材料均提供扫描件，如未按要求提供证明材料，或所提供的证明材料未能体现上述评分内容的，该证明材料视为无效。</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综合实力部分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同类项目业绩</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近三年内（2022年1月1日起至本项目投标截止之日止，以合同签订时间为准）具有的同类项目业绩情况，每提供一个行政机关或事业单位委托的年度零星修缮服务合同或者装修装饰项目合同的得35分，累计得分，最高得100分，其他情况不得分。 注：同一合同同时满足多项要求的，不可累计得分，仅按最优情况计算一次分值。 （二）评分标准： 1.提供同类业绩项目合同关键页（包括但不限于：合同名称页、合同主要内容页、合同签订日期页、合同双方签字盖章页）作为证明文件，未提供的不得分。 2.通过合同关键信息无法判断是否得分的，还须同时提供能证明得分的其它证明资料，如中标通知书、项目报告、项目委托书等。 3.以上资料均要求提供扫描件。如未按要求提供证明材料，或所提供的证明材料未能体现上述评分内容的，一律作不得分处理。 4.续签合同不可重复计分，每个合同只计一次分数。</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履约评价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在上述“同类项目业绩”经评审得分的有效业绩，经服务单位（合同甲方、发包方、采购方）履约评价的情况：综合履约评价结果为最高级的（优、优秀、满意或90分或以上等同等意义最高级评价的），每提供一项得35分；综合履约评价结果为次高级的（良好、比较满意、比较优秀或80分或以上等同等意义次高级评价的），每提供一项得15分；累计得分，最高得100分，其他情况不得分。同一项目的履约评价不得累计得分，按最优情况计分。 （二）评分依据 1.提供同类项目业绩的履约评价证明材料【项目履约评价方须与合同甲方（采购方、发包方）一致，且履约评价证明材料需加盖合同甲方（采购方、发包方）公章（或工程项目章）；若合同甲方（采购方、发包方）有名称变更的，投标人还需提供说明函并加盖投标人公章】扫描件。 2.如履约评价中只有“合格”与“不合格”两种档次的，不符合评审要求，作不得分处理。 3.如未按要求提供证明材料，或所提供的证明材料未能体现上述评分内容的，视为该证明材料无效，作不得分处理。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认证情况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考察投标人以下认证情况： 1、具有ISO9001质量管理体系认证证书,许可范围包含：建筑装修装饰工程专业承包，得20分； 2、具有ISO14001环境管理体系认证证书，许可范围包含：建筑装修装饰工程专业承包，得20分； 3、具有ISO45001职业健康安全管理体系认证证书，许可范围包含：建筑装修装饰工程专业承包，得20分； 4、具有售后服务认证证书（GBT27922），认证覆盖业务范围包含：建筑装修装饰工程施工所涉及的售后服务（四星级或以上），得20分； 5、具有安全技术防范企业设计施工维护能力评价等级证书（肆级及以上），得20分； 以上5项累计得分，最高得100分。同一个证书满足多项要求的按最优情况计分，不可重复计分。 （二）评分依据 1.关于质量管理体系认证证书、环境管理体系认证证书、职业健康安全管理体系认证证书、售后服务认证证书，要求提供在有效期内的认证证书扫描件及全国认证认可信息公共服务平台（认e云）（httpcx.cnca.cn）的认证信息截图（须体现网站信息）。 2.关于安全技术防范企业设计施工维护能力评价等级证书，要求提供在有效期内的证书扫描件，如证书为行业协会（学会）颁发的，还需提供提供该协会（学会）在中国社会组织政务服务平台（httpschinanpo.mca.gov.cn)的查询“正常”的页面截图（截图需显示网站信息、查询状态）。 3.如未按要求提供证明材料，或所提供的证明材料未能体现上述评分内容的，视为该证明材料无效。</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 查询渠道：通过“信用中国”（www.creditchina.gov.cn，下载信用信息报告）、“中国政府采购网”（www.ccgp.gov.cn）、以及“深圳市政府采购监管网”（httpzfcg.sz.gov.cn）查询供应商信用信息，信用信息以开标当日的查询结果为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综合折扣</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15</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价格扣除（上浮）比例：中小微企业（或监狱企业或残疾人福利性单位）价格扣除比例：10%；中小微联合体（协议合同金额占到联合体协议合同总金额30%以上）价格扣除比例：0%；失信供应商价格上浮比例：0%。</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1)">
    <w:altName w:val="Arial"/>
    <w:panose1 w:val="00000000000000000000"/>
    <w:charset w:val="00"/>
    <w:family w:val="swiss"/>
    <w:pitch w:val="default"/>
    <w:sig w:usb0="00000000" w:usb1="00000000" w:usb2="00000008"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汉仪细等线简">
    <w:altName w:val="宋体"/>
    <w:panose1 w:val="00000000000000000000"/>
    <w:charset w:val="86"/>
    <w:family w:val="auto"/>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仿宋_GBK">
    <w:altName w:val="微软雅黑"/>
    <w:panose1 w:val="00000000000000000000"/>
    <w:charset w:val="86"/>
    <w:family w:val="auto"/>
    <w:pitch w:val="default"/>
    <w:sig w:usb0="00000000" w:usb1="00000000" w:usb2="00082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t>-</w:t>
    </w:r>
    <w:r>
      <w:rPr>
        <w:rFonts w:ascii="宋体" w:hAnsi="宋体" w:cs="宋体" w:hint="eastAsia"/>
      </w:rPr>
      <w:t xml:space="preserve"> </w:t>
    </w:r>
    <w:r>
      <w:rPr>
        <w:rFonts w:ascii="宋体" w:hAnsi="宋体" w:cs="宋体" w:hint="eastAsia"/>
      </w:rPr>
      <w:fldChar w:fldCharType="begin"/>
    </w:r>
    <w:r>
      <w:rPr>
        <w:rFonts w:ascii="宋体" w:hAnsi="宋体" w:cs="宋体" w:hint="eastAsia"/>
      </w:rPr>
      <w:instrText xml:space="preserve"> PAGE </w:instrText>
    </w:r>
    <w:r>
      <w:rPr>
        <w:rFonts w:ascii="宋体" w:hAnsi="宋体" w:cs="宋体" w:hint="eastAsia"/>
      </w:rPr>
      <w:fldChar w:fldCharType="separate"/>
    </w:r>
    <w:r>
      <w:rPr>
        <w:rFonts w:ascii="宋体" w:hAnsi="宋体" w:cs="宋体" w:hint="eastAsia"/>
      </w:rPr>
      <w:t>64</w:t>
    </w:r>
    <w:r>
      <w:rPr>
        <w:rFonts w:ascii="宋体" w:hAnsi="宋体" w:cs="宋体" w:hint="eastAsia"/>
      </w:rPr>
      <w:fldChar w:fldCharType="end"/>
    </w:r>
    <w:r>
      <w:t xml:space="preserve"> -</w:t>
    </w:r>
  </w:p>
  <w:p>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F30691"/>
    <w:multiLevelType w:val="singleLevel"/>
    <w:tmpl w:val="B4F30691"/>
    <w:lvl w:ilvl="0">
      <w:start w:val="3"/>
      <w:numFmt w:val="decimal"/>
      <w:suff w:val="nothing"/>
      <w:lvlText w:val="（%1）"/>
      <w:lvlJc w:val="left"/>
    </w:lvl>
  </w:abstractNum>
  <w:abstractNum w:abstractNumId="1">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5294020"/>
    <w:multiLevelType w:val="multilevel"/>
    <w:tmpl w:val="55294020"/>
    <w:lvl w:ilvl="0">
      <w:start w:val="2"/>
      <w:numFmt w:val="decimal"/>
      <w:lvlText w:val="%1"/>
      <w:lvlJc w:val="left"/>
      <w:pPr>
        <w:tabs>
          <w:tab w:val="left" w:pos="840"/>
        </w:tabs>
        <w:ind w:left="840" w:hanging="840"/>
      </w:pPr>
      <w:rPr>
        <w:rFonts w:ascii="仿宋_GB2312" w:hint="default"/>
      </w:rPr>
    </w:lvl>
    <w:lvl w:ilvl="1">
      <w:start w:val="2"/>
      <w:numFmt w:val="decimal"/>
      <w:lvlText w:val="%1.%2"/>
      <w:lvlJc w:val="left"/>
      <w:pPr>
        <w:tabs>
          <w:tab w:val="left" w:pos="840"/>
        </w:tabs>
        <w:ind w:left="840" w:hanging="840"/>
      </w:pPr>
      <w:rPr>
        <w:rFonts w:ascii="仿宋_GB2312" w:hint="default"/>
      </w:rPr>
    </w:lvl>
    <w:lvl w:ilvl="2">
      <w:start w:val="2"/>
      <w:numFmt w:val="decimal"/>
      <w:lvlText w:val="%1.%2.%3"/>
      <w:lvlJc w:val="left"/>
      <w:pPr>
        <w:tabs>
          <w:tab w:val="left" w:pos="840"/>
        </w:tabs>
        <w:ind w:left="840" w:hanging="840"/>
      </w:pPr>
      <w:rPr>
        <w:rFonts w:ascii="仿宋_GB2312" w:hint="default"/>
      </w:rPr>
    </w:lvl>
    <w:lvl w:ilvl="3">
      <w:start w:val="1"/>
      <w:numFmt w:val="decimal"/>
      <w:lvlText w:val="%1.%2.%3.%4"/>
      <w:lvlJc w:val="left"/>
      <w:pPr>
        <w:tabs>
          <w:tab w:val="left" w:pos="1080"/>
        </w:tabs>
        <w:ind w:left="1080" w:hanging="1080"/>
      </w:pPr>
      <w:rPr>
        <w:rFonts w:ascii="仿宋_GB2312" w:hint="default"/>
      </w:rPr>
    </w:lvl>
    <w:lvl w:ilvl="4">
      <w:start w:val="1"/>
      <w:numFmt w:val="decimal"/>
      <w:lvlText w:val="%1.%2.%3.%4.%5"/>
      <w:lvlJc w:val="left"/>
      <w:pPr>
        <w:tabs>
          <w:tab w:val="left" w:pos="1440"/>
        </w:tabs>
        <w:ind w:left="1440" w:hanging="1440"/>
      </w:pPr>
      <w:rPr>
        <w:rFonts w:ascii="仿宋_GB2312" w:hint="default"/>
      </w:rPr>
    </w:lvl>
    <w:lvl w:ilvl="5">
      <w:start w:val="1"/>
      <w:numFmt w:val="decimal"/>
      <w:lvlText w:val="%1.%2.%3.%4.%5.%6"/>
      <w:lvlJc w:val="left"/>
      <w:pPr>
        <w:tabs>
          <w:tab w:val="left" w:pos="1800"/>
        </w:tabs>
        <w:ind w:left="1800" w:hanging="1800"/>
      </w:pPr>
      <w:rPr>
        <w:rFonts w:ascii="仿宋_GB2312" w:hint="default"/>
      </w:rPr>
    </w:lvl>
    <w:lvl w:ilvl="6">
      <w:start w:val="1"/>
      <w:numFmt w:val="decimal"/>
      <w:lvlText w:val="%1.%2.%3.%4.%5.%6.%7"/>
      <w:lvlJc w:val="left"/>
      <w:pPr>
        <w:tabs>
          <w:tab w:val="left" w:pos="2160"/>
        </w:tabs>
        <w:ind w:left="2160" w:hanging="2160"/>
      </w:pPr>
      <w:rPr>
        <w:rFonts w:ascii="仿宋_GB2312" w:hint="default"/>
      </w:rPr>
    </w:lvl>
    <w:lvl w:ilvl="7">
      <w:start w:val="1"/>
      <w:numFmt w:val="decimal"/>
      <w:lvlText w:val="%1.%2.%3.%4.%5.%6.%7.%8"/>
      <w:lvlJc w:val="left"/>
      <w:pPr>
        <w:tabs>
          <w:tab w:val="left" w:pos="2160"/>
        </w:tabs>
        <w:ind w:left="2160" w:hanging="2160"/>
      </w:pPr>
      <w:rPr>
        <w:rFonts w:ascii="仿宋_GB2312" w:hint="default"/>
      </w:rPr>
    </w:lvl>
    <w:lvl w:ilvl="8">
      <w:start w:val="1"/>
      <w:numFmt w:val="decimal"/>
      <w:lvlText w:val="%1.%2.%3.%4.%5.%6.%7.%8.%9"/>
      <w:lvlJc w:val="left"/>
      <w:pPr>
        <w:tabs>
          <w:tab w:val="left" w:pos="2520"/>
        </w:tabs>
        <w:ind w:left="2520" w:hanging="2520"/>
      </w:pPr>
      <w:rPr>
        <w:rFonts w:ascii="仿宋_GB2312"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Heading3"/>
    <w:next w:val="Normal"/>
    <w:link w:val="1Char"/>
    <w:qFormat/>
    <w:pPr>
      <w:spacing w:before="340" w:after="330" w:line="360" w:lineRule="auto"/>
      <w:jc w:val="center"/>
      <w:outlineLvl w:val="0"/>
    </w:pPr>
    <w:rPr>
      <w:rFonts w:eastAsia="黑体"/>
      <w:kern w:val="44"/>
      <w:szCs w:val="44"/>
    </w:rPr>
  </w:style>
  <w:style w:type="paragraph" w:styleId="Heading2">
    <w:name w:val="heading 2"/>
    <w:basedOn w:val="Heading3"/>
    <w:next w:val="Heading4"/>
    <w:link w:val="2Char0"/>
    <w:qFormat/>
    <w:pPr>
      <w:adjustRightInd w:val="0"/>
      <w:jc w:val="center"/>
      <w:textAlignment w:val="baseline"/>
      <w:outlineLvl w:val="1"/>
    </w:pPr>
    <w:rPr>
      <w:kern w:val="0"/>
      <w:sz w:val="24"/>
      <w:szCs w:val="20"/>
    </w:rPr>
  </w:style>
  <w:style w:type="paragraph" w:styleId="Heading3">
    <w:name w:val="heading 3"/>
    <w:basedOn w:val="Heading4"/>
    <w:next w:val="Normal"/>
    <w:link w:val="3Char1"/>
    <w:uiPriority w:val="9"/>
    <w:qFormat/>
    <w:pPr>
      <w:spacing w:before="260" w:after="260" w:line="240" w:lineRule="auto"/>
      <w:outlineLvl w:val="2"/>
    </w:pPr>
    <w:rPr>
      <w:rFonts w:ascii="宋体" w:eastAsia="宋体" w:hAnsi="宋体"/>
      <w:szCs w:val="32"/>
    </w:rPr>
  </w:style>
  <w:style w:type="paragraph" w:styleId="Heading4">
    <w:name w:val="heading 4"/>
    <w:basedOn w:val="Normal"/>
    <w:next w:val="Normal"/>
    <w:link w:val="4Char"/>
    <w:uiPriority w:val="9"/>
    <w:qFormat/>
    <w:pPr>
      <w:keepNext/>
      <w:keepLines/>
      <w:widowControl w:val="0"/>
      <w:spacing w:before="280" w:after="290" w:line="376" w:lineRule="auto"/>
      <w:jc w:val="both"/>
      <w:outlineLvl w:val="3"/>
    </w:pPr>
    <w:rPr>
      <w:rFonts w:ascii="Arial" w:eastAsia="黑体" w:hAnsi="Arial"/>
      <w:b/>
      <w:bCs/>
      <w:kern w:val="2"/>
      <w:sz w:val="28"/>
      <w:szCs w:val="28"/>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Char"/>
    <w:unhideWhenUsed/>
    <w:qFormat/>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
    <w:name w:val="页脚 Char"/>
    <w:basedOn w:val="DefaultParagraphFont"/>
    <w:link w:val="Footer"/>
    <w:qFormat/>
    <w:rPr>
      <w:rFonts w:eastAsia="宋体"/>
      <w:sz w:val="18"/>
      <w:szCs w:val="18"/>
    </w:rPr>
  </w:style>
  <w:style w:type="character" w:styleId="PageNumber">
    <w:name w:val="page number"/>
    <w:basedOn w:val="DefaultParagraphFont"/>
    <w:qFormat/>
  </w:style>
  <w:style w:type="paragraph" w:styleId="BodyText">
    <w:name w:val="Body Text"/>
    <w:basedOn w:val="Normal"/>
    <w:next w:val="BodyText2"/>
    <w:link w:val="Char0"/>
    <w:unhideWhenUsed/>
    <w:qFormat/>
    <w:pPr>
      <w:widowControl w:val="0"/>
      <w:spacing w:after="120"/>
      <w:jc w:val="both"/>
    </w:pPr>
    <w:rPr>
      <w:rFonts w:eastAsia="宋体"/>
      <w:kern w:val="2"/>
      <w:sz w:val="21"/>
      <w:lang w:eastAsia="zh-CN"/>
    </w:rPr>
  </w:style>
  <w:style w:type="paragraph" w:styleId="BodyText2">
    <w:name w:val="Body Text 2"/>
    <w:basedOn w:val="Normal"/>
    <w:link w:val="2Char"/>
    <w:qFormat/>
    <w:pPr>
      <w:widowControl w:val="0"/>
      <w:spacing w:line="360" w:lineRule="auto"/>
      <w:jc w:val="both"/>
    </w:pPr>
    <w:rPr>
      <w:rFonts w:eastAsia="宋体"/>
      <w:kern w:val="2"/>
      <w:lang w:eastAsia="zh-CN"/>
    </w:rPr>
  </w:style>
  <w:style w:type="character" w:customStyle="1" w:styleId="2Char">
    <w:name w:val="正文文本 2 Char"/>
    <w:basedOn w:val="DefaultParagraphFont"/>
    <w:link w:val="BodyText2"/>
    <w:qFormat/>
    <w:rPr>
      <w:rFonts w:eastAsia="宋体"/>
      <w:sz w:val="24"/>
      <w:szCs w:val="24"/>
    </w:rPr>
  </w:style>
  <w:style w:type="character" w:customStyle="1" w:styleId="Char0">
    <w:name w:val="正文文本 Char"/>
    <w:basedOn w:val="DefaultParagraphFont"/>
    <w:link w:val="BodyText"/>
    <w:qFormat/>
    <w:rPr>
      <w:rFonts w:eastAsia="宋体"/>
      <w:szCs w:val="24"/>
    </w:rPr>
  </w:style>
  <w:style w:type="paragraph" w:styleId="NormalWeb">
    <w:name w:val="Normal (Web)"/>
    <w:basedOn w:val="Normal"/>
    <w:link w:val="Char1"/>
    <w:uiPriority w:val="99"/>
    <w:qFormat/>
    <w:pPr>
      <w:widowControl w:val="0"/>
      <w:jc w:val="both"/>
    </w:pPr>
    <w:rPr>
      <w:rFonts w:eastAsia="宋体"/>
      <w:kern w:val="2"/>
      <w:lang w:eastAsia="zh-CN"/>
    </w:rPr>
  </w:style>
  <w:style w:type="character" w:customStyle="1" w:styleId="Char1">
    <w:name w:val="普通(网站) Char"/>
    <w:link w:val="NormalWeb"/>
    <w:uiPriority w:val="99"/>
    <w:qFormat/>
    <w:rPr>
      <w:rFonts w:eastAsia="宋体"/>
      <w:sz w:val="24"/>
      <w:szCs w:val="24"/>
    </w:rPr>
  </w:style>
  <w:style w:type="paragraph" w:styleId="NormalIndent">
    <w:name w:val="Normal Indent"/>
    <w:basedOn w:val="Normal"/>
    <w:link w:val="Char2"/>
    <w:qFormat/>
    <w:pPr>
      <w:widowControl w:val="0"/>
      <w:ind w:firstLine="420"/>
      <w:jc w:val="both"/>
    </w:pPr>
    <w:rPr>
      <w:rFonts w:eastAsia="宋体"/>
      <w:kern w:val="2"/>
      <w:sz w:val="21"/>
      <w:szCs w:val="20"/>
      <w:lang w:eastAsia="zh-CN"/>
    </w:rPr>
  </w:style>
  <w:style w:type="character" w:customStyle="1" w:styleId="Char2">
    <w:name w:val="正文缩进 Char"/>
    <w:link w:val="NormalIndent"/>
    <w:qFormat/>
    <w:rPr>
      <w:rFonts w:eastAsia="宋体"/>
    </w:rPr>
  </w:style>
  <w:style w:type="character" w:customStyle="1" w:styleId="4Char">
    <w:name w:val="标题 4 Char"/>
    <w:basedOn w:val="DefaultParagraphFont"/>
    <w:link w:val="Heading4"/>
    <w:uiPriority w:val="9"/>
    <w:qFormat/>
    <w:rPr>
      <w:rFonts w:ascii="Arial" w:eastAsia="黑体" w:hAnsi="Arial"/>
      <w:b/>
      <w:bCs/>
      <w:sz w:val="28"/>
      <w:szCs w:val="28"/>
    </w:rPr>
  </w:style>
  <w:style w:type="character" w:customStyle="1" w:styleId="3Char1">
    <w:name w:val="标题 3 Char1"/>
    <w:link w:val="Heading3"/>
    <w:uiPriority w:val="9"/>
    <w:qFormat/>
    <w:rPr>
      <w:rFonts w:ascii="宋体" w:eastAsia="宋体" w:hAnsi="宋体"/>
      <w:b/>
      <w:bCs/>
      <w:sz w:val="28"/>
      <w:szCs w:val="32"/>
    </w:rPr>
  </w:style>
  <w:style w:type="character" w:customStyle="1" w:styleId="2Char0">
    <w:name w:val="标题 2 Char"/>
    <w:basedOn w:val="DefaultParagraphFont"/>
    <w:link w:val="Heading2"/>
    <w:qFormat/>
    <w:rPr>
      <w:rFonts w:ascii="宋体" w:eastAsia="宋体" w:hAnsi="宋体"/>
      <w:b/>
      <w:bCs/>
      <w:sz w:val="24"/>
    </w:rPr>
  </w:style>
  <w:style w:type="character" w:customStyle="1" w:styleId="1Char">
    <w:name w:val="标题 1 Char"/>
    <w:basedOn w:val="DefaultParagraphFont"/>
    <w:link w:val="Heading1"/>
    <w:qFormat/>
    <w:rPr>
      <w:rFonts w:ascii="宋体" w:eastAsia="黑体" w:hAnsi="宋体"/>
      <w:b/>
      <w:bCs/>
      <w:kern w:val="44"/>
      <w:sz w:val="28"/>
      <w:szCs w:val="44"/>
    </w:rPr>
  </w:style>
  <w:style w:type="table" w:customStyle="1" w:styleId="13">
    <w:name w:val="网格型13"/>
    <w:basedOn w:val="TableNormal"/>
    <w:uiPriority w:val="39"/>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widowControl w:val="0"/>
      <w:jc w:val="both"/>
    </w:pPr>
    <w:rPr>
      <w:rFonts w:ascii="Calibri" w:eastAsia="宋体" w:hAnsi="Calibri"/>
      <w:kern w:val="2"/>
      <w:sz w:val="21"/>
      <w:szCs w:val="22"/>
      <w:lang w:eastAsia="zh-CN"/>
    </w:rPr>
  </w:style>
  <w:style w:type="table" w:styleId="TableGrid">
    <w:name w:val="Table Grid"/>
    <w:basedOn w:val="TableNormal"/>
    <w:uiPriority w:val="39"/>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