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r>
              <w:rPr>
                <w:rFonts w:hint="eastAsia" w:ascii="宋体" w:hAnsi="宋体"/>
                <w:sz w:val="30"/>
                <w:szCs w:val="30"/>
              </w:rPr>
              <w:t>BAZXCG-2025-00318</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ascii="宋体" w:hAnsi="宋体"/>
                <w:sz w:val="30"/>
                <w:szCs w:val="30"/>
              </w:rPr>
              <w:t>深圳市宝安中学外国语学校（集团）触控一体机采购项目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5"/>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5"/>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5"/>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rFonts w:hint="eastAsia"/>
                <w:sz w:val="21"/>
                <w:szCs w:val="21"/>
                <w:lang w:eastAsia="zh-CN"/>
              </w:rPr>
              <w:t>、</w:t>
            </w: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Theme="minorEastAsia"/>
                <w:b/>
                <w:bCs/>
                <w:color w:val="0000FF"/>
                <w:sz w:val="24"/>
                <w:lang w:val="en-US" w:eastAsia="zh-CN"/>
              </w:rPr>
            </w:pPr>
            <w:r>
              <w:rPr>
                <w:rFonts w:hint="eastAsia"/>
                <w:b/>
                <w:bCs/>
                <w:color w:val="0000FF"/>
                <w:sz w:val="24"/>
                <w:highlight w:val="cyan"/>
                <w:lang w:val="en-US" w:eastAsia="zh-CN"/>
              </w:rPr>
              <w:t>63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35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eastAsia="宋体" w:cs="宋体"/>
                <w:color w:val="0000FF"/>
                <w:kern w:val="0"/>
                <w:szCs w:val="21"/>
                <w:highlight w:val="none"/>
                <w:lang w:val="en-US" w:eastAsia="zh-CN"/>
              </w:rPr>
              <w:t>7.15</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highlight w:val="cyan"/>
                <w:lang w:val="en-US" w:eastAsia="zh-CN"/>
              </w:rPr>
              <w:t>12</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eastAsia="宋体" w:cs="宋体"/>
                <w:color w:val="0000FF"/>
                <w:kern w:val="0"/>
                <w:szCs w:val="21"/>
                <w:highlight w:val="none"/>
                <w:lang w:val="en-US" w:eastAsia="zh-CN"/>
              </w:rPr>
              <w:t>3</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eastAsia="宋体" w:cs="宋体"/>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sz w:val="21"/>
                <w:szCs w:val="21"/>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eastAsia="宋体" w:cs="宋体"/>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sz w:val="21"/>
                <w:szCs w:val="21"/>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snapToGrid w:val="0"/>
              <w:ind w:firstLine="420" w:firstLineChars="200"/>
              <w:jc w:val="both"/>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b/>
                <w:bCs/>
                <w:kern w:val="0"/>
                <w:sz w:val="21"/>
                <w:szCs w:val="21"/>
                <w:highlight w:val="none"/>
                <w:lang w:val="en-US" w:eastAsia="zh-CN" w:bidi="ar"/>
              </w:rPr>
            </w:pPr>
            <w:r>
              <w:rPr>
                <w:rFonts w:hint="eastAsia" w:ascii="宋体" w:hAnsi="宋体" w:eastAsia="宋体" w:cs="宋体"/>
                <w:b/>
                <w:bCs/>
                <w:kern w:val="0"/>
                <w:sz w:val="21"/>
                <w:szCs w:val="21"/>
                <w:lang w:val="en-US" w:eastAsia="zh-CN" w:bidi="ar"/>
              </w:rPr>
              <w:t>（一）</w:t>
            </w:r>
            <w:r>
              <w:rPr>
                <w:rFonts w:hint="eastAsia" w:ascii="宋体" w:hAnsi="宋体" w:eastAsia="宋体" w:cs="宋体"/>
                <w:b/>
                <w:bCs/>
                <w:kern w:val="0"/>
                <w:sz w:val="21"/>
                <w:szCs w:val="21"/>
                <w:highlight w:val="none"/>
                <w:lang w:val="en-US" w:eastAsia="zh-CN" w:bidi="ar"/>
              </w:rPr>
              <w:t>评审内容：</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投标人提供本项目的组织实施方案，方案中应包含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lang w:val="en-US" w:eastAsia="zh-CN" w:bidi="ar"/>
              </w:rPr>
              <w:t>1、</w:t>
            </w:r>
            <w:r>
              <w:rPr>
                <w:rFonts w:hint="eastAsia" w:ascii="宋体" w:hAnsi="宋体" w:eastAsia="宋体" w:cs="宋体"/>
                <w:kern w:val="0"/>
                <w:sz w:val="21"/>
                <w:szCs w:val="21"/>
                <w:highlight w:val="none"/>
                <w:lang w:val="en-US" w:eastAsia="zh-CN" w:bidi="ar"/>
              </w:rPr>
              <w:t xml:space="preserve">项目进度计划安排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2、施工组织计划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3、验收组织计划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4、产品培训方案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含有上述一</w:t>
            </w:r>
            <w:r>
              <w:rPr>
                <w:rFonts w:hint="eastAsia" w:ascii="宋体" w:hAnsi="宋体" w:cs="宋体"/>
                <w:kern w:val="0"/>
                <w:sz w:val="21"/>
                <w:szCs w:val="21"/>
                <w:highlight w:val="none"/>
                <w:lang w:val="en-US" w:eastAsia="zh-CN" w:bidi="ar"/>
              </w:rPr>
              <w:t>项</w:t>
            </w:r>
            <w:r>
              <w:rPr>
                <w:rFonts w:hint="eastAsia" w:ascii="宋体" w:hAnsi="宋体" w:eastAsia="宋体" w:cs="宋体"/>
                <w:kern w:val="0"/>
                <w:sz w:val="21"/>
                <w:szCs w:val="21"/>
                <w:highlight w:val="none"/>
                <w:lang w:val="en-US" w:eastAsia="zh-CN" w:bidi="ar"/>
              </w:rPr>
              <w:t>内容得15分</w:t>
            </w:r>
            <w:r>
              <w:rPr>
                <w:rFonts w:hint="eastAsia" w:ascii="宋体" w:hAnsi="宋体" w:cs="宋体"/>
                <w:kern w:val="0"/>
                <w:sz w:val="21"/>
                <w:szCs w:val="21"/>
                <w:highlight w:val="none"/>
                <w:lang w:val="en-US" w:eastAsia="zh-CN" w:bidi="ar"/>
              </w:rPr>
              <w:t>，最高得60分</w:t>
            </w:r>
            <w:r>
              <w:rPr>
                <w:rFonts w:hint="eastAsia" w:ascii="宋体" w:hAnsi="宋体" w:eastAsia="宋体" w:cs="宋体"/>
                <w:kern w:val="0"/>
                <w:sz w:val="21"/>
                <w:szCs w:val="21"/>
                <w:highlight w:val="none"/>
                <w:lang w:val="en-US" w:eastAsia="zh-CN" w:bidi="ar"/>
              </w:rPr>
              <w:t>。</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cs="宋体"/>
                <w:b/>
                <w:bCs/>
                <w:kern w:val="0"/>
                <w:sz w:val="21"/>
                <w:szCs w:val="21"/>
                <w:lang w:val="en-US" w:eastAsia="zh-CN" w:bidi="ar"/>
              </w:rPr>
              <w:t>（二）评分准则：</w:t>
            </w:r>
          </w:p>
          <w:p>
            <w:pPr>
              <w:keepNext w:val="0"/>
              <w:keepLines w:val="0"/>
              <w:widowControl/>
              <w:numPr>
                <w:ilvl w:val="0"/>
                <w:numId w:val="0"/>
              </w:numPr>
              <w:suppressLineNumbers w:val="0"/>
              <w:jc w:val="left"/>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0"/>
                <w:sz w:val="21"/>
                <w:szCs w:val="21"/>
                <w:highlight w:val="none"/>
                <w:lang w:val="en-US" w:eastAsia="zh-CN" w:bidi="ar"/>
              </w:rPr>
              <w:t xml:space="preserve">在此基础上，对方案的合理性、可行性进行打分。 </w:t>
            </w:r>
          </w:p>
          <w:p>
            <w:pPr>
              <w:keepNext w:val="0"/>
              <w:keepLines w:val="0"/>
              <w:widowControl/>
              <w:numPr>
                <w:ilvl w:val="0"/>
                <w:numId w:val="1"/>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方案清晰周密、合理可行、表述完整、方法得当、技术先进、符合相关规范要求得40分。</w:t>
            </w:r>
          </w:p>
          <w:p>
            <w:pPr>
              <w:keepNext w:val="0"/>
              <w:keepLines w:val="0"/>
              <w:widowControl/>
              <w:numPr>
                <w:ilvl w:val="0"/>
                <w:numId w:val="1"/>
              </w:numPr>
              <w:suppressLineNumbers w:val="0"/>
              <w:ind w:left="0" w:leftChars="0" w:firstLine="0" w:firstLineChars="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方案基本可行表述基本完整得20分。 </w:t>
            </w:r>
          </w:p>
          <w:p>
            <w:pPr>
              <w:keepNext w:val="0"/>
              <w:keepLines w:val="0"/>
              <w:widowControl/>
              <w:numPr>
                <w:numId w:val="0"/>
              </w:numPr>
              <w:suppressLineNumbers w:val="0"/>
              <w:ind w:leftChars="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highlight w:val="none"/>
                <w:lang w:val="en-US" w:eastAsia="zh-CN" w:bidi="ar"/>
              </w:rPr>
              <w:t>3、未提供或方案计划不切合本项目的实际情况、合理完善性差、可行性差的对应项不得分。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30405"/>
                <w:kern w:val="0"/>
                <w:sz w:val="21"/>
                <w:szCs w:val="21"/>
                <w:lang w:val="en-US" w:eastAsia="zh-CN" w:bidi="ar"/>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color w:val="030405"/>
                <w:sz w:val="21"/>
                <w:szCs w:val="21"/>
                <w:lang w:val="en-US" w:eastAsia="zh-CN"/>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b/>
                <w:bCs/>
                <w:kern w:val="0"/>
                <w:sz w:val="21"/>
                <w:szCs w:val="21"/>
                <w:lang w:val="en-US" w:eastAsia="zh-CN" w:bidi="ar"/>
              </w:rPr>
              <w:t>（一）</w:t>
            </w:r>
            <w:r>
              <w:rPr>
                <w:rFonts w:hint="eastAsia" w:ascii="宋体" w:hAnsi="宋体" w:eastAsia="宋体" w:cs="宋体"/>
                <w:b/>
                <w:bCs/>
                <w:kern w:val="0"/>
                <w:sz w:val="21"/>
                <w:szCs w:val="21"/>
                <w:highlight w:val="none"/>
                <w:lang w:val="en-US" w:eastAsia="zh-CN" w:bidi="ar"/>
              </w:rPr>
              <w:t>评审内容：</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投标人提供本项目的售后服务方案，方案中应包含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lang w:val="en-US" w:eastAsia="zh-CN" w:bidi="ar"/>
              </w:rPr>
              <w:t>1、</w:t>
            </w:r>
            <w:r>
              <w:rPr>
                <w:rFonts w:hint="eastAsia" w:ascii="宋体" w:hAnsi="宋体" w:eastAsia="宋体" w:cs="宋体"/>
                <w:kern w:val="0"/>
                <w:sz w:val="21"/>
                <w:szCs w:val="21"/>
                <w:highlight w:val="none"/>
                <w:lang w:val="en-US" w:eastAsia="zh-CN" w:bidi="ar"/>
              </w:rPr>
              <w:t xml:space="preserve">服务内容 </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lang w:val="en-US" w:eastAsia="zh-CN" w:bidi="ar"/>
              </w:rPr>
              <w:t>2、</w:t>
            </w:r>
            <w:r>
              <w:rPr>
                <w:rFonts w:hint="eastAsia" w:ascii="宋体" w:hAnsi="宋体" w:eastAsia="宋体" w:cs="宋体"/>
                <w:kern w:val="0"/>
                <w:sz w:val="21"/>
                <w:szCs w:val="21"/>
                <w:highlight w:val="none"/>
                <w:lang w:val="en-US" w:eastAsia="zh-CN" w:bidi="ar"/>
              </w:rPr>
              <w:t xml:space="preserve">维修应急方案 </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3、培训计划 </w:t>
            </w:r>
          </w:p>
          <w:p>
            <w:pPr>
              <w:keepNext w:val="0"/>
              <w:keepLines w:val="0"/>
              <w:widowControl/>
              <w:numPr>
                <w:ilvl w:val="0"/>
                <w:numId w:val="0"/>
              </w:numPr>
              <w:suppressLineNumbers w:val="0"/>
              <w:ind w:leftChars="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4、其他特色服务等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含有上述一</w:t>
            </w:r>
            <w:r>
              <w:rPr>
                <w:rFonts w:hint="eastAsia" w:ascii="宋体" w:hAnsi="宋体" w:cs="宋体"/>
                <w:kern w:val="0"/>
                <w:sz w:val="21"/>
                <w:szCs w:val="21"/>
                <w:highlight w:val="none"/>
                <w:lang w:val="en-US" w:eastAsia="zh-CN" w:bidi="ar"/>
              </w:rPr>
              <w:t>项</w:t>
            </w:r>
            <w:r>
              <w:rPr>
                <w:rFonts w:hint="eastAsia" w:ascii="宋体" w:hAnsi="宋体" w:eastAsia="宋体" w:cs="宋体"/>
                <w:kern w:val="0"/>
                <w:sz w:val="21"/>
                <w:szCs w:val="21"/>
                <w:highlight w:val="none"/>
                <w:lang w:val="en-US" w:eastAsia="zh-CN" w:bidi="ar"/>
              </w:rPr>
              <w:t>内容得15分</w:t>
            </w:r>
            <w:r>
              <w:rPr>
                <w:rFonts w:hint="eastAsia" w:ascii="宋体" w:hAnsi="宋体" w:cs="宋体"/>
                <w:kern w:val="0"/>
                <w:sz w:val="21"/>
                <w:szCs w:val="21"/>
                <w:highlight w:val="none"/>
                <w:lang w:val="en-US" w:eastAsia="zh-CN" w:bidi="ar"/>
              </w:rPr>
              <w:t>，最高得60分</w:t>
            </w:r>
            <w:r>
              <w:rPr>
                <w:rFonts w:hint="eastAsia" w:ascii="宋体" w:hAnsi="宋体" w:eastAsia="宋体" w:cs="宋体"/>
                <w:kern w:val="0"/>
                <w:sz w:val="21"/>
                <w:szCs w:val="21"/>
                <w:highlight w:val="none"/>
                <w:lang w:val="en-US" w:eastAsia="zh-CN" w:bidi="ar"/>
              </w:rPr>
              <w:t>。</w:t>
            </w:r>
          </w:p>
          <w:p>
            <w:pPr>
              <w:keepNext w:val="0"/>
              <w:keepLines w:val="0"/>
              <w:widowControl/>
              <w:numPr>
                <w:ilvl w:val="0"/>
                <w:numId w:val="0"/>
              </w:numPr>
              <w:suppressLineNumbers w:val="0"/>
              <w:ind w:left="0" w:leftChars="0" w:firstLine="0" w:firstLineChars="0"/>
              <w:jc w:val="left"/>
              <w:textAlignment w:val="center"/>
              <w:rPr>
                <w:rFonts w:hint="eastAsia" w:ascii="宋体" w:hAnsi="宋体" w:cs="宋体"/>
                <w:b/>
                <w:bCs/>
                <w:kern w:val="0"/>
                <w:sz w:val="21"/>
                <w:szCs w:val="21"/>
                <w:lang w:val="en-US" w:eastAsia="zh-CN" w:bidi="ar"/>
              </w:rPr>
            </w:pPr>
            <w:r>
              <w:rPr>
                <w:rFonts w:hint="eastAsia" w:ascii="宋体" w:hAnsi="宋体" w:eastAsia="宋体" w:cs="宋体"/>
                <w:b/>
                <w:bCs/>
                <w:kern w:val="0"/>
                <w:sz w:val="21"/>
                <w:szCs w:val="21"/>
                <w:lang w:val="en-US" w:eastAsia="zh-CN" w:bidi="ar"/>
              </w:rPr>
              <w:t>（二）</w:t>
            </w:r>
            <w:r>
              <w:rPr>
                <w:rFonts w:hint="eastAsia" w:ascii="宋体" w:hAnsi="宋体" w:cs="宋体"/>
                <w:b/>
                <w:bCs/>
                <w:kern w:val="0"/>
                <w:sz w:val="21"/>
                <w:szCs w:val="21"/>
                <w:lang w:val="en-US" w:eastAsia="zh-CN" w:bidi="ar"/>
              </w:rPr>
              <w:t>评分准则：</w:t>
            </w:r>
          </w:p>
          <w:p>
            <w:pPr>
              <w:keepNext w:val="0"/>
              <w:keepLines w:val="0"/>
              <w:widowControl/>
              <w:numPr>
                <w:ilvl w:val="0"/>
                <w:numId w:val="0"/>
              </w:numPr>
              <w:suppressLineNumbers w:val="0"/>
              <w:ind w:leftChars="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 xml:space="preserve">在此基础上，对方案的合理性、可行性进行打分。 </w:t>
            </w:r>
          </w:p>
          <w:p>
            <w:pPr>
              <w:keepNext w:val="0"/>
              <w:keepLines w:val="0"/>
              <w:widowControl/>
              <w:numPr>
                <w:ilvl w:val="0"/>
                <w:numId w:val="0"/>
              </w:numPr>
              <w:suppressLineNumbers w:val="0"/>
              <w:ind w:left="0" w:leftChars="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lang w:val="en-US" w:eastAsia="zh-CN" w:bidi="ar"/>
              </w:rPr>
              <w:t>(1)</w:t>
            </w:r>
            <w:r>
              <w:rPr>
                <w:rFonts w:hint="eastAsia" w:ascii="宋体" w:hAnsi="宋体" w:eastAsia="宋体" w:cs="宋体"/>
                <w:kern w:val="0"/>
                <w:sz w:val="21"/>
                <w:szCs w:val="21"/>
                <w:highlight w:val="none"/>
                <w:lang w:val="en-US" w:eastAsia="zh-CN" w:bidi="ar"/>
              </w:rPr>
              <w:t xml:space="preserve">售后服务方案非常详细，保障措施完善可行，得40分； </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lang w:val="en-US" w:eastAsia="zh-CN" w:bidi="ar"/>
              </w:rPr>
              <w:t>(2)</w:t>
            </w:r>
            <w:r>
              <w:rPr>
                <w:rFonts w:hint="eastAsia" w:ascii="宋体" w:hAnsi="宋体" w:eastAsia="宋体" w:cs="宋体"/>
                <w:kern w:val="0"/>
                <w:sz w:val="21"/>
                <w:szCs w:val="21"/>
                <w:highlight w:val="none"/>
                <w:lang w:val="en-US" w:eastAsia="zh-CN" w:bidi="ar"/>
              </w:rPr>
              <w:t xml:space="preserve">售后服务方案比较具体，保障措施比较完善可行，能够满足招标文件要求的得20分； </w:t>
            </w:r>
          </w:p>
          <w:p>
            <w:pPr>
              <w:keepNext w:val="0"/>
              <w:keepLines w:val="0"/>
              <w:widowControl/>
              <w:suppressLineNumbers w:val="0"/>
              <w:jc w:val="left"/>
              <w:textAlignment w:val="center"/>
              <w:rPr>
                <w:rFonts w:hint="eastAsia" w:ascii="宋体" w:hAnsi="宋体" w:eastAsia="宋体" w:cs="宋体"/>
                <w:color w:val="0000FF"/>
                <w:kern w:val="2"/>
                <w:sz w:val="21"/>
                <w:szCs w:val="21"/>
                <w:lang w:val="en-US" w:eastAsia="zh-CN" w:bidi="ar-SA"/>
              </w:rPr>
            </w:pPr>
            <w:r>
              <w:rPr>
                <w:rFonts w:hint="eastAsia" w:ascii="宋体" w:hAnsi="宋体" w:eastAsia="宋体" w:cs="宋体"/>
                <w:kern w:val="0"/>
                <w:sz w:val="21"/>
                <w:szCs w:val="21"/>
                <w:highlight w:val="none"/>
                <w:lang w:val="en-US" w:eastAsia="zh-CN" w:bidi="ar"/>
              </w:rPr>
              <w:t>(3)未提供售后服务方案和措施或方案不详细、可行性较差，无法满足招标文件要求的得0分。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商务</w:t>
            </w:r>
            <w:r>
              <w:rPr>
                <w:rFonts w:hint="eastAsia" w:ascii="宋体" w:hAnsi="宋体" w:cs="宋体"/>
                <w:b/>
                <w:bCs/>
                <w:color w:val="0000FF"/>
                <w:kern w:val="0"/>
                <w:sz w:val="24"/>
                <w:lang w:bidi="ar"/>
              </w:rPr>
              <w:t>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val="en-US" w:eastAsia="zh-CN"/>
              </w:rPr>
            </w:pPr>
            <w:r>
              <w:rPr>
                <w:rFonts w:hint="eastAsia"/>
                <w:b/>
                <w:bCs/>
                <w:color w:val="0000FF"/>
                <w:sz w:val="24"/>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val="en-US" w:eastAsia="zh-CN" w:bidi="ar"/>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lang w:val="en-US" w:eastAsia="zh-CN" w:bidi="ar"/>
              </w:rPr>
              <w:t>2</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numPr>
                <w:ilvl w:val="0"/>
                <w:numId w:val="0"/>
              </w:numPr>
              <w:suppressLineNumbers w:val="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eastAsia="宋体" w:cs="宋体"/>
                <w:b/>
                <w:bCs/>
                <w:kern w:val="0"/>
                <w:sz w:val="21"/>
                <w:szCs w:val="21"/>
                <w:highlight w:val="none"/>
                <w:lang w:val="en-US" w:eastAsia="zh-CN" w:bidi="ar"/>
              </w:rPr>
              <w:t>（一）</w:t>
            </w:r>
            <w:r>
              <w:rPr>
                <w:rFonts w:hint="eastAsia" w:ascii="宋体" w:hAnsi="宋体" w:eastAsia="宋体" w:cs="宋体"/>
                <w:b/>
                <w:bCs/>
                <w:kern w:val="0"/>
                <w:sz w:val="21"/>
                <w:szCs w:val="21"/>
                <w:highlight w:val="none"/>
                <w:lang w:val="en-US" w:eastAsia="zh-CN" w:bidi="ar"/>
              </w:rPr>
              <w:t>评审内容：</w:t>
            </w:r>
          </w:p>
          <w:p>
            <w:pPr>
              <w:pStyle w:val="10"/>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bidi="ar"/>
              </w:rPr>
              <w:t>202</w:t>
            </w:r>
            <w:r>
              <w:rPr>
                <w:rFonts w:hint="eastAsia" w:ascii="宋体" w:hAnsi="宋体" w:eastAsia="宋体" w:cs="宋体"/>
                <w:kern w:val="0"/>
                <w:sz w:val="21"/>
                <w:szCs w:val="21"/>
                <w:highlight w:val="none"/>
                <w:lang w:val="en-US" w:eastAsia="zh-CN" w:bidi="ar"/>
              </w:rPr>
              <w:t>3</w:t>
            </w:r>
            <w:r>
              <w:rPr>
                <w:rFonts w:hint="eastAsia" w:ascii="宋体" w:hAnsi="宋体" w:eastAsia="宋体" w:cs="宋体"/>
                <w:kern w:val="0"/>
                <w:sz w:val="21"/>
                <w:szCs w:val="21"/>
                <w:highlight w:val="none"/>
                <w:lang w:bidi="ar"/>
              </w:rPr>
              <w:t>年1月1日（以合同签订日期为准）</w:t>
            </w:r>
            <w:r>
              <w:rPr>
                <w:rFonts w:hint="eastAsia" w:ascii="宋体" w:hAnsi="宋体" w:eastAsia="宋体" w:cs="宋体"/>
                <w:kern w:val="0"/>
                <w:sz w:val="21"/>
                <w:szCs w:val="21"/>
                <w:highlight w:val="none"/>
                <w:lang w:val="en-US" w:eastAsia="zh-CN" w:bidi="ar"/>
              </w:rPr>
              <w:t>以后，投标人具有与本项目同类项目（触控一体机或交互平板）经验，且履约评价为优或满意（或同等评价），每提供一个得</w:t>
            </w:r>
            <w:r>
              <w:rPr>
                <w:rFonts w:hint="eastAsia" w:hAnsi="宋体" w:cs="宋体"/>
                <w:kern w:val="0"/>
                <w:sz w:val="21"/>
                <w:szCs w:val="21"/>
                <w:highlight w:val="none"/>
                <w:lang w:val="en-US" w:eastAsia="zh-CN" w:bidi="ar"/>
              </w:rPr>
              <w:t>100</w:t>
            </w:r>
            <w:r>
              <w:rPr>
                <w:rFonts w:hint="eastAsia" w:ascii="宋体" w:hAnsi="宋体" w:eastAsia="宋体" w:cs="宋体"/>
                <w:kern w:val="0"/>
                <w:sz w:val="21"/>
                <w:szCs w:val="21"/>
                <w:highlight w:val="none"/>
                <w:lang w:val="en-US" w:eastAsia="zh-CN" w:bidi="ar"/>
              </w:rPr>
              <w:t>分，最高得100分。</w:t>
            </w:r>
          </w:p>
          <w:p>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kern w:val="0"/>
                <w:sz w:val="21"/>
                <w:szCs w:val="21"/>
                <w:highlight w:val="none"/>
                <w:lang w:val="en-US" w:eastAsia="zh-CN" w:bidi="ar"/>
              </w:rPr>
            </w:pPr>
            <w:r>
              <w:rPr>
                <w:rFonts w:hint="eastAsia" w:ascii="宋体" w:hAnsi="宋体" w:cs="宋体"/>
                <w:b/>
                <w:bCs/>
                <w:kern w:val="0"/>
                <w:sz w:val="21"/>
                <w:szCs w:val="21"/>
                <w:highlight w:val="none"/>
                <w:lang w:val="en-US" w:eastAsia="zh-CN" w:bidi="ar"/>
              </w:rPr>
              <w:t>（二）评分准则：</w:t>
            </w:r>
          </w:p>
          <w:p>
            <w:pPr>
              <w:pStyle w:val="10"/>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1、同时提供以下：（1）合同关键页扫描件</w:t>
            </w:r>
            <w:r>
              <w:rPr>
                <w:rFonts w:hint="eastAsia" w:asciiTheme="minorEastAsia" w:hAnsiTheme="minorEastAsia" w:eastAsiaTheme="minorEastAsia" w:cstheme="minorEastAsia"/>
                <w:color w:val="auto"/>
                <w:sz w:val="21"/>
                <w:szCs w:val="21"/>
                <w:highlight w:val="none"/>
                <w:lang w:val="en-US" w:eastAsia="zh-CN"/>
              </w:rPr>
              <w:t>（包括但不限于合同双方的单位名称、合同项目名称、项目内容、合同双方的落款盖章、签订日期等）</w:t>
            </w:r>
            <w:r>
              <w:rPr>
                <w:rFonts w:hint="eastAsia" w:ascii="宋体" w:hAnsi="宋体" w:eastAsia="宋体" w:cs="宋体"/>
                <w:kern w:val="0"/>
                <w:sz w:val="21"/>
                <w:szCs w:val="21"/>
                <w:highlight w:val="none"/>
                <w:lang w:val="en-US" w:eastAsia="zh-CN" w:bidi="ar"/>
              </w:rPr>
              <w:t>；（2）设备配置清单扫描件；（3）验收报告[加盖合同甲方</w:t>
            </w:r>
            <w:r>
              <w:rPr>
                <w:rFonts w:hint="eastAsia" w:hAnsi="宋体" w:cs="宋体"/>
                <w:kern w:val="0"/>
                <w:sz w:val="21"/>
                <w:szCs w:val="21"/>
                <w:highlight w:val="none"/>
                <w:lang w:val="en-US" w:eastAsia="zh-CN" w:bidi="ar"/>
              </w:rPr>
              <w:t>（合同相对方）</w:t>
            </w:r>
            <w:r>
              <w:rPr>
                <w:rFonts w:hint="eastAsia" w:ascii="宋体" w:hAnsi="宋体" w:eastAsia="宋体" w:cs="宋体"/>
                <w:kern w:val="0"/>
                <w:sz w:val="21"/>
                <w:szCs w:val="21"/>
                <w:highlight w:val="none"/>
                <w:lang w:val="en-US" w:eastAsia="zh-CN" w:bidi="ar"/>
              </w:rPr>
              <w:t>公章</w:t>
            </w:r>
            <w:r>
              <w:rPr>
                <w:rFonts w:hint="eastAsia" w:hAnsi="宋体" w:cs="宋体"/>
                <w:kern w:val="0"/>
                <w:sz w:val="21"/>
                <w:szCs w:val="21"/>
                <w:highlight w:val="none"/>
                <w:lang w:val="en-US" w:eastAsia="zh-CN" w:bidi="ar"/>
              </w:rPr>
              <w:t>或</w:t>
            </w:r>
            <w:r>
              <w:rPr>
                <w:rFonts w:hint="eastAsia" w:ascii="宋体" w:hAnsi="宋体" w:eastAsia="宋体" w:cs="宋体"/>
                <w:kern w:val="0"/>
                <w:sz w:val="21"/>
                <w:szCs w:val="21"/>
                <w:highlight w:val="none"/>
                <w:lang w:val="en-US" w:eastAsia="zh-CN" w:bidi="ar"/>
              </w:rPr>
              <w:t>业务章）]；（4）履约评价证明[加盖合同甲方</w:t>
            </w:r>
            <w:r>
              <w:rPr>
                <w:rFonts w:hint="eastAsia" w:hAnsi="宋体" w:cs="宋体"/>
                <w:kern w:val="0"/>
                <w:sz w:val="21"/>
                <w:szCs w:val="21"/>
                <w:highlight w:val="none"/>
                <w:lang w:val="en-US" w:eastAsia="zh-CN" w:bidi="ar"/>
              </w:rPr>
              <w:t>（合同相对方）</w:t>
            </w:r>
            <w:r>
              <w:rPr>
                <w:rFonts w:hint="eastAsia" w:ascii="宋体" w:hAnsi="宋体" w:eastAsia="宋体" w:cs="宋体"/>
                <w:kern w:val="0"/>
                <w:sz w:val="21"/>
                <w:szCs w:val="21"/>
                <w:highlight w:val="none"/>
                <w:lang w:val="en-US" w:eastAsia="zh-CN" w:bidi="ar"/>
              </w:rPr>
              <w:t>公章</w:t>
            </w:r>
            <w:r>
              <w:rPr>
                <w:rFonts w:hint="eastAsia" w:hAnsi="宋体" w:cs="宋体"/>
                <w:kern w:val="0"/>
                <w:sz w:val="21"/>
                <w:szCs w:val="21"/>
                <w:highlight w:val="none"/>
                <w:lang w:val="en-US" w:eastAsia="zh-CN" w:bidi="ar"/>
              </w:rPr>
              <w:t>或</w:t>
            </w:r>
            <w:r>
              <w:rPr>
                <w:rFonts w:hint="eastAsia" w:ascii="宋体" w:hAnsi="宋体" w:eastAsia="宋体" w:cs="宋体"/>
                <w:kern w:val="0"/>
                <w:sz w:val="21"/>
                <w:szCs w:val="21"/>
                <w:highlight w:val="none"/>
                <w:lang w:val="en-US" w:eastAsia="zh-CN" w:bidi="ar"/>
              </w:rPr>
              <w:t>业务章）]。</w:t>
            </w:r>
          </w:p>
          <w:p>
            <w:pPr>
              <w:keepNext w:val="0"/>
              <w:keepLines w:val="0"/>
              <w:widowControl/>
              <w:suppressLineNumbers w:val="0"/>
              <w:jc w:val="left"/>
              <w:textAlignment w:val="center"/>
              <w:rPr>
                <w:rFonts w:hint="eastAsia" w:ascii="宋体" w:hAnsi="宋体" w:eastAsia="宋体" w:cs="宋体"/>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14"/>
        <w:rPr>
          <w:ins w:id="0" w:author="苏艺" w:date="2024-05-12T09:35:07Z"/>
        </w:rPr>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7"/>
        <w:rPr>
          <w:rFonts w:hint="eastAsia"/>
        </w:rPr>
      </w:pPr>
    </w:p>
    <w:p>
      <w:pPr>
        <w:pStyle w:val="14"/>
        <w:rPr>
          <w:rFonts w:hint="eastAsia"/>
        </w:rPr>
      </w:pPr>
    </w:p>
    <w:p>
      <w:pPr>
        <w:pStyle w:val="14"/>
        <w:rPr>
          <w:rFonts w:hint="eastAsia"/>
        </w:rPr>
      </w:pPr>
    </w:p>
    <w:p>
      <w:pPr>
        <w:pStyle w:val="7"/>
        <w:rPr>
          <w:rFonts w:hint="eastAsia"/>
        </w:rPr>
        <w:sectPr>
          <w:pgSz w:w="11907" w:h="16840"/>
          <w:pgMar w:top="1440" w:right="1797" w:bottom="1440" w:left="1797" w:header="851" w:footer="992" w:gutter="0"/>
          <w:cols w:space="425" w:num="1"/>
          <w:titlePg/>
          <w:docGrid w:linePitch="462" w:charSpace="0"/>
        </w:sectPr>
      </w:pPr>
    </w:p>
    <w:bookmarkEnd w:id="4"/>
    <w:p>
      <w:pPr>
        <w:pStyle w:val="2"/>
        <w:jc w:val="center"/>
        <w:rPr>
          <w:color w:val="FF0000"/>
          <w:sz w:val="24"/>
        </w:rPr>
      </w:pPr>
      <w:bookmarkStart w:id="6" w:name="bt项目管理班子配备情况"/>
      <w:bookmarkEnd w:id="6"/>
      <w:bookmarkStart w:id="7" w:name="bt本工程承诺书"/>
      <w:bookmarkEnd w:id="7"/>
      <w:bookmarkStart w:id="8" w:name="bt商务标投标文件格式"/>
      <w:bookmarkEnd w:id="8"/>
      <w:bookmarkStart w:id="9" w:name="bt说明"/>
      <w:bookmarkEnd w:id="9"/>
      <w:bookmarkStart w:id="10" w:name="bt其他资料2"/>
      <w:bookmarkEnd w:id="10"/>
      <w:bookmarkStart w:id="11" w:name="bt技术标投标文件格式"/>
      <w:bookmarkEnd w:id="11"/>
      <w:bookmarkStart w:id="12" w:name="bt合同条款"/>
      <w:bookmarkEnd w:id="12"/>
      <w:bookmarkStart w:id="13" w:name="bt投标函"/>
      <w:bookmarkEnd w:id="13"/>
      <w:bookmarkStart w:id="14" w:name="bt合同格式"/>
      <w:bookmarkEnd w:id="14"/>
      <w:bookmarkStart w:id="15" w:name="bt投标人情况介绍"/>
      <w:bookmarkEnd w:id="15"/>
      <w:bookmarkStart w:id="16" w:name="bt合同条款及格式"/>
      <w:bookmarkEnd w:id="16"/>
      <w:bookmarkStart w:id="17" w:name="bt其他资料由投标人自定"/>
      <w:bookmarkEnd w:id="17"/>
      <w:bookmarkStart w:id="18" w:name="bt投标报价汇总表"/>
      <w:bookmarkEnd w:id="18"/>
      <w:bookmarkStart w:id="19" w:name="合同格式"/>
      <w:bookmarkEnd w:id="19"/>
      <w:bookmarkStart w:id="20" w:name="bt投标人须知"/>
      <w:bookmarkEnd w:id="20"/>
      <w:bookmarkStart w:id="21" w:name="bt投标文件签署授权委托书"/>
      <w:bookmarkEnd w:id="21"/>
      <w:bookmarkStart w:id="22" w:name="bt开标一览表"/>
      <w:bookmarkEnd w:id="22"/>
      <w:r>
        <w:rPr>
          <w:rFonts w:hint="eastAsia"/>
        </w:rPr>
        <w:t>第一册  专用条款</w:t>
      </w:r>
    </w:p>
    <w:p>
      <w:pPr>
        <w:pStyle w:val="5"/>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cs="宋体"/>
          <w:kern w:val="0"/>
          <w:szCs w:val="21"/>
        </w:rPr>
      </w:pPr>
    </w:p>
    <w:p>
      <w:pPr>
        <w:keepNext w:val="0"/>
        <w:keepLines w:val="0"/>
        <w:pageBreakBefore w:val="0"/>
        <w:widowControl w:val="0"/>
        <w:kinsoku/>
        <w:wordWrap w:val="0"/>
        <w:overflowPunct/>
        <w:topLinePunct w:val="0"/>
        <w:autoSpaceDE/>
        <w:autoSpaceDN/>
        <w:bidi w:val="0"/>
        <w:adjustRightInd/>
        <w:snapToGrid/>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5"/>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5"/>
        <w:spacing w:before="120" w:beforeLines="50" w:after="120" w:afterLines="50"/>
        <w:jc w:val="center"/>
        <w:rPr>
          <w:szCs w:val="24"/>
        </w:rPr>
      </w:pPr>
      <w:bookmarkStart w:id="24" w:name="_Toc60560625"/>
      <w:bookmarkStart w:id="25" w:name="_Toc100052364"/>
      <w:bookmarkStart w:id="26" w:name="_Toc73517639"/>
      <w:bookmarkStart w:id="27" w:name="_Toc101074876"/>
      <w:bookmarkStart w:id="28" w:name="_Toc73521547"/>
      <w:bookmarkStart w:id="29" w:name="_Toc73518117"/>
      <w:bookmarkStart w:id="30" w:name="_Toc60631620"/>
      <w:bookmarkStart w:id="31" w:name="_Toc73521635"/>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pPr>
              <w:jc w:val="center"/>
              <w:rPr>
                <w:rFonts w:ascii="宋体" w:hAnsi="宋体"/>
                <w:b/>
                <w:bCs/>
              </w:rPr>
            </w:pPr>
            <w:r>
              <w:rPr>
                <w:rFonts w:hint="eastAsia" w:ascii="宋体" w:hAnsi="宋体"/>
                <w:b/>
                <w:bCs/>
              </w:rPr>
              <w:t>涉及事项</w:t>
            </w:r>
          </w:p>
        </w:tc>
        <w:tc>
          <w:tcPr>
            <w:tcW w:w="4980" w:type="dxa"/>
            <w:noWrap w:val="0"/>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.1</w:t>
            </w:r>
          </w:p>
        </w:tc>
        <w:tc>
          <w:tcPr>
            <w:tcW w:w="2409" w:type="dxa"/>
            <w:noWrap w:val="0"/>
            <w:vAlign w:val="center"/>
          </w:tcPr>
          <w:p>
            <w:pPr>
              <w:jc w:val="center"/>
            </w:pPr>
            <w:r>
              <w:rPr>
                <w:rFonts w:hint="eastAsia"/>
              </w:rPr>
              <w:t>采购人</w:t>
            </w:r>
          </w:p>
        </w:tc>
        <w:tc>
          <w:tcPr>
            <w:tcW w:w="4980" w:type="dxa"/>
            <w:noWrap w:val="0"/>
            <w:vAlign w:val="center"/>
          </w:tcPr>
          <w:p>
            <w:pPr>
              <w:jc w:val="center"/>
              <w:rPr>
                <w:rFonts w:ascii="宋体" w:hAnsi="宋体"/>
              </w:rPr>
            </w:pPr>
            <w:r>
              <w:rPr>
                <w:rFonts w:hint="eastAsia" w:ascii="宋体" w:hAnsi="宋体" w:eastAsia="宋体" w:cs="Arial"/>
                <w:b/>
                <w:szCs w:val="21"/>
              </w:rPr>
              <w:t>深圳市宝安中学外国语学校（集团）</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.2</w:t>
            </w:r>
          </w:p>
        </w:tc>
        <w:tc>
          <w:tcPr>
            <w:tcW w:w="2409" w:type="dxa"/>
            <w:noWrap w:val="0"/>
            <w:vAlign w:val="center"/>
          </w:tcPr>
          <w:p>
            <w:pPr>
              <w:jc w:val="center"/>
              <w:rPr>
                <w:rFonts w:ascii="宋体" w:hAnsi="宋体"/>
              </w:rPr>
            </w:pPr>
            <w:r>
              <w:rPr>
                <w:rFonts w:hint="eastAsia" w:ascii="宋体" w:hAnsi="宋体"/>
              </w:rPr>
              <w:t>政府集中采购机构</w:t>
            </w:r>
          </w:p>
        </w:tc>
        <w:tc>
          <w:tcPr>
            <w:tcW w:w="4980" w:type="dxa"/>
            <w:noWrap w:val="0"/>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9</w:t>
            </w:r>
          </w:p>
        </w:tc>
        <w:tc>
          <w:tcPr>
            <w:tcW w:w="2409" w:type="dxa"/>
            <w:noWrap w:val="0"/>
            <w:vAlign w:val="center"/>
          </w:tcPr>
          <w:p>
            <w:pPr>
              <w:jc w:val="center"/>
              <w:rPr>
                <w:rFonts w:ascii="宋体" w:hAnsi="宋体"/>
              </w:rPr>
            </w:pPr>
            <w:r>
              <w:rPr>
                <w:rFonts w:hint="eastAsia" w:ascii="宋体" w:hAnsi="宋体"/>
              </w:rPr>
              <w:t>踏勘现场</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0</w:t>
            </w:r>
          </w:p>
        </w:tc>
        <w:tc>
          <w:tcPr>
            <w:tcW w:w="2409" w:type="dxa"/>
            <w:noWrap w:val="0"/>
            <w:vAlign w:val="center"/>
          </w:tcPr>
          <w:p>
            <w:pPr>
              <w:jc w:val="center"/>
              <w:rPr>
                <w:rFonts w:ascii="宋体" w:hAnsi="宋体"/>
              </w:rPr>
            </w:pPr>
            <w:r>
              <w:rPr>
                <w:rFonts w:hint="eastAsia" w:ascii="宋体" w:hAnsi="宋体"/>
              </w:rPr>
              <w:t>标前会议</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pPr>
              <w:jc w:val="center"/>
              <w:rPr>
                <w:rFonts w:ascii="宋体" w:hAnsi="宋体"/>
              </w:rPr>
            </w:pPr>
            <w:r>
              <w:rPr>
                <w:rFonts w:hint="eastAsia" w:ascii="宋体" w:hAnsi="宋体"/>
              </w:rPr>
              <w:t>招标文件的澄清和修改</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0</w:t>
            </w:r>
          </w:p>
        </w:tc>
        <w:tc>
          <w:tcPr>
            <w:tcW w:w="2409" w:type="dxa"/>
            <w:noWrap w:val="0"/>
            <w:vAlign w:val="center"/>
          </w:tcPr>
          <w:p>
            <w:pPr>
              <w:jc w:val="center"/>
              <w:rPr>
                <w:rFonts w:ascii="宋体" w:hAnsi="宋体"/>
              </w:rPr>
            </w:pPr>
            <w:r>
              <w:rPr>
                <w:rFonts w:hint="eastAsia" w:ascii="宋体" w:hAnsi="宋体"/>
              </w:rPr>
              <w:t>投标有效期</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2</w:t>
            </w:r>
          </w:p>
        </w:tc>
        <w:tc>
          <w:tcPr>
            <w:tcW w:w="2409" w:type="dxa"/>
            <w:noWrap w:val="0"/>
            <w:vAlign w:val="center"/>
          </w:tcPr>
          <w:p>
            <w:pPr>
              <w:jc w:val="center"/>
              <w:rPr>
                <w:rFonts w:ascii="宋体" w:hAnsi="宋体"/>
              </w:rPr>
            </w:pPr>
            <w:r>
              <w:rPr>
                <w:rFonts w:hint="eastAsia" w:ascii="宋体" w:hAnsi="宋体"/>
              </w:rPr>
              <w:t>投标人的替代方案</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5</w:t>
            </w:r>
          </w:p>
        </w:tc>
        <w:tc>
          <w:tcPr>
            <w:tcW w:w="2409" w:type="dxa"/>
            <w:noWrap w:val="0"/>
            <w:vAlign w:val="center"/>
          </w:tcPr>
          <w:p>
            <w:pPr>
              <w:jc w:val="center"/>
              <w:rPr>
                <w:rFonts w:ascii="宋体" w:hAnsi="宋体"/>
              </w:rPr>
            </w:pPr>
            <w:r>
              <w:rPr>
                <w:rFonts w:hint="eastAsia" w:ascii="宋体" w:hAnsi="宋体"/>
              </w:rPr>
              <w:t>投标文件的大小</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6</w:t>
            </w:r>
          </w:p>
        </w:tc>
        <w:tc>
          <w:tcPr>
            <w:tcW w:w="2409" w:type="dxa"/>
            <w:noWrap w:val="0"/>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7</w:t>
            </w:r>
          </w:p>
        </w:tc>
        <w:tc>
          <w:tcPr>
            <w:tcW w:w="2409" w:type="dxa"/>
            <w:noWrap w:val="0"/>
            <w:vAlign w:val="center"/>
          </w:tcPr>
          <w:p>
            <w:pPr>
              <w:jc w:val="center"/>
              <w:rPr>
                <w:rFonts w:ascii="宋体" w:hAnsi="宋体"/>
              </w:rPr>
            </w:pPr>
            <w:r>
              <w:rPr>
                <w:rFonts w:hint="eastAsia" w:ascii="宋体" w:hAnsi="宋体"/>
              </w:rPr>
              <w:t>评审方法</w:t>
            </w:r>
          </w:p>
        </w:tc>
        <w:tc>
          <w:tcPr>
            <w:tcW w:w="4980" w:type="dxa"/>
            <w:noWrap w:val="0"/>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8</w:t>
            </w:r>
          </w:p>
        </w:tc>
        <w:tc>
          <w:tcPr>
            <w:tcW w:w="2409" w:type="dxa"/>
            <w:noWrap w:val="0"/>
            <w:vAlign w:val="center"/>
          </w:tcPr>
          <w:p>
            <w:pPr>
              <w:jc w:val="center"/>
              <w:rPr>
                <w:rFonts w:ascii="宋体" w:hAnsi="宋体"/>
              </w:rPr>
            </w:pPr>
            <w:r>
              <w:rPr>
                <w:rFonts w:hint="eastAsia" w:ascii="宋体" w:hAnsi="宋体"/>
              </w:rPr>
              <w:t>定标方法</w:t>
            </w:r>
          </w:p>
        </w:tc>
        <w:tc>
          <w:tcPr>
            <w:tcW w:w="4980" w:type="dxa"/>
            <w:noWrap w:val="0"/>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4</w:t>
            </w:r>
            <w:r>
              <w:rPr>
                <w:rFonts w:ascii="宋体" w:hAnsi="宋体"/>
              </w:rPr>
              <w:t>6</w:t>
            </w:r>
          </w:p>
        </w:tc>
        <w:tc>
          <w:tcPr>
            <w:tcW w:w="2409" w:type="dxa"/>
            <w:noWrap w:val="0"/>
            <w:vAlign w:val="center"/>
          </w:tcPr>
          <w:p>
            <w:pPr>
              <w:jc w:val="center"/>
              <w:rPr>
                <w:rFonts w:ascii="宋体" w:hAnsi="宋体"/>
              </w:rPr>
            </w:pPr>
            <w:r>
              <w:rPr>
                <w:rFonts w:hint="eastAsia" w:ascii="宋体" w:hAnsi="宋体"/>
              </w:rPr>
              <w:t>履约担保</w:t>
            </w:r>
          </w:p>
        </w:tc>
        <w:tc>
          <w:tcPr>
            <w:tcW w:w="4980" w:type="dxa"/>
            <w:noWrap w:val="0"/>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5"/>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评标方法</w:t>
            </w:r>
          </w:p>
        </w:tc>
        <w:tc>
          <w:tcPr>
            <w:tcW w:w="3235" w:type="dxa"/>
            <w:noWrap w:val="0"/>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候选中标供应商家数</w:t>
            </w:r>
          </w:p>
        </w:tc>
        <w:tc>
          <w:tcPr>
            <w:tcW w:w="3235" w:type="dxa"/>
            <w:noWrap w:val="0"/>
            <w:vAlign w:val="top"/>
          </w:tcPr>
          <w:p>
            <w:pPr>
              <w:jc w:val="center"/>
              <w:rPr>
                <w:rFonts w:hint="default" w:eastAsia="宋体"/>
                <w:lang w:val="en-US" w:eastAsia="zh-CN"/>
              </w:rPr>
            </w:pPr>
            <w:r>
              <w:rPr>
                <w:rFonts w:hint="eastAsia"/>
              </w:rPr>
              <w:t>1</w:t>
            </w:r>
          </w:p>
        </w:tc>
        <w:tc>
          <w:tcPr>
            <w:tcW w:w="2450" w:type="dxa"/>
            <w:noWrap w:val="0"/>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中标供应商家数</w:t>
            </w:r>
          </w:p>
        </w:tc>
        <w:tc>
          <w:tcPr>
            <w:tcW w:w="3235" w:type="dxa"/>
            <w:noWrap w:val="0"/>
            <w:vAlign w:val="top"/>
          </w:tcPr>
          <w:p>
            <w:pPr>
              <w:jc w:val="center"/>
            </w:pPr>
            <w:r>
              <w:rPr>
                <w:rFonts w:hint="eastAsia"/>
              </w:rPr>
              <w:t>1</w:t>
            </w:r>
          </w:p>
        </w:tc>
        <w:tc>
          <w:tcPr>
            <w:tcW w:w="2450" w:type="dxa"/>
            <w:noWrap w:val="0"/>
            <w:vAlign w:val="top"/>
          </w:tcPr>
          <w:p>
            <w:pPr>
              <w:jc w:val="center"/>
              <w:rPr>
                <w:rFonts w:hint="eastAsia"/>
              </w:rPr>
            </w:pPr>
            <w:r>
              <w:rPr>
                <w:rFonts w:hint="eastAsia"/>
              </w:rPr>
              <w:t>1</w:t>
            </w:r>
          </w:p>
        </w:tc>
      </w:tr>
    </w:tbl>
    <w:p>
      <w:pPr>
        <w:pStyle w:val="14"/>
      </w:pPr>
    </w:p>
    <w:p>
      <w:pPr>
        <w:ind w:firstLine="422" w:firstLineChars="200"/>
        <w:rPr>
          <w:rFonts w:hint="eastAsia"/>
          <w:b/>
        </w:rPr>
      </w:pPr>
    </w:p>
    <w:p>
      <w:pPr>
        <w:ind w:firstLine="422" w:firstLineChars="200"/>
        <w:rPr>
          <w:b/>
        </w:rPr>
      </w:pPr>
      <w:r>
        <w:rPr>
          <w:rFonts w:hint="eastAsia"/>
          <w:b/>
        </w:rPr>
        <w:t>（二）其他事项</w:t>
      </w:r>
      <w:bookmarkEnd w:id="35"/>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spacing w:before="0" w:after="0"/>
        <w:jc w:val="both"/>
        <w:outlineLvl w:val="9"/>
      </w:pP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7"/>
        <w:rPr>
          <w:b/>
        </w:rPr>
      </w:pPr>
    </w:p>
    <w:p>
      <w:pPr>
        <w:pStyle w:val="14"/>
        <w:rPr>
          <w:b/>
        </w:rPr>
      </w:pPr>
    </w:p>
    <w:p>
      <w:pPr>
        <w:pStyle w:val="14"/>
        <w:rPr>
          <w:b/>
        </w:rPr>
      </w:pPr>
    </w:p>
    <w:p>
      <w:pPr>
        <w:pStyle w:val="14"/>
        <w:rPr>
          <w:b/>
        </w:rPr>
        <w:sectPr>
          <w:pgSz w:w="11907" w:h="16840"/>
          <w:pgMar w:top="1440" w:right="1797" w:bottom="1440" w:left="1797" w:header="851" w:footer="992" w:gutter="0"/>
          <w:cols w:space="425" w:num="1"/>
          <w:titlePg/>
          <w:docGrid w:linePitch="462" w:charSpace="0"/>
        </w:sectPr>
      </w:pPr>
    </w:p>
    <w:bookmarkEnd w:id="34"/>
    <w:p>
      <w:pPr>
        <w:pStyle w:val="5"/>
        <w:jc w:val="center"/>
        <w:rPr>
          <w:sz w:val="28"/>
          <w:szCs w:val="28"/>
        </w:rPr>
      </w:pPr>
      <w:r>
        <w:rPr>
          <w:rFonts w:hint="eastAsia"/>
          <w:sz w:val="28"/>
          <w:szCs w:val="28"/>
        </w:rPr>
        <w:t>第三章 用户需求书</w:t>
      </w:r>
    </w:p>
    <w:p>
      <w:pPr>
        <w:pStyle w:val="5"/>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JYCG-DECL-2025-29578</w:t>
            </w:r>
          </w:p>
        </w:tc>
        <w:tc>
          <w:tcPr>
            <w:tcW w:w="3158" w:type="dxa"/>
            <w:vAlign w:val="center"/>
          </w:tcPr>
          <w:p>
            <w:pPr>
              <w:jc w:val="center"/>
              <w:rPr>
                <w:b/>
                <w:bCs/>
                <w:color w:val="FF0000"/>
                <w:szCs w:val="21"/>
              </w:rPr>
            </w:pPr>
            <w:r>
              <w:rPr>
                <w:rFonts w:hint="eastAsia"/>
                <w:b/>
                <w:bCs/>
                <w:color w:val="FF0000"/>
                <w:szCs w:val="21"/>
              </w:rPr>
              <w:t>深圳市宝安中学外国语学校（集团）触控一体机采购项目</w:t>
            </w:r>
          </w:p>
        </w:tc>
        <w:tc>
          <w:tcPr>
            <w:tcW w:w="2355" w:type="dxa"/>
            <w:vAlign w:val="center"/>
          </w:tcPr>
          <w:p>
            <w:pPr>
              <w:jc w:val="center"/>
              <w:rPr>
                <w:bCs/>
                <w:color w:val="FF0000"/>
                <w:szCs w:val="21"/>
              </w:rPr>
            </w:pPr>
            <w:r>
              <w:rPr>
                <w:rFonts w:hint="eastAsia"/>
                <w:bCs/>
                <w:color w:val="FF0000"/>
                <w:szCs w:val="21"/>
              </w:rPr>
              <w:t>415000.00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rFonts w:hint="eastAsia"/>
                <w:bCs/>
                <w:color w:val="FF0000"/>
                <w:szCs w:val="21"/>
              </w:rPr>
              <w:t>415000.00</w:t>
            </w:r>
          </w:p>
        </w:tc>
      </w:tr>
    </w:tbl>
    <w:p>
      <w:pPr>
        <w:rPr>
          <w:rFonts w:ascii="宋体" w:hAnsi="宋体"/>
          <w:b/>
          <w:color w:val="FF0000"/>
          <w:szCs w:val="21"/>
        </w:rPr>
      </w:pPr>
    </w:p>
    <w:p>
      <w:pPr>
        <w:rPr>
          <w:rFonts w:ascii="宋体" w:hAnsi="宋体"/>
          <w:b/>
          <w:color w:val="FF0000"/>
          <w:szCs w:val="21"/>
        </w:rPr>
      </w:pPr>
    </w:p>
    <w:p>
      <w:pPr>
        <w:pStyle w:val="5"/>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51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202"/>
        <w:gridCol w:w="1663"/>
        <w:gridCol w:w="426"/>
        <w:gridCol w:w="426"/>
        <w:gridCol w:w="985"/>
        <w:gridCol w:w="1198"/>
        <w:gridCol w:w="1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5" w:type="pct"/>
            <w:vAlign w:val="center"/>
          </w:tcPr>
          <w:p>
            <w:pPr>
              <w:jc w:val="center"/>
              <w:rPr>
                <w:bCs/>
                <w:szCs w:val="21"/>
              </w:rPr>
            </w:pPr>
            <w:r>
              <w:rPr>
                <w:rFonts w:hint="eastAsia"/>
                <w:bCs/>
                <w:szCs w:val="21"/>
              </w:rPr>
              <w:t>序号</w:t>
            </w:r>
          </w:p>
        </w:tc>
        <w:tc>
          <w:tcPr>
            <w:tcW w:w="498" w:type="pct"/>
            <w:vAlign w:val="center"/>
          </w:tcPr>
          <w:p>
            <w:pPr>
              <w:jc w:val="center"/>
              <w:rPr>
                <w:bCs/>
                <w:szCs w:val="21"/>
              </w:rPr>
            </w:pPr>
            <w:r>
              <w:rPr>
                <w:rFonts w:hint="eastAsia"/>
                <w:szCs w:val="21"/>
              </w:rPr>
              <w:t>采购计划编号</w:t>
            </w:r>
          </w:p>
        </w:tc>
        <w:tc>
          <w:tcPr>
            <w:tcW w:w="1114" w:type="pct"/>
            <w:vAlign w:val="center"/>
          </w:tcPr>
          <w:p>
            <w:pPr>
              <w:jc w:val="center"/>
              <w:rPr>
                <w:bCs/>
                <w:szCs w:val="21"/>
              </w:rPr>
            </w:pPr>
            <w:r>
              <w:rPr>
                <w:rFonts w:hint="eastAsia"/>
                <w:bCs/>
                <w:szCs w:val="21"/>
              </w:rPr>
              <w:t>货物名称（标的名称）</w:t>
            </w:r>
          </w:p>
        </w:tc>
        <w:tc>
          <w:tcPr>
            <w:tcW w:w="305" w:type="pct"/>
            <w:vAlign w:val="center"/>
          </w:tcPr>
          <w:p>
            <w:pPr>
              <w:jc w:val="center"/>
              <w:rPr>
                <w:bCs/>
                <w:szCs w:val="21"/>
              </w:rPr>
            </w:pPr>
            <w:r>
              <w:rPr>
                <w:rFonts w:hint="eastAsia"/>
                <w:bCs/>
                <w:szCs w:val="21"/>
              </w:rPr>
              <w:t>数量</w:t>
            </w:r>
          </w:p>
        </w:tc>
        <w:tc>
          <w:tcPr>
            <w:tcW w:w="282" w:type="pct"/>
            <w:vAlign w:val="center"/>
          </w:tcPr>
          <w:p>
            <w:pPr>
              <w:jc w:val="center"/>
              <w:rPr>
                <w:bCs/>
                <w:szCs w:val="21"/>
              </w:rPr>
            </w:pPr>
            <w:r>
              <w:rPr>
                <w:rFonts w:hint="eastAsia"/>
                <w:bCs/>
                <w:szCs w:val="21"/>
              </w:rPr>
              <w:t>单位</w:t>
            </w:r>
          </w:p>
        </w:tc>
        <w:tc>
          <w:tcPr>
            <w:tcW w:w="797" w:type="pct"/>
            <w:vAlign w:val="center"/>
          </w:tcPr>
          <w:p>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797" w:type="pct"/>
            <w:vAlign w:val="center"/>
          </w:tcPr>
          <w:p>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898" w:type="pct"/>
            <w:vAlign w:val="center"/>
          </w:tcPr>
          <w:p>
            <w:pPr>
              <w:jc w:val="center"/>
              <w:rPr>
                <w:rFonts w:hint="default"/>
                <w:b/>
                <w:bCs/>
                <w:color w:val="FF0000"/>
                <w:szCs w:val="21"/>
                <w:lang w:val="en-US" w:eastAsia="zh-CN"/>
              </w:rPr>
            </w:pPr>
            <w:r>
              <w:rPr>
                <w:rFonts w:hint="eastAsia"/>
                <w:b/>
                <w:bCs/>
                <w:color w:val="FF0000"/>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5" w:type="pct"/>
            <w:vAlign w:val="center"/>
          </w:tcPr>
          <w:p>
            <w:pPr>
              <w:jc w:val="center"/>
              <w:rPr>
                <w:bCs/>
                <w:szCs w:val="21"/>
              </w:rPr>
            </w:pPr>
            <w:r>
              <w:rPr>
                <w:rFonts w:hint="eastAsia"/>
                <w:bCs/>
                <w:szCs w:val="21"/>
              </w:rPr>
              <w:t>1</w:t>
            </w:r>
          </w:p>
        </w:tc>
        <w:tc>
          <w:tcPr>
            <w:tcW w:w="498" w:type="pct"/>
            <w:vAlign w:val="center"/>
          </w:tcPr>
          <w:p>
            <w:pPr>
              <w:jc w:val="center"/>
              <w:rPr>
                <w:bCs/>
                <w:szCs w:val="21"/>
              </w:rPr>
            </w:pPr>
            <w:r>
              <w:rPr>
                <w:rFonts w:hint="eastAsia"/>
                <w:bCs/>
                <w:szCs w:val="21"/>
              </w:rPr>
              <w:t>JYCG-DECL-2025-29578</w:t>
            </w:r>
          </w:p>
        </w:tc>
        <w:tc>
          <w:tcPr>
            <w:tcW w:w="1940" w:type="dxa"/>
            <w:vAlign w:val="center"/>
          </w:tcPr>
          <w:p>
            <w:pPr>
              <w:jc w:val="both"/>
              <w:rPr>
                <w:bCs/>
                <w:szCs w:val="21"/>
              </w:rPr>
            </w:pPr>
            <w:r>
              <w:rPr>
                <w:rFonts w:hint="eastAsia" w:ascii="宋体" w:hAnsi="宋体" w:eastAsia="宋体" w:cs="宋体"/>
                <w:i w:val="0"/>
                <w:iCs w:val="0"/>
                <w:color w:val="000000"/>
                <w:sz w:val="21"/>
                <w:szCs w:val="21"/>
                <w:u w:val="none"/>
              </w:rPr>
              <w:t>交互智能平板</w:t>
            </w:r>
          </w:p>
        </w:tc>
        <w:tc>
          <w:tcPr>
            <w:tcW w:w="531" w:type="dxa"/>
            <w:vAlign w:val="center"/>
          </w:tcPr>
          <w:p>
            <w:pPr>
              <w:jc w:val="center"/>
              <w:rPr>
                <w:bCs/>
                <w:szCs w:val="21"/>
              </w:rPr>
            </w:pPr>
            <w:r>
              <w:rPr>
                <w:rFonts w:hint="eastAsia" w:ascii="宋体" w:hAnsi="宋体" w:eastAsia="宋体" w:cs="宋体"/>
                <w:i w:val="0"/>
                <w:iCs w:val="0"/>
                <w:color w:val="000000"/>
                <w:sz w:val="21"/>
                <w:szCs w:val="21"/>
                <w:u w:val="none"/>
                <w:lang w:val="en-US" w:eastAsia="zh-CN"/>
              </w:rPr>
              <w:t>16</w:t>
            </w:r>
          </w:p>
        </w:tc>
        <w:tc>
          <w:tcPr>
            <w:tcW w:w="491" w:type="dxa"/>
            <w:vAlign w:val="center"/>
          </w:tcPr>
          <w:p>
            <w:pPr>
              <w:jc w:val="center"/>
              <w:rPr>
                <w:bCs/>
                <w:szCs w:val="21"/>
              </w:rPr>
            </w:pPr>
            <w:r>
              <w:rPr>
                <w:rFonts w:hint="eastAsia" w:ascii="宋体" w:hAnsi="宋体" w:eastAsia="宋体" w:cs="宋体"/>
                <w:i w:val="0"/>
                <w:iCs w:val="0"/>
                <w:color w:val="000000"/>
                <w:sz w:val="21"/>
                <w:szCs w:val="21"/>
                <w:u w:val="none"/>
                <w:lang w:val="en-US" w:eastAsia="zh-CN"/>
              </w:rPr>
              <w:t>台</w:t>
            </w:r>
          </w:p>
        </w:tc>
        <w:tc>
          <w:tcPr>
            <w:tcW w:w="797" w:type="pct"/>
            <w:vAlign w:val="center"/>
          </w:tcPr>
          <w:p>
            <w:pPr>
              <w:jc w:val="center"/>
              <w:rPr>
                <w:rFonts w:hint="eastAsia" w:eastAsiaTheme="minorEastAsia"/>
                <w:b/>
                <w:bCs/>
                <w:color w:val="FF0000"/>
                <w:szCs w:val="21"/>
                <w:lang w:val="en-US" w:eastAsia="zh-CN"/>
              </w:rPr>
            </w:pPr>
            <w:r>
              <w:rPr>
                <w:rFonts w:hint="eastAsia"/>
                <w:b/>
                <w:bCs/>
                <w:color w:val="FF0000"/>
                <w:szCs w:val="21"/>
                <w:lang w:val="en-US" w:eastAsia="zh-CN"/>
              </w:rPr>
              <w:t>否</w:t>
            </w:r>
          </w:p>
        </w:tc>
        <w:tc>
          <w:tcPr>
            <w:tcW w:w="797" w:type="pct"/>
            <w:vAlign w:val="center"/>
          </w:tcPr>
          <w:p>
            <w:pPr>
              <w:jc w:val="center"/>
              <w:rPr>
                <w:rFonts w:hint="eastAsia" w:eastAsiaTheme="minorEastAsia"/>
                <w:b/>
                <w:bCs/>
                <w:color w:val="FF0000"/>
                <w:szCs w:val="21"/>
                <w:lang w:val="en-US" w:eastAsia="zh-CN"/>
              </w:rPr>
            </w:pPr>
            <w:r>
              <w:rPr>
                <w:rFonts w:hint="eastAsia"/>
                <w:b/>
                <w:bCs/>
                <w:color w:val="FF0000"/>
                <w:szCs w:val="21"/>
                <w:lang w:val="en-US" w:eastAsia="zh-CN"/>
              </w:rPr>
              <w:t>否</w:t>
            </w:r>
          </w:p>
        </w:tc>
        <w:tc>
          <w:tcPr>
            <w:tcW w:w="898" w:type="pct"/>
            <w:vAlign w:val="center"/>
          </w:tcPr>
          <w:p>
            <w:pPr>
              <w:jc w:val="center"/>
              <w:rPr>
                <w:rFonts w:hint="eastAsia" w:eastAsiaTheme="minorEastAsia"/>
                <w:b/>
                <w:bCs/>
                <w:color w:val="FF0000"/>
                <w:szCs w:val="21"/>
                <w:lang w:val="en-US" w:eastAsia="zh-CN"/>
              </w:rPr>
            </w:pPr>
            <w:r>
              <w:rPr>
                <w:rFonts w:hint="eastAsia"/>
                <w:b/>
                <w:bCs/>
                <w:color w:val="FF0000"/>
                <w:szCs w:val="21"/>
                <w:lang w:val="en-US" w:eastAsia="zh-CN"/>
              </w:rPr>
              <w:t>工业</w:t>
            </w: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0"/>
        </w:numPr>
        <w:ind w:firstLine="422" w:firstLineChars="200"/>
        <w:rPr>
          <w:rFonts w:hint="eastAsia" w:ascii="宋体" w:hAnsi="宋体"/>
          <w:b/>
          <w:color w:val="FF0000"/>
          <w:szCs w:val="21"/>
        </w:rPr>
      </w:pPr>
      <w:r>
        <w:rPr>
          <w:rFonts w:hint="eastAsia" w:ascii="宋体" w:hAnsi="宋体" w:eastAsiaTheme="minorEastAsia" w:cstheme="minorBidi"/>
          <w:b/>
          <w:color w:val="FF0000"/>
          <w:kern w:val="2"/>
          <w:sz w:val="21"/>
          <w:szCs w:val="21"/>
          <w:lang w:val="en-US" w:eastAsia="zh-CN" w:bidi="ar-SA"/>
        </w:rPr>
        <w:t>2、</w:t>
      </w: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0"/>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kern w:val="2"/>
          <w:sz w:val="21"/>
          <w:szCs w:val="21"/>
          <w:lang w:val="en-US" w:eastAsia="zh-CN" w:bidi="ar-SA"/>
        </w:rPr>
        <w:t>3、</w:t>
      </w: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0"/>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kern w:val="2"/>
          <w:sz w:val="21"/>
          <w:szCs w:val="21"/>
          <w:lang w:val="en-US" w:eastAsia="zh-CN" w:bidi="ar-SA"/>
        </w:rPr>
        <w:t>4、</w:t>
      </w: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ascii="宋体" w:hAnsi="宋体"/>
          <w:b/>
          <w:color w:val="FF0000"/>
          <w:szCs w:val="21"/>
        </w:rPr>
      </w:pPr>
    </w:p>
    <w:bookmarkEnd w:id="37"/>
    <w:p>
      <w:pPr>
        <w:rPr>
          <w:rFonts w:ascii="宋体" w:hAnsi="宋体"/>
          <w:b/>
          <w:color w:val="FF0000"/>
          <w:szCs w:val="21"/>
        </w:rPr>
      </w:pPr>
    </w:p>
    <w:p>
      <w:pPr>
        <w:pStyle w:val="7"/>
      </w:pPr>
    </w:p>
    <w:p>
      <w:pPr>
        <w:pStyle w:val="5"/>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r>
              <w:rPr>
                <w:rFonts w:hint="eastAsia"/>
              </w:rPr>
              <w:t>序号</w:t>
            </w:r>
          </w:p>
        </w:tc>
        <w:tc>
          <w:tcPr>
            <w:tcW w:w="7832" w:type="dxa"/>
            <w:noWrap w:val="0"/>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pPr>
              <w:jc w:val="center"/>
            </w:pPr>
            <w:r>
              <w:rPr>
                <w:rFonts w:hint="eastAsia"/>
              </w:rPr>
              <w:t>1</w:t>
            </w:r>
          </w:p>
        </w:tc>
        <w:tc>
          <w:tcPr>
            <w:tcW w:w="7832" w:type="dxa"/>
            <w:noWrap w:val="0"/>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7"/>
      </w:pPr>
    </w:p>
    <w:p>
      <w:pPr>
        <w:pStyle w:val="5"/>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rFonts w:hint="eastAsia"/>
          <w:b/>
          <w:szCs w:val="21"/>
        </w:rPr>
      </w:pPr>
    </w:p>
    <w:bookmarkEnd w:id="40"/>
    <w:tbl>
      <w:tblPr>
        <w:tblStyle w:val="17"/>
        <w:tblW w:w="846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4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134"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货物名称</w:t>
            </w:r>
          </w:p>
        </w:tc>
        <w:tc>
          <w:tcPr>
            <w:tcW w:w="648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招标</w:t>
            </w:r>
            <w:r>
              <w:rPr>
                <w:color w:val="000000" w:themeColor="text1"/>
                <w:szCs w:val="21"/>
                <w14:textFill>
                  <w14:solidFill>
                    <w14:schemeClr w14:val="tx1"/>
                  </w14:solidFill>
                </w14:textFill>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134"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交互智能平板</w:t>
            </w:r>
          </w:p>
        </w:tc>
        <w:tc>
          <w:tcPr>
            <w:tcW w:w="6485" w:type="dxa"/>
            <w:vAlign w:val="top"/>
          </w:tcPr>
          <w:p>
            <w:pPr>
              <w:keepNext w:val="0"/>
              <w:keepLines w:val="0"/>
              <w:widowControl/>
              <w:suppressLineNumbers w:val="0"/>
              <w:jc w:val="left"/>
              <w:textAlignment w:val="top"/>
              <w:rPr>
                <w:color w:val="000000" w:themeColor="text1"/>
                <w:szCs w:val="21"/>
                <w14:textFill>
                  <w14:solidFill>
                    <w14:schemeClr w14:val="tx1"/>
                  </w14:solidFill>
                </w14:textFill>
              </w:rPr>
            </w:pPr>
            <w:r>
              <w:rPr>
                <w:rStyle w:val="39"/>
                <w:lang w:val="en-US" w:eastAsia="zh-CN" w:bidi="ar"/>
              </w:rPr>
              <w:t>一、整体设计：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Style w:val="38"/>
                <w:lang w:val="en-US" w:eastAsia="zh-CN" w:bidi="ar"/>
              </w:rPr>
            </w:pPr>
            <w:r>
              <w:rPr>
                <w:rStyle w:val="38"/>
                <w:lang w:val="en-US" w:eastAsia="zh-CN" w:bidi="ar"/>
              </w:rPr>
              <w:t>1.整机采用一体设计，外部无任何可见内部功能模块连接线。整机采用全金属外壳设计，边角采用弧形设计，表面无尖锐边缘或凸起。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color w:val="000000" w:themeColor="text1"/>
                <w:szCs w:val="21"/>
                <w14:textFill>
                  <w14:solidFill>
                    <w14:schemeClr w14:val="tx1"/>
                  </w14:solidFill>
                </w14:textFill>
              </w:rPr>
            </w:pPr>
            <w:r>
              <w:rPr>
                <w:rStyle w:val="38"/>
                <w:lang w:val="en-US" w:eastAsia="zh-CN" w:bidi="ar"/>
              </w:rPr>
              <w:t>2. 整机屏幕采用86英寸液晶显示器。采用超高清LED液晶显示屏，显示比例16:9，分辨率3840×2160。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3. 整机屏幕边缘采用金属圆角包边防护，整机背板采用金属材质，有效屏蔽内部电路器件辐射；防潮耐盐雾蚀锈，适应多种教学环境。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Fonts w:hint="eastAsia" w:ascii="宋体" w:hAnsi="宋体" w:eastAsia="宋体" w:cs="宋体"/>
                <w:i w:val="0"/>
                <w:iCs w:val="0"/>
                <w:color w:val="000000"/>
                <w:kern w:val="0"/>
                <w:sz w:val="21"/>
                <w:szCs w:val="21"/>
                <w:u w:val="none"/>
                <w:lang w:val="en-US" w:eastAsia="zh-CN" w:bidi="ar"/>
              </w:rPr>
              <w:t>4. 采用红外触控技术，支持Windows系统中进行40点或以上触控，支持在Android系统中进行40点或以上触控。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5. 整机触控书写功能集成预测算法，在书写速度≥50cm/s，支持笔迹距离笔的距离小于20mm。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Fonts w:hint="eastAsia" w:ascii="宋体" w:hAnsi="宋体" w:eastAsia="宋体" w:cs="宋体"/>
                <w:i w:val="0"/>
                <w:iCs w:val="0"/>
                <w:color w:val="000000"/>
                <w:kern w:val="0"/>
                <w:sz w:val="21"/>
                <w:szCs w:val="21"/>
                <w:u w:val="none"/>
                <w:lang w:val="en-US" w:eastAsia="zh-CN" w:bidi="ar"/>
              </w:rPr>
              <w:t>6.▲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课堂智能反馈。</w:t>
            </w:r>
            <w:r>
              <w:rPr>
                <w:rFonts w:hint="eastAsia" w:ascii="宋体" w:hAnsi="宋体" w:eastAsia="宋体" w:cs="宋体"/>
                <w:i w:val="0"/>
                <w:iCs w:val="0"/>
                <w:color w:val="000000"/>
                <w:kern w:val="0"/>
                <w:sz w:val="21"/>
                <w:szCs w:val="21"/>
                <w:highlight w:val="yellow"/>
                <w:u w:val="none"/>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Style w:val="38"/>
                <w:lang w:val="en-US" w:eastAsia="zh-CN" w:bidi="ar"/>
              </w:rPr>
            </w:pPr>
            <w:r>
              <w:rPr>
                <w:rStyle w:val="39"/>
                <w:lang w:val="en-US" w:eastAsia="zh-CN" w:bidi="ar"/>
              </w:rPr>
              <w:t>二、护眼要求：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7. 整机采用硬件低蓝光背光技术，在源头减少有害蓝光波段能量，蓝光占比（有害蓝光415～455nm能量综合）/（整体蓝光400～500能量综合）＜50%，低蓝光保护显示不偏色、不泛黄。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8. 整机视网膜蓝光危害（蓝光加权辐射亮度LB）满足IEC TR 62778:2014蓝光危害RG0级别。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9. 纸质护眼模式下，显示画面各像素点灰度不规则，减少背景干扰。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10. ▲整机支持色彩空间可选，包含标准模式和sRGB模式，在sRGB模式下可做到高色准△E≤1。整机全通道支持纸质护眼模式，可实现画面纹理的实时调整；支持纸质纹理：牛皮纸、素描纸、宣纸、水彩纸、水纹纸；支持透明度调节；支持色温调节。</w:t>
            </w:r>
            <w:r>
              <w:rPr>
                <w:rStyle w:val="38"/>
                <w:highlight w:val="yellow"/>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Fonts w:hint="eastAsia" w:ascii="宋体" w:hAnsi="宋体" w:eastAsia="宋体" w:cs="宋体"/>
                <w:i w:val="0"/>
                <w:iCs w:val="0"/>
                <w:color w:val="000000"/>
                <w:kern w:val="0"/>
                <w:sz w:val="21"/>
                <w:szCs w:val="21"/>
                <w:u w:val="none"/>
                <w:lang w:val="en-US" w:eastAsia="zh-CN" w:bidi="ar"/>
              </w:rPr>
              <w:t>11. 整机背光系统支持DC调光方式，多级亮度调节，支持白颜色背景下最暗亮度≤100nit，用于提升显示对比度。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Style w:val="38"/>
                <w:lang w:val="en-US" w:eastAsia="zh-CN" w:bidi="ar"/>
              </w:rPr>
            </w:pPr>
            <w:r>
              <w:rPr>
                <w:rStyle w:val="39"/>
                <w:lang w:val="en-US" w:eastAsia="zh-CN" w:bidi="ar"/>
              </w:rPr>
              <w:t>三、音效与麦克风要求：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12. 内置摄像头、麦克风无需外接线材连接，无任何可见外接线材及模块化拼接痕迹，未占用整机设备端口。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13. ▲整机侧边栏内置朗读工具，通过整机麦克风监测教室中学生的朗读情况，并以游戏化界面反馈学生朗读音量大小。</w:t>
            </w:r>
            <w:r>
              <w:rPr>
                <w:rStyle w:val="38"/>
                <w:highlight w:val="yellow"/>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14. ▲整机内置2.2声道扬声器，位于设备上边框，顶置朝前发声，前朝向10W高音扬声器2个，上朝向20W中低音扬声器2个，额定总功率60W。</w:t>
            </w:r>
            <w:r>
              <w:rPr>
                <w:rStyle w:val="38"/>
                <w:highlight w:val="yellow"/>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Fonts w:hint="eastAsia" w:ascii="宋体" w:hAnsi="宋体" w:eastAsia="宋体" w:cs="宋体"/>
                <w:i w:val="0"/>
                <w:iCs w:val="0"/>
                <w:color w:val="000000"/>
                <w:kern w:val="0"/>
                <w:sz w:val="21"/>
                <w:szCs w:val="21"/>
                <w:u w:val="none"/>
                <w:lang w:val="en-US" w:eastAsia="zh-CN" w:bidi="ar"/>
              </w:rPr>
              <w:t>15. 整机内置非独立外扩展的8阵列麦克风，拾音角度≥180°，可用于对教室环境音频进行采集，拾音距离≥12m。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16. 整机可选择高级音效设置，支持在左右声道平衡显示范围中进行更改；中低频段显示调节范围125Hz～1KHz，高频段显示调节范围 2KHz～16KHz，分贝显示-12dB～12dB 调节范围。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Style w:val="38"/>
                <w:lang w:val="en-US" w:eastAsia="zh-CN" w:bidi="ar"/>
              </w:rPr>
            </w:pPr>
            <w:r>
              <w:rPr>
                <w:rStyle w:val="39"/>
                <w:lang w:val="en-US" w:eastAsia="zh-CN" w:bidi="ar"/>
              </w:rPr>
              <w:t>四、主要功能要求：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17. 整机内置双WiFi6无线网卡（不接受外接），在Android和Windows系统下，可实现Wi-Fi无线上网连接、AP无线热点发射。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Fonts w:hint="eastAsia" w:ascii="宋体" w:hAnsi="宋体" w:eastAsia="宋体" w:cs="宋体"/>
                <w:i w:val="0"/>
                <w:iCs w:val="0"/>
                <w:color w:val="000000"/>
                <w:kern w:val="0"/>
                <w:sz w:val="21"/>
                <w:szCs w:val="21"/>
                <w:u w:val="none"/>
                <w:lang w:val="en-US" w:eastAsia="zh-CN" w:bidi="ar"/>
              </w:rPr>
              <w:t>18. ▲整机支持在无任何外部设备的情况下，实时录制用户朗读内容，识别用户声纹并进行统一身份登录，登录后自动获取个人云端教学课件列表，打开教学白板软件时可跳过软件自带登录步骤。</w:t>
            </w:r>
            <w:r>
              <w:rPr>
                <w:rFonts w:hint="eastAsia" w:ascii="宋体" w:hAnsi="宋体" w:eastAsia="宋体" w:cs="宋体"/>
                <w:i w:val="0"/>
                <w:iCs w:val="0"/>
                <w:color w:val="000000"/>
                <w:kern w:val="0"/>
                <w:sz w:val="21"/>
                <w:szCs w:val="21"/>
                <w:highlight w:val="yellow"/>
                <w:u w:val="none"/>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Fonts w:hint="eastAsia" w:ascii="宋体" w:hAnsi="宋体" w:eastAsia="宋体" w:cs="宋体"/>
                <w:i w:val="0"/>
                <w:iCs w:val="0"/>
                <w:color w:val="000000"/>
                <w:kern w:val="0"/>
                <w:sz w:val="21"/>
                <w:szCs w:val="21"/>
                <w:u w:val="none"/>
                <w:lang w:val="en-US" w:eastAsia="zh-CN" w:bidi="ar"/>
              </w:rPr>
              <w:t>19. ▲整机侧边栏内置自习工具，通过整机麦克风监测教室中学生音量大小，当学生音量大于阈值时，屏幕自动弹窗提醒进行自习纪律干预。</w:t>
            </w:r>
            <w:r>
              <w:rPr>
                <w:rFonts w:hint="eastAsia" w:ascii="宋体" w:hAnsi="宋体" w:eastAsia="宋体" w:cs="宋体"/>
                <w:i w:val="0"/>
                <w:iCs w:val="0"/>
                <w:color w:val="000000"/>
                <w:kern w:val="0"/>
                <w:sz w:val="21"/>
                <w:szCs w:val="21"/>
                <w:highlight w:val="yellow"/>
                <w:u w:val="none"/>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20. 整机支持蓝牙Bluetooth 5.4标准；Wi-Fi和AP热点工作距离≥12m。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21. ▲整机Windows通道支持文件传输应用，支持通过扫码、wifi直联、超声三种方式与手机进行握手连接，实现文件传输功能。</w:t>
            </w:r>
            <w:r>
              <w:rPr>
                <w:rStyle w:val="38"/>
                <w:highlight w:val="yellow"/>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22. ▲整机上边框内置非独立式摄像头，采用一体化集成设计，摄像头数量≥4个。整机上边框内置非独立式广角高清摄像头，视场角≥142度且水平视场角≥121度，支持输出4:3、16:9比例的图片和视频；在清晰度为2592 x 1944分辨率下，支持30帧的视频输出。</w:t>
            </w:r>
            <w:r>
              <w:rPr>
                <w:rStyle w:val="38"/>
                <w:highlight w:val="yellow"/>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23. 整机上边框内置非独立式摄像头，视场角≥141度且水平视场角≥139度，可拍摄≥1600万像素的照片，支持输出8192×2048分辨率的照片和视频，支持画面畸变矫正功能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24. 整机支持上边框内置非独立摄像头模组，同时输出至少 3 路视频流，同时支持课堂远程巡课、课堂教学数据采集、本地画面预览（拍照或视频录制）。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Style w:val="38"/>
                <w:lang w:val="en-US" w:eastAsia="zh-CN" w:bidi="ar"/>
              </w:rPr>
            </w:pPr>
            <w:r>
              <w:rPr>
                <w:rStyle w:val="39"/>
                <w:lang w:val="en-US" w:eastAsia="zh-CN" w:bidi="ar"/>
              </w:rPr>
              <w:t>五、内置电脑要求：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2</w:t>
            </w:r>
            <w:r>
              <w:rPr>
                <w:rStyle w:val="38"/>
                <w:highlight w:val="none"/>
                <w:lang w:val="en-US" w:eastAsia="zh-CN" w:bidi="ar"/>
              </w:rPr>
              <w:t>5.</w:t>
            </w:r>
            <w:r>
              <w:rPr>
                <w:rStyle w:val="38"/>
                <w:rFonts w:hint="eastAsia"/>
                <w:highlight w:val="none"/>
                <w:lang w:val="en-US" w:eastAsia="zh-CN" w:bidi="ar"/>
              </w:rPr>
              <w:t>CPU处理器（产品型号不得早于2021年发布）性能不低于14核20线程、基础频率2.7GHz、睿频频率基础频率4.7GHz</w:t>
            </w:r>
            <w:r>
              <w:rPr>
                <w:rStyle w:val="38"/>
                <w:highlight w:val="none"/>
                <w:lang w:val="en-US" w:eastAsia="zh-CN" w:bidi="ar"/>
              </w:rPr>
              <w:t>；内存：32GB DDR4笔记本内存或以上配置；硬盘：512 GB或以上SSD固态硬</w:t>
            </w:r>
            <w:r>
              <w:rPr>
                <w:rStyle w:val="38"/>
                <w:lang w:val="en-US" w:eastAsia="zh-CN" w:bidi="ar"/>
              </w:rPr>
              <w:t>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26. 和整机的连接采用万兆级接口，传输速率≥10Gbps。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27. 采用按压式卡扣，无需工具就可快速拆卸电脑模块。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Style w:val="39"/>
                <w:lang w:val="en-US" w:eastAsia="zh-CN" w:bidi="ar"/>
              </w:rPr>
              <w:t>六、配套软件功能要求：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Style w:val="38"/>
                <w:rFonts w:hint="eastAsia"/>
                <w:lang w:val="en-US" w:eastAsia="zh-CN" w:bidi="ar"/>
              </w:rPr>
              <w:t>28</w:t>
            </w:r>
            <w:r>
              <w:rPr>
                <w:rStyle w:val="38"/>
                <w:lang w:val="en-US" w:eastAsia="zh-CN" w:bidi="ar"/>
              </w:rPr>
              <w:t>. 互动教学课件支持定向精准分享：分享者可将互动课件、课件组精准推送至指定接收方账号云空间，接收方可在云空间接收并打开分享课件。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Fonts w:hint="eastAsia" w:ascii="宋体" w:hAnsi="宋体" w:cs="宋体"/>
                <w:i w:val="0"/>
                <w:iCs w:val="0"/>
                <w:color w:val="000000"/>
                <w:kern w:val="0"/>
                <w:sz w:val="21"/>
                <w:szCs w:val="21"/>
                <w:u w:val="none"/>
                <w:lang w:val="en-US" w:eastAsia="zh-CN" w:bidi="ar"/>
              </w:rPr>
              <w:t>29</w:t>
            </w:r>
            <w:r>
              <w:rPr>
                <w:rFonts w:hint="eastAsia" w:ascii="宋体" w:hAnsi="宋体" w:eastAsia="宋体" w:cs="宋体"/>
                <w:i w:val="0"/>
                <w:iCs w:val="0"/>
                <w:color w:val="000000"/>
                <w:kern w:val="0"/>
                <w:sz w:val="21"/>
                <w:szCs w:val="21"/>
                <w:u w:val="none"/>
                <w:lang w:val="en-US" w:eastAsia="zh-CN" w:bidi="ar"/>
              </w:rPr>
              <w:t>. 互动教学软件为教师备课节省大量时间，立体几何工具：可自由绘制长方体、立方体、圆柱体、圆锥等立体几何图形。任意调节几何体的大小尺寸，支持几何图形按比例放大缩小和通过单独调整长宽高（半径/高）改变几何体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Fonts w:hint="eastAsia" w:ascii="宋体" w:hAnsi="宋体" w:cs="宋体"/>
                <w:i w:val="0"/>
                <w:iCs w:val="0"/>
                <w:color w:val="000000"/>
                <w:kern w:val="0"/>
                <w:sz w:val="21"/>
                <w:szCs w:val="21"/>
                <w:u w:val="none"/>
                <w:lang w:val="en-US" w:eastAsia="zh-CN" w:bidi="ar"/>
              </w:rPr>
              <w:t>30</w:t>
            </w:r>
            <w:r>
              <w:rPr>
                <w:rFonts w:hint="eastAsia" w:ascii="宋体" w:hAnsi="宋体" w:eastAsia="宋体" w:cs="宋体"/>
                <w:i w:val="0"/>
                <w:iCs w:val="0"/>
                <w:color w:val="000000"/>
                <w:kern w:val="0"/>
                <w:sz w:val="21"/>
                <w:szCs w:val="21"/>
                <w:u w:val="none"/>
                <w:lang w:val="en-US" w:eastAsia="zh-CN" w:bidi="ar"/>
              </w:rPr>
              <w:t>. 互动教学软件为教师备课节省大量时间，支持中英文、数学公式的编辑输入，可快速输入方程组、脱式运算，提供不少于70个数学符号及模板；预置不少于40个常用数学公式，无需编辑一键插入，输入内容可用不同颜色标记及重复编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 互动教学软件要求支持为长方体、圆柱体、圆锥等几何体的各面、棱分别填涂颜色，并且可通过360°旋转观察涂色面与未涂色面；几何体支持平面展开，预置长方体、立方体“141、132、222、33”型展开方式，展开后可对涂色面进行查看，有助于学生的空间想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3</w:t>
            </w:r>
            <w:r>
              <w:rPr>
                <w:rStyle w:val="38"/>
                <w:rFonts w:hint="eastAsia"/>
                <w:lang w:val="en-US" w:eastAsia="zh-CN" w:bidi="ar"/>
              </w:rPr>
              <w:t>2</w:t>
            </w:r>
            <w:r>
              <w:rPr>
                <w:rStyle w:val="38"/>
                <w:lang w:val="en-US" w:eastAsia="zh-CN" w:bidi="ar"/>
              </w:rPr>
              <w:t>. 互动教学软件需要提供覆盖初中、高中的古诗词、古文教学资源：包含原文、翻译、背景介绍、作者介绍、朗诵音频。内嵌诗词百科链接，一键跳转展示诗词及作者详细背景介绍；全部古诗词资源按照年级学段、朝代、诗人进行精细分类，教师仅需点击分类关键词即可快速跳转至对应诗词资源，备课时可对原文进行注释、标重点等操作；提供原文朗读音频，全部诗词、古文均配备专业朗读配音，朗读音频支持关键帧打点标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Style w:val="40"/>
                <w:lang w:val="en-US" w:eastAsia="zh-CN" w:bidi="ar"/>
              </w:rPr>
              <w:t>3</w:t>
            </w:r>
            <w:r>
              <w:rPr>
                <w:rStyle w:val="40"/>
                <w:rFonts w:hint="eastAsia"/>
                <w:lang w:val="en-US" w:eastAsia="zh-CN" w:bidi="ar"/>
              </w:rPr>
              <w:t>3</w:t>
            </w:r>
            <w:r>
              <w:rPr>
                <w:rStyle w:val="40"/>
                <w:lang w:val="en-US" w:eastAsia="zh-CN" w:bidi="ar"/>
              </w:rPr>
              <w:t>. 多学科课件库：提供涵盖小学语文、数学、英语全部教学章节的不少于80000份的交互式课件。课件支持直接预览并下载，预览时支持拖动课堂活动、形状、几何、文本等元素；下载时课件可同步至教师个人云课件存储空间；课件支持教师在线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both"/>
              <w:textAlignment w:val="top"/>
              <w:rPr>
                <w:rFonts w:hint="eastAsia" w:eastAsia="宋体"/>
                <w:lang w:val="en-US" w:eastAsia="zh-CN"/>
              </w:rPr>
            </w:pPr>
            <w:r>
              <w:rPr>
                <w:rStyle w:val="38"/>
                <w:lang w:val="en-US" w:eastAsia="zh-CN" w:bidi="ar"/>
              </w:rPr>
              <w:t>3</w:t>
            </w:r>
            <w:r>
              <w:rPr>
                <w:rStyle w:val="38"/>
                <w:rFonts w:hint="eastAsia"/>
                <w:lang w:val="en-US" w:eastAsia="zh-CN" w:bidi="ar"/>
              </w:rPr>
              <w:t>4</w:t>
            </w:r>
            <w:r>
              <w:rPr>
                <w:rStyle w:val="38"/>
                <w:lang w:val="en-US" w:eastAsia="zh-CN" w:bidi="ar"/>
              </w:rPr>
              <w:t>. 设计架构：系统采用模块化的架构设计B/S架构，通过浏览器打开并用微信扫码登录、账号密码登录和微信授权登录完成鉴权，即可使用数字校园产品的各项功能模块。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both"/>
              <w:textAlignment w:val="top"/>
              <w:rPr>
                <w:rFonts w:hint="eastAsia" w:eastAsia="宋体"/>
                <w:lang w:val="en-US" w:eastAsia="zh-CN"/>
              </w:rPr>
            </w:pPr>
            <w:r>
              <w:rPr>
                <w:rStyle w:val="38"/>
                <w:lang w:val="en-US" w:eastAsia="zh-CN" w:bidi="ar"/>
              </w:rPr>
              <w:t>3</w:t>
            </w:r>
            <w:r>
              <w:rPr>
                <w:rStyle w:val="38"/>
                <w:rFonts w:hint="eastAsia"/>
                <w:lang w:val="en-US" w:eastAsia="zh-CN" w:bidi="ar"/>
              </w:rPr>
              <w:t>5</w:t>
            </w:r>
            <w:r>
              <w:rPr>
                <w:rStyle w:val="38"/>
                <w:lang w:val="en-US" w:eastAsia="zh-CN" w:bidi="ar"/>
              </w:rPr>
              <w:t>. ▲工作台配置：针对不同的客户诉求，提供个性化工作台自定义功能，在工作台配置页面，可通过拖拉拽可视化配置组件的方式，完成个性化工作台的配置；工作台可配置组件数量不小于30个；支持给每个工作台配置不同的使用角色，默认预设全员工作台和分别仅电教主任，德育主任，教研主任查看的工作台，对应的角色才能看到对应的工作台；同时工作台支持启用和停用管理。</w:t>
            </w:r>
            <w:r>
              <w:rPr>
                <w:rStyle w:val="38"/>
                <w:highlight w:val="yellow"/>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both"/>
              <w:textAlignment w:val="top"/>
              <w:rPr>
                <w:rFonts w:hint="eastAsia" w:eastAsia="宋体"/>
                <w:lang w:val="en-US" w:eastAsia="zh-CN"/>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 ▲专属工作台：支持设置显隐组件来定制专属工作台。支持通过设备总览组件快捷查看学校所有设备实时状态及达标情况。支持通过设备巡视组件实时了解教室和设备的情况。支持通过设备使用情况组件了解设备活跃分布及长时间未使用的设备情况，设置智能策略来对设备进行管控；支持通过软件使用情况组件掌握学校教师常用的教学软件，快速拦截风险应用；支持通过老师使用情况了解教师对信息化设备的使用率；支持通过网站访问情况了解设备上使用的常用网址，并可快速设置黑名单来禁止设备上的违规访问行为。</w:t>
            </w:r>
            <w:r>
              <w:rPr>
                <w:rFonts w:hint="eastAsia" w:ascii="宋体" w:hAnsi="宋体" w:eastAsia="宋体" w:cs="宋体"/>
                <w:i w:val="0"/>
                <w:iCs w:val="0"/>
                <w:color w:val="000000"/>
                <w:kern w:val="0"/>
                <w:sz w:val="21"/>
                <w:szCs w:val="21"/>
                <w:highlight w:val="yellow"/>
                <w:u w:val="none"/>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both"/>
              <w:textAlignment w:val="top"/>
              <w:rPr>
                <w:rFonts w:hint="eastAsia" w:eastAsia="宋体"/>
                <w:lang w:val="en-US" w:eastAsia="zh-CN"/>
              </w:rPr>
            </w:pPr>
            <w:r>
              <w:rPr>
                <w:rFonts w:hint="eastAsia" w:ascii="宋体" w:hAnsi="宋体" w:cs="宋体"/>
                <w:i w:val="0"/>
                <w:iCs w:val="0"/>
                <w:color w:val="000000"/>
                <w:kern w:val="0"/>
                <w:sz w:val="21"/>
                <w:szCs w:val="21"/>
                <w:u w:val="none"/>
                <w:lang w:val="en-US" w:eastAsia="zh-CN" w:bidi="ar"/>
              </w:rPr>
              <w:t>37</w:t>
            </w:r>
            <w:r>
              <w:rPr>
                <w:rFonts w:hint="eastAsia" w:ascii="宋体" w:hAnsi="宋体" w:eastAsia="宋体" w:cs="宋体"/>
                <w:i w:val="0"/>
                <w:iCs w:val="0"/>
                <w:color w:val="000000"/>
                <w:kern w:val="0"/>
                <w:sz w:val="21"/>
                <w:szCs w:val="21"/>
                <w:u w:val="none"/>
                <w:lang w:val="en-US" w:eastAsia="zh-CN" w:bidi="ar"/>
              </w:rPr>
              <w:t>. 远程巡课：支持管理者开启远程巡课服务，开启/关闭远程巡课的管控功能；拥有远程巡课权限的老师可在移动端或PC客户端实时巡班，并进行基础远程管控。支持管理者为普通老师直接分配、普通老师自行申请后由管理者在平台审核开通的2种方式管理远程巡课的班级权限，所有权限调整均配备操作日志；支持通过教师、设备维度查看拥有远程巡课的权限明细，并支持快速调整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both"/>
              <w:textAlignment w:val="top"/>
              <w:rPr>
                <w:rFonts w:hint="eastAsia" w:eastAsia="宋体"/>
                <w:lang w:val="en-US" w:eastAsia="zh-CN"/>
              </w:rPr>
            </w:pPr>
            <w:r>
              <w:rPr>
                <w:rStyle w:val="38"/>
                <w:rFonts w:hint="eastAsia"/>
                <w:lang w:val="en-US" w:eastAsia="zh-CN" w:bidi="ar"/>
              </w:rPr>
              <w:t>38</w:t>
            </w:r>
            <w:r>
              <w:rPr>
                <w:rStyle w:val="38"/>
                <w:lang w:val="en-US" w:eastAsia="zh-CN" w:bidi="ar"/>
              </w:rPr>
              <w:t>. 点播巡视：支持根据班级课程表，自动获取正在上课或者即将上课的科目、老师列表，快速定位老师所在教室，实时远程听课；支持听课过程中针对本节课的教学过程进行评价，支持创建和使用多个评课表，并将评价记录于巡视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both"/>
              <w:textAlignment w:val="top"/>
              <w:rPr>
                <w:rFonts w:hint="eastAsia" w:eastAsia="宋体"/>
                <w:lang w:val="en-US" w:eastAsia="zh-CN"/>
              </w:rPr>
            </w:pPr>
            <w:r>
              <w:rPr>
                <w:rStyle w:val="38"/>
                <w:rFonts w:hint="eastAsia"/>
                <w:lang w:val="en-US" w:eastAsia="zh-CN" w:bidi="ar"/>
              </w:rPr>
              <w:t>39</w:t>
            </w:r>
            <w:r>
              <w:rPr>
                <w:rStyle w:val="38"/>
                <w:lang w:val="en-US" w:eastAsia="zh-CN" w:bidi="ar"/>
              </w:rPr>
              <w:t>. 网址过滤：支持设置网址访问黑名单、白名单，限制所有设备的网址访问。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both"/>
              <w:textAlignment w:val="top"/>
              <w:rPr>
                <w:rFonts w:hint="eastAsia" w:eastAsia="宋体"/>
                <w:lang w:val="en-US" w:eastAsia="zh-CN"/>
              </w:rPr>
            </w:pPr>
            <w:r>
              <w:rPr>
                <w:rStyle w:val="38"/>
                <w:lang w:val="en-US" w:eastAsia="zh-CN" w:bidi="ar"/>
              </w:rPr>
              <w:t>4</w:t>
            </w:r>
            <w:r>
              <w:rPr>
                <w:rStyle w:val="38"/>
                <w:rFonts w:hint="eastAsia"/>
                <w:lang w:val="en-US" w:eastAsia="zh-CN" w:bidi="ar"/>
              </w:rPr>
              <w:t>0</w:t>
            </w:r>
            <w:r>
              <w:rPr>
                <w:rStyle w:val="38"/>
                <w:lang w:val="en-US" w:eastAsia="zh-CN" w:bidi="ar"/>
              </w:rPr>
              <w:t>. ▲AI画面监测：支持AI自动监测设备画面色情、恐怖、暴力、游戏等风险内容或元素；支持设置警告内容，当监测到不良画面后自动提醒；支持将每天监测到的风险结果自动推送至公众号提醒管理；支持按设备、按画面维度回溯历史监测到的不良画面信息。</w:t>
            </w:r>
            <w:r>
              <w:rPr>
                <w:rStyle w:val="38"/>
                <w:highlight w:val="yellow"/>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both"/>
              <w:textAlignment w:val="top"/>
              <w:rPr>
                <w:rFonts w:hint="eastAsia" w:eastAsia="宋体"/>
                <w:lang w:val="en-US" w:eastAsia="zh-CN"/>
              </w:rPr>
            </w:pPr>
            <w:r>
              <w:rPr>
                <w:rStyle w:val="38"/>
                <w:lang w:val="en-US" w:eastAsia="zh-CN" w:bidi="ar"/>
              </w:rPr>
              <w:t>4</w:t>
            </w:r>
            <w:r>
              <w:rPr>
                <w:rStyle w:val="38"/>
                <w:rFonts w:hint="eastAsia"/>
                <w:lang w:val="en-US" w:eastAsia="zh-CN" w:bidi="ar"/>
              </w:rPr>
              <w:t>1</w:t>
            </w:r>
            <w:r>
              <w:rPr>
                <w:rStyle w:val="38"/>
                <w:lang w:val="en-US" w:eastAsia="zh-CN" w:bidi="ar"/>
              </w:rPr>
              <w:t>. 多场景锁屏：支持一键下课锁屏、开机自动锁屏、无网络时验证身份解锁、联网时禁用密码解锁；支持下课锁屏，在班班通设备上点击“下课”按钮即可锁屏；支持开机自动锁屏，可设置生效时间和生效设备；支持无网络情况下，通过手机微信扫码，验证身份后获取密码进行解锁使用。支持设置屏幕锁壁纸；支持设置普通锁屏、极速锁屏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both"/>
              <w:textAlignment w:val="top"/>
              <w:rPr>
                <w:rFonts w:hint="eastAsia" w:eastAsia="宋体"/>
                <w:lang w:val="en-US" w:eastAsia="zh-CN"/>
              </w:rPr>
            </w:pPr>
            <w:r>
              <w:rPr>
                <w:rStyle w:val="38"/>
                <w:lang w:val="en-US" w:eastAsia="zh-CN" w:bidi="ar"/>
              </w:rPr>
              <w:t>4</w:t>
            </w:r>
            <w:r>
              <w:rPr>
                <w:rStyle w:val="38"/>
                <w:rFonts w:hint="eastAsia"/>
                <w:lang w:val="en-US" w:eastAsia="zh-CN" w:bidi="ar"/>
              </w:rPr>
              <w:t>2</w:t>
            </w:r>
            <w:r>
              <w:rPr>
                <w:rStyle w:val="38"/>
                <w:lang w:val="en-US" w:eastAsia="zh-CN" w:bidi="ar"/>
              </w:rPr>
              <w:t>. 指令管理：支持设置即时、定时、循环模式的关机、重启、打铃、锁屏/解锁指令。其中打铃指令支持上传自定义铃声、设置播放时长；其中锁屏指令支持一键下课锁屏、开机自动锁屏、无网络时验证身份解锁、联网时禁用密码解锁、普通/极速锁屏模式；支持设置锁屏壁纸用于校园文化宣传；支持跑马灯、全局弹窗、桌面常驻通知3种类型的文本消息推送；支持定向传输多个超过50MB的文件至不同设备；支持开启/关闭指定设备的倒计日服务；支持批量设置设备音量；支持远程操作和控制设备；支持查看、编辑和撤销待执行指令；支持查看指令执行实时状态、设备操作日志，包含设备每次解锁方式、解锁时间、解锁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both"/>
              <w:textAlignment w:val="top"/>
              <w:rPr>
                <w:rFonts w:hint="eastAsia" w:eastAsia="宋体"/>
                <w:lang w:val="en-US" w:eastAsia="zh-CN"/>
              </w:rPr>
            </w:pPr>
            <w:r>
              <w:rPr>
                <w:rStyle w:val="38"/>
                <w:lang w:val="en-US" w:eastAsia="zh-CN" w:bidi="ar"/>
              </w:rPr>
              <w:t>4</w:t>
            </w:r>
            <w:r>
              <w:rPr>
                <w:rStyle w:val="38"/>
                <w:rFonts w:hint="eastAsia"/>
                <w:lang w:val="en-US" w:eastAsia="zh-CN" w:bidi="ar"/>
              </w:rPr>
              <w:t>3</w:t>
            </w:r>
            <w:r>
              <w:rPr>
                <w:rStyle w:val="38"/>
                <w:lang w:val="en-US" w:eastAsia="zh-CN" w:bidi="ar"/>
              </w:rPr>
              <w:t>. 移动端管理：支持通过微信小程序远程管理学校所有电子设备，支持查看设备运行状态，支持下发远程指令，支持查看设备数据，支持推送指令执行异常的设备信息、出现不良画面的设备及不良内容。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both"/>
              <w:textAlignment w:val="top"/>
              <w:rPr>
                <w:rFonts w:hint="eastAsia" w:eastAsia="宋体"/>
                <w:lang w:val="en-US" w:eastAsia="zh-CN"/>
              </w:rPr>
            </w:pPr>
            <w:r>
              <w:rPr>
                <w:rStyle w:val="38"/>
                <w:rFonts w:hint="eastAsia"/>
                <w:lang w:val="en-US" w:eastAsia="zh-CN" w:bidi="ar"/>
              </w:rPr>
              <w:t>44</w:t>
            </w:r>
            <w:r>
              <w:rPr>
                <w:rStyle w:val="38"/>
                <w:lang w:val="en-US" w:eastAsia="zh-CN" w:bidi="ar"/>
              </w:rPr>
              <w:t>. 系统管理：支持学校高级管理员添加多位管理员协同管理及快速转让高级管理员，支持为普通管理员分配不同权限，权限支持按系统功能菜单分配、按管理设备分配方式；支持设置在自定义时间段内自动升级设备辅助管理软件、开启/关闭自动升级后自动关机服务、开启/关闭限制旧版本覆盖安装的安全服务；支持启用/禁用管家身份验证服务，包含扫码验证、复杂密码验证服务。支持记录并回看管理员的操作日志，包含操作人、操作时间、操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2"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both"/>
              <w:textAlignment w:val="top"/>
              <w:rPr>
                <w:rFonts w:hint="eastAsia" w:eastAsia="宋体"/>
                <w:lang w:val="en-US" w:eastAsia="zh-CN"/>
              </w:rPr>
            </w:pPr>
            <w:r>
              <w:rPr>
                <w:rStyle w:val="38"/>
                <w:rFonts w:hint="eastAsia"/>
                <w:lang w:val="en-US" w:eastAsia="zh-CN" w:bidi="ar"/>
              </w:rPr>
              <w:t>45</w:t>
            </w:r>
            <w:r>
              <w:rPr>
                <w:rStyle w:val="38"/>
                <w:lang w:val="en-US" w:eastAsia="zh-CN" w:bidi="ar"/>
              </w:rPr>
              <w:t>. ▲ 基建优化建议：支持解读设备运行数据，提供基建优化建议；支持根据网络带宽利用率分析网络稳定性并提供优化方案；支持根据硬件参数及流畅度达标情况分析设备运行稳定性并提供优化方案；支持根据安全服务开启情况分析设备运行风险并提供优化方案。</w:t>
            </w:r>
            <w:r>
              <w:rPr>
                <w:rStyle w:val="38"/>
                <w:highlight w:val="yellow"/>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suppressLineNumbers w:val="0"/>
              <w:jc w:val="left"/>
              <w:textAlignment w:val="top"/>
              <w:rPr>
                <w:rFonts w:hint="eastAsia" w:eastAsia="宋体"/>
                <w:lang w:val="en-US" w:eastAsia="zh-CN"/>
              </w:rPr>
            </w:pPr>
            <w:r>
              <w:rPr>
                <w:rFonts w:hint="eastAsia" w:ascii="宋体" w:hAnsi="宋体" w:cs="宋体"/>
                <w:i w:val="0"/>
                <w:iCs w:val="0"/>
                <w:color w:val="000000"/>
                <w:kern w:val="0"/>
                <w:sz w:val="21"/>
                <w:szCs w:val="21"/>
                <w:u w:val="none"/>
                <w:lang w:val="en-US" w:eastAsia="zh-CN" w:bidi="ar"/>
              </w:rPr>
              <w:t>46</w:t>
            </w:r>
            <w:r>
              <w:rPr>
                <w:rFonts w:hint="eastAsia" w:ascii="宋体" w:hAnsi="宋体" w:eastAsia="宋体" w:cs="宋体"/>
                <w:i w:val="0"/>
                <w:iCs w:val="0"/>
                <w:color w:val="000000"/>
                <w:kern w:val="0"/>
                <w:sz w:val="21"/>
                <w:szCs w:val="21"/>
                <w:u w:val="none"/>
                <w:lang w:val="en-US" w:eastAsia="zh-CN" w:bidi="ar"/>
              </w:rPr>
              <w:t>. ▲素养提升建议：支持分析解读教师使用数据，提供信息化素养提升建议；支持根据各学科/设备/老师使用数据分析经验丰富的老师，并提供信息化素养提升建议；支持根据不同类型软件的使用明细分析本校常用软件，并提供软件普及、替换或拦截建议。</w:t>
            </w:r>
            <w:r>
              <w:rPr>
                <w:rFonts w:hint="eastAsia" w:ascii="宋体" w:hAnsi="宋体" w:eastAsia="宋体" w:cs="宋体"/>
                <w:i w:val="0"/>
                <w:iCs w:val="0"/>
                <w:color w:val="000000"/>
                <w:kern w:val="0"/>
                <w:sz w:val="21"/>
                <w:szCs w:val="21"/>
                <w:highlight w:val="yellow"/>
                <w:u w:val="none"/>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8"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vAlign w:val="top"/>
          </w:tcPr>
          <w:p>
            <w:pPr>
              <w:keepNext w:val="0"/>
              <w:keepLines w:val="0"/>
              <w:widowControl/>
              <w:numPr>
                <w:ilvl w:val="-1"/>
                <w:numId w:val="0"/>
              </w:numPr>
              <w:suppressLineNumbers w:val="0"/>
              <w:jc w:val="left"/>
              <w:textAlignment w:val="top"/>
              <w:rPr>
                <w:rFonts w:hint="eastAsia"/>
                <w:lang w:val="en-US" w:eastAsia="zh-CN"/>
              </w:rPr>
            </w:pPr>
            <w:r>
              <w:rPr>
                <w:rFonts w:hint="eastAsia" w:ascii="宋体" w:hAnsi="宋体" w:cs="宋体"/>
                <w:i w:val="0"/>
                <w:iCs w:val="0"/>
                <w:color w:val="000000"/>
                <w:kern w:val="0"/>
                <w:sz w:val="21"/>
                <w:szCs w:val="21"/>
                <w:u w:val="none"/>
                <w:lang w:val="en-US" w:eastAsia="zh-CN" w:bidi="ar"/>
              </w:rPr>
              <w:t>47.</w:t>
            </w:r>
            <w:r>
              <w:rPr>
                <w:rFonts w:hint="eastAsia" w:ascii="宋体" w:hAnsi="宋体" w:eastAsia="宋体" w:cs="宋体"/>
                <w:i w:val="0"/>
                <w:iCs w:val="0"/>
                <w:color w:val="000000"/>
                <w:kern w:val="0"/>
                <w:sz w:val="21"/>
                <w:szCs w:val="21"/>
                <w:u w:val="none"/>
                <w:lang w:val="en-US" w:eastAsia="zh-CN" w:bidi="ar"/>
              </w:rPr>
              <w:t>▲数据中心：支持自定义设备类型及数量，掌握校内设备资产分布情况；支持根据老师、学科、设备三大维度查看设备使用排行，并提供信息化设备利用率提升指南；支持查看本校常用软件、网址访问排行、全校设备画面截图；支持查看设备网络负载、硬件负载情况，并提供网络优化、硬件升级指南。</w:t>
            </w:r>
            <w:r>
              <w:rPr>
                <w:rFonts w:hint="eastAsia" w:ascii="宋体" w:hAnsi="宋体" w:eastAsia="宋体" w:cs="宋体"/>
                <w:i w:val="0"/>
                <w:iCs w:val="0"/>
                <w:color w:val="000000"/>
                <w:kern w:val="0"/>
                <w:sz w:val="21"/>
                <w:szCs w:val="21"/>
                <w:highlight w:val="yellow"/>
                <w:u w:val="none"/>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1" w:type="dxa"/>
            <w:vMerge w:val="continue"/>
            <w:vAlign w:val="center"/>
          </w:tcPr>
          <w:p>
            <w:pPr>
              <w:keepNext w:val="0"/>
              <w:keepLines w:val="0"/>
              <w:widowControl/>
              <w:suppressLineNumbers w:val="0"/>
              <w:jc w:val="left"/>
              <w:textAlignment w:val="top"/>
            </w:pPr>
          </w:p>
        </w:tc>
        <w:tc>
          <w:tcPr>
            <w:tcW w:w="1134" w:type="dxa"/>
            <w:vMerge w:val="continue"/>
            <w:vAlign w:val="center"/>
          </w:tcPr>
          <w:p>
            <w:pPr>
              <w:keepNext w:val="0"/>
              <w:keepLines w:val="0"/>
              <w:widowControl/>
              <w:suppressLineNumbers w:val="0"/>
              <w:jc w:val="left"/>
              <w:textAlignment w:val="top"/>
            </w:pPr>
          </w:p>
        </w:tc>
        <w:tc>
          <w:tcPr>
            <w:tcW w:w="6485" w:type="dxa"/>
            <w:vAlign w:val="top"/>
          </w:tcPr>
          <w:p>
            <w:pPr>
              <w:keepNext w:val="0"/>
              <w:keepLines w:val="0"/>
              <w:widowControl/>
              <w:numPr>
                <w:ilvl w:val="-1"/>
                <w:numId w:val="0"/>
              </w:numPr>
              <w:suppressLineNumbers w:val="0"/>
              <w:jc w:val="left"/>
              <w:textAlignment w:val="top"/>
              <w:rPr>
                <w:rFonts w:hint="eastAsia"/>
                <w:lang w:val="en-US" w:eastAsia="zh-CN"/>
              </w:rPr>
            </w:pPr>
            <w:r>
              <w:rPr>
                <w:rFonts w:hint="eastAsia"/>
                <w:color w:val="FF0000"/>
                <w:lang w:val="en-US" w:eastAsia="zh-CN"/>
              </w:rPr>
              <w:t>★实现与宝安区触控一体机管理平台互联互通，验收时须经区教育发展中心教育技术部确认。</w:t>
            </w:r>
          </w:p>
        </w:tc>
      </w:tr>
    </w:tbl>
    <w:p>
      <w:pPr>
        <w:rPr>
          <w:b/>
          <w:szCs w:val="21"/>
        </w:rPr>
      </w:pPr>
    </w:p>
    <w:p>
      <w:pPr>
        <w:rPr>
          <w:b/>
          <w:szCs w:val="21"/>
        </w:rPr>
      </w:pPr>
    </w:p>
    <w:p>
      <w:pPr>
        <w:pStyle w:val="5"/>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7"/>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b/>
              </w:rPr>
            </w:pPr>
            <w:r>
              <w:rPr>
                <w:rFonts w:hint="eastAsia"/>
                <w:b/>
              </w:rPr>
              <w:t>序号</w:t>
            </w:r>
          </w:p>
        </w:tc>
        <w:tc>
          <w:tcPr>
            <w:tcW w:w="1457" w:type="dxa"/>
            <w:noWrap w:val="0"/>
            <w:vAlign w:val="center"/>
          </w:tcPr>
          <w:p>
            <w:pPr>
              <w:jc w:val="center"/>
              <w:rPr>
                <w:b/>
              </w:rPr>
            </w:pPr>
            <w:r>
              <w:rPr>
                <w:rFonts w:hint="eastAsia"/>
                <w:b/>
              </w:rPr>
              <w:t>商务需求项</w:t>
            </w:r>
          </w:p>
        </w:tc>
        <w:tc>
          <w:tcPr>
            <w:tcW w:w="6523" w:type="dxa"/>
            <w:noWrap w:val="0"/>
            <w:vAlign w:val="center"/>
          </w:tcPr>
          <w:p>
            <w:pPr>
              <w:jc w:val="center"/>
              <w:rPr>
                <w:b/>
              </w:rPr>
            </w:pPr>
            <w:r>
              <w:rPr>
                <w:rFonts w:hint="eastAsia"/>
                <w:b/>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pPr>
              <w:rPr>
                <w:b/>
              </w:rPr>
            </w:pPr>
            <w:r>
              <w:rPr>
                <w:rFonts w:hint="eastAsia"/>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pPr>
              <w:jc w:val="center"/>
              <w:rPr>
                <w:bCs/>
              </w:rPr>
            </w:pPr>
            <w:r>
              <w:rPr>
                <w:rFonts w:hint="eastAsia"/>
                <w:bCs/>
              </w:rPr>
              <w:t>1</w:t>
            </w:r>
          </w:p>
        </w:tc>
        <w:tc>
          <w:tcPr>
            <w:tcW w:w="1457" w:type="dxa"/>
            <w:noWrap w:val="0"/>
            <w:vAlign w:val="top"/>
          </w:tcPr>
          <w:p>
            <w:pPr>
              <w:jc w:val="center"/>
            </w:pPr>
            <w:r>
              <w:rPr>
                <w:rFonts w:hint="eastAsia"/>
              </w:rPr>
              <w:t>维修响应及故障解决时间</w:t>
            </w:r>
          </w:p>
        </w:tc>
        <w:tc>
          <w:tcPr>
            <w:tcW w:w="6523" w:type="dxa"/>
            <w:noWrap w:val="0"/>
            <w:vAlign w:val="top"/>
          </w:tcPr>
          <w:p>
            <w:pPr>
              <w:rPr>
                <w:b/>
              </w:rPr>
            </w:pPr>
            <w:r>
              <w:rPr>
                <w:rFonts w:hint="eastAsia"/>
                <w:bCs/>
                <w:szCs w:val="21"/>
              </w:rPr>
              <w:t>在免费保修期内，一旦发生质量问题，中标人保证在接到通知</w:t>
            </w:r>
            <w:r>
              <w:rPr>
                <w:rFonts w:hint="eastAsia"/>
                <w:bCs/>
                <w:szCs w:val="21"/>
                <w:lang w:val="en-US" w:eastAsia="zh-CN"/>
              </w:rPr>
              <w:t>1</w:t>
            </w:r>
            <w:r>
              <w:rPr>
                <w:rFonts w:hint="eastAsia"/>
                <w:bCs/>
                <w:szCs w:val="21"/>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szCs w:val="21"/>
              </w:rPr>
            </w:pPr>
            <w:r>
              <w:rPr>
                <w:rFonts w:hint="eastAsia"/>
                <w:szCs w:val="21"/>
              </w:rPr>
              <w:t>2</w:t>
            </w:r>
          </w:p>
        </w:tc>
        <w:tc>
          <w:tcPr>
            <w:tcW w:w="1457" w:type="dxa"/>
            <w:vMerge w:val="restart"/>
            <w:noWrap w:val="0"/>
            <w:vAlign w:val="center"/>
          </w:tcPr>
          <w:p>
            <w:pPr>
              <w:jc w:val="center"/>
              <w:rPr>
                <w:szCs w:val="21"/>
              </w:rPr>
            </w:pPr>
            <w:r>
              <w:rPr>
                <w:rFonts w:hint="eastAsia"/>
                <w:szCs w:val="21"/>
              </w:rPr>
              <w:t>免费保修期</w:t>
            </w:r>
          </w:p>
        </w:tc>
        <w:tc>
          <w:tcPr>
            <w:tcW w:w="6523" w:type="dxa"/>
            <w:noWrap w:val="0"/>
            <w:vAlign w:val="top"/>
          </w:tcPr>
          <w:p>
            <w:pPr>
              <w:rPr>
                <w:b/>
                <w:szCs w:val="21"/>
              </w:rPr>
            </w:pPr>
            <w:r>
              <w:rPr>
                <w:rFonts w:hint="eastAsia"/>
                <w:bCs/>
                <w:szCs w:val="21"/>
              </w:rPr>
              <w:t>1</w:t>
            </w:r>
            <w:r>
              <w:rPr>
                <w:bCs/>
                <w:szCs w:val="21"/>
              </w:rPr>
              <w:t>.</w:t>
            </w:r>
            <w:r>
              <w:rPr>
                <w:rFonts w:hint="eastAsia"/>
                <w:bCs/>
                <w:szCs w:val="21"/>
              </w:rPr>
              <w:t>货物免</w:t>
            </w:r>
            <w:r>
              <w:rPr>
                <w:rFonts w:hint="eastAsia"/>
                <w:bCs/>
                <w:szCs w:val="21"/>
                <w:highlight w:val="none"/>
              </w:rPr>
              <w:t>费保修期</w:t>
            </w:r>
            <w:r>
              <w:rPr>
                <w:rFonts w:hint="eastAsia"/>
                <w:bCs/>
                <w:color w:val="FF0000"/>
                <w:szCs w:val="21"/>
                <w:highlight w:val="none"/>
                <w:u w:val="single"/>
              </w:rPr>
              <w:t xml:space="preserve"> </w:t>
            </w:r>
            <w:r>
              <w:rPr>
                <w:rFonts w:hint="eastAsia"/>
                <w:bCs/>
                <w:color w:val="FF0000"/>
                <w:szCs w:val="21"/>
                <w:highlight w:val="none"/>
                <w:u w:val="single"/>
                <w:lang w:val="en-US" w:eastAsia="zh-CN"/>
              </w:rPr>
              <w:t>3</w:t>
            </w:r>
            <w:r>
              <w:rPr>
                <w:rFonts w:hint="eastAsia"/>
                <w:bCs/>
                <w:color w:val="FF0000"/>
                <w:szCs w:val="21"/>
                <w:highlight w:val="none"/>
                <w:u w:val="single"/>
              </w:rPr>
              <w:t xml:space="preserve"> </w:t>
            </w:r>
            <w:r>
              <w:rPr>
                <w:rFonts w:hint="eastAsia"/>
                <w:bCs/>
                <w:color w:val="FF0000"/>
                <w:szCs w:val="21"/>
                <w:highlight w:val="none"/>
              </w:rPr>
              <w:t>年，</w:t>
            </w:r>
            <w:r>
              <w:rPr>
                <w:rFonts w:hint="eastAsia"/>
                <w:bCs/>
                <w:szCs w:val="21"/>
                <w:highlight w:val="none"/>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b/>
              </w:rPr>
            </w:pPr>
          </w:p>
        </w:tc>
        <w:tc>
          <w:tcPr>
            <w:tcW w:w="1457" w:type="dxa"/>
            <w:vMerge w:val="continue"/>
            <w:noWrap w:val="0"/>
            <w:vAlign w:val="center"/>
          </w:tcPr>
          <w:p/>
        </w:tc>
        <w:tc>
          <w:tcPr>
            <w:tcW w:w="6523" w:type="dxa"/>
            <w:noWrap w:val="0"/>
            <w:vAlign w:val="center"/>
          </w:tcPr>
          <w:p>
            <w:pPr>
              <w:rPr>
                <w:bCs/>
                <w:szCs w:val="21"/>
              </w:rPr>
            </w:pPr>
            <w:r>
              <w:rPr>
                <w:rFonts w:hint="eastAsia"/>
                <w:bCs/>
                <w:szCs w:val="21"/>
              </w:rPr>
              <w:t>2</w:t>
            </w:r>
            <w:r>
              <w:rPr>
                <w:bCs/>
                <w:szCs w:val="21"/>
              </w:rPr>
              <w:t>.</w:t>
            </w:r>
            <w:r>
              <w:rPr>
                <w:rFonts w:hint="eastAsia"/>
                <w:bCs/>
                <w:szCs w:val="21"/>
              </w:rPr>
              <w:t>免费保修期内，</w:t>
            </w:r>
            <w:r>
              <w:rPr>
                <w:rFonts w:hint="eastAsia"/>
                <w:color w:val="000000"/>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
              </w:rPr>
            </w:pPr>
            <w:r>
              <w:rPr>
                <w:rFonts w:hint="eastAsia"/>
                <w:szCs w:val="21"/>
              </w:rPr>
              <w:t>3</w:t>
            </w:r>
          </w:p>
        </w:tc>
        <w:tc>
          <w:tcPr>
            <w:tcW w:w="1457" w:type="dxa"/>
            <w:noWrap w:val="0"/>
            <w:vAlign w:val="center"/>
          </w:tcPr>
          <w:p>
            <w:pPr>
              <w:jc w:val="center"/>
              <w:rPr>
                <w:b/>
              </w:rPr>
            </w:pPr>
            <w:r>
              <w:rPr>
                <w:rFonts w:hint="eastAsia"/>
                <w:szCs w:val="21"/>
              </w:rPr>
              <w:t>技术文件</w:t>
            </w:r>
          </w:p>
        </w:tc>
        <w:tc>
          <w:tcPr>
            <w:tcW w:w="6523" w:type="dxa"/>
            <w:noWrap w:val="0"/>
            <w:vAlign w:val="center"/>
          </w:tcPr>
          <w:p>
            <w:pPr>
              <w:rPr>
                <w:bCs/>
              </w:rPr>
            </w:pPr>
            <w:r>
              <w:rPr>
                <w:rFonts w:hint="eastAsia"/>
                <w:bCs/>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Cs/>
              </w:rPr>
            </w:pPr>
            <w:r>
              <w:rPr>
                <w:rFonts w:hint="eastAsia"/>
                <w:bCs/>
              </w:rPr>
              <w:t>4</w:t>
            </w:r>
          </w:p>
        </w:tc>
        <w:tc>
          <w:tcPr>
            <w:tcW w:w="1457" w:type="dxa"/>
            <w:noWrap w:val="0"/>
            <w:vAlign w:val="center"/>
          </w:tcPr>
          <w:p>
            <w:pPr>
              <w:jc w:val="center"/>
              <w:rPr>
                <w:bCs/>
              </w:rPr>
            </w:pPr>
            <w:r>
              <w:rPr>
                <w:rFonts w:hint="eastAsia"/>
                <w:szCs w:val="21"/>
              </w:rPr>
              <w:t>安装调试</w:t>
            </w:r>
          </w:p>
        </w:tc>
        <w:tc>
          <w:tcPr>
            <w:tcW w:w="6523" w:type="dxa"/>
            <w:noWrap w:val="0"/>
            <w:vAlign w:val="center"/>
          </w:tcPr>
          <w:p>
            <w:pPr>
              <w:rPr>
                <w:rFonts w:hint="default" w:eastAsia="宋体"/>
                <w:bCs/>
                <w:szCs w:val="21"/>
                <w:lang w:val="en-US" w:eastAsia="zh-CN"/>
              </w:rPr>
            </w:pPr>
            <w:r>
              <w:rPr>
                <w:rFonts w:hint="eastAsia"/>
                <w:bCs/>
                <w:lang w:val="en-US" w:eastAsia="zh-CN"/>
              </w:rPr>
              <w:t>供应商负责安装调试。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ascii="宋体" w:hAnsi="宋体"/>
                <w:b/>
                <w:sz w:val="20"/>
                <w:szCs w:val="20"/>
              </w:rPr>
            </w:pPr>
            <w:r>
              <w:rPr>
                <w:rFonts w:hint="eastAsia" w:ascii="宋体" w:hAnsi="宋体"/>
                <w:b/>
                <w:sz w:val="20"/>
                <w:szCs w:val="20"/>
              </w:rPr>
              <w:t>1</w:t>
            </w:r>
          </w:p>
        </w:tc>
        <w:tc>
          <w:tcPr>
            <w:tcW w:w="1457" w:type="dxa"/>
            <w:vMerge w:val="restart"/>
            <w:noWrap w:val="0"/>
            <w:vAlign w:val="center"/>
          </w:tcPr>
          <w:p>
            <w:pPr>
              <w:spacing w:line="360" w:lineRule="exact"/>
              <w:jc w:val="center"/>
              <w:rPr>
                <w:rFonts w:ascii="宋体" w:hAnsi="宋体"/>
                <w:b/>
                <w:color w:val="000000"/>
                <w:sz w:val="20"/>
                <w:szCs w:val="20"/>
              </w:rPr>
            </w:pPr>
            <w:r>
              <w:rPr>
                <w:rStyle w:val="20"/>
                <w:rFonts w:hint="eastAsia" w:ascii="宋体" w:hAnsi="宋体" w:cs="宋体"/>
                <w:color w:val="000000"/>
                <w:sz w:val="20"/>
                <w:szCs w:val="20"/>
              </w:rPr>
              <w:t>维修零配件、消耗品和延续保修合同的报价</w:t>
            </w:r>
          </w:p>
        </w:tc>
        <w:tc>
          <w:tcPr>
            <w:tcW w:w="6523" w:type="dxa"/>
            <w:noWrap w:val="0"/>
            <w:vAlign w:val="center"/>
          </w:tcPr>
          <w:p>
            <w:pPr>
              <w:spacing w:line="360" w:lineRule="exact"/>
              <w:rPr>
                <w:rFonts w:ascii="宋体" w:hAnsi="宋体"/>
                <w:b/>
                <w:color w:val="000000"/>
              </w:rPr>
            </w:pPr>
            <w:r>
              <w:rPr>
                <w:rFonts w:hint="eastAsia" w:ascii="宋体" w:hAnsi="宋体" w:cs="宋体"/>
                <w:color w:val="000000"/>
                <w:sz w:val="20"/>
                <w:szCs w:val="20"/>
              </w:rPr>
              <w:t>1.1由设备制造商提供售后服务，</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 xml:space="preserve">1 </w:t>
            </w:r>
            <w:r>
              <w:rPr>
                <w:rFonts w:hint="eastAsia" w:ascii="宋体" w:hAnsi="宋体" w:cs="宋体"/>
                <w:color w:val="000000"/>
                <w:sz w:val="20"/>
                <w:szCs w:val="20"/>
              </w:rPr>
              <w:t>小时内响应，</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24</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pPr>
              <w:spacing w:line="360" w:lineRule="exact"/>
              <w:jc w:val="center"/>
              <w:rPr>
                <w:rFonts w:hint="eastAsia" w:ascii="宋体" w:hAnsi="宋体"/>
                <w:b/>
                <w:sz w:val="20"/>
                <w:szCs w:val="20"/>
              </w:rPr>
            </w:pPr>
            <w:r>
              <w:rPr>
                <w:rFonts w:hint="eastAsia" w:ascii="宋体" w:hAnsi="宋体"/>
                <w:b/>
                <w:sz w:val="20"/>
                <w:szCs w:val="20"/>
              </w:rPr>
              <w:t>违约责任</w:t>
            </w: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.1中标人不能交货的，需偿付不能交货部分货款的</w:t>
            </w:r>
            <w:r>
              <w:rPr>
                <w:rFonts w:hint="eastAsia" w:ascii="宋体" w:hAnsi="宋体" w:cs="宋体"/>
                <w:color w:val="000000"/>
                <w:sz w:val="20"/>
                <w:szCs w:val="20"/>
                <w:u w:val="single"/>
                <w:lang w:val="en-US" w:eastAsia="zh-CN"/>
              </w:rPr>
              <w:t>5</w:t>
            </w:r>
            <w:r>
              <w:rPr>
                <w:rFonts w:hint="eastAsia" w:ascii="宋体" w:hAnsi="宋体" w:cs="宋体"/>
                <w:color w:val="000000"/>
                <w:sz w:val="20"/>
                <w:szCs w:val="20"/>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.3中标人所交付产品、工程或服务不符合其投标承诺的，或在投标阶段为了中标而盲目虚假承诺、低价恶性竞争，在履约阶段则通过偷工减料、以次充好而获取利润的，</w:t>
            </w:r>
            <w:r>
              <w:rPr>
                <w:rFonts w:hint="eastAsia" w:ascii="宋体" w:hAnsi="宋体" w:cs="宋体"/>
                <w:color w:val="000000"/>
                <w:sz w:val="20"/>
                <w:szCs w:val="20"/>
                <w:lang w:val="en-US" w:eastAsia="zh-CN"/>
              </w:rPr>
              <w:t>采购人</w:t>
            </w:r>
            <w:r>
              <w:rPr>
                <w:rFonts w:hint="eastAsia" w:ascii="宋体" w:hAnsi="宋体" w:cs="宋体"/>
                <w:color w:val="000000"/>
                <w:sz w:val="20"/>
                <w:szCs w:val="20"/>
              </w:rPr>
              <w:t>将根据标的的性质以及损失的大小，可以合理选择要求</w:t>
            </w:r>
            <w:r>
              <w:rPr>
                <w:rFonts w:hint="eastAsia" w:ascii="宋体" w:hAnsi="宋体" w:cs="宋体"/>
                <w:color w:val="000000"/>
                <w:sz w:val="20"/>
                <w:szCs w:val="20"/>
                <w:lang w:val="en-US" w:eastAsia="zh-CN"/>
              </w:rPr>
              <w:t>中标人</w:t>
            </w:r>
            <w:r>
              <w:rPr>
                <w:rFonts w:hint="eastAsia" w:ascii="宋体" w:hAnsi="宋体" w:cs="宋体"/>
                <w:color w:val="000000"/>
                <w:sz w:val="20"/>
                <w:szCs w:val="20"/>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bCs w:val="0"/>
                <w:sz w:val="20"/>
                <w:szCs w:val="20"/>
                <w:lang w:eastAsia="zh-CN"/>
              </w:rPr>
            </w:pPr>
            <w:r>
              <w:rPr>
                <w:rFonts w:hint="eastAsia" w:ascii="宋体" w:hAnsi="宋体"/>
                <w:b/>
                <w:bCs w:val="0"/>
                <w:sz w:val="20"/>
                <w:szCs w:val="20"/>
                <w:lang w:val="en-US" w:eastAsia="zh-CN"/>
              </w:rPr>
              <w:t>2</w:t>
            </w:r>
          </w:p>
        </w:tc>
        <w:tc>
          <w:tcPr>
            <w:tcW w:w="1457" w:type="dxa"/>
            <w:vMerge w:val="restart"/>
            <w:noWrap w:val="0"/>
            <w:vAlign w:val="center"/>
          </w:tcPr>
          <w:p>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rPr>
              <w:t>交货</w:t>
            </w:r>
            <w:r>
              <w:rPr>
                <w:rFonts w:hint="eastAsia" w:ascii="宋体" w:hAnsi="宋体"/>
                <w:b/>
                <w:bCs w:val="0"/>
                <w:sz w:val="20"/>
                <w:szCs w:val="20"/>
                <w:lang w:val="en-US" w:eastAsia="zh-CN"/>
              </w:rPr>
              <w:t>及付款要求</w:t>
            </w:r>
          </w:p>
        </w:tc>
        <w:tc>
          <w:tcPr>
            <w:tcW w:w="6523" w:type="dxa"/>
            <w:noWrap w:val="0"/>
            <w:vAlign w:val="center"/>
          </w:tcPr>
          <w:p>
            <w:pPr>
              <w:spacing w:line="360" w:lineRule="exact"/>
              <w:rPr>
                <w:rFonts w:hint="eastAsia"/>
              </w:rPr>
            </w:pPr>
            <w:r>
              <w:rPr>
                <w:rFonts w:hint="eastAsia"/>
                <w:lang w:val="en-US" w:eastAsia="zh-CN"/>
              </w:rPr>
              <w:t>2</w:t>
            </w:r>
            <w:r>
              <w:rPr>
                <w:rFonts w:hint="eastAsia"/>
              </w:rPr>
              <w:t>.1履约时间和地点：投标供应商在签订合同之日起</w:t>
            </w:r>
            <w:r>
              <w:rPr>
                <w:rFonts w:hint="eastAsia"/>
                <w:highlight w:val="yellow"/>
                <w:lang w:val="en-US" w:eastAsia="zh-CN"/>
              </w:rPr>
              <w:t>20</w:t>
            </w:r>
            <w:r>
              <w:rPr>
                <w:rFonts w:hint="eastAsia"/>
                <w:highlight w:val="yellow"/>
              </w:rPr>
              <w:t>天内交货</w:t>
            </w:r>
            <w:r>
              <w:rPr>
                <w:rFonts w:hint="eastAsia"/>
              </w:rPr>
              <w:t>，交货地点为</w:t>
            </w:r>
            <w:r>
              <w:rPr>
                <w:rFonts w:hint="eastAsia"/>
                <w:lang w:eastAsia="zh-CN"/>
              </w:rPr>
              <w:t>：</w:t>
            </w:r>
            <w:r>
              <w:rPr>
                <w:rFonts w:hint="eastAsia"/>
                <w:lang w:val="en-US" w:eastAsia="zh-CN"/>
              </w:rPr>
              <w:t>深圳市宝安中学（集团）初中部</w:t>
            </w:r>
            <w:r>
              <w:rPr>
                <w:rFonts w:hint="eastAsia"/>
              </w:rPr>
              <w:t>。</w:t>
            </w:r>
          </w:p>
          <w:p>
            <w:pPr>
              <w:pStyle w:val="7"/>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注：长期货物政府采购合同履行期限最长不得超过二十四个月，如甲方对履约情况不满意，甲方不再续约</w:t>
            </w:r>
            <w:r>
              <w:rPr>
                <w:rFonts w:hint="eastAsia" w:cs="Times New Roman"/>
                <w:b w:val="0"/>
                <w:bCs w:val="0"/>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b/>
                <w:bCs w:val="0"/>
                <w:sz w:val="20"/>
                <w:szCs w:val="20"/>
              </w:rPr>
            </w:pPr>
          </w:p>
        </w:tc>
        <w:tc>
          <w:tcPr>
            <w:tcW w:w="1457" w:type="dxa"/>
            <w:vMerge w:val="continue"/>
            <w:noWrap w:val="0"/>
            <w:vAlign w:val="center"/>
          </w:tcPr>
          <w:p>
            <w:pPr>
              <w:spacing w:line="360" w:lineRule="exact"/>
              <w:jc w:val="center"/>
              <w:rPr>
                <w:rFonts w:ascii="宋体" w:hAnsi="宋体"/>
                <w:b/>
                <w:bCs w:val="0"/>
                <w:sz w:val="20"/>
                <w:szCs w:val="20"/>
              </w:rPr>
            </w:pPr>
          </w:p>
        </w:tc>
        <w:tc>
          <w:tcPr>
            <w:tcW w:w="6523" w:type="dxa"/>
            <w:noWrap w:val="0"/>
            <w:vAlign w:val="center"/>
          </w:tcPr>
          <w:p>
            <w:pPr>
              <w:spacing w:line="360" w:lineRule="exact"/>
            </w:pPr>
            <w:r>
              <w:rPr>
                <w:rFonts w:hint="eastAsia"/>
                <w:lang w:val="en-US" w:eastAsia="zh-CN"/>
              </w:rPr>
              <w:t>2</w:t>
            </w:r>
            <w:r>
              <w:t>.2</w:t>
            </w:r>
            <w:r>
              <w:rPr>
                <w:rFonts w:hint="eastAsia"/>
              </w:rPr>
              <w:t>付款期限和方式：本项目完成并经验收合格后，对于满足合同约定支付条件的，采购人应当自收到发票后15日内将资金支付到合同约定的中标供应商账户。</w:t>
            </w:r>
          </w:p>
          <w:p>
            <w:pPr>
              <w:pStyle w:val="7"/>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注：根据《深圳市落实采购人主体责任实施办法》</w:t>
            </w:r>
            <w:r>
              <w:rPr>
                <w:rFonts w:hint="eastAsia" w:cs="Times New Roman"/>
                <w:b w:val="0"/>
                <w:bCs w:val="0"/>
                <w:kern w:val="2"/>
                <w:sz w:val="21"/>
                <w:szCs w:val="24"/>
                <w:lang w:val="en-US" w:eastAsia="zh-CN" w:bidi="ar-SA"/>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3</w:t>
            </w:r>
          </w:p>
        </w:tc>
        <w:tc>
          <w:tcPr>
            <w:tcW w:w="1457" w:type="dxa"/>
            <w:noWrap w:val="0"/>
            <w:vAlign w:val="center"/>
          </w:tcPr>
          <w:p>
            <w:pPr>
              <w:spacing w:line="360" w:lineRule="exact"/>
              <w:jc w:val="center"/>
              <w:rPr>
                <w:rStyle w:val="20"/>
                <w:rFonts w:hint="eastAsia" w:ascii="宋体" w:hAnsi="宋体" w:cs="宋体"/>
                <w:b/>
                <w:bCs w:val="0"/>
                <w:color w:val="000000"/>
                <w:sz w:val="20"/>
                <w:szCs w:val="20"/>
              </w:rPr>
            </w:pPr>
            <w:r>
              <w:rPr>
                <w:rFonts w:hint="eastAsia" w:ascii="宋体" w:hAnsi="宋体" w:cs="宋体"/>
                <w:b/>
                <w:bCs w:val="0"/>
                <w:color w:val="000000"/>
                <w:sz w:val="20"/>
                <w:szCs w:val="20"/>
              </w:rPr>
              <w:t>验收条件</w:t>
            </w:r>
          </w:p>
        </w:tc>
        <w:tc>
          <w:tcPr>
            <w:tcW w:w="6523" w:type="dxa"/>
            <w:noWrap w:val="0"/>
            <w:vAlign w:val="center"/>
          </w:tcPr>
          <w:p>
            <w:pPr>
              <w:spacing w:line="360" w:lineRule="exact"/>
              <w:rPr>
                <w:rFonts w:hint="eastAsia" w:ascii="宋体" w:hAnsi="宋体" w:cs="宋体"/>
                <w:color w:val="000000"/>
                <w:sz w:val="20"/>
                <w:szCs w:val="20"/>
                <w:lang w:val="en-US" w:eastAsia="zh-CN"/>
              </w:rPr>
            </w:pPr>
            <w:r>
              <w:rPr>
                <w:rFonts w:hint="eastAsia" w:ascii="宋体" w:hAnsi="宋体" w:cs="宋体"/>
                <w:color w:val="000000"/>
                <w:sz w:val="20"/>
                <w:szCs w:val="20"/>
                <w:lang w:bidi="ar"/>
              </w:rPr>
              <w:t>由采购单位验收小组进行验收。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default" w:ascii="宋体" w:hAnsi="宋体" w:eastAsia="宋体"/>
                <w:b/>
                <w:sz w:val="20"/>
                <w:szCs w:val="20"/>
                <w:lang w:val="en-US" w:eastAsia="zh-CN"/>
              </w:rPr>
            </w:pPr>
            <w:r>
              <w:rPr>
                <w:rFonts w:hint="eastAsia" w:ascii="宋体" w:hAnsi="宋体"/>
                <w:b/>
                <w:sz w:val="20"/>
                <w:szCs w:val="20"/>
                <w:lang w:val="en-US" w:eastAsia="zh-CN"/>
              </w:rPr>
              <w:t>4</w:t>
            </w:r>
          </w:p>
        </w:tc>
        <w:tc>
          <w:tcPr>
            <w:tcW w:w="1457" w:type="dxa"/>
            <w:vMerge w:val="restart"/>
            <w:noWrap w:val="0"/>
            <w:vAlign w:val="center"/>
          </w:tcPr>
          <w:p>
            <w:pPr>
              <w:spacing w:line="360" w:lineRule="exact"/>
              <w:jc w:val="center"/>
              <w:rPr>
                <w:rFonts w:ascii="宋体" w:hAnsi="宋体"/>
                <w:color w:val="000000"/>
                <w:sz w:val="20"/>
                <w:szCs w:val="20"/>
              </w:rPr>
            </w:pPr>
            <w:r>
              <w:rPr>
                <w:rStyle w:val="20"/>
                <w:rFonts w:hint="eastAsia" w:ascii="宋体" w:hAnsi="宋体" w:cs="宋体"/>
                <w:color w:val="000000"/>
                <w:sz w:val="20"/>
                <w:szCs w:val="20"/>
              </w:rPr>
              <w:t>运输、安装条件</w:t>
            </w:r>
          </w:p>
        </w:tc>
        <w:tc>
          <w:tcPr>
            <w:tcW w:w="6523" w:type="dxa"/>
            <w:noWrap w:val="0"/>
            <w:vAlign w:val="center"/>
          </w:tcPr>
          <w:p>
            <w:pPr>
              <w:spacing w:line="360" w:lineRule="exact"/>
              <w:rPr>
                <w:rFonts w:ascii="宋体" w:hAnsi="宋体"/>
                <w:bCs/>
                <w:color w:val="000000"/>
                <w:szCs w:val="21"/>
              </w:rPr>
            </w:pPr>
            <w:r>
              <w:rPr>
                <w:rFonts w:hint="eastAsia" w:ascii="宋体" w:hAnsi="宋体" w:cs="宋体"/>
                <w:color w:val="000000"/>
                <w:sz w:val="20"/>
                <w:szCs w:val="20"/>
                <w:lang w:val="en-US" w:eastAsia="zh-CN"/>
              </w:rPr>
              <w:t>4</w:t>
            </w:r>
            <w:r>
              <w:rPr>
                <w:rFonts w:hint="eastAsia" w:ascii="宋体" w:hAnsi="宋体" w:cs="宋体"/>
                <w:color w:val="000000"/>
                <w:sz w:val="20"/>
                <w:szCs w:val="20"/>
              </w:rPr>
              <w:t>.1 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5</w:t>
            </w:r>
          </w:p>
        </w:tc>
        <w:tc>
          <w:tcPr>
            <w:tcW w:w="1457" w:type="dxa"/>
            <w:vMerge w:val="restart"/>
            <w:noWrap w:val="0"/>
            <w:vAlign w:val="center"/>
          </w:tcPr>
          <w:p>
            <w:pPr>
              <w:spacing w:line="360" w:lineRule="exact"/>
              <w:jc w:val="center"/>
              <w:rPr>
                <w:rFonts w:ascii="宋体" w:hAnsi="宋体"/>
                <w:b/>
                <w:sz w:val="20"/>
                <w:szCs w:val="20"/>
              </w:rPr>
            </w:pPr>
            <w:r>
              <w:rPr>
                <w:rFonts w:ascii="宋体" w:hAnsi="宋体"/>
                <w:b/>
                <w:sz w:val="20"/>
                <w:szCs w:val="20"/>
              </w:rPr>
              <w:t>培训</w:t>
            </w: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5</w:t>
            </w:r>
            <w:r>
              <w:rPr>
                <w:rFonts w:hint="eastAsia" w:ascii="宋体" w:hAnsi="宋体" w:cs="宋体"/>
                <w:color w:val="000000"/>
                <w:sz w:val="20"/>
                <w:szCs w:val="20"/>
              </w:rPr>
              <w:t>.1投标供应商应派专业技术人员免费对采购单位指定人员进行定期培训及指导，直至其完全掌握设备的基本故障处理技术。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sz w:val="20"/>
                <w:szCs w:val="20"/>
              </w:rPr>
            </w:pPr>
          </w:p>
        </w:tc>
        <w:tc>
          <w:tcPr>
            <w:tcW w:w="1457" w:type="dxa"/>
            <w:vMerge w:val="continue"/>
            <w:noWrap w:val="0"/>
            <w:vAlign w:val="center"/>
          </w:tcPr>
          <w:p>
            <w:pPr>
              <w:spacing w:line="360" w:lineRule="exact"/>
              <w:rPr>
                <w:rFonts w:ascii="宋体" w:hAnsi="宋体"/>
                <w:b/>
                <w:sz w:val="20"/>
                <w:szCs w:val="20"/>
              </w:rPr>
            </w:pP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5</w:t>
            </w:r>
            <w:r>
              <w:rPr>
                <w:rFonts w:hint="eastAsia" w:ascii="宋体" w:hAnsi="宋体" w:cs="宋体"/>
                <w:color w:val="000000"/>
                <w:sz w:val="20"/>
                <w:szCs w:val="20"/>
              </w:rPr>
              <w:t>.2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vMerge w:val="restart"/>
            <w:noWrap w:val="0"/>
            <w:vAlign w:val="center"/>
          </w:tcPr>
          <w:p>
            <w:pPr>
              <w:spacing w:line="360" w:lineRule="exact"/>
              <w:jc w:val="center"/>
              <w:rPr>
                <w:rFonts w:ascii="宋体" w:hAnsi="宋体"/>
                <w:b/>
                <w:sz w:val="20"/>
                <w:szCs w:val="20"/>
              </w:rPr>
            </w:pPr>
            <w:r>
              <w:rPr>
                <w:rFonts w:ascii="宋体" w:hAnsi="宋体"/>
                <w:b/>
                <w:sz w:val="20"/>
                <w:szCs w:val="20"/>
              </w:rPr>
              <w:t>知识产权</w:t>
            </w:r>
          </w:p>
        </w:tc>
        <w:tc>
          <w:tcPr>
            <w:tcW w:w="6523" w:type="dxa"/>
            <w:noWrap w:val="0"/>
            <w:vAlign w:val="top"/>
          </w:tcPr>
          <w:p>
            <w:r>
              <w:rPr>
                <w:rFonts w:hint="eastAsia" w:ascii="宋体" w:hAnsi="宋体" w:cs="宋体"/>
                <w:color w:val="000000"/>
                <w:sz w:val="20"/>
                <w:szCs w:val="20"/>
                <w:lang w:val="en-US" w:eastAsia="zh-CN"/>
              </w:rPr>
              <w:t>6</w:t>
            </w:r>
            <w:r>
              <w:rPr>
                <w:rFonts w:hint="eastAsia" w:ascii="宋体" w:hAnsi="宋体" w:cs="宋体"/>
                <w:color w:val="000000"/>
                <w:sz w:val="20"/>
                <w:szCs w:val="20"/>
              </w:rPr>
              <w:t>.1涉及采购标的的知识产权归属、处理的，</w:t>
            </w:r>
            <w:r>
              <w:rPr>
                <w:rFonts w:hint="eastAsia" w:ascii="宋体" w:hAnsi="宋体" w:cs="宋体"/>
                <w:color w:val="000000"/>
                <w:sz w:val="20"/>
                <w:szCs w:val="20"/>
                <w:lang w:val="en-US" w:eastAsia="zh-CN"/>
              </w:rPr>
              <w:t>应</w:t>
            </w:r>
            <w:r>
              <w:rPr>
                <w:rFonts w:hint="eastAsia" w:ascii="宋体" w:hAnsi="宋体" w:cs="宋体"/>
                <w:color w:val="000000"/>
                <w:sz w:val="20"/>
                <w:szCs w:val="20"/>
              </w:rPr>
              <w:t>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rPr>
                <w:rFonts w:ascii="宋体" w:hAnsi="宋体"/>
                <w:b/>
              </w:rPr>
            </w:pP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40" w:type="dxa"/>
            <w:vMerge w:val="restart"/>
            <w:noWrap w:val="0"/>
            <w:vAlign w:val="center"/>
          </w:tcPr>
          <w:p>
            <w:pPr>
              <w:spacing w:line="360" w:lineRule="exact"/>
              <w:jc w:val="center"/>
              <w:rPr>
                <w:rFonts w:hint="eastAsia" w:ascii="宋体" w:hAnsi="宋体" w:eastAsia="宋体"/>
                <w:b/>
                <w:lang w:eastAsia="zh-CN"/>
              </w:rPr>
            </w:pPr>
            <w:r>
              <w:rPr>
                <w:rFonts w:hint="eastAsia"/>
                <w:b/>
                <w:lang w:val="en-US" w:eastAsia="zh-CN"/>
              </w:rPr>
              <w:t>7</w:t>
            </w:r>
          </w:p>
        </w:tc>
        <w:tc>
          <w:tcPr>
            <w:tcW w:w="1457" w:type="dxa"/>
            <w:vMerge w:val="restart"/>
            <w:noWrap w:val="0"/>
            <w:vAlign w:val="center"/>
          </w:tcPr>
          <w:p>
            <w:pPr>
              <w:spacing w:line="360" w:lineRule="exact"/>
              <w:jc w:val="center"/>
              <w:rPr>
                <w:rFonts w:ascii="宋体" w:hAnsi="宋体"/>
                <w:b/>
              </w:rPr>
            </w:pPr>
            <w:r>
              <w:rPr>
                <w:rFonts w:ascii="宋体" w:hAnsi="宋体"/>
                <w:b/>
                <w:color w:val="0000FF"/>
                <w:sz w:val="20"/>
                <w:szCs w:val="20"/>
              </w:rPr>
              <w:t>其他</w:t>
            </w:r>
          </w:p>
        </w:tc>
        <w:tc>
          <w:tcPr>
            <w:tcW w:w="6523"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lang w:val="en-US" w:eastAsia="zh-CN"/>
              </w:rPr>
              <w:t>7.1</w:t>
            </w:r>
            <w:r>
              <w:rPr>
                <w:rFonts w:hint="eastAsia" w:ascii="宋体" w:hAnsi="宋体" w:cs="宋体"/>
                <w:color w:val="000000"/>
                <w:sz w:val="20"/>
                <w:szCs w:val="20"/>
              </w:rPr>
              <w:t>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40" w:type="dxa"/>
            <w:vMerge w:val="continue"/>
            <w:noWrap w:val="0"/>
            <w:vAlign w:val="center"/>
          </w:tcPr>
          <w:p>
            <w:pPr>
              <w:widowControl/>
              <w:jc w:val="left"/>
            </w:pPr>
          </w:p>
        </w:tc>
        <w:tc>
          <w:tcPr>
            <w:tcW w:w="1457" w:type="dxa"/>
            <w:vMerge w:val="continue"/>
            <w:noWrap w:val="0"/>
            <w:vAlign w:val="center"/>
          </w:tcPr>
          <w:p>
            <w:pPr>
              <w:widowControl/>
              <w:jc w:val="left"/>
            </w:pPr>
          </w:p>
        </w:tc>
        <w:tc>
          <w:tcPr>
            <w:tcW w:w="6523" w:type="dxa"/>
            <w:noWrap w:val="0"/>
            <w:vAlign w:val="top"/>
          </w:tcPr>
          <w:p>
            <w:pPr>
              <w:widowControl/>
              <w:jc w:val="left"/>
              <w:rPr>
                <w:rFonts w:hint="eastAsia" w:ascii="宋体" w:hAnsi="宋体" w:cs="宋体"/>
                <w:color w:val="000000"/>
                <w:sz w:val="20"/>
                <w:szCs w:val="20"/>
                <w:lang w:val="en-US" w:eastAsia="zh-CN"/>
              </w:rPr>
            </w:pPr>
            <w:r>
              <w:rPr>
                <w:rFonts w:hint="eastAsia" w:ascii="宋体" w:hAnsi="宋体" w:cs="宋体"/>
                <w:color w:val="000000"/>
                <w:sz w:val="20"/>
                <w:szCs w:val="20"/>
                <w:lang w:val="en-US" w:eastAsia="zh-CN"/>
              </w:rPr>
              <w:t>7.2</w:t>
            </w:r>
            <w:r>
              <w:rPr>
                <w:rFonts w:hint="eastAsia" w:ascii="宋体" w:hAnsi="宋体" w:cs="宋体"/>
                <w:color w:val="000000"/>
                <w:sz w:val="20"/>
                <w:szCs w:val="20"/>
              </w:rPr>
              <w:t>中标供应商在签订合同时应提供投标文件打印稿贰份，并加盖公章（一份交给监理公司，一份交给学校），同时提供投标文件的OFFICE文档。</w:t>
            </w:r>
          </w:p>
        </w:tc>
      </w:tr>
    </w:tbl>
    <w:p>
      <w:pPr>
        <w:rPr>
          <w:b/>
        </w:rPr>
      </w:pPr>
    </w:p>
    <w:p>
      <w:pPr>
        <w:pStyle w:val="6"/>
        <w:spacing w:before="60" w:beforeLines="25" w:after="60" w:afterLines="25"/>
        <w:ind w:firstLine="0" w:firstLineChars="0"/>
        <w:rPr>
          <w:rFonts w:ascii="宋体" w:hAnsi="宋体"/>
          <w:szCs w:val="21"/>
        </w:rPr>
      </w:pPr>
    </w:p>
    <w:p>
      <w:pPr>
        <w:pStyle w:val="5"/>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7"/>
        <w:rPr>
          <w:rFonts w:ascii="宋体" w:hAnsi="宋体"/>
        </w:rPr>
      </w:pPr>
    </w:p>
    <w:p>
      <w:pPr>
        <w:pStyle w:val="14"/>
      </w:pPr>
    </w:p>
    <w:p>
      <w:pPr>
        <w:pStyle w:val="7"/>
        <w:rPr>
          <w:rFonts w:ascii="宋体" w:hAnsi="宋体"/>
        </w:rPr>
        <w:sectPr>
          <w:pgSz w:w="11907" w:h="16840"/>
          <w:pgMar w:top="1440" w:right="1797" w:bottom="1440" w:left="1797" w:header="851" w:footer="992" w:gutter="0"/>
          <w:cols w:space="425" w:num="1"/>
          <w:titlePg/>
          <w:docGrid w:linePitch="462" w:charSpace="0"/>
        </w:sectPr>
      </w:pPr>
    </w:p>
    <w:p>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1"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1"/>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2" w:name="_Hlk72257771"/>
      <w:bookmarkStart w:id="43" w:name="_Hlk72263559"/>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4" w:name="_Hlk72070784"/>
      <w:r>
        <w:rPr>
          <w:rFonts w:hint="eastAsia"/>
          <w:szCs w:val="21"/>
        </w:rPr>
        <w:t>投标函</w:t>
      </w:r>
      <w:bookmarkEnd w:id="44"/>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bookmarkStart w:id="45" w:name="_Hlk72257201"/>
      <w:r>
        <w:rPr>
          <w:rFonts w:hint="eastAsia"/>
          <w:szCs w:val="21"/>
        </w:rPr>
        <w:t>（</w:t>
      </w:r>
      <w:r>
        <w:rPr>
          <w:szCs w:val="21"/>
        </w:rPr>
        <w:t>4</w:t>
      </w:r>
      <w:r>
        <w:rPr>
          <w:rFonts w:hint="eastAsia"/>
          <w:szCs w:val="21"/>
        </w:rPr>
        <w:t>）</w:t>
      </w:r>
      <w:bookmarkEnd w:id="45"/>
      <w:r>
        <w:rPr>
          <w:rFonts w:hint="eastAsia"/>
          <w:szCs w:val="21"/>
        </w:rPr>
        <w:t>项目详细报价</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）经验评价</w:t>
      </w:r>
      <w:r>
        <w:rPr>
          <w:rFonts w:hint="eastAsia"/>
          <w:szCs w:val="21"/>
          <w:lang w:eastAsia="zh-CN"/>
        </w:rPr>
        <w:t>；</w:t>
      </w:r>
    </w:p>
    <w:p>
      <w:pPr>
        <w:ind w:firstLine="1200" w:firstLineChars="500"/>
        <w:outlineLvl w:val="9"/>
        <w:rPr>
          <w:rFonts w:hint="eastAsia" w:ascii="宋体" w:hAnsi="宋体"/>
          <w:sz w:val="24"/>
        </w:rPr>
      </w:pP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）政府采购节能环保产品情况</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）绿色采购情况；</w:t>
      </w:r>
    </w:p>
    <w:p>
      <w:pPr>
        <w:ind w:left="718" w:leftChars="342" w:firstLine="1417" w:firstLineChars="675"/>
        <w:rPr>
          <w:rFonts w:hint="eastAsia" w:ascii="宋体" w:hAnsi="宋体"/>
          <w:szCs w:val="21"/>
          <w:lang w:eastAsia="zh-CN"/>
        </w:rPr>
      </w:pPr>
      <w:r>
        <w:rPr>
          <w:rFonts w:hint="eastAsia" w:ascii="宋体" w:hAnsi="宋体"/>
          <w:szCs w:val="21"/>
          <w:lang w:eastAsia="zh-CN"/>
        </w:rPr>
        <w:t>（</w:t>
      </w:r>
      <w:r>
        <w:rPr>
          <w:rFonts w:hint="eastAsia" w:ascii="宋体" w:hAnsi="宋体"/>
          <w:szCs w:val="21"/>
          <w:lang w:val="en-US" w:eastAsia="zh-CN"/>
        </w:rPr>
        <w:t>8</w:t>
      </w:r>
      <w:r>
        <w:rPr>
          <w:rFonts w:hint="eastAsia" w:ascii="宋体" w:hAnsi="宋体"/>
          <w:szCs w:val="21"/>
          <w:lang w:eastAsia="zh-CN"/>
        </w:rPr>
        <w:t>）项目组织实施方案的评价；</w:t>
      </w:r>
    </w:p>
    <w:p>
      <w:pPr>
        <w:ind w:left="718" w:leftChars="342" w:firstLine="1417" w:firstLineChars="675"/>
        <w:rPr>
          <w:rFonts w:hint="eastAsia" w:ascii="宋体" w:hAnsi="宋体"/>
          <w:szCs w:val="21"/>
          <w:lang w:eastAsia="zh-CN"/>
        </w:rPr>
      </w:pPr>
      <w:r>
        <w:rPr>
          <w:rFonts w:hint="eastAsia" w:ascii="宋体" w:hAnsi="宋体"/>
          <w:szCs w:val="21"/>
          <w:lang w:eastAsia="zh-CN"/>
        </w:rPr>
        <w:t>（</w:t>
      </w:r>
      <w:r>
        <w:rPr>
          <w:rFonts w:hint="eastAsia" w:ascii="宋体" w:hAnsi="宋体"/>
          <w:szCs w:val="21"/>
          <w:lang w:val="en-US" w:eastAsia="zh-CN"/>
        </w:rPr>
        <w:t>9</w:t>
      </w:r>
      <w:r>
        <w:rPr>
          <w:rFonts w:hint="eastAsia" w:ascii="宋体" w:hAnsi="宋体"/>
          <w:szCs w:val="21"/>
          <w:lang w:eastAsia="zh-CN"/>
        </w:rPr>
        <w:t>）</w:t>
      </w:r>
      <w:r>
        <w:rPr>
          <w:rFonts w:hint="eastAsia" w:ascii="宋体" w:hAnsi="宋体" w:eastAsia="宋体" w:cs="宋体"/>
          <w:kern w:val="0"/>
          <w:sz w:val="21"/>
          <w:szCs w:val="21"/>
          <w:highlight w:val="none"/>
          <w:lang w:val="en-US" w:eastAsia="zh-CN" w:bidi="ar"/>
        </w:rPr>
        <w:t>售后服务评价</w:t>
      </w:r>
      <w:r>
        <w:rPr>
          <w:rFonts w:hint="eastAsia" w:ascii="宋体" w:hAnsi="宋体" w:cs="宋体"/>
          <w:kern w:val="0"/>
          <w:sz w:val="21"/>
          <w:szCs w:val="21"/>
          <w:highlight w:val="none"/>
          <w:lang w:val="en-US" w:eastAsia="zh-CN" w:bidi="ar"/>
        </w:rPr>
        <w:t>；</w:t>
      </w:r>
    </w:p>
    <w:p>
      <w:pPr>
        <w:ind w:left="718" w:leftChars="342" w:firstLine="1417" w:firstLineChars="675"/>
        <w:rPr>
          <w:rFonts w:hint="eastAsia" w:eastAsia="宋体"/>
          <w:szCs w:val="21"/>
          <w:lang w:eastAsia="zh-CN"/>
        </w:rPr>
      </w:pPr>
      <w:r>
        <w:rPr>
          <w:rFonts w:hint="eastAsia" w:ascii="宋体" w:hAnsi="宋体"/>
          <w:szCs w:val="21"/>
          <w:lang w:eastAsia="zh-CN"/>
        </w:rPr>
        <w:t>（</w:t>
      </w:r>
      <w:r>
        <w:rPr>
          <w:rFonts w:hint="eastAsia" w:ascii="宋体" w:hAnsi="宋体"/>
          <w:szCs w:val="21"/>
          <w:lang w:val="en-US" w:eastAsia="zh-CN"/>
        </w:rPr>
        <w:t>10</w:t>
      </w:r>
      <w:r>
        <w:rPr>
          <w:rFonts w:hint="eastAsia" w:ascii="宋体" w:hAnsi="宋体"/>
          <w:szCs w:val="21"/>
          <w:lang w:eastAsia="zh-CN"/>
        </w:rPr>
        <w:t>）</w:t>
      </w:r>
      <w:bookmarkStart w:id="138" w:name="_GoBack"/>
      <w:r>
        <w:rPr>
          <w:rFonts w:hint="eastAsia"/>
          <w:szCs w:val="21"/>
        </w:rPr>
        <w:t>投标人认为需要加以说明的其他内容</w:t>
      </w:r>
      <w:bookmarkEnd w:id="138"/>
      <w:r>
        <w:rPr>
          <w:rFonts w:hint="eastAsia"/>
          <w:szCs w:val="21"/>
          <w:lang w:eastAsia="zh-CN"/>
        </w:rPr>
        <w:t>；</w:t>
      </w:r>
    </w:p>
    <w:p>
      <w:pPr>
        <w:ind w:left="718" w:leftChars="342" w:firstLine="1417" w:firstLineChars="675"/>
        <w:rPr>
          <w:rFonts w:hint="eastAsia" w:eastAsia="宋体"/>
          <w:szCs w:val="21"/>
          <w:lang w:eastAsia="zh-CN"/>
        </w:rPr>
      </w:pPr>
    </w:p>
    <w:p>
      <w:pPr>
        <w:pStyle w:val="7"/>
      </w:pPr>
    </w:p>
    <w:p>
      <w:pPr>
        <w:pStyle w:val="6"/>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2"/>
      <w:bookmarkEnd w:id="43"/>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3"/>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6"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7"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8" w:name="_Hlk72263588"/>
      <w:r>
        <w:rPr>
          <w:rFonts w:hint="eastAsia"/>
          <w:szCs w:val="21"/>
        </w:rPr>
        <w:t>愿意按照招标文件要求承包上述项目并修补其任何缺陷。</w:t>
      </w:r>
      <w:bookmarkEnd w:id="48"/>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49" w:name="_Hlk73819847"/>
      <w:r>
        <w:rPr>
          <w:rFonts w:hint="eastAsia" w:ascii="宋体" w:hAnsi="宋体"/>
          <w:szCs w:val="21"/>
        </w:rPr>
        <w:t>投标价格见</w:t>
      </w:r>
      <w:r>
        <w:rPr>
          <w:rFonts w:hint="eastAsia"/>
          <w:szCs w:val="21"/>
        </w:rPr>
        <w:t>投标书编制软件中《开标一览表》中填写的投标总价。</w:t>
      </w:r>
      <w:bookmarkEnd w:id="49"/>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7"/>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6"/>
    <w:p>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50"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1" w:name="_Hlk72587269"/>
      <w:bookmarkStart w:id="52"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1"/>
      <w:r>
        <w:rPr>
          <w:rFonts w:hint="eastAsia" w:ascii="宋体" w:hAnsi="宋体"/>
          <w:szCs w:val="21"/>
        </w:rPr>
        <w:t>。</w:t>
      </w:r>
    </w:p>
    <w:bookmarkEnd w:id="52"/>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0"/>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3"/>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3"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4" w:name="_Hlk72257908"/>
      <w:r>
        <w:rPr>
          <w:rFonts w:hint="eastAsia" w:ascii="黑体" w:hAnsi="宋体" w:eastAsia="黑体"/>
          <w:bCs/>
          <w:kern w:val="0"/>
          <w:sz w:val="24"/>
          <w:szCs w:val="32"/>
        </w:rPr>
        <w:t>（二）中小企业声明函、残疾人福利性单位声明函及监狱企业声明函</w:t>
      </w:r>
    </w:p>
    <w:bookmarkEnd w:id="53"/>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2"/>
        </w:numPr>
        <w:jc w:val="center"/>
        <w:outlineLvl w:val="9"/>
        <w:rPr>
          <w:b/>
          <w:sz w:val="24"/>
        </w:rPr>
      </w:pPr>
      <w:r>
        <w:rPr>
          <w:b/>
          <w:sz w:val="24"/>
        </w:rPr>
        <w:t>中小企业声明函（货物）</w:t>
      </w:r>
    </w:p>
    <w:p>
      <w:pPr>
        <w:pStyle w:val="7"/>
        <w:widowControl w:val="0"/>
        <w:numPr>
          <w:ilvl w:val="0"/>
          <w:numId w:val="0"/>
        </w:numPr>
        <w:spacing w:line="360" w:lineRule="auto"/>
        <w:jc w:val="both"/>
      </w:pP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5"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5"/>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6" w:name="_Hlk73562331"/>
      <w:bookmarkStart w:id="57"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6"/>
    </w:p>
    <w:bookmarkEnd w:id="57"/>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4"/>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pStyle w:val="3"/>
        <w:jc w:val="center"/>
        <w:rPr>
          <w:rFonts w:ascii="黑体" w:eastAsia="黑体"/>
          <w:b w:val="0"/>
          <w:sz w:val="24"/>
          <w:szCs w:val="24"/>
        </w:rPr>
      </w:pPr>
      <w:bookmarkStart w:id="58"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85"/>
        <w:gridCol w:w="1147"/>
        <w:gridCol w:w="703"/>
        <w:gridCol w:w="703"/>
        <w:gridCol w:w="612"/>
        <w:gridCol w:w="726"/>
        <w:gridCol w:w="462"/>
        <w:gridCol w:w="427"/>
        <w:gridCol w:w="571"/>
        <w:gridCol w:w="56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148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JYCG-DECL-2025-29578</w:t>
            </w:r>
          </w:p>
        </w:tc>
        <w:tc>
          <w:tcPr>
            <w:tcW w:w="1147" w:type="dxa"/>
            <w:vAlign w:val="center"/>
          </w:tcPr>
          <w:p>
            <w:pPr>
              <w:jc w:val="both"/>
              <w:rPr>
                <w:rFonts w:ascii="Times New Roman" w:hAnsi="Times New Roman" w:eastAsia="宋体" w:cs="Times New Roman"/>
                <w:bCs/>
                <w:szCs w:val="21"/>
              </w:rPr>
            </w:pPr>
            <w:r>
              <w:rPr>
                <w:rFonts w:hint="eastAsia" w:ascii="宋体" w:hAnsi="宋体" w:eastAsia="宋体" w:cs="宋体"/>
                <w:i w:val="0"/>
                <w:iCs w:val="0"/>
                <w:color w:val="000000"/>
                <w:sz w:val="21"/>
                <w:szCs w:val="21"/>
                <w:u w:val="none"/>
              </w:rPr>
              <w:t>交互智能平板</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hint="eastAsia" w:ascii="Times New Roman" w:hAnsi="Times New Roman" w:eastAsia="宋体" w:cs="Times New Roman"/>
                <w:bCs/>
                <w:kern w:val="2"/>
                <w:sz w:val="21"/>
                <w:szCs w:val="21"/>
                <w:lang w:val="en-US" w:eastAsia="zh-CN" w:bidi="ar-SA"/>
              </w:rPr>
            </w:pPr>
            <w:r>
              <w:rPr>
                <w:rFonts w:hint="eastAsia" w:ascii="宋体" w:hAnsi="宋体" w:eastAsia="宋体" w:cs="宋体"/>
                <w:i w:val="0"/>
                <w:iCs w:val="0"/>
                <w:color w:val="000000"/>
                <w:sz w:val="21"/>
                <w:szCs w:val="21"/>
                <w:u w:val="none"/>
                <w:lang w:val="en-US" w:eastAsia="zh-CN"/>
              </w:rPr>
              <w:t>16</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kern w:val="2"/>
                <w:sz w:val="21"/>
                <w:szCs w:val="21"/>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415000.00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2"/>
            <w:vAlign w:val="center"/>
          </w:tcPr>
          <w:p>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9"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9"/>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0" w:name="_Hlk72073235"/>
      <w:r>
        <w:rPr>
          <w:rFonts w:hint="eastAsia"/>
          <w:b/>
          <w:sz w:val="24"/>
        </w:rPr>
        <w:t>投标人认为需要涉及的其他内容报价清单</w:t>
      </w:r>
      <w:bookmarkEnd w:id="60"/>
    </w:p>
    <w:p>
      <w:pPr>
        <w:rPr>
          <w:b/>
          <w:bCs/>
        </w:rPr>
      </w:pPr>
    </w:p>
    <w:p>
      <w:pPr>
        <w:pStyle w:val="3"/>
        <w:jc w:val="center"/>
        <w:rPr>
          <w:rFonts w:hint="eastAsia" w:ascii="黑体" w:eastAsia="黑体"/>
          <w:b w:val="0"/>
          <w:sz w:val="24"/>
        </w:rPr>
      </w:pPr>
      <w:r>
        <w:rPr>
          <w:rFonts w:hint="eastAsia" w:ascii="黑体" w:eastAsia="黑体"/>
          <w:b w:val="0"/>
          <w:sz w:val="24"/>
          <w:lang w:val="en-US" w:eastAsia="zh-CN"/>
        </w:rPr>
        <w:t>五、</w:t>
      </w:r>
      <w:r>
        <w:rPr>
          <w:rFonts w:hint="eastAsia" w:ascii="黑体" w:eastAsia="黑体"/>
          <w:b w:val="0"/>
          <w:sz w:val="24"/>
        </w:rPr>
        <w:t>经验评价</w:t>
      </w:r>
    </w:p>
    <w:p>
      <w:r>
        <w:rPr>
          <w:rFonts w:hint="eastAsia"/>
          <w:b w:val="0"/>
          <w:bCs w:val="0"/>
        </w:rPr>
        <w:t>（特别提示：投标人须按本招标文件评标信息中这一评审因素要求，提供证明资料）</w:t>
      </w:r>
    </w:p>
    <w:p>
      <w:r>
        <w:rPr>
          <w:rFonts w:hint="eastAsia"/>
        </w:rPr>
        <w:t xml:space="preserve"> </w:t>
      </w:r>
    </w:p>
    <w:p/>
    <w:p>
      <w:pPr>
        <w:ind w:firstLine="723" w:firstLineChars="300"/>
        <w:rPr>
          <w:b/>
          <w:color w:val="FF0000"/>
          <w:sz w:val="24"/>
        </w:rPr>
      </w:pPr>
      <w:r>
        <w:rPr>
          <w:rFonts w:hint="eastAsia"/>
          <w:b/>
          <w:color w:val="FF0000"/>
          <w:sz w:val="24"/>
        </w:rPr>
        <w:t>（信息公开部分的内容到此为止！以下为信息不公开部分。）</w:t>
      </w:r>
    </w:p>
    <w:bookmarkEnd w:id="58"/>
    <w:p>
      <w:r>
        <w:br w:type="page"/>
      </w:r>
    </w:p>
    <w:p>
      <w:pPr>
        <w:outlineLvl w:val="1"/>
        <w:rPr>
          <w:rFonts w:ascii="宋体" w:hAnsi="宋体"/>
          <w:b/>
          <w:color w:val="FF0000"/>
          <w:sz w:val="28"/>
          <w:szCs w:val="28"/>
        </w:rPr>
      </w:pPr>
      <w:bookmarkStart w:id="61" w:name="_Hlk72260530"/>
      <w:r>
        <w:rPr>
          <w:rFonts w:hint="eastAsia" w:ascii="宋体" w:hAnsi="宋体"/>
          <w:b/>
          <w:color w:val="FF0000"/>
          <w:sz w:val="28"/>
          <w:szCs w:val="28"/>
        </w:rPr>
        <w:t>投标文件附件（信息不公开部分）</w:t>
      </w:r>
    </w:p>
    <w:p>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3"/>
        <w:spacing w:before="120" w:after="120"/>
        <w:jc w:val="center"/>
        <w:rPr>
          <w:rFonts w:ascii="黑体" w:eastAsia="黑体"/>
          <w:b w:val="0"/>
          <w:sz w:val="24"/>
        </w:rPr>
      </w:pPr>
      <w:r>
        <w:rPr>
          <w:rFonts w:hint="eastAsia" w:ascii="黑体" w:eastAsia="黑体"/>
          <w:b w:val="0"/>
          <w:sz w:val="24"/>
        </w:rPr>
        <w:t>二、</w:t>
      </w:r>
      <w:bookmarkStart w:id="62" w:name="_Hlk72092499"/>
      <w:r>
        <w:rPr>
          <w:rFonts w:hint="eastAsia" w:ascii="黑体" w:eastAsia="黑体"/>
          <w:b w:val="0"/>
          <w:sz w:val="24"/>
        </w:rPr>
        <w:t>法定代表人（负责人）证明书</w:t>
      </w:r>
      <w:bookmarkEnd w:id="62"/>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3"/>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3"/>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3"/>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7"/>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7"/>
              <w:jc w:val="center"/>
              <w:rPr>
                <w:rFonts w:hint="eastAsia"/>
                <w:lang w:val="en-US" w:eastAsia="zh-CN"/>
              </w:rPr>
            </w:pPr>
          </w:p>
          <w:p>
            <w:pPr>
              <w:pStyle w:val="14"/>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61"/>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7"/>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7"/>
              <w:jc w:val="center"/>
              <w:rPr>
                <w:rFonts w:hint="eastAsia"/>
                <w:lang w:val="en-US" w:eastAsia="zh-CN"/>
              </w:rPr>
            </w:pPr>
          </w:p>
          <w:p>
            <w:pPr>
              <w:pStyle w:val="14"/>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8"/>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3"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9675" w:type="dxa"/>
        <w:tblInd w:w="-5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948"/>
        <w:gridCol w:w="5599"/>
        <w:gridCol w:w="991"/>
        <w:gridCol w:w="752"/>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3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948"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货物名称</w:t>
            </w:r>
          </w:p>
        </w:tc>
        <w:tc>
          <w:tcPr>
            <w:tcW w:w="559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招标</w:t>
            </w:r>
            <w:r>
              <w:rPr>
                <w:color w:val="000000" w:themeColor="text1"/>
                <w:szCs w:val="21"/>
                <w14:textFill>
                  <w14:solidFill>
                    <w14:schemeClr w14:val="tx1"/>
                  </w14:solidFill>
                </w14:textFill>
              </w:rPr>
              <w:t>技术要求</w:t>
            </w:r>
          </w:p>
        </w:tc>
        <w:tc>
          <w:tcPr>
            <w:tcW w:w="991" w:type="dxa"/>
            <w:vAlign w:val="center"/>
          </w:tcPr>
          <w:p>
            <w:pPr>
              <w:jc w:val="center"/>
              <w:rPr>
                <w:rFonts w:hint="eastAsia"/>
                <w:color w:val="000000" w:themeColor="text1"/>
                <w:szCs w:val="21"/>
                <w14:textFill>
                  <w14:solidFill>
                    <w14:schemeClr w14:val="tx1"/>
                  </w14:solidFill>
                </w14:textFill>
              </w:rPr>
            </w:pPr>
            <w:r>
              <w:rPr>
                <w:rFonts w:hint="eastAsia"/>
                <w:sz w:val="24"/>
              </w:rPr>
              <w:t>投标技术响应</w:t>
            </w:r>
          </w:p>
        </w:tc>
        <w:tc>
          <w:tcPr>
            <w:tcW w:w="752" w:type="dxa"/>
            <w:vAlign w:val="center"/>
          </w:tcPr>
          <w:p>
            <w:pPr>
              <w:jc w:val="center"/>
              <w:rPr>
                <w:rFonts w:hint="eastAsia"/>
                <w:color w:val="000000" w:themeColor="text1"/>
                <w:szCs w:val="21"/>
                <w14:textFill>
                  <w14:solidFill>
                    <w14:schemeClr w14:val="tx1"/>
                  </w14:solidFill>
                </w14:textFill>
              </w:rPr>
            </w:pPr>
            <w:r>
              <w:rPr>
                <w:rFonts w:hint="eastAsia"/>
                <w:sz w:val="24"/>
              </w:rPr>
              <w:t>偏离情况</w:t>
            </w:r>
          </w:p>
        </w:tc>
        <w:tc>
          <w:tcPr>
            <w:tcW w:w="855" w:type="dxa"/>
            <w:vAlign w:val="center"/>
          </w:tcPr>
          <w:p>
            <w:pPr>
              <w:jc w:val="center"/>
              <w:rPr>
                <w:rFonts w:hint="eastAsia"/>
                <w:color w:val="000000" w:themeColor="text1"/>
                <w:szCs w:val="21"/>
                <w14:textFill>
                  <w14:solidFill>
                    <w14:schemeClr w14:val="tx1"/>
                  </w14:solidFill>
                </w14:textFill>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948"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交互智能平板</w:t>
            </w:r>
          </w:p>
        </w:tc>
        <w:tc>
          <w:tcPr>
            <w:tcW w:w="5599" w:type="dxa"/>
            <w:vAlign w:val="top"/>
          </w:tcPr>
          <w:p>
            <w:pPr>
              <w:keepNext w:val="0"/>
              <w:keepLines w:val="0"/>
              <w:widowControl/>
              <w:suppressLineNumbers w:val="0"/>
              <w:jc w:val="left"/>
              <w:textAlignment w:val="top"/>
              <w:rPr>
                <w:color w:val="000000" w:themeColor="text1"/>
                <w:szCs w:val="21"/>
                <w14:textFill>
                  <w14:solidFill>
                    <w14:schemeClr w14:val="tx1"/>
                  </w14:solidFill>
                </w14:textFill>
              </w:rPr>
            </w:pPr>
            <w:r>
              <w:rPr>
                <w:rStyle w:val="39"/>
                <w:lang w:val="en-US" w:eastAsia="zh-CN" w:bidi="ar"/>
              </w:rPr>
              <w:t>一、整体设计：</w:t>
            </w:r>
          </w:p>
        </w:tc>
        <w:tc>
          <w:tcPr>
            <w:tcW w:w="991" w:type="dxa"/>
            <w:vAlign w:val="top"/>
          </w:tcPr>
          <w:p>
            <w:pPr>
              <w:keepNext w:val="0"/>
              <w:keepLines w:val="0"/>
              <w:widowControl/>
              <w:suppressLineNumbers w:val="0"/>
              <w:jc w:val="left"/>
              <w:textAlignment w:val="top"/>
              <w:rPr>
                <w:rStyle w:val="39"/>
                <w:lang w:val="en-US" w:eastAsia="zh-CN" w:bidi="ar"/>
              </w:rPr>
            </w:pPr>
          </w:p>
        </w:tc>
        <w:tc>
          <w:tcPr>
            <w:tcW w:w="752" w:type="dxa"/>
            <w:vAlign w:val="top"/>
          </w:tcPr>
          <w:p>
            <w:pPr>
              <w:keepNext w:val="0"/>
              <w:keepLines w:val="0"/>
              <w:widowControl/>
              <w:suppressLineNumbers w:val="0"/>
              <w:jc w:val="left"/>
              <w:textAlignment w:val="top"/>
              <w:rPr>
                <w:rStyle w:val="39"/>
                <w:lang w:val="en-US" w:eastAsia="zh-CN" w:bidi="ar"/>
              </w:rPr>
            </w:pPr>
          </w:p>
        </w:tc>
        <w:tc>
          <w:tcPr>
            <w:tcW w:w="855" w:type="dxa"/>
            <w:vAlign w:val="top"/>
          </w:tcPr>
          <w:p>
            <w:pPr>
              <w:keepNext w:val="0"/>
              <w:keepLines w:val="0"/>
              <w:widowControl/>
              <w:suppressLineNumbers w:val="0"/>
              <w:jc w:val="left"/>
              <w:textAlignment w:val="top"/>
              <w:rPr>
                <w:rStyle w:val="39"/>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Style w:val="38"/>
                <w:lang w:val="en-US" w:eastAsia="zh-CN" w:bidi="ar"/>
              </w:rPr>
            </w:pPr>
            <w:r>
              <w:rPr>
                <w:rStyle w:val="38"/>
                <w:lang w:val="en-US" w:eastAsia="zh-CN" w:bidi="ar"/>
              </w:rPr>
              <w:t>1.整机采用一体设计，外部无任何可见内部功能模块连接线。整机采用全金属外壳设计，边角采用弧形设计，表面无尖锐边缘或凸起。</w:t>
            </w:r>
          </w:p>
        </w:tc>
        <w:tc>
          <w:tcPr>
            <w:tcW w:w="991" w:type="dxa"/>
            <w:vAlign w:val="top"/>
          </w:tcPr>
          <w:p>
            <w:pPr>
              <w:keepNext w:val="0"/>
              <w:keepLines w:val="0"/>
              <w:widowControl/>
              <w:suppressLineNumbers w:val="0"/>
              <w:jc w:val="left"/>
              <w:textAlignment w:val="top"/>
              <w:rPr>
                <w:rStyle w:val="38"/>
                <w:lang w:val="en-US" w:eastAsia="zh-CN" w:bidi="ar"/>
              </w:rPr>
            </w:pPr>
          </w:p>
        </w:tc>
        <w:tc>
          <w:tcPr>
            <w:tcW w:w="752" w:type="dxa"/>
            <w:vAlign w:val="top"/>
          </w:tcPr>
          <w:p>
            <w:pPr>
              <w:keepNext w:val="0"/>
              <w:keepLines w:val="0"/>
              <w:widowControl/>
              <w:suppressLineNumbers w:val="0"/>
              <w:jc w:val="left"/>
              <w:textAlignment w:val="top"/>
              <w:rPr>
                <w:rStyle w:val="38"/>
                <w:lang w:val="en-US" w:eastAsia="zh-CN" w:bidi="ar"/>
              </w:rPr>
            </w:pPr>
          </w:p>
        </w:tc>
        <w:tc>
          <w:tcPr>
            <w:tcW w:w="855" w:type="dxa"/>
            <w:vAlign w:val="top"/>
          </w:tcPr>
          <w:p>
            <w:pPr>
              <w:keepNext w:val="0"/>
              <w:keepLines w:val="0"/>
              <w:widowControl/>
              <w:suppressLineNumbers w:val="0"/>
              <w:jc w:val="left"/>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color w:val="000000" w:themeColor="text1"/>
                <w:szCs w:val="21"/>
                <w14:textFill>
                  <w14:solidFill>
                    <w14:schemeClr w14:val="tx1"/>
                  </w14:solidFill>
                </w14:textFill>
              </w:rPr>
            </w:pPr>
            <w:r>
              <w:rPr>
                <w:rStyle w:val="38"/>
                <w:lang w:val="en-US" w:eastAsia="zh-CN" w:bidi="ar"/>
              </w:rPr>
              <w:t>2. 整机屏幕采用86英寸液晶显示器。采用超高清LED液晶显示屏，显示比例16:9，分辨率3840×2160。</w:t>
            </w:r>
          </w:p>
        </w:tc>
        <w:tc>
          <w:tcPr>
            <w:tcW w:w="991" w:type="dxa"/>
            <w:vAlign w:val="top"/>
          </w:tcPr>
          <w:p>
            <w:pPr>
              <w:keepNext w:val="0"/>
              <w:keepLines w:val="0"/>
              <w:widowControl/>
              <w:suppressLineNumbers w:val="0"/>
              <w:jc w:val="left"/>
              <w:textAlignment w:val="top"/>
              <w:rPr>
                <w:rStyle w:val="38"/>
                <w:lang w:val="en-US" w:eastAsia="zh-CN" w:bidi="ar"/>
              </w:rPr>
            </w:pPr>
          </w:p>
        </w:tc>
        <w:tc>
          <w:tcPr>
            <w:tcW w:w="752" w:type="dxa"/>
            <w:vAlign w:val="top"/>
          </w:tcPr>
          <w:p>
            <w:pPr>
              <w:keepNext w:val="0"/>
              <w:keepLines w:val="0"/>
              <w:widowControl/>
              <w:suppressLineNumbers w:val="0"/>
              <w:jc w:val="left"/>
              <w:textAlignment w:val="top"/>
              <w:rPr>
                <w:rStyle w:val="38"/>
                <w:lang w:val="en-US" w:eastAsia="zh-CN" w:bidi="ar"/>
              </w:rPr>
            </w:pPr>
          </w:p>
        </w:tc>
        <w:tc>
          <w:tcPr>
            <w:tcW w:w="855" w:type="dxa"/>
            <w:vAlign w:val="top"/>
          </w:tcPr>
          <w:p>
            <w:pPr>
              <w:keepNext w:val="0"/>
              <w:keepLines w:val="0"/>
              <w:widowControl/>
              <w:suppressLineNumbers w:val="0"/>
              <w:jc w:val="left"/>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3. 整机屏幕边缘采用金属圆角包边防护，整机背板采用金属材质，有效屏蔽内部电路器件辐射；防潮耐盐雾蚀锈，适应多种教学环境。</w:t>
            </w:r>
          </w:p>
        </w:tc>
        <w:tc>
          <w:tcPr>
            <w:tcW w:w="991" w:type="dxa"/>
            <w:vAlign w:val="top"/>
          </w:tcPr>
          <w:p>
            <w:pPr>
              <w:keepNext w:val="0"/>
              <w:keepLines w:val="0"/>
              <w:widowControl/>
              <w:suppressLineNumbers w:val="0"/>
              <w:jc w:val="left"/>
              <w:textAlignment w:val="top"/>
              <w:rPr>
                <w:rStyle w:val="38"/>
                <w:lang w:val="en-US" w:eastAsia="zh-CN" w:bidi="ar"/>
              </w:rPr>
            </w:pPr>
          </w:p>
        </w:tc>
        <w:tc>
          <w:tcPr>
            <w:tcW w:w="752" w:type="dxa"/>
            <w:vAlign w:val="top"/>
          </w:tcPr>
          <w:p>
            <w:pPr>
              <w:keepNext w:val="0"/>
              <w:keepLines w:val="0"/>
              <w:widowControl/>
              <w:suppressLineNumbers w:val="0"/>
              <w:jc w:val="left"/>
              <w:textAlignment w:val="top"/>
              <w:rPr>
                <w:rStyle w:val="38"/>
                <w:lang w:val="en-US" w:eastAsia="zh-CN" w:bidi="ar"/>
              </w:rPr>
            </w:pPr>
          </w:p>
        </w:tc>
        <w:tc>
          <w:tcPr>
            <w:tcW w:w="855" w:type="dxa"/>
            <w:vAlign w:val="top"/>
          </w:tcPr>
          <w:p>
            <w:pPr>
              <w:keepNext w:val="0"/>
              <w:keepLines w:val="0"/>
              <w:widowControl/>
              <w:suppressLineNumbers w:val="0"/>
              <w:jc w:val="left"/>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Fonts w:hint="eastAsia" w:ascii="宋体" w:hAnsi="宋体" w:eastAsia="宋体" w:cs="宋体"/>
                <w:i w:val="0"/>
                <w:iCs w:val="0"/>
                <w:color w:val="000000"/>
                <w:kern w:val="0"/>
                <w:sz w:val="21"/>
                <w:szCs w:val="21"/>
                <w:u w:val="none"/>
                <w:lang w:val="en-US" w:eastAsia="zh-CN" w:bidi="ar"/>
              </w:rPr>
              <w:t>4. 采用红外触控技术，支持Windows系统中进行40点或以上触控，支持在Android系统中进行40点或以上触控。</w:t>
            </w:r>
          </w:p>
        </w:tc>
        <w:tc>
          <w:tcPr>
            <w:tcW w:w="991" w:type="dxa"/>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752" w:type="dxa"/>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55" w:type="dxa"/>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5. 整机触控书写功能集成预测算法，在书写速度≥50cm/s，支持笔迹距离笔的距离小于20mm。</w:t>
            </w:r>
          </w:p>
        </w:tc>
        <w:tc>
          <w:tcPr>
            <w:tcW w:w="991" w:type="dxa"/>
            <w:vAlign w:val="top"/>
          </w:tcPr>
          <w:p>
            <w:pPr>
              <w:keepNext w:val="0"/>
              <w:keepLines w:val="0"/>
              <w:widowControl/>
              <w:suppressLineNumbers w:val="0"/>
              <w:jc w:val="left"/>
              <w:textAlignment w:val="top"/>
              <w:rPr>
                <w:rStyle w:val="38"/>
                <w:lang w:val="en-US" w:eastAsia="zh-CN" w:bidi="ar"/>
              </w:rPr>
            </w:pPr>
          </w:p>
        </w:tc>
        <w:tc>
          <w:tcPr>
            <w:tcW w:w="752" w:type="dxa"/>
            <w:vAlign w:val="top"/>
          </w:tcPr>
          <w:p>
            <w:pPr>
              <w:keepNext w:val="0"/>
              <w:keepLines w:val="0"/>
              <w:widowControl/>
              <w:suppressLineNumbers w:val="0"/>
              <w:jc w:val="left"/>
              <w:textAlignment w:val="top"/>
              <w:rPr>
                <w:rStyle w:val="38"/>
                <w:lang w:val="en-US" w:eastAsia="zh-CN" w:bidi="ar"/>
              </w:rPr>
            </w:pPr>
          </w:p>
        </w:tc>
        <w:tc>
          <w:tcPr>
            <w:tcW w:w="855" w:type="dxa"/>
            <w:vAlign w:val="top"/>
          </w:tcPr>
          <w:p>
            <w:pPr>
              <w:keepNext w:val="0"/>
              <w:keepLines w:val="0"/>
              <w:widowControl/>
              <w:suppressLineNumbers w:val="0"/>
              <w:jc w:val="left"/>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Fonts w:hint="eastAsia" w:ascii="宋体" w:hAnsi="宋体" w:eastAsia="宋体" w:cs="宋体"/>
                <w:i w:val="0"/>
                <w:iCs w:val="0"/>
                <w:color w:val="000000"/>
                <w:kern w:val="0"/>
                <w:sz w:val="21"/>
                <w:szCs w:val="21"/>
                <w:u w:val="none"/>
                <w:lang w:val="en-US" w:eastAsia="zh-CN" w:bidi="ar"/>
              </w:rPr>
              <w:t>6.▲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课堂智能反馈。</w:t>
            </w:r>
            <w:r>
              <w:rPr>
                <w:rFonts w:hint="eastAsia" w:ascii="宋体" w:hAnsi="宋体" w:eastAsia="宋体" w:cs="宋体"/>
                <w:i w:val="0"/>
                <w:iCs w:val="0"/>
                <w:color w:val="000000"/>
                <w:kern w:val="0"/>
                <w:sz w:val="21"/>
                <w:szCs w:val="21"/>
                <w:highlight w:val="yellow"/>
                <w:u w:val="none"/>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c>
          <w:tcPr>
            <w:tcW w:w="991" w:type="dxa"/>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752" w:type="dxa"/>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55" w:type="dxa"/>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Style w:val="38"/>
                <w:lang w:val="en-US" w:eastAsia="zh-CN" w:bidi="ar"/>
              </w:rPr>
            </w:pPr>
            <w:r>
              <w:rPr>
                <w:rStyle w:val="39"/>
                <w:lang w:val="en-US" w:eastAsia="zh-CN" w:bidi="ar"/>
              </w:rPr>
              <w:t>二、护眼要求：</w:t>
            </w:r>
          </w:p>
        </w:tc>
        <w:tc>
          <w:tcPr>
            <w:tcW w:w="991" w:type="dxa"/>
            <w:vAlign w:val="top"/>
          </w:tcPr>
          <w:p>
            <w:pPr>
              <w:keepNext w:val="0"/>
              <w:keepLines w:val="0"/>
              <w:widowControl/>
              <w:suppressLineNumbers w:val="0"/>
              <w:jc w:val="left"/>
              <w:textAlignment w:val="top"/>
              <w:rPr>
                <w:rStyle w:val="39"/>
                <w:lang w:val="en-US" w:eastAsia="zh-CN" w:bidi="ar"/>
              </w:rPr>
            </w:pPr>
          </w:p>
        </w:tc>
        <w:tc>
          <w:tcPr>
            <w:tcW w:w="752" w:type="dxa"/>
            <w:vAlign w:val="top"/>
          </w:tcPr>
          <w:p>
            <w:pPr>
              <w:keepNext w:val="0"/>
              <w:keepLines w:val="0"/>
              <w:widowControl/>
              <w:suppressLineNumbers w:val="0"/>
              <w:jc w:val="left"/>
              <w:textAlignment w:val="top"/>
              <w:rPr>
                <w:rStyle w:val="39"/>
                <w:lang w:val="en-US" w:eastAsia="zh-CN" w:bidi="ar"/>
              </w:rPr>
            </w:pPr>
          </w:p>
        </w:tc>
        <w:tc>
          <w:tcPr>
            <w:tcW w:w="855" w:type="dxa"/>
            <w:vAlign w:val="top"/>
          </w:tcPr>
          <w:p>
            <w:pPr>
              <w:keepNext w:val="0"/>
              <w:keepLines w:val="0"/>
              <w:widowControl/>
              <w:suppressLineNumbers w:val="0"/>
              <w:jc w:val="left"/>
              <w:textAlignment w:val="top"/>
              <w:rPr>
                <w:rStyle w:val="39"/>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7. 整机采用硬件低蓝光背光技术，在源头减少有害蓝光波段能量，蓝光占比（有害蓝光415～455nm能量综合）/（整体蓝光400～500能量综合）＜50%，低蓝光保护显示不偏色、不泛黄。</w:t>
            </w:r>
          </w:p>
        </w:tc>
        <w:tc>
          <w:tcPr>
            <w:tcW w:w="991" w:type="dxa"/>
            <w:vAlign w:val="top"/>
          </w:tcPr>
          <w:p>
            <w:pPr>
              <w:keepNext w:val="0"/>
              <w:keepLines w:val="0"/>
              <w:widowControl/>
              <w:suppressLineNumbers w:val="0"/>
              <w:jc w:val="left"/>
              <w:textAlignment w:val="top"/>
              <w:rPr>
                <w:rStyle w:val="38"/>
                <w:lang w:val="en-US" w:eastAsia="zh-CN" w:bidi="ar"/>
              </w:rPr>
            </w:pPr>
          </w:p>
        </w:tc>
        <w:tc>
          <w:tcPr>
            <w:tcW w:w="752" w:type="dxa"/>
            <w:vAlign w:val="top"/>
          </w:tcPr>
          <w:p>
            <w:pPr>
              <w:keepNext w:val="0"/>
              <w:keepLines w:val="0"/>
              <w:widowControl/>
              <w:suppressLineNumbers w:val="0"/>
              <w:jc w:val="left"/>
              <w:textAlignment w:val="top"/>
              <w:rPr>
                <w:rStyle w:val="38"/>
                <w:lang w:val="en-US" w:eastAsia="zh-CN" w:bidi="ar"/>
              </w:rPr>
            </w:pPr>
          </w:p>
        </w:tc>
        <w:tc>
          <w:tcPr>
            <w:tcW w:w="855" w:type="dxa"/>
            <w:vAlign w:val="top"/>
          </w:tcPr>
          <w:p>
            <w:pPr>
              <w:keepNext w:val="0"/>
              <w:keepLines w:val="0"/>
              <w:widowControl/>
              <w:suppressLineNumbers w:val="0"/>
              <w:jc w:val="left"/>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8. 整机视网膜蓝光危害（蓝光加权辐射亮度LB）满足IEC TR 62778:2014蓝光危害RG0级别。</w:t>
            </w:r>
          </w:p>
        </w:tc>
        <w:tc>
          <w:tcPr>
            <w:tcW w:w="991" w:type="dxa"/>
            <w:vAlign w:val="top"/>
          </w:tcPr>
          <w:p>
            <w:pPr>
              <w:keepNext w:val="0"/>
              <w:keepLines w:val="0"/>
              <w:widowControl/>
              <w:suppressLineNumbers w:val="0"/>
              <w:jc w:val="left"/>
              <w:textAlignment w:val="top"/>
              <w:rPr>
                <w:rStyle w:val="38"/>
                <w:lang w:val="en-US" w:eastAsia="zh-CN" w:bidi="ar"/>
              </w:rPr>
            </w:pPr>
          </w:p>
        </w:tc>
        <w:tc>
          <w:tcPr>
            <w:tcW w:w="752" w:type="dxa"/>
            <w:vAlign w:val="top"/>
          </w:tcPr>
          <w:p>
            <w:pPr>
              <w:keepNext w:val="0"/>
              <w:keepLines w:val="0"/>
              <w:widowControl/>
              <w:suppressLineNumbers w:val="0"/>
              <w:jc w:val="left"/>
              <w:textAlignment w:val="top"/>
              <w:rPr>
                <w:rStyle w:val="38"/>
                <w:lang w:val="en-US" w:eastAsia="zh-CN" w:bidi="ar"/>
              </w:rPr>
            </w:pPr>
          </w:p>
        </w:tc>
        <w:tc>
          <w:tcPr>
            <w:tcW w:w="855" w:type="dxa"/>
            <w:vAlign w:val="top"/>
          </w:tcPr>
          <w:p>
            <w:pPr>
              <w:keepNext w:val="0"/>
              <w:keepLines w:val="0"/>
              <w:widowControl/>
              <w:suppressLineNumbers w:val="0"/>
              <w:jc w:val="left"/>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9. 纸质护眼模式下，显示画面各像素点灰度不规则，减少背景干扰。</w:t>
            </w:r>
          </w:p>
        </w:tc>
        <w:tc>
          <w:tcPr>
            <w:tcW w:w="991" w:type="dxa"/>
            <w:vAlign w:val="top"/>
          </w:tcPr>
          <w:p>
            <w:pPr>
              <w:keepNext w:val="0"/>
              <w:keepLines w:val="0"/>
              <w:widowControl/>
              <w:suppressLineNumbers w:val="0"/>
              <w:jc w:val="left"/>
              <w:textAlignment w:val="top"/>
              <w:rPr>
                <w:rStyle w:val="38"/>
                <w:lang w:val="en-US" w:eastAsia="zh-CN" w:bidi="ar"/>
              </w:rPr>
            </w:pPr>
          </w:p>
        </w:tc>
        <w:tc>
          <w:tcPr>
            <w:tcW w:w="752" w:type="dxa"/>
            <w:vAlign w:val="top"/>
          </w:tcPr>
          <w:p>
            <w:pPr>
              <w:keepNext w:val="0"/>
              <w:keepLines w:val="0"/>
              <w:widowControl/>
              <w:suppressLineNumbers w:val="0"/>
              <w:jc w:val="left"/>
              <w:textAlignment w:val="top"/>
              <w:rPr>
                <w:rStyle w:val="38"/>
                <w:lang w:val="en-US" w:eastAsia="zh-CN" w:bidi="ar"/>
              </w:rPr>
            </w:pPr>
          </w:p>
        </w:tc>
        <w:tc>
          <w:tcPr>
            <w:tcW w:w="855" w:type="dxa"/>
            <w:vAlign w:val="top"/>
          </w:tcPr>
          <w:p>
            <w:pPr>
              <w:keepNext w:val="0"/>
              <w:keepLines w:val="0"/>
              <w:widowControl/>
              <w:suppressLineNumbers w:val="0"/>
              <w:jc w:val="left"/>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10. ▲整机支持色彩空间可选，包含标准模式和sRGB模式，在sRGB模式下可做到高色准△E≤1。整机全通道支持纸质护眼模式，可实现画面纹理的实时调整；支持纸质纹理：牛皮纸、素描纸、宣纸、水彩纸、水纹纸；支持透明度调节；支持色温调节。</w:t>
            </w:r>
            <w:r>
              <w:rPr>
                <w:rStyle w:val="38"/>
                <w:highlight w:val="yellow"/>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c>
          <w:tcPr>
            <w:tcW w:w="991" w:type="dxa"/>
            <w:vAlign w:val="top"/>
          </w:tcPr>
          <w:p>
            <w:pPr>
              <w:keepNext w:val="0"/>
              <w:keepLines w:val="0"/>
              <w:widowControl/>
              <w:suppressLineNumbers w:val="0"/>
              <w:jc w:val="left"/>
              <w:textAlignment w:val="top"/>
              <w:rPr>
                <w:rStyle w:val="38"/>
                <w:lang w:val="en-US" w:eastAsia="zh-CN" w:bidi="ar"/>
              </w:rPr>
            </w:pPr>
          </w:p>
        </w:tc>
        <w:tc>
          <w:tcPr>
            <w:tcW w:w="752" w:type="dxa"/>
            <w:vAlign w:val="top"/>
          </w:tcPr>
          <w:p>
            <w:pPr>
              <w:keepNext w:val="0"/>
              <w:keepLines w:val="0"/>
              <w:widowControl/>
              <w:suppressLineNumbers w:val="0"/>
              <w:jc w:val="left"/>
              <w:textAlignment w:val="top"/>
              <w:rPr>
                <w:rStyle w:val="38"/>
                <w:lang w:val="en-US" w:eastAsia="zh-CN" w:bidi="ar"/>
              </w:rPr>
            </w:pPr>
          </w:p>
        </w:tc>
        <w:tc>
          <w:tcPr>
            <w:tcW w:w="855" w:type="dxa"/>
            <w:vAlign w:val="top"/>
          </w:tcPr>
          <w:p>
            <w:pPr>
              <w:keepNext w:val="0"/>
              <w:keepLines w:val="0"/>
              <w:widowControl/>
              <w:suppressLineNumbers w:val="0"/>
              <w:jc w:val="left"/>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Fonts w:hint="eastAsia" w:ascii="宋体" w:hAnsi="宋体" w:eastAsia="宋体" w:cs="宋体"/>
                <w:i w:val="0"/>
                <w:iCs w:val="0"/>
                <w:color w:val="000000"/>
                <w:kern w:val="0"/>
                <w:sz w:val="21"/>
                <w:szCs w:val="21"/>
                <w:u w:val="none"/>
                <w:lang w:val="en-US" w:eastAsia="zh-CN" w:bidi="ar"/>
              </w:rPr>
              <w:t>11. 整机背光系统支持DC调光方式，多级亮度调节，支持白颜色背景下最暗亮度≤100nit，用于提升显示对比度。</w:t>
            </w:r>
          </w:p>
        </w:tc>
        <w:tc>
          <w:tcPr>
            <w:tcW w:w="991" w:type="dxa"/>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752" w:type="dxa"/>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55" w:type="dxa"/>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Style w:val="38"/>
                <w:lang w:val="en-US" w:eastAsia="zh-CN" w:bidi="ar"/>
              </w:rPr>
            </w:pPr>
            <w:r>
              <w:rPr>
                <w:rStyle w:val="39"/>
                <w:lang w:val="en-US" w:eastAsia="zh-CN" w:bidi="ar"/>
              </w:rPr>
              <w:t>三、音效与麦克风要求：</w:t>
            </w:r>
          </w:p>
        </w:tc>
        <w:tc>
          <w:tcPr>
            <w:tcW w:w="991" w:type="dxa"/>
            <w:vAlign w:val="top"/>
          </w:tcPr>
          <w:p>
            <w:pPr>
              <w:keepNext w:val="0"/>
              <w:keepLines w:val="0"/>
              <w:widowControl/>
              <w:suppressLineNumbers w:val="0"/>
              <w:jc w:val="left"/>
              <w:textAlignment w:val="top"/>
              <w:rPr>
                <w:rStyle w:val="39"/>
                <w:lang w:val="en-US" w:eastAsia="zh-CN" w:bidi="ar"/>
              </w:rPr>
            </w:pPr>
          </w:p>
        </w:tc>
        <w:tc>
          <w:tcPr>
            <w:tcW w:w="752" w:type="dxa"/>
            <w:vAlign w:val="top"/>
          </w:tcPr>
          <w:p>
            <w:pPr>
              <w:keepNext w:val="0"/>
              <w:keepLines w:val="0"/>
              <w:widowControl/>
              <w:suppressLineNumbers w:val="0"/>
              <w:jc w:val="left"/>
              <w:textAlignment w:val="top"/>
              <w:rPr>
                <w:rStyle w:val="39"/>
                <w:lang w:val="en-US" w:eastAsia="zh-CN" w:bidi="ar"/>
              </w:rPr>
            </w:pPr>
          </w:p>
        </w:tc>
        <w:tc>
          <w:tcPr>
            <w:tcW w:w="855" w:type="dxa"/>
            <w:vAlign w:val="top"/>
          </w:tcPr>
          <w:p>
            <w:pPr>
              <w:keepNext w:val="0"/>
              <w:keepLines w:val="0"/>
              <w:widowControl/>
              <w:suppressLineNumbers w:val="0"/>
              <w:jc w:val="left"/>
              <w:textAlignment w:val="top"/>
              <w:rPr>
                <w:rStyle w:val="39"/>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12. 内置摄像头、麦克风无需外接线材连接，无任何可见外接线材及模块化拼接痕迹，未占用整机设备端口。</w:t>
            </w:r>
          </w:p>
        </w:tc>
        <w:tc>
          <w:tcPr>
            <w:tcW w:w="991" w:type="dxa"/>
            <w:vAlign w:val="top"/>
          </w:tcPr>
          <w:p>
            <w:pPr>
              <w:keepNext w:val="0"/>
              <w:keepLines w:val="0"/>
              <w:widowControl/>
              <w:suppressLineNumbers w:val="0"/>
              <w:jc w:val="left"/>
              <w:textAlignment w:val="top"/>
              <w:rPr>
                <w:rStyle w:val="38"/>
                <w:lang w:val="en-US" w:eastAsia="zh-CN" w:bidi="ar"/>
              </w:rPr>
            </w:pPr>
          </w:p>
        </w:tc>
        <w:tc>
          <w:tcPr>
            <w:tcW w:w="752" w:type="dxa"/>
            <w:vAlign w:val="top"/>
          </w:tcPr>
          <w:p>
            <w:pPr>
              <w:keepNext w:val="0"/>
              <w:keepLines w:val="0"/>
              <w:widowControl/>
              <w:suppressLineNumbers w:val="0"/>
              <w:jc w:val="left"/>
              <w:textAlignment w:val="top"/>
              <w:rPr>
                <w:rStyle w:val="38"/>
                <w:lang w:val="en-US" w:eastAsia="zh-CN" w:bidi="ar"/>
              </w:rPr>
            </w:pPr>
          </w:p>
        </w:tc>
        <w:tc>
          <w:tcPr>
            <w:tcW w:w="855" w:type="dxa"/>
            <w:vAlign w:val="top"/>
          </w:tcPr>
          <w:p>
            <w:pPr>
              <w:keepNext w:val="0"/>
              <w:keepLines w:val="0"/>
              <w:widowControl/>
              <w:suppressLineNumbers w:val="0"/>
              <w:jc w:val="left"/>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13. ▲整机侧边栏内置朗读工具，通过整机麦克风监测教室中学生的朗读情况，并以游戏化界面反馈学生朗读音量大小。</w:t>
            </w:r>
            <w:r>
              <w:rPr>
                <w:rStyle w:val="38"/>
                <w:highlight w:val="yellow"/>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c>
          <w:tcPr>
            <w:tcW w:w="991" w:type="dxa"/>
            <w:vAlign w:val="top"/>
          </w:tcPr>
          <w:p>
            <w:pPr>
              <w:keepNext w:val="0"/>
              <w:keepLines w:val="0"/>
              <w:widowControl/>
              <w:suppressLineNumbers w:val="0"/>
              <w:jc w:val="left"/>
              <w:textAlignment w:val="top"/>
              <w:rPr>
                <w:rStyle w:val="38"/>
                <w:lang w:val="en-US" w:eastAsia="zh-CN" w:bidi="ar"/>
              </w:rPr>
            </w:pPr>
          </w:p>
        </w:tc>
        <w:tc>
          <w:tcPr>
            <w:tcW w:w="752" w:type="dxa"/>
            <w:vAlign w:val="top"/>
          </w:tcPr>
          <w:p>
            <w:pPr>
              <w:keepNext w:val="0"/>
              <w:keepLines w:val="0"/>
              <w:widowControl/>
              <w:suppressLineNumbers w:val="0"/>
              <w:jc w:val="left"/>
              <w:textAlignment w:val="top"/>
              <w:rPr>
                <w:rStyle w:val="38"/>
                <w:lang w:val="en-US" w:eastAsia="zh-CN" w:bidi="ar"/>
              </w:rPr>
            </w:pPr>
          </w:p>
        </w:tc>
        <w:tc>
          <w:tcPr>
            <w:tcW w:w="855" w:type="dxa"/>
            <w:vAlign w:val="top"/>
          </w:tcPr>
          <w:p>
            <w:pPr>
              <w:keepNext w:val="0"/>
              <w:keepLines w:val="0"/>
              <w:widowControl/>
              <w:suppressLineNumbers w:val="0"/>
              <w:jc w:val="left"/>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14. ▲整机内置2.2声道扬声器，位于设备上边框，顶置朝前发声，前朝向10W高音扬声器2个，上朝向20W中低音扬声器2个，额定总功率60W。</w:t>
            </w:r>
            <w:r>
              <w:rPr>
                <w:rStyle w:val="38"/>
                <w:highlight w:val="yellow"/>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c>
          <w:tcPr>
            <w:tcW w:w="991" w:type="dxa"/>
            <w:vAlign w:val="top"/>
          </w:tcPr>
          <w:p>
            <w:pPr>
              <w:keepNext w:val="0"/>
              <w:keepLines w:val="0"/>
              <w:widowControl/>
              <w:suppressLineNumbers w:val="0"/>
              <w:jc w:val="left"/>
              <w:textAlignment w:val="top"/>
              <w:rPr>
                <w:rStyle w:val="38"/>
                <w:lang w:val="en-US" w:eastAsia="zh-CN" w:bidi="ar"/>
              </w:rPr>
            </w:pPr>
          </w:p>
        </w:tc>
        <w:tc>
          <w:tcPr>
            <w:tcW w:w="752" w:type="dxa"/>
            <w:vAlign w:val="top"/>
          </w:tcPr>
          <w:p>
            <w:pPr>
              <w:keepNext w:val="0"/>
              <w:keepLines w:val="0"/>
              <w:widowControl/>
              <w:suppressLineNumbers w:val="0"/>
              <w:jc w:val="left"/>
              <w:textAlignment w:val="top"/>
              <w:rPr>
                <w:rStyle w:val="38"/>
                <w:lang w:val="en-US" w:eastAsia="zh-CN" w:bidi="ar"/>
              </w:rPr>
            </w:pPr>
          </w:p>
        </w:tc>
        <w:tc>
          <w:tcPr>
            <w:tcW w:w="855" w:type="dxa"/>
            <w:vAlign w:val="top"/>
          </w:tcPr>
          <w:p>
            <w:pPr>
              <w:keepNext w:val="0"/>
              <w:keepLines w:val="0"/>
              <w:widowControl/>
              <w:suppressLineNumbers w:val="0"/>
              <w:jc w:val="left"/>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Fonts w:hint="eastAsia" w:ascii="宋体" w:hAnsi="宋体" w:eastAsia="宋体" w:cs="宋体"/>
                <w:i w:val="0"/>
                <w:iCs w:val="0"/>
                <w:color w:val="000000"/>
                <w:kern w:val="0"/>
                <w:sz w:val="21"/>
                <w:szCs w:val="21"/>
                <w:u w:val="none"/>
                <w:lang w:val="en-US" w:eastAsia="zh-CN" w:bidi="ar"/>
              </w:rPr>
              <w:t>15. 整机内置非独立外扩展的8阵列麦克风，拾音角度≥180°，可用于对教室环境音频进行采集，拾音距离≥12m。</w:t>
            </w:r>
          </w:p>
        </w:tc>
        <w:tc>
          <w:tcPr>
            <w:tcW w:w="991" w:type="dxa"/>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752" w:type="dxa"/>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55" w:type="dxa"/>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16. 整机可选择高级音效设置，支持在左右声道平衡显示范围中进行更改；中低频段显示调节范围125Hz～1KHz，高频段显示调节范围 2KHz～16KHz，分贝显示-12dB～12dB 调节范围。</w:t>
            </w:r>
          </w:p>
        </w:tc>
        <w:tc>
          <w:tcPr>
            <w:tcW w:w="991" w:type="dxa"/>
            <w:vAlign w:val="top"/>
          </w:tcPr>
          <w:p>
            <w:pPr>
              <w:keepNext w:val="0"/>
              <w:keepLines w:val="0"/>
              <w:widowControl/>
              <w:suppressLineNumbers w:val="0"/>
              <w:jc w:val="left"/>
              <w:textAlignment w:val="top"/>
              <w:rPr>
                <w:rStyle w:val="38"/>
                <w:lang w:val="en-US" w:eastAsia="zh-CN" w:bidi="ar"/>
              </w:rPr>
            </w:pPr>
          </w:p>
        </w:tc>
        <w:tc>
          <w:tcPr>
            <w:tcW w:w="752" w:type="dxa"/>
            <w:vAlign w:val="top"/>
          </w:tcPr>
          <w:p>
            <w:pPr>
              <w:keepNext w:val="0"/>
              <w:keepLines w:val="0"/>
              <w:widowControl/>
              <w:suppressLineNumbers w:val="0"/>
              <w:jc w:val="left"/>
              <w:textAlignment w:val="top"/>
              <w:rPr>
                <w:rStyle w:val="38"/>
                <w:lang w:val="en-US" w:eastAsia="zh-CN" w:bidi="ar"/>
              </w:rPr>
            </w:pPr>
          </w:p>
        </w:tc>
        <w:tc>
          <w:tcPr>
            <w:tcW w:w="855" w:type="dxa"/>
            <w:vAlign w:val="top"/>
          </w:tcPr>
          <w:p>
            <w:pPr>
              <w:keepNext w:val="0"/>
              <w:keepLines w:val="0"/>
              <w:widowControl/>
              <w:suppressLineNumbers w:val="0"/>
              <w:jc w:val="left"/>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Style w:val="38"/>
                <w:lang w:val="en-US" w:eastAsia="zh-CN" w:bidi="ar"/>
              </w:rPr>
            </w:pPr>
            <w:r>
              <w:rPr>
                <w:rStyle w:val="39"/>
                <w:lang w:val="en-US" w:eastAsia="zh-CN" w:bidi="ar"/>
              </w:rPr>
              <w:t>四、主要功能要求：</w:t>
            </w:r>
          </w:p>
        </w:tc>
        <w:tc>
          <w:tcPr>
            <w:tcW w:w="991" w:type="dxa"/>
            <w:vAlign w:val="top"/>
          </w:tcPr>
          <w:p>
            <w:pPr>
              <w:keepNext w:val="0"/>
              <w:keepLines w:val="0"/>
              <w:widowControl/>
              <w:suppressLineNumbers w:val="0"/>
              <w:jc w:val="left"/>
              <w:textAlignment w:val="top"/>
              <w:rPr>
                <w:rStyle w:val="39"/>
                <w:lang w:val="en-US" w:eastAsia="zh-CN" w:bidi="ar"/>
              </w:rPr>
            </w:pPr>
          </w:p>
        </w:tc>
        <w:tc>
          <w:tcPr>
            <w:tcW w:w="752" w:type="dxa"/>
            <w:vAlign w:val="top"/>
          </w:tcPr>
          <w:p>
            <w:pPr>
              <w:keepNext w:val="0"/>
              <w:keepLines w:val="0"/>
              <w:widowControl/>
              <w:suppressLineNumbers w:val="0"/>
              <w:jc w:val="left"/>
              <w:textAlignment w:val="top"/>
              <w:rPr>
                <w:rStyle w:val="39"/>
                <w:lang w:val="en-US" w:eastAsia="zh-CN" w:bidi="ar"/>
              </w:rPr>
            </w:pPr>
          </w:p>
        </w:tc>
        <w:tc>
          <w:tcPr>
            <w:tcW w:w="855" w:type="dxa"/>
            <w:vAlign w:val="top"/>
          </w:tcPr>
          <w:p>
            <w:pPr>
              <w:keepNext w:val="0"/>
              <w:keepLines w:val="0"/>
              <w:widowControl/>
              <w:suppressLineNumbers w:val="0"/>
              <w:jc w:val="left"/>
              <w:textAlignment w:val="top"/>
              <w:rPr>
                <w:rStyle w:val="39"/>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17. 整机内置双WiFi6无线网卡（不接受外接），在Android和Windows系统下，可实现Wi-Fi无线上网连接、AP无线热点发射。</w:t>
            </w:r>
          </w:p>
        </w:tc>
        <w:tc>
          <w:tcPr>
            <w:tcW w:w="991" w:type="dxa"/>
            <w:vAlign w:val="top"/>
          </w:tcPr>
          <w:p>
            <w:pPr>
              <w:keepNext w:val="0"/>
              <w:keepLines w:val="0"/>
              <w:widowControl/>
              <w:suppressLineNumbers w:val="0"/>
              <w:jc w:val="left"/>
              <w:textAlignment w:val="top"/>
              <w:rPr>
                <w:rStyle w:val="38"/>
                <w:lang w:val="en-US" w:eastAsia="zh-CN" w:bidi="ar"/>
              </w:rPr>
            </w:pPr>
          </w:p>
        </w:tc>
        <w:tc>
          <w:tcPr>
            <w:tcW w:w="752" w:type="dxa"/>
            <w:vAlign w:val="top"/>
          </w:tcPr>
          <w:p>
            <w:pPr>
              <w:keepNext w:val="0"/>
              <w:keepLines w:val="0"/>
              <w:widowControl/>
              <w:suppressLineNumbers w:val="0"/>
              <w:jc w:val="left"/>
              <w:textAlignment w:val="top"/>
              <w:rPr>
                <w:rStyle w:val="38"/>
                <w:lang w:val="en-US" w:eastAsia="zh-CN" w:bidi="ar"/>
              </w:rPr>
            </w:pPr>
          </w:p>
        </w:tc>
        <w:tc>
          <w:tcPr>
            <w:tcW w:w="855" w:type="dxa"/>
            <w:vAlign w:val="top"/>
          </w:tcPr>
          <w:p>
            <w:pPr>
              <w:keepNext w:val="0"/>
              <w:keepLines w:val="0"/>
              <w:widowControl/>
              <w:suppressLineNumbers w:val="0"/>
              <w:jc w:val="left"/>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Fonts w:hint="eastAsia" w:ascii="宋体" w:hAnsi="宋体" w:eastAsia="宋体" w:cs="宋体"/>
                <w:i w:val="0"/>
                <w:iCs w:val="0"/>
                <w:color w:val="000000"/>
                <w:kern w:val="0"/>
                <w:sz w:val="21"/>
                <w:szCs w:val="21"/>
                <w:u w:val="none"/>
                <w:lang w:val="en-US" w:eastAsia="zh-CN" w:bidi="ar"/>
              </w:rPr>
              <w:t>18. ▲整机支持在无任何外部设备的情况下，实时录制用户朗读内容，识别用户声纹并进行统一身份登录，登录后自动获取个人云端教学课件列表，打开教学白板软件时可跳过软件自带登录步骤。</w:t>
            </w:r>
            <w:r>
              <w:rPr>
                <w:rFonts w:hint="eastAsia" w:ascii="宋体" w:hAnsi="宋体" w:eastAsia="宋体" w:cs="宋体"/>
                <w:i w:val="0"/>
                <w:iCs w:val="0"/>
                <w:color w:val="000000"/>
                <w:kern w:val="0"/>
                <w:sz w:val="21"/>
                <w:szCs w:val="21"/>
                <w:highlight w:val="yellow"/>
                <w:u w:val="none"/>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c>
          <w:tcPr>
            <w:tcW w:w="991" w:type="dxa"/>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752" w:type="dxa"/>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55" w:type="dxa"/>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Fonts w:hint="eastAsia" w:ascii="宋体" w:hAnsi="宋体" w:eastAsia="宋体" w:cs="宋体"/>
                <w:i w:val="0"/>
                <w:iCs w:val="0"/>
                <w:color w:val="000000"/>
                <w:kern w:val="0"/>
                <w:sz w:val="21"/>
                <w:szCs w:val="21"/>
                <w:u w:val="none"/>
                <w:lang w:val="en-US" w:eastAsia="zh-CN" w:bidi="ar"/>
              </w:rPr>
              <w:t>19. ▲整机侧边栏内置自习工具，通过整机麦克风监测教室中学生音量大小，当学生音量大于阈值时，屏幕自动弹窗提醒进行自习纪律干预。</w:t>
            </w:r>
            <w:r>
              <w:rPr>
                <w:rFonts w:hint="eastAsia" w:ascii="宋体" w:hAnsi="宋体" w:eastAsia="宋体" w:cs="宋体"/>
                <w:i w:val="0"/>
                <w:iCs w:val="0"/>
                <w:color w:val="000000"/>
                <w:kern w:val="0"/>
                <w:sz w:val="21"/>
                <w:szCs w:val="21"/>
                <w:highlight w:val="yellow"/>
                <w:u w:val="none"/>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c>
          <w:tcPr>
            <w:tcW w:w="991" w:type="dxa"/>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752" w:type="dxa"/>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55" w:type="dxa"/>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20. 整机支持蓝牙Bluetooth 5.4标准；Wi-Fi和AP热点工作距离≥12m。</w:t>
            </w:r>
          </w:p>
        </w:tc>
        <w:tc>
          <w:tcPr>
            <w:tcW w:w="991" w:type="dxa"/>
            <w:vAlign w:val="top"/>
          </w:tcPr>
          <w:p>
            <w:pPr>
              <w:keepNext w:val="0"/>
              <w:keepLines w:val="0"/>
              <w:widowControl/>
              <w:suppressLineNumbers w:val="0"/>
              <w:jc w:val="left"/>
              <w:textAlignment w:val="top"/>
              <w:rPr>
                <w:rStyle w:val="38"/>
                <w:lang w:val="en-US" w:eastAsia="zh-CN" w:bidi="ar"/>
              </w:rPr>
            </w:pPr>
          </w:p>
        </w:tc>
        <w:tc>
          <w:tcPr>
            <w:tcW w:w="752" w:type="dxa"/>
            <w:vAlign w:val="top"/>
          </w:tcPr>
          <w:p>
            <w:pPr>
              <w:keepNext w:val="0"/>
              <w:keepLines w:val="0"/>
              <w:widowControl/>
              <w:suppressLineNumbers w:val="0"/>
              <w:jc w:val="left"/>
              <w:textAlignment w:val="top"/>
              <w:rPr>
                <w:rStyle w:val="38"/>
                <w:lang w:val="en-US" w:eastAsia="zh-CN" w:bidi="ar"/>
              </w:rPr>
            </w:pPr>
          </w:p>
        </w:tc>
        <w:tc>
          <w:tcPr>
            <w:tcW w:w="855" w:type="dxa"/>
            <w:vAlign w:val="top"/>
          </w:tcPr>
          <w:p>
            <w:pPr>
              <w:keepNext w:val="0"/>
              <w:keepLines w:val="0"/>
              <w:widowControl/>
              <w:suppressLineNumbers w:val="0"/>
              <w:jc w:val="left"/>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21. ▲整机Windows通道支持文件传输应用，支持通过扫码、wifi直联、超声三种方式与手机进行握手连接，实现文件传输功能。</w:t>
            </w:r>
            <w:r>
              <w:rPr>
                <w:rStyle w:val="38"/>
                <w:highlight w:val="yellow"/>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c>
          <w:tcPr>
            <w:tcW w:w="991" w:type="dxa"/>
            <w:vAlign w:val="top"/>
          </w:tcPr>
          <w:p>
            <w:pPr>
              <w:keepNext w:val="0"/>
              <w:keepLines w:val="0"/>
              <w:widowControl/>
              <w:suppressLineNumbers w:val="0"/>
              <w:jc w:val="left"/>
              <w:textAlignment w:val="top"/>
              <w:rPr>
                <w:rStyle w:val="38"/>
                <w:lang w:val="en-US" w:eastAsia="zh-CN" w:bidi="ar"/>
              </w:rPr>
            </w:pPr>
          </w:p>
        </w:tc>
        <w:tc>
          <w:tcPr>
            <w:tcW w:w="752" w:type="dxa"/>
            <w:vAlign w:val="top"/>
          </w:tcPr>
          <w:p>
            <w:pPr>
              <w:keepNext w:val="0"/>
              <w:keepLines w:val="0"/>
              <w:widowControl/>
              <w:suppressLineNumbers w:val="0"/>
              <w:jc w:val="left"/>
              <w:textAlignment w:val="top"/>
              <w:rPr>
                <w:rStyle w:val="38"/>
                <w:lang w:val="en-US" w:eastAsia="zh-CN" w:bidi="ar"/>
              </w:rPr>
            </w:pPr>
          </w:p>
        </w:tc>
        <w:tc>
          <w:tcPr>
            <w:tcW w:w="855" w:type="dxa"/>
            <w:vAlign w:val="top"/>
          </w:tcPr>
          <w:p>
            <w:pPr>
              <w:keepNext w:val="0"/>
              <w:keepLines w:val="0"/>
              <w:widowControl/>
              <w:suppressLineNumbers w:val="0"/>
              <w:jc w:val="left"/>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22. ▲整机上边框内置非独立式摄像头，采用一体化集成设计，摄像头数量≥4个。整机上边框内置非独立式广角高清摄像头，视场角≥142度且水平视场角≥121度，支持输出4:3、16:9比例的图片和视频；在清晰度为2592 x 1944分辨率下，支持30帧的视频输出。</w:t>
            </w:r>
            <w:r>
              <w:rPr>
                <w:rStyle w:val="38"/>
                <w:highlight w:val="yellow"/>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c>
          <w:tcPr>
            <w:tcW w:w="991" w:type="dxa"/>
            <w:vAlign w:val="top"/>
          </w:tcPr>
          <w:p>
            <w:pPr>
              <w:keepNext w:val="0"/>
              <w:keepLines w:val="0"/>
              <w:widowControl/>
              <w:suppressLineNumbers w:val="0"/>
              <w:jc w:val="left"/>
              <w:textAlignment w:val="top"/>
              <w:rPr>
                <w:rStyle w:val="38"/>
                <w:lang w:val="en-US" w:eastAsia="zh-CN" w:bidi="ar"/>
              </w:rPr>
            </w:pPr>
          </w:p>
        </w:tc>
        <w:tc>
          <w:tcPr>
            <w:tcW w:w="752" w:type="dxa"/>
            <w:vAlign w:val="top"/>
          </w:tcPr>
          <w:p>
            <w:pPr>
              <w:keepNext w:val="0"/>
              <w:keepLines w:val="0"/>
              <w:widowControl/>
              <w:suppressLineNumbers w:val="0"/>
              <w:jc w:val="left"/>
              <w:textAlignment w:val="top"/>
              <w:rPr>
                <w:rStyle w:val="38"/>
                <w:lang w:val="en-US" w:eastAsia="zh-CN" w:bidi="ar"/>
              </w:rPr>
            </w:pPr>
          </w:p>
        </w:tc>
        <w:tc>
          <w:tcPr>
            <w:tcW w:w="855" w:type="dxa"/>
            <w:vAlign w:val="top"/>
          </w:tcPr>
          <w:p>
            <w:pPr>
              <w:keepNext w:val="0"/>
              <w:keepLines w:val="0"/>
              <w:widowControl/>
              <w:suppressLineNumbers w:val="0"/>
              <w:jc w:val="left"/>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23. 整机上边框内置非独立式摄像头，视场角≥141度且水平视场角≥139度，可拍摄≥1600万像素的照片，支持输出8192×2048分辨率的照片和视频，支持画面畸变矫正功能 。</w:t>
            </w:r>
          </w:p>
        </w:tc>
        <w:tc>
          <w:tcPr>
            <w:tcW w:w="991" w:type="dxa"/>
            <w:vAlign w:val="top"/>
          </w:tcPr>
          <w:p>
            <w:pPr>
              <w:keepNext w:val="0"/>
              <w:keepLines w:val="0"/>
              <w:widowControl/>
              <w:suppressLineNumbers w:val="0"/>
              <w:jc w:val="left"/>
              <w:textAlignment w:val="top"/>
              <w:rPr>
                <w:rStyle w:val="38"/>
                <w:lang w:val="en-US" w:eastAsia="zh-CN" w:bidi="ar"/>
              </w:rPr>
            </w:pPr>
          </w:p>
        </w:tc>
        <w:tc>
          <w:tcPr>
            <w:tcW w:w="752" w:type="dxa"/>
            <w:vAlign w:val="top"/>
          </w:tcPr>
          <w:p>
            <w:pPr>
              <w:keepNext w:val="0"/>
              <w:keepLines w:val="0"/>
              <w:widowControl/>
              <w:suppressLineNumbers w:val="0"/>
              <w:jc w:val="left"/>
              <w:textAlignment w:val="top"/>
              <w:rPr>
                <w:rStyle w:val="38"/>
                <w:lang w:val="en-US" w:eastAsia="zh-CN" w:bidi="ar"/>
              </w:rPr>
            </w:pPr>
          </w:p>
        </w:tc>
        <w:tc>
          <w:tcPr>
            <w:tcW w:w="855" w:type="dxa"/>
            <w:vAlign w:val="top"/>
          </w:tcPr>
          <w:p>
            <w:pPr>
              <w:keepNext w:val="0"/>
              <w:keepLines w:val="0"/>
              <w:widowControl/>
              <w:suppressLineNumbers w:val="0"/>
              <w:jc w:val="left"/>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24. 整机支持上边框内置非独立摄像头模组，同时输出至少 3 路视频流，同时支持课堂远程巡课、课堂教学数据采集、本地画面预览（拍照或视频录制）。</w:t>
            </w:r>
          </w:p>
        </w:tc>
        <w:tc>
          <w:tcPr>
            <w:tcW w:w="991" w:type="dxa"/>
            <w:vAlign w:val="top"/>
          </w:tcPr>
          <w:p>
            <w:pPr>
              <w:keepNext w:val="0"/>
              <w:keepLines w:val="0"/>
              <w:widowControl/>
              <w:suppressLineNumbers w:val="0"/>
              <w:jc w:val="left"/>
              <w:textAlignment w:val="top"/>
              <w:rPr>
                <w:rStyle w:val="38"/>
                <w:lang w:val="en-US" w:eastAsia="zh-CN" w:bidi="ar"/>
              </w:rPr>
            </w:pPr>
          </w:p>
        </w:tc>
        <w:tc>
          <w:tcPr>
            <w:tcW w:w="752" w:type="dxa"/>
            <w:vAlign w:val="top"/>
          </w:tcPr>
          <w:p>
            <w:pPr>
              <w:keepNext w:val="0"/>
              <w:keepLines w:val="0"/>
              <w:widowControl/>
              <w:suppressLineNumbers w:val="0"/>
              <w:jc w:val="left"/>
              <w:textAlignment w:val="top"/>
              <w:rPr>
                <w:rStyle w:val="38"/>
                <w:lang w:val="en-US" w:eastAsia="zh-CN" w:bidi="ar"/>
              </w:rPr>
            </w:pPr>
          </w:p>
        </w:tc>
        <w:tc>
          <w:tcPr>
            <w:tcW w:w="855" w:type="dxa"/>
            <w:vAlign w:val="top"/>
          </w:tcPr>
          <w:p>
            <w:pPr>
              <w:keepNext w:val="0"/>
              <w:keepLines w:val="0"/>
              <w:widowControl/>
              <w:suppressLineNumbers w:val="0"/>
              <w:jc w:val="left"/>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Style w:val="38"/>
                <w:lang w:val="en-US" w:eastAsia="zh-CN" w:bidi="ar"/>
              </w:rPr>
            </w:pPr>
            <w:r>
              <w:rPr>
                <w:rStyle w:val="39"/>
                <w:lang w:val="en-US" w:eastAsia="zh-CN" w:bidi="ar"/>
              </w:rPr>
              <w:t>五、内置电脑要求：</w:t>
            </w:r>
          </w:p>
        </w:tc>
        <w:tc>
          <w:tcPr>
            <w:tcW w:w="991" w:type="dxa"/>
            <w:vAlign w:val="top"/>
          </w:tcPr>
          <w:p>
            <w:pPr>
              <w:keepNext w:val="0"/>
              <w:keepLines w:val="0"/>
              <w:widowControl/>
              <w:suppressLineNumbers w:val="0"/>
              <w:jc w:val="left"/>
              <w:textAlignment w:val="top"/>
              <w:rPr>
                <w:rStyle w:val="39"/>
                <w:lang w:val="en-US" w:eastAsia="zh-CN" w:bidi="ar"/>
              </w:rPr>
            </w:pPr>
          </w:p>
        </w:tc>
        <w:tc>
          <w:tcPr>
            <w:tcW w:w="752" w:type="dxa"/>
            <w:vAlign w:val="top"/>
          </w:tcPr>
          <w:p>
            <w:pPr>
              <w:keepNext w:val="0"/>
              <w:keepLines w:val="0"/>
              <w:widowControl/>
              <w:suppressLineNumbers w:val="0"/>
              <w:jc w:val="left"/>
              <w:textAlignment w:val="top"/>
              <w:rPr>
                <w:rStyle w:val="39"/>
                <w:lang w:val="en-US" w:eastAsia="zh-CN" w:bidi="ar"/>
              </w:rPr>
            </w:pPr>
          </w:p>
        </w:tc>
        <w:tc>
          <w:tcPr>
            <w:tcW w:w="855" w:type="dxa"/>
            <w:vAlign w:val="top"/>
          </w:tcPr>
          <w:p>
            <w:pPr>
              <w:keepNext w:val="0"/>
              <w:keepLines w:val="0"/>
              <w:widowControl/>
              <w:suppressLineNumbers w:val="0"/>
              <w:jc w:val="left"/>
              <w:textAlignment w:val="top"/>
              <w:rPr>
                <w:rStyle w:val="39"/>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2</w:t>
            </w:r>
            <w:r>
              <w:rPr>
                <w:rStyle w:val="38"/>
                <w:highlight w:val="none"/>
                <w:lang w:val="en-US" w:eastAsia="zh-CN" w:bidi="ar"/>
              </w:rPr>
              <w:t>5.</w:t>
            </w:r>
            <w:r>
              <w:rPr>
                <w:rStyle w:val="38"/>
                <w:rFonts w:hint="eastAsia"/>
                <w:highlight w:val="none"/>
                <w:lang w:val="en-US" w:eastAsia="zh-CN" w:bidi="ar"/>
              </w:rPr>
              <w:t>CPU处理器（产品型号不得早于2021年发布）性能不低于14核20线程、基础频率2.7GHz、睿频频率基础频率4.7GHz</w:t>
            </w:r>
            <w:r>
              <w:rPr>
                <w:rStyle w:val="38"/>
                <w:highlight w:val="none"/>
                <w:lang w:val="en-US" w:eastAsia="zh-CN" w:bidi="ar"/>
              </w:rPr>
              <w:t>；内存：32GB DDR4笔记本内存或以上配置；硬盘：512 GB或以上SSD固态硬</w:t>
            </w:r>
            <w:r>
              <w:rPr>
                <w:rStyle w:val="38"/>
                <w:lang w:val="en-US" w:eastAsia="zh-CN" w:bidi="ar"/>
              </w:rPr>
              <w:t>盘；</w:t>
            </w:r>
          </w:p>
        </w:tc>
        <w:tc>
          <w:tcPr>
            <w:tcW w:w="991" w:type="dxa"/>
            <w:vAlign w:val="top"/>
          </w:tcPr>
          <w:p>
            <w:pPr>
              <w:keepNext w:val="0"/>
              <w:keepLines w:val="0"/>
              <w:widowControl/>
              <w:suppressLineNumbers w:val="0"/>
              <w:jc w:val="left"/>
              <w:textAlignment w:val="top"/>
              <w:rPr>
                <w:rStyle w:val="38"/>
                <w:lang w:val="en-US" w:eastAsia="zh-CN" w:bidi="ar"/>
              </w:rPr>
            </w:pPr>
          </w:p>
        </w:tc>
        <w:tc>
          <w:tcPr>
            <w:tcW w:w="752" w:type="dxa"/>
            <w:vAlign w:val="top"/>
          </w:tcPr>
          <w:p>
            <w:pPr>
              <w:keepNext w:val="0"/>
              <w:keepLines w:val="0"/>
              <w:widowControl/>
              <w:suppressLineNumbers w:val="0"/>
              <w:jc w:val="left"/>
              <w:textAlignment w:val="top"/>
              <w:rPr>
                <w:rStyle w:val="38"/>
                <w:lang w:val="en-US" w:eastAsia="zh-CN" w:bidi="ar"/>
              </w:rPr>
            </w:pPr>
          </w:p>
        </w:tc>
        <w:tc>
          <w:tcPr>
            <w:tcW w:w="855" w:type="dxa"/>
            <w:vAlign w:val="top"/>
          </w:tcPr>
          <w:p>
            <w:pPr>
              <w:keepNext w:val="0"/>
              <w:keepLines w:val="0"/>
              <w:widowControl/>
              <w:suppressLineNumbers w:val="0"/>
              <w:jc w:val="left"/>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26. 和整机的连接采用万兆级接口，传输速率≥10Gbps。</w:t>
            </w:r>
          </w:p>
        </w:tc>
        <w:tc>
          <w:tcPr>
            <w:tcW w:w="991" w:type="dxa"/>
            <w:vAlign w:val="top"/>
          </w:tcPr>
          <w:p>
            <w:pPr>
              <w:keepNext w:val="0"/>
              <w:keepLines w:val="0"/>
              <w:widowControl/>
              <w:suppressLineNumbers w:val="0"/>
              <w:jc w:val="left"/>
              <w:textAlignment w:val="top"/>
              <w:rPr>
                <w:rStyle w:val="38"/>
                <w:lang w:val="en-US" w:eastAsia="zh-CN" w:bidi="ar"/>
              </w:rPr>
            </w:pPr>
          </w:p>
        </w:tc>
        <w:tc>
          <w:tcPr>
            <w:tcW w:w="752" w:type="dxa"/>
            <w:vAlign w:val="top"/>
          </w:tcPr>
          <w:p>
            <w:pPr>
              <w:keepNext w:val="0"/>
              <w:keepLines w:val="0"/>
              <w:widowControl/>
              <w:suppressLineNumbers w:val="0"/>
              <w:jc w:val="left"/>
              <w:textAlignment w:val="top"/>
              <w:rPr>
                <w:rStyle w:val="38"/>
                <w:lang w:val="en-US" w:eastAsia="zh-CN" w:bidi="ar"/>
              </w:rPr>
            </w:pPr>
          </w:p>
        </w:tc>
        <w:tc>
          <w:tcPr>
            <w:tcW w:w="855" w:type="dxa"/>
            <w:vAlign w:val="top"/>
          </w:tcPr>
          <w:p>
            <w:pPr>
              <w:keepNext w:val="0"/>
              <w:keepLines w:val="0"/>
              <w:widowControl/>
              <w:suppressLineNumbers w:val="0"/>
              <w:jc w:val="left"/>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27. 采用按压式卡扣，无需工具就可快速拆卸电脑模块。</w:t>
            </w:r>
          </w:p>
        </w:tc>
        <w:tc>
          <w:tcPr>
            <w:tcW w:w="991" w:type="dxa"/>
            <w:vAlign w:val="top"/>
          </w:tcPr>
          <w:p>
            <w:pPr>
              <w:keepNext w:val="0"/>
              <w:keepLines w:val="0"/>
              <w:widowControl/>
              <w:suppressLineNumbers w:val="0"/>
              <w:jc w:val="left"/>
              <w:textAlignment w:val="top"/>
              <w:rPr>
                <w:rStyle w:val="38"/>
                <w:lang w:val="en-US" w:eastAsia="zh-CN" w:bidi="ar"/>
              </w:rPr>
            </w:pPr>
          </w:p>
        </w:tc>
        <w:tc>
          <w:tcPr>
            <w:tcW w:w="752" w:type="dxa"/>
            <w:vAlign w:val="top"/>
          </w:tcPr>
          <w:p>
            <w:pPr>
              <w:keepNext w:val="0"/>
              <w:keepLines w:val="0"/>
              <w:widowControl/>
              <w:suppressLineNumbers w:val="0"/>
              <w:jc w:val="left"/>
              <w:textAlignment w:val="top"/>
              <w:rPr>
                <w:rStyle w:val="38"/>
                <w:lang w:val="en-US" w:eastAsia="zh-CN" w:bidi="ar"/>
              </w:rPr>
            </w:pPr>
          </w:p>
        </w:tc>
        <w:tc>
          <w:tcPr>
            <w:tcW w:w="855" w:type="dxa"/>
            <w:vAlign w:val="top"/>
          </w:tcPr>
          <w:p>
            <w:pPr>
              <w:keepNext w:val="0"/>
              <w:keepLines w:val="0"/>
              <w:widowControl/>
              <w:suppressLineNumbers w:val="0"/>
              <w:jc w:val="left"/>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Style w:val="39"/>
                <w:lang w:val="en-US" w:eastAsia="zh-CN" w:bidi="ar"/>
              </w:rPr>
              <w:t>六、配套软件功能要求：</w:t>
            </w:r>
          </w:p>
        </w:tc>
        <w:tc>
          <w:tcPr>
            <w:tcW w:w="991" w:type="dxa"/>
            <w:vAlign w:val="top"/>
          </w:tcPr>
          <w:p>
            <w:pPr>
              <w:keepNext w:val="0"/>
              <w:keepLines w:val="0"/>
              <w:widowControl/>
              <w:suppressLineNumbers w:val="0"/>
              <w:jc w:val="left"/>
              <w:textAlignment w:val="top"/>
              <w:rPr>
                <w:rStyle w:val="39"/>
                <w:lang w:val="en-US" w:eastAsia="zh-CN" w:bidi="ar"/>
              </w:rPr>
            </w:pPr>
          </w:p>
        </w:tc>
        <w:tc>
          <w:tcPr>
            <w:tcW w:w="752" w:type="dxa"/>
            <w:vAlign w:val="top"/>
          </w:tcPr>
          <w:p>
            <w:pPr>
              <w:keepNext w:val="0"/>
              <w:keepLines w:val="0"/>
              <w:widowControl/>
              <w:suppressLineNumbers w:val="0"/>
              <w:jc w:val="left"/>
              <w:textAlignment w:val="top"/>
              <w:rPr>
                <w:rStyle w:val="39"/>
                <w:lang w:val="en-US" w:eastAsia="zh-CN" w:bidi="ar"/>
              </w:rPr>
            </w:pPr>
          </w:p>
        </w:tc>
        <w:tc>
          <w:tcPr>
            <w:tcW w:w="855" w:type="dxa"/>
            <w:vAlign w:val="top"/>
          </w:tcPr>
          <w:p>
            <w:pPr>
              <w:keepNext w:val="0"/>
              <w:keepLines w:val="0"/>
              <w:widowControl/>
              <w:suppressLineNumbers w:val="0"/>
              <w:jc w:val="left"/>
              <w:textAlignment w:val="top"/>
              <w:rPr>
                <w:rStyle w:val="39"/>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Style w:val="38"/>
                <w:rFonts w:hint="eastAsia"/>
                <w:lang w:val="en-US" w:eastAsia="zh-CN" w:bidi="ar"/>
              </w:rPr>
              <w:t>28</w:t>
            </w:r>
            <w:r>
              <w:rPr>
                <w:rStyle w:val="38"/>
                <w:lang w:val="en-US" w:eastAsia="zh-CN" w:bidi="ar"/>
              </w:rPr>
              <w:t>. 互动教学课件支持定向精准分享：分享者可将互动课件、课件组精准推送至指定接收方账号云空间，接收方可在云空间接收并打开分享课件。</w:t>
            </w:r>
          </w:p>
        </w:tc>
        <w:tc>
          <w:tcPr>
            <w:tcW w:w="991" w:type="dxa"/>
            <w:vAlign w:val="top"/>
          </w:tcPr>
          <w:p>
            <w:pPr>
              <w:keepNext w:val="0"/>
              <w:keepLines w:val="0"/>
              <w:widowControl/>
              <w:suppressLineNumbers w:val="0"/>
              <w:jc w:val="left"/>
              <w:textAlignment w:val="top"/>
              <w:rPr>
                <w:rStyle w:val="38"/>
                <w:rFonts w:hint="eastAsia"/>
                <w:lang w:val="en-US" w:eastAsia="zh-CN" w:bidi="ar"/>
              </w:rPr>
            </w:pPr>
          </w:p>
        </w:tc>
        <w:tc>
          <w:tcPr>
            <w:tcW w:w="752" w:type="dxa"/>
            <w:vAlign w:val="top"/>
          </w:tcPr>
          <w:p>
            <w:pPr>
              <w:keepNext w:val="0"/>
              <w:keepLines w:val="0"/>
              <w:widowControl/>
              <w:suppressLineNumbers w:val="0"/>
              <w:jc w:val="left"/>
              <w:textAlignment w:val="top"/>
              <w:rPr>
                <w:rStyle w:val="38"/>
                <w:rFonts w:hint="eastAsia"/>
                <w:lang w:val="en-US" w:eastAsia="zh-CN" w:bidi="ar"/>
              </w:rPr>
            </w:pPr>
          </w:p>
        </w:tc>
        <w:tc>
          <w:tcPr>
            <w:tcW w:w="855" w:type="dxa"/>
            <w:vAlign w:val="top"/>
          </w:tcPr>
          <w:p>
            <w:pPr>
              <w:keepNext w:val="0"/>
              <w:keepLines w:val="0"/>
              <w:widowControl/>
              <w:suppressLineNumbers w:val="0"/>
              <w:jc w:val="left"/>
              <w:textAlignment w:val="top"/>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Fonts w:hint="eastAsia" w:ascii="宋体" w:hAnsi="宋体" w:cs="宋体"/>
                <w:i w:val="0"/>
                <w:iCs w:val="0"/>
                <w:color w:val="000000"/>
                <w:kern w:val="0"/>
                <w:sz w:val="21"/>
                <w:szCs w:val="21"/>
                <w:u w:val="none"/>
                <w:lang w:val="en-US" w:eastAsia="zh-CN" w:bidi="ar"/>
              </w:rPr>
              <w:t>29</w:t>
            </w:r>
            <w:r>
              <w:rPr>
                <w:rFonts w:hint="eastAsia" w:ascii="宋体" w:hAnsi="宋体" w:eastAsia="宋体" w:cs="宋体"/>
                <w:i w:val="0"/>
                <w:iCs w:val="0"/>
                <w:color w:val="000000"/>
                <w:kern w:val="0"/>
                <w:sz w:val="21"/>
                <w:szCs w:val="21"/>
                <w:u w:val="none"/>
                <w:lang w:val="en-US" w:eastAsia="zh-CN" w:bidi="ar"/>
              </w:rPr>
              <w:t>. 互动教学软件为教师备课节省大量时间，立体几何工具：可自由绘制长方体、立方体、圆柱体、圆锥等立体几何图形。任意调节几何体的大小尺寸，支持几何图形按比例放大缩小和通过单独调整长宽高（半径/高）改变几何体大小。</w:t>
            </w:r>
          </w:p>
        </w:tc>
        <w:tc>
          <w:tcPr>
            <w:tcW w:w="991" w:type="dxa"/>
            <w:vAlign w:val="top"/>
          </w:tcPr>
          <w:p>
            <w:pPr>
              <w:keepNext w:val="0"/>
              <w:keepLines w:val="0"/>
              <w:widowControl/>
              <w:suppressLineNumbers w:val="0"/>
              <w:jc w:val="left"/>
              <w:textAlignment w:val="top"/>
              <w:rPr>
                <w:rFonts w:hint="eastAsia" w:ascii="宋体" w:hAnsi="宋体" w:cs="宋体"/>
                <w:i w:val="0"/>
                <w:iCs w:val="0"/>
                <w:color w:val="000000"/>
                <w:kern w:val="0"/>
                <w:sz w:val="21"/>
                <w:szCs w:val="21"/>
                <w:u w:val="none"/>
                <w:lang w:val="en-US" w:eastAsia="zh-CN" w:bidi="ar"/>
              </w:rPr>
            </w:pPr>
          </w:p>
        </w:tc>
        <w:tc>
          <w:tcPr>
            <w:tcW w:w="752" w:type="dxa"/>
            <w:vAlign w:val="top"/>
          </w:tcPr>
          <w:p>
            <w:pPr>
              <w:keepNext w:val="0"/>
              <w:keepLines w:val="0"/>
              <w:widowControl/>
              <w:suppressLineNumbers w:val="0"/>
              <w:jc w:val="left"/>
              <w:textAlignment w:val="top"/>
              <w:rPr>
                <w:rFonts w:hint="eastAsia" w:ascii="宋体" w:hAnsi="宋体" w:cs="宋体"/>
                <w:i w:val="0"/>
                <w:iCs w:val="0"/>
                <w:color w:val="000000"/>
                <w:kern w:val="0"/>
                <w:sz w:val="21"/>
                <w:szCs w:val="21"/>
                <w:u w:val="none"/>
                <w:lang w:val="en-US" w:eastAsia="zh-CN" w:bidi="ar"/>
              </w:rPr>
            </w:pPr>
          </w:p>
        </w:tc>
        <w:tc>
          <w:tcPr>
            <w:tcW w:w="855" w:type="dxa"/>
            <w:vAlign w:val="top"/>
          </w:tcPr>
          <w:p>
            <w:pPr>
              <w:keepNext w:val="0"/>
              <w:keepLines w:val="0"/>
              <w:widowControl/>
              <w:suppressLineNumbers w:val="0"/>
              <w:jc w:val="left"/>
              <w:textAlignment w:val="top"/>
              <w:rPr>
                <w:rFonts w:hint="eastAsia" w:ascii="宋体" w:hAnsi="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Fonts w:hint="eastAsia" w:ascii="宋体" w:hAnsi="宋体" w:cs="宋体"/>
                <w:i w:val="0"/>
                <w:iCs w:val="0"/>
                <w:color w:val="000000"/>
                <w:kern w:val="0"/>
                <w:sz w:val="21"/>
                <w:szCs w:val="21"/>
                <w:u w:val="none"/>
                <w:lang w:val="en-US" w:eastAsia="zh-CN" w:bidi="ar"/>
              </w:rPr>
              <w:t>30</w:t>
            </w:r>
            <w:r>
              <w:rPr>
                <w:rFonts w:hint="eastAsia" w:ascii="宋体" w:hAnsi="宋体" w:eastAsia="宋体" w:cs="宋体"/>
                <w:i w:val="0"/>
                <w:iCs w:val="0"/>
                <w:color w:val="000000"/>
                <w:kern w:val="0"/>
                <w:sz w:val="21"/>
                <w:szCs w:val="21"/>
                <w:u w:val="none"/>
                <w:lang w:val="en-US" w:eastAsia="zh-CN" w:bidi="ar"/>
              </w:rPr>
              <w:t>. 互动教学软件为教师备课节省大量时间，支持中英文、数学公式的编辑输入，可快速输入方程组、脱式运算，提供不少于70个数学符号及模板；预置不少于40个常用数学公式，无需编辑一键插入，输入内容可用不同颜色标记及重复编辑。</w:t>
            </w:r>
          </w:p>
        </w:tc>
        <w:tc>
          <w:tcPr>
            <w:tcW w:w="991" w:type="dxa"/>
            <w:vAlign w:val="top"/>
          </w:tcPr>
          <w:p>
            <w:pPr>
              <w:keepNext w:val="0"/>
              <w:keepLines w:val="0"/>
              <w:widowControl/>
              <w:suppressLineNumbers w:val="0"/>
              <w:jc w:val="left"/>
              <w:textAlignment w:val="top"/>
              <w:rPr>
                <w:rFonts w:hint="eastAsia" w:ascii="宋体" w:hAnsi="宋体" w:cs="宋体"/>
                <w:i w:val="0"/>
                <w:iCs w:val="0"/>
                <w:color w:val="000000"/>
                <w:kern w:val="0"/>
                <w:sz w:val="21"/>
                <w:szCs w:val="21"/>
                <w:u w:val="none"/>
                <w:lang w:val="en-US" w:eastAsia="zh-CN" w:bidi="ar"/>
              </w:rPr>
            </w:pPr>
          </w:p>
        </w:tc>
        <w:tc>
          <w:tcPr>
            <w:tcW w:w="752" w:type="dxa"/>
            <w:vAlign w:val="top"/>
          </w:tcPr>
          <w:p>
            <w:pPr>
              <w:keepNext w:val="0"/>
              <w:keepLines w:val="0"/>
              <w:widowControl/>
              <w:suppressLineNumbers w:val="0"/>
              <w:jc w:val="left"/>
              <w:textAlignment w:val="top"/>
              <w:rPr>
                <w:rFonts w:hint="eastAsia" w:ascii="宋体" w:hAnsi="宋体" w:cs="宋体"/>
                <w:i w:val="0"/>
                <w:iCs w:val="0"/>
                <w:color w:val="000000"/>
                <w:kern w:val="0"/>
                <w:sz w:val="21"/>
                <w:szCs w:val="21"/>
                <w:u w:val="none"/>
                <w:lang w:val="en-US" w:eastAsia="zh-CN" w:bidi="ar"/>
              </w:rPr>
            </w:pPr>
          </w:p>
        </w:tc>
        <w:tc>
          <w:tcPr>
            <w:tcW w:w="855" w:type="dxa"/>
            <w:vAlign w:val="top"/>
          </w:tcPr>
          <w:p>
            <w:pPr>
              <w:keepNext w:val="0"/>
              <w:keepLines w:val="0"/>
              <w:widowControl/>
              <w:suppressLineNumbers w:val="0"/>
              <w:jc w:val="left"/>
              <w:textAlignment w:val="top"/>
              <w:rPr>
                <w:rFonts w:hint="eastAsia" w:ascii="宋体" w:hAnsi="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 互动教学软件要求支持为长方体、圆柱体、圆锥等几何体的各面、棱分别填涂颜色，并且可通过360°旋转观察涂色面与未涂色面；几何体支持平面展开，预置长方体、立方体“141、132、222、33”型展开方式，展开后可对涂色面进行查看，有助于学生的空间想象。</w:t>
            </w:r>
          </w:p>
        </w:tc>
        <w:tc>
          <w:tcPr>
            <w:tcW w:w="991" w:type="dxa"/>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752" w:type="dxa"/>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855" w:type="dxa"/>
            <w:vAlign w:val="top"/>
          </w:tcPr>
          <w:p>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Style w:val="38"/>
                <w:lang w:val="en-US" w:eastAsia="zh-CN" w:bidi="ar"/>
              </w:rPr>
              <w:t>3</w:t>
            </w:r>
            <w:r>
              <w:rPr>
                <w:rStyle w:val="38"/>
                <w:rFonts w:hint="eastAsia"/>
                <w:lang w:val="en-US" w:eastAsia="zh-CN" w:bidi="ar"/>
              </w:rPr>
              <w:t>2</w:t>
            </w:r>
            <w:r>
              <w:rPr>
                <w:rStyle w:val="38"/>
                <w:lang w:val="en-US" w:eastAsia="zh-CN" w:bidi="ar"/>
              </w:rPr>
              <w:t>. 互动教学软件需要提供覆盖初中、高中的古诗词、古文教学资源：包含原文、翻译、背景介绍、作者介绍、朗诵音频。内嵌诗词百科链接，一键跳转展示诗词及作者详细背景介绍；全部古诗词资源按照年级学段、朝代、诗人进行精细分类，教师仅需点击分类关键词即可快速跳转至对应诗词资源，备课时可对原文进行注释、标重点等操作；提供原文朗读音频，全部诗词、古文均配备专业朗读配音，朗读音频支持关键帧打点标记。</w:t>
            </w:r>
          </w:p>
        </w:tc>
        <w:tc>
          <w:tcPr>
            <w:tcW w:w="991" w:type="dxa"/>
            <w:vAlign w:val="top"/>
          </w:tcPr>
          <w:p>
            <w:pPr>
              <w:keepNext w:val="0"/>
              <w:keepLines w:val="0"/>
              <w:widowControl/>
              <w:suppressLineNumbers w:val="0"/>
              <w:jc w:val="left"/>
              <w:textAlignment w:val="top"/>
              <w:rPr>
                <w:rStyle w:val="38"/>
                <w:lang w:val="en-US" w:eastAsia="zh-CN" w:bidi="ar"/>
              </w:rPr>
            </w:pPr>
          </w:p>
        </w:tc>
        <w:tc>
          <w:tcPr>
            <w:tcW w:w="752" w:type="dxa"/>
            <w:vAlign w:val="top"/>
          </w:tcPr>
          <w:p>
            <w:pPr>
              <w:keepNext w:val="0"/>
              <w:keepLines w:val="0"/>
              <w:widowControl/>
              <w:suppressLineNumbers w:val="0"/>
              <w:jc w:val="left"/>
              <w:textAlignment w:val="top"/>
              <w:rPr>
                <w:rStyle w:val="38"/>
                <w:lang w:val="en-US" w:eastAsia="zh-CN" w:bidi="ar"/>
              </w:rPr>
            </w:pPr>
          </w:p>
        </w:tc>
        <w:tc>
          <w:tcPr>
            <w:tcW w:w="855" w:type="dxa"/>
            <w:vAlign w:val="top"/>
          </w:tcPr>
          <w:p>
            <w:pPr>
              <w:keepNext w:val="0"/>
              <w:keepLines w:val="0"/>
              <w:widowControl/>
              <w:suppressLineNumbers w:val="0"/>
              <w:jc w:val="left"/>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Style w:val="40"/>
                <w:lang w:val="en-US" w:eastAsia="zh-CN" w:bidi="ar"/>
              </w:rPr>
              <w:t>3</w:t>
            </w:r>
            <w:r>
              <w:rPr>
                <w:rStyle w:val="40"/>
                <w:rFonts w:hint="eastAsia"/>
                <w:lang w:val="en-US" w:eastAsia="zh-CN" w:bidi="ar"/>
              </w:rPr>
              <w:t>3</w:t>
            </w:r>
            <w:r>
              <w:rPr>
                <w:rStyle w:val="40"/>
                <w:lang w:val="en-US" w:eastAsia="zh-CN" w:bidi="ar"/>
              </w:rPr>
              <w:t>. 多学科课件库：提供涵盖小学语文、数学、英语全部教学章节的不少于80000份的交互式课件。课件支持直接预览并下载，预览时支持拖动课堂活动、形状、几何、文本等元素；下载时课件可同步至教师个人云课件存储空间；课件支持教师在线评分。</w:t>
            </w:r>
          </w:p>
        </w:tc>
        <w:tc>
          <w:tcPr>
            <w:tcW w:w="991" w:type="dxa"/>
            <w:vAlign w:val="top"/>
          </w:tcPr>
          <w:p>
            <w:pPr>
              <w:keepNext w:val="0"/>
              <w:keepLines w:val="0"/>
              <w:widowControl/>
              <w:suppressLineNumbers w:val="0"/>
              <w:jc w:val="left"/>
              <w:textAlignment w:val="top"/>
              <w:rPr>
                <w:rStyle w:val="40"/>
                <w:lang w:val="en-US" w:eastAsia="zh-CN" w:bidi="ar"/>
              </w:rPr>
            </w:pPr>
          </w:p>
        </w:tc>
        <w:tc>
          <w:tcPr>
            <w:tcW w:w="752" w:type="dxa"/>
            <w:vAlign w:val="top"/>
          </w:tcPr>
          <w:p>
            <w:pPr>
              <w:keepNext w:val="0"/>
              <w:keepLines w:val="0"/>
              <w:widowControl/>
              <w:suppressLineNumbers w:val="0"/>
              <w:jc w:val="left"/>
              <w:textAlignment w:val="top"/>
              <w:rPr>
                <w:rStyle w:val="40"/>
                <w:lang w:val="en-US" w:eastAsia="zh-CN" w:bidi="ar"/>
              </w:rPr>
            </w:pPr>
          </w:p>
        </w:tc>
        <w:tc>
          <w:tcPr>
            <w:tcW w:w="855" w:type="dxa"/>
            <w:vAlign w:val="top"/>
          </w:tcPr>
          <w:p>
            <w:pPr>
              <w:keepNext w:val="0"/>
              <w:keepLines w:val="0"/>
              <w:widowControl/>
              <w:suppressLineNumbers w:val="0"/>
              <w:jc w:val="left"/>
              <w:textAlignment w:val="top"/>
              <w:rPr>
                <w:rStyle w:val="4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both"/>
              <w:textAlignment w:val="top"/>
              <w:rPr>
                <w:rFonts w:hint="eastAsia" w:eastAsia="宋体"/>
                <w:lang w:val="en-US" w:eastAsia="zh-CN"/>
              </w:rPr>
            </w:pPr>
            <w:r>
              <w:rPr>
                <w:rStyle w:val="38"/>
                <w:lang w:val="en-US" w:eastAsia="zh-CN" w:bidi="ar"/>
              </w:rPr>
              <w:t>3</w:t>
            </w:r>
            <w:r>
              <w:rPr>
                <w:rStyle w:val="38"/>
                <w:rFonts w:hint="eastAsia"/>
                <w:lang w:val="en-US" w:eastAsia="zh-CN" w:bidi="ar"/>
              </w:rPr>
              <w:t>4</w:t>
            </w:r>
            <w:r>
              <w:rPr>
                <w:rStyle w:val="38"/>
                <w:lang w:val="en-US" w:eastAsia="zh-CN" w:bidi="ar"/>
              </w:rPr>
              <w:t>. 设计架构：系统采用模块化的架构设计B/S架构，通过浏览器打开并用微信扫码登录、账号密码登录和微信授权登录完成鉴权，即可使用数字校园产品的各项功能模块。</w:t>
            </w:r>
          </w:p>
        </w:tc>
        <w:tc>
          <w:tcPr>
            <w:tcW w:w="991" w:type="dxa"/>
            <w:vAlign w:val="top"/>
          </w:tcPr>
          <w:p>
            <w:pPr>
              <w:keepNext w:val="0"/>
              <w:keepLines w:val="0"/>
              <w:widowControl/>
              <w:suppressLineNumbers w:val="0"/>
              <w:jc w:val="both"/>
              <w:textAlignment w:val="top"/>
              <w:rPr>
                <w:rStyle w:val="38"/>
                <w:lang w:val="en-US" w:eastAsia="zh-CN" w:bidi="ar"/>
              </w:rPr>
            </w:pPr>
          </w:p>
        </w:tc>
        <w:tc>
          <w:tcPr>
            <w:tcW w:w="752" w:type="dxa"/>
            <w:vAlign w:val="top"/>
          </w:tcPr>
          <w:p>
            <w:pPr>
              <w:keepNext w:val="0"/>
              <w:keepLines w:val="0"/>
              <w:widowControl/>
              <w:suppressLineNumbers w:val="0"/>
              <w:jc w:val="both"/>
              <w:textAlignment w:val="top"/>
              <w:rPr>
                <w:rStyle w:val="38"/>
                <w:lang w:val="en-US" w:eastAsia="zh-CN" w:bidi="ar"/>
              </w:rPr>
            </w:pPr>
          </w:p>
        </w:tc>
        <w:tc>
          <w:tcPr>
            <w:tcW w:w="855" w:type="dxa"/>
            <w:vAlign w:val="top"/>
          </w:tcPr>
          <w:p>
            <w:pPr>
              <w:keepNext w:val="0"/>
              <w:keepLines w:val="0"/>
              <w:widowControl/>
              <w:suppressLineNumbers w:val="0"/>
              <w:jc w:val="both"/>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both"/>
              <w:textAlignment w:val="top"/>
              <w:rPr>
                <w:rFonts w:hint="eastAsia" w:eastAsia="宋体"/>
                <w:lang w:val="en-US" w:eastAsia="zh-CN"/>
              </w:rPr>
            </w:pPr>
            <w:r>
              <w:rPr>
                <w:rStyle w:val="38"/>
                <w:lang w:val="en-US" w:eastAsia="zh-CN" w:bidi="ar"/>
              </w:rPr>
              <w:t>3</w:t>
            </w:r>
            <w:r>
              <w:rPr>
                <w:rStyle w:val="38"/>
                <w:rFonts w:hint="eastAsia"/>
                <w:lang w:val="en-US" w:eastAsia="zh-CN" w:bidi="ar"/>
              </w:rPr>
              <w:t>5</w:t>
            </w:r>
            <w:r>
              <w:rPr>
                <w:rStyle w:val="38"/>
                <w:lang w:val="en-US" w:eastAsia="zh-CN" w:bidi="ar"/>
              </w:rPr>
              <w:t>. ▲工作台配置：针对不同的客户诉求，提供个性化工作台自定义功能，在工作台配置页面，可通过拖拉拽可视化配置组件的方式，完成个性化工作台的配置；工作台可配置组件数量不小于30个；支持给每个工作台配置不同的使用角色，默认预设全员工作台和分别仅电教主任，德育主任，教研主任查看的工作台，对应的角色才能看到对应的工作台；同时工作台支持启用和停用管理。</w:t>
            </w:r>
            <w:r>
              <w:rPr>
                <w:rStyle w:val="38"/>
                <w:highlight w:val="yellow"/>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c>
          <w:tcPr>
            <w:tcW w:w="991" w:type="dxa"/>
            <w:vAlign w:val="top"/>
          </w:tcPr>
          <w:p>
            <w:pPr>
              <w:keepNext w:val="0"/>
              <w:keepLines w:val="0"/>
              <w:widowControl/>
              <w:suppressLineNumbers w:val="0"/>
              <w:jc w:val="both"/>
              <w:textAlignment w:val="top"/>
              <w:rPr>
                <w:rStyle w:val="38"/>
                <w:lang w:val="en-US" w:eastAsia="zh-CN" w:bidi="ar"/>
              </w:rPr>
            </w:pPr>
          </w:p>
        </w:tc>
        <w:tc>
          <w:tcPr>
            <w:tcW w:w="752" w:type="dxa"/>
            <w:vAlign w:val="top"/>
          </w:tcPr>
          <w:p>
            <w:pPr>
              <w:keepNext w:val="0"/>
              <w:keepLines w:val="0"/>
              <w:widowControl/>
              <w:suppressLineNumbers w:val="0"/>
              <w:jc w:val="both"/>
              <w:textAlignment w:val="top"/>
              <w:rPr>
                <w:rStyle w:val="38"/>
                <w:lang w:val="en-US" w:eastAsia="zh-CN" w:bidi="ar"/>
              </w:rPr>
            </w:pPr>
          </w:p>
        </w:tc>
        <w:tc>
          <w:tcPr>
            <w:tcW w:w="855" w:type="dxa"/>
            <w:vAlign w:val="top"/>
          </w:tcPr>
          <w:p>
            <w:pPr>
              <w:keepNext w:val="0"/>
              <w:keepLines w:val="0"/>
              <w:widowControl/>
              <w:suppressLineNumbers w:val="0"/>
              <w:jc w:val="both"/>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both"/>
              <w:textAlignment w:val="top"/>
              <w:rPr>
                <w:rFonts w:hint="eastAsia" w:eastAsia="宋体"/>
                <w:lang w:val="en-US" w:eastAsia="zh-CN"/>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 ▲专属工作台：支持设置显隐组件来定制专属工作台。支持通过设备总览组件快捷查看学校所有设备实时状态及达标情况。支持通过设备巡视组件实时了解教室和设备的情况。支持通过设备使用情况组件了解设备活跃分布及长时间未使用的设备情况，设置智能策略来对设备进行管控；支持通过软件使用情况组件掌握学校教师常用的教学软件，快速拦截风险应用；支持通过老师使用情况了解教师对信息化设备的使用率；支持通过网站访问情况了解设备上使用的常用网址，并可快速设置黑名单来禁止设备上的违规访问行为。</w:t>
            </w:r>
            <w:r>
              <w:rPr>
                <w:rFonts w:hint="eastAsia" w:ascii="宋体" w:hAnsi="宋体" w:eastAsia="宋体" w:cs="宋体"/>
                <w:i w:val="0"/>
                <w:iCs w:val="0"/>
                <w:color w:val="000000"/>
                <w:kern w:val="0"/>
                <w:sz w:val="21"/>
                <w:szCs w:val="21"/>
                <w:highlight w:val="yellow"/>
                <w:u w:val="none"/>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c>
          <w:tcPr>
            <w:tcW w:w="991" w:type="dxa"/>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52" w:type="dxa"/>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5" w:type="dxa"/>
            <w:vAlign w:val="top"/>
          </w:tcPr>
          <w:p>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both"/>
              <w:textAlignment w:val="top"/>
              <w:rPr>
                <w:rFonts w:hint="eastAsia" w:eastAsia="宋体"/>
                <w:lang w:val="en-US" w:eastAsia="zh-CN"/>
              </w:rPr>
            </w:pPr>
            <w:r>
              <w:rPr>
                <w:rFonts w:hint="eastAsia" w:ascii="宋体" w:hAnsi="宋体" w:cs="宋体"/>
                <w:i w:val="0"/>
                <w:iCs w:val="0"/>
                <w:color w:val="000000"/>
                <w:kern w:val="0"/>
                <w:sz w:val="21"/>
                <w:szCs w:val="21"/>
                <w:u w:val="none"/>
                <w:lang w:val="en-US" w:eastAsia="zh-CN" w:bidi="ar"/>
              </w:rPr>
              <w:t>37</w:t>
            </w:r>
            <w:r>
              <w:rPr>
                <w:rFonts w:hint="eastAsia" w:ascii="宋体" w:hAnsi="宋体" w:eastAsia="宋体" w:cs="宋体"/>
                <w:i w:val="0"/>
                <w:iCs w:val="0"/>
                <w:color w:val="000000"/>
                <w:kern w:val="0"/>
                <w:sz w:val="21"/>
                <w:szCs w:val="21"/>
                <w:u w:val="none"/>
                <w:lang w:val="en-US" w:eastAsia="zh-CN" w:bidi="ar"/>
              </w:rPr>
              <w:t>. 远程巡课：支持管理者开启远程巡课服务，开启/关闭远程巡课的管控功能；拥有远程巡课权限的老师可在移动端或PC客户端实时巡班，并进行基础远程管控。支持管理者为普通老师直接分配、普通老师自行申请后由管理者在平台审核开通的2种方式管理远程巡课的班级权限，所有权限调整均配备操作日志；支持通过教师、设备维度查看拥有远程巡课的权限明细，并支持快速调整权限。</w:t>
            </w:r>
          </w:p>
        </w:tc>
        <w:tc>
          <w:tcPr>
            <w:tcW w:w="991" w:type="dxa"/>
            <w:vAlign w:val="top"/>
          </w:tcPr>
          <w:p>
            <w:pPr>
              <w:keepNext w:val="0"/>
              <w:keepLines w:val="0"/>
              <w:widowControl/>
              <w:suppressLineNumbers w:val="0"/>
              <w:jc w:val="both"/>
              <w:textAlignment w:val="top"/>
              <w:rPr>
                <w:rFonts w:hint="eastAsia" w:ascii="宋体" w:hAnsi="宋体" w:cs="宋体"/>
                <w:i w:val="0"/>
                <w:iCs w:val="0"/>
                <w:color w:val="000000"/>
                <w:kern w:val="0"/>
                <w:sz w:val="21"/>
                <w:szCs w:val="21"/>
                <w:u w:val="none"/>
                <w:lang w:val="en-US" w:eastAsia="zh-CN" w:bidi="ar"/>
              </w:rPr>
            </w:pPr>
          </w:p>
        </w:tc>
        <w:tc>
          <w:tcPr>
            <w:tcW w:w="752" w:type="dxa"/>
            <w:vAlign w:val="top"/>
          </w:tcPr>
          <w:p>
            <w:pPr>
              <w:keepNext w:val="0"/>
              <w:keepLines w:val="0"/>
              <w:widowControl/>
              <w:suppressLineNumbers w:val="0"/>
              <w:jc w:val="both"/>
              <w:textAlignment w:val="top"/>
              <w:rPr>
                <w:rFonts w:hint="eastAsia" w:ascii="宋体" w:hAnsi="宋体" w:cs="宋体"/>
                <w:i w:val="0"/>
                <w:iCs w:val="0"/>
                <w:color w:val="000000"/>
                <w:kern w:val="0"/>
                <w:sz w:val="21"/>
                <w:szCs w:val="21"/>
                <w:u w:val="none"/>
                <w:lang w:val="en-US" w:eastAsia="zh-CN" w:bidi="ar"/>
              </w:rPr>
            </w:pPr>
          </w:p>
        </w:tc>
        <w:tc>
          <w:tcPr>
            <w:tcW w:w="855" w:type="dxa"/>
            <w:vAlign w:val="top"/>
          </w:tcPr>
          <w:p>
            <w:pPr>
              <w:keepNext w:val="0"/>
              <w:keepLines w:val="0"/>
              <w:widowControl/>
              <w:suppressLineNumbers w:val="0"/>
              <w:jc w:val="both"/>
              <w:textAlignment w:val="top"/>
              <w:rPr>
                <w:rFonts w:hint="eastAsia" w:ascii="宋体" w:hAnsi="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both"/>
              <w:textAlignment w:val="top"/>
              <w:rPr>
                <w:rFonts w:hint="eastAsia" w:eastAsia="宋体"/>
                <w:lang w:val="en-US" w:eastAsia="zh-CN"/>
              </w:rPr>
            </w:pPr>
            <w:r>
              <w:rPr>
                <w:rStyle w:val="38"/>
                <w:rFonts w:hint="eastAsia"/>
                <w:lang w:val="en-US" w:eastAsia="zh-CN" w:bidi="ar"/>
              </w:rPr>
              <w:t>38</w:t>
            </w:r>
            <w:r>
              <w:rPr>
                <w:rStyle w:val="38"/>
                <w:lang w:val="en-US" w:eastAsia="zh-CN" w:bidi="ar"/>
              </w:rPr>
              <w:t>. 点播巡视：支持根据班级课程表，自动获取正在上课或者即将上课的科目、老师列表，快速定位老师所在教室，实时远程听课；支持听课过程中针对本节课的教学过程进行评价，支持创建和使用多个评课表，并将评价记录于巡视记录。</w:t>
            </w:r>
          </w:p>
        </w:tc>
        <w:tc>
          <w:tcPr>
            <w:tcW w:w="991" w:type="dxa"/>
            <w:vAlign w:val="top"/>
          </w:tcPr>
          <w:p>
            <w:pPr>
              <w:keepNext w:val="0"/>
              <w:keepLines w:val="0"/>
              <w:widowControl/>
              <w:suppressLineNumbers w:val="0"/>
              <w:jc w:val="both"/>
              <w:textAlignment w:val="top"/>
              <w:rPr>
                <w:rStyle w:val="38"/>
                <w:rFonts w:hint="eastAsia"/>
                <w:lang w:val="en-US" w:eastAsia="zh-CN" w:bidi="ar"/>
              </w:rPr>
            </w:pPr>
          </w:p>
        </w:tc>
        <w:tc>
          <w:tcPr>
            <w:tcW w:w="752" w:type="dxa"/>
            <w:vAlign w:val="top"/>
          </w:tcPr>
          <w:p>
            <w:pPr>
              <w:keepNext w:val="0"/>
              <w:keepLines w:val="0"/>
              <w:widowControl/>
              <w:suppressLineNumbers w:val="0"/>
              <w:jc w:val="both"/>
              <w:textAlignment w:val="top"/>
              <w:rPr>
                <w:rStyle w:val="38"/>
                <w:rFonts w:hint="eastAsia"/>
                <w:lang w:val="en-US" w:eastAsia="zh-CN" w:bidi="ar"/>
              </w:rPr>
            </w:pPr>
          </w:p>
        </w:tc>
        <w:tc>
          <w:tcPr>
            <w:tcW w:w="855" w:type="dxa"/>
            <w:vAlign w:val="top"/>
          </w:tcPr>
          <w:p>
            <w:pPr>
              <w:keepNext w:val="0"/>
              <w:keepLines w:val="0"/>
              <w:widowControl/>
              <w:suppressLineNumbers w:val="0"/>
              <w:jc w:val="both"/>
              <w:textAlignment w:val="top"/>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both"/>
              <w:textAlignment w:val="top"/>
              <w:rPr>
                <w:rFonts w:hint="eastAsia" w:eastAsia="宋体"/>
                <w:lang w:val="en-US" w:eastAsia="zh-CN"/>
              </w:rPr>
            </w:pPr>
            <w:r>
              <w:rPr>
                <w:rStyle w:val="38"/>
                <w:rFonts w:hint="eastAsia"/>
                <w:lang w:val="en-US" w:eastAsia="zh-CN" w:bidi="ar"/>
              </w:rPr>
              <w:t>39</w:t>
            </w:r>
            <w:r>
              <w:rPr>
                <w:rStyle w:val="38"/>
                <w:lang w:val="en-US" w:eastAsia="zh-CN" w:bidi="ar"/>
              </w:rPr>
              <w:t>. 网址过滤：支持设置网址访问黑名单、白名单，限制所有设备的网址访问。</w:t>
            </w:r>
          </w:p>
        </w:tc>
        <w:tc>
          <w:tcPr>
            <w:tcW w:w="991" w:type="dxa"/>
            <w:vAlign w:val="top"/>
          </w:tcPr>
          <w:p>
            <w:pPr>
              <w:keepNext w:val="0"/>
              <w:keepLines w:val="0"/>
              <w:widowControl/>
              <w:suppressLineNumbers w:val="0"/>
              <w:jc w:val="both"/>
              <w:textAlignment w:val="top"/>
              <w:rPr>
                <w:rStyle w:val="38"/>
                <w:rFonts w:hint="eastAsia"/>
                <w:lang w:val="en-US" w:eastAsia="zh-CN" w:bidi="ar"/>
              </w:rPr>
            </w:pPr>
          </w:p>
        </w:tc>
        <w:tc>
          <w:tcPr>
            <w:tcW w:w="752" w:type="dxa"/>
            <w:vAlign w:val="top"/>
          </w:tcPr>
          <w:p>
            <w:pPr>
              <w:keepNext w:val="0"/>
              <w:keepLines w:val="0"/>
              <w:widowControl/>
              <w:suppressLineNumbers w:val="0"/>
              <w:jc w:val="both"/>
              <w:textAlignment w:val="top"/>
              <w:rPr>
                <w:rStyle w:val="38"/>
                <w:rFonts w:hint="eastAsia"/>
                <w:lang w:val="en-US" w:eastAsia="zh-CN" w:bidi="ar"/>
              </w:rPr>
            </w:pPr>
          </w:p>
        </w:tc>
        <w:tc>
          <w:tcPr>
            <w:tcW w:w="855" w:type="dxa"/>
            <w:vAlign w:val="top"/>
          </w:tcPr>
          <w:p>
            <w:pPr>
              <w:keepNext w:val="0"/>
              <w:keepLines w:val="0"/>
              <w:widowControl/>
              <w:suppressLineNumbers w:val="0"/>
              <w:jc w:val="both"/>
              <w:textAlignment w:val="top"/>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both"/>
              <w:textAlignment w:val="top"/>
              <w:rPr>
                <w:rFonts w:hint="eastAsia" w:eastAsia="宋体"/>
                <w:lang w:val="en-US" w:eastAsia="zh-CN"/>
              </w:rPr>
            </w:pPr>
            <w:r>
              <w:rPr>
                <w:rStyle w:val="38"/>
                <w:lang w:val="en-US" w:eastAsia="zh-CN" w:bidi="ar"/>
              </w:rPr>
              <w:t>4</w:t>
            </w:r>
            <w:r>
              <w:rPr>
                <w:rStyle w:val="38"/>
                <w:rFonts w:hint="eastAsia"/>
                <w:lang w:val="en-US" w:eastAsia="zh-CN" w:bidi="ar"/>
              </w:rPr>
              <w:t>0</w:t>
            </w:r>
            <w:r>
              <w:rPr>
                <w:rStyle w:val="38"/>
                <w:lang w:val="en-US" w:eastAsia="zh-CN" w:bidi="ar"/>
              </w:rPr>
              <w:t>. ▲AI画面监测：支持AI自动监测设备画面色情、恐怖、暴力、游戏等风险内容或元素；支持设置警告内容，当监测到不良画面后自动提醒；支持将每天监测到的风险结果自动推送至公众号提醒管理；支持按设备、按画面维度回溯历史监测到的不良画面信息。</w:t>
            </w:r>
            <w:r>
              <w:rPr>
                <w:rStyle w:val="38"/>
                <w:highlight w:val="yellow"/>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c>
          <w:tcPr>
            <w:tcW w:w="991" w:type="dxa"/>
            <w:vAlign w:val="top"/>
          </w:tcPr>
          <w:p>
            <w:pPr>
              <w:keepNext w:val="0"/>
              <w:keepLines w:val="0"/>
              <w:widowControl/>
              <w:suppressLineNumbers w:val="0"/>
              <w:jc w:val="both"/>
              <w:textAlignment w:val="top"/>
              <w:rPr>
                <w:rStyle w:val="38"/>
                <w:lang w:val="en-US" w:eastAsia="zh-CN" w:bidi="ar"/>
              </w:rPr>
            </w:pPr>
          </w:p>
        </w:tc>
        <w:tc>
          <w:tcPr>
            <w:tcW w:w="752" w:type="dxa"/>
            <w:vAlign w:val="top"/>
          </w:tcPr>
          <w:p>
            <w:pPr>
              <w:keepNext w:val="0"/>
              <w:keepLines w:val="0"/>
              <w:widowControl/>
              <w:suppressLineNumbers w:val="0"/>
              <w:jc w:val="both"/>
              <w:textAlignment w:val="top"/>
              <w:rPr>
                <w:rStyle w:val="38"/>
                <w:lang w:val="en-US" w:eastAsia="zh-CN" w:bidi="ar"/>
              </w:rPr>
            </w:pPr>
          </w:p>
        </w:tc>
        <w:tc>
          <w:tcPr>
            <w:tcW w:w="855" w:type="dxa"/>
            <w:vAlign w:val="top"/>
          </w:tcPr>
          <w:p>
            <w:pPr>
              <w:keepNext w:val="0"/>
              <w:keepLines w:val="0"/>
              <w:widowControl/>
              <w:suppressLineNumbers w:val="0"/>
              <w:jc w:val="both"/>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both"/>
              <w:textAlignment w:val="top"/>
              <w:rPr>
                <w:rFonts w:hint="eastAsia" w:eastAsia="宋体"/>
                <w:lang w:val="en-US" w:eastAsia="zh-CN"/>
              </w:rPr>
            </w:pPr>
            <w:r>
              <w:rPr>
                <w:rStyle w:val="38"/>
                <w:lang w:val="en-US" w:eastAsia="zh-CN" w:bidi="ar"/>
              </w:rPr>
              <w:t>4</w:t>
            </w:r>
            <w:r>
              <w:rPr>
                <w:rStyle w:val="38"/>
                <w:rFonts w:hint="eastAsia"/>
                <w:lang w:val="en-US" w:eastAsia="zh-CN" w:bidi="ar"/>
              </w:rPr>
              <w:t>1</w:t>
            </w:r>
            <w:r>
              <w:rPr>
                <w:rStyle w:val="38"/>
                <w:lang w:val="en-US" w:eastAsia="zh-CN" w:bidi="ar"/>
              </w:rPr>
              <w:t>. 多场景锁屏：支持一键下课锁屏、开机自动锁屏、无网络时验证身份解锁、联网时禁用密码解锁；支持下课锁屏，在班班通设备上点击“下课”按钮即可锁屏；支持开机自动锁屏，可设置生效时间和生效设备；支持无网络情况下，通过手机微信扫码，验证身份后获取密码进行解锁使用。支持设置屏幕锁壁纸；支持设置普通锁屏、极速锁屏模式。</w:t>
            </w:r>
          </w:p>
        </w:tc>
        <w:tc>
          <w:tcPr>
            <w:tcW w:w="991" w:type="dxa"/>
            <w:vAlign w:val="top"/>
          </w:tcPr>
          <w:p>
            <w:pPr>
              <w:keepNext w:val="0"/>
              <w:keepLines w:val="0"/>
              <w:widowControl/>
              <w:suppressLineNumbers w:val="0"/>
              <w:jc w:val="both"/>
              <w:textAlignment w:val="top"/>
              <w:rPr>
                <w:rStyle w:val="38"/>
                <w:lang w:val="en-US" w:eastAsia="zh-CN" w:bidi="ar"/>
              </w:rPr>
            </w:pPr>
          </w:p>
        </w:tc>
        <w:tc>
          <w:tcPr>
            <w:tcW w:w="752" w:type="dxa"/>
            <w:vAlign w:val="top"/>
          </w:tcPr>
          <w:p>
            <w:pPr>
              <w:keepNext w:val="0"/>
              <w:keepLines w:val="0"/>
              <w:widowControl/>
              <w:suppressLineNumbers w:val="0"/>
              <w:jc w:val="both"/>
              <w:textAlignment w:val="top"/>
              <w:rPr>
                <w:rStyle w:val="38"/>
                <w:lang w:val="en-US" w:eastAsia="zh-CN" w:bidi="ar"/>
              </w:rPr>
            </w:pPr>
          </w:p>
        </w:tc>
        <w:tc>
          <w:tcPr>
            <w:tcW w:w="855" w:type="dxa"/>
            <w:vAlign w:val="top"/>
          </w:tcPr>
          <w:p>
            <w:pPr>
              <w:keepNext w:val="0"/>
              <w:keepLines w:val="0"/>
              <w:widowControl/>
              <w:suppressLineNumbers w:val="0"/>
              <w:jc w:val="both"/>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both"/>
              <w:textAlignment w:val="top"/>
              <w:rPr>
                <w:rFonts w:hint="eastAsia" w:eastAsia="宋体"/>
                <w:lang w:val="en-US" w:eastAsia="zh-CN"/>
              </w:rPr>
            </w:pPr>
            <w:r>
              <w:rPr>
                <w:rStyle w:val="38"/>
                <w:lang w:val="en-US" w:eastAsia="zh-CN" w:bidi="ar"/>
              </w:rPr>
              <w:t>4</w:t>
            </w:r>
            <w:r>
              <w:rPr>
                <w:rStyle w:val="38"/>
                <w:rFonts w:hint="eastAsia"/>
                <w:lang w:val="en-US" w:eastAsia="zh-CN" w:bidi="ar"/>
              </w:rPr>
              <w:t>2</w:t>
            </w:r>
            <w:r>
              <w:rPr>
                <w:rStyle w:val="38"/>
                <w:lang w:val="en-US" w:eastAsia="zh-CN" w:bidi="ar"/>
              </w:rPr>
              <w:t>. 指令管理：支持设置即时、定时、循环模式的关机、重启、打铃、锁屏/解锁指令。其中打铃指令支持上传自定义铃声、设置播放时长；其中锁屏指令支持一键下课锁屏、开机自动锁屏、无网络时验证身份解锁、联网时禁用密码解锁、普通/极速锁屏模式；支持设置锁屏壁纸用于校园文化宣传；支持跑马灯、全局弹窗、桌面常驻通知3种类型的文本消息推送；支持定向传输多个超过50MB的文件至不同设备；支持开启/关闭指定设备的倒计日服务；支持批量设置设备音量；支持远程操作和控制设备；支持查看、编辑和撤销待执行指令；支持查看指令执行实时状态、设备操作日志，包含设备每次解锁方式、解锁时间、解锁人信息。</w:t>
            </w:r>
          </w:p>
        </w:tc>
        <w:tc>
          <w:tcPr>
            <w:tcW w:w="991" w:type="dxa"/>
            <w:vAlign w:val="top"/>
          </w:tcPr>
          <w:p>
            <w:pPr>
              <w:keepNext w:val="0"/>
              <w:keepLines w:val="0"/>
              <w:widowControl/>
              <w:suppressLineNumbers w:val="0"/>
              <w:jc w:val="both"/>
              <w:textAlignment w:val="top"/>
              <w:rPr>
                <w:rStyle w:val="38"/>
                <w:lang w:val="en-US" w:eastAsia="zh-CN" w:bidi="ar"/>
              </w:rPr>
            </w:pPr>
          </w:p>
        </w:tc>
        <w:tc>
          <w:tcPr>
            <w:tcW w:w="752" w:type="dxa"/>
            <w:vAlign w:val="top"/>
          </w:tcPr>
          <w:p>
            <w:pPr>
              <w:keepNext w:val="0"/>
              <w:keepLines w:val="0"/>
              <w:widowControl/>
              <w:suppressLineNumbers w:val="0"/>
              <w:jc w:val="both"/>
              <w:textAlignment w:val="top"/>
              <w:rPr>
                <w:rStyle w:val="38"/>
                <w:lang w:val="en-US" w:eastAsia="zh-CN" w:bidi="ar"/>
              </w:rPr>
            </w:pPr>
          </w:p>
        </w:tc>
        <w:tc>
          <w:tcPr>
            <w:tcW w:w="855" w:type="dxa"/>
            <w:vAlign w:val="top"/>
          </w:tcPr>
          <w:p>
            <w:pPr>
              <w:keepNext w:val="0"/>
              <w:keepLines w:val="0"/>
              <w:widowControl/>
              <w:suppressLineNumbers w:val="0"/>
              <w:jc w:val="both"/>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both"/>
              <w:textAlignment w:val="top"/>
              <w:rPr>
                <w:rFonts w:hint="eastAsia" w:eastAsia="宋体"/>
                <w:lang w:val="en-US" w:eastAsia="zh-CN"/>
              </w:rPr>
            </w:pPr>
            <w:r>
              <w:rPr>
                <w:rStyle w:val="38"/>
                <w:lang w:val="en-US" w:eastAsia="zh-CN" w:bidi="ar"/>
              </w:rPr>
              <w:t>4</w:t>
            </w:r>
            <w:r>
              <w:rPr>
                <w:rStyle w:val="38"/>
                <w:rFonts w:hint="eastAsia"/>
                <w:lang w:val="en-US" w:eastAsia="zh-CN" w:bidi="ar"/>
              </w:rPr>
              <w:t>3</w:t>
            </w:r>
            <w:r>
              <w:rPr>
                <w:rStyle w:val="38"/>
                <w:lang w:val="en-US" w:eastAsia="zh-CN" w:bidi="ar"/>
              </w:rPr>
              <w:t>. 移动端管理：支持通过微信小程序远程管理学校所有电子设备，支持查看设备运行状态，支持下发远程指令，支持查看设备数据，支持推送指令执行异常的设备信息、出现不良画面的设备及不良内容。</w:t>
            </w:r>
          </w:p>
        </w:tc>
        <w:tc>
          <w:tcPr>
            <w:tcW w:w="991" w:type="dxa"/>
            <w:vAlign w:val="top"/>
          </w:tcPr>
          <w:p>
            <w:pPr>
              <w:keepNext w:val="0"/>
              <w:keepLines w:val="0"/>
              <w:widowControl/>
              <w:suppressLineNumbers w:val="0"/>
              <w:jc w:val="both"/>
              <w:textAlignment w:val="top"/>
              <w:rPr>
                <w:rStyle w:val="38"/>
                <w:lang w:val="en-US" w:eastAsia="zh-CN" w:bidi="ar"/>
              </w:rPr>
            </w:pPr>
          </w:p>
        </w:tc>
        <w:tc>
          <w:tcPr>
            <w:tcW w:w="752" w:type="dxa"/>
            <w:vAlign w:val="top"/>
          </w:tcPr>
          <w:p>
            <w:pPr>
              <w:keepNext w:val="0"/>
              <w:keepLines w:val="0"/>
              <w:widowControl/>
              <w:suppressLineNumbers w:val="0"/>
              <w:jc w:val="both"/>
              <w:textAlignment w:val="top"/>
              <w:rPr>
                <w:rStyle w:val="38"/>
                <w:lang w:val="en-US" w:eastAsia="zh-CN" w:bidi="ar"/>
              </w:rPr>
            </w:pPr>
          </w:p>
        </w:tc>
        <w:tc>
          <w:tcPr>
            <w:tcW w:w="855" w:type="dxa"/>
            <w:vAlign w:val="top"/>
          </w:tcPr>
          <w:p>
            <w:pPr>
              <w:keepNext w:val="0"/>
              <w:keepLines w:val="0"/>
              <w:widowControl/>
              <w:suppressLineNumbers w:val="0"/>
              <w:jc w:val="both"/>
              <w:textAlignment w:val="top"/>
              <w:rPr>
                <w:rStyle w:val="3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both"/>
              <w:textAlignment w:val="top"/>
              <w:rPr>
                <w:rFonts w:hint="eastAsia" w:eastAsia="宋体"/>
                <w:lang w:val="en-US" w:eastAsia="zh-CN"/>
              </w:rPr>
            </w:pPr>
            <w:r>
              <w:rPr>
                <w:rStyle w:val="38"/>
                <w:rFonts w:hint="eastAsia"/>
                <w:lang w:val="en-US" w:eastAsia="zh-CN" w:bidi="ar"/>
              </w:rPr>
              <w:t>44</w:t>
            </w:r>
            <w:r>
              <w:rPr>
                <w:rStyle w:val="38"/>
                <w:lang w:val="en-US" w:eastAsia="zh-CN" w:bidi="ar"/>
              </w:rPr>
              <w:t>. 系统管理：支持学校高级管理员添加多位管理员协同管理及快速转让高级管理员，支持为普通管理员分配不同权限，权限支持按系统功能菜单分配、按管理设备分配方式；支持设置在自定义时间段内自动升级设备辅助管理软件、开启/关闭自动升级后自动关机服务、开启/关闭限制旧版本覆盖安装的安全服务；支持启用/禁用管家身份验证服务，包含扫码验证、复杂密码验证服务。支持记录并回看管理员的操作日志，包含操作人、操作时间、操作内容。</w:t>
            </w:r>
          </w:p>
        </w:tc>
        <w:tc>
          <w:tcPr>
            <w:tcW w:w="991" w:type="dxa"/>
            <w:vAlign w:val="top"/>
          </w:tcPr>
          <w:p>
            <w:pPr>
              <w:keepNext w:val="0"/>
              <w:keepLines w:val="0"/>
              <w:widowControl/>
              <w:suppressLineNumbers w:val="0"/>
              <w:jc w:val="both"/>
              <w:textAlignment w:val="top"/>
              <w:rPr>
                <w:rStyle w:val="38"/>
                <w:rFonts w:hint="eastAsia"/>
                <w:lang w:val="en-US" w:eastAsia="zh-CN" w:bidi="ar"/>
              </w:rPr>
            </w:pPr>
          </w:p>
        </w:tc>
        <w:tc>
          <w:tcPr>
            <w:tcW w:w="752" w:type="dxa"/>
            <w:vAlign w:val="top"/>
          </w:tcPr>
          <w:p>
            <w:pPr>
              <w:keepNext w:val="0"/>
              <w:keepLines w:val="0"/>
              <w:widowControl/>
              <w:suppressLineNumbers w:val="0"/>
              <w:jc w:val="both"/>
              <w:textAlignment w:val="top"/>
              <w:rPr>
                <w:rStyle w:val="38"/>
                <w:rFonts w:hint="eastAsia"/>
                <w:lang w:val="en-US" w:eastAsia="zh-CN" w:bidi="ar"/>
              </w:rPr>
            </w:pPr>
          </w:p>
        </w:tc>
        <w:tc>
          <w:tcPr>
            <w:tcW w:w="855" w:type="dxa"/>
            <w:vAlign w:val="top"/>
          </w:tcPr>
          <w:p>
            <w:pPr>
              <w:keepNext w:val="0"/>
              <w:keepLines w:val="0"/>
              <w:widowControl/>
              <w:suppressLineNumbers w:val="0"/>
              <w:jc w:val="both"/>
              <w:textAlignment w:val="top"/>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2"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both"/>
              <w:textAlignment w:val="top"/>
              <w:rPr>
                <w:rFonts w:hint="eastAsia" w:eastAsia="宋体"/>
                <w:lang w:val="en-US" w:eastAsia="zh-CN"/>
              </w:rPr>
            </w:pPr>
            <w:r>
              <w:rPr>
                <w:rStyle w:val="38"/>
                <w:rFonts w:hint="eastAsia"/>
                <w:lang w:val="en-US" w:eastAsia="zh-CN" w:bidi="ar"/>
              </w:rPr>
              <w:t>45</w:t>
            </w:r>
            <w:r>
              <w:rPr>
                <w:rStyle w:val="38"/>
                <w:lang w:val="en-US" w:eastAsia="zh-CN" w:bidi="ar"/>
              </w:rPr>
              <w:t>. ▲ 基建优化建议：支持解读设备运行数据，提供基建优化建议；支持根据网络带宽利用率分析网络稳定性并提供优化方案；支持根据硬件参数及流畅度达标情况分析设备运行稳定性并提供优化方案；支持根据安全服务开启情况分析设备运行风险并提供优化方案。</w:t>
            </w:r>
            <w:r>
              <w:rPr>
                <w:rStyle w:val="38"/>
                <w:highlight w:val="yellow"/>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c>
          <w:tcPr>
            <w:tcW w:w="991" w:type="dxa"/>
            <w:vAlign w:val="top"/>
          </w:tcPr>
          <w:p>
            <w:pPr>
              <w:keepNext w:val="0"/>
              <w:keepLines w:val="0"/>
              <w:widowControl/>
              <w:suppressLineNumbers w:val="0"/>
              <w:jc w:val="both"/>
              <w:textAlignment w:val="top"/>
              <w:rPr>
                <w:rStyle w:val="38"/>
                <w:rFonts w:hint="eastAsia"/>
                <w:lang w:val="en-US" w:eastAsia="zh-CN" w:bidi="ar"/>
              </w:rPr>
            </w:pPr>
          </w:p>
        </w:tc>
        <w:tc>
          <w:tcPr>
            <w:tcW w:w="752" w:type="dxa"/>
            <w:vAlign w:val="top"/>
          </w:tcPr>
          <w:p>
            <w:pPr>
              <w:keepNext w:val="0"/>
              <w:keepLines w:val="0"/>
              <w:widowControl/>
              <w:suppressLineNumbers w:val="0"/>
              <w:jc w:val="both"/>
              <w:textAlignment w:val="top"/>
              <w:rPr>
                <w:rStyle w:val="38"/>
                <w:rFonts w:hint="eastAsia"/>
                <w:lang w:val="en-US" w:eastAsia="zh-CN" w:bidi="ar"/>
              </w:rPr>
            </w:pPr>
          </w:p>
        </w:tc>
        <w:tc>
          <w:tcPr>
            <w:tcW w:w="855" w:type="dxa"/>
            <w:vAlign w:val="top"/>
          </w:tcPr>
          <w:p>
            <w:pPr>
              <w:keepNext w:val="0"/>
              <w:keepLines w:val="0"/>
              <w:widowControl/>
              <w:suppressLineNumbers w:val="0"/>
              <w:jc w:val="both"/>
              <w:textAlignment w:val="top"/>
              <w:rPr>
                <w:rStyle w:val="38"/>
                <w:rFonts w:hint="eastAsia"/>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suppressLineNumbers w:val="0"/>
              <w:jc w:val="left"/>
              <w:textAlignment w:val="top"/>
              <w:rPr>
                <w:rFonts w:hint="eastAsia" w:eastAsia="宋体"/>
                <w:lang w:val="en-US" w:eastAsia="zh-CN"/>
              </w:rPr>
            </w:pPr>
            <w:r>
              <w:rPr>
                <w:rFonts w:hint="eastAsia" w:ascii="宋体" w:hAnsi="宋体" w:cs="宋体"/>
                <w:i w:val="0"/>
                <w:iCs w:val="0"/>
                <w:color w:val="000000"/>
                <w:kern w:val="0"/>
                <w:sz w:val="21"/>
                <w:szCs w:val="21"/>
                <w:u w:val="none"/>
                <w:lang w:val="en-US" w:eastAsia="zh-CN" w:bidi="ar"/>
              </w:rPr>
              <w:t>46</w:t>
            </w:r>
            <w:r>
              <w:rPr>
                <w:rFonts w:hint="eastAsia" w:ascii="宋体" w:hAnsi="宋体" w:eastAsia="宋体" w:cs="宋体"/>
                <w:i w:val="0"/>
                <w:iCs w:val="0"/>
                <w:color w:val="000000"/>
                <w:kern w:val="0"/>
                <w:sz w:val="21"/>
                <w:szCs w:val="21"/>
                <w:u w:val="none"/>
                <w:lang w:val="en-US" w:eastAsia="zh-CN" w:bidi="ar"/>
              </w:rPr>
              <w:t>. ▲素养提升建议：支持分析解读教师使用数据，提供信息化素养提升建议；支持根据各学科/设备/老师使用数据分析经验丰富的老师，并提供信息化素养提升建议；支持根据不同类型软件的使用明细分析本校常用软件，并提供软件普及、替换或拦截建议。</w:t>
            </w:r>
            <w:r>
              <w:rPr>
                <w:rFonts w:hint="eastAsia" w:ascii="宋体" w:hAnsi="宋体" w:eastAsia="宋体" w:cs="宋体"/>
                <w:i w:val="0"/>
                <w:iCs w:val="0"/>
                <w:color w:val="000000"/>
                <w:kern w:val="0"/>
                <w:sz w:val="21"/>
                <w:szCs w:val="21"/>
                <w:highlight w:val="yellow"/>
                <w:u w:val="none"/>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c>
          <w:tcPr>
            <w:tcW w:w="991" w:type="dxa"/>
            <w:vAlign w:val="top"/>
          </w:tcPr>
          <w:p>
            <w:pPr>
              <w:keepNext w:val="0"/>
              <w:keepLines w:val="0"/>
              <w:widowControl/>
              <w:suppressLineNumbers w:val="0"/>
              <w:jc w:val="left"/>
              <w:textAlignment w:val="top"/>
              <w:rPr>
                <w:rFonts w:hint="eastAsia" w:ascii="宋体" w:hAnsi="宋体" w:cs="宋体"/>
                <w:i w:val="0"/>
                <w:iCs w:val="0"/>
                <w:color w:val="000000"/>
                <w:kern w:val="0"/>
                <w:sz w:val="21"/>
                <w:szCs w:val="21"/>
                <w:u w:val="none"/>
                <w:lang w:val="en-US" w:eastAsia="zh-CN" w:bidi="ar"/>
              </w:rPr>
            </w:pPr>
          </w:p>
        </w:tc>
        <w:tc>
          <w:tcPr>
            <w:tcW w:w="752" w:type="dxa"/>
            <w:vAlign w:val="top"/>
          </w:tcPr>
          <w:p>
            <w:pPr>
              <w:keepNext w:val="0"/>
              <w:keepLines w:val="0"/>
              <w:widowControl/>
              <w:suppressLineNumbers w:val="0"/>
              <w:jc w:val="left"/>
              <w:textAlignment w:val="top"/>
              <w:rPr>
                <w:rFonts w:hint="eastAsia" w:ascii="宋体" w:hAnsi="宋体" w:cs="宋体"/>
                <w:i w:val="0"/>
                <w:iCs w:val="0"/>
                <w:color w:val="000000"/>
                <w:kern w:val="0"/>
                <w:sz w:val="21"/>
                <w:szCs w:val="21"/>
                <w:u w:val="none"/>
                <w:lang w:val="en-US" w:eastAsia="zh-CN" w:bidi="ar"/>
              </w:rPr>
            </w:pPr>
          </w:p>
        </w:tc>
        <w:tc>
          <w:tcPr>
            <w:tcW w:w="855" w:type="dxa"/>
            <w:vAlign w:val="top"/>
          </w:tcPr>
          <w:p>
            <w:pPr>
              <w:keepNext w:val="0"/>
              <w:keepLines w:val="0"/>
              <w:widowControl/>
              <w:suppressLineNumbers w:val="0"/>
              <w:jc w:val="left"/>
              <w:textAlignment w:val="top"/>
              <w:rPr>
                <w:rFonts w:hint="eastAsia" w:ascii="宋体" w:hAnsi="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8" w:hRule="atLeast"/>
        </w:trPr>
        <w:tc>
          <w:tcPr>
            <w:tcW w:w="530" w:type="dxa"/>
            <w:vMerge w:val="continue"/>
            <w:vAlign w:val="center"/>
          </w:tcPr>
          <w:p>
            <w:pPr>
              <w:jc w:val="center"/>
              <w:rPr>
                <w:color w:val="000000" w:themeColor="text1"/>
                <w:szCs w:val="21"/>
                <w14:textFill>
                  <w14:solidFill>
                    <w14:schemeClr w14:val="tx1"/>
                  </w14:solidFill>
                </w14:textFill>
              </w:rPr>
            </w:pPr>
          </w:p>
        </w:tc>
        <w:tc>
          <w:tcPr>
            <w:tcW w:w="948" w:type="dxa"/>
            <w:vMerge w:val="continue"/>
            <w:vAlign w:val="center"/>
          </w:tcPr>
          <w:p>
            <w:pPr>
              <w:jc w:val="center"/>
              <w:rPr>
                <w:color w:val="000000" w:themeColor="text1"/>
                <w:szCs w:val="21"/>
                <w14:textFill>
                  <w14:solidFill>
                    <w14:schemeClr w14:val="tx1"/>
                  </w14:solidFill>
                </w14:textFill>
              </w:rPr>
            </w:pPr>
          </w:p>
        </w:tc>
        <w:tc>
          <w:tcPr>
            <w:tcW w:w="5599" w:type="dxa"/>
            <w:vAlign w:val="top"/>
          </w:tcPr>
          <w:p>
            <w:pPr>
              <w:keepNext w:val="0"/>
              <w:keepLines w:val="0"/>
              <w:widowControl/>
              <w:numPr>
                <w:ilvl w:val="-1"/>
                <w:numId w:val="0"/>
              </w:numPr>
              <w:suppressLineNumbers w:val="0"/>
              <w:jc w:val="left"/>
              <w:textAlignment w:val="top"/>
              <w:rPr>
                <w:rFonts w:hint="eastAsia"/>
                <w:lang w:val="en-US" w:eastAsia="zh-CN"/>
              </w:rPr>
            </w:pPr>
            <w:r>
              <w:rPr>
                <w:rFonts w:hint="eastAsia" w:ascii="宋体" w:hAnsi="宋体" w:cs="宋体"/>
                <w:i w:val="0"/>
                <w:iCs w:val="0"/>
                <w:color w:val="000000"/>
                <w:kern w:val="0"/>
                <w:sz w:val="21"/>
                <w:szCs w:val="21"/>
                <w:u w:val="none"/>
                <w:lang w:val="en-US" w:eastAsia="zh-CN" w:bidi="ar"/>
              </w:rPr>
              <w:t>47.</w:t>
            </w:r>
            <w:r>
              <w:rPr>
                <w:rFonts w:hint="eastAsia" w:ascii="宋体" w:hAnsi="宋体" w:eastAsia="宋体" w:cs="宋体"/>
                <w:i w:val="0"/>
                <w:iCs w:val="0"/>
                <w:color w:val="000000"/>
                <w:kern w:val="0"/>
                <w:sz w:val="21"/>
                <w:szCs w:val="21"/>
                <w:u w:val="none"/>
                <w:lang w:val="en-US" w:eastAsia="zh-CN" w:bidi="ar"/>
              </w:rPr>
              <w:t>▲数据中心：支持自定义设备类型及数量，掌握校内设备资产分布情况；支持根据老师、学科、设备三大维度查看设备使用排行，并提供信息化设备利用率提升指南；支持查看本校常用软件、网址访问排行、全校设备画面截图；支持查看设备网络负载、硬件负载情况，并提供网络优化、硬件升级指南。</w:t>
            </w:r>
            <w:r>
              <w:rPr>
                <w:rFonts w:hint="eastAsia" w:ascii="宋体" w:hAnsi="宋体" w:eastAsia="宋体" w:cs="宋体"/>
                <w:i w:val="0"/>
                <w:iCs w:val="0"/>
                <w:color w:val="000000"/>
                <w:kern w:val="0"/>
                <w:sz w:val="21"/>
                <w:szCs w:val="21"/>
                <w:highlight w:val="yellow"/>
                <w:u w:val="none"/>
                <w:lang w:val="en-US" w:eastAsia="zh-CN" w:bidi="ar"/>
              </w:rPr>
              <w:t>(投标时同时提供:①由第三方检验检测机构出具并加盖(或带有)CMA 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 CMA 资质许可(认定)范围内的，不符合招标文件要求);</w:t>
            </w:r>
          </w:p>
        </w:tc>
        <w:tc>
          <w:tcPr>
            <w:tcW w:w="991" w:type="dxa"/>
            <w:vAlign w:val="top"/>
          </w:tcPr>
          <w:p>
            <w:pPr>
              <w:keepNext w:val="0"/>
              <w:keepLines w:val="0"/>
              <w:widowControl/>
              <w:numPr>
                <w:ilvl w:val="-1"/>
                <w:numId w:val="0"/>
              </w:numPr>
              <w:suppressLineNumbers w:val="0"/>
              <w:jc w:val="left"/>
              <w:textAlignment w:val="top"/>
              <w:rPr>
                <w:rFonts w:hint="eastAsia" w:ascii="宋体" w:hAnsi="宋体" w:cs="宋体"/>
                <w:i w:val="0"/>
                <w:iCs w:val="0"/>
                <w:color w:val="000000"/>
                <w:kern w:val="0"/>
                <w:sz w:val="21"/>
                <w:szCs w:val="21"/>
                <w:u w:val="none"/>
                <w:lang w:val="en-US" w:eastAsia="zh-CN" w:bidi="ar"/>
              </w:rPr>
            </w:pPr>
          </w:p>
        </w:tc>
        <w:tc>
          <w:tcPr>
            <w:tcW w:w="752" w:type="dxa"/>
            <w:vAlign w:val="top"/>
          </w:tcPr>
          <w:p>
            <w:pPr>
              <w:keepNext w:val="0"/>
              <w:keepLines w:val="0"/>
              <w:widowControl/>
              <w:numPr>
                <w:ilvl w:val="-1"/>
                <w:numId w:val="0"/>
              </w:numPr>
              <w:suppressLineNumbers w:val="0"/>
              <w:jc w:val="left"/>
              <w:textAlignment w:val="top"/>
              <w:rPr>
                <w:rFonts w:hint="eastAsia" w:ascii="宋体" w:hAnsi="宋体" w:cs="宋体"/>
                <w:i w:val="0"/>
                <w:iCs w:val="0"/>
                <w:color w:val="000000"/>
                <w:kern w:val="0"/>
                <w:sz w:val="21"/>
                <w:szCs w:val="21"/>
                <w:u w:val="none"/>
                <w:lang w:val="en-US" w:eastAsia="zh-CN" w:bidi="ar"/>
              </w:rPr>
            </w:pPr>
          </w:p>
        </w:tc>
        <w:tc>
          <w:tcPr>
            <w:tcW w:w="855" w:type="dxa"/>
            <w:vAlign w:val="top"/>
          </w:tcPr>
          <w:p>
            <w:pPr>
              <w:keepNext w:val="0"/>
              <w:keepLines w:val="0"/>
              <w:widowControl/>
              <w:numPr>
                <w:ilvl w:val="-1"/>
                <w:numId w:val="0"/>
              </w:numPr>
              <w:suppressLineNumbers w:val="0"/>
              <w:jc w:val="left"/>
              <w:textAlignment w:val="top"/>
              <w:rPr>
                <w:rFonts w:hint="eastAsia" w:ascii="宋体" w:hAnsi="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0" w:type="dxa"/>
            <w:vMerge w:val="continue"/>
            <w:vAlign w:val="center"/>
          </w:tcPr>
          <w:p>
            <w:pPr>
              <w:keepNext w:val="0"/>
              <w:keepLines w:val="0"/>
              <w:widowControl/>
              <w:suppressLineNumbers w:val="0"/>
              <w:jc w:val="left"/>
              <w:textAlignment w:val="top"/>
            </w:pPr>
          </w:p>
        </w:tc>
        <w:tc>
          <w:tcPr>
            <w:tcW w:w="948" w:type="dxa"/>
            <w:vMerge w:val="continue"/>
            <w:vAlign w:val="center"/>
          </w:tcPr>
          <w:p>
            <w:pPr>
              <w:keepNext w:val="0"/>
              <w:keepLines w:val="0"/>
              <w:widowControl/>
              <w:suppressLineNumbers w:val="0"/>
              <w:jc w:val="left"/>
              <w:textAlignment w:val="top"/>
            </w:pPr>
          </w:p>
        </w:tc>
        <w:tc>
          <w:tcPr>
            <w:tcW w:w="5599" w:type="dxa"/>
            <w:vAlign w:val="top"/>
          </w:tcPr>
          <w:p>
            <w:pPr>
              <w:keepNext w:val="0"/>
              <w:keepLines w:val="0"/>
              <w:widowControl/>
              <w:numPr>
                <w:ilvl w:val="-1"/>
                <w:numId w:val="0"/>
              </w:numPr>
              <w:suppressLineNumbers w:val="0"/>
              <w:jc w:val="left"/>
              <w:textAlignment w:val="top"/>
              <w:rPr>
                <w:rFonts w:hint="eastAsia"/>
                <w:lang w:val="en-US" w:eastAsia="zh-CN"/>
              </w:rPr>
            </w:pPr>
            <w:r>
              <w:rPr>
                <w:rFonts w:hint="eastAsia"/>
                <w:color w:val="FF0000"/>
                <w:lang w:val="en-US" w:eastAsia="zh-CN"/>
              </w:rPr>
              <w:t>★实现与宝安区触控一体机管理平台互联互通，验收时须经区教育发展中心教育技术部确认。</w:t>
            </w:r>
          </w:p>
        </w:tc>
        <w:tc>
          <w:tcPr>
            <w:tcW w:w="991" w:type="dxa"/>
            <w:vAlign w:val="top"/>
          </w:tcPr>
          <w:p>
            <w:pPr>
              <w:keepNext w:val="0"/>
              <w:keepLines w:val="0"/>
              <w:widowControl/>
              <w:numPr>
                <w:ilvl w:val="-1"/>
                <w:numId w:val="0"/>
              </w:numPr>
              <w:suppressLineNumbers w:val="0"/>
              <w:jc w:val="left"/>
              <w:textAlignment w:val="top"/>
              <w:rPr>
                <w:rFonts w:hint="eastAsia"/>
                <w:color w:val="FF0000"/>
                <w:lang w:val="en-US" w:eastAsia="zh-CN"/>
              </w:rPr>
            </w:pPr>
          </w:p>
        </w:tc>
        <w:tc>
          <w:tcPr>
            <w:tcW w:w="752" w:type="dxa"/>
            <w:vAlign w:val="top"/>
          </w:tcPr>
          <w:p>
            <w:pPr>
              <w:keepNext w:val="0"/>
              <w:keepLines w:val="0"/>
              <w:widowControl/>
              <w:numPr>
                <w:ilvl w:val="-1"/>
                <w:numId w:val="0"/>
              </w:numPr>
              <w:suppressLineNumbers w:val="0"/>
              <w:jc w:val="left"/>
              <w:textAlignment w:val="top"/>
              <w:rPr>
                <w:rFonts w:hint="eastAsia"/>
                <w:color w:val="FF0000"/>
                <w:lang w:val="en-US" w:eastAsia="zh-CN"/>
              </w:rPr>
            </w:pPr>
          </w:p>
        </w:tc>
        <w:tc>
          <w:tcPr>
            <w:tcW w:w="855" w:type="dxa"/>
            <w:vAlign w:val="top"/>
          </w:tcPr>
          <w:p>
            <w:pPr>
              <w:keepNext w:val="0"/>
              <w:keepLines w:val="0"/>
              <w:widowControl/>
              <w:numPr>
                <w:ilvl w:val="-1"/>
                <w:numId w:val="0"/>
              </w:numPr>
              <w:suppressLineNumbers w:val="0"/>
              <w:jc w:val="left"/>
              <w:textAlignment w:val="top"/>
              <w:rPr>
                <w:rFonts w:hint="eastAsia"/>
                <w:color w:val="FF0000"/>
                <w:lang w:val="en-US" w:eastAsia="zh-CN"/>
              </w:rPr>
            </w:pPr>
          </w:p>
        </w:tc>
      </w:tr>
    </w:tbl>
    <w:p>
      <w:pPr>
        <w:rPr>
          <w:sz w:val="24"/>
        </w:rPr>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4" w:name="_Hlk72095977"/>
      <w:r>
        <w:rPr>
          <w:rFonts w:hint="eastAsia"/>
          <w:sz w:val="21"/>
          <w:szCs w:val="21"/>
        </w:rPr>
        <w:t>证明资料【如有的话，提供的证明资料应统一编号（排序），格式自定】</w:t>
      </w:r>
      <w:bookmarkEnd w:id="64"/>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5" w:name="_Hlk72094407"/>
      <w:r>
        <w:rPr>
          <w:rFonts w:hint="eastAsia"/>
          <w:b w:val="0"/>
          <w:bCs/>
          <w:sz w:val="21"/>
          <w:szCs w:val="21"/>
        </w:rPr>
        <w:t>对应“用户需求书”中的“技术要求”章节</w:t>
      </w:r>
      <w:bookmarkEnd w:id="65"/>
      <w:r>
        <w:rPr>
          <w:rFonts w:hint="eastAsia"/>
          <w:b w:val="0"/>
          <w:bCs/>
          <w:sz w:val="21"/>
          <w:szCs w:val="21"/>
        </w:rPr>
        <w:t>相关内容。</w:t>
      </w:r>
    </w:p>
    <w:p>
      <w:pPr>
        <w:pStyle w:val="15"/>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6" w:name="_Hlk72158270"/>
      <w:r>
        <w:rPr>
          <w:rFonts w:hint="eastAsia"/>
          <w:b w:val="0"/>
          <w:bCs/>
          <w:sz w:val="21"/>
          <w:szCs w:val="21"/>
        </w:rPr>
        <w:t>“偏离情况”</w:t>
      </w:r>
      <w:bookmarkEnd w:id="66"/>
      <w:r>
        <w:rPr>
          <w:rFonts w:hint="eastAsia"/>
          <w:b w:val="0"/>
          <w:bCs/>
          <w:sz w:val="21"/>
          <w:szCs w:val="21"/>
        </w:rPr>
        <w:t>一栏填写如实填写“正偏离”、“负偏离”或“无偏离”，其中：</w:t>
      </w:r>
      <w:bookmarkStart w:id="67" w:name="_Hlk72093866"/>
      <w:r>
        <w:rPr>
          <w:rFonts w:hint="eastAsia"/>
          <w:b w:val="0"/>
          <w:bCs/>
          <w:sz w:val="21"/>
          <w:szCs w:val="21"/>
        </w:rPr>
        <w:t>“正偏离”表示“投标响应优于招标技术要求”，“负偏离”表示“投标响应不满足招标技术要求”，“无偏离”表示“投标响应与招标技术要求一致”</w:t>
      </w:r>
      <w:bookmarkEnd w:id="67"/>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68" w:name="_Hlk72096106"/>
      <w:r>
        <w:rPr>
          <w:rFonts w:hint="eastAsia"/>
          <w:b w:val="0"/>
          <w:bCs/>
          <w:sz w:val="21"/>
          <w:szCs w:val="21"/>
        </w:rPr>
        <w:t>证明资料条款响应要求</w:t>
      </w:r>
      <w:bookmarkEnd w:id="68"/>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9"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0" w:name="_Hlk73558164"/>
      <w:r>
        <w:rPr>
          <w:rFonts w:hint="eastAsia"/>
          <w:b w:val="0"/>
          <w:bCs/>
          <w:sz w:val="21"/>
          <w:szCs w:val="21"/>
        </w:rPr>
        <w:t>且投标人在“偏离情况”一栏响应为“正偏离”或“无偏离”的，经评审委员会认定，将判定为负偏离。</w:t>
      </w:r>
      <w:bookmarkEnd w:id="69"/>
      <w:bookmarkEnd w:id="70"/>
    </w:p>
    <w:p>
      <w:pPr>
        <w:ind w:firstLine="420" w:firstLineChars="200"/>
        <w:rPr>
          <w:b w:val="0"/>
          <w:bCs/>
          <w:sz w:val="21"/>
          <w:szCs w:val="21"/>
        </w:rPr>
      </w:pPr>
      <w:r>
        <w:rPr>
          <w:rFonts w:hint="eastAsia"/>
          <w:b w:val="0"/>
          <w:bCs/>
          <w:sz w:val="21"/>
          <w:szCs w:val="21"/>
        </w:rPr>
        <w:t>6、</w:t>
      </w:r>
      <w:bookmarkStart w:id="71" w:name="_Hlk72096137"/>
      <w:r>
        <w:rPr>
          <w:rFonts w:hint="eastAsia"/>
          <w:b w:val="0"/>
          <w:bCs/>
          <w:sz w:val="21"/>
          <w:szCs w:val="21"/>
        </w:rPr>
        <w:t>表后“证明资料”部分内容的编制</w:t>
      </w:r>
      <w:bookmarkEnd w:id="71"/>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2" w:name="_Hlk73558180"/>
      <w:r>
        <w:rPr>
          <w:rFonts w:hint="eastAsia"/>
          <w:b w:val="0"/>
          <w:bCs/>
          <w:sz w:val="21"/>
          <w:szCs w:val="21"/>
        </w:rPr>
        <w:t>未按照招标文件要求在表后放置证明材料的供应商将承担不利后果，经评审委员会认定，相关技术要求将判定为负偏离。</w:t>
      </w:r>
      <w:bookmarkEnd w:id="72"/>
    </w:p>
    <w:p>
      <w:pPr>
        <w:ind w:firstLine="420" w:firstLineChars="200"/>
        <w:rPr>
          <w:b w:val="0"/>
          <w:bCs/>
          <w:sz w:val="21"/>
          <w:szCs w:val="21"/>
        </w:rPr>
      </w:pPr>
      <w:r>
        <w:rPr>
          <w:rFonts w:hint="eastAsia"/>
          <w:b w:val="0"/>
          <w:bCs/>
          <w:sz w:val="21"/>
          <w:szCs w:val="21"/>
        </w:rPr>
        <w:t>7、</w:t>
      </w:r>
      <w:bookmarkStart w:id="73" w:name="_Hlk72096176"/>
      <w:r>
        <w:rPr>
          <w:rFonts w:hint="eastAsia"/>
          <w:b w:val="0"/>
          <w:bCs/>
          <w:sz w:val="21"/>
          <w:szCs w:val="21"/>
        </w:rPr>
        <w:t>证明资料的形式及其它具体要求</w:t>
      </w:r>
      <w:bookmarkEnd w:id="73"/>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4"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4"/>
    </w:p>
    <w:p>
      <w:pPr>
        <w:ind w:firstLine="482" w:firstLineChars="200"/>
        <w:rPr>
          <w:b/>
          <w:sz w:val="24"/>
        </w:rPr>
      </w:pPr>
    </w:p>
    <w:p>
      <w:pPr>
        <w:rPr>
          <w:sz w:val="24"/>
        </w:rPr>
      </w:pPr>
    </w:p>
    <w:p>
      <w:pPr>
        <w:ind w:left="718" w:leftChars="342" w:firstLine="1620" w:firstLineChars="675"/>
        <w:outlineLvl w:val="2"/>
        <w:rPr>
          <w:rFonts w:hint="eastAsia"/>
          <w:szCs w:val="21"/>
          <w:lang w:eastAsia="zh-CN"/>
        </w:rPr>
      </w:pPr>
      <w:r>
        <w:rPr>
          <w:rFonts w:hint="eastAsia" w:ascii="黑体" w:hAnsi="宋体" w:eastAsia="黑体"/>
          <w:sz w:val="24"/>
          <w:szCs w:val="20"/>
          <w:lang w:val="en-US" w:eastAsia="zh-CN"/>
        </w:rPr>
        <w:t>六、</w:t>
      </w:r>
      <w:r>
        <w:rPr>
          <w:rFonts w:hint="eastAsia" w:ascii="黑体" w:hAnsi="宋体" w:eastAsia="黑体"/>
          <w:sz w:val="24"/>
          <w:szCs w:val="20"/>
        </w:rPr>
        <w:t>政府采购节能环保产品情况</w:t>
      </w:r>
    </w:p>
    <w:p>
      <w:pPr>
        <w:ind w:left="0" w:leftChars="0" w:firstLine="0" w:firstLineChars="0"/>
        <w:rPr>
          <w:rFonts w:hint="eastAsia"/>
          <w:szCs w:val="21"/>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left="718" w:leftChars="342" w:firstLine="1620" w:firstLineChars="675"/>
        <w:outlineLvl w:val="2"/>
        <w:rPr>
          <w:rFonts w:hint="eastAsia" w:eastAsia="宋体"/>
          <w:szCs w:val="21"/>
          <w:lang w:eastAsia="zh-CN"/>
        </w:rPr>
      </w:pPr>
      <w:r>
        <w:rPr>
          <w:rFonts w:hint="eastAsia" w:ascii="黑体" w:hAnsi="宋体" w:eastAsia="黑体"/>
          <w:sz w:val="24"/>
          <w:szCs w:val="20"/>
          <w:lang w:val="en-US" w:eastAsia="zh-CN"/>
        </w:rPr>
        <w:t>七、</w:t>
      </w:r>
      <w:r>
        <w:rPr>
          <w:rFonts w:hint="eastAsia" w:ascii="黑体" w:hAnsi="宋体" w:eastAsia="黑体"/>
          <w:sz w:val="24"/>
          <w:szCs w:val="20"/>
          <w:lang w:eastAsia="zh-CN"/>
        </w:rPr>
        <w:t>绿色采购情况</w:t>
      </w:r>
    </w:p>
    <w:p>
      <w:pPr>
        <w:ind w:left="0" w:leftChars="0" w:firstLine="0" w:firstLineChars="0"/>
        <w:rPr>
          <w:rFonts w:hint="eastAsia" w:ascii="宋体" w:hAnsi="宋体"/>
          <w:szCs w:val="21"/>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left="718" w:leftChars="342" w:firstLine="1620" w:firstLineChars="675"/>
        <w:outlineLvl w:val="2"/>
        <w:rPr>
          <w:rFonts w:hint="eastAsia" w:ascii="宋体" w:hAnsi="宋体"/>
          <w:szCs w:val="21"/>
          <w:lang w:eastAsia="zh-CN"/>
        </w:rPr>
      </w:pPr>
      <w:r>
        <w:rPr>
          <w:rFonts w:hint="eastAsia" w:ascii="黑体" w:hAnsi="宋体" w:eastAsia="黑体"/>
          <w:sz w:val="24"/>
          <w:szCs w:val="20"/>
          <w:lang w:val="en-US" w:eastAsia="zh-CN"/>
        </w:rPr>
        <w:t>八、</w:t>
      </w:r>
      <w:r>
        <w:rPr>
          <w:rFonts w:hint="eastAsia" w:ascii="黑体" w:hAnsi="宋体" w:eastAsia="黑体"/>
          <w:sz w:val="24"/>
          <w:szCs w:val="20"/>
          <w:lang w:eastAsia="zh-CN"/>
        </w:rPr>
        <w:t>项目组织实施方案的评价</w:t>
      </w:r>
    </w:p>
    <w:p>
      <w:pPr>
        <w:ind w:left="0" w:leftChars="0" w:firstLine="0" w:firstLineChars="0"/>
        <w:rPr>
          <w:rFonts w:hint="eastAsia"/>
          <w:szCs w:val="21"/>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left="718" w:leftChars="342" w:firstLine="1417" w:firstLineChars="675"/>
        <w:rPr>
          <w:rFonts w:hint="eastAsia" w:ascii="宋体" w:hAnsi="宋体"/>
          <w:szCs w:val="21"/>
          <w:lang w:val="en-US" w:eastAsia="zh-CN"/>
        </w:rPr>
      </w:pPr>
    </w:p>
    <w:p>
      <w:pPr>
        <w:ind w:left="718" w:leftChars="342" w:firstLine="1620" w:firstLineChars="675"/>
        <w:outlineLvl w:val="2"/>
        <w:rPr>
          <w:rFonts w:hint="eastAsia" w:ascii="宋体" w:hAnsi="宋体"/>
          <w:szCs w:val="21"/>
          <w:lang w:eastAsia="zh-CN"/>
        </w:rPr>
      </w:pPr>
      <w:r>
        <w:rPr>
          <w:rFonts w:hint="eastAsia" w:ascii="黑体" w:hAnsi="宋体" w:eastAsia="黑体"/>
          <w:sz w:val="24"/>
          <w:szCs w:val="20"/>
          <w:lang w:val="en-US" w:eastAsia="zh-CN"/>
        </w:rPr>
        <w:t>九、</w:t>
      </w:r>
      <w:r>
        <w:rPr>
          <w:rFonts w:hint="eastAsia" w:ascii="黑体" w:hAnsi="宋体" w:eastAsia="黑体" w:cs="Times New Roman"/>
          <w:kern w:val="2"/>
          <w:sz w:val="24"/>
          <w:szCs w:val="20"/>
          <w:lang w:val="en-US" w:eastAsia="zh-CN" w:bidi="ar"/>
        </w:rPr>
        <w:t>售后服务评价</w:t>
      </w:r>
    </w:p>
    <w:p>
      <w:pPr>
        <w:ind w:left="0" w:leftChars="0" w:firstLine="0" w:firstLineChars="0"/>
        <w:rPr>
          <w:rFonts w:hint="eastAsia"/>
          <w:szCs w:val="21"/>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rPr>
          <w:sz w:val="24"/>
        </w:rPr>
      </w:pPr>
    </w:p>
    <w:p>
      <w:pPr>
        <w:rPr>
          <w:sz w:val="24"/>
        </w:rPr>
      </w:pPr>
      <w:bookmarkStart w:id="75" w:name="_Hlk72260576"/>
    </w:p>
    <w:p>
      <w:pPr>
        <w:pStyle w:val="3"/>
        <w:jc w:val="center"/>
        <w:rPr>
          <w:rFonts w:ascii="黑体" w:eastAsia="黑体"/>
          <w:b w:val="0"/>
          <w:bCs w:val="0"/>
          <w:sz w:val="24"/>
          <w:szCs w:val="20"/>
        </w:rPr>
      </w:pPr>
      <w:r>
        <w:rPr>
          <w:rFonts w:hint="eastAsia" w:ascii="黑体" w:eastAsia="黑体"/>
          <w:b w:val="0"/>
          <w:bCs w:val="0"/>
          <w:sz w:val="24"/>
          <w:szCs w:val="20"/>
          <w:lang w:val="en-US" w:eastAsia="zh-CN"/>
        </w:rPr>
        <w:t>十</w:t>
      </w:r>
      <w:r>
        <w:rPr>
          <w:rFonts w:hint="eastAsia" w:ascii="黑体" w:eastAsia="黑体"/>
          <w:b w:val="0"/>
          <w:bCs w:val="0"/>
          <w:sz w:val="24"/>
          <w:szCs w:val="20"/>
        </w:rPr>
        <w:t>、</w:t>
      </w:r>
      <w:bookmarkStart w:id="76" w:name="_Hlk72062872"/>
      <w:r>
        <w:rPr>
          <w:rFonts w:hint="eastAsia" w:ascii="黑体" w:eastAsia="黑体"/>
          <w:b w:val="0"/>
          <w:bCs w:val="0"/>
          <w:sz w:val="24"/>
          <w:szCs w:val="20"/>
        </w:rPr>
        <w:t>投标人认为需要加以说明的其他内容</w:t>
      </w:r>
      <w:bookmarkEnd w:id="76"/>
    </w:p>
    <w:bookmarkEnd w:id="75"/>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5"/>
        <w:jc w:val="center"/>
      </w:pPr>
      <w:r>
        <w:rPr>
          <w:rFonts w:hint="eastAsia"/>
        </w:rPr>
        <w:t>第五章  合同条款及格式</w:t>
      </w:r>
    </w:p>
    <w:p/>
    <w:p>
      <w:pPr>
        <w:jc w:val="center"/>
        <w:outlineLvl w:val="9"/>
      </w:pPr>
      <w:bookmarkStart w:id="77"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7"/>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7"/>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8"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8"/>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4"/>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5"/>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4"/>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4"/>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4"/>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6"/>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4"/>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4"/>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4"/>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9" w:name="_Toc27624"/>
      <w:r>
        <w:rPr>
          <w:rFonts w:hint="eastAsia" w:ascii="黑体" w:hAnsi="黑体" w:eastAsia="黑体" w:cs="Times New Roman"/>
          <w:b w:val="0"/>
          <w:bCs w:val="0"/>
          <w:kern w:val="2"/>
          <w:sz w:val="28"/>
          <w:szCs w:val="28"/>
          <w:lang w:val="en-US" w:eastAsia="zh-CN" w:bidi="ar-SA"/>
        </w:rPr>
        <w:t>第二节 政府采购合同通用条款</w:t>
      </w:r>
      <w:bookmarkEnd w:id="79"/>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7"/>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8"/>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0"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0"/>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9"/>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10"/>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1"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1"/>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2" w:name="_Hlk72399513"/>
      <w:bookmarkStart w:id="83" w:name="_Hlk72439706"/>
      <w:r>
        <w:rPr>
          <w:rFonts w:hint="eastAsia" w:asciiTheme="majorHAnsi" w:hAnsiTheme="majorHAnsi" w:eastAsiaTheme="majorEastAsia" w:cstheme="majorBidi"/>
          <w:b/>
          <w:bCs/>
          <w:sz w:val="28"/>
          <w:szCs w:val="28"/>
        </w:rPr>
        <w:t>总则</w:t>
      </w:r>
    </w:p>
    <w:bookmarkEnd w:id="82"/>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4" w:name="_Hlk72399729"/>
      <w:r>
        <w:rPr>
          <w:rFonts w:hint="eastAsia" w:ascii="宋体" w:hAnsi="宋体"/>
          <w:szCs w:val="21"/>
        </w:rPr>
        <w:t>如有需要，政府集中采购机构可以对通用条款的内容进行补充。</w:t>
      </w:r>
      <w:bookmarkEnd w:id="84"/>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5"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6"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6"/>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5"/>
    <w:p>
      <w:pPr>
        <w:ind w:firstLine="411" w:firstLineChars="196"/>
        <w:rPr>
          <w:rFonts w:ascii="宋体" w:hAnsi="宋体"/>
        </w:rPr>
      </w:pPr>
    </w:p>
    <w:p>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7"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7"/>
    </w:p>
    <w:p>
      <w:pPr>
        <w:rPr>
          <w:rFonts w:ascii="宋体" w:hAnsi="宋体"/>
          <w:szCs w:val="21"/>
        </w:rPr>
      </w:pPr>
    </w:p>
    <w:p>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88"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8"/>
    <w:p>
      <w:pPr>
        <w:ind w:firstLine="420" w:firstLineChars="200"/>
        <w:rPr>
          <w:rFonts w:ascii="黑体" w:hAnsi="宋体" w:eastAsia="黑体"/>
          <w:szCs w:val="21"/>
        </w:rPr>
      </w:pPr>
      <w:r>
        <w:rPr>
          <w:rFonts w:hint="eastAsia" w:ascii="黑体" w:hAnsi="宋体" w:eastAsia="黑体"/>
          <w:szCs w:val="21"/>
        </w:rPr>
        <w:t>15．</w:t>
      </w:r>
      <w:bookmarkStart w:id="89"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89"/>
    <w:p>
      <w:pPr>
        <w:ind w:firstLine="420" w:firstLineChars="200"/>
        <w:rPr>
          <w:rFonts w:ascii="黑体" w:hAnsi="宋体" w:eastAsia="黑体"/>
          <w:szCs w:val="21"/>
        </w:rPr>
      </w:pPr>
      <w:r>
        <w:rPr>
          <w:rFonts w:hint="eastAsia" w:ascii="黑体" w:hAnsi="宋体" w:eastAsia="黑体"/>
          <w:szCs w:val="21"/>
        </w:rPr>
        <w:t>18．</w:t>
      </w:r>
      <w:bookmarkStart w:id="90"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0"/>
    <w:p>
      <w:pPr>
        <w:ind w:firstLine="420" w:firstLineChars="200"/>
        <w:rPr>
          <w:rFonts w:ascii="黑体" w:hAnsi="宋体" w:eastAsia="黑体"/>
          <w:szCs w:val="21"/>
        </w:rPr>
      </w:pPr>
      <w:r>
        <w:rPr>
          <w:rFonts w:hint="eastAsia" w:ascii="黑体" w:hAnsi="宋体" w:eastAsia="黑体"/>
          <w:szCs w:val="21"/>
        </w:rPr>
        <w:t>19．</w:t>
      </w:r>
      <w:bookmarkStart w:id="91"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2" w:name="_Hlk71407299"/>
    </w:p>
    <w:bookmarkEnd w:id="92"/>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1"/>
    <w:p>
      <w:pPr>
        <w:ind w:firstLine="420" w:firstLineChars="200"/>
        <w:rPr>
          <w:rFonts w:ascii="宋体" w:hAnsi="宋体"/>
          <w:szCs w:val="21"/>
        </w:rPr>
      </w:pPr>
      <w:bookmarkStart w:id="93"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3"/>
    <w:p>
      <w:pPr>
        <w:ind w:firstLine="420" w:firstLineChars="200"/>
        <w:rPr>
          <w:rFonts w:ascii="黑体" w:hAnsi="宋体" w:eastAsia="黑体"/>
          <w:szCs w:val="21"/>
        </w:rPr>
      </w:pPr>
      <w:r>
        <w:rPr>
          <w:rFonts w:hint="eastAsia" w:ascii="黑体" w:hAnsi="宋体" w:eastAsia="黑体"/>
          <w:szCs w:val="21"/>
        </w:rPr>
        <w:t>21．</w:t>
      </w:r>
      <w:bookmarkStart w:id="94"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4"/>
    <w:p>
      <w:pPr>
        <w:ind w:firstLine="420" w:firstLineChars="200"/>
        <w:rPr>
          <w:rFonts w:ascii="黑体" w:hAnsi="宋体" w:eastAsia="黑体"/>
          <w:szCs w:val="21"/>
        </w:rPr>
      </w:pPr>
      <w:r>
        <w:rPr>
          <w:rFonts w:hint="eastAsia" w:ascii="黑体" w:hAnsi="宋体" w:eastAsia="黑体"/>
          <w:szCs w:val="21"/>
        </w:rPr>
        <w:t>23．</w:t>
      </w:r>
      <w:bookmarkStart w:id="95"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5"/>
    </w:p>
    <w:p>
      <w:pPr>
        <w:ind w:firstLine="411" w:firstLineChars="196"/>
        <w:rPr>
          <w:rFonts w:ascii="宋体" w:hAnsi="宋体"/>
          <w:szCs w:val="21"/>
        </w:rPr>
      </w:pPr>
    </w:p>
    <w:p>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6"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6"/>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97"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7"/>
    <w:p>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98"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8"/>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99"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9"/>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00" w:name="_Toc73518151"/>
      <w:bookmarkStart w:id="101" w:name="_Toc73521669"/>
      <w:bookmarkStart w:id="102" w:name="_Toc73517673"/>
      <w:bookmarkStart w:id="103" w:name="_Toc73521581"/>
      <w:bookmarkStart w:id="104" w:name="_Toc100052400"/>
      <w:r>
        <w:rPr>
          <w:rFonts w:hint="eastAsia" w:ascii="黑体" w:hAnsi="宋体" w:eastAsia="黑体"/>
          <w:szCs w:val="21"/>
        </w:rPr>
        <w:t>34．错误的修正</w:t>
      </w:r>
      <w:bookmarkEnd w:id="100"/>
      <w:bookmarkEnd w:id="101"/>
      <w:bookmarkEnd w:id="102"/>
      <w:bookmarkEnd w:id="103"/>
      <w:bookmarkEnd w:id="104"/>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5"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5"/>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6"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7" w:name="_Hlk73821177"/>
      <w:r>
        <w:rPr>
          <w:rFonts w:hint="eastAsia" w:ascii="ˎ̥" w:hAnsi="ˎ̥"/>
          <w:szCs w:val="21"/>
        </w:rPr>
        <w:t>唯一候选中标供应商</w:t>
      </w:r>
      <w:bookmarkEnd w:id="107"/>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08"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09"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8"/>
      <w:bookmarkEnd w:id="109"/>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6"/>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10"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0"/>
      <w:bookmarkStart w:id="111"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1"/>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2"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2"/>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3" w:name="_Hlk71407340"/>
      <w:r>
        <w:rPr>
          <w:rFonts w:hint="eastAsia" w:ascii="宋体" w:hAnsi="宋体"/>
          <w:szCs w:val="21"/>
        </w:rPr>
        <w:t>41.3因质疑投诉或其他原因导致项目结果变更或采购终止的，政府集中采购机构有权吊销中标通知书。</w:t>
      </w:r>
    </w:p>
    <w:bookmarkEnd w:id="113"/>
    <w:p>
      <w:pPr>
        <w:ind w:firstLine="411" w:firstLineChars="196"/>
        <w:rPr>
          <w:rFonts w:ascii="宋体" w:hAnsi="宋体"/>
          <w:szCs w:val="21"/>
        </w:rPr>
      </w:pPr>
    </w:p>
    <w:p>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4" w:name="_Hlk72439043"/>
      <w:r>
        <w:rPr>
          <w:rFonts w:hint="eastAsia" w:asciiTheme="majorHAnsi" w:hAnsiTheme="majorHAnsi" w:eastAsiaTheme="majorEastAsia" w:cstheme="majorBidi"/>
          <w:b/>
          <w:bCs/>
          <w:sz w:val="28"/>
          <w:szCs w:val="28"/>
        </w:rPr>
        <w:t>合同的授予与备案</w:t>
      </w:r>
      <w:bookmarkEnd w:id="114"/>
    </w:p>
    <w:p>
      <w:pPr>
        <w:ind w:firstLine="420" w:firstLineChars="200"/>
        <w:rPr>
          <w:rFonts w:ascii="黑体" w:hAnsi="宋体" w:eastAsia="黑体"/>
          <w:szCs w:val="21"/>
        </w:rPr>
      </w:pPr>
      <w:bookmarkStart w:id="115" w:name="_Toc73521674"/>
      <w:bookmarkStart w:id="116" w:name="_Toc73517679"/>
      <w:bookmarkStart w:id="117" w:name="_Toc73518157"/>
      <w:bookmarkStart w:id="118" w:name="_Toc100052408"/>
      <w:bookmarkStart w:id="119" w:name="_Toc73521586"/>
      <w:bookmarkStart w:id="120" w:name="_Hlk72439088"/>
      <w:r>
        <w:rPr>
          <w:rFonts w:hint="eastAsia" w:ascii="黑体" w:hAnsi="宋体" w:eastAsia="黑体"/>
          <w:szCs w:val="21"/>
        </w:rPr>
        <w:t>43．合同授予标准</w:t>
      </w:r>
      <w:bookmarkEnd w:id="115"/>
      <w:bookmarkEnd w:id="116"/>
      <w:bookmarkEnd w:id="117"/>
      <w:bookmarkEnd w:id="118"/>
      <w:bookmarkEnd w:id="119"/>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1" w:name="_Toc100052409"/>
      <w:bookmarkStart w:id="122" w:name="_Toc73518158"/>
      <w:bookmarkStart w:id="123" w:name="_Toc73521587"/>
      <w:bookmarkStart w:id="124" w:name="_Toc73521675"/>
      <w:bookmarkStart w:id="125" w:name="_Toc73517680"/>
      <w:r>
        <w:rPr>
          <w:rFonts w:hint="eastAsia" w:ascii="黑体" w:hAnsi="宋体" w:eastAsia="黑体"/>
          <w:szCs w:val="21"/>
        </w:rPr>
        <w:t>44．</w:t>
      </w:r>
      <w:bookmarkEnd w:id="121"/>
      <w:bookmarkEnd w:id="122"/>
      <w:bookmarkEnd w:id="123"/>
      <w:bookmarkEnd w:id="124"/>
      <w:bookmarkEnd w:id="125"/>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6" w:name="_Toc100052410"/>
      <w:bookmarkStart w:id="127" w:name="_Toc73521677"/>
      <w:bookmarkStart w:id="128" w:name="_Toc73518160"/>
      <w:bookmarkStart w:id="129" w:name="_Toc73521589"/>
      <w:bookmarkStart w:id="130" w:name="_Toc73517682"/>
      <w:r>
        <w:rPr>
          <w:rFonts w:hint="eastAsia" w:ascii="黑体" w:hAnsi="宋体" w:eastAsia="黑体"/>
          <w:szCs w:val="21"/>
        </w:rPr>
        <w:t>45．合同的签订</w:t>
      </w:r>
      <w:bookmarkEnd w:id="126"/>
      <w:bookmarkEnd w:id="127"/>
      <w:bookmarkEnd w:id="128"/>
      <w:bookmarkEnd w:id="129"/>
      <w:bookmarkEnd w:id="130"/>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1" w:name="_Toc73521678"/>
      <w:bookmarkStart w:id="132" w:name="_Toc73518161"/>
      <w:bookmarkStart w:id="133" w:name="_Toc100052411"/>
      <w:bookmarkStart w:id="134" w:name="_Toc73517683"/>
      <w:bookmarkStart w:id="135" w:name="_Toc73521590"/>
      <w:r>
        <w:rPr>
          <w:rFonts w:hint="eastAsia" w:ascii="黑体" w:hAnsi="宋体" w:eastAsia="黑体"/>
          <w:szCs w:val="21"/>
        </w:rPr>
        <w:t>46．履约担保</w:t>
      </w:r>
      <w:bookmarkEnd w:id="131"/>
      <w:bookmarkEnd w:id="132"/>
      <w:bookmarkEnd w:id="133"/>
      <w:bookmarkEnd w:id="134"/>
      <w:bookmarkEnd w:id="135"/>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6" w:name="_Hlk72440769"/>
      <w:r>
        <w:rPr>
          <w:rFonts w:hint="eastAsia" w:ascii="宋体" w:hAnsi="宋体"/>
          <w:szCs w:val="21"/>
        </w:rPr>
        <w:t>政府集中采购机构或采购人不予退还其交纳的谈判保证金，情节严重的，并由主管部门</w:t>
      </w:r>
      <w:bookmarkEnd w:id="136"/>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7"/>
      </w:pPr>
    </w:p>
    <w:bookmarkEnd w:id="120"/>
    <w:p>
      <w:pPr>
        <w:pStyle w:val="31"/>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7" w:name="_Hlk75374941"/>
      <w:r>
        <w:rPr>
          <w:rFonts w:hint="eastAsia" w:ascii="宋体" w:hAnsi="宋体"/>
          <w:szCs w:val="21"/>
        </w:rPr>
        <w:t>以联合体形式参与的，质疑应当由组成联合体的所有成员共同提出</w:t>
      </w:r>
      <w:bookmarkEnd w:id="137"/>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3"/>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2007F14-EA12-42B6-8BCB-210F9D2ED521}"/>
  </w:font>
  <w:font w:name="Arial">
    <w:panose1 w:val="020B0604020202020204"/>
    <w:charset w:val="01"/>
    <w:family w:val="swiss"/>
    <w:pitch w:val="default"/>
    <w:sig w:usb0="E0002EFF" w:usb1="C000785B" w:usb2="00000009" w:usb3="00000000" w:csb0="400001FF" w:csb1="FFFF0000"/>
    <w:embedRegular r:id="rId2" w:fontKey="{9318741A-3CBB-45E9-8D9A-F6AFC7191E1A}"/>
  </w:font>
  <w:font w:name="黑体">
    <w:panose1 w:val="02010609060101010101"/>
    <w:charset w:val="86"/>
    <w:family w:val="auto"/>
    <w:pitch w:val="default"/>
    <w:sig w:usb0="800002BF" w:usb1="38CF7CFA" w:usb2="00000016" w:usb3="00000000" w:csb0="00040001" w:csb1="00000000"/>
    <w:embedRegular r:id="rId3" w:fontKey="{2530C58F-5576-4E68-814C-0D1BBB47D9AC}"/>
  </w:font>
  <w:font w:name="Courier New">
    <w:panose1 w:val="02070309020205020404"/>
    <w:charset w:val="01"/>
    <w:family w:val="modern"/>
    <w:pitch w:val="default"/>
    <w:sig w:usb0="E0002EFF" w:usb1="C0007843" w:usb2="00000009" w:usb3="00000000" w:csb0="400001FF" w:csb1="FFFF0000"/>
    <w:embedRegular r:id="rId4" w:fontKey="{59E7F3AA-8CE3-4953-B843-5D549A3056C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3CD927B4-0084-4B4F-AD43-8E11B44B3354}"/>
  </w:font>
  <w:font w:name="Cambria">
    <w:panose1 w:val="02040503050406030204"/>
    <w:charset w:val="00"/>
    <w:family w:val="roman"/>
    <w:pitch w:val="default"/>
    <w:sig w:usb0="E00006FF" w:usb1="420024FF" w:usb2="02000000" w:usb3="00000000" w:csb0="2000019F" w:csb1="00000000"/>
    <w:embedRegular r:id="rId6" w:fontKey="{B599DC73-69FF-4220-AEC5-EE5D4D84B81C}"/>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523489B0-CB29-4A5B-8FCE-FEA472B78482}"/>
  </w:font>
  <w:font w:name="仿宋">
    <w:panose1 w:val="02010609060101010101"/>
    <w:charset w:val="86"/>
    <w:family w:val="modern"/>
    <w:pitch w:val="default"/>
    <w:sig w:usb0="800002BF" w:usb1="38CF7CFA" w:usb2="00000016" w:usb3="00000000" w:csb0="00040001" w:csb1="00000000"/>
    <w:embedRegular r:id="rId8" w:fontKey="{41704C7F-B84D-43A4-8FE4-F937F554341A}"/>
  </w:font>
  <w:font w:name="方正仿宋_GBK">
    <w:panose1 w:val="02000000000000000000"/>
    <w:charset w:val="86"/>
    <w:family w:val="auto"/>
    <w:pitch w:val="default"/>
    <w:sig w:usb0="A00002BF" w:usb1="38CF7CFA" w:usb2="00082016" w:usb3="00000000" w:csb0="00040001" w:csb1="00000000"/>
    <w:embedRegular r:id="rId9" w:fontKey="{9715B5B6-A822-4242-8E6E-2AE069F973EF}"/>
  </w:font>
  <w:font w:name="华文中宋">
    <w:panose1 w:val="02010600040101010101"/>
    <w:charset w:val="86"/>
    <w:family w:val="auto"/>
    <w:pitch w:val="default"/>
    <w:sig w:usb0="00000287" w:usb1="080F0000" w:usb2="00000000" w:usb3="00000000" w:csb0="0004009F" w:csb1="DFD70000"/>
    <w:embedRegular r:id="rId10" w:fontKey="{8C2800C9-FC76-448F-A77F-097738A6B66E}"/>
  </w:font>
  <w:font w:name="汉仪书宋二S">
    <w:panose1 w:val="00020600040101010101"/>
    <w:charset w:val="86"/>
    <w:family w:val="auto"/>
    <w:pitch w:val="default"/>
    <w:sig w:usb0="A00002BF" w:usb1="18EF7CFA" w:usb2="00000016" w:usb3="00000000" w:csb0="00040000" w:csb1="00000000"/>
    <w:embedRegular r:id="rId11" w:fontKey="{B001CF49-9DB1-4EE1-AAE0-0EF30F388D1F}"/>
  </w:font>
  <w:font w:name="华文楷体">
    <w:panose1 w:val="02010600040101010101"/>
    <w:charset w:val="86"/>
    <w:family w:val="auto"/>
    <w:pitch w:val="default"/>
    <w:sig w:usb0="00000287" w:usb1="080F0000" w:usb2="00000000" w:usb3="00000000" w:csb0="0004009F" w:csb1="DFD70000"/>
    <w:embedRegular r:id="rId12" w:fontKey="{CCA8CD9C-AED9-402E-A152-5381E0135D55}"/>
  </w:font>
  <w:font w:name="ˎ̥">
    <w:altName w:val="Times New Roman"/>
    <w:panose1 w:val="00000000000000000000"/>
    <w:charset w:val="00"/>
    <w:family w:val="auto"/>
    <w:pitch w:val="default"/>
    <w:sig w:usb0="00000000" w:usb1="00000000" w:usb2="00000000" w:usb3="00000000" w:csb0="00040001" w:csb1="00000000"/>
    <w:embedRegular r:id="rId13" w:fontKey="{EDEE9172-BE06-4A89-A8C7-4D81B2345D1A}"/>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8B1BED"/>
    <w:multiLevelType w:val="singleLevel"/>
    <w:tmpl w:val="928B1BED"/>
    <w:lvl w:ilvl="0" w:tentative="0">
      <w:start w:val="1"/>
      <w:numFmt w:val="decimal"/>
      <w:suff w:val="nothing"/>
      <w:lvlText w:val="%1、"/>
      <w:lvlJc w:val="left"/>
    </w:lvl>
  </w:abstractNum>
  <w:abstractNum w:abstractNumId="1">
    <w:nsid w:val="B609221C"/>
    <w:multiLevelType w:val="singleLevel"/>
    <w:tmpl w:val="B609221C"/>
    <w:lvl w:ilvl="0" w:tentative="0">
      <w:start w:val="1"/>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A0F6431"/>
    <w:multiLevelType w:val="singleLevel"/>
    <w:tmpl w:val="7A0F6431"/>
    <w:lvl w:ilvl="0" w:tentative="0">
      <w:start w:val="1"/>
      <w:numFmt w:val="decimal"/>
      <w:suff w:val="space"/>
      <w:lvlText w:val="%1."/>
      <w:lvlJc w:val="left"/>
    </w:lvl>
  </w:abstractNum>
  <w:num w:numId="1">
    <w:abstractNumId w:val="0"/>
  </w:num>
  <w:num w:numId="2">
    <w:abstractNumId w:val="1"/>
  </w:num>
  <w:num w:numId="3">
    <w:abstractNumId w:val="2"/>
  </w:num>
  <w:num w:numId="4">
    <w:abstractNumId w:val="10"/>
  </w:num>
  <w:num w:numId="5">
    <w:abstractNumId w:val="4"/>
  </w:num>
  <w:num w:numId="6">
    <w:abstractNumId w:val="8"/>
  </w:num>
  <w:num w:numId="7">
    <w:abstractNumId w:val="6"/>
  </w:num>
  <w:num w:numId="8">
    <w:abstractNumId w:val="5"/>
  </w:num>
  <w:num w:numId="9">
    <w:abstractNumId w:val="3"/>
  </w:num>
  <w:num w:numId="10">
    <w:abstractNumId w:val="7"/>
  </w:num>
  <w:num w:numId="11">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苏艺">
    <w15:presenceInfo w15:providerId="None" w15:userId="苏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0ZDhmOTgzNWU2NGM4YzU2NjlhMmU2ZTI3MWU4NmU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D3114F"/>
    <w:rsid w:val="0FEE5EBF"/>
    <w:rsid w:val="10276D67"/>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2B0F4F"/>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451A9"/>
    <w:rsid w:val="3257574A"/>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5917A7"/>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1E43DD9"/>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6E92E4F"/>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EE1E37"/>
    <w:rsid w:val="4CF64AB0"/>
    <w:rsid w:val="4D145F92"/>
    <w:rsid w:val="4D330192"/>
    <w:rsid w:val="4D461C73"/>
    <w:rsid w:val="4E092CA1"/>
    <w:rsid w:val="4E4156DB"/>
    <w:rsid w:val="4E93713A"/>
    <w:rsid w:val="4F1456D4"/>
    <w:rsid w:val="4F9905AE"/>
    <w:rsid w:val="4FC33F25"/>
    <w:rsid w:val="4FD001C7"/>
    <w:rsid w:val="4FFF6109"/>
    <w:rsid w:val="500B71A4"/>
    <w:rsid w:val="502E60F8"/>
    <w:rsid w:val="50334005"/>
    <w:rsid w:val="505E4B9C"/>
    <w:rsid w:val="50A30487"/>
    <w:rsid w:val="50DD1804"/>
    <w:rsid w:val="50FB1449"/>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D57954"/>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3293771"/>
    <w:rsid w:val="637C7D45"/>
    <w:rsid w:val="639808F7"/>
    <w:rsid w:val="642362CA"/>
    <w:rsid w:val="645F2960"/>
    <w:rsid w:val="64654C7D"/>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42479"/>
    <w:rsid w:val="70CB230C"/>
    <w:rsid w:val="721E46BD"/>
    <w:rsid w:val="72271FEC"/>
    <w:rsid w:val="723770DA"/>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22635"/>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8"/>
    <w:qFormat/>
    <w:uiPriority w:val="0"/>
    <w:pPr>
      <w:spacing w:line="360" w:lineRule="auto"/>
    </w:pPr>
    <w:rPr>
      <w:b/>
      <w:bCs/>
      <w:sz w:val="24"/>
    </w:rPr>
  </w:style>
  <w:style w:type="paragraph" w:styleId="8">
    <w:name w:val="Title"/>
    <w:basedOn w:val="1"/>
    <w:qFormat/>
    <w:uiPriority w:val="0"/>
    <w:pPr>
      <w:spacing w:before="240" w:after="60"/>
      <w:jc w:val="center"/>
      <w:outlineLvl w:val="0"/>
    </w:pPr>
    <w:rPr>
      <w:rFonts w:ascii="Arial" w:hAnsi="Arial" w:eastAsia="隶书" w:cs="Arial"/>
      <w:b/>
      <w:bCs/>
      <w:sz w:val="32"/>
      <w:szCs w:val="32"/>
    </w:rPr>
  </w:style>
  <w:style w:type="paragraph" w:styleId="9">
    <w:name w:val="Document Map"/>
    <w:basedOn w:val="1"/>
    <w:link w:val="32"/>
    <w:semiHidden/>
    <w:unhideWhenUsed/>
    <w:qFormat/>
    <w:uiPriority w:val="99"/>
    <w:rPr>
      <w:rFonts w:ascii="宋体" w:eastAsia="宋体"/>
      <w:sz w:val="18"/>
      <w:szCs w:val="18"/>
    </w:rPr>
  </w:style>
  <w:style w:type="paragraph" w:styleId="10">
    <w:name w:val="annotation text"/>
    <w:basedOn w:val="1"/>
    <w:link w:val="34"/>
    <w:unhideWhenUsed/>
    <w:qFormat/>
    <w:uiPriority w:val="99"/>
    <w:pPr>
      <w:jc w:val="left"/>
    </w:pPr>
  </w:style>
  <w:style w:type="paragraph" w:styleId="11">
    <w:name w:val="Balloon Text"/>
    <w:basedOn w:val="1"/>
    <w:link w:val="28"/>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6">
    <w:name w:val="annotation subject"/>
    <w:basedOn w:val="10"/>
    <w:next w:val="10"/>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Hyperlink"/>
    <w:basedOn w:val="19"/>
    <w:unhideWhenUsed/>
    <w:qFormat/>
    <w:uiPriority w:val="99"/>
    <w:rPr>
      <w:color w:val="0000FF" w:themeColor="hyperlink"/>
      <w:u w:val="single"/>
      <w14:textFill>
        <w14:solidFill>
          <w14:schemeClr w14:val="hlink"/>
        </w14:solidFill>
      </w14:textFill>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3"/>
    <w:semiHidden/>
    <w:qFormat/>
    <w:uiPriority w:val="99"/>
    <w:rPr>
      <w:sz w:val="18"/>
      <w:szCs w:val="18"/>
    </w:rPr>
  </w:style>
  <w:style w:type="character" w:customStyle="1" w:styleId="27">
    <w:name w:val="页脚 Char"/>
    <w:basedOn w:val="19"/>
    <w:link w:val="12"/>
    <w:qFormat/>
    <w:uiPriority w:val="99"/>
    <w:rPr>
      <w:sz w:val="18"/>
      <w:szCs w:val="18"/>
    </w:rPr>
  </w:style>
  <w:style w:type="character" w:customStyle="1" w:styleId="28">
    <w:name w:val="批注框文本 Char"/>
    <w:basedOn w:val="19"/>
    <w:link w:val="11"/>
    <w:semiHidden/>
    <w:qFormat/>
    <w:uiPriority w:val="99"/>
    <w:rPr>
      <w:sz w:val="18"/>
      <w:szCs w:val="18"/>
    </w:rPr>
  </w:style>
  <w:style w:type="character" w:customStyle="1" w:styleId="29">
    <w:name w:val="普通(网站) Char"/>
    <w:link w:val="15"/>
    <w:qFormat/>
    <w:uiPriority w:val="99"/>
    <w:rPr>
      <w:rFonts w:ascii="宋体" w:hAnsi="宋体"/>
      <w:sz w:val="24"/>
      <w:szCs w:val="24"/>
    </w:rPr>
  </w:style>
  <w:style w:type="character" w:customStyle="1" w:styleId="30">
    <w:name w:val="标题 1 Char"/>
    <w:basedOn w:val="19"/>
    <w:link w:val="2"/>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9"/>
    <w:semiHidden/>
    <w:qFormat/>
    <w:uiPriority w:val="99"/>
    <w:rPr>
      <w:rFonts w:ascii="宋体" w:eastAsia="宋体"/>
      <w:sz w:val="18"/>
      <w:szCs w:val="18"/>
    </w:rPr>
  </w:style>
  <w:style w:type="character" w:customStyle="1" w:styleId="33">
    <w:name w:val="标题 2 Char"/>
    <w:basedOn w:val="19"/>
    <w:link w:val="5"/>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10"/>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11"/>
    <w:basedOn w:val="19"/>
    <w:qFormat/>
    <w:uiPriority w:val="0"/>
    <w:rPr>
      <w:rFonts w:hint="eastAsia" w:ascii="宋体" w:hAnsi="宋体" w:eastAsia="宋体" w:cs="宋体"/>
      <w:color w:val="000000"/>
      <w:sz w:val="21"/>
      <w:szCs w:val="21"/>
      <w:u w:val="none"/>
    </w:rPr>
  </w:style>
  <w:style w:type="character" w:customStyle="1" w:styleId="39">
    <w:name w:val="font31"/>
    <w:basedOn w:val="19"/>
    <w:qFormat/>
    <w:uiPriority w:val="0"/>
    <w:rPr>
      <w:rFonts w:hint="eastAsia" w:ascii="宋体" w:hAnsi="宋体" w:eastAsia="宋体" w:cs="宋体"/>
      <w:b/>
      <w:bCs/>
      <w:color w:val="000000"/>
      <w:sz w:val="21"/>
      <w:szCs w:val="21"/>
      <w:u w:val="none"/>
    </w:rPr>
  </w:style>
  <w:style w:type="character" w:customStyle="1" w:styleId="40">
    <w:name w:val="font21"/>
    <w:basedOn w:val="19"/>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72</Pages>
  <Words>7548</Words>
  <Characters>7848</Characters>
  <Lines>316</Lines>
  <Paragraphs>88</Paragraphs>
  <TotalTime>35</TotalTime>
  <ScaleCrop>false</ScaleCrop>
  <LinksUpToDate>false</LinksUpToDate>
  <CharactersWithSpaces>7953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青山绿水</cp:lastModifiedBy>
  <cp:lastPrinted>2021-01-15T01:17:00Z</cp:lastPrinted>
  <dcterms:modified xsi:type="dcterms:W3CDTF">2025-07-22T10:38:33Z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480503CBBE6B4B26A27FCABD3B91A140_13</vt:lpwstr>
  </property>
  <property fmtid="{D5CDD505-2E9C-101B-9397-08002B2CF9AE}" pid="4" name="KSOTemplateDocerSaveRecord">
    <vt:lpwstr>eyJoZGlkIjoiMmFhMjYyYWE4MzE1ZjExMjJlNWRiODRkZGNmNzMzNjYiLCJ1c2VySWQiOiIyNTI0NTU0NTAifQ==</vt:lpwstr>
  </property>
</Properties>
</file>