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BAZXCG-2025-00282</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sz w:val="30"/>
                <w:szCs w:val="30"/>
              </w:rPr>
              <w:t>深圳市宝安中学（集团）初中部触控一体机采购项目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lang w:val="en-US" w:eastAsia="zh-CN"/>
              </w:rPr>
              <w:t>40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b/>
                <w:bCs/>
                <w:color w:val="0000FF"/>
                <w:kern w:val="0"/>
                <w:szCs w:val="21"/>
                <w:highlight w:val="none"/>
                <w:lang w:eastAsia="zh-CN"/>
              </w:rPr>
            </w:pPr>
            <w:r>
              <w:rPr>
                <w:rFonts w:hint="eastAsia" w:ascii="宋体" w:hAnsi="宋体" w:eastAsia="宋体" w:cs="宋体"/>
                <w:b/>
                <w:bCs/>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16.7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b/>
                <w:bCs/>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b/>
                <w:bCs/>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3.71</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b/>
                <w:bCs/>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b/>
                <w:bCs/>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b/>
                <w:bCs/>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b/>
                <w:bCs/>
                <w:kern w:val="0"/>
                <w:szCs w:val="21"/>
                <w:highlight w:val="none"/>
              </w:rPr>
            </w:pPr>
            <w:r>
              <w:rPr>
                <w:rFonts w:hint="eastAsia" w:ascii="宋体" w:hAnsi="宋体" w:eastAsia="宋体" w:cs="宋体"/>
                <w:b/>
                <w:bCs/>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应在《政府采购投标及履约承诺函》外另起承诺函）可视为符合规定，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 w:val="21"/>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highlight w:val="none"/>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eastAsia="宋体"/>
                <w:szCs w:val="21"/>
                <w:lang w:val="en-US" w:eastAsia="zh-CN"/>
              </w:rPr>
            </w:pPr>
            <w:r>
              <w:rPr>
                <w:rFonts w:hint="eastAsia" w:ascii="宋体" w:hAnsi="宋体" w:eastAsia="宋体" w:cs="宋体"/>
                <w:kern w:val="0"/>
                <w:sz w:val="21"/>
                <w:szCs w:val="21"/>
                <w:highlight w:val="none"/>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投标人提供本项目的组织实施方案，方案中应包含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项目进度计划安排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2、施工组织计划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3、验收组织计划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4、产品培训方案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含有上述一</w:t>
            </w:r>
            <w:r>
              <w:rPr>
                <w:rFonts w:hint="eastAsia" w:ascii="宋体" w:hAnsi="宋体" w:cs="宋体"/>
                <w:kern w:val="0"/>
                <w:sz w:val="21"/>
                <w:szCs w:val="21"/>
                <w:highlight w:val="none"/>
                <w:lang w:val="en-US" w:eastAsia="zh-CN" w:bidi="ar"/>
              </w:rPr>
              <w:t>项</w:t>
            </w:r>
            <w:r>
              <w:rPr>
                <w:rFonts w:hint="eastAsia" w:ascii="宋体" w:hAnsi="宋体" w:eastAsia="宋体" w:cs="宋体"/>
                <w:kern w:val="0"/>
                <w:sz w:val="21"/>
                <w:szCs w:val="21"/>
                <w:highlight w:val="none"/>
                <w:lang w:val="en-US" w:eastAsia="zh-CN" w:bidi="ar"/>
              </w:rPr>
              <w:t>内容得15分</w:t>
            </w:r>
            <w:r>
              <w:rPr>
                <w:rFonts w:hint="eastAsia" w:ascii="宋体" w:hAnsi="宋体" w:cs="宋体"/>
                <w:kern w:val="0"/>
                <w:sz w:val="21"/>
                <w:szCs w:val="21"/>
                <w:highlight w:val="none"/>
                <w:lang w:val="en-US" w:eastAsia="zh-CN" w:bidi="ar"/>
              </w:rPr>
              <w:t>，最高得60分</w:t>
            </w:r>
            <w:r>
              <w:rPr>
                <w:rFonts w:hint="eastAsia" w:ascii="宋体" w:hAnsi="宋体" w:eastAsia="宋体" w:cs="宋体"/>
                <w:kern w:val="0"/>
                <w:sz w:val="21"/>
                <w:szCs w:val="21"/>
                <w:highlight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cs="宋体"/>
                <w:b/>
                <w:bCs/>
                <w:kern w:val="0"/>
                <w:sz w:val="21"/>
                <w:szCs w:val="21"/>
                <w:lang w:val="en-US" w:eastAsia="zh-CN" w:bidi="ar"/>
              </w:rPr>
              <w:t>（二）评分准则：</w:t>
            </w:r>
          </w:p>
          <w:p>
            <w:pPr>
              <w:keepNext w:val="0"/>
              <w:keepLines w:val="0"/>
              <w:widowControl/>
              <w:numPr>
                <w:ilvl w:val="0"/>
                <w:numId w:val="0"/>
              </w:numPr>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 xml:space="preserve">在此基础上，对方案的合理性、可行性进行打分。 </w:t>
            </w:r>
          </w:p>
          <w:p>
            <w:pPr>
              <w:keepNext w:val="0"/>
              <w:keepLines w:val="0"/>
              <w:widowControl/>
              <w:numPr>
                <w:ilvl w:val="0"/>
                <w:numId w:val="1"/>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方案清晰周密、合理可行、表述完整、方法得当、技术先进、符合相关规范要求得40分。</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highlight w:val="none"/>
                <w:lang w:val="en-US" w:eastAsia="zh-CN" w:bidi="ar"/>
              </w:rPr>
              <w:t>2、方案基本可行表述基本完整得20分。 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eastAsia="宋体" w:cs="宋体"/>
                <w:kern w:val="0"/>
                <w:sz w:val="21"/>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highlight w:val="none"/>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szCs w:val="21"/>
                <w:lang w:val="en-US" w:eastAsia="zh-CN"/>
              </w:rPr>
            </w:pPr>
            <w:r>
              <w:rPr>
                <w:rFonts w:hint="eastAsia" w:ascii="宋体" w:hAnsi="宋体" w:eastAsia="宋体" w:cs="宋体"/>
                <w:sz w:val="21"/>
                <w:szCs w:val="21"/>
                <w:highlight w:val="none"/>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服务内容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highlight w:val="none"/>
                <w:lang w:val="en-US" w:eastAsia="zh-CN" w:bidi="ar"/>
              </w:rPr>
              <w:t xml:space="preserve">维修应急方案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3、培训计划 </w:t>
            </w:r>
          </w:p>
          <w:p>
            <w:pPr>
              <w:keepNext w:val="0"/>
              <w:keepLines w:val="0"/>
              <w:widowControl/>
              <w:numPr>
                <w:ilvl w:val="0"/>
                <w:numId w:val="0"/>
              </w:numPr>
              <w:suppressLineNumbers w:val="0"/>
              <w:ind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4、其他特色服务等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含有上述一</w:t>
            </w:r>
            <w:r>
              <w:rPr>
                <w:rFonts w:hint="eastAsia" w:ascii="宋体" w:hAnsi="宋体" w:cs="宋体"/>
                <w:kern w:val="0"/>
                <w:sz w:val="21"/>
                <w:szCs w:val="21"/>
                <w:highlight w:val="none"/>
                <w:lang w:val="en-US" w:eastAsia="zh-CN" w:bidi="ar"/>
              </w:rPr>
              <w:t>项</w:t>
            </w:r>
            <w:r>
              <w:rPr>
                <w:rFonts w:hint="eastAsia" w:ascii="宋体" w:hAnsi="宋体" w:eastAsia="宋体" w:cs="宋体"/>
                <w:kern w:val="0"/>
                <w:sz w:val="21"/>
                <w:szCs w:val="21"/>
                <w:highlight w:val="none"/>
                <w:lang w:val="en-US" w:eastAsia="zh-CN" w:bidi="ar"/>
              </w:rPr>
              <w:t>内容得15分</w:t>
            </w:r>
            <w:r>
              <w:rPr>
                <w:rFonts w:hint="eastAsia" w:ascii="宋体" w:hAnsi="宋体" w:cs="宋体"/>
                <w:kern w:val="0"/>
                <w:sz w:val="21"/>
                <w:szCs w:val="21"/>
                <w:highlight w:val="none"/>
                <w:lang w:val="en-US" w:eastAsia="zh-CN" w:bidi="ar"/>
              </w:rPr>
              <w:t>，最高得60分</w:t>
            </w:r>
            <w:r>
              <w:rPr>
                <w:rFonts w:hint="eastAsia" w:ascii="宋体" w:hAnsi="宋体" w:eastAsia="宋体" w:cs="宋体"/>
                <w:kern w:val="0"/>
                <w:sz w:val="21"/>
                <w:szCs w:val="21"/>
                <w:highlight w:val="none"/>
                <w:lang w:val="en-US" w:eastAsia="zh-CN" w:bidi="ar"/>
              </w:rPr>
              <w:t>。</w:t>
            </w:r>
          </w:p>
          <w:p>
            <w:pPr>
              <w:keepNext w:val="0"/>
              <w:keepLines w:val="0"/>
              <w:widowControl/>
              <w:numPr>
                <w:ilvl w:val="0"/>
                <w:numId w:val="0"/>
              </w:numPr>
              <w:suppressLineNumbers w:val="0"/>
              <w:ind w:left="0" w:leftChars="0" w:firstLine="0" w:firstLineChars="0"/>
              <w:jc w:val="left"/>
              <w:textAlignment w:val="center"/>
              <w:rPr>
                <w:rFonts w:hint="eastAsia" w:ascii="宋体" w:hAnsi="宋体" w:cs="宋体"/>
                <w:b/>
                <w:bCs/>
                <w:kern w:val="0"/>
                <w:sz w:val="21"/>
                <w:szCs w:val="21"/>
                <w:lang w:val="en-US" w:eastAsia="zh-CN" w:bidi="ar"/>
              </w:rPr>
            </w:pPr>
            <w:r>
              <w:rPr>
                <w:rFonts w:hint="eastAsia" w:ascii="宋体" w:hAnsi="宋体" w:eastAsia="宋体" w:cs="宋体"/>
                <w:b/>
                <w:bCs/>
                <w:kern w:val="0"/>
                <w:sz w:val="21"/>
                <w:szCs w:val="21"/>
                <w:lang w:val="en-US" w:eastAsia="zh-CN" w:bidi="ar"/>
              </w:rPr>
              <w:t>（二）</w:t>
            </w:r>
            <w:r>
              <w:rPr>
                <w:rFonts w:hint="eastAsia" w:ascii="宋体" w:hAnsi="宋体" w:cs="宋体"/>
                <w:b/>
                <w:bCs/>
                <w:kern w:val="0"/>
                <w:sz w:val="21"/>
                <w:szCs w:val="21"/>
                <w:lang w:val="en-US" w:eastAsia="zh-CN" w:bidi="ar"/>
              </w:rPr>
              <w:t>评分准则：</w:t>
            </w:r>
          </w:p>
          <w:p>
            <w:pPr>
              <w:keepNext w:val="0"/>
              <w:keepLines w:val="0"/>
              <w:widowControl/>
              <w:numPr>
                <w:ilvl w:val="0"/>
                <w:numId w:val="0"/>
              </w:numPr>
              <w:suppressLineNumbers w:val="0"/>
              <w:ind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在此基础上，对方案的合理性、可行性进行打分。 </w:t>
            </w:r>
          </w:p>
          <w:p>
            <w:pPr>
              <w:keepNext w:val="0"/>
              <w:keepLines w:val="0"/>
              <w:widowControl/>
              <w:numPr>
                <w:ilvl w:val="0"/>
                <w:numId w:val="0"/>
              </w:numPr>
              <w:suppressLineNumbers w:val="0"/>
              <w:ind w:left="0"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售后服务方案非常详细，保障措施完善可行，得40分；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highlight w:val="none"/>
                <w:lang w:val="en-US" w:eastAsia="zh-CN" w:bidi="ar"/>
              </w:rPr>
              <w:t xml:space="preserve">售后服务方案比较具体，保障措施比较完善可行，能够满足招标文件要求的得20分；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kern w:val="0"/>
                <w:sz w:val="21"/>
                <w:szCs w:val="21"/>
                <w:highlight w:val="none"/>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szCs w:val="21"/>
              </w:rPr>
            </w:pPr>
            <w:r>
              <w:rPr>
                <w:rFonts w:hint="eastAsia" w:ascii="宋体" w:hAnsi="宋体" w:eastAsia="宋体" w:cs="宋体"/>
                <w:kern w:val="0"/>
                <w:sz w:val="21"/>
                <w:szCs w:val="21"/>
                <w:highlight w:val="none"/>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szCs w:val="21"/>
              </w:rPr>
            </w:pPr>
            <w:r>
              <w:rPr>
                <w:rFonts w:hint="eastAsia" w:ascii="宋体" w:hAnsi="宋体" w:eastAsia="宋体" w:cs="宋体"/>
                <w:kern w:val="0"/>
                <w:sz w:val="21"/>
                <w:szCs w:val="21"/>
                <w:highlight w:val="none"/>
                <w:lang w:val="en-US" w:eastAsia="zh-CN"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pStyle w:val="9"/>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bidi="ar"/>
              </w:rPr>
              <w:t>202</w:t>
            </w:r>
            <w:r>
              <w:rPr>
                <w:rFonts w:hint="eastAsia" w:ascii="宋体" w:hAnsi="宋体" w:eastAsia="宋体" w:cs="宋体"/>
                <w:kern w:val="0"/>
                <w:sz w:val="21"/>
                <w:szCs w:val="21"/>
                <w:highlight w:val="none"/>
                <w:lang w:val="en-US" w:eastAsia="zh-CN" w:bidi="ar"/>
              </w:rPr>
              <w:t>2</w:t>
            </w:r>
            <w:r>
              <w:rPr>
                <w:rFonts w:hint="eastAsia" w:ascii="宋体" w:hAnsi="宋体" w:eastAsia="宋体" w:cs="宋体"/>
                <w:kern w:val="0"/>
                <w:sz w:val="21"/>
                <w:szCs w:val="21"/>
                <w:highlight w:val="none"/>
                <w:lang w:bidi="ar"/>
              </w:rPr>
              <w:t>年1月1日（以合同签订日期为准）</w:t>
            </w:r>
            <w:r>
              <w:rPr>
                <w:rFonts w:hint="eastAsia" w:ascii="宋体" w:hAnsi="宋体" w:eastAsia="宋体" w:cs="宋体"/>
                <w:kern w:val="0"/>
                <w:sz w:val="21"/>
                <w:szCs w:val="21"/>
                <w:highlight w:val="none"/>
                <w:lang w:val="en-US" w:eastAsia="zh-CN" w:bidi="ar"/>
              </w:rPr>
              <w:t>以后，投标人具有与本项目同类项目（触控一体机或交互平板）经验，且履约评价为优或满意（或同等评价），每提供一个得</w:t>
            </w:r>
            <w:r>
              <w:rPr>
                <w:rFonts w:hint="eastAsia" w:hAnsi="宋体" w:cs="宋体"/>
                <w:kern w:val="0"/>
                <w:sz w:val="21"/>
                <w:szCs w:val="21"/>
                <w:highlight w:val="none"/>
                <w:lang w:val="en-US" w:eastAsia="zh-CN" w:bidi="ar"/>
              </w:rPr>
              <w:t>25</w:t>
            </w:r>
            <w:r>
              <w:rPr>
                <w:rFonts w:hint="eastAsia" w:ascii="宋体" w:hAnsi="宋体" w:eastAsia="宋体" w:cs="宋体"/>
                <w:kern w:val="0"/>
                <w:sz w:val="21"/>
                <w:szCs w:val="21"/>
                <w:highlight w:val="none"/>
                <w:lang w:val="en-US" w:eastAsia="zh-CN" w:bidi="ar"/>
              </w:rPr>
              <w:t>分，最高得100分。</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cs="宋体"/>
                <w:b/>
                <w:bCs/>
                <w:kern w:val="0"/>
                <w:sz w:val="21"/>
                <w:szCs w:val="21"/>
                <w:lang w:val="en-US" w:eastAsia="zh-CN" w:bidi="ar"/>
              </w:rPr>
              <w:t>（二）评分准则：</w:t>
            </w:r>
          </w:p>
          <w:p>
            <w:pPr>
              <w:pStyle w:val="9"/>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1、同时提供以下：（1）合同关键页扫描件</w:t>
            </w:r>
            <w:r>
              <w:rPr>
                <w:rFonts w:hint="eastAsia" w:asciiTheme="minorEastAsia" w:hAnsiTheme="minorEastAsia" w:eastAsiaTheme="minorEastAsia" w:cstheme="minorEastAsia"/>
                <w:color w:val="auto"/>
                <w:sz w:val="21"/>
                <w:szCs w:val="21"/>
                <w:highlight w:val="none"/>
                <w:lang w:val="en-US" w:eastAsia="zh-CN"/>
              </w:rPr>
              <w:t>（包括但不限于合同双方的单位名称、合同项目名称、项目内容、合同双方的落款盖章、签订日期等）</w:t>
            </w:r>
            <w:r>
              <w:rPr>
                <w:rFonts w:hint="eastAsia" w:ascii="宋体" w:hAnsi="宋体" w:eastAsia="宋体" w:cs="宋体"/>
                <w:kern w:val="0"/>
                <w:sz w:val="21"/>
                <w:szCs w:val="21"/>
                <w:highlight w:val="none"/>
                <w:lang w:val="en-US" w:eastAsia="zh-CN" w:bidi="ar"/>
              </w:rPr>
              <w:t>；（2）设备配置清单扫描件；（3）验收报告[加盖合同甲方</w:t>
            </w:r>
            <w:r>
              <w:rPr>
                <w:rFonts w:hint="eastAsia" w:hAnsi="宋体" w:cs="宋体"/>
                <w:kern w:val="0"/>
                <w:sz w:val="21"/>
                <w:szCs w:val="21"/>
                <w:highlight w:val="yellow"/>
                <w:lang w:val="en-US" w:eastAsia="zh-CN" w:bidi="ar"/>
              </w:rPr>
              <w:t>（合同相对方）</w:t>
            </w:r>
            <w:r>
              <w:rPr>
                <w:rFonts w:hint="eastAsia" w:ascii="宋体" w:hAnsi="宋体" w:eastAsia="宋体" w:cs="宋体"/>
                <w:kern w:val="0"/>
                <w:sz w:val="21"/>
                <w:szCs w:val="21"/>
                <w:highlight w:val="none"/>
                <w:lang w:val="en-US" w:eastAsia="zh-CN" w:bidi="ar"/>
              </w:rPr>
              <w:t>公章</w:t>
            </w:r>
            <w:r>
              <w:rPr>
                <w:rFonts w:hint="eastAsia" w:hAnsi="宋体" w:cs="宋体"/>
                <w:kern w:val="0"/>
                <w:sz w:val="21"/>
                <w:szCs w:val="21"/>
                <w:highlight w:val="none"/>
                <w:lang w:val="en-US" w:eastAsia="zh-CN" w:bidi="ar"/>
              </w:rPr>
              <w:t>或</w:t>
            </w:r>
            <w:r>
              <w:rPr>
                <w:rFonts w:hint="eastAsia" w:ascii="宋体" w:hAnsi="宋体" w:eastAsia="宋体" w:cs="宋体"/>
                <w:kern w:val="0"/>
                <w:sz w:val="21"/>
                <w:szCs w:val="21"/>
                <w:highlight w:val="none"/>
                <w:lang w:val="en-US" w:eastAsia="zh-CN" w:bidi="ar"/>
              </w:rPr>
              <w:t>业务章）]；（4）履约评价证明[加盖合同甲方</w:t>
            </w:r>
            <w:r>
              <w:rPr>
                <w:rFonts w:hint="eastAsia" w:hAnsi="宋体" w:cs="宋体"/>
                <w:kern w:val="0"/>
                <w:sz w:val="21"/>
                <w:szCs w:val="21"/>
                <w:highlight w:val="yellow"/>
                <w:lang w:val="en-US" w:eastAsia="zh-CN" w:bidi="ar"/>
              </w:rPr>
              <w:t>（合同相对方）</w:t>
            </w:r>
            <w:r>
              <w:rPr>
                <w:rFonts w:hint="eastAsia" w:ascii="宋体" w:hAnsi="宋体" w:eastAsia="宋体" w:cs="宋体"/>
                <w:kern w:val="0"/>
                <w:sz w:val="21"/>
                <w:szCs w:val="21"/>
                <w:highlight w:val="none"/>
                <w:lang w:val="en-US" w:eastAsia="zh-CN" w:bidi="ar"/>
              </w:rPr>
              <w:t>公章</w:t>
            </w:r>
            <w:r>
              <w:rPr>
                <w:rFonts w:hint="eastAsia" w:hAnsi="宋体" w:cs="宋体"/>
                <w:kern w:val="0"/>
                <w:sz w:val="21"/>
                <w:szCs w:val="21"/>
                <w:highlight w:val="none"/>
                <w:lang w:val="en-US" w:eastAsia="zh-CN" w:bidi="ar"/>
              </w:rPr>
              <w:t>或</w:t>
            </w:r>
            <w:r>
              <w:rPr>
                <w:rFonts w:hint="eastAsia" w:ascii="宋体" w:hAnsi="宋体" w:eastAsia="宋体" w:cs="宋体"/>
                <w:kern w:val="0"/>
                <w:sz w:val="21"/>
                <w:szCs w:val="21"/>
                <w:highlight w:val="none"/>
                <w:lang w:val="en-US" w:eastAsia="zh-CN" w:bidi="ar"/>
              </w:rPr>
              <w:t>业务章）]。</w:t>
            </w:r>
          </w:p>
          <w:p>
            <w:pPr>
              <w:pStyle w:val="9"/>
              <w:rPr>
                <w:szCs w:val="21"/>
              </w:rPr>
            </w:pPr>
            <w:r>
              <w:rPr>
                <w:rFonts w:hint="eastAsia" w:asciiTheme="minorEastAsia" w:hAnsiTheme="minorEastAsia" w:eastAsiaTheme="minorEastAsia" w:cstheme="minorEastAsia"/>
                <w:color w:val="auto"/>
                <w:sz w:val="21"/>
                <w:szCs w:val="21"/>
                <w:highlight w:val="none"/>
                <w:lang w:val="en-US" w:eastAsia="zh-CN"/>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3"/>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3"/>
        <w:rPr>
          <w:rFonts w:hint="eastAsia"/>
        </w:rPr>
      </w:pPr>
    </w:p>
    <w:p>
      <w:pPr>
        <w:pStyle w:val="13"/>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4"/>
    <w:p>
      <w:pPr>
        <w:pStyle w:val="3"/>
        <w:jc w:val="center"/>
        <w:rPr>
          <w:color w:val="FF0000"/>
          <w:sz w:val="24"/>
        </w:rPr>
      </w:pPr>
      <w:bookmarkStart w:id="6" w:name="bt技术标投标文件格式"/>
      <w:bookmarkEnd w:id="6"/>
      <w:bookmarkStart w:id="7" w:name="bt合同格式"/>
      <w:bookmarkEnd w:id="7"/>
      <w:bookmarkStart w:id="8" w:name="合同格式"/>
      <w:bookmarkEnd w:id="8"/>
      <w:bookmarkStart w:id="9" w:name="bt其他资料由投标人自定"/>
      <w:bookmarkEnd w:id="9"/>
      <w:bookmarkStart w:id="10" w:name="bt开标一览表"/>
      <w:bookmarkEnd w:id="10"/>
      <w:bookmarkStart w:id="11" w:name="bt商务标投标文件格式"/>
      <w:bookmarkEnd w:id="11"/>
      <w:bookmarkStart w:id="12" w:name="bt投标报价汇总表"/>
      <w:bookmarkEnd w:id="12"/>
      <w:bookmarkStart w:id="13" w:name="bt其他资料2"/>
      <w:bookmarkEnd w:id="13"/>
      <w:bookmarkStart w:id="14" w:name="bt投标人须知"/>
      <w:bookmarkEnd w:id="14"/>
      <w:bookmarkStart w:id="15" w:name="bt本工程承诺书"/>
      <w:bookmarkEnd w:id="15"/>
      <w:bookmarkStart w:id="16" w:name="bt项目管理班子配备情况"/>
      <w:bookmarkEnd w:id="16"/>
      <w:bookmarkStart w:id="17" w:name="bt投标人情况介绍"/>
      <w:bookmarkEnd w:id="17"/>
      <w:bookmarkStart w:id="18" w:name="bt合同条款及格式"/>
      <w:bookmarkEnd w:id="18"/>
      <w:bookmarkStart w:id="19" w:name="bt投标文件签署授权委托书"/>
      <w:bookmarkEnd w:id="19"/>
      <w:bookmarkStart w:id="20" w:name="bt合同条款"/>
      <w:bookmarkEnd w:id="20"/>
      <w:bookmarkStart w:id="21" w:name="bt投标函"/>
      <w:bookmarkEnd w:id="21"/>
      <w:bookmarkStart w:id="22" w:name="bt说明"/>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cs="宋体"/>
          <w:kern w:val="0"/>
          <w:szCs w:val="21"/>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73517639"/>
      <w:bookmarkStart w:id="25" w:name="_Toc100052364"/>
      <w:bookmarkStart w:id="26" w:name="_Toc60631620"/>
      <w:bookmarkStart w:id="27" w:name="_Toc101074876"/>
      <w:bookmarkStart w:id="28" w:name="_Toc73521635"/>
      <w:bookmarkStart w:id="29" w:name="_Toc73521547"/>
      <w:bookmarkStart w:id="30" w:name="_Toc60560625"/>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numPr>
          <w:ilvl w:val="0"/>
          <w:numId w:val="0"/>
        </w:numPr>
        <w:ind w:left="0" w:leftChars="0" w:firstLine="420" w:firstLineChars="200"/>
        <w:rPr>
          <w:rFonts w:hint="default" w:eastAsia="宋体"/>
          <w:lang w:val="en-US" w:eastAsia="zh-CN"/>
        </w:rPr>
      </w:pP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JYCG-DECL-2025-28560</w:t>
            </w:r>
          </w:p>
        </w:tc>
        <w:tc>
          <w:tcPr>
            <w:tcW w:w="3158" w:type="dxa"/>
            <w:vAlign w:val="center"/>
          </w:tcPr>
          <w:p>
            <w:pPr>
              <w:jc w:val="center"/>
              <w:rPr>
                <w:b/>
                <w:bCs/>
                <w:color w:val="FF0000"/>
                <w:szCs w:val="21"/>
              </w:rPr>
            </w:pPr>
            <w:r>
              <w:rPr>
                <w:rFonts w:hint="eastAsia"/>
                <w:b/>
                <w:bCs/>
                <w:color w:val="FF0000"/>
                <w:szCs w:val="21"/>
              </w:rPr>
              <w:t>深圳市宝安中学（集团）初中部触控一体机采购项目</w:t>
            </w:r>
          </w:p>
        </w:tc>
        <w:tc>
          <w:tcPr>
            <w:tcW w:w="2355" w:type="dxa"/>
            <w:vAlign w:val="center"/>
          </w:tcPr>
          <w:p>
            <w:pPr>
              <w:jc w:val="center"/>
              <w:rPr>
                <w:bCs/>
                <w:color w:val="FF0000"/>
                <w:szCs w:val="21"/>
              </w:rPr>
            </w:pPr>
            <w:r>
              <w:rPr>
                <w:rFonts w:hint="eastAsia"/>
                <w:bCs/>
                <w:color w:val="FF0000"/>
                <w:szCs w:val="21"/>
              </w:rPr>
              <w:t>540000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2"/>
        <w:gridCol w:w="1665"/>
        <w:gridCol w:w="426"/>
        <w:gridCol w:w="426"/>
        <w:gridCol w:w="985"/>
        <w:gridCol w:w="1197"/>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vAlign w:val="center"/>
          </w:tcPr>
          <w:p>
            <w:pPr>
              <w:jc w:val="center"/>
              <w:rPr>
                <w:bCs/>
                <w:szCs w:val="21"/>
              </w:rPr>
            </w:pPr>
            <w:r>
              <w:rPr>
                <w:rFonts w:hint="eastAsia"/>
                <w:bCs/>
                <w:szCs w:val="21"/>
              </w:rPr>
              <w:t>序号</w:t>
            </w:r>
          </w:p>
        </w:tc>
        <w:tc>
          <w:tcPr>
            <w:tcW w:w="602" w:type="pct"/>
            <w:vAlign w:val="center"/>
          </w:tcPr>
          <w:p>
            <w:pPr>
              <w:jc w:val="center"/>
              <w:rPr>
                <w:bCs/>
                <w:szCs w:val="21"/>
              </w:rPr>
            </w:pPr>
            <w:r>
              <w:rPr>
                <w:rFonts w:hint="eastAsia"/>
                <w:szCs w:val="21"/>
              </w:rPr>
              <w:t>采购计划编号</w:t>
            </w:r>
          </w:p>
        </w:tc>
        <w:tc>
          <w:tcPr>
            <w:tcW w:w="1099" w:type="pct"/>
            <w:vAlign w:val="center"/>
          </w:tcPr>
          <w:p>
            <w:pPr>
              <w:jc w:val="center"/>
              <w:rPr>
                <w:bCs/>
                <w:szCs w:val="21"/>
              </w:rPr>
            </w:pPr>
            <w:r>
              <w:rPr>
                <w:rFonts w:hint="eastAsia"/>
                <w:bCs/>
                <w:szCs w:val="21"/>
              </w:rPr>
              <w:t>货物名称（标的名称）</w:t>
            </w:r>
          </w:p>
        </w:tc>
        <w:tc>
          <w:tcPr>
            <w:tcW w:w="290" w:type="pct"/>
            <w:vAlign w:val="center"/>
          </w:tcPr>
          <w:p>
            <w:pPr>
              <w:jc w:val="center"/>
              <w:rPr>
                <w:bCs/>
                <w:szCs w:val="21"/>
              </w:rPr>
            </w:pPr>
            <w:r>
              <w:rPr>
                <w:rFonts w:hint="eastAsia"/>
                <w:bCs/>
                <w:szCs w:val="21"/>
              </w:rPr>
              <w:t>数量</w:t>
            </w:r>
          </w:p>
        </w:tc>
        <w:tc>
          <w:tcPr>
            <w:tcW w:w="267" w:type="pct"/>
            <w:vAlign w:val="center"/>
          </w:tcPr>
          <w:p>
            <w:pPr>
              <w:jc w:val="center"/>
              <w:rPr>
                <w:bCs/>
                <w:szCs w:val="21"/>
              </w:rPr>
            </w:pPr>
            <w:r>
              <w:rPr>
                <w:rFonts w:hint="eastAsia"/>
                <w:bCs/>
                <w:szCs w:val="21"/>
              </w:rPr>
              <w:t>单位</w:t>
            </w:r>
          </w:p>
        </w:tc>
        <w:tc>
          <w:tcPr>
            <w:tcW w:w="782"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82"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83"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1" w:type="pct"/>
            <w:vAlign w:val="center"/>
          </w:tcPr>
          <w:p>
            <w:pPr>
              <w:jc w:val="center"/>
              <w:rPr>
                <w:bCs/>
                <w:szCs w:val="21"/>
              </w:rPr>
            </w:pPr>
            <w:r>
              <w:rPr>
                <w:rFonts w:hint="eastAsia"/>
                <w:bCs/>
                <w:szCs w:val="21"/>
              </w:rPr>
              <w:t>1</w:t>
            </w:r>
          </w:p>
        </w:tc>
        <w:tc>
          <w:tcPr>
            <w:tcW w:w="602" w:type="pct"/>
            <w:vAlign w:val="center"/>
          </w:tcPr>
          <w:p>
            <w:pPr>
              <w:jc w:val="center"/>
              <w:rPr>
                <w:bCs/>
                <w:szCs w:val="21"/>
              </w:rPr>
            </w:pPr>
            <w:r>
              <w:rPr>
                <w:rFonts w:hint="eastAsia"/>
                <w:bCs/>
                <w:szCs w:val="21"/>
              </w:rPr>
              <w:t>JYCG-DECL-2025-28560</w:t>
            </w:r>
          </w:p>
        </w:tc>
        <w:tc>
          <w:tcPr>
            <w:tcW w:w="1099" w:type="pct"/>
            <w:vAlign w:val="center"/>
          </w:tcPr>
          <w:p>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1"/>
                <w:szCs w:val="21"/>
                <w:highlight w:val="none"/>
                <w:u w:val="none"/>
                <w:lang w:val="en-US" w:eastAsia="zh-CN" w:bidi="ar"/>
              </w:rPr>
              <w:t>触控一体机</w:t>
            </w:r>
          </w:p>
        </w:tc>
        <w:tc>
          <w:tcPr>
            <w:tcW w:w="290" w:type="pct"/>
            <w:vAlign w:val="center"/>
          </w:tcPr>
          <w:p>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1"/>
                <w:szCs w:val="21"/>
                <w:highlight w:val="none"/>
                <w:u w:val="none"/>
                <w:lang w:val="en-US" w:eastAsia="zh-CN" w:bidi="ar"/>
              </w:rPr>
              <w:t>20</w:t>
            </w:r>
          </w:p>
        </w:tc>
        <w:tc>
          <w:tcPr>
            <w:tcW w:w="267" w:type="pct"/>
            <w:vAlign w:val="center"/>
          </w:tcPr>
          <w:p>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1"/>
                <w:szCs w:val="21"/>
                <w:highlight w:val="none"/>
                <w:u w:val="none"/>
                <w:lang w:val="en-US" w:eastAsia="zh-CN" w:bidi="ar"/>
              </w:rPr>
              <w:t>台</w:t>
            </w:r>
          </w:p>
        </w:tc>
        <w:tc>
          <w:tcPr>
            <w:tcW w:w="782" w:type="pct"/>
            <w:vAlign w:val="center"/>
          </w:tcPr>
          <w:p>
            <w:pPr>
              <w:jc w:val="center"/>
              <w:rPr>
                <w:b/>
                <w:bCs/>
                <w:color w:val="FF0000"/>
                <w:szCs w:val="21"/>
              </w:rPr>
            </w:pPr>
            <w:r>
              <w:rPr>
                <w:rFonts w:hint="eastAsia"/>
                <w:b/>
                <w:bCs/>
                <w:szCs w:val="21"/>
              </w:rPr>
              <w:t>拒绝进口</w:t>
            </w:r>
          </w:p>
        </w:tc>
        <w:tc>
          <w:tcPr>
            <w:tcW w:w="782" w:type="pct"/>
            <w:vAlign w:val="center"/>
          </w:tcPr>
          <w:p>
            <w:pPr>
              <w:jc w:val="center"/>
              <w:rPr>
                <w:b/>
                <w:bCs/>
                <w:color w:val="FF0000"/>
                <w:szCs w:val="21"/>
              </w:rPr>
            </w:pPr>
            <w:r>
              <w:rPr>
                <w:rFonts w:hint="eastAsia"/>
                <w:b/>
                <w:bCs/>
                <w:color w:val="FF0000"/>
                <w:szCs w:val="21"/>
                <w:lang w:val="en-US" w:eastAsia="zh-CN"/>
              </w:rPr>
              <w:t>否</w:t>
            </w:r>
          </w:p>
        </w:tc>
        <w:tc>
          <w:tcPr>
            <w:tcW w:w="883" w:type="pct"/>
            <w:vAlign w:val="center"/>
          </w:tcPr>
          <w:p>
            <w:pPr>
              <w:jc w:val="center"/>
              <w:rPr>
                <w:b/>
                <w:bCs/>
                <w:color w:val="FF0000"/>
                <w:szCs w:val="21"/>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bookmarkEnd w:id="37"/>
    <w:p>
      <w:pPr>
        <w:rPr>
          <w:rFonts w:ascii="宋体" w:hAnsi="宋体"/>
          <w:b/>
          <w:color w:val="FF0000"/>
          <w:szCs w:val="21"/>
        </w:rPr>
      </w:pPr>
    </w:p>
    <w:p>
      <w:pPr>
        <w:pStyle w:val="2"/>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color w:val="000000" w:themeColor="text1"/>
                <w:szCs w:val="21"/>
              </w:rPr>
              <w:t>1</w:t>
            </w:r>
          </w:p>
          <w:p>
            <w:pPr>
              <w:jc w:val="center"/>
              <w:rPr>
                <w:color w:val="000000" w:themeColor="text1"/>
                <w:szCs w:val="21"/>
              </w:rPr>
            </w:pPr>
          </w:p>
        </w:tc>
        <w:tc>
          <w:tcPr>
            <w:tcW w:w="1134" w:type="dxa"/>
            <w:vMerge w:val="restart"/>
            <w:vAlign w:val="center"/>
          </w:tcPr>
          <w:p>
            <w:pPr>
              <w:jc w:val="both"/>
              <w:rPr>
                <w:rFonts w:hint="default" w:eastAsia="宋体"/>
                <w:color w:val="000000" w:themeColor="text1"/>
                <w:szCs w:val="21"/>
                <w:lang w:val="en-US" w:eastAsia="zh-CN"/>
              </w:rPr>
            </w:pPr>
            <w:r>
              <w:rPr>
                <w:rFonts w:hint="eastAsia"/>
                <w:color w:val="000000" w:themeColor="text1"/>
                <w:szCs w:val="21"/>
                <w:lang w:val="en-US" w:eastAsia="zh-CN"/>
              </w:rPr>
              <w:t>触控一体机</w:t>
            </w:r>
          </w:p>
        </w:tc>
        <w:tc>
          <w:tcPr>
            <w:tcW w:w="6485" w:type="dxa"/>
          </w:tcPr>
          <w:p>
            <w:pPr>
              <w:keepNext w:val="0"/>
              <w:keepLines w:val="0"/>
              <w:widowControl/>
              <w:suppressLineNumbers w:val="0"/>
              <w:jc w:val="both"/>
              <w:textAlignment w:val="center"/>
              <w:rPr>
                <w:rFonts w:hint="default" w:eastAsia="宋体"/>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一、硬件功能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both"/>
              <w:rPr>
                <w:rFonts w:hint="eastAsia"/>
                <w:color w:val="000000" w:themeColor="text1"/>
                <w:szCs w:val="21"/>
                <w:lang w:val="en-US" w:eastAsia="zh-CN"/>
              </w:rPr>
            </w:pPr>
          </w:p>
        </w:tc>
        <w:tc>
          <w:tcPr>
            <w:tcW w:w="6485" w:type="dxa"/>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 w:hAnsi="仿宋" w:eastAsia="仿宋" w:cs="仿宋"/>
                <w:b w:val="0"/>
                <w:bCs w:val="0"/>
                <w:kern w:val="2"/>
                <w:sz w:val="21"/>
                <w:szCs w:val="24"/>
                <w:lang w:val="en-US" w:eastAsia="zh-CN" w:bidi="ar-SA"/>
              </w:rPr>
            </w:pPr>
            <w:r>
              <w:rPr>
                <w:rFonts w:hint="eastAsia" w:ascii="仿宋" w:hAnsi="仿宋" w:eastAsia="仿宋" w:cs="仿宋"/>
                <w:b w:val="0"/>
                <w:bCs w:val="0"/>
                <w:highlight w:val="none"/>
                <w:lang w:val="en-US" w:eastAsia="zh-CN"/>
              </w:rPr>
              <w:t>▲1、</w:t>
            </w:r>
            <w:r>
              <w:rPr>
                <w:rFonts w:hint="eastAsia" w:ascii="仿宋_GB2312" w:hAnsi="仿宋_GB2312" w:eastAsia="仿宋_GB2312" w:cs="仿宋_GB2312"/>
              </w:rPr>
              <w:t>显示尺寸≥86英寸，UHD超高清LED液晶屏，分辨率：3840*2160；触控分辨率不小于32768*32768，在Windows、Android、国产化系统下均支持50点触控及划线；采用物理防蓝光设计，无需其他操作即可实现防蓝光；背光系统支持DC调光技术、多级亮度调节，摄像设备拍摄时画面无条纹闪烁，实现稳定光源无频闪，防止眼睛疲劳。</w:t>
            </w:r>
            <w:r>
              <w:rPr>
                <w:rFonts w:hint="eastAsia" w:ascii="仿宋_GB2312" w:hAnsi="仿宋_GB2312" w:eastAsia="仿宋_GB2312" w:cs="仿宋_GB2312"/>
                <w:b/>
                <w:bCs/>
                <w:color w:val="0000FF"/>
                <w:lang w:val="en-US" w:eastAsia="zh-CN"/>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2、整机前置接口：≥1路HDMI IN接口（非转接），≥2路USB3.0接口，≥1路USB Type-C接口; 且为方便检修，前置接口面板和前置按键面板支持单独前拆；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3、智能交互平板前置中文物理按键≥8个，前置接口最少包含主页、触控开关、音量加减、关闭窗口、多任务等按键；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 w:hAnsi="仿宋" w:eastAsia="仿宋" w:cs="仿宋"/>
                <w:b w:val="0"/>
                <w:bCs w:val="0"/>
                <w:highlight w:val="none"/>
                <w:lang w:val="en-US" w:eastAsia="zh-CN"/>
              </w:rPr>
              <w:t>▲4、</w:t>
            </w:r>
            <w:r>
              <w:rPr>
                <w:rFonts w:hint="eastAsia" w:ascii="仿宋_GB2312" w:hAnsi="仿宋_GB2312" w:eastAsia="仿宋_GB2312" w:cs="仿宋_GB2312"/>
                <w:lang w:val="en-US" w:eastAsia="zh-CN"/>
              </w:rPr>
              <w:t>智能交互平板具备前置电脑还原按键，为避免误碰按键采用针孔式设计，并配有中文标识</w:t>
            </w:r>
            <w:r>
              <w:rPr>
                <w:rFonts w:hint="eastAsia" w:ascii="仿宋_GB2312" w:hAnsi="仿宋_GB2312" w:eastAsia="仿宋_GB2312" w:cs="仿宋_GB2312"/>
                <w:b/>
                <w:bCs/>
                <w:color w:val="0000FF"/>
                <w:lang w:val="en-US" w:eastAsia="zh-CN"/>
              </w:rPr>
              <w:t>(提供该项功能的截图，未提供截图或截图结果不符合要求的，不得分);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5、内置4K超高清摄像头，有效像素≥1900W，可输出最大分辨5104*3864的图片与视频，支持搭配AI软件实现自动点名点数功能，音响采用阵列式发声设计，具备2.2声道，具备6个发声单元，总额定功率≥60W。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6、笔槽结构设计：智能交互平板具有通屏笔槽，可防止粉笔、书写笔等，笔槽设计有漏灰孔，方便清理粉尘。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7、智能交互平板采用不低于12核驱动芯片，包含CPU和GPU两类芯片，Android 系统版本不低于14.0，内存≥2GB，存储≥8GB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8、交互平板采用国际主流通用的80pin接口设计，方便进行设备的维修和升级。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9、内置电脑：CPU处理器（产品型号不得早于2021年发布）性能不低于6核12线程、基础频率2.7GHz、睿频频率基础频率4.5GHz；可支持内存：≥16G DDR4，硬盘：≥512G SSD固态硬盘。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 w:hAnsi="仿宋" w:eastAsia="仿宋" w:cs="仿宋"/>
                <w:b w:val="0"/>
                <w:bCs w:val="0"/>
                <w:highlight w:val="none"/>
                <w:lang w:val="en-US" w:eastAsia="zh-CN"/>
              </w:rPr>
              <w:t>▲</w:t>
            </w:r>
            <w:r>
              <w:rPr>
                <w:rFonts w:hint="eastAsia" w:ascii="仿宋_GB2312" w:hAnsi="仿宋_GB2312" w:eastAsia="仿宋_GB2312" w:cs="仿宋_GB2312"/>
                <w:lang w:val="en-US" w:eastAsia="zh-CN"/>
              </w:rPr>
              <w:t>10、设备左右两侧可提供与教学应用密切相关的快捷键，标准模式下数量各不少于15个，功能至少包含展台、放大镜、翻页、桌面、窗口关闭、屏幕下移等常规教学功能，方便用户师生快速调用。</w:t>
            </w:r>
            <w:r>
              <w:rPr>
                <w:rFonts w:hint="eastAsia" w:ascii="仿宋_GB2312" w:hAnsi="仿宋_GB2312" w:eastAsia="仿宋_GB2312" w:cs="仿宋_GB2312"/>
                <w:b/>
                <w:bCs/>
                <w:color w:val="0000FF"/>
                <w:lang w:val="en-US" w:eastAsia="zh-CN"/>
              </w:rPr>
              <w:t>(提供该项功能的截图，未提供截图或截图结果不符合要求的，不得分);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bookmarkStart w:id="139" w:name="_GoBack"/>
            <w:r>
              <w:rPr>
                <w:rFonts w:hint="eastAsia" w:ascii="仿宋" w:hAnsi="仿宋" w:eastAsia="仿宋" w:cs="仿宋"/>
                <w:b w:val="0"/>
                <w:bCs w:val="0"/>
                <w:highlight w:val="none"/>
                <w:lang w:val="en-US" w:eastAsia="zh-CN"/>
              </w:rPr>
              <w:t>▲</w:t>
            </w:r>
            <w:bookmarkEnd w:id="139"/>
            <w:r>
              <w:rPr>
                <w:rFonts w:hint="eastAsia" w:ascii="仿宋_GB2312" w:hAnsi="仿宋_GB2312" w:eastAsia="仿宋_GB2312" w:cs="仿宋_GB2312"/>
                <w:lang w:val="en-US" w:eastAsia="zh-CN"/>
              </w:rPr>
              <w:t>11、交互平板具有悬浮菜单功能，悬浮菜单可进行自定义分组，可调用白板、笔、便签、AI互动软件等不少于 30 个应用，其中书写笔至少包含软笔、荧光笔、万能笔等不少于12种笔色，28种粗细笔形。</w:t>
            </w:r>
            <w:r>
              <w:rPr>
                <w:rFonts w:hint="eastAsia" w:ascii="仿宋_GB2312" w:hAnsi="仿宋_GB2312" w:eastAsia="仿宋_GB2312" w:cs="仿宋_GB2312"/>
                <w:b/>
                <w:bCs/>
                <w:color w:val="0000FF"/>
                <w:lang w:val="en-US" w:eastAsia="zh-CN"/>
              </w:rPr>
              <w:t>(提供该项功能的截图，未提供截图或截图结果不符合要求的，不得分);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rPr>
                <w:rFonts w:hint="default"/>
                <w:color w:val="000000" w:themeColor="text1"/>
                <w:szCs w:val="21"/>
                <w:lang w:val="en-US" w:eastAsia="zh-CN"/>
              </w:rPr>
            </w:pPr>
            <w:r>
              <w:rPr>
                <w:rFonts w:hint="eastAsia" w:ascii="仿宋" w:hAnsi="仿宋" w:eastAsia="仿宋" w:cs="仿宋"/>
                <w:highlight w:val="none"/>
                <w:lang w:val="en-US" w:eastAsia="zh-CN"/>
              </w:rPr>
              <w:t>二：教学软件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 w:hAnsi="仿宋" w:eastAsia="仿宋" w:cs="仿宋"/>
                <w:b w:val="0"/>
                <w:bCs w:val="0"/>
                <w:highlight w:val="none"/>
                <w:lang w:val="en-US" w:eastAsia="zh-CN"/>
              </w:rPr>
              <w:t>▲12、</w:t>
            </w:r>
            <w:r>
              <w:rPr>
                <w:rFonts w:hint="eastAsia" w:ascii="仿宋_GB2312" w:hAnsi="宋体" w:eastAsia="仿宋_GB2312" w:cs="仿宋_GB2312"/>
                <w:i w:val="0"/>
                <w:iCs w:val="0"/>
                <w:color w:val="000000"/>
                <w:kern w:val="0"/>
                <w:sz w:val="21"/>
                <w:szCs w:val="21"/>
                <w:u w:val="none"/>
                <w:lang w:val="en-US" w:eastAsia="zh-CN" w:bidi="ar"/>
              </w:rPr>
              <w:t>老师个人账号无需完成特定任务，即可获取不少于200GB云端存储空间，可扩展至3TB云存储空间。</w:t>
            </w:r>
            <w:r>
              <w:rPr>
                <w:rFonts w:hint="eastAsia" w:ascii="仿宋_GB2312" w:hAnsi="仿宋_GB2312" w:eastAsia="仿宋_GB2312" w:cs="仿宋_GB2312"/>
                <w:b/>
                <w:bCs/>
                <w:color w:val="0000FF"/>
                <w:lang w:val="en-US" w:eastAsia="zh-CN"/>
              </w:rPr>
              <w:t>(提供该项功能的截图，未提供截图或截图结果不符合要求的，不得分);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13、提供预置的课件素材，允许老师在网页端、移动端、电脑端进行内容的选择与组合，快速生成课件并浏览，所有制作的课件均实时保存至云端，老师只需登录即可查看。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14、支持老师根据教材章节目录、知识点选择对应的教学内容。老师仅需要按每个教学环节选择所需的教学模块即可快速生成一份课件。每个课时均提供过量的教学内容模块，满足老师的个性化需求。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15、提供模块化的课件素材和教案，学科涵盖语文、数学、英语、物理、化学等课件支持组选：课堂导入，知识讲解，例题与变式，拓展延伸，课外活动等，课件总课时量不低于 3600 个课时。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16、系统提供AI教学系统，不少于4种登录方式，包括账号密码登录、验证码登录、人脸登录、声纹登录等，教师登录系统后打开其他应用及空间，可进行快捷登录，无需再次输入账户密码。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17、AI教学系统支持开机进入教学桌面，教师可按照自己使用习惯，更换常用软件、背景，形成教师的定制化桌面。可通过登录账户，在其他设备上同步展示教师定制化教学桌面，可添加常用教学互动AI小组件，包括班里挑一、击鼓传花、自动点名、时钟、计算器、文件管理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18、AI教学系统具备AI口语对练功能模块，支持跟读训练、场景对话、自由对话等不少于3种口语对练方式。具备AI语音对话，支持语音资源检索，并可一键将获取的文本内容、图片、视频等资源插入白板，提高教学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19、可通过手动唤醒和语音唤醒两种方式唤醒悬浮窗AI助教的功能，支持通过语音控制设备的控制，例如音量、亮度、信号源设置等，可通过语音一键进入备课界面、资源界面、课程设计界面、我的资源界面。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20、投屏功能模块具备中英文双语言版本，支持影像上传功能，最多可上传9张照片进行同屏对比。在手机端进行批注时，大屏端会实时同步显示批注内容，方便教师将学生作业等内容上传至大屏进行展示。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21、白板功能模块备课模式下至少提供拼音、汉字、古诗词、几何图形、函数图形、四线三格、音标、英汉字典、元素周期表、星球等不少于10种学科工具；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22、提供不少于5种课堂活动类别：趣味分类、超级分类、竞赛PK、选词填空、判断题，每种类别提供至少4种模板进行选择；提供放大镜、聚光灯、时钟等不少于5种通用工具，提供拼音、汉字、函数、英汉字典等不少于12种学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 w:hAnsi="仿宋" w:eastAsia="仿宋" w:cs="仿宋"/>
                <w:b w:val="0"/>
                <w:bCs w:val="0"/>
                <w:highlight w:val="none"/>
                <w:lang w:val="en-US" w:eastAsia="zh-CN"/>
              </w:rPr>
              <w:t>▲</w:t>
            </w:r>
            <w:r>
              <w:rPr>
                <w:rFonts w:hint="eastAsia" w:ascii="仿宋_GB2312" w:hAnsi="宋体" w:eastAsia="仿宋_GB2312" w:cs="仿宋_GB2312"/>
                <w:i w:val="0"/>
                <w:iCs w:val="0"/>
                <w:color w:val="000000"/>
                <w:kern w:val="0"/>
                <w:sz w:val="21"/>
                <w:szCs w:val="21"/>
                <w:u w:val="none"/>
                <w:lang w:val="en-US" w:eastAsia="zh-CN" w:bidi="ar"/>
              </w:rPr>
              <w:t>23、云资源具备资源专区，如月考专区、期末专区、寒假专区、暑假专区、竞赛专区及作文辅导专区等，教师可根据教学需求灵活选用。</w:t>
            </w:r>
            <w:r>
              <w:rPr>
                <w:rFonts w:hint="eastAsia" w:ascii="仿宋_GB2312" w:hAnsi="宋体" w:eastAsia="仿宋_GB2312" w:cs="仿宋_GB2312"/>
                <w:b/>
                <w:bCs/>
                <w:i w:val="0"/>
                <w:iCs w:val="0"/>
                <w:color w:val="0000FF"/>
                <w:kern w:val="0"/>
                <w:sz w:val="21"/>
                <w:szCs w:val="21"/>
                <w:u w:val="none"/>
                <w:lang w:val="en-US" w:eastAsia="zh-CN" w:bidi="ar"/>
              </w:rPr>
              <w:t>(提供该项功能的截图，未提供截图或截图结果不符合要求的，不得分)</w:t>
            </w:r>
            <w:r>
              <w:rPr>
                <w:rFonts w:hint="eastAsia" w:ascii="仿宋_GB2312" w:hAnsi="宋体" w:eastAsia="仿宋_GB2312" w:cs="仿宋_GB2312"/>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仿宋" w:hAnsi="仿宋" w:eastAsia="仿宋" w:cs="仿宋"/>
                <w:highlight w:val="none"/>
                <w:lang w:val="en-US" w:eastAsia="zh-CN"/>
              </w:rPr>
              <w:t>三：软件管理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24、设备提供系统管家模块，支持一键查看设备连接信息，可适用于Windows/office版本，硬盘、CPU、蓝牙状态（关闭状态下可进行开启）、内存、网络状态、OPS S/N号、固件版本号。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25、系统还原、备份：一键备份数据并可系统还原至最新备份系统，解决系统异常等问题，如无最新备份系统，备份还原状态需要与硬件一键备份还原保持一致。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26、弹窗拦截：提供广告拦截 ，对广告弹窗实现一键拦截，默认直接开启拦截；支持截图拦截，教师可对异常弹窗采取截图拦截。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27、查看各软件弹窗拦截次数，拦截数量，所有拦截记录等，可提供软件拦截名单。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28、看直播：展示该终端可看到的所有直播，在直播时间内，可进入直播进行观看。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29、发布信息：可即时向任意选定的设备发布纯文本信息，支持常驻桌面型、滚动发布型及气泡弹出提示，可设置播放时长，支持再次编辑；支持设置字体及字体颜色。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30、即时操作控制：批量对选定的受控设备进行关机、重启、触控切换（屏幕触控锁定、解锁），童锁切换、信号源切换、音量调节、打铃操作，一键锁屏设置，支持一键开启系统还原功能，一键系统备份，一键设置显示模式，支持一键设置系统桌面壁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31、定时操作控制：可远程对选定的设备做定时关机、定时打铃、定时切换信号源、定时信息发布，实现单次、每日循环、每周循环、每月循环的定时控制。支持定时操作列表查询，并可对具体某项定时操作进行再次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32、控制列表：支持查看控制列表，查看立即控制、定时计划、信息发布等内容；包含下发命令内容、执行时间、执行策略、已执行数量等内容。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33、通过集控功能模块可查看校园内所有设备的状态，包括在线、离线状态，教室名称、内存使用率、CPU使用率、C盘使用率，支持按照设备类型、设备名称进行查询筛选；支持按列表展示以及按缩略图展示；支持一键查看设备已安装应用情况，支持查看</w:t>
            </w:r>
            <w:r>
              <w:rPr>
                <w:rStyle w:val="38"/>
                <w:b/>
                <w:bCs/>
                <w:color w:val="auto"/>
                <w:lang w:val="en-US" w:eastAsia="zh-CN" w:bidi="ar"/>
              </w:rPr>
              <w:t>系统版本</w:t>
            </w:r>
            <w:r>
              <w:rPr>
                <w:rFonts w:hint="eastAsia" w:ascii="仿宋_GB2312" w:hAnsi="宋体" w:eastAsia="仿宋_GB2312" w:cs="仿宋_GB2312"/>
                <w:i w:val="0"/>
                <w:iCs w:val="0"/>
                <w:color w:val="000000"/>
                <w:kern w:val="0"/>
                <w:sz w:val="21"/>
                <w:szCs w:val="21"/>
                <w:u w:val="none"/>
                <w:lang w:val="en-US" w:eastAsia="zh-CN" w:bidi="ar"/>
              </w:rPr>
              <w:t>激活状态，支持查看常用软件激活状态，支持查看</w:t>
            </w:r>
            <w:r>
              <w:rPr>
                <w:rStyle w:val="38"/>
                <w:b/>
                <w:bCs/>
                <w:color w:val="auto"/>
                <w:lang w:val="en-US" w:eastAsia="zh-CN" w:bidi="ar"/>
              </w:rPr>
              <w:t>系统版本</w:t>
            </w:r>
            <w:r>
              <w:rPr>
                <w:rFonts w:hint="eastAsia" w:ascii="仿宋_GB2312" w:hAnsi="宋体" w:eastAsia="仿宋_GB2312" w:cs="仿宋_GB2312"/>
                <w:i w:val="0"/>
                <w:iCs w:val="0"/>
                <w:color w:val="000000"/>
                <w:kern w:val="0"/>
                <w:sz w:val="21"/>
                <w:szCs w:val="21"/>
                <w:u w:val="none"/>
                <w:lang w:val="en-US" w:eastAsia="zh-CN" w:bidi="ar"/>
              </w:rPr>
              <w:t>版本信息，支持查看设备IP地址，支持查看当前设备序列号、声音及显示设置模式。★实现与宝安区触控一体机管理平台互联互通，验收时须经区教育发展中心教育技术部确认。</w:t>
            </w:r>
          </w:p>
        </w:tc>
      </w:tr>
      <w:bookmarkEnd w:id="41"/>
    </w:tbl>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p>
      <w:pPr>
        <w:rPr>
          <w:b/>
        </w:rPr>
      </w:pP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1</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rPr>
            </w:pPr>
            <w:r>
              <w:rPr>
                <w:rFonts w:hint="eastAsia"/>
                <w:bCs/>
              </w:rPr>
              <w:t>4</w:t>
            </w:r>
          </w:p>
        </w:tc>
        <w:tc>
          <w:tcPr>
            <w:tcW w:w="1457" w:type="dxa"/>
            <w:noWrap w:val="0"/>
            <w:vAlign w:val="center"/>
          </w:tcPr>
          <w:p>
            <w:pPr>
              <w:jc w:val="center"/>
              <w:rPr>
                <w:bCs/>
              </w:rPr>
            </w:pPr>
            <w:r>
              <w:rPr>
                <w:rFonts w:hint="eastAsia"/>
                <w:szCs w:val="21"/>
              </w:rPr>
              <w:t>安装调试</w:t>
            </w:r>
          </w:p>
        </w:tc>
        <w:tc>
          <w:tcPr>
            <w:tcW w:w="6523" w:type="dxa"/>
            <w:noWrap w:val="0"/>
            <w:vAlign w:val="center"/>
          </w:tcPr>
          <w:p>
            <w:pPr>
              <w:rPr>
                <w:rFonts w:hint="default" w:eastAsia="宋体"/>
                <w:bCs/>
                <w:szCs w:val="21"/>
                <w:lang w:val="en-US" w:eastAsia="zh-CN"/>
              </w:rPr>
            </w:pPr>
            <w:r>
              <w:rPr>
                <w:rFonts w:hint="eastAsia"/>
                <w:bCs/>
                <w:lang w:val="en-US" w:eastAsia="zh-CN"/>
              </w:rPr>
              <w:t>供应商负责安装调试。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lang w:val="en-US" w:eastAsia="zh-CN"/>
              </w:rPr>
              <w:t>5</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w:t>
            </w:r>
            <w:r>
              <w:rPr>
                <w:rFonts w:hint="eastAsia"/>
                <w:lang w:eastAsia="zh-CN"/>
              </w:rPr>
              <w:t>：</w:t>
            </w:r>
            <w:r>
              <w:rPr>
                <w:rFonts w:hint="eastAsia"/>
                <w:lang w:val="en-US" w:eastAsia="zh-CN"/>
              </w:rPr>
              <w:t>深圳市宝安中学（集团）初中部</w:t>
            </w:r>
            <w:r>
              <w:rPr>
                <w:rFonts w:hint="eastAsia"/>
              </w:rPr>
              <w:t>。</w:t>
            </w:r>
          </w:p>
          <w:p>
            <w:pPr>
              <w:pStyle w:val="2"/>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p>
          <w:p>
            <w:pPr>
              <w:pStyle w:val="2"/>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ascii="宋体" w:hAnsi="宋体" w:cs="宋体"/>
                <w:color w:val="000000"/>
                <w:sz w:val="20"/>
                <w:szCs w:val="20"/>
                <w:lang w:bidi="ar"/>
              </w:rPr>
              <w:t>由采购单位验收小组进行验收。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sz w:val="20"/>
                <w:szCs w:val="20"/>
                <w:lang w:val="en-US" w:eastAsia="zh-CN"/>
              </w:rPr>
            </w:pPr>
            <w:r>
              <w:rPr>
                <w:rFonts w:hint="eastAsia" w:ascii="宋体" w:hAnsi="宋体"/>
                <w:b/>
                <w:sz w:val="20"/>
                <w:szCs w:val="20"/>
                <w:lang w:val="en-US" w:eastAsia="zh-CN"/>
              </w:rPr>
              <w:t>4</w:t>
            </w:r>
          </w:p>
        </w:tc>
        <w:tc>
          <w:tcPr>
            <w:tcW w:w="1457" w:type="dxa"/>
            <w:vMerge w:val="restart"/>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lang w:eastAsia="zh-CN"/>
              </w:rPr>
            </w:pPr>
            <w:r>
              <w:rPr>
                <w:rFonts w:hint="eastAsia"/>
                <w:b/>
                <w:lang w:val="en-US" w:eastAsia="zh-CN"/>
              </w:rPr>
              <w:t>7</w:t>
            </w:r>
          </w:p>
        </w:tc>
        <w:tc>
          <w:tcPr>
            <w:tcW w:w="1457" w:type="dxa"/>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3"/>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57771"/>
      <w:bookmarkStart w:id="44"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）绿色采购情况；</w:t>
      </w:r>
    </w:p>
    <w:p>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）项目组织实施方案的评价；</w:t>
      </w:r>
    </w:p>
    <w:p>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9</w:t>
      </w:r>
      <w:r>
        <w:rPr>
          <w:rFonts w:hint="eastAsia" w:ascii="宋体" w:hAnsi="宋体"/>
          <w:szCs w:val="21"/>
          <w:lang w:eastAsia="zh-CN"/>
        </w:rPr>
        <w:t>）</w:t>
      </w:r>
      <w:r>
        <w:rPr>
          <w:rFonts w:hint="eastAsia" w:ascii="宋体" w:hAnsi="宋体" w:eastAsia="宋体" w:cs="宋体"/>
          <w:kern w:val="0"/>
          <w:sz w:val="21"/>
          <w:szCs w:val="21"/>
          <w:highlight w:val="none"/>
          <w:lang w:val="en-US" w:eastAsia="zh-CN" w:bidi="ar"/>
        </w:rPr>
        <w:t>售后服务评价</w:t>
      </w:r>
      <w:r>
        <w:rPr>
          <w:rFonts w:hint="eastAsia" w:ascii="宋体" w:hAnsi="宋体" w:cs="宋体"/>
          <w:kern w:val="0"/>
          <w:sz w:val="21"/>
          <w:szCs w:val="21"/>
          <w:highlight w:val="none"/>
          <w:lang w:val="en-US" w:eastAsia="zh-CN" w:bidi="ar"/>
        </w:rPr>
        <w:t>；</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10</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ind w:left="718" w:leftChars="342" w:firstLine="1417" w:firstLineChars="675"/>
        <w:rPr>
          <w:rFonts w:hint="eastAsia" w:eastAsia="宋体"/>
          <w:szCs w:val="21"/>
          <w:lang w:eastAsia="zh-CN"/>
        </w:rPr>
      </w:pPr>
    </w:p>
    <w:p>
      <w:pPr>
        <w:pStyle w:val="2"/>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widowControl/>
        <w:jc w:val="left"/>
        <w:outlineLvl w:val="9"/>
        <w:rPr>
          <w:rFonts w:hint="eastAsia" w:ascii="宋体" w:hAnsi="宋体" w:eastAsia="宋体" w:cs="Times New Roman"/>
          <w:b/>
          <w:bCs/>
          <w:kern w:val="0"/>
          <w:sz w:val="24"/>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JYCG-DECL-2025-28560</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1"/>
                <w:szCs w:val="21"/>
                <w:highlight w:val="none"/>
                <w:u w:val="none"/>
                <w:lang w:val="en-US" w:eastAsia="zh-CN" w:bidi="ar"/>
              </w:rPr>
              <w:t>触控一体机</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1"/>
                <w:szCs w:val="21"/>
                <w:highlight w:val="none"/>
                <w:u w:val="none"/>
                <w:lang w:val="en-US" w:eastAsia="zh-CN" w:bidi="ar"/>
              </w:rPr>
              <w:t>20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1"/>
                <w:szCs w:val="21"/>
                <w:highlight w:val="none"/>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szCs w:val="21"/>
              </w:rPr>
            </w:pPr>
            <w:r>
              <w:rPr>
                <w:rFonts w:hint="eastAsia"/>
                <w:bCs/>
                <w:color w:val="FF0000"/>
                <w:szCs w:val="21"/>
              </w:rPr>
              <w:t>540000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pStyle w:val="4"/>
        <w:jc w:val="center"/>
        <w:rPr>
          <w:rFonts w:hint="eastAsia" w:ascii="黑体" w:eastAsia="黑体"/>
          <w:b w:val="0"/>
          <w:sz w:val="24"/>
        </w:rPr>
      </w:pPr>
      <w:r>
        <w:rPr>
          <w:rFonts w:hint="eastAsia" w:ascii="黑体" w:eastAsia="黑体"/>
          <w:b w:val="0"/>
          <w:sz w:val="24"/>
          <w:lang w:val="en-US" w:eastAsia="zh-CN"/>
        </w:rPr>
        <w:t>五、</w:t>
      </w:r>
      <w:r>
        <w:rPr>
          <w:rFonts w:hint="eastAsia" w:ascii="黑体" w:eastAsia="黑体"/>
          <w:b w:val="0"/>
          <w:sz w:val="24"/>
        </w:rPr>
        <w:t>经验评价</w:t>
      </w:r>
    </w:p>
    <w:p>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419"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44"/>
        <w:gridCol w:w="4018"/>
        <w:gridCol w:w="1106"/>
        <w:gridCol w:w="985"/>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78" w:type="dxa"/>
            <w:vAlign w:val="center"/>
          </w:tcPr>
          <w:p>
            <w:pPr>
              <w:jc w:val="center"/>
              <w:rPr>
                <w:color w:val="000000" w:themeColor="text1"/>
                <w:szCs w:val="21"/>
              </w:rPr>
            </w:pPr>
            <w:r>
              <w:rPr>
                <w:color w:val="000000" w:themeColor="text1"/>
                <w:szCs w:val="21"/>
              </w:rPr>
              <w:t>序号</w:t>
            </w:r>
          </w:p>
        </w:tc>
        <w:tc>
          <w:tcPr>
            <w:tcW w:w="844" w:type="dxa"/>
            <w:vAlign w:val="center"/>
          </w:tcPr>
          <w:p>
            <w:pPr>
              <w:widowControl/>
              <w:jc w:val="center"/>
              <w:rPr>
                <w:color w:val="000000" w:themeColor="text1"/>
                <w:szCs w:val="21"/>
              </w:rPr>
            </w:pPr>
            <w:r>
              <w:rPr>
                <w:color w:val="000000" w:themeColor="text1"/>
                <w:szCs w:val="21"/>
              </w:rPr>
              <w:t>货物名称</w:t>
            </w:r>
          </w:p>
        </w:tc>
        <w:tc>
          <w:tcPr>
            <w:tcW w:w="4018"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106" w:type="dxa"/>
            <w:vAlign w:val="center"/>
          </w:tcPr>
          <w:p>
            <w:pPr>
              <w:jc w:val="center"/>
              <w:rPr>
                <w:rFonts w:hint="eastAsia"/>
                <w:color w:val="000000" w:themeColor="text1"/>
                <w:szCs w:val="21"/>
              </w:rPr>
            </w:pPr>
            <w:r>
              <w:rPr>
                <w:rFonts w:hint="eastAsia"/>
                <w:b/>
                <w:bCs/>
                <w:sz w:val="24"/>
              </w:rPr>
              <w:t>投标技术响应</w:t>
            </w:r>
          </w:p>
        </w:tc>
        <w:tc>
          <w:tcPr>
            <w:tcW w:w="985" w:type="dxa"/>
            <w:vAlign w:val="center"/>
          </w:tcPr>
          <w:p>
            <w:pPr>
              <w:jc w:val="center"/>
              <w:rPr>
                <w:rFonts w:hint="eastAsia"/>
                <w:color w:val="000000" w:themeColor="text1"/>
                <w:szCs w:val="21"/>
              </w:rPr>
            </w:pPr>
            <w:r>
              <w:rPr>
                <w:rFonts w:hint="eastAsia"/>
                <w:b/>
                <w:bCs/>
                <w:sz w:val="24"/>
              </w:rPr>
              <w:t>偏离情况</w:t>
            </w:r>
          </w:p>
        </w:tc>
        <w:tc>
          <w:tcPr>
            <w:tcW w:w="788" w:type="dxa"/>
            <w:vAlign w:val="center"/>
          </w:tcPr>
          <w:p>
            <w:pPr>
              <w:jc w:val="center"/>
              <w:rPr>
                <w:rFonts w:hint="eastAsia"/>
                <w:color w:val="000000" w:themeColor="text1"/>
                <w:szCs w:val="21"/>
              </w:rPr>
            </w:pPr>
            <w:r>
              <w:rPr>
                <w:rFonts w:hint="eastAsia"/>
                <w:b/>
                <w:bCs/>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restart"/>
            <w:vAlign w:val="center"/>
          </w:tcPr>
          <w:p>
            <w:pPr>
              <w:jc w:val="center"/>
              <w:rPr>
                <w:color w:val="000000" w:themeColor="text1"/>
                <w:szCs w:val="21"/>
              </w:rPr>
            </w:pPr>
            <w:r>
              <w:rPr>
                <w:color w:val="000000" w:themeColor="text1"/>
                <w:szCs w:val="21"/>
              </w:rPr>
              <w:t>1</w:t>
            </w:r>
          </w:p>
          <w:p>
            <w:pPr>
              <w:jc w:val="center"/>
              <w:rPr>
                <w:color w:val="000000" w:themeColor="text1"/>
                <w:szCs w:val="21"/>
              </w:rPr>
            </w:pPr>
          </w:p>
        </w:tc>
        <w:tc>
          <w:tcPr>
            <w:tcW w:w="844" w:type="dxa"/>
            <w:vMerge w:val="restart"/>
            <w:vAlign w:val="center"/>
          </w:tcPr>
          <w:p>
            <w:pPr>
              <w:jc w:val="both"/>
              <w:rPr>
                <w:rFonts w:hint="default" w:eastAsia="宋体"/>
                <w:color w:val="000000" w:themeColor="text1"/>
                <w:szCs w:val="21"/>
                <w:lang w:val="en-US" w:eastAsia="zh-CN"/>
              </w:rPr>
            </w:pPr>
            <w:r>
              <w:rPr>
                <w:rFonts w:hint="eastAsia"/>
                <w:color w:val="000000" w:themeColor="text1"/>
                <w:szCs w:val="21"/>
                <w:lang w:val="en-US" w:eastAsia="zh-CN"/>
              </w:rPr>
              <w:t>触控一体机</w:t>
            </w:r>
          </w:p>
        </w:tc>
        <w:tc>
          <w:tcPr>
            <w:tcW w:w="4018" w:type="dxa"/>
          </w:tcPr>
          <w:p>
            <w:pPr>
              <w:keepNext w:val="0"/>
              <w:keepLines w:val="0"/>
              <w:widowControl/>
              <w:suppressLineNumbers w:val="0"/>
              <w:jc w:val="both"/>
              <w:textAlignment w:val="center"/>
              <w:rPr>
                <w:rFonts w:hint="default" w:eastAsia="宋体"/>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一、硬件功能</w:t>
            </w:r>
          </w:p>
        </w:tc>
        <w:tc>
          <w:tcPr>
            <w:tcW w:w="1106" w:type="dxa"/>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vAlign w:val="center"/>
          </w:tcPr>
          <w:p>
            <w:pPr>
              <w:jc w:val="center"/>
              <w:rPr>
                <w:color w:val="000000" w:themeColor="text1"/>
                <w:szCs w:val="21"/>
              </w:rPr>
            </w:pPr>
          </w:p>
        </w:tc>
        <w:tc>
          <w:tcPr>
            <w:tcW w:w="844" w:type="dxa"/>
            <w:vMerge w:val="continue"/>
            <w:vAlign w:val="center"/>
          </w:tcPr>
          <w:p>
            <w:pPr>
              <w:jc w:val="both"/>
              <w:rPr>
                <w:rFonts w:hint="eastAsia"/>
                <w:color w:val="000000" w:themeColor="text1"/>
                <w:szCs w:val="21"/>
                <w:lang w:val="en-US" w:eastAsia="zh-CN"/>
              </w:rPr>
            </w:pPr>
          </w:p>
        </w:tc>
        <w:tc>
          <w:tcPr>
            <w:tcW w:w="4018" w:type="dxa"/>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 w:hAnsi="仿宋" w:eastAsia="仿宋" w:cs="仿宋"/>
                <w:b w:val="0"/>
                <w:bCs w:val="0"/>
                <w:kern w:val="2"/>
                <w:sz w:val="21"/>
                <w:szCs w:val="24"/>
                <w:lang w:val="en-US" w:eastAsia="zh-CN" w:bidi="ar-SA"/>
              </w:rPr>
            </w:pPr>
            <w:r>
              <w:rPr>
                <w:rFonts w:hint="eastAsia" w:ascii="仿宋" w:hAnsi="仿宋" w:eastAsia="仿宋" w:cs="仿宋"/>
                <w:b w:val="0"/>
                <w:bCs w:val="0"/>
                <w:highlight w:val="none"/>
                <w:lang w:val="en-US" w:eastAsia="zh-CN"/>
              </w:rPr>
              <w:t>▲1、</w:t>
            </w:r>
            <w:r>
              <w:rPr>
                <w:rFonts w:hint="eastAsia" w:ascii="仿宋_GB2312" w:hAnsi="仿宋_GB2312" w:eastAsia="仿宋_GB2312" w:cs="仿宋_GB2312"/>
              </w:rPr>
              <w:t>显示尺寸≥86英寸，UHD超高清LED液晶屏，分辨率：3840*2160；触控分辨率不小于32768*32768，在Windows、Android、国产化系统下均支持50点触控及划线；采用物理防蓝光设计，无需其他操作即可实现防蓝光；背光系统支持DC调光技术、多级亮度调节，摄像设备拍摄时画面无条纹闪烁，实现稳定光源无频闪，防止眼睛疲劳。</w:t>
            </w:r>
            <w:r>
              <w:rPr>
                <w:rFonts w:hint="eastAsia" w:ascii="仿宋_GB2312" w:hAnsi="仿宋_GB2312" w:eastAsia="仿宋_GB2312" w:cs="仿宋_GB2312"/>
                <w:b/>
                <w:bCs/>
                <w:color w:val="0000FF"/>
                <w:lang w:val="en-US" w:eastAsia="zh-CN"/>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1106" w:type="dxa"/>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985" w:type="dxa"/>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788" w:type="dxa"/>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vAlign w:val="center"/>
          </w:tcPr>
          <w:p>
            <w:pPr>
              <w:jc w:val="center"/>
              <w:rPr>
                <w:color w:val="000000" w:themeColor="text1"/>
                <w:szCs w:val="21"/>
              </w:rPr>
            </w:pPr>
          </w:p>
        </w:tc>
        <w:tc>
          <w:tcPr>
            <w:tcW w:w="844" w:type="dxa"/>
            <w:vMerge w:val="continue"/>
            <w:vAlign w:val="center"/>
          </w:tcPr>
          <w:p>
            <w:pPr>
              <w:jc w:val="cente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2、整机前置接口：≥1路HDMI IN接口（非转接），≥2路USB3.0接口，≥1路USB Type-C接口; 且为方便检修，前置接口面板和前置按键面板支持单独前拆；</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vAlign w:val="center"/>
          </w:tcPr>
          <w:p>
            <w:pPr>
              <w:jc w:val="center"/>
              <w:rPr>
                <w:color w:val="000000" w:themeColor="text1"/>
                <w:szCs w:val="21"/>
              </w:rPr>
            </w:pPr>
          </w:p>
        </w:tc>
        <w:tc>
          <w:tcPr>
            <w:tcW w:w="844" w:type="dxa"/>
            <w:vMerge w:val="continue"/>
            <w:vAlign w:val="center"/>
          </w:tcPr>
          <w:p>
            <w:pPr>
              <w:jc w:val="cente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3、智能交互平板前置中文物理按键≥8个，前置接口最少包含主页、触控开关、音量加减、关闭窗口、多任务等按键；</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vAlign w:val="center"/>
          </w:tcPr>
          <w:p>
            <w:pPr>
              <w:jc w:val="center"/>
              <w:rPr>
                <w:color w:val="000000" w:themeColor="text1"/>
                <w:szCs w:val="21"/>
              </w:rPr>
            </w:pPr>
          </w:p>
        </w:tc>
        <w:tc>
          <w:tcPr>
            <w:tcW w:w="844" w:type="dxa"/>
            <w:vMerge w:val="continue"/>
            <w:vAlign w:val="center"/>
          </w:tcPr>
          <w:p>
            <w:pPr>
              <w:jc w:val="cente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 w:hAnsi="仿宋" w:eastAsia="仿宋" w:cs="仿宋"/>
                <w:b w:val="0"/>
                <w:bCs w:val="0"/>
                <w:highlight w:val="none"/>
                <w:lang w:val="en-US" w:eastAsia="zh-CN"/>
              </w:rPr>
              <w:t>▲4、</w:t>
            </w:r>
            <w:r>
              <w:rPr>
                <w:rFonts w:hint="eastAsia" w:ascii="仿宋_GB2312" w:hAnsi="仿宋_GB2312" w:eastAsia="仿宋_GB2312" w:cs="仿宋_GB2312"/>
                <w:lang w:val="en-US" w:eastAsia="zh-CN"/>
              </w:rPr>
              <w:t>智能交互平板具备前置电脑还原按键，为避免误碰按键采用针孔式设计，并配有中文标识</w:t>
            </w:r>
            <w:r>
              <w:rPr>
                <w:rFonts w:hint="eastAsia" w:ascii="仿宋_GB2312" w:hAnsi="仿宋_GB2312" w:eastAsia="仿宋_GB2312" w:cs="仿宋_GB2312"/>
                <w:b/>
                <w:bCs/>
                <w:color w:val="0000FF"/>
                <w:lang w:val="en-US" w:eastAsia="zh-CN"/>
              </w:rPr>
              <w:t>(提供该项功能的截图，未提供截图或截图结果不符合要求的，不得分);</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5、内置4K超高清摄像头，有效像素≥1900W，可输出最大分辨5104*3864的图片与视频，支持搭配AI软件实现自动点名点数功能，音响采用阵列式发声设计，具备2.2声道，具备6个发声单元，总额定功率≥60W。</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6、笔槽结构设计：智能交互平板具有通屏笔槽，可防止粉笔、书写笔等，笔槽设计有漏灰孔，方便清理粉尘。</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7、智能交互平板采用不低于12核驱动芯片，包含CPU和GPU两类芯片，Android 系统版本不低于14.0，内存≥2GB，存储≥8GB</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8、交互平板采用国际主流通用的80pin接口设计，方便进行设备的维修和升级。</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9、内置电脑：CPU处理器（产品型号不得早于2021年发布）性能不低于6核12线程、基础频率2.7GHz、睿频频率基础频率4.5GHz；可支持内存：≥16G DDR4，硬盘：≥512G SSD固态硬盘。</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_GB2312" w:hAnsi="仿宋_GB2312" w:eastAsia="仿宋_GB2312"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 w:hAnsi="仿宋" w:eastAsia="仿宋" w:cs="仿宋"/>
                <w:b w:val="0"/>
                <w:bCs w:val="0"/>
                <w:highlight w:val="none"/>
                <w:lang w:val="en-US" w:eastAsia="zh-CN"/>
              </w:rPr>
              <w:t>▲</w:t>
            </w:r>
            <w:r>
              <w:rPr>
                <w:rFonts w:hint="eastAsia" w:ascii="仿宋_GB2312" w:hAnsi="仿宋_GB2312" w:eastAsia="仿宋_GB2312" w:cs="仿宋_GB2312"/>
                <w:lang w:val="en-US" w:eastAsia="zh-CN"/>
              </w:rPr>
              <w:t>10、设备左右两侧可提供与教学应用密切相关的快捷键，标准模式下数量各不少于15个，功能至少包含展台、放大镜、翻页、桌面、窗口关闭、屏幕下移等常规教学功能，方便用户师生快速调用。</w:t>
            </w:r>
            <w:r>
              <w:rPr>
                <w:rFonts w:hint="eastAsia" w:ascii="仿宋_GB2312" w:hAnsi="仿宋_GB2312" w:eastAsia="仿宋_GB2312" w:cs="仿宋_GB2312"/>
                <w:b/>
                <w:bCs/>
                <w:color w:val="0000FF"/>
                <w:lang w:val="en-US" w:eastAsia="zh-CN"/>
              </w:rPr>
              <w:t>(提供该项功能的截图，未提供截图或截图结果不符合要求的，不得分);</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仿宋_GB2312" w:hAnsi="仿宋_GB2312" w:eastAsia="仿宋_GB2312" w:cs="仿宋_GB2312"/>
                <w:lang w:val="en-US" w:eastAsia="zh-CN"/>
              </w:rPr>
            </w:pPr>
            <w:r>
              <w:rPr>
                <w:rFonts w:hint="eastAsia" w:ascii="仿宋" w:hAnsi="仿宋" w:eastAsia="仿宋" w:cs="仿宋"/>
                <w:b w:val="0"/>
                <w:bCs w:val="0"/>
                <w:highlight w:val="none"/>
                <w:lang w:val="en-US" w:eastAsia="zh-CN"/>
              </w:rPr>
              <w:t>▲</w:t>
            </w:r>
            <w:r>
              <w:rPr>
                <w:rFonts w:hint="eastAsia" w:ascii="仿宋_GB2312" w:hAnsi="仿宋_GB2312" w:eastAsia="仿宋_GB2312" w:cs="仿宋_GB2312"/>
                <w:lang w:val="en-US" w:eastAsia="zh-CN"/>
              </w:rPr>
              <w:t>11、交互平板具有悬浮菜单功能，悬浮菜单可进行自定义分组，可调用白板、笔、便签、AI互动软件等不少于 30 个应用，其中书写笔至少包含软笔、荧光笔、万能笔等不少于12种笔色，28种粗细笔形。</w:t>
            </w:r>
            <w:r>
              <w:rPr>
                <w:rFonts w:hint="eastAsia" w:ascii="仿宋_GB2312" w:hAnsi="仿宋_GB2312" w:eastAsia="仿宋_GB2312" w:cs="仿宋_GB2312"/>
                <w:b/>
                <w:bCs/>
                <w:color w:val="0000FF"/>
                <w:lang w:val="en-US" w:eastAsia="zh-CN"/>
              </w:rPr>
              <w:t>(提供该项功能的截图，未提供截图或截图结果不符合要求的，不得分);</w:t>
            </w:r>
          </w:p>
        </w:tc>
        <w:tc>
          <w:tcPr>
            <w:tcW w:w="11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9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仿宋" w:hAnsi="仿宋" w:eastAsia="仿宋" w:cs="仿宋"/>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tcPr>
          <w:p>
            <w:pPr>
              <w:numPr>
                <w:ilvl w:val="0"/>
                <w:numId w:val="0"/>
              </w:numPr>
              <w:rPr>
                <w:rFonts w:hint="default"/>
                <w:color w:val="000000" w:themeColor="text1"/>
                <w:szCs w:val="21"/>
                <w:lang w:val="en-US" w:eastAsia="zh-CN"/>
              </w:rPr>
            </w:pPr>
            <w:r>
              <w:rPr>
                <w:rFonts w:hint="eastAsia" w:ascii="仿宋" w:hAnsi="仿宋" w:eastAsia="仿宋" w:cs="仿宋"/>
                <w:highlight w:val="none"/>
                <w:lang w:val="en-US" w:eastAsia="zh-CN"/>
              </w:rPr>
              <w:t>二：教学软件</w:t>
            </w:r>
          </w:p>
        </w:tc>
        <w:tc>
          <w:tcPr>
            <w:tcW w:w="1106" w:type="dxa"/>
          </w:tcPr>
          <w:p>
            <w:pPr>
              <w:numPr>
                <w:ilvl w:val="0"/>
                <w:numId w:val="0"/>
              </w:numPr>
              <w:rPr>
                <w:rFonts w:hint="eastAsia" w:ascii="仿宋" w:hAnsi="仿宋" w:eastAsia="仿宋" w:cs="仿宋"/>
                <w:highlight w:val="none"/>
                <w:lang w:val="en-US" w:eastAsia="zh-CN"/>
              </w:rPr>
            </w:pPr>
          </w:p>
        </w:tc>
        <w:tc>
          <w:tcPr>
            <w:tcW w:w="985" w:type="dxa"/>
          </w:tcPr>
          <w:p>
            <w:pPr>
              <w:numPr>
                <w:ilvl w:val="0"/>
                <w:numId w:val="0"/>
              </w:numPr>
              <w:rPr>
                <w:rFonts w:hint="eastAsia" w:ascii="仿宋" w:hAnsi="仿宋" w:eastAsia="仿宋" w:cs="仿宋"/>
                <w:highlight w:val="none"/>
                <w:lang w:val="en-US" w:eastAsia="zh-CN"/>
              </w:rPr>
            </w:pPr>
          </w:p>
        </w:tc>
        <w:tc>
          <w:tcPr>
            <w:tcW w:w="788" w:type="dxa"/>
          </w:tcPr>
          <w:p>
            <w:pPr>
              <w:numPr>
                <w:ilvl w:val="0"/>
                <w:numId w:val="0"/>
              </w:numPr>
              <w:rPr>
                <w:rFonts w:hint="eastAsia" w:ascii="仿宋" w:hAnsi="仿宋" w:eastAsia="仿宋" w:cs="仿宋"/>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 w:hAnsi="仿宋" w:eastAsia="仿宋" w:cs="仿宋"/>
                <w:b w:val="0"/>
                <w:bCs w:val="0"/>
                <w:highlight w:val="none"/>
                <w:lang w:val="en-US" w:eastAsia="zh-CN"/>
              </w:rPr>
              <w:t>▲12、</w:t>
            </w:r>
            <w:r>
              <w:rPr>
                <w:rFonts w:hint="eastAsia" w:ascii="仿宋_GB2312" w:hAnsi="宋体" w:eastAsia="仿宋_GB2312" w:cs="仿宋_GB2312"/>
                <w:i w:val="0"/>
                <w:iCs w:val="0"/>
                <w:color w:val="000000"/>
                <w:kern w:val="0"/>
                <w:sz w:val="21"/>
                <w:szCs w:val="21"/>
                <w:u w:val="none"/>
                <w:lang w:val="en-US" w:eastAsia="zh-CN" w:bidi="ar"/>
              </w:rPr>
              <w:t>老师个人账号无需完成特定任务，即可获取不少于200GB云端存储空间，可扩展至3TB云存储空间。</w:t>
            </w:r>
            <w:r>
              <w:rPr>
                <w:rFonts w:hint="eastAsia" w:ascii="仿宋_GB2312" w:hAnsi="仿宋_GB2312" w:eastAsia="仿宋_GB2312" w:cs="仿宋_GB2312"/>
                <w:b/>
                <w:bCs/>
                <w:color w:val="0000FF"/>
                <w:lang w:val="en-US" w:eastAsia="zh-CN"/>
              </w:rPr>
              <w:t>(提供该项功能的截图，未提供截图或截图结果不符合要求的，不得分);</w:t>
            </w:r>
          </w:p>
        </w:tc>
        <w:tc>
          <w:tcPr>
            <w:tcW w:w="1106" w:type="dxa"/>
            <w:vAlign w:val="center"/>
          </w:tcPr>
          <w:p>
            <w:pPr>
              <w:keepNext w:val="0"/>
              <w:keepLines w:val="0"/>
              <w:widowControl/>
              <w:suppressLineNumbers w:val="0"/>
              <w:jc w:val="both"/>
              <w:textAlignment w:val="center"/>
              <w:rPr>
                <w:rFonts w:hint="eastAsia" w:ascii="仿宋" w:hAnsi="仿宋" w:eastAsia="仿宋" w:cs="仿宋"/>
                <w:b w:val="0"/>
                <w:bCs w:val="0"/>
                <w:highlight w:val="none"/>
                <w:lang w:val="en-US" w:eastAsia="zh-CN"/>
              </w:rPr>
            </w:pPr>
          </w:p>
        </w:tc>
        <w:tc>
          <w:tcPr>
            <w:tcW w:w="985" w:type="dxa"/>
            <w:vAlign w:val="center"/>
          </w:tcPr>
          <w:p>
            <w:pPr>
              <w:keepNext w:val="0"/>
              <w:keepLines w:val="0"/>
              <w:widowControl/>
              <w:suppressLineNumbers w:val="0"/>
              <w:jc w:val="both"/>
              <w:textAlignment w:val="center"/>
              <w:rPr>
                <w:rFonts w:hint="eastAsia" w:ascii="仿宋" w:hAnsi="仿宋" w:eastAsia="仿宋" w:cs="仿宋"/>
                <w:b w:val="0"/>
                <w:bCs w:val="0"/>
                <w:highlight w:val="none"/>
                <w:lang w:val="en-US" w:eastAsia="zh-CN"/>
              </w:rPr>
            </w:pPr>
          </w:p>
        </w:tc>
        <w:tc>
          <w:tcPr>
            <w:tcW w:w="788" w:type="dxa"/>
            <w:vAlign w:val="center"/>
          </w:tcPr>
          <w:p>
            <w:pPr>
              <w:keepNext w:val="0"/>
              <w:keepLines w:val="0"/>
              <w:widowControl/>
              <w:suppressLineNumbers w:val="0"/>
              <w:jc w:val="both"/>
              <w:textAlignment w:val="center"/>
              <w:rPr>
                <w:rFonts w:hint="eastAsia" w:ascii="仿宋" w:hAnsi="仿宋" w:eastAsia="仿宋" w:cs="仿宋"/>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13、提供预置的课件素材，允许老师在网页端、移动端、电脑端进行内容的选择与组合，快速生成课件并浏览，所有制作的课件均实时保存至云端，老师只需登录即可查看。</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14、支持老师根据教材章节目录、知识点选择对应的教学内容。老师仅需要按每个教学环节选择所需的教学模块即可快速生成一份课件。每个课时均提供过量的教学内容模块，满足老师的个性化需求。</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15、提供模块化的课件素材和教案，学科涵盖语文、数学、英语、物理、化学等课件支持组选：课堂导入，知识讲解，例题与变式，拓展延伸，课外活动等，课件总课时量不低于 3600 个课时。</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16、系统提供AI教学系统，不少于4种登录方式，包括账号密码登录、验证码登录、人脸登录、声纹登录等，教师登录系统后打开其他应用及空间，可进行快捷登录，无需再次输入账户密码。</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17、AI教学系统支持开机进入教学桌面，教师可按照自己使用习惯，更换常用软件、背景，形成教师的定制化桌面。可通过登录账户，在其他设备上同步展示教师定制化教学桌面，可添加常用教学互动AI小组件，包括班里挑一、击鼓传花、自动点名、时钟、计算器、文件管理器等。</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18、AI教学系统具备AI口语对练功能模块，支持跟读训练、场景对话、自由对话等不少于3种口语对练方式。具备AI语音对话，支持语音资源检索，并可一键将获取的文本内容、图片、视频等资源插入白板，提高教学效率。</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19、可通过手动唤醒和语音唤醒两种方式唤醒悬浮窗AI助教的功能，支持通过语音控制设备的控制，例如音量、亮度、信号源设置等，可通过语音一键进入备课界面、资源界面、课程设计界面、我的资源界面。</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20、投屏功能模块具备中英文双语言版本，支持影像上传功能，最多可上传9张照片进行同屏对比。在手机端进行批注时，大屏端会实时同步显示批注内容，方便教师将学生作业等内容上传至大屏进行展示。</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21、白板功能模块备课模式下至少提供拼音、汉字、古诗词、几何图形、函数图形、四线三格、音标、英汉字典、元素周期表、星球等不少于10种学科工具；</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22、提供不少于5种课堂活动类别：趣味分类、超级分类、竞赛PK、选词填空、判断题，每种类别提供至少4种模板进行选择；提供放大镜、聚光灯、时钟等不少于5种通用工具，提供拼音、汉字、函数、英汉字典等不少于12种学科工具</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 w:hAnsi="仿宋" w:eastAsia="仿宋" w:cs="仿宋"/>
                <w:b w:val="0"/>
                <w:bCs w:val="0"/>
                <w:highlight w:val="none"/>
                <w:lang w:val="en-US" w:eastAsia="zh-CN"/>
              </w:rPr>
              <w:t>▲</w:t>
            </w:r>
            <w:r>
              <w:rPr>
                <w:rFonts w:hint="eastAsia" w:ascii="仿宋_GB2312" w:hAnsi="宋体" w:eastAsia="仿宋_GB2312" w:cs="仿宋_GB2312"/>
                <w:i w:val="0"/>
                <w:iCs w:val="0"/>
                <w:color w:val="000000"/>
                <w:kern w:val="0"/>
                <w:sz w:val="21"/>
                <w:szCs w:val="21"/>
                <w:u w:val="none"/>
                <w:lang w:val="en-US" w:eastAsia="zh-CN" w:bidi="ar"/>
              </w:rPr>
              <w:t>23、云资源具备资源专区，如月考专区、期末专区、寒假专区、暑假专区、竞赛专区及作文辅导专区等，教师可根据教学需求灵活选用。</w:t>
            </w:r>
            <w:r>
              <w:rPr>
                <w:rFonts w:hint="eastAsia" w:ascii="仿宋_GB2312" w:hAnsi="宋体" w:eastAsia="仿宋_GB2312" w:cs="仿宋_GB2312"/>
                <w:b/>
                <w:bCs/>
                <w:i w:val="0"/>
                <w:iCs w:val="0"/>
                <w:color w:val="0000FF"/>
                <w:kern w:val="0"/>
                <w:sz w:val="21"/>
                <w:szCs w:val="21"/>
                <w:u w:val="none"/>
                <w:lang w:val="en-US" w:eastAsia="zh-CN" w:bidi="ar"/>
              </w:rPr>
              <w:t>(提供该项功能的截图，未提供截图或截图结果不符合要求的，不得分)</w:t>
            </w:r>
            <w:r>
              <w:rPr>
                <w:rFonts w:hint="eastAsia" w:ascii="仿宋_GB2312" w:hAnsi="宋体" w:eastAsia="仿宋_GB2312" w:cs="仿宋_GB2312"/>
                <w:i w:val="0"/>
                <w:iCs w:val="0"/>
                <w:color w:val="000000"/>
                <w:kern w:val="0"/>
                <w:sz w:val="21"/>
                <w:szCs w:val="21"/>
                <w:u w:val="none"/>
                <w:lang w:val="en-US" w:eastAsia="zh-CN" w:bidi="ar"/>
              </w:rPr>
              <w:t>;</w:t>
            </w:r>
          </w:p>
        </w:tc>
        <w:tc>
          <w:tcPr>
            <w:tcW w:w="1106" w:type="dxa"/>
            <w:vAlign w:val="center"/>
          </w:tcPr>
          <w:p>
            <w:pPr>
              <w:keepNext w:val="0"/>
              <w:keepLines w:val="0"/>
              <w:widowControl/>
              <w:suppressLineNumbers w:val="0"/>
              <w:jc w:val="both"/>
              <w:textAlignment w:val="center"/>
              <w:rPr>
                <w:rFonts w:hint="eastAsia" w:ascii="仿宋" w:hAnsi="仿宋" w:eastAsia="仿宋" w:cs="仿宋"/>
                <w:b w:val="0"/>
                <w:bCs w:val="0"/>
                <w:highlight w:val="none"/>
                <w:lang w:val="en-US" w:eastAsia="zh-CN"/>
              </w:rPr>
            </w:pPr>
          </w:p>
        </w:tc>
        <w:tc>
          <w:tcPr>
            <w:tcW w:w="985" w:type="dxa"/>
            <w:vAlign w:val="center"/>
          </w:tcPr>
          <w:p>
            <w:pPr>
              <w:keepNext w:val="0"/>
              <w:keepLines w:val="0"/>
              <w:widowControl/>
              <w:suppressLineNumbers w:val="0"/>
              <w:jc w:val="both"/>
              <w:textAlignment w:val="center"/>
              <w:rPr>
                <w:rFonts w:hint="eastAsia" w:ascii="仿宋" w:hAnsi="仿宋" w:eastAsia="仿宋" w:cs="仿宋"/>
                <w:b w:val="0"/>
                <w:bCs w:val="0"/>
                <w:highlight w:val="none"/>
                <w:lang w:val="en-US" w:eastAsia="zh-CN"/>
              </w:rPr>
            </w:pPr>
          </w:p>
        </w:tc>
        <w:tc>
          <w:tcPr>
            <w:tcW w:w="788" w:type="dxa"/>
            <w:vAlign w:val="center"/>
          </w:tcPr>
          <w:p>
            <w:pPr>
              <w:keepNext w:val="0"/>
              <w:keepLines w:val="0"/>
              <w:widowControl/>
              <w:suppressLineNumbers w:val="0"/>
              <w:jc w:val="both"/>
              <w:textAlignment w:val="center"/>
              <w:rPr>
                <w:rFonts w:hint="eastAsia" w:ascii="仿宋" w:hAnsi="仿宋" w:eastAsia="仿宋" w:cs="仿宋"/>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tcPr>
          <w:p>
            <w:pPr>
              <w:rPr>
                <w:rFonts w:hint="default"/>
                <w:color w:val="000000" w:themeColor="text1"/>
                <w:szCs w:val="21"/>
                <w:lang w:val="en-US" w:eastAsia="zh-CN"/>
              </w:rPr>
            </w:pPr>
            <w:r>
              <w:rPr>
                <w:rFonts w:hint="eastAsia" w:ascii="仿宋" w:hAnsi="仿宋" w:eastAsia="仿宋" w:cs="仿宋"/>
                <w:highlight w:val="none"/>
                <w:lang w:val="en-US" w:eastAsia="zh-CN"/>
              </w:rPr>
              <w:t>三：软件管理</w:t>
            </w:r>
          </w:p>
        </w:tc>
        <w:tc>
          <w:tcPr>
            <w:tcW w:w="1106" w:type="dxa"/>
          </w:tcPr>
          <w:p>
            <w:pPr>
              <w:rPr>
                <w:rFonts w:hint="eastAsia" w:ascii="仿宋" w:hAnsi="仿宋" w:eastAsia="仿宋" w:cs="仿宋"/>
                <w:highlight w:val="none"/>
                <w:lang w:val="en-US" w:eastAsia="zh-CN"/>
              </w:rPr>
            </w:pPr>
          </w:p>
        </w:tc>
        <w:tc>
          <w:tcPr>
            <w:tcW w:w="985" w:type="dxa"/>
          </w:tcPr>
          <w:p>
            <w:pPr>
              <w:rPr>
                <w:rFonts w:hint="eastAsia" w:ascii="仿宋" w:hAnsi="仿宋" w:eastAsia="仿宋" w:cs="仿宋"/>
                <w:highlight w:val="none"/>
                <w:lang w:val="en-US" w:eastAsia="zh-CN"/>
              </w:rPr>
            </w:pPr>
          </w:p>
        </w:tc>
        <w:tc>
          <w:tcPr>
            <w:tcW w:w="788" w:type="dxa"/>
          </w:tcPr>
          <w:p>
            <w:pPr>
              <w:rPr>
                <w:rFonts w:hint="eastAsia" w:ascii="仿宋" w:hAnsi="仿宋" w:eastAsia="仿宋" w:cs="仿宋"/>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24、设备提供系统管家模块，支持一键查看设备连接信息，可适用于Windows/office版本，硬盘、CPU、蓝牙状态（关闭状态下可进行开启）、内存、网络状态、OPS S/N号、固件版本号。</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25、系统还原、备份：一键备份数据并可系统还原至最新备份系统，解决系统异常等问题，如无最新备份系统，备份还原状态需要与硬件一键备份还原保持一致。</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26、弹窗拦截：提供广告拦截 ，对广告弹窗实现一键拦截，默认直接开启拦截；支持截图拦截，教师可对异常弹窗采取截图拦截。</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27、查看各软件弹窗拦截次数，拦截数量，所有拦截记录等，可提供软件拦截名单。</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28、看直播：展示该终端可看到的所有直播，在直播时间内，可进入直播进行观看。</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29、发布信息：可即时向任意选定的设备发布纯文本信息，支持常驻桌面型、滚动发布型及气泡弹出提示，可设置播放时长，支持再次编辑；支持设置字体及字体颜色。</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30、即时操作控制：批量对选定的受控设备进行关机、重启、触控切换（屏幕触控锁定、解锁），童锁切换、信号源切换、音量调节、打铃操作，一键锁屏设置，支持一键开启系统还原功能，一键系统备份，一键设置显示模式，支持一键设置系统桌面壁纸。</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31、定时操作控制：可远程对选定的设备做定时关机、定时打铃、定时切换信号源、定时信息发布，实现单次、每日循环、每周循环、每月循环的定时控制。支持定时操作列表查询，并可对具体某项定时操作进行再次编辑。</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32、控制列表：支持查看控制列表，查看立即控制、定时计划、信息发布等内容；包含下发命令内容、执行时间、执行策略、已执行数量等内容。</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8" w:type="dxa"/>
            <w:vMerge w:val="continue"/>
          </w:tcPr>
          <w:p>
            <w:pPr>
              <w:jc w:val="center"/>
              <w:rPr>
                <w:color w:val="000000" w:themeColor="text1"/>
                <w:szCs w:val="21"/>
              </w:rPr>
            </w:pPr>
          </w:p>
        </w:tc>
        <w:tc>
          <w:tcPr>
            <w:tcW w:w="844" w:type="dxa"/>
            <w:vMerge w:val="continue"/>
          </w:tcPr>
          <w:p>
            <w:pPr>
              <w:rPr>
                <w:color w:val="000000" w:themeColor="text1"/>
                <w:szCs w:val="21"/>
              </w:rPr>
            </w:pPr>
          </w:p>
        </w:tc>
        <w:tc>
          <w:tcPr>
            <w:tcW w:w="4018" w:type="dxa"/>
            <w:vAlign w:val="center"/>
          </w:tcPr>
          <w:p>
            <w:pPr>
              <w:keepNext w:val="0"/>
              <w:keepLines w:val="0"/>
              <w:widowControl/>
              <w:suppressLineNumbers w:val="0"/>
              <w:jc w:val="both"/>
              <w:textAlignment w:val="center"/>
              <w:rPr>
                <w:rFonts w:hint="default"/>
                <w:color w:val="000000" w:themeColor="text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33、通过集控功能模块可查看校园内所有设备的状态，包括在线、离线状态，教室名称、内存使用率、CPU使用率、C盘使用率，支持按照设备类型、设备名称进行查询筛选；支持按列表展示以及按缩略图展示；支持一键查看设备已安装应用情况，支持查看</w:t>
            </w:r>
            <w:r>
              <w:rPr>
                <w:rStyle w:val="38"/>
                <w:b/>
                <w:bCs/>
                <w:color w:val="auto"/>
                <w:lang w:val="en-US" w:eastAsia="zh-CN" w:bidi="ar"/>
              </w:rPr>
              <w:t>系统版本</w:t>
            </w:r>
            <w:r>
              <w:rPr>
                <w:rFonts w:hint="eastAsia" w:ascii="仿宋_GB2312" w:hAnsi="宋体" w:eastAsia="仿宋_GB2312" w:cs="仿宋_GB2312"/>
                <w:i w:val="0"/>
                <w:iCs w:val="0"/>
                <w:color w:val="000000"/>
                <w:kern w:val="0"/>
                <w:sz w:val="21"/>
                <w:szCs w:val="21"/>
                <w:u w:val="none"/>
                <w:lang w:val="en-US" w:eastAsia="zh-CN" w:bidi="ar"/>
              </w:rPr>
              <w:t>激活状态，支持查看常用软件激活状态，支持查看</w:t>
            </w:r>
            <w:r>
              <w:rPr>
                <w:rStyle w:val="38"/>
                <w:b/>
                <w:bCs/>
                <w:color w:val="auto"/>
                <w:lang w:val="en-US" w:eastAsia="zh-CN" w:bidi="ar"/>
              </w:rPr>
              <w:t>系统版本</w:t>
            </w:r>
            <w:r>
              <w:rPr>
                <w:rFonts w:hint="eastAsia" w:ascii="仿宋_GB2312" w:hAnsi="宋体" w:eastAsia="仿宋_GB2312" w:cs="仿宋_GB2312"/>
                <w:i w:val="0"/>
                <w:iCs w:val="0"/>
                <w:color w:val="000000"/>
                <w:kern w:val="0"/>
                <w:sz w:val="21"/>
                <w:szCs w:val="21"/>
                <w:u w:val="none"/>
                <w:lang w:val="en-US" w:eastAsia="zh-CN" w:bidi="ar"/>
              </w:rPr>
              <w:t>版本信息，支持查看设备IP地址，支持查看当前设备序列号、声音及显示设置模式。</w:t>
            </w:r>
          </w:p>
        </w:tc>
        <w:tc>
          <w:tcPr>
            <w:tcW w:w="1106"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985"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c>
          <w:tcPr>
            <w:tcW w:w="788" w:type="dxa"/>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kern w:val="0"/>
                <w:sz w:val="21"/>
                <w:szCs w:val="21"/>
                <w:u w:val="none"/>
                <w:lang w:val="en-US" w:eastAsia="zh-CN" w:bidi="ar"/>
              </w:rPr>
            </w:pPr>
          </w:p>
        </w:tc>
      </w:tr>
    </w:tbl>
    <w:p>
      <w:pPr>
        <w:pStyle w:val="2"/>
        <w:rPr>
          <w:sz w:val="24"/>
        </w:rPr>
      </w:pPr>
    </w:p>
    <w:p>
      <w:pPr>
        <w:pStyle w:val="2"/>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left="718" w:leftChars="342" w:firstLine="1620" w:firstLineChars="675"/>
        <w:outlineLvl w:val="2"/>
        <w:rPr>
          <w:rFonts w:hint="eastAsia"/>
          <w:szCs w:val="21"/>
          <w:lang w:eastAsia="zh-CN"/>
        </w:rPr>
      </w:pPr>
      <w:r>
        <w:rPr>
          <w:rFonts w:hint="eastAsia" w:ascii="黑体" w:hAnsi="宋体" w:eastAsia="黑体"/>
          <w:sz w:val="24"/>
          <w:szCs w:val="20"/>
          <w:lang w:val="en-US" w:eastAsia="zh-CN"/>
        </w:rPr>
        <w:t>六、</w:t>
      </w:r>
      <w:r>
        <w:rPr>
          <w:rFonts w:hint="eastAsia" w:ascii="黑体" w:hAnsi="宋体" w:eastAsia="黑体"/>
          <w:sz w:val="24"/>
          <w:szCs w:val="20"/>
        </w:rPr>
        <w:t>政府采购节能环保产品情况</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outlineLvl w:val="2"/>
        <w:rPr>
          <w:rFonts w:hint="eastAsia" w:eastAsia="宋体"/>
          <w:szCs w:val="21"/>
          <w:lang w:eastAsia="zh-CN"/>
        </w:rPr>
      </w:pPr>
      <w:r>
        <w:rPr>
          <w:rFonts w:hint="eastAsia" w:ascii="黑体" w:hAnsi="宋体" w:eastAsia="黑体"/>
          <w:sz w:val="24"/>
          <w:szCs w:val="20"/>
          <w:lang w:val="en-US" w:eastAsia="zh-CN"/>
        </w:rPr>
        <w:t>七、</w:t>
      </w:r>
      <w:r>
        <w:rPr>
          <w:rFonts w:hint="eastAsia" w:ascii="黑体" w:hAnsi="宋体" w:eastAsia="黑体"/>
          <w:sz w:val="24"/>
          <w:szCs w:val="20"/>
          <w:lang w:eastAsia="zh-CN"/>
        </w:rPr>
        <w:t>绿色采购情况</w:t>
      </w:r>
    </w:p>
    <w:p>
      <w:pPr>
        <w:ind w:left="0" w:leftChars="0" w:firstLine="0" w:firstLineChars="0"/>
        <w:rPr>
          <w:rFonts w:hint="eastAsia" w:ascii="宋体" w:hAnsi="宋体"/>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outlineLvl w:val="2"/>
        <w:rPr>
          <w:rFonts w:hint="eastAsia" w:ascii="宋体" w:hAnsi="宋体"/>
          <w:szCs w:val="21"/>
          <w:lang w:eastAsia="zh-CN"/>
        </w:rPr>
      </w:pPr>
      <w:r>
        <w:rPr>
          <w:rFonts w:hint="eastAsia" w:ascii="黑体" w:hAnsi="宋体" w:eastAsia="黑体"/>
          <w:sz w:val="24"/>
          <w:szCs w:val="20"/>
          <w:lang w:val="en-US" w:eastAsia="zh-CN"/>
        </w:rPr>
        <w:t>八、</w:t>
      </w:r>
      <w:r>
        <w:rPr>
          <w:rFonts w:hint="eastAsia" w:ascii="黑体" w:hAnsi="宋体" w:eastAsia="黑体"/>
          <w:sz w:val="24"/>
          <w:szCs w:val="20"/>
          <w:lang w:eastAsia="zh-CN"/>
        </w:rPr>
        <w:t>项目组织实施方案的评价</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417" w:firstLineChars="675"/>
        <w:rPr>
          <w:rFonts w:hint="eastAsia" w:ascii="宋体" w:hAnsi="宋体"/>
          <w:szCs w:val="21"/>
          <w:lang w:val="en-US" w:eastAsia="zh-CN"/>
        </w:rPr>
      </w:pPr>
    </w:p>
    <w:p>
      <w:pPr>
        <w:ind w:left="718" w:leftChars="342" w:firstLine="1620" w:firstLineChars="675"/>
        <w:outlineLvl w:val="2"/>
        <w:rPr>
          <w:rFonts w:hint="eastAsia" w:ascii="宋体" w:hAnsi="宋体"/>
          <w:szCs w:val="21"/>
          <w:lang w:eastAsia="zh-CN"/>
        </w:rPr>
      </w:pPr>
      <w:r>
        <w:rPr>
          <w:rFonts w:hint="eastAsia" w:ascii="黑体" w:hAnsi="宋体" w:eastAsia="黑体"/>
          <w:sz w:val="24"/>
          <w:szCs w:val="20"/>
          <w:lang w:val="en-US" w:eastAsia="zh-CN"/>
        </w:rPr>
        <w:t>九、</w:t>
      </w:r>
      <w:r>
        <w:rPr>
          <w:rFonts w:hint="eastAsia" w:ascii="黑体" w:hAnsi="宋体" w:eastAsia="黑体" w:cs="Times New Roman"/>
          <w:kern w:val="2"/>
          <w:sz w:val="24"/>
          <w:szCs w:val="20"/>
          <w:lang w:val="en-US" w:eastAsia="zh-CN" w:bidi="ar"/>
        </w:rPr>
        <w:t>售后服务评价</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rFonts w:hint="eastAsia" w:ascii="宋体" w:hAnsi="宋体"/>
          <w:szCs w:val="21"/>
          <w:lang w:val="en-US" w:eastAsia="zh-CN"/>
        </w:rPr>
      </w:pPr>
    </w:p>
    <w:p>
      <w:pPr>
        <w:ind w:left="0" w:leftChars="0" w:firstLine="0" w:firstLineChars="0"/>
        <w:rPr>
          <w:rFonts w:hint="eastAsia"/>
          <w:szCs w:val="21"/>
          <w:lang w:val="en-US" w:eastAsia="zh-CN"/>
        </w:rPr>
      </w:pPr>
    </w:p>
    <w:p>
      <w:pPr>
        <w:pStyle w:val="4"/>
        <w:jc w:val="center"/>
        <w:rPr>
          <w:rFonts w:ascii="黑体" w:eastAsia="黑体"/>
          <w:b w:val="0"/>
          <w:bCs w:val="0"/>
          <w:sz w:val="24"/>
          <w:szCs w:val="20"/>
        </w:rPr>
      </w:pPr>
      <w:bookmarkStart w:id="76" w:name="_Hlk72260576"/>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100052400"/>
      <w:bookmarkStart w:id="102" w:name="_Toc73521581"/>
      <w:bookmarkStart w:id="103" w:name="_Toc73518151"/>
      <w:bookmarkStart w:id="104" w:name="_Toc73517673"/>
      <w:bookmarkStart w:id="105" w:name="_Toc73521669"/>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18157"/>
      <w:bookmarkStart w:id="117" w:name="_Toc100052408"/>
      <w:bookmarkStart w:id="118" w:name="_Toc73517679"/>
      <w:bookmarkStart w:id="119" w:name="_Toc73521586"/>
      <w:bookmarkStart w:id="120" w:name="_Toc73521674"/>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100052409"/>
      <w:bookmarkStart w:id="123" w:name="_Toc73521675"/>
      <w:bookmarkStart w:id="124" w:name="_Toc73518158"/>
      <w:bookmarkStart w:id="125" w:name="_Toc73521587"/>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677"/>
      <w:bookmarkStart w:id="128" w:name="_Toc100052410"/>
      <w:bookmarkStart w:id="129" w:name="_Toc73518160"/>
      <w:bookmarkStart w:id="130" w:name="_Toc73517682"/>
      <w:bookmarkStart w:id="131" w:name="_Toc73521589"/>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21590"/>
      <w:bookmarkStart w:id="133" w:name="_Toc100052411"/>
      <w:bookmarkStart w:id="134" w:name="_Toc73517683"/>
      <w:bookmarkStart w:id="135" w:name="_Toc73521678"/>
      <w:bookmarkStart w:id="136" w:name="_Toc7351816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21"/>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76A2249-6C8F-4129-B613-107DF225C0B6}"/>
  </w:font>
  <w:font w:name="Arial">
    <w:panose1 w:val="020B0604020202020204"/>
    <w:charset w:val="01"/>
    <w:family w:val="swiss"/>
    <w:pitch w:val="default"/>
    <w:sig w:usb0="E0002EFF" w:usb1="C000785B" w:usb2="00000009" w:usb3="00000000" w:csb0="400001FF" w:csb1="FFFF0000"/>
    <w:embedRegular r:id="rId2" w:fontKey="{841AD4EC-FFE5-49FB-A8B6-B03F671FD449}"/>
  </w:font>
  <w:font w:name="黑体">
    <w:panose1 w:val="02010609060101010101"/>
    <w:charset w:val="86"/>
    <w:family w:val="auto"/>
    <w:pitch w:val="default"/>
    <w:sig w:usb0="800002BF" w:usb1="38CF7CFA" w:usb2="00000016" w:usb3="00000000" w:csb0="00040001" w:csb1="00000000"/>
    <w:embedRegular r:id="rId3" w:fontKey="{7E549447-6ABD-426B-8C14-F00CCB1B2EC5}"/>
  </w:font>
  <w:font w:name="Courier New">
    <w:panose1 w:val="02070309020205020404"/>
    <w:charset w:val="01"/>
    <w:family w:val="modern"/>
    <w:pitch w:val="default"/>
    <w:sig w:usb0="E0002EFF" w:usb1="C0007843" w:usb2="00000009" w:usb3="00000000" w:csb0="400001FF" w:csb1="FFFF0000"/>
    <w:embedRegular r:id="rId4" w:fontKey="{F3478DD6-3EEF-469E-8557-6CCCA93D15D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6B3411C-D44C-457B-A473-4180A0BF8AE4}"/>
  </w:font>
  <w:font w:name="Cambria">
    <w:panose1 w:val="02040503050406030204"/>
    <w:charset w:val="00"/>
    <w:family w:val="roman"/>
    <w:pitch w:val="default"/>
    <w:sig w:usb0="E00006FF" w:usb1="420024FF" w:usb2="02000000" w:usb3="00000000" w:csb0="2000019F" w:csb1="00000000"/>
    <w:embedRegular r:id="rId6" w:fontKey="{DE19ABCD-9B30-4765-914F-EE2F3AFC6CE3}"/>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C699BF39-E5CF-4136-843B-96DF216076B3}"/>
  </w:font>
  <w:font w:name="仿宋_GB2312">
    <w:panose1 w:val="02010609030101010101"/>
    <w:charset w:val="86"/>
    <w:family w:val="auto"/>
    <w:pitch w:val="default"/>
    <w:sig w:usb0="00000001" w:usb1="080E0000" w:usb2="00000000" w:usb3="00000000" w:csb0="00040000" w:csb1="00000000"/>
    <w:embedRegular r:id="rId8" w:fontKey="{444EECFB-A236-47EF-99F9-3711993974AA}"/>
  </w:font>
  <w:font w:name="方正仿宋_GBK">
    <w:panose1 w:val="02000000000000000000"/>
    <w:charset w:val="86"/>
    <w:family w:val="auto"/>
    <w:pitch w:val="default"/>
    <w:sig w:usb0="A00002BF" w:usb1="38CF7CFA" w:usb2="00082016" w:usb3="00000000" w:csb0="00040001" w:csb1="00000000"/>
    <w:embedRegular r:id="rId9" w:fontKey="{ED0A5F34-AA3E-417A-AC4B-41E3F7CEAE90}"/>
  </w:font>
  <w:font w:name="华文中宋">
    <w:panose1 w:val="02010600040101010101"/>
    <w:charset w:val="86"/>
    <w:family w:val="auto"/>
    <w:pitch w:val="default"/>
    <w:sig w:usb0="00000287" w:usb1="080F0000" w:usb2="00000000" w:usb3="00000000" w:csb0="0004009F" w:csb1="DFD70000"/>
    <w:embedRegular r:id="rId10" w:fontKey="{DDF1293E-D42F-435D-9F73-44D9A0885D7A}"/>
  </w:font>
  <w:font w:name="汉仪书宋二S">
    <w:panose1 w:val="00020600040101010101"/>
    <w:charset w:val="86"/>
    <w:family w:val="auto"/>
    <w:pitch w:val="default"/>
    <w:sig w:usb0="A00002BF" w:usb1="18EF7CFA" w:usb2="00000016" w:usb3="00000000" w:csb0="00040000" w:csb1="00000000"/>
    <w:embedRegular r:id="rId11" w:fontKey="{531DC014-3BDC-48C2-A99B-00D2DA274DE7}"/>
  </w:font>
  <w:font w:name="华文楷体">
    <w:panose1 w:val="02010600040101010101"/>
    <w:charset w:val="86"/>
    <w:family w:val="auto"/>
    <w:pitch w:val="default"/>
    <w:sig w:usb0="00000287" w:usb1="080F0000" w:usb2="00000000" w:usb3="00000000" w:csb0="0004009F" w:csb1="DFD70000"/>
    <w:embedRegular r:id="rId12" w:fontKey="{50BA0EDE-F2B3-40DD-A4D7-57593F834DD7}"/>
  </w:font>
  <w:font w:name="ˎ̥">
    <w:altName w:val="Times New Roman"/>
    <w:panose1 w:val="00000000000000000000"/>
    <w:charset w:val="00"/>
    <w:family w:val="auto"/>
    <w:pitch w:val="default"/>
    <w:sig w:usb0="00000000" w:usb1="00000000" w:usb2="00000000" w:usb3="00000000" w:csb0="00040001" w:csb1="00000000"/>
    <w:embedRegular r:id="rId13" w:fontKey="{57A7A039-0309-4F48-AA19-C9C6A98126E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B1BED"/>
    <w:multiLevelType w:val="singleLevel"/>
    <w:tmpl w:val="928B1BED"/>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1"/>
  </w:num>
  <w:num w:numId="4">
    <w:abstractNumId w:val="2"/>
  </w:num>
  <w:num w:numId="5">
    <w:abstractNumId w:val="11"/>
  </w:num>
  <w:num w:numId="6">
    <w:abstractNumId w:val="4"/>
  </w:num>
  <w:num w:numId="7">
    <w:abstractNumId w:val="9"/>
  </w:num>
  <w:num w:numId="8">
    <w:abstractNumId w:val="6"/>
  </w:num>
  <w:num w:numId="9">
    <w:abstractNumId w:val="5"/>
  </w:num>
  <w:num w:numId="10">
    <w:abstractNumId w:val="3"/>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630462"/>
    <w:rsid w:val="069468A4"/>
    <w:rsid w:val="06D86E6E"/>
    <w:rsid w:val="06E710CA"/>
    <w:rsid w:val="06E94E42"/>
    <w:rsid w:val="07101435"/>
    <w:rsid w:val="072B0FB7"/>
    <w:rsid w:val="07724E37"/>
    <w:rsid w:val="079B3215"/>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6E15B36"/>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3A7D4E"/>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6EA3C7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3EA47CE"/>
    <w:rsid w:val="342509B8"/>
    <w:rsid w:val="34297F29"/>
    <w:rsid w:val="34AE6BFF"/>
    <w:rsid w:val="34CA3E45"/>
    <w:rsid w:val="34D34153"/>
    <w:rsid w:val="350F4310"/>
    <w:rsid w:val="357A19FC"/>
    <w:rsid w:val="359758E5"/>
    <w:rsid w:val="359D5EEA"/>
    <w:rsid w:val="35BA1D81"/>
    <w:rsid w:val="35D02BA5"/>
    <w:rsid w:val="35E8637E"/>
    <w:rsid w:val="35FC7E3E"/>
    <w:rsid w:val="363C3B17"/>
    <w:rsid w:val="36474247"/>
    <w:rsid w:val="365612FD"/>
    <w:rsid w:val="3677309A"/>
    <w:rsid w:val="36D11FF7"/>
    <w:rsid w:val="36F40B16"/>
    <w:rsid w:val="370C52DF"/>
    <w:rsid w:val="370C5E5F"/>
    <w:rsid w:val="374B6987"/>
    <w:rsid w:val="374D6BA3"/>
    <w:rsid w:val="375A306E"/>
    <w:rsid w:val="37CE1367"/>
    <w:rsid w:val="37D746BF"/>
    <w:rsid w:val="385A1E9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60529D"/>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DF448D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2F19CA"/>
    <w:rsid w:val="57470BA7"/>
    <w:rsid w:val="5773022F"/>
    <w:rsid w:val="57770C7B"/>
    <w:rsid w:val="580A1AEF"/>
    <w:rsid w:val="586730C3"/>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279A1"/>
    <w:rsid w:val="5FD4389C"/>
    <w:rsid w:val="5FEC48FC"/>
    <w:rsid w:val="6013374F"/>
    <w:rsid w:val="60545FFD"/>
    <w:rsid w:val="60B116A2"/>
    <w:rsid w:val="60B42F40"/>
    <w:rsid w:val="60B7767B"/>
    <w:rsid w:val="61696F59"/>
    <w:rsid w:val="61D672CA"/>
    <w:rsid w:val="61E63AF5"/>
    <w:rsid w:val="626A2DAC"/>
    <w:rsid w:val="62784498"/>
    <w:rsid w:val="62DB47B4"/>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7E0E30"/>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46462D"/>
    <w:rsid w:val="706B487A"/>
    <w:rsid w:val="70A15EF2"/>
    <w:rsid w:val="70CB230C"/>
    <w:rsid w:val="71BC6DFB"/>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1761ED"/>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4F261B"/>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71"/>
    <w:basedOn w:val="19"/>
    <w:qFormat/>
    <w:uiPriority w:val="0"/>
    <w:rPr>
      <w:rFonts w:hint="eastAsia" w:ascii="宋体" w:hAnsi="宋体" w:eastAsia="宋体" w:cs="宋体"/>
      <w:color w:val="EE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60801</Words>
  <Characters>63895</Characters>
  <Lines>316</Lines>
  <Paragraphs>88</Paragraphs>
  <TotalTime>24</TotalTime>
  <ScaleCrop>false</ScaleCrop>
  <LinksUpToDate>false</LinksUpToDate>
  <CharactersWithSpaces>70440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2025-07-16T07:40:18Z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